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928E8" w14:textId="77777777" w:rsidR="00D92EBC" w:rsidRPr="008A4FFA" w:rsidRDefault="0078763F" w:rsidP="00316679">
      <w:pPr>
        <w:spacing w:after="0" w:line="240" w:lineRule="auto"/>
        <w:ind w:left="426" w:firstLine="0"/>
        <w:jc w:val="center"/>
        <w:rPr>
          <w:sz w:val="22"/>
        </w:rPr>
      </w:pPr>
      <w:r w:rsidRPr="008A4FFA">
        <w:rPr>
          <w:b/>
          <w:sz w:val="22"/>
        </w:rPr>
        <w:t xml:space="preserve"> </w:t>
      </w:r>
    </w:p>
    <w:p w14:paraId="1323096D" w14:textId="77777777" w:rsidR="00D92EBC" w:rsidRPr="009B4A73" w:rsidRDefault="0078763F" w:rsidP="00316679">
      <w:pPr>
        <w:spacing w:after="0" w:line="240" w:lineRule="auto"/>
        <w:ind w:left="426" w:right="6"/>
        <w:jc w:val="center"/>
        <w:rPr>
          <w:sz w:val="22"/>
        </w:rPr>
      </w:pPr>
      <w:r w:rsidRPr="009B4A73">
        <w:rPr>
          <w:b/>
          <w:sz w:val="22"/>
        </w:rPr>
        <w:t xml:space="preserve">AUSTRALIAN PRODUCT INFORMATION </w:t>
      </w:r>
    </w:p>
    <w:p w14:paraId="422D5677" w14:textId="324C45AE" w:rsidR="00D92EBC" w:rsidRPr="009B4A73" w:rsidRDefault="0004515C" w:rsidP="00316679">
      <w:pPr>
        <w:spacing w:after="0" w:line="240" w:lineRule="auto"/>
        <w:ind w:left="426" w:right="6"/>
        <w:jc w:val="center"/>
        <w:rPr>
          <w:sz w:val="22"/>
        </w:rPr>
      </w:pPr>
      <w:r w:rsidRPr="009B4A73">
        <w:rPr>
          <w:b/>
          <w:sz w:val="22"/>
        </w:rPr>
        <w:t>Trastucip</w:t>
      </w:r>
      <w:r w:rsidRPr="009B4A73" w:rsidDel="0004515C">
        <w:rPr>
          <w:b/>
          <w:sz w:val="22"/>
        </w:rPr>
        <w:t xml:space="preserve"> </w:t>
      </w:r>
      <w:r w:rsidR="0078763F" w:rsidRPr="009B4A73">
        <w:rPr>
          <w:b/>
          <w:sz w:val="22"/>
        </w:rPr>
        <w:t>(trastuzumab) powder for injection</w:t>
      </w:r>
      <w:r w:rsidR="0078763F" w:rsidRPr="009B4A73">
        <w:rPr>
          <w:sz w:val="22"/>
        </w:rPr>
        <w:t xml:space="preserve"> </w:t>
      </w:r>
    </w:p>
    <w:p w14:paraId="605AF217" w14:textId="0231F7D3" w:rsidR="00D92EBC" w:rsidRPr="009B4A73" w:rsidRDefault="0078763F" w:rsidP="00316679">
      <w:pPr>
        <w:spacing w:after="0" w:line="240" w:lineRule="auto"/>
        <w:ind w:left="426" w:firstLine="0"/>
        <w:rPr>
          <w:sz w:val="22"/>
        </w:rPr>
      </w:pPr>
      <w:r w:rsidRPr="009B4A73">
        <w:rPr>
          <w:sz w:val="22"/>
        </w:rPr>
        <w:t xml:space="preserve"> </w:t>
      </w:r>
    </w:p>
    <w:p w14:paraId="51FD0C27" w14:textId="77777777" w:rsidR="00B809C6" w:rsidRPr="009B4A73" w:rsidRDefault="00B809C6" w:rsidP="00316679">
      <w:pPr>
        <w:spacing w:after="0" w:line="240" w:lineRule="auto"/>
        <w:ind w:left="426" w:firstLine="0"/>
        <w:rPr>
          <w:sz w:val="22"/>
        </w:rPr>
      </w:pPr>
    </w:p>
    <w:p w14:paraId="1C06348C" w14:textId="23DE2DD6" w:rsidR="00D92EBC" w:rsidRPr="009B4A73" w:rsidRDefault="0078763F" w:rsidP="00316679">
      <w:pPr>
        <w:pStyle w:val="ListParagraph"/>
        <w:numPr>
          <w:ilvl w:val="0"/>
          <w:numId w:val="9"/>
        </w:numPr>
        <w:tabs>
          <w:tab w:val="left" w:pos="567"/>
        </w:tabs>
        <w:spacing w:after="0" w:line="240" w:lineRule="auto"/>
        <w:ind w:left="426" w:hanging="426"/>
        <w:rPr>
          <w:b/>
          <w:sz w:val="22"/>
        </w:rPr>
      </w:pPr>
      <w:r w:rsidRPr="009B4A73">
        <w:rPr>
          <w:b/>
          <w:sz w:val="22"/>
        </w:rPr>
        <w:t>NAME OF THE MEDICINE</w:t>
      </w:r>
    </w:p>
    <w:p w14:paraId="108F6597" w14:textId="77777777" w:rsidR="004B64CF" w:rsidRPr="009B4A73" w:rsidRDefault="004B64CF" w:rsidP="00316679">
      <w:pPr>
        <w:spacing w:after="0" w:line="240" w:lineRule="auto"/>
        <w:ind w:left="426"/>
        <w:rPr>
          <w:sz w:val="22"/>
        </w:rPr>
      </w:pPr>
    </w:p>
    <w:p w14:paraId="351AB0AF" w14:textId="75B6128A" w:rsidR="00D92EBC" w:rsidRPr="009B4A73" w:rsidRDefault="0078763F" w:rsidP="00316679">
      <w:pPr>
        <w:spacing w:after="0" w:line="240" w:lineRule="auto"/>
        <w:ind w:left="426" w:right="8"/>
        <w:rPr>
          <w:sz w:val="22"/>
        </w:rPr>
      </w:pPr>
      <w:r w:rsidRPr="009B4A73">
        <w:rPr>
          <w:sz w:val="22"/>
        </w:rPr>
        <w:t>Trastuzumab</w:t>
      </w:r>
    </w:p>
    <w:p w14:paraId="3F1B86A4" w14:textId="03D9322E" w:rsidR="004B64CF" w:rsidRDefault="004B64CF" w:rsidP="00316679">
      <w:pPr>
        <w:spacing w:after="0" w:line="240" w:lineRule="auto"/>
        <w:ind w:left="426" w:right="8"/>
        <w:rPr>
          <w:sz w:val="22"/>
        </w:rPr>
      </w:pPr>
    </w:p>
    <w:p w14:paraId="3E66C196" w14:textId="6B65E586" w:rsidR="00A61ECA" w:rsidRPr="009B4A73" w:rsidRDefault="00A61ECA" w:rsidP="00316679">
      <w:pPr>
        <w:spacing w:after="0" w:line="240" w:lineRule="auto"/>
        <w:ind w:left="426" w:right="8"/>
        <w:rPr>
          <w:sz w:val="22"/>
        </w:rPr>
      </w:pPr>
      <w:r w:rsidRPr="00A61ECA">
        <w:rPr>
          <w:i/>
          <w:iCs/>
          <w:sz w:val="22"/>
        </w:rPr>
        <w:t>Trastucip</w:t>
      </w:r>
      <w:r w:rsidRPr="00A61ECA" w:rsidDel="0004515C">
        <w:rPr>
          <w:i/>
          <w:iCs/>
          <w:sz w:val="22"/>
        </w:rPr>
        <w:t xml:space="preserve"> </w:t>
      </w:r>
      <w:r w:rsidRPr="00A61ECA">
        <w:rPr>
          <w:i/>
          <w:iCs/>
          <w:sz w:val="22"/>
          <w:lang w:val="en-AU"/>
        </w:rPr>
        <w:t xml:space="preserve">is a biosimilar medicine to </w:t>
      </w:r>
      <w:r w:rsidR="008B7623" w:rsidRPr="008B7623">
        <w:rPr>
          <w:i/>
          <w:iCs/>
          <w:sz w:val="22"/>
          <w:lang w:val="en-AU"/>
        </w:rPr>
        <w:t>Herceptin</w:t>
      </w:r>
      <w:r w:rsidRPr="00A61ECA">
        <w:rPr>
          <w:i/>
          <w:iCs/>
          <w:sz w:val="22"/>
          <w:lang w:val="en-AU"/>
        </w:rPr>
        <w:t xml:space="preserve">. The evidence for comparability supports the use of </w:t>
      </w:r>
      <w:r w:rsidR="008B7623" w:rsidRPr="00A61ECA">
        <w:rPr>
          <w:i/>
          <w:iCs/>
          <w:sz w:val="22"/>
        </w:rPr>
        <w:t>Trastucip</w:t>
      </w:r>
      <w:r w:rsidR="008B7623" w:rsidRPr="00A61ECA" w:rsidDel="0004515C">
        <w:rPr>
          <w:i/>
          <w:iCs/>
          <w:sz w:val="22"/>
        </w:rPr>
        <w:t xml:space="preserve"> </w:t>
      </w:r>
      <w:r w:rsidRPr="00A61ECA">
        <w:rPr>
          <w:i/>
          <w:iCs/>
          <w:sz w:val="22"/>
          <w:lang w:val="en-AU"/>
        </w:rPr>
        <w:t>for the listed indications</w:t>
      </w:r>
      <w:r w:rsidR="008B7623">
        <w:rPr>
          <w:i/>
          <w:iCs/>
          <w:sz w:val="22"/>
          <w:lang w:val="en-AU"/>
        </w:rPr>
        <w:t>.</w:t>
      </w:r>
    </w:p>
    <w:p w14:paraId="4E17B614" w14:textId="77777777" w:rsidR="004B64CF" w:rsidRPr="009B4A73" w:rsidRDefault="004B64CF" w:rsidP="00316679">
      <w:pPr>
        <w:spacing w:after="0" w:line="240" w:lineRule="auto"/>
        <w:ind w:left="426" w:right="8"/>
        <w:rPr>
          <w:sz w:val="22"/>
        </w:rPr>
      </w:pPr>
    </w:p>
    <w:p w14:paraId="5D0EF952" w14:textId="3EA937A1" w:rsidR="004B64CF" w:rsidRPr="009B4A73" w:rsidRDefault="0078763F" w:rsidP="00316679">
      <w:pPr>
        <w:pStyle w:val="Heading1"/>
        <w:tabs>
          <w:tab w:val="left" w:pos="426"/>
        </w:tabs>
        <w:spacing w:after="0" w:line="240" w:lineRule="auto"/>
        <w:ind w:left="426" w:hanging="426"/>
        <w:rPr>
          <w:sz w:val="22"/>
        </w:rPr>
      </w:pPr>
      <w:r w:rsidRPr="009B4A73">
        <w:rPr>
          <w:sz w:val="22"/>
        </w:rPr>
        <w:t>2.</w:t>
      </w:r>
      <w:r w:rsidR="00855DA5" w:rsidRPr="009B4A73">
        <w:rPr>
          <w:rFonts w:eastAsia="Arial"/>
          <w:sz w:val="22"/>
        </w:rPr>
        <w:tab/>
      </w:r>
      <w:r w:rsidRPr="009B4A73">
        <w:rPr>
          <w:sz w:val="22"/>
        </w:rPr>
        <w:t>QUALITATIVE AND QUANTITATIVE COMPOSITION</w:t>
      </w:r>
    </w:p>
    <w:p w14:paraId="5BF8EA89" w14:textId="1E091247" w:rsidR="00D92EBC" w:rsidRPr="009B4A73" w:rsidRDefault="0078763F" w:rsidP="00316679">
      <w:pPr>
        <w:pStyle w:val="Heading1"/>
        <w:spacing w:after="0" w:line="240" w:lineRule="auto"/>
        <w:ind w:left="426"/>
        <w:rPr>
          <w:sz w:val="22"/>
        </w:rPr>
      </w:pPr>
      <w:r w:rsidRPr="009B4A73">
        <w:rPr>
          <w:sz w:val="22"/>
        </w:rPr>
        <w:t xml:space="preserve"> </w:t>
      </w:r>
    </w:p>
    <w:p w14:paraId="5E222F1E" w14:textId="07C983AC" w:rsidR="007936F8" w:rsidRPr="009B4A73" w:rsidRDefault="0004515C" w:rsidP="00316679">
      <w:pPr>
        <w:spacing w:after="0" w:line="240" w:lineRule="auto"/>
        <w:ind w:left="426" w:right="123"/>
        <w:rPr>
          <w:sz w:val="22"/>
        </w:rPr>
      </w:pPr>
      <w:r w:rsidRPr="009B4A73">
        <w:rPr>
          <w:sz w:val="22"/>
        </w:rPr>
        <w:t>Trastucip</w:t>
      </w:r>
      <w:r w:rsidRPr="009B4A73" w:rsidDel="0004515C">
        <w:rPr>
          <w:sz w:val="22"/>
        </w:rPr>
        <w:t xml:space="preserve"> </w:t>
      </w:r>
      <w:r w:rsidR="0078763F" w:rsidRPr="009B4A73">
        <w:rPr>
          <w:sz w:val="22"/>
        </w:rPr>
        <w:t>150 mg vial contains 150mg of trastuzumab</w:t>
      </w:r>
      <w:r w:rsidR="005F1964" w:rsidRPr="009B4A73">
        <w:rPr>
          <w:sz w:val="22"/>
        </w:rPr>
        <w:t>.</w:t>
      </w:r>
    </w:p>
    <w:p w14:paraId="774A761D" w14:textId="63CED5E5" w:rsidR="00D92EBC" w:rsidRPr="009B4A73" w:rsidRDefault="00D92EBC" w:rsidP="00316679">
      <w:pPr>
        <w:spacing w:after="0" w:line="240" w:lineRule="auto"/>
        <w:ind w:left="426" w:right="123" w:firstLine="0"/>
        <w:rPr>
          <w:sz w:val="22"/>
        </w:rPr>
      </w:pPr>
    </w:p>
    <w:p w14:paraId="7EA22966" w14:textId="5060A466" w:rsidR="00D92EBC" w:rsidRPr="009B4A73" w:rsidRDefault="0078763F" w:rsidP="00316679">
      <w:pPr>
        <w:spacing w:after="0" w:line="240" w:lineRule="auto"/>
        <w:ind w:left="426" w:right="8"/>
        <w:rPr>
          <w:sz w:val="22"/>
        </w:rPr>
      </w:pPr>
      <w:r w:rsidRPr="009B4A73">
        <w:rPr>
          <w:sz w:val="22"/>
        </w:rPr>
        <w:t xml:space="preserve">The reconstituted </w:t>
      </w:r>
      <w:r w:rsidR="0004515C" w:rsidRPr="009B4A73">
        <w:rPr>
          <w:sz w:val="22"/>
        </w:rPr>
        <w:t>Trastucip</w:t>
      </w:r>
      <w:r w:rsidR="0004515C" w:rsidRPr="009B4A73" w:rsidDel="0004515C">
        <w:rPr>
          <w:sz w:val="22"/>
        </w:rPr>
        <w:t xml:space="preserve"> </w:t>
      </w:r>
      <w:r w:rsidRPr="009B4A73">
        <w:rPr>
          <w:sz w:val="22"/>
        </w:rPr>
        <w:t>solution contains 21 mg/mL of trastuzumab</w:t>
      </w:r>
    </w:p>
    <w:p w14:paraId="28EB087B" w14:textId="77777777" w:rsidR="004B64CF" w:rsidRPr="009B4A73" w:rsidRDefault="004B64CF" w:rsidP="00316679">
      <w:pPr>
        <w:spacing w:after="0" w:line="240" w:lineRule="auto"/>
        <w:ind w:left="426" w:right="8"/>
        <w:rPr>
          <w:sz w:val="22"/>
        </w:rPr>
      </w:pPr>
    </w:p>
    <w:p w14:paraId="2E1B196E" w14:textId="3F0445C3" w:rsidR="00D92EBC" w:rsidRPr="009B4A73" w:rsidRDefault="0078763F" w:rsidP="00316679">
      <w:pPr>
        <w:spacing w:after="0" w:line="240" w:lineRule="auto"/>
        <w:ind w:left="426" w:right="8"/>
        <w:rPr>
          <w:sz w:val="22"/>
        </w:rPr>
      </w:pPr>
      <w:r w:rsidRPr="009B4A73">
        <w:rPr>
          <w:sz w:val="22"/>
        </w:rPr>
        <w:t>For the full list of excipients, see section 6.1 List of excipients</w:t>
      </w:r>
      <w:r w:rsidR="002253F0" w:rsidRPr="009B4A73">
        <w:rPr>
          <w:sz w:val="22"/>
        </w:rPr>
        <w:t>.</w:t>
      </w:r>
    </w:p>
    <w:p w14:paraId="63F24060" w14:textId="77777777" w:rsidR="004B64CF" w:rsidRPr="009B4A73" w:rsidRDefault="004B64CF" w:rsidP="00316679">
      <w:pPr>
        <w:spacing w:after="0" w:line="240" w:lineRule="auto"/>
        <w:ind w:left="426" w:right="8"/>
        <w:rPr>
          <w:sz w:val="22"/>
        </w:rPr>
      </w:pPr>
    </w:p>
    <w:p w14:paraId="332D0991" w14:textId="77777777" w:rsidR="004B64CF" w:rsidRPr="009B4A73" w:rsidRDefault="004B64CF" w:rsidP="00316679">
      <w:pPr>
        <w:spacing w:after="0" w:line="240" w:lineRule="auto"/>
        <w:ind w:left="426" w:right="8"/>
        <w:rPr>
          <w:sz w:val="22"/>
        </w:rPr>
      </w:pPr>
    </w:p>
    <w:p w14:paraId="60AB4FAD" w14:textId="624EEED9" w:rsidR="00D92EBC" w:rsidRPr="009B4A73" w:rsidRDefault="0078763F" w:rsidP="00316679">
      <w:pPr>
        <w:pStyle w:val="Heading1"/>
        <w:tabs>
          <w:tab w:val="left" w:pos="426"/>
        </w:tabs>
        <w:spacing w:after="0" w:line="240" w:lineRule="auto"/>
        <w:ind w:left="426" w:hanging="426"/>
        <w:rPr>
          <w:sz w:val="22"/>
        </w:rPr>
      </w:pPr>
      <w:r w:rsidRPr="009B4A73">
        <w:rPr>
          <w:sz w:val="22"/>
        </w:rPr>
        <w:t>3.</w:t>
      </w:r>
      <w:r w:rsidR="00855DA5" w:rsidRPr="009B4A73">
        <w:rPr>
          <w:rFonts w:eastAsia="Arial"/>
          <w:sz w:val="22"/>
        </w:rPr>
        <w:tab/>
      </w:r>
      <w:r w:rsidRPr="009B4A73">
        <w:rPr>
          <w:sz w:val="22"/>
        </w:rPr>
        <w:t>PHARMACEUTICAL FORM</w:t>
      </w:r>
    </w:p>
    <w:p w14:paraId="3AF1CDEC" w14:textId="77777777" w:rsidR="004B64CF" w:rsidRPr="009B4A73" w:rsidRDefault="004B64CF" w:rsidP="00316679">
      <w:pPr>
        <w:spacing w:after="0" w:line="240" w:lineRule="auto"/>
        <w:ind w:left="426"/>
        <w:rPr>
          <w:sz w:val="22"/>
        </w:rPr>
      </w:pPr>
    </w:p>
    <w:p w14:paraId="271C7AF6" w14:textId="08CC4EC8" w:rsidR="00D92EBC" w:rsidRPr="009B4A73" w:rsidRDefault="0078763F" w:rsidP="00316679">
      <w:pPr>
        <w:spacing w:after="0" w:line="240" w:lineRule="auto"/>
        <w:ind w:left="426" w:right="8"/>
        <w:rPr>
          <w:sz w:val="22"/>
        </w:rPr>
      </w:pPr>
      <w:r w:rsidRPr="009B4A73">
        <w:rPr>
          <w:sz w:val="22"/>
        </w:rPr>
        <w:t xml:space="preserve">Powder </w:t>
      </w:r>
      <w:r w:rsidR="00BB736A" w:rsidRPr="009B4A73">
        <w:rPr>
          <w:sz w:val="22"/>
        </w:rPr>
        <w:t xml:space="preserve">for </w:t>
      </w:r>
      <w:r w:rsidR="007D3439" w:rsidRPr="009B4A73">
        <w:rPr>
          <w:sz w:val="22"/>
        </w:rPr>
        <w:t>injection</w:t>
      </w:r>
      <w:r w:rsidR="00BB736A" w:rsidRPr="009B4A73">
        <w:rPr>
          <w:sz w:val="22"/>
        </w:rPr>
        <w:t xml:space="preserve"> </w:t>
      </w:r>
      <w:r w:rsidRPr="009B4A73">
        <w:rPr>
          <w:sz w:val="22"/>
        </w:rPr>
        <w:t xml:space="preserve">for </w:t>
      </w:r>
      <w:r w:rsidR="007D3439" w:rsidRPr="009B4A73">
        <w:rPr>
          <w:sz w:val="22"/>
        </w:rPr>
        <w:t>intravenous (</w:t>
      </w:r>
      <w:r w:rsidRPr="009B4A73">
        <w:rPr>
          <w:sz w:val="22"/>
        </w:rPr>
        <w:t>IV</w:t>
      </w:r>
      <w:r w:rsidR="007D3439" w:rsidRPr="009B4A73">
        <w:rPr>
          <w:sz w:val="22"/>
        </w:rPr>
        <w:t>)</w:t>
      </w:r>
      <w:r w:rsidRPr="009B4A73">
        <w:rPr>
          <w:sz w:val="22"/>
        </w:rPr>
        <w:t xml:space="preserve"> infusion.</w:t>
      </w:r>
    </w:p>
    <w:p w14:paraId="62ECCA1B" w14:textId="6A438B05" w:rsidR="004B64CF" w:rsidRPr="009B4A73" w:rsidRDefault="004B64CF" w:rsidP="00316679">
      <w:pPr>
        <w:spacing w:after="0" w:line="240" w:lineRule="auto"/>
        <w:ind w:left="426" w:right="8"/>
        <w:rPr>
          <w:sz w:val="22"/>
        </w:rPr>
      </w:pPr>
    </w:p>
    <w:p w14:paraId="0AA6046A" w14:textId="789790CC" w:rsidR="00D92EBC" w:rsidRPr="009B4A73" w:rsidRDefault="0078763F" w:rsidP="00316679">
      <w:pPr>
        <w:spacing w:after="0" w:line="240" w:lineRule="auto"/>
        <w:ind w:left="426" w:right="8"/>
        <w:rPr>
          <w:sz w:val="22"/>
        </w:rPr>
      </w:pPr>
      <w:r w:rsidRPr="009B4A73">
        <w:rPr>
          <w:sz w:val="22"/>
        </w:rPr>
        <w:t>Sterile, preservative-free lyophilized white to pale yellow powder</w:t>
      </w:r>
      <w:r w:rsidR="005F1964" w:rsidRPr="009B4A73">
        <w:rPr>
          <w:sz w:val="22"/>
        </w:rPr>
        <w:t xml:space="preserve"> </w:t>
      </w:r>
    </w:p>
    <w:p w14:paraId="2A3304DA" w14:textId="77777777" w:rsidR="004B64CF" w:rsidRPr="009B4A73" w:rsidRDefault="004B64CF" w:rsidP="00316679">
      <w:pPr>
        <w:spacing w:after="0" w:line="240" w:lineRule="auto"/>
        <w:ind w:left="426" w:right="8"/>
        <w:rPr>
          <w:sz w:val="22"/>
        </w:rPr>
      </w:pPr>
    </w:p>
    <w:p w14:paraId="16938EAA" w14:textId="77777777" w:rsidR="004B64CF" w:rsidRPr="009B4A73" w:rsidRDefault="004B64CF" w:rsidP="00316679">
      <w:pPr>
        <w:spacing w:after="0" w:line="240" w:lineRule="auto"/>
        <w:ind w:left="426"/>
        <w:rPr>
          <w:sz w:val="22"/>
        </w:rPr>
      </w:pPr>
    </w:p>
    <w:p w14:paraId="1CEE6F7D" w14:textId="27B021CE" w:rsidR="00D92EBC" w:rsidRPr="009B4A73" w:rsidRDefault="0078763F" w:rsidP="00316679">
      <w:pPr>
        <w:pStyle w:val="Heading1"/>
        <w:tabs>
          <w:tab w:val="left" w:pos="426"/>
        </w:tabs>
        <w:spacing w:after="0" w:line="240" w:lineRule="auto"/>
        <w:ind w:left="426" w:hanging="426"/>
        <w:rPr>
          <w:sz w:val="22"/>
        </w:rPr>
      </w:pPr>
      <w:r w:rsidRPr="009B4A73">
        <w:rPr>
          <w:sz w:val="22"/>
        </w:rPr>
        <w:t>4.</w:t>
      </w:r>
      <w:r w:rsidRPr="009B4A73">
        <w:rPr>
          <w:rFonts w:eastAsia="Arial"/>
          <w:sz w:val="22"/>
        </w:rPr>
        <w:t xml:space="preserve"> </w:t>
      </w:r>
      <w:r w:rsidR="00C8214A" w:rsidRPr="009B4A73">
        <w:rPr>
          <w:rFonts w:eastAsia="Arial"/>
          <w:sz w:val="22"/>
        </w:rPr>
        <w:tab/>
      </w:r>
      <w:r w:rsidRPr="009B4A73">
        <w:rPr>
          <w:sz w:val="22"/>
        </w:rPr>
        <w:t>CLINICAL PARTICULARS</w:t>
      </w:r>
    </w:p>
    <w:p w14:paraId="419FC072" w14:textId="77777777" w:rsidR="004B64CF" w:rsidRPr="009B4A73" w:rsidRDefault="004B64CF" w:rsidP="00316679">
      <w:pPr>
        <w:spacing w:after="0" w:line="240" w:lineRule="auto"/>
        <w:ind w:left="426"/>
        <w:rPr>
          <w:sz w:val="22"/>
        </w:rPr>
      </w:pPr>
    </w:p>
    <w:p w14:paraId="364DE522" w14:textId="0449AEA7" w:rsidR="00B809C6" w:rsidRPr="009B4A73" w:rsidRDefault="0078763F" w:rsidP="00316679">
      <w:pPr>
        <w:pStyle w:val="Heading1"/>
        <w:tabs>
          <w:tab w:val="left" w:pos="426"/>
        </w:tabs>
        <w:spacing w:after="0" w:line="240" w:lineRule="auto"/>
        <w:ind w:left="426" w:hanging="426"/>
        <w:rPr>
          <w:sz w:val="22"/>
        </w:rPr>
      </w:pPr>
      <w:r w:rsidRPr="009B4A73">
        <w:rPr>
          <w:sz w:val="22"/>
        </w:rPr>
        <w:t>4.1</w:t>
      </w:r>
      <w:r w:rsidRPr="009B4A73">
        <w:rPr>
          <w:rFonts w:eastAsia="Arial"/>
          <w:sz w:val="22"/>
        </w:rPr>
        <w:t xml:space="preserve"> </w:t>
      </w:r>
      <w:r w:rsidR="00C8214A" w:rsidRPr="009B4A73">
        <w:rPr>
          <w:rFonts w:eastAsia="Arial"/>
          <w:sz w:val="22"/>
        </w:rPr>
        <w:tab/>
      </w:r>
      <w:r w:rsidR="00A959D7" w:rsidRPr="009B4A73">
        <w:rPr>
          <w:sz w:val="22"/>
        </w:rPr>
        <w:t>Therapeutic indications</w:t>
      </w:r>
    </w:p>
    <w:p w14:paraId="1857BC27" w14:textId="77777777" w:rsidR="00B809C6" w:rsidRPr="009B4A73" w:rsidRDefault="00B809C6" w:rsidP="00316679">
      <w:pPr>
        <w:spacing w:after="0" w:line="240" w:lineRule="auto"/>
        <w:ind w:left="426"/>
        <w:rPr>
          <w:sz w:val="22"/>
        </w:rPr>
      </w:pPr>
    </w:p>
    <w:p w14:paraId="0237C4AA" w14:textId="6D8835D4" w:rsidR="00D92EBC" w:rsidRPr="009B4A73" w:rsidRDefault="0078763F" w:rsidP="00316679">
      <w:pPr>
        <w:pStyle w:val="Heading2"/>
        <w:spacing w:after="0" w:line="240" w:lineRule="auto"/>
        <w:ind w:left="426"/>
        <w:rPr>
          <w:b w:val="0"/>
          <w:bCs/>
          <w:sz w:val="22"/>
          <w:u w:val="single"/>
        </w:rPr>
      </w:pPr>
      <w:r w:rsidRPr="009B4A73">
        <w:rPr>
          <w:b w:val="0"/>
          <w:bCs/>
          <w:sz w:val="22"/>
          <w:u w:val="single"/>
        </w:rPr>
        <w:t xml:space="preserve">Early </w:t>
      </w:r>
      <w:r w:rsidR="00BB736A" w:rsidRPr="009B4A73">
        <w:rPr>
          <w:b w:val="0"/>
          <w:bCs/>
          <w:sz w:val="22"/>
          <w:u w:val="single"/>
        </w:rPr>
        <w:t>b</w:t>
      </w:r>
      <w:r w:rsidRPr="009B4A73">
        <w:rPr>
          <w:b w:val="0"/>
          <w:bCs/>
          <w:sz w:val="22"/>
          <w:u w:val="single"/>
        </w:rPr>
        <w:t xml:space="preserve">reast </w:t>
      </w:r>
      <w:r w:rsidR="00BB736A" w:rsidRPr="009B4A73">
        <w:rPr>
          <w:b w:val="0"/>
          <w:bCs/>
          <w:sz w:val="22"/>
          <w:u w:val="single"/>
        </w:rPr>
        <w:t>c</w:t>
      </w:r>
      <w:r w:rsidRPr="009B4A73">
        <w:rPr>
          <w:b w:val="0"/>
          <w:bCs/>
          <w:sz w:val="22"/>
          <w:u w:val="single"/>
        </w:rPr>
        <w:t>ancer</w:t>
      </w:r>
    </w:p>
    <w:p w14:paraId="1FF40763" w14:textId="77777777" w:rsidR="004B64CF" w:rsidRPr="009B4A73" w:rsidRDefault="004B64CF" w:rsidP="00316679">
      <w:pPr>
        <w:spacing w:after="0" w:line="240" w:lineRule="auto"/>
        <w:ind w:left="426"/>
        <w:rPr>
          <w:sz w:val="22"/>
        </w:rPr>
      </w:pPr>
    </w:p>
    <w:p w14:paraId="30804E5A" w14:textId="71994A2C" w:rsidR="00D92EBC" w:rsidRPr="009B4A73" w:rsidRDefault="0004515C" w:rsidP="00316679">
      <w:pPr>
        <w:spacing w:after="0" w:line="240" w:lineRule="auto"/>
        <w:ind w:left="426" w:right="8"/>
        <w:rPr>
          <w:sz w:val="22"/>
        </w:rPr>
      </w:pPr>
      <w:r w:rsidRPr="009B4A73">
        <w:rPr>
          <w:sz w:val="22"/>
        </w:rPr>
        <w:t>Trastucip</w:t>
      </w:r>
      <w:r w:rsidRPr="009B4A73" w:rsidDel="0004515C">
        <w:rPr>
          <w:sz w:val="22"/>
        </w:rPr>
        <w:t xml:space="preserve"> </w:t>
      </w:r>
      <w:r w:rsidR="0078763F" w:rsidRPr="009B4A73">
        <w:rPr>
          <w:sz w:val="22"/>
        </w:rPr>
        <w:t>is indicated for the treatment of HER2-positive early breast cancer following surgery, and in association with chemotherapy</w:t>
      </w:r>
      <w:r w:rsidR="0078763F" w:rsidRPr="009B4A73">
        <w:rPr>
          <w:i/>
          <w:sz w:val="22"/>
        </w:rPr>
        <w:t xml:space="preserve"> </w:t>
      </w:r>
      <w:r w:rsidR="0078763F" w:rsidRPr="009B4A73">
        <w:rPr>
          <w:sz w:val="22"/>
        </w:rPr>
        <w:t>and, if applicable, radiotherapy.</w:t>
      </w:r>
    </w:p>
    <w:p w14:paraId="06ED9A0D" w14:textId="77777777" w:rsidR="004B64CF" w:rsidRPr="009B4A73" w:rsidRDefault="004B64CF" w:rsidP="00316679">
      <w:pPr>
        <w:spacing w:after="0" w:line="240" w:lineRule="auto"/>
        <w:ind w:left="426" w:right="8"/>
        <w:rPr>
          <w:sz w:val="22"/>
        </w:rPr>
      </w:pPr>
    </w:p>
    <w:p w14:paraId="454AAD10" w14:textId="2190CF53" w:rsidR="00D92EBC" w:rsidRPr="009B4A73" w:rsidRDefault="0078763F" w:rsidP="00316679">
      <w:pPr>
        <w:pStyle w:val="Heading2"/>
        <w:spacing w:after="0" w:line="240" w:lineRule="auto"/>
        <w:ind w:left="426"/>
        <w:rPr>
          <w:b w:val="0"/>
          <w:bCs/>
          <w:sz w:val="22"/>
          <w:u w:val="single"/>
        </w:rPr>
      </w:pPr>
      <w:r w:rsidRPr="009B4A73">
        <w:rPr>
          <w:b w:val="0"/>
          <w:bCs/>
          <w:sz w:val="22"/>
          <w:u w:val="single"/>
        </w:rPr>
        <w:t xml:space="preserve">Locally </w:t>
      </w:r>
      <w:r w:rsidR="00BB736A" w:rsidRPr="009B4A73">
        <w:rPr>
          <w:b w:val="0"/>
          <w:bCs/>
          <w:sz w:val="22"/>
          <w:u w:val="single"/>
        </w:rPr>
        <w:t>a</w:t>
      </w:r>
      <w:r w:rsidRPr="009B4A73">
        <w:rPr>
          <w:b w:val="0"/>
          <w:bCs/>
          <w:sz w:val="22"/>
          <w:u w:val="single"/>
        </w:rPr>
        <w:t xml:space="preserve">dvanced </w:t>
      </w:r>
      <w:r w:rsidR="00BB736A" w:rsidRPr="009B4A73">
        <w:rPr>
          <w:b w:val="0"/>
          <w:bCs/>
          <w:sz w:val="22"/>
          <w:u w:val="single"/>
        </w:rPr>
        <w:t>b</w:t>
      </w:r>
      <w:r w:rsidRPr="009B4A73">
        <w:rPr>
          <w:b w:val="0"/>
          <w:bCs/>
          <w:sz w:val="22"/>
          <w:u w:val="single"/>
        </w:rPr>
        <w:t xml:space="preserve">reast </w:t>
      </w:r>
      <w:r w:rsidR="00BB736A" w:rsidRPr="009B4A73">
        <w:rPr>
          <w:b w:val="0"/>
          <w:bCs/>
          <w:sz w:val="22"/>
          <w:u w:val="single"/>
        </w:rPr>
        <w:t>c</w:t>
      </w:r>
      <w:r w:rsidRPr="009B4A73">
        <w:rPr>
          <w:b w:val="0"/>
          <w:bCs/>
          <w:sz w:val="22"/>
          <w:u w:val="single"/>
        </w:rPr>
        <w:t>ancer</w:t>
      </w:r>
    </w:p>
    <w:p w14:paraId="5AA44CB8" w14:textId="77777777" w:rsidR="004B64CF" w:rsidRPr="009B4A73" w:rsidRDefault="004B64CF" w:rsidP="00316679">
      <w:pPr>
        <w:spacing w:after="0" w:line="240" w:lineRule="auto"/>
        <w:ind w:left="426"/>
        <w:rPr>
          <w:sz w:val="22"/>
        </w:rPr>
      </w:pPr>
    </w:p>
    <w:p w14:paraId="5CDE0B8A" w14:textId="58250FF5" w:rsidR="00D92EBC" w:rsidRPr="009B4A73" w:rsidRDefault="0004515C" w:rsidP="00316679">
      <w:pPr>
        <w:spacing w:after="0" w:line="240" w:lineRule="auto"/>
        <w:ind w:left="426" w:right="8"/>
        <w:rPr>
          <w:sz w:val="22"/>
        </w:rPr>
      </w:pPr>
      <w:r w:rsidRPr="009B4A73">
        <w:rPr>
          <w:sz w:val="22"/>
        </w:rPr>
        <w:t>Trastucip</w:t>
      </w:r>
      <w:r w:rsidRPr="009B4A73" w:rsidDel="0004515C">
        <w:rPr>
          <w:sz w:val="22"/>
        </w:rPr>
        <w:t xml:space="preserve"> </w:t>
      </w:r>
      <w:r w:rsidR="0078763F" w:rsidRPr="009B4A73">
        <w:rPr>
          <w:sz w:val="22"/>
        </w:rPr>
        <w:t xml:space="preserve">is indicated for the treatment of HER2-positive locally advanced breast cancer in combination with neoadjuvant chemotherapy followed by adjuvant </w:t>
      </w:r>
      <w:r w:rsidRPr="009B4A73">
        <w:rPr>
          <w:sz w:val="22"/>
        </w:rPr>
        <w:t>Trastucip</w:t>
      </w:r>
      <w:r w:rsidR="0078763F" w:rsidRPr="009B4A73">
        <w:rPr>
          <w:sz w:val="22"/>
        </w:rPr>
        <w:t>.</w:t>
      </w:r>
    </w:p>
    <w:p w14:paraId="25EE1CBF" w14:textId="77777777" w:rsidR="004B64CF" w:rsidRPr="009B4A73" w:rsidRDefault="004B64CF" w:rsidP="00316679">
      <w:pPr>
        <w:spacing w:after="0" w:line="240" w:lineRule="auto"/>
        <w:ind w:left="426" w:right="8"/>
        <w:rPr>
          <w:bCs/>
          <w:sz w:val="22"/>
          <w:u w:val="single"/>
        </w:rPr>
      </w:pPr>
    </w:p>
    <w:p w14:paraId="13B1A24D" w14:textId="2095C762" w:rsidR="004B64CF" w:rsidRPr="009B4A73" w:rsidRDefault="0078763F" w:rsidP="00316679">
      <w:pPr>
        <w:pStyle w:val="Heading2"/>
        <w:spacing w:after="0" w:line="240" w:lineRule="auto"/>
        <w:ind w:left="426"/>
        <w:rPr>
          <w:b w:val="0"/>
          <w:bCs/>
          <w:sz w:val="22"/>
          <w:u w:val="single"/>
        </w:rPr>
      </w:pPr>
      <w:r w:rsidRPr="009B4A73">
        <w:rPr>
          <w:b w:val="0"/>
          <w:bCs/>
          <w:sz w:val="22"/>
          <w:u w:val="single"/>
        </w:rPr>
        <w:t xml:space="preserve">Metastatic </w:t>
      </w:r>
      <w:r w:rsidR="00BB736A" w:rsidRPr="009B4A73">
        <w:rPr>
          <w:b w:val="0"/>
          <w:bCs/>
          <w:sz w:val="22"/>
          <w:u w:val="single"/>
        </w:rPr>
        <w:t>b</w:t>
      </w:r>
      <w:r w:rsidRPr="009B4A73">
        <w:rPr>
          <w:b w:val="0"/>
          <w:bCs/>
          <w:sz w:val="22"/>
          <w:u w:val="single"/>
        </w:rPr>
        <w:t xml:space="preserve">reast </w:t>
      </w:r>
      <w:r w:rsidR="00BB736A" w:rsidRPr="009B4A73">
        <w:rPr>
          <w:b w:val="0"/>
          <w:bCs/>
          <w:sz w:val="22"/>
          <w:u w:val="single"/>
        </w:rPr>
        <w:t>c</w:t>
      </w:r>
      <w:r w:rsidRPr="009B4A73">
        <w:rPr>
          <w:b w:val="0"/>
          <w:bCs/>
          <w:sz w:val="22"/>
          <w:u w:val="single"/>
        </w:rPr>
        <w:t>ancer</w:t>
      </w:r>
    </w:p>
    <w:p w14:paraId="4D6D86F9" w14:textId="3AD18A41" w:rsidR="00D92EBC" w:rsidRPr="009B4A73" w:rsidRDefault="0078763F" w:rsidP="00316679">
      <w:pPr>
        <w:pStyle w:val="Heading2"/>
        <w:spacing w:after="0" w:line="240" w:lineRule="auto"/>
        <w:ind w:left="426"/>
        <w:rPr>
          <w:sz w:val="22"/>
        </w:rPr>
      </w:pPr>
      <w:r w:rsidRPr="009B4A73">
        <w:rPr>
          <w:sz w:val="22"/>
        </w:rPr>
        <w:t xml:space="preserve"> </w:t>
      </w:r>
    </w:p>
    <w:p w14:paraId="7DDFD020" w14:textId="1AE539B1" w:rsidR="00D92EBC" w:rsidRPr="009B4A73" w:rsidRDefault="0004515C" w:rsidP="00316679">
      <w:pPr>
        <w:spacing w:after="0" w:line="240" w:lineRule="auto"/>
        <w:ind w:left="426" w:right="8"/>
        <w:rPr>
          <w:sz w:val="22"/>
        </w:rPr>
      </w:pPr>
      <w:r w:rsidRPr="009B4A73">
        <w:rPr>
          <w:sz w:val="22"/>
        </w:rPr>
        <w:t>Trastucip</w:t>
      </w:r>
      <w:r w:rsidRPr="009B4A73" w:rsidDel="0004515C">
        <w:rPr>
          <w:sz w:val="22"/>
        </w:rPr>
        <w:t xml:space="preserve"> </w:t>
      </w:r>
      <w:r w:rsidR="0078763F" w:rsidRPr="009B4A73">
        <w:rPr>
          <w:sz w:val="22"/>
        </w:rPr>
        <w:t>is indicated for the treatment of patients with metastatic breast cancer who have tumours that overexpress HER2:</w:t>
      </w:r>
    </w:p>
    <w:p w14:paraId="013DD5C9" w14:textId="77777777" w:rsidR="00132AA4" w:rsidRPr="009B4A73" w:rsidRDefault="00132AA4" w:rsidP="00316679">
      <w:pPr>
        <w:spacing w:after="0" w:line="240" w:lineRule="auto"/>
        <w:ind w:left="426" w:right="8"/>
        <w:rPr>
          <w:sz w:val="22"/>
        </w:rPr>
      </w:pPr>
    </w:p>
    <w:p w14:paraId="0E405B62" w14:textId="64D91097" w:rsidR="00D92EBC" w:rsidRPr="009B4A73" w:rsidRDefault="0078763F" w:rsidP="00316679">
      <w:pPr>
        <w:numPr>
          <w:ilvl w:val="0"/>
          <w:numId w:val="1"/>
        </w:numPr>
        <w:spacing w:after="173" w:line="240" w:lineRule="auto"/>
        <w:ind w:left="709" w:right="8" w:hanging="283"/>
        <w:rPr>
          <w:sz w:val="22"/>
        </w:rPr>
      </w:pPr>
      <w:r w:rsidRPr="009B4A73">
        <w:rPr>
          <w:sz w:val="22"/>
        </w:rPr>
        <w:t xml:space="preserve">as monotherapy for the treatment of those patients who have received one or more chemotherapy regimens for their metastatic </w:t>
      </w:r>
      <w:proofErr w:type="gramStart"/>
      <w:r w:rsidRPr="009B4A73">
        <w:rPr>
          <w:sz w:val="22"/>
        </w:rPr>
        <w:t>disease;</w:t>
      </w:r>
      <w:proofErr w:type="gramEnd"/>
    </w:p>
    <w:p w14:paraId="55FE668A" w14:textId="1C600B55" w:rsidR="00D92EBC" w:rsidRPr="009B4A73" w:rsidRDefault="0078763F" w:rsidP="00316679">
      <w:pPr>
        <w:numPr>
          <w:ilvl w:val="0"/>
          <w:numId w:val="1"/>
        </w:numPr>
        <w:spacing w:after="172" w:line="240" w:lineRule="auto"/>
        <w:ind w:left="709" w:right="8" w:hanging="283"/>
        <w:rPr>
          <w:sz w:val="22"/>
        </w:rPr>
      </w:pPr>
      <w:r w:rsidRPr="009B4A73">
        <w:rPr>
          <w:sz w:val="22"/>
        </w:rPr>
        <w:t xml:space="preserve">in combination with </w:t>
      </w:r>
      <w:proofErr w:type="spellStart"/>
      <w:r w:rsidRPr="009B4A73">
        <w:rPr>
          <w:sz w:val="22"/>
        </w:rPr>
        <w:t>taxanes</w:t>
      </w:r>
      <w:proofErr w:type="spellEnd"/>
      <w:r w:rsidRPr="009B4A73">
        <w:rPr>
          <w:sz w:val="22"/>
        </w:rPr>
        <w:t xml:space="preserve"> for the treatment of those patients who have not received chemotherapy for their metastatic disease; or</w:t>
      </w:r>
    </w:p>
    <w:p w14:paraId="7E666D61" w14:textId="411E244C" w:rsidR="004B64CF" w:rsidRPr="009B4A73" w:rsidRDefault="0078763F" w:rsidP="00316679">
      <w:pPr>
        <w:numPr>
          <w:ilvl w:val="0"/>
          <w:numId w:val="1"/>
        </w:numPr>
        <w:spacing w:after="0" w:line="240" w:lineRule="auto"/>
        <w:ind w:left="709" w:right="8" w:hanging="283"/>
        <w:rPr>
          <w:sz w:val="22"/>
        </w:rPr>
      </w:pPr>
      <w:r w:rsidRPr="009B4A73">
        <w:rPr>
          <w:sz w:val="22"/>
        </w:rPr>
        <w:t>in combination with an aromatase inhibitor for the treatment of post-menopausal patients with hormone</w:t>
      </w:r>
      <w:r w:rsidR="009769ED" w:rsidRPr="009B4A73">
        <w:rPr>
          <w:sz w:val="22"/>
        </w:rPr>
        <w:t>-</w:t>
      </w:r>
      <w:r w:rsidRPr="009B4A73">
        <w:rPr>
          <w:sz w:val="22"/>
        </w:rPr>
        <w:t>receptor positive metastatic breast cancer</w:t>
      </w:r>
    </w:p>
    <w:p w14:paraId="5F652F6A" w14:textId="5137C30D" w:rsidR="00D92EBC" w:rsidRPr="009B4A73" w:rsidRDefault="0078763F" w:rsidP="007F61DE">
      <w:pPr>
        <w:keepNext/>
        <w:spacing w:after="0" w:line="240" w:lineRule="auto"/>
        <w:ind w:left="425" w:firstLine="0"/>
        <w:rPr>
          <w:sz w:val="22"/>
          <w:u w:val="single"/>
        </w:rPr>
      </w:pPr>
      <w:r w:rsidRPr="009B4A73">
        <w:rPr>
          <w:sz w:val="22"/>
          <w:u w:val="single"/>
        </w:rPr>
        <w:lastRenderedPageBreak/>
        <w:t xml:space="preserve">Advanced </w:t>
      </w:r>
      <w:r w:rsidR="00BB736A" w:rsidRPr="009B4A73">
        <w:rPr>
          <w:sz w:val="22"/>
          <w:u w:val="single"/>
        </w:rPr>
        <w:t>g</w:t>
      </w:r>
      <w:r w:rsidRPr="009B4A73">
        <w:rPr>
          <w:sz w:val="22"/>
          <w:u w:val="single"/>
        </w:rPr>
        <w:t xml:space="preserve">astric </w:t>
      </w:r>
      <w:r w:rsidR="00BB736A" w:rsidRPr="009B4A73">
        <w:rPr>
          <w:sz w:val="22"/>
          <w:u w:val="single"/>
        </w:rPr>
        <w:t>c</w:t>
      </w:r>
      <w:r w:rsidRPr="009B4A73">
        <w:rPr>
          <w:sz w:val="22"/>
          <w:u w:val="single"/>
        </w:rPr>
        <w:t>ancer</w:t>
      </w:r>
    </w:p>
    <w:p w14:paraId="08D7FCBE" w14:textId="77777777" w:rsidR="004B64CF" w:rsidRPr="009B4A73" w:rsidRDefault="004B64CF" w:rsidP="007F61DE">
      <w:pPr>
        <w:keepNext/>
        <w:spacing w:after="0" w:line="240" w:lineRule="auto"/>
        <w:ind w:left="425"/>
        <w:rPr>
          <w:sz w:val="22"/>
        </w:rPr>
      </w:pPr>
    </w:p>
    <w:p w14:paraId="47D8D6C4" w14:textId="2FA0A3E8" w:rsidR="00D92EBC" w:rsidRPr="009B4A73" w:rsidRDefault="0004515C" w:rsidP="00316679">
      <w:pPr>
        <w:spacing w:after="0" w:line="240" w:lineRule="auto"/>
        <w:ind w:left="426" w:right="8"/>
        <w:rPr>
          <w:sz w:val="22"/>
        </w:rPr>
      </w:pPr>
      <w:r w:rsidRPr="009B4A73">
        <w:rPr>
          <w:sz w:val="22"/>
        </w:rPr>
        <w:t>Trastucip</w:t>
      </w:r>
      <w:r w:rsidRPr="009B4A73" w:rsidDel="0004515C">
        <w:rPr>
          <w:sz w:val="22"/>
        </w:rPr>
        <w:t xml:space="preserve"> </w:t>
      </w:r>
      <w:r w:rsidR="0078763F" w:rsidRPr="009B4A73">
        <w:rPr>
          <w:sz w:val="22"/>
        </w:rPr>
        <w:t>is indicated in combination with cisplatin and either capecitabine or 5-FU for the treatment of patients with HER2 positive advanced adenocarcinoma of the stomach or gastro-oesophageal junction who have not received prior anti-cancer treatment for their metastatic disease</w:t>
      </w:r>
      <w:r w:rsidR="001B4427" w:rsidRPr="009B4A73">
        <w:rPr>
          <w:sz w:val="22"/>
        </w:rPr>
        <w:t>.</w:t>
      </w:r>
    </w:p>
    <w:p w14:paraId="50C350BD" w14:textId="77777777" w:rsidR="004B64CF" w:rsidRPr="009B4A73" w:rsidRDefault="004B64CF" w:rsidP="00316679">
      <w:pPr>
        <w:spacing w:after="0" w:line="240" w:lineRule="auto"/>
        <w:ind w:left="426" w:right="8"/>
        <w:rPr>
          <w:sz w:val="22"/>
        </w:rPr>
      </w:pPr>
    </w:p>
    <w:p w14:paraId="64B3EE33" w14:textId="1A49C813" w:rsidR="00D92EBC" w:rsidRPr="009B4A73" w:rsidRDefault="0078763F" w:rsidP="00391329">
      <w:pPr>
        <w:pStyle w:val="Heading1"/>
        <w:tabs>
          <w:tab w:val="left" w:pos="426"/>
        </w:tabs>
        <w:spacing w:after="0" w:line="240" w:lineRule="auto"/>
        <w:ind w:left="426" w:hanging="426"/>
        <w:rPr>
          <w:sz w:val="22"/>
        </w:rPr>
      </w:pPr>
      <w:r w:rsidRPr="009B4A73">
        <w:rPr>
          <w:sz w:val="22"/>
        </w:rPr>
        <w:t>4.2</w:t>
      </w:r>
      <w:r w:rsidR="00855DA5" w:rsidRPr="009B4A73">
        <w:rPr>
          <w:rFonts w:eastAsia="Arial"/>
          <w:sz w:val="22"/>
        </w:rPr>
        <w:tab/>
      </w:r>
      <w:r w:rsidR="00A959D7" w:rsidRPr="009B4A73">
        <w:rPr>
          <w:sz w:val="22"/>
        </w:rPr>
        <w:t>Dose and method of administration</w:t>
      </w:r>
    </w:p>
    <w:p w14:paraId="6217DFE2" w14:textId="77777777" w:rsidR="004B64CF" w:rsidRPr="009B4A73" w:rsidRDefault="004B64CF" w:rsidP="00316679">
      <w:pPr>
        <w:spacing w:after="0" w:line="240" w:lineRule="auto"/>
        <w:ind w:left="426"/>
        <w:rPr>
          <w:sz w:val="22"/>
        </w:rPr>
      </w:pPr>
    </w:p>
    <w:p w14:paraId="65C601ED" w14:textId="27C7523F" w:rsidR="00D92EBC" w:rsidRPr="009B4A73" w:rsidRDefault="0078763F" w:rsidP="00316679">
      <w:pPr>
        <w:spacing w:after="0" w:line="240" w:lineRule="auto"/>
        <w:ind w:left="426" w:right="8"/>
        <w:rPr>
          <w:sz w:val="22"/>
        </w:rPr>
      </w:pPr>
      <w:r w:rsidRPr="009B4A73">
        <w:rPr>
          <w:sz w:val="22"/>
        </w:rPr>
        <w:t xml:space="preserve">HER2 testing is mandatory prior to initiation of </w:t>
      </w:r>
      <w:r w:rsidR="0004515C" w:rsidRPr="009B4A73">
        <w:rPr>
          <w:sz w:val="22"/>
        </w:rPr>
        <w:t>Trastucip</w:t>
      </w:r>
      <w:r w:rsidR="0004515C" w:rsidRPr="009B4A73" w:rsidDel="0004515C">
        <w:rPr>
          <w:sz w:val="22"/>
        </w:rPr>
        <w:t xml:space="preserve"> </w:t>
      </w:r>
      <w:r w:rsidRPr="009B4A73">
        <w:rPr>
          <w:sz w:val="22"/>
        </w:rPr>
        <w:t xml:space="preserve">therapy (see below Detection of HER2 </w:t>
      </w:r>
      <w:r w:rsidR="009769ED" w:rsidRPr="009B4A73">
        <w:rPr>
          <w:sz w:val="22"/>
        </w:rPr>
        <w:t>p</w:t>
      </w:r>
      <w:r w:rsidRPr="009B4A73">
        <w:rPr>
          <w:sz w:val="22"/>
        </w:rPr>
        <w:t xml:space="preserve">rotein </w:t>
      </w:r>
      <w:r w:rsidR="009769ED" w:rsidRPr="009B4A73">
        <w:rPr>
          <w:sz w:val="22"/>
        </w:rPr>
        <w:t>o</w:t>
      </w:r>
      <w:r w:rsidRPr="009B4A73">
        <w:rPr>
          <w:sz w:val="22"/>
        </w:rPr>
        <w:t xml:space="preserve">verexpression and </w:t>
      </w:r>
      <w:r w:rsidR="009769ED" w:rsidRPr="009B4A73">
        <w:rPr>
          <w:sz w:val="22"/>
        </w:rPr>
        <w:t>g</w:t>
      </w:r>
      <w:r w:rsidRPr="009B4A73">
        <w:rPr>
          <w:sz w:val="22"/>
        </w:rPr>
        <w:t xml:space="preserve">ene </w:t>
      </w:r>
      <w:r w:rsidR="009769ED" w:rsidRPr="009B4A73">
        <w:rPr>
          <w:sz w:val="22"/>
        </w:rPr>
        <w:t>a</w:t>
      </w:r>
      <w:r w:rsidRPr="009B4A73">
        <w:rPr>
          <w:sz w:val="22"/>
        </w:rPr>
        <w:t>mplification).</w:t>
      </w:r>
    </w:p>
    <w:p w14:paraId="7844D469" w14:textId="78345706" w:rsidR="00D92EBC" w:rsidRPr="009B4A73" w:rsidRDefault="00D92EBC" w:rsidP="00316679">
      <w:pPr>
        <w:spacing w:after="0" w:line="240" w:lineRule="auto"/>
        <w:ind w:left="426" w:firstLine="0"/>
        <w:rPr>
          <w:sz w:val="22"/>
        </w:rPr>
      </w:pPr>
    </w:p>
    <w:p w14:paraId="0395AEE4" w14:textId="745D7F3D" w:rsidR="00D92EBC" w:rsidRPr="009B4A73" w:rsidRDefault="0078763F" w:rsidP="00316679">
      <w:pPr>
        <w:pStyle w:val="Heading2"/>
        <w:spacing w:after="0" w:line="240" w:lineRule="auto"/>
        <w:ind w:left="426"/>
        <w:rPr>
          <w:b w:val="0"/>
          <w:bCs/>
          <w:i/>
          <w:sz w:val="22"/>
          <w:u w:val="single"/>
        </w:rPr>
      </w:pPr>
      <w:r w:rsidRPr="009B4A73">
        <w:rPr>
          <w:b w:val="0"/>
          <w:bCs/>
          <w:sz w:val="22"/>
          <w:u w:val="single"/>
        </w:rPr>
        <w:t xml:space="preserve">Detection of HER2 </w:t>
      </w:r>
      <w:r w:rsidR="006716C4" w:rsidRPr="009B4A73">
        <w:rPr>
          <w:b w:val="0"/>
          <w:bCs/>
          <w:sz w:val="22"/>
          <w:u w:val="single"/>
        </w:rPr>
        <w:t>p</w:t>
      </w:r>
      <w:r w:rsidRPr="009B4A73">
        <w:rPr>
          <w:b w:val="0"/>
          <w:bCs/>
          <w:sz w:val="22"/>
          <w:u w:val="single"/>
        </w:rPr>
        <w:t xml:space="preserve">rotein </w:t>
      </w:r>
      <w:r w:rsidR="006716C4" w:rsidRPr="009B4A73">
        <w:rPr>
          <w:b w:val="0"/>
          <w:bCs/>
          <w:sz w:val="22"/>
          <w:u w:val="single"/>
        </w:rPr>
        <w:t>o</w:t>
      </w:r>
      <w:r w:rsidRPr="009B4A73">
        <w:rPr>
          <w:b w:val="0"/>
          <w:bCs/>
          <w:sz w:val="22"/>
          <w:u w:val="single"/>
        </w:rPr>
        <w:t xml:space="preserve">verexpression or HER2 </w:t>
      </w:r>
      <w:r w:rsidR="006716C4" w:rsidRPr="009B4A73">
        <w:rPr>
          <w:b w:val="0"/>
          <w:bCs/>
          <w:sz w:val="22"/>
          <w:u w:val="single"/>
        </w:rPr>
        <w:t>g</w:t>
      </w:r>
      <w:r w:rsidRPr="009B4A73">
        <w:rPr>
          <w:b w:val="0"/>
          <w:bCs/>
          <w:sz w:val="22"/>
          <w:u w:val="single"/>
        </w:rPr>
        <w:t xml:space="preserve">ene </w:t>
      </w:r>
      <w:r w:rsidR="006716C4" w:rsidRPr="009B4A73">
        <w:rPr>
          <w:b w:val="0"/>
          <w:bCs/>
          <w:sz w:val="22"/>
          <w:u w:val="single"/>
        </w:rPr>
        <w:t>a</w:t>
      </w:r>
      <w:r w:rsidRPr="009B4A73">
        <w:rPr>
          <w:b w:val="0"/>
          <w:bCs/>
          <w:sz w:val="22"/>
          <w:u w:val="single"/>
        </w:rPr>
        <w:t>mplification</w:t>
      </w:r>
    </w:p>
    <w:p w14:paraId="74380D3B" w14:textId="77777777" w:rsidR="004B64CF" w:rsidRPr="009B4A73" w:rsidRDefault="004B64CF" w:rsidP="00316679">
      <w:pPr>
        <w:spacing w:after="0" w:line="240" w:lineRule="auto"/>
        <w:ind w:left="426"/>
        <w:rPr>
          <w:sz w:val="22"/>
        </w:rPr>
      </w:pPr>
    </w:p>
    <w:p w14:paraId="2063264A" w14:textId="4E086620" w:rsidR="00D92EBC" w:rsidRPr="009B4A73" w:rsidRDefault="0004515C" w:rsidP="00316679">
      <w:pPr>
        <w:spacing w:after="0" w:line="240" w:lineRule="auto"/>
        <w:ind w:left="426" w:right="8"/>
        <w:rPr>
          <w:sz w:val="22"/>
        </w:rPr>
      </w:pPr>
      <w:r w:rsidRPr="009B4A73">
        <w:rPr>
          <w:sz w:val="22"/>
        </w:rPr>
        <w:t>Trastucip</w:t>
      </w:r>
      <w:r w:rsidRPr="009B4A73" w:rsidDel="0004515C">
        <w:rPr>
          <w:sz w:val="22"/>
        </w:rPr>
        <w:t xml:space="preserve"> </w:t>
      </w:r>
      <w:r w:rsidR="0078763F" w:rsidRPr="009B4A73">
        <w:rPr>
          <w:sz w:val="22"/>
        </w:rPr>
        <w:t>should only be used in patients whose tumours have HER2 protein overexpression or HER2 gene amplification.</w:t>
      </w:r>
    </w:p>
    <w:p w14:paraId="00DF7C67" w14:textId="77777777" w:rsidR="004B64CF" w:rsidRPr="009B4A73" w:rsidRDefault="004B64CF" w:rsidP="00316679">
      <w:pPr>
        <w:spacing w:after="0" w:line="240" w:lineRule="auto"/>
        <w:ind w:left="426" w:right="8"/>
        <w:rPr>
          <w:sz w:val="22"/>
        </w:rPr>
      </w:pPr>
    </w:p>
    <w:p w14:paraId="16C0A6F9" w14:textId="2634314B" w:rsidR="00D92EBC" w:rsidRPr="009B4A73" w:rsidRDefault="0078763F" w:rsidP="00316679">
      <w:pPr>
        <w:spacing w:after="0" w:line="240" w:lineRule="auto"/>
        <w:ind w:left="426" w:right="8"/>
        <w:rPr>
          <w:sz w:val="22"/>
        </w:rPr>
      </w:pPr>
      <w:r w:rsidRPr="009B4A73">
        <w:rPr>
          <w:sz w:val="22"/>
        </w:rPr>
        <w:t>To ensure accurate and reproducible results, testing must be performed in a specialized laboratory, which can ensure validation of the testing procedures.</w:t>
      </w:r>
    </w:p>
    <w:p w14:paraId="52752481" w14:textId="77777777" w:rsidR="004B64CF" w:rsidRPr="009B4A73" w:rsidRDefault="004B64CF" w:rsidP="00316679">
      <w:pPr>
        <w:spacing w:after="0" w:line="240" w:lineRule="auto"/>
        <w:ind w:left="426" w:right="8"/>
        <w:rPr>
          <w:sz w:val="22"/>
        </w:rPr>
      </w:pPr>
    </w:p>
    <w:p w14:paraId="77D259DF" w14:textId="78D6AB4E" w:rsidR="00D92EBC" w:rsidRPr="009B4A73" w:rsidRDefault="0078763F" w:rsidP="00316679">
      <w:pPr>
        <w:spacing w:after="0" w:line="240" w:lineRule="auto"/>
        <w:ind w:left="426" w:right="8"/>
        <w:rPr>
          <w:sz w:val="22"/>
        </w:rPr>
      </w:pPr>
      <w:r w:rsidRPr="009B4A73">
        <w:rPr>
          <w:sz w:val="22"/>
        </w:rPr>
        <w:t>HER2 protein overexpression should be detected using an immunohistochemistry (IHC)-based assessment of fixed tumour blocks. HER2 gene amplification should be detected using in situ hybridization (ISH) of fixed tumour blocks. Examples of ISH include fluorescence in situ hybridization (FISH), chromogenic in situ hybridization (CISH) and silver in situ hybridization (SISH).</w:t>
      </w:r>
    </w:p>
    <w:p w14:paraId="51F91802" w14:textId="77777777" w:rsidR="004B64CF" w:rsidRPr="009B4A73" w:rsidRDefault="004B64CF" w:rsidP="00316679">
      <w:pPr>
        <w:spacing w:after="0" w:line="240" w:lineRule="auto"/>
        <w:ind w:left="426" w:right="8"/>
        <w:rPr>
          <w:sz w:val="22"/>
        </w:rPr>
      </w:pPr>
    </w:p>
    <w:p w14:paraId="5BCEC1C9" w14:textId="4D5BA371" w:rsidR="00D92EBC" w:rsidRPr="009B4A73" w:rsidRDefault="0078763F" w:rsidP="00316679">
      <w:pPr>
        <w:spacing w:after="0" w:line="240" w:lineRule="auto"/>
        <w:ind w:left="426" w:right="8" w:firstLine="0"/>
        <w:rPr>
          <w:sz w:val="22"/>
        </w:rPr>
      </w:pPr>
      <w:r w:rsidRPr="009B4A73">
        <w:rPr>
          <w:sz w:val="22"/>
        </w:rPr>
        <w:t>For any other method to be used for the assessment of HER2 protein or gene expression, the test method must be precise and accurate enough to demonstrate overexpression of HER2 (it must be able to distinguish between moderate (congruent with 2+) and strong (congruent with 3+) HER2 overexpression).</w:t>
      </w:r>
    </w:p>
    <w:p w14:paraId="10B9113E" w14:textId="77777777" w:rsidR="004B64CF" w:rsidRPr="009B4A73" w:rsidRDefault="004B64CF" w:rsidP="00316679">
      <w:pPr>
        <w:spacing w:after="0" w:line="240" w:lineRule="auto"/>
        <w:ind w:left="426" w:right="8"/>
        <w:rPr>
          <w:sz w:val="22"/>
        </w:rPr>
      </w:pPr>
    </w:p>
    <w:p w14:paraId="25ED2CF0" w14:textId="18657BEB" w:rsidR="00D92EBC" w:rsidRPr="009B4A73" w:rsidRDefault="0078763F" w:rsidP="00316679">
      <w:pPr>
        <w:spacing w:after="0" w:line="240" w:lineRule="auto"/>
        <w:ind w:left="426" w:right="8"/>
        <w:rPr>
          <w:sz w:val="22"/>
        </w:rPr>
      </w:pPr>
      <w:r w:rsidRPr="009B4A73">
        <w:rPr>
          <w:sz w:val="22"/>
        </w:rPr>
        <w:t>For full instructions on the use of these assays and interpretation of the results please refer to the package inserts of validated FISH, CISH and SISH assays. Official recommendations on HER2 testing may also apply.</w:t>
      </w:r>
    </w:p>
    <w:p w14:paraId="2A681058" w14:textId="77777777" w:rsidR="004B64CF" w:rsidRPr="009B4A73" w:rsidRDefault="004B64CF" w:rsidP="00316679">
      <w:pPr>
        <w:spacing w:after="0" w:line="240" w:lineRule="auto"/>
        <w:ind w:left="426" w:right="6" w:hanging="11"/>
        <w:rPr>
          <w:sz w:val="22"/>
        </w:rPr>
      </w:pPr>
    </w:p>
    <w:p w14:paraId="16E1C2C4" w14:textId="60C92B2F" w:rsidR="00D92EBC" w:rsidRPr="009B4A73" w:rsidRDefault="0078763F" w:rsidP="00316679">
      <w:pPr>
        <w:pStyle w:val="Heading3"/>
        <w:spacing w:after="0" w:line="240" w:lineRule="auto"/>
        <w:ind w:left="426" w:right="1296"/>
        <w:rPr>
          <w:i/>
          <w:iCs/>
          <w:sz w:val="22"/>
          <w:u w:val="none"/>
        </w:rPr>
      </w:pPr>
      <w:r w:rsidRPr="009B4A73">
        <w:rPr>
          <w:i/>
          <w:iCs/>
          <w:sz w:val="22"/>
        </w:rPr>
        <w:t xml:space="preserve">Breast </w:t>
      </w:r>
      <w:r w:rsidR="006716C4" w:rsidRPr="009B4A73">
        <w:rPr>
          <w:i/>
          <w:iCs/>
          <w:sz w:val="22"/>
        </w:rPr>
        <w:t>c</w:t>
      </w:r>
      <w:r w:rsidRPr="009B4A73">
        <w:rPr>
          <w:i/>
          <w:iCs/>
          <w:sz w:val="22"/>
        </w:rPr>
        <w:t>ancer</w:t>
      </w:r>
    </w:p>
    <w:p w14:paraId="43C33396" w14:textId="77777777" w:rsidR="004B64CF" w:rsidRPr="009B4A73" w:rsidRDefault="004B64CF" w:rsidP="00316679">
      <w:pPr>
        <w:spacing w:after="0" w:line="240" w:lineRule="auto"/>
        <w:ind w:left="426" w:hanging="11"/>
        <w:rPr>
          <w:sz w:val="22"/>
        </w:rPr>
      </w:pPr>
    </w:p>
    <w:p w14:paraId="6DF988EE" w14:textId="24558697" w:rsidR="00D92EBC" w:rsidRPr="009B4A73" w:rsidRDefault="0004515C" w:rsidP="00316679">
      <w:pPr>
        <w:spacing w:after="0" w:line="240" w:lineRule="auto"/>
        <w:ind w:left="426" w:right="8"/>
        <w:rPr>
          <w:sz w:val="22"/>
        </w:rPr>
      </w:pPr>
      <w:r w:rsidRPr="009B4A73">
        <w:rPr>
          <w:sz w:val="22"/>
        </w:rPr>
        <w:t>Trastucip</w:t>
      </w:r>
      <w:r w:rsidRPr="009B4A73" w:rsidDel="0004515C">
        <w:rPr>
          <w:sz w:val="22"/>
        </w:rPr>
        <w:t xml:space="preserve"> </w:t>
      </w:r>
      <w:r w:rsidR="0078763F" w:rsidRPr="009B4A73">
        <w:rPr>
          <w:sz w:val="22"/>
        </w:rPr>
        <w:t>treatment is only appropriate if there is strong HER2 overexpression, as described by a 3+ score by IHC or a positive ISH result. For patients with an intensity score of 2+ on IHC, confirmation of HER2 positive status by ISH is mandatory.</w:t>
      </w:r>
    </w:p>
    <w:p w14:paraId="4E944D83" w14:textId="77777777" w:rsidR="004B64CF" w:rsidRPr="009B4A73" w:rsidRDefault="004B64CF" w:rsidP="00316679">
      <w:pPr>
        <w:spacing w:after="0" w:line="240" w:lineRule="auto"/>
        <w:ind w:left="426" w:right="8"/>
        <w:rPr>
          <w:sz w:val="22"/>
        </w:rPr>
      </w:pPr>
    </w:p>
    <w:p w14:paraId="1907075A" w14:textId="1D7DDE17" w:rsidR="00D92EBC" w:rsidRPr="009B4A73" w:rsidRDefault="0078763F" w:rsidP="00316679">
      <w:pPr>
        <w:pStyle w:val="Heading3"/>
        <w:spacing w:after="0" w:line="240" w:lineRule="auto"/>
        <w:ind w:left="426" w:right="1296"/>
        <w:rPr>
          <w:i/>
          <w:iCs/>
          <w:sz w:val="22"/>
          <w:u w:val="none"/>
        </w:rPr>
      </w:pPr>
      <w:r w:rsidRPr="009B4A73">
        <w:rPr>
          <w:i/>
          <w:iCs/>
          <w:sz w:val="22"/>
        </w:rPr>
        <w:t xml:space="preserve">Advanced </w:t>
      </w:r>
      <w:r w:rsidR="006716C4" w:rsidRPr="009B4A73">
        <w:rPr>
          <w:i/>
          <w:iCs/>
          <w:sz w:val="22"/>
        </w:rPr>
        <w:t>g</w:t>
      </w:r>
      <w:r w:rsidRPr="009B4A73">
        <w:rPr>
          <w:i/>
          <w:iCs/>
          <w:sz w:val="22"/>
        </w:rPr>
        <w:t xml:space="preserve">astric </w:t>
      </w:r>
      <w:r w:rsidR="006716C4" w:rsidRPr="009B4A73">
        <w:rPr>
          <w:i/>
          <w:iCs/>
          <w:sz w:val="22"/>
        </w:rPr>
        <w:t>c</w:t>
      </w:r>
      <w:r w:rsidRPr="009B4A73">
        <w:rPr>
          <w:i/>
          <w:iCs/>
          <w:sz w:val="22"/>
        </w:rPr>
        <w:t>ancer</w:t>
      </w:r>
    </w:p>
    <w:p w14:paraId="64322DD7" w14:textId="77777777" w:rsidR="004B64CF" w:rsidRPr="009B4A73" w:rsidRDefault="004B64CF" w:rsidP="00316679">
      <w:pPr>
        <w:spacing w:after="0" w:line="240" w:lineRule="auto"/>
        <w:ind w:left="426"/>
        <w:rPr>
          <w:sz w:val="22"/>
        </w:rPr>
      </w:pPr>
    </w:p>
    <w:p w14:paraId="687740DC" w14:textId="5C63F290" w:rsidR="00D92EBC" w:rsidRPr="009B4A73" w:rsidRDefault="0004515C" w:rsidP="00302386">
      <w:pPr>
        <w:spacing w:after="11" w:line="240" w:lineRule="auto"/>
        <w:ind w:left="426" w:right="8"/>
        <w:rPr>
          <w:sz w:val="22"/>
        </w:rPr>
      </w:pPr>
      <w:r w:rsidRPr="009B4A73">
        <w:rPr>
          <w:sz w:val="22"/>
        </w:rPr>
        <w:t>Trastucip</w:t>
      </w:r>
      <w:r w:rsidRPr="009B4A73" w:rsidDel="0004515C">
        <w:rPr>
          <w:sz w:val="22"/>
        </w:rPr>
        <w:t xml:space="preserve"> </w:t>
      </w:r>
      <w:r w:rsidR="0078763F" w:rsidRPr="009B4A73">
        <w:rPr>
          <w:sz w:val="22"/>
        </w:rPr>
        <w:t>treatment is only appropriate if there is HER2 overexpression, as described by a 3+ IHC score.</w:t>
      </w:r>
      <w:r w:rsidR="00302386" w:rsidRPr="009B4A73">
        <w:rPr>
          <w:sz w:val="22"/>
        </w:rPr>
        <w:t xml:space="preserve"> </w:t>
      </w:r>
      <w:r w:rsidR="0078763F" w:rsidRPr="009B4A73">
        <w:rPr>
          <w:sz w:val="22"/>
        </w:rPr>
        <w:t>For cases with a score of less than 3+ by IHC, confirmation of HER2 positive status by ISH is mandatory.</w:t>
      </w:r>
    </w:p>
    <w:p w14:paraId="78664D09" w14:textId="77777777" w:rsidR="004B64CF" w:rsidRPr="009B4A73" w:rsidRDefault="004B64CF" w:rsidP="00316679">
      <w:pPr>
        <w:spacing w:after="0" w:line="240" w:lineRule="auto"/>
        <w:ind w:left="426" w:right="6" w:hanging="11"/>
        <w:rPr>
          <w:sz w:val="22"/>
        </w:rPr>
      </w:pPr>
    </w:p>
    <w:p w14:paraId="42001A4E" w14:textId="0E9A57BE" w:rsidR="00D92EBC" w:rsidRPr="009B4A73" w:rsidRDefault="0078763F" w:rsidP="00316679">
      <w:pPr>
        <w:spacing w:after="0" w:line="240" w:lineRule="auto"/>
        <w:ind w:left="426" w:right="8"/>
        <w:rPr>
          <w:sz w:val="22"/>
        </w:rPr>
      </w:pPr>
      <w:r w:rsidRPr="009B4A73">
        <w:rPr>
          <w:sz w:val="22"/>
        </w:rPr>
        <w:t>Bright-field ISH technology is recommended for advanced gastric cancer samples to enable evaluation of tumour histology and morphology in parallel. Either FISH or SISH are recommended for detecting HER2 gene amplification in advanced gastric cancer tissue.</w:t>
      </w:r>
    </w:p>
    <w:p w14:paraId="10B154FC" w14:textId="77777777" w:rsidR="004B64CF" w:rsidRPr="009B4A73" w:rsidRDefault="004B64CF" w:rsidP="00316679">
      <w:pPr>
        <w:spacing w:after="0" w:line="240" w:lineRule="auto"/>
        <w:ind w:left="426" w:right="6" w:hanging="11"/>
        <w:rPr>
          <w:bCs/>
          <w:sz w:val="22"/>
          <w:u w:val="single"/>
        </w:rPr>
      </w:pPr>
    </w:p>
    <w:p w14:paraId="18FDE8C5" w14:textId="53843732" w:rsidR="00D92EBC" w:rsidRPr="009B4A73" w:rsidRDefault="0078763F" w:rsidP="00316679">
      <w:pPr>
        <w:pStyle w:val="Heading2"/>
        <w:spacing w:after="0" w:line="240" w:lineRule="auto"/>
        <w:ind w:left="426"/>
        <w:rPr>
          <w:b w:val="0"/>
          <w:bCs/>
          <w:sz w:val="22"/>
          <w:u w:val="single"/>
        </w:rPr>
      </w:pPr>
      <w:r w:rsidRPr="009B4A73">
        <w:rPr>
          <w:b w:val="0"/>
          <w:bCs/>
          <w:sz w:val="22"/>
          <w:u w:val="single"/>
        </w:rPr>
        <w:t>General</w:t>
      </w:r>
    </w:p>
    <w:p w14:paraId="2F34655C" w14:textId="77777777" w:rsidR="004B64CF" w:rsidRPr="009B4A73" w:rsidRDefault="004B64CF" w:rsidP="00316679">
      <w:pPr>
        <w:spacing w:after="0" w:line="240" w:lineRule="auto"/>
        <w:ind w:left="426"/>
        <w:rPr>
          <w:sz w:val="22"/>
        </w:rPr>
      </w:pPr>
    </w:p>
    <w:p w14:paraId="5FD79D83" w14:textId="53D8BE63" w:rsidR="00D92EBC" w:rsidRPr="009B4A73" w:rsidRDefault="0078763F" w:rsidP="00316679">
      <w:pPr>
        <w:spacing w:after="0" w:line="240" w:lineRule="auto"/>
        <w:ind w:left="426" w:right="8"/>
        <w:rPr>
          <w:sz w:val="22"/>
        </w:rPr>
      </w:pPr>
      <w:proofErr w:type="gramStart"/>
      <w:r w:rsidRPr="009B4A73">
        <w:rPr>
          <w:sz w:val="22"/>
        </w:rPr>
        <w:t>In order to</w:t>
      </w:r>
      <w:proofErr w:type="gramEnd"/>
      <w:r w:rsidRPr="009B4A73">
        <w:rPr>
          <w:sz w:val="22"/>
        </w:rPr>
        <w:t xml:space="preserve"> prevent medication errors, it is important to check the vial labels to ensure the medicine being prepared and administered is trastuzumab and not trastuzumab emtansine</w:t>
      </w:r>
      <w:r w:rsidR="00302386" w:rsidRPr="009B4A73">
        <w:rPr>
          <w:sz w:val="22"/>
        </w:rPr>
        <w:t>.</w:t>
      </w:r>
    </w:p>
    <w:p w14:paraId="7CE1D71A" w14:textId="77777777" w:rsidR="004B64CF" w:rsidRPr="009B4A73" w:rsidRDefault="004B64CF" w:rsidP="00316679">
      <w:pPr>
        <w:spacing w:after="0" w:line="240" w:lineRule="auto"/>
        <w:ind w:left="426" w:right="6" w:hanging="11"/>
        <w:rPr>
          <w:sz w:val="22"/>
        </w:rPr>
      </w:pPr>
    </w:p>
    <w:p w14:paraId="7291DE6A" w14:textId="283F4270" w:rsidR="008D5932" w:rsidRPr="009B4A73" w:rsidRDefault="0078763F" w:rsidP="00316679">
      <w:pPr>
        <w:spacing w:after="0" w:line="240" w:lineRule="auto"/>
        <w:ind w:left="426" w:right="8"/>
        <w:rPr>
          <w:sz w:val="22"/>
        </w:rPr>
      </w:pPr>
      <w:r w:rsidRPr="009B4A73">
        <w:rPr>
          <w:sz w:val="22"/>
        </w:rPr>
        <w:t>It is important to check the labels to ensure the correct formulation (intravenous or subcutaneous) is being administered to the patient as was prescribed. Switching treatment between</w:t>
      </w:r>
      <w:r w:rsidR="00CE0B5E" w:rsidRPr="009B4A73">
        <w:rPr>
          <w:sz w:val="22"/>
        </w:rPr>
        <w:t xml:space="preserve"> </w:t>
      </w:r>
      <w:r w:rsidR="00302386" w:rsidRPr="009B4A73">
        <w:rPr>
          <w:sz w:val="22"/>
        </w:rPr>
        <w:t>trastuzumab</w:t>
      </w:r>
      <w:r w:rsidRPr="009B4A73">
        <w:rPr>
          <w:sz w:val="22"/>
        </w:rPr>
        <w:t xml:space="preserve"> IV and</w:t>
      </w:r>
      <w:r w:rsidR="00CE0B5E" w:rsidRPr="009B4A73">
        <w:rPr>
          <w:sz w:val="22"/>
        </w:rPr>
        <w:t xml:space="preserve"> </w:t>
      </w:r>
      <w:r w:rsidR="006716C4" w:rsidRPr="009B4A73">
        <w:rPr>
          <w:sz w:val="22"/>
        </w:rPr>
        <w:t>trastuzumab</w:t>
      </w:r>
      <w:r w:rsidRPr="009B4A73">
        <w:rPr>
          <w:sz w:val="22"/>
        </w:rPr>
        <w:t xml:space="preserve"> SC </w:t>
      </w:r>
      <w:r w:rsidRPr="009B4A73">
        <w:rPr>
          <w:sz w:val="22"/>
        </w:rPr>
        <w:lastRenderedPageBreak/>
        <w:t>and vice versa, using a three-weekly (q3w) dosing regimen, was investigated in study MO22982 (</w:t>
      </w:r>
      <w:proofErr w:type="spellStart"/>
      <w:r w:rsidRPr="009B4A73">
        <w:rPr>
          <w:sz w:val="22"/>
        </w:rPr>
        <w:t>PrefHER</w:t>
      </w:r>
      <w:proofErr w:type="spellEnd"/>
      <w:r w:rsidRPr="009B4A73">
        <w:rPr>
          <w:sz w:val="22"/>
        </w:rPr>
        <w:t xml:space="preserve">) (see section 5.1 Pharmacodynamic </w:t>
      </w:r>
      <w:r w:rsidR="00F94AD5" w:rsidRPr="009B4A73">
        <w:rPr>
          <w:sz w:val="22"/>
        </w:rPr>
        <w:t>p</w:t>
      </w:r>
      <w:r w:rsidRPr="009B4A73">
        <w:rPr>
          <w:sz w:val="22"/>
        </w:rPr>
        <w:t xml:space="preserve">roperties and section 4.8 Adverse </w:t>
      </w:r>
      <w:r w:rsidR="00F94AD5" w:rsidRPr="009B4A73">
        <w:rPr>
          <w:sz w:val="22"/>
        </w:rPr>
        <w:t>e</w:t>
      </w:r>
      <w:r w:rsidRPr="009B4A73">
        <w:rPr>
          <w:sz w:val="22"/>
        </w:rPr>
        <w:t xml:space="preserve">ffects (Undesirable </w:t>
      </w:r>
      <w:r w:rsidR="00F94AD5" w:rsidRPr="009B4A73">
        <w:rPr>
          <w:sz w:val="22"/>
        </w:rPr>
        <w:t>e</w:t>
      </w:r>
      <w:r w:rsidRPr="009B4A73">
        <w:rPr>
          <w:sz w:val="22"/>
        </w:rPr>
        <w:t xml:space="preserve">ffects)). </w:t>
      </w:r>
    </w:p>
    <w:p w14:paraId="4CFAB781" w14:textId="77777777" w:rsidR="007F61DE" w:rsidRDefault="007F61DE" w:rsidP="00316679">
      <w:pPr>
        <w:spacing w:after="0" w:line="240" w:lineRule="auto"/>
        <w:ind w:left="426" w:right="8"/>
        <w:rPr>
          <w:sz w:val="22"/>
        </w:rPr>
      </w:pPr>
    </w:p>
    <w:p w14:paraId="6DC2A386" w14:textId="0B8A2003" w:rsidR="00D92EBC" w:rsidRPr="009B4A73" w:rsidRDefault="0078763F" w:rsidP="00316679">
      <w:pPr>
        <w:spacing w:after="0" w:line="240" w:lineRule="auto"/>
        <w:ind w:left="426" w:right="8"/>
        <w:rPr>
          <w:sz w:val="22"/>
        </w:rPr>
      </w:pPr>
      <w:proofErr w:type="gramStart"/>
      <w:r w:rsidRPr="009B4A73">
        <w:rPr>
          <w:sz w:val="22"/>
        </w:rPr>
        <w:t>In order to</w:t>
      </w:r>
      <w:proofErr w:type="gramEnd"/>
      <w:r w:rsidRPr="009B4A73">
        <w:rPr>
          <w:sz w:val="22"/>
        </w:rPr>
        <w:t xml:space="preserve"> improve traceability of biological medicinal products, the trade name and the batch number of the administered product should be clearly recorded in the patient medical record.</w:t>
      </w:r>
    </w:p>
    <w:p w14:paraId="1AC01EA7" w14:textId="77777777" w:rsidR="004B64CF" w:rsidRPr="009B4A73" w:rsidRDefault="004B64CF" w:rsidP="00316679">
      <w:pPr>
        <w:spacing w:after="0" w:line="240" w:lineRule="auto"/>
        <w:ind w:left="426" w:right="6" w:hanging="11"/>
        <w:rPr>
          <w:sz w:val="22"/>
        </w:rPr>
      </w:pPr>
    </w:p>
    <w:p w14:paraId="5F082BF6" w14:textId="3C3F38AA" w:rsidR="00D92EBC" w:rsidRPr="009B4A73" w:rsidRDefault="0078763F" w:rsidP="00F94AD5">
      <w:pPr>
        <w:pStyle w:val="Heading2"/>
        <w:keepLines w:val="0"/>
        <w:spacing w:after="0" w:line="240" w:lineRule="auto"/>
        <w:ind w:left="425"/>
        <w:rPr>
          <w:b w:val="0"/>
          <w:bCs/>
          <w:sz w:val="22"/>
          <w:u w:val="single"/>
        </w:rPr>
      </w:pPr>
      <w:r w:rsidRPr="009B4A73">
        <w:rPr>
          <w:b w:val="0"/>
          <w:bCs/>
          <w:sz w:val="22"/>
          <w:u w:val="single"/>
        </w:rPr>
        <w:t>Dosage</w:t>
      </w:r>
    </w:p>
    <w:p w14:paraId="4C042A3B" w14:textId="77777777" w:rsidR="004B64CF" w:rsidRPr="009B4A73" w:rsidRDefault="004B64CF" w:rsidP="00F94AD5">
      <w:pPr>
        <w:keepNext/>
        <w:spacing w:after="0" w:line="240" w:lineRule="auto"/>
        <w:ind w:left="425" w:hanging="11"/>
        <w:rPr>
          <w:sz w:val="22"/>
        </w:rPr>
      </w:pPr>
    </w:p>
    <w:p w14:paraId="578B65F1" w14:textId="3611A872" w:rsidR="00D92EBC" w:rsidRPr="009B4A73" w:rsidRDefault="0078763F" w:rsidP="00316679">
      <w:pPr>
        <w:pStyle w:val="Heading3"/>
        <w:spacing w:after="0" w:line="240" w:lineRule="auto"/>
        <w:ind w:left="426" w:right="1296"/>
        <w:rPr>
          <w:i/>
          <w:iCs/>
          <w:sz w:val="22"/>
          <w:u w:val="none"/>
        </w:rPr>
      </w:pPr>
      <w:r w:rsidRPr="009B4A73">
        <w:rPr>
          <w:i/>
          <w:iCs/>
          <w:sz w:val="22"/>
        </w:rPr>
        <w:t xml:space="preserve">Early </w:t>
      </w:r>
      <w:r w:rsidR="006716C4" w:rsidRPr="009B4A73">
        <w:rPr>
          <w:i/>
          <w:iCs/>
          <w:sz w:val="22"/>
        </w:rPr>
        <w:t>b</w:t>
      </w:r>
      <w:r w:rsidRPr="009B4A73">
        <w:rPr>
          <w:i/>
          <w:iCs/>
          <w:sz w:val="22"/>
        </w:rPr>
        <w:t xml:space="preserve">reast </w:t>
      </w:r>
      <w:r w:rsidR="006716C4" w:rsidRPr="009B4A73">
        <w:rPr>
          <w:i/>
          <w:iCs/>
          <w:sz w:val="22"/>
        </w:rPr>
        <w:t>c</w:t>
      </w:r>
      <w:r w:rsidRPr="009B4A73">
        <w:rPr>
          <w:i/>
          <w:iCs/>
          <w:sz w:val="22"/>
        </w:rPr>
        <w:t>ancer</w:t>
      </w:r>
    </w:p>
    <w:p w14:paraId="444601ED" w14:textId="77777777" w:rsidR="004B64CF" w:rsidRPr="009B4A73" w:rsidRDefault="004B64CF" w:rsidP="00316679">
      <w:pPr>
        <w:spacing w:after="0" w:line="240" w:lineRule="auto"/>
        <w:ind w:left="426" w:hanging="11"/>
        <w:rPr>
          <w:sz w:val="22"/>
        </w:rPr>
      </w:pPr>
    </w:p>
    <w:p w14:paraId="19D2A5C5" w14:textId="420972F6" w:rsidR="00D92EBC" w:rsidRPr="009B4A73" w:rsidRDefault="0078763F" w:rsidP="00316679">
      <w:pPr>
        <w:spacing w:after="0" w:line="240" w:lineRule="auto"/>
        <w:ind w:left="426" w:right="8"/>
        <w:rPr>
          <w:sz w:val="22"/>
        </w:rPr>
      </w:pPr>
      <w:r w:rsidRPr="009B4A73">
        <w:rPr>
          <w:i/>
          <w:sz w:val="22"/>
        </w:rPr>
        <w:t>Three-weekly schedule</w:t>
      </w:r>
      <w:r w:rsidRPr="009B4A73">
        <w:rPr>
          <w:sz w:val="22"/>
        </w:rPr>
        <w:t>: the recommended initial loading dose is 8 mg/kg body weight, followed by a maintenance dose of 6 mg/kg body weight administered at 3 weekly intervals.</w:t>
      </w:r>
    </w:p>
    <w:p w14:paraId="33978B9A" w14:textId="77777777" w:rsidR="004B64CF" w:rsidRPr="009B4A73" w:rsidRDefault="004B64CF" w:rsidP="00316679">
      <w:pPr>
        <w:spacing w:after="0" w:line="240" w:lineRule="auto"/>
        <w:ind w:left="426" w:right="8"/>
        <w:rPr>
          <w:sz w:val="22"/>
        </w:rPr>
      </w:pPr>
    </w:p>
    <w:p w14:paraId="412E3A87" w14:textId="7F8C2CD1" w:rsidR="00D92EBC" w:rsidRPr="009B4A73" w:rsidRDefault="0078763F" w:rsidP="00316679">
      <w:pPr>
        <w:spacing w:after="0" w:line="240" w:lineRule="auto"/>
        <w:ind w:left="426" w:right="8"/>
        <w:rPr>
          <w:sz w:val="22"/>
        </w:rPr>
      </w:pPr>
      <w:r w:rsidRPr="009B4A73">
        <w:rPr>
          <w:i/>
          <w:sz w:val="22"/>
        </w:rPr>
        <w:t>Weekly schedule</w:t>
      </w:r>
      <w:r w:rsidRPr="009B4A73">
        <w:rPr>
          <w:sz w:val="22"/>
        </w:rPr>
        <w:t>: the recommended initial loading dose is 4 mg/kg body weight, followed by a maintenance dose of 2 mg/kg body weight administered at weekly intervals.</w:t>
      </w:r>
    </w:p>
    <w:p w14:paraId="610D5A36" w14:textId="77777777" w:rsidR="004B64CF" w:rsidRPr="009B4A73" w:rsidRDefault="004B64CF" w:rsidP="00316679">
      <w:pPr>
        <w:spacing w:after="0" w:line="240" w:lineRule="auto"/>
        <w:ind w:left="426" w:right="8"/>
        <w:rPr>
          <w:sz w:val="22"/>
        </w:rPr>
      </w:pPr>
    </w:p>
    <w:p w14:paraId="25881D38" w14:textId="2AF82D2A" w:rsidR="00D92EBC" w:rsidRPr="009B4A73" w:rsidRDefault="0078763F" w:rsidP="00316679">
      <w:pPr>
        <w:pStyle w:val="Heading3"/>
        <w:spacing w:after="0" w:line="240" w:lineRule="auto"/>
        <w:ind w:left="426" w:right="1296"/>
        <w:rPr>
          <w:i/>
          <w:iCs/>
          <w:sz w:val="22"/>
          <w:u w:val="none"/>
        </w:rPr>
      </w:pPr>
      <w:r w:rsidRPr="009B4A73">
        <w:rPr>
          <w:i/>
          <w:iCs/>
          <w:sz w:val="22"/>
        </w:rPr>
        <w:t>Locally Advanced Breast Cancer</w:t>
      </w:r>
    </w:p>
    <w:p w14:paraId="47081C27" w14:textId="77777777" w:rsidR="004B64CF" w:rsidRPr="009B4A73" w:rsidRDefault="004B64CF" w:rsidP="00316679">
      <w:pPr>
        <w:spacing w:after="0" w:line="240" w:lineRule="auto"/>
        <w:ind w:left="426"/>
        <w:rPr>
          <w:sz w:val="22"/>
        </w:rPr>
      </w:pPr>
    </w:p>
    <w:p w14:paraId="71D5AE74" w14:textId="3FA04BE1" w:rsidR="00D92EBC" w:rsidRPr="009B4A73" w:rsidRDefault="0078763F" w:rsidP="00316679">
      <w:pPr>
        <w:spacing w:after="208" w:line="240" w:lineRule="auto"/>
        <w:ind w:left="426" w:right="8"/>
        <w:rPr>
          <w:sz w:val="22"/>
        </w:rPr>
      </w:pPr>
      <w:r w:rsidRPr="009B4A73">
        <w:rPr>
          <w:i/>
          <w:sz w:val="22"/>
        </w:rPr>
        <w:t>Three-weekly schedule</w:t>
      </w:r>
      <w:r w:rsidRPr="009B4A73">
        <w:rPr>
          <w:sz w:val="22"/>
        </w:rPr>
        <w:t>: the recommended initial loading dose is 8 mg/kg body weight, followed by a maintenance dose of 6 mg/kg body weight administered at 3 weekly intervals.</w:t>
      </w:r>
    </w:p>
    <w:p w14:paraId="2D92926D" w14:textId="4DE08E0D" w:rsidR="00D92EBC" w:rsidRPr="009B4A73" w:rsidRDefault="0078763F" w:rsidP="00316679">
      <w:pPr>
        <w:pStyle w:val="Heading3"/>
        <w:spacing w:after="0" w:line="240" w:lineRule="auto"/>
        <w:ind w:left="426" w:right="1296"/>
        <w:rPr>
          <w:i/>
          <w:iCs/>
          <w:sz w:val="22"/>
          <w:u w:val="none"/>
        </w:rPr>
      </w:pPr>
      <w:r w:rsidRPr="009B4A73">
        <w:rPr>
          <w:i/>
          <w:iCs/>
          <w:sz w:val="22"/>
        </w:rPr>
        <w:t>Metastatic Breast Cancer</w:t>
      </w:r>
    </w:p>
    <w:p w14:paraId="5CFD4805" w14:textId="77777777" w:rsidR="004B64CF" w:rsidRPr="009B4A73" w:rsidRDefault="004B64CF" w:rsidP="00316679">
      <w:pPr>
        <w:spacing w:after="0" w:line="240" w:lineRule="auto"/>
        <w:ind w:left="426"/>
        <w:rPr>
          <w:sz w:val="22"/>
        </w:rPr>
      </w:pPr>
    </w:p>
    <w:p w14:paraId="2CCC5BF7" w14:textId="77777777" w:rsidR="004B64CF" w:rsidRPr="009B4A73" w:rsidRDefault="0078763F" w:rsidP="00316679">
      <w:pPr>
        <w:spacing w:after="0" w:line="240" w:lineRule="auto"/>
        <w:ind w:left="426" w:right="8"/>
        <w:rPr>
          <w:sz w:val="22"/>
        </w:rPr>
      </w:pPr>
      <w:r w:rsidRPr="009B4A73">
        <w:rPr>
          <w:i/>
          <w:sz w:val="22"/>
        </w:rPr>
        <w:t>Three-weekly schedule</w:t>
      </w:r>
      <w:r w:rsidRPr="009B4A73">
        <w:rPr>
          <w:sz w:val="22"/>
        </w:rPr>
        <w:t>: the recommended initial loading dose is 8 mg/kg body weight, followed by a maintenance dose of 6 mg/kg body weight administered at 3 weekly intervals.</w:t>
      </w:r>
    </w:p>
    <w:p w14:paraId="6B0823DB" w14:textId="7BC0C181" w:rsidR="00D92EBC" w:rsidRPr="009B4A73" w:rsidRDefault="0078763F" w:rsidP="00316679">
      <w:pPr>
        <w:spacing w:after="0" w:line="240" w:lineRule="auto"/>
        <w:ind w:left="426" w:right="8"/>
        <w:rPr>
          <w:sz w:val="22"/>
        </w:rPr>
      </w:pPr>
      <w:r w:rsidRPr="009B4A73">
        <w:rPr>
          <w:sz w:val="22"/>
        </w:rPr>
        <w:t xml:space="preserve"> </w:t>
      </w:r>
    </w:p>
    <w:p w14:paraId="4F1BA37A" w14:textId="05911C52" w:rsidR="004B64CF" w:rsidRPr="009B4A73" w:rsidRDefault="0078763F" w:rsidP="00316679">
      <w:pPr>
        <w:spacing w:after="0" w:line="240" w:lineRule="auto"/>
        <w:ind w:left="426" w:right="8"/>
        <w:rPr>
          <w:sz w:val="22"/>
        </w:rPr>
      </w:pPr>
      <w:r w:rsidRPr="009B4A73">
        <w:rPr>
          <w:i/>
          <w:sz w:val="22"/>
        </w:rPr>
        <w:t>Weekly schedule</w:t>
      </w:r>
      <w:r w:rsidRPr="009B4A73">
        <w:rPr>
          <w:sz w:val="22"/>
        </w:rPr>
        <w:t>: the recommended initial loading dose is 4 mg/kg body weight, followed by a maintenance dose of 2 mg/kg body weight administered at weekly intervals.</w:t>
      </w:r>
    </w:p>
    <w:p w14:paraId="3254749B" w14:textId="36F0CE00" w:rsidR="00D92EBC" w:rsidRPr="009B4A73" w:rsidRDefault="0078763F" w:rsidP="00316679">
      <w:pPr>
        <w:spacing w:after="0" w:line="240" w:lineRule="auto"/>
        <w:ind w:left="426" w:right="8"/>
        <w:rPr>
          <w:sz w:val="22"/>
        </w:rPr>
      </w:pPr>
      <w:r w:rsidRPr="009B4A73">
        <w:rPr>
          <w:sz w:val="22"/>
        </w:rPr>
        <w:t xml:space="preserve"> </w:t>
      </w:r>
    </w:p>
    <w:p w14:paraId="6D0A3573" w14:textId="038BDD9E" w:rsidR="00D92EBC" w:rsidRPr="009B4A73" w:rsidRDefault="0078763F" w:rsidP="00316679">
      <w:pPr>
        <w:pStyle w:val="Heading3"/>
        <w:spacing w:line="240" w:lineRule="auto"/>
        <w:ind w:left="426" w:right="1296"/>
        <w:contextualSpacing/>
        <w:rPr>
          <w:i/>
          <w:iCs/>
          <w:sz w:val="22"/>
          <w:u w:val="none"/>
        </w:rPr>
      </w:pPr>
      <w:r w:rsidRPr="009B4A73">
        <w:rPr>
          <w:i/>
          <w:iCs/>
          <w:sz w:val="22"/>
        </w:rPr>
        <w:t>Advanced Gastric Cancer</w:t>
      </w:r>
    </w:p>
    <w:p w14:paraId="17535F78" w14:textId="77777777" w:rsidR="009736BF" w:rsidRPr="009B4A73" w:rsidRDefault="009736BF" w:rsidP="00316679">
      <w:pPr>
        <w:spacing w:after="0" w:line="240" w:lineRule="auto"/>
        <w:ind w:left="426"/>
        <w:contextualSpacing/>
        <w:rPr>
          <w:sz w:val="22"/>
        </w:rPr>
      </w:pPr>
    </w:p>
    <w:p w14:paraId="3BB16022" w14:textId="043785BC" w:rsidR="00D92EBC" w:rsidRPr="009B4A73" w:rsidRDefault="0078763F" w:rsidP="00316679">
      <w:pPr>
        <w:spacing w:after="0" w:line="240" w:lineRule="auto"/>
        <w:ind w:left="426" w:right="8"/>
        <w:contextualSpacing/>
        <w:rPr>
          <w:sz w:val="22"/>
        </w:rPr>
      </w:pPr>
      <w:r w:rsidRPr="009B4A73">
        <w:rPr>
          <w:i/>
          <w:sz w:val="22"/>
        </w:rPr>
        <w:t>Three-weekly schedule</w:t>
      </w:r>
      <w:r w:rsidRPr="009B4A73">
        <w:rPr>
          <w:sz w:val="22"/>
        </w:rPr>
        <w:t>: the recommended initial loading dose is 8 mg/kg body weight, followed by a maintenance dose of 6 mg/kg body weight administered at 3-weekly intervals.</w:t>
      </w:r>
    </w:p>
    <w:p w14:paraId="4188710E" w14:textId="77777777" w:rsidR="009736BF" w:rsidRPr="009B4A73" w:rsidRDefault="009736BF" w:rsidP="00316679">
      <w:pPr>
        <w:spacing w:after="0" w:line="240" w:lineRule="auto"/>
        <w:ind w:left="426" w:right="8"/>
        <w:contextualSpacing/>
        <w:rPr>
          <w:sz w:val="22"/>
        </w:rPr>
      </w:pPr>
    </w:p>
    <w:p w14:paraId="281D617E" w14:textId="77777777" w:rsidR="009736BF" w:rsidRPr="009B4A73" w:rsidRDefault="0078763F" w:rsidP="00316679">
      <w:pPr>
        <w:spacing w:after="0" w:line="240" w:lineRule="auto"/>
        <w:ind w:left="426" w:right="8"/>
        <w:contextualSpacing/>
        <w:rPr>
          <w:sz w:val="22"/>
        </w:rPr>
      </w:pPr>
      <w:r w:rsidRPr="009B4A73">
        <w:rPr>
          <w:sz w:val="22"/>
        </w:rPr>
        <w:t>Refer to section 5.1 Pharmacodynamic Properties, Clinical Trials (including Table 5 for early breast cancer) for the sequence and dosing of chemotherapy medicines used in the supporting pivotal trials. Refer also to the currently approved product information for the chemotherapy partners.</w:t>
      </w:r>
    </w:p>
    <w:p w14:paraId="1EC1CCCC" w14:textId="2A660D6A" w:rsidR="00D92EBC" w:rsidRPr="009B4A73" w:rsidRDefault="0078763F" w:rsidP="00316679">
      <w:pPr>
        <w:spacing w:after="0" w:line="240" w:lineRule="auto"/>
        <w:ind w:left="426" w:right="8"/>
        <w:contextualSpacing/>
        <w:rPr>
          <w:sz w:val="22"/>
        </w:rPr>
      </w:pPr>
      <w:r w:rsidRPr="009B4A73">
        <w:rPr>
          <w:sz w:val="22"/>
        </w:rPr>
        <w:t xml:space="preserve"> </w:t>
      </w:r>
    </w:p>
    <w:p w14:paraId="0BDA7CCA" w14:textId="2F35F735" w:rsidR="00D92EBC" w:rsidRPr="009B4A73" w:rsidRDefault="0078763F" w:rsidP="00316679">
      <w:pPr>
        <w:pStyle w:val="Heading2"/>
        <w:spacing w:after="0" w:line="240" w:lineRule="auto"/>
        <w:ind w:left="426"/>
        <w:contextualSpacing/>
        <w:rPr>
          <w:b w:val="0"/>
          <w:bCs/>
          <w:sz w:val="22"/>
          <w:u w:val="single"/>
        </w:rPr>
      </w:pPr>
      <w:r w:rsidRPr="009B4A73">
        <w:rPr>
          <w:b w:val="0"/>
          <w:bCs/>
          <w:sz w:val="22"/>
          <w:u w:val="single"/>
        </w:rPr>
        <w:t>Missed Doses</w:t>
      </w:r>
    </w:p>
    <w:p w14:paraId="0DB8FA94" w14:textId="77777777" w:rsidR="009736BF" w:rsidRPr="009B4A73" w:rsidRDefault="009736BF" w:rsidP="00316679">
      <w:pPr>
        <w:spacing w:after="0" w:line="240" w:lineRule="auto"/>
        <w:ind w:left="426"/>
        <w:contextualSpacing/>
        <w:rPr>
          <w:sz w:val="22"/>
        </w:rPr>
      </w:pPr>
    </w:p>
    <w:p w14:paraId="57F1FA38" w14:textId="76F74B81" w:rsidR="00D92EBC" w:rsidRPr="009B4A73" w:rsidRDefault="0078763F" w:rsidP="00316679">
      <w:pPr>
        <w:spacing w:after="0" w:line="240" w:lineRule="auto"/>
        <w:ind w:left="426" w:right="8"/>
        <w:contextualSpacing/>
        <w:rPr>
          <w:sz w:val="22"/>
        </w:rPr>
      </w:pPr>
      <w:r w:rsidRPr="009B4A73">
        <w:rPr>
          <w:sz w:val="22"/>
        </w:rPr>
        <w:t xml:space="preserve">If the patient has missed a dose of </w:t>
      </w:r>
      <w:r w:rsidR="0004515C" w:rsidRPr="009B4A73">
        <w:rPr>
          <w:sz w:val="22"/>
        </w:rPr>
        <w:t>Trastucip</w:t>
      </w:r>
      <w:r w:rsidR="0004515C" w:rsidRPr="009B4A73" w:rsidDel="0004515C">
        <w:rPr>
          <w:sz w:val="22"/>
        </w:rPr>
        <w:t xml:space="preserve"> </w:t>
      </w:r>
      <w:r w:rsidRPr="009B4A73">
        <w:rPr>
          <w:sz w:val="22"/>
        </w:rPr>
        <w:t xml:space="preserve">by one week or less, then the usual maintenance dose of </w:t>
      </w:r>
      <w:r w:rsidR="0004515C" w:rsidRPr="009B4A73">
        <w:rPr>
          <w:sz w:val="22"/>
        </w:rPr>
        <w:t>Trastucip</w:t>
      </w:r>
      <w:r w:rsidR="0004515C" w:rsidRPr="009B4A73" w:rsidDel="0004515C">
        <w:rPr>
          <w:sz w:val="22"/>
        </w:rPr>
        <w:t xml:space="preserve"> </w:t>
      </w:r>
      <w:r w:rsidRPr="009B4A73">
        <w:rPr>
          <w:spacing w:val="2"/>
          <w:sz w:val="22"/>
        </w:rPr>
        <w:t>(weekly regimen: 2 mg/kg; 3-weekly: 6 mg/kg) should be administered as soon as possible (do not wait until the next planned cycle).</w:t>
      </w:r>
      <w:r w:rsidR="008805AA" w:rsidRPr="009B4A73">
        <w:rPr>
          <w:spacing w:val="2"/>
          <w:sz w:val="22"/>
        </w:rPr>
        <w:t xml:space="preserve"> </w:t>
      </w:r>
      <w:r w:rsidRPr="009B4A73">
        <w:rPr>
          <w:spacing w:val="2"/>
          <w:sz w:val="22"/>
        </w:rPr>
        <w:t>Subsequent maintenance doses should then be administered 7 days or</w:t>
      </w:r>
      <w:r w:rsidRPr="009B4A73">
        <w:rPr>
          <w:sz w:val="22"/>
        </w:rPr>
        <w:t xml:space="preserve"> 21 days later according to the weekly or three-weekly schedules, respectively.</w:t>
      </w:r>
    </w:p>
    <w:p w14:paraId="00CDE503" w14:textId="77777777" w:rsidR="009736BF" w:rsidRPr="009B4A73" w:rsidRDefault="009736BF" w:rsidP="00316679">
      <w:pPr>
        <w:spacing w:after="0" w:line="240" w:lineRule="auto"/>
        <w:ind w:left="426" w:right="8"/>
        <w:contextualSpacing/>
        <w:rPr>
          <w:sz w:val="22"/>
        </w:rPr>
      </w:pPr>
    </w:p>
    <w:p w14:paraId="79190FF4" w14:textId="04BC7C40" w:rsidR="00D92EBC" w:rsidRPr="009B4A73" w:rsidRDefault="0078763F" w:rsidP="00316679">
      <w:pPr>
        <w:spacing w:after="0" w:line="240" w:lineRule="auto"/>
        <w:ind w:left="426" w:right="8"/>
        <w:contextualSpacing/>
        <w:rPr>
          <w:sz w:val="22"/>
        </w:rPr>
      </w:pPr>
      <w:r w:rsidRPr="009B4A73">
        <w:rPr>
          <w:spacing w:val="2"/>
          <w:sz w:val="22"/>
        </w:rPr>
        <w:t xml:space="preserve">If the patient has missed a dose of </w:t>
      </w:r>
      <w:r w:rsidR="0004515C" w:rsidRPr="009B4A73">
        <w:rPr>
          <w:spacing w:val="2"/>
          <w:sz w:val="22"/>
        </w:rPr>
        <w:t>Trastucip</w:t>
      </w:r>
      <w:r w:rsidR="0004515C" w:rsidRPr="009B4A73" w:rsidDel="0004515C">
        <w:rPr>
          <w:spacing w:val="2"/>
          <w:sz w:val="22"/>
        </w:rPr>
        <w:t xml:space="preserve"> </w:t>
      </w:r>
      <w:r w:rsidRPr="009B4A73">
        <w:rPr>
          <w:spacing w:val="2"/>
          <w:sz w:val="22"/>
        </w:rPr>
        <w:t xml:space="preserve">by more than one week, a re-loading dose of </w:t>
      </w:r>
      <w:r w:rsidR="0004515C" w:rsidRPr="009B4A73">
        <w:rPr>
          <w:spacing w:val="2"/>
          <w:sz w:val="22"/>
        </w:rPr>
        <w:t>Trastucip</w:t>
      </w:r>
      <w:r w:rsidR="0004515C" w:rsidRPr="009B4A73" w:rsidDel="0004515C">
        <w:rPr>
          <w:spacing w:val="2"/>
          <w:sz w:val="22"/>
        </w:rPr>
        <w:t xml:space="preserve"> </w:t>
      </w:r>
      <w:r w:rsidRPr="009B4A73">
        <w:rPr>
          <w:spacing w:val="2"/>
          <w:sz w:val="22"/>
        </w:rPr>
        <w:t>should be administered over approximately 90 minutes (weekly regimen: 4 mg/kg; 3-weekly: 8 mg/kg) as soon as possible. Subsequent maintenance doses (weekly regimen: 2 mg/kg; 3-</w:t>
      </w:r>
      <w:r w:rsidRPr="009B4A73">
        <w:rPr>
          <w:sz w:val="22"/>
        </w:rPr>
        <w:t>weekly:6 mg/kg) should be administered 7 days or 21 days later according to the weekly or three-weekly schedules, respectively.</w:t>
      </w:r>
    </w:p>
    <w:p w14:paraId="5E5BC8F9" w14:textId="77777777" w:rsidR="009736BF" w:rsidRPr="009B4A73" w:rsidRDefault="009736BF" w:rsidP="00316679">
      <w:pPr>
        <w:spacing w:after="0" w:line="240" w:lineRule="auto"/>
        <w:ind w:left="426" w:right="6" w:hanging="11"/>
        <w:contextualSpacing/>
        <w:rPr>
          <w:sz w:val="22"/>
        </w:rPr>
      </w:pPr>
    </w:p>
    <w:p w14:paraId="51860D22" w14:textId="12F14194" w:rsidR="00D92EBC" w:rsidRPr="009B4A73" w:rsidRDefault="0078763F" w:rsidP="00316679">
      <w:pPr>
        <w:pStyle w:val="Heading2"/>
        <w:spacing w:after="0" w:line="240" w:lineRule="auto"/>
        <w:ind w:left="426"/>
        <w:contextualSpacing/>
        <w:rPr>
          <w:b w:val="0"/>
          <w:bCs/>
          <w:sz w:val="22"/>
          <w:u w:val="single"/>
        </w:rPr>
      </w:pPr>
      <w:r w:rsidRPr="009B4A73">
        <w:rPr>
          <w:b w:val="0"/>
          <w:bCs/>
          <w:sz w:val="22"/>
          <w:u w:val="single"/>
        </w:rPr>
        <w:t>Dose modification</w:t>
      </w:r>
    </w:p>
    <w:p w14:paraId="008770CD" w14:textId="77777777" w:rsidR="009736BF" w:rsidRPr="009B4A73" w:rsidRDefault="009736BF" w:rsidP="00316679">
      <w:pPr>
        <w:spacing w:after="0" w:line="240" w:lineRule="auto"/>
        <w:ind w:left="426" w:hanging="11"/>
        <w:contextualSpacing/>
        <w:rPr>
          <w:sz w:val="22"/>
        </w:rPr>
      </w:pPr>
    </w:p>
    <w:p w14:paraId="1EB2B72E" w14:textId="261FDFBA" w:rsidR="00D92EBC" w:rsidRPr="009B4A73" w:rsidRDefault="0078763F" w:rsidP="00316679">
      <w:pPr>
        <w:spacing w:after="0" w:line="240" w:lineRule="auto"/>
        <w:ind w:left="426" w:right="8"/>
        <w:contextualSpacing/>
        <w:rPr>
          <w:sz w:val="22"/>
        </w:rPr>
      </w:pPr>
      <w:r w:rsidRPr="009B4A73">
        <w:rPr>
          <w:sz w:val="22"/>
        </w:rPr>
        <w:t xml:space="preserve">If the patient develops an infusion-related reaction (IRR), the infusion rate of </w:t>
      </w:r>
      <w:r w:rsidR="00DF022F" w:rsidRPr="009B4A73">
        <w:rPr>
          <w:iCs/>
          <w:sz w:val="22"/>
        </w:rPr>
        <w:t>t</w:t>
      </w:r>
      <w:r w:rsidR="00345F85" w:rsidRPr="009B4A73">
        <w:rPr>
          <w:iCs/>
          <w:sz w:val="22"/>
        </w:rPr>
        <w:t>rastuzumab</w:t>
      </w:r>
      <w:r w:rsidRPr="009B4A73">
        <w:rPr>
          <w:sz w:val="22"/>
        </w:rPr>
        <w:t xml:space="preserve"> IV may be slowed or interrupted (see section 4.4 Special </w:t>
      </w:r>
      <w:r w:rsidR="00F94AD5" w:rsidRPr="009B4A73">
        <w:rPr>
          <w:sz w:val="22"/>
        </w:rPr>
        <w:t>w</w:t>
      </w:r>
      <w:r w:rsidRPr="009B4A73">
        <w:rPr>
          <w:sz w:val="22"/>
        </w:rPr>
        <w:t xml:space="preserve">arnings and </w:t>
      </w:r>
      <w:r w:rsidR="00F94AD5" w:rsidRPr="009B4A73">
        <w:rPr>
          <w:sz w:val="22"/>
        </w:rPr>
        <w:t>p</w:t>
      </w:r>
      <w:r w:rsidRPr="009B4A73">
        <w:rPr>
          <w:sz w:val="22"/>
        </w:rPr>
        <w:t xml:space="preserve">recautions for </w:t>
      </w:r>
      <w:r w:rsidR="00F94AD5" w:rsidRPr="009B4A73">
        <w:rPr>
          <w:sz w:val="22"/>
        </w:rPr>
        <w:t>u</w:t>
      </w:r>
      <w:r w:rsidRPr="009B4A73">
        <w:rPr>
          <w:sz w:val="22"/>
        </w:rPr>
        <w:t xml:space="preserve">se). No reductions in the dose of </w:t>
      </w:r>
      <w:r w:rsidR="00345F85" w:rsidRPr="009B4A73">
        <w:rPr>
          <w:iCs/>
          <w:sz w:val="22"/>
        </w:rPr>
        <w:t>Trastuzumab</w:t>
      </w:r>
      <w:r w:rsidRPr="009B4A73">
        <w:rPr>
          <w:sz w:val="22"/>
        </w:rPr>
        <w:t xml:space="preserve"> were made during clinical trials.</w:t>
      </w:r>
      <w:r w:rsidR="008805AA" w:rsidRPr="009B4A73">
        <w:rPr>
          <w:sz w:val="22"/>
        </w:rPr>
        <w:t xml:space="preserve"> </w:t>
      </w:r>
      <w:r w:rsidRPr="009B4A73">
        <w:rPr>
          <w:sz w:val="22"/>
        </w:rPr>
        <w:t xml:space="preserve">Patients may continue </w:t>
      </w:r>
      <w:r w:rsidR="0004515C" w:rsidRPr="009B4A73">
        <w:rPr>
          <w:sz w:val="22"/>
        </w:rPr>
        <w:t>Trastucip</w:t>
      </w:r>
      <w:r w:rsidR="0004515C" w:rsidRPr="009B4A73" w:rsidDel="0004515C">
        <w:rPr>
          <w:sz w:val="22"/>
        </w:rPr>
        <w:t xml:space="preserve"> </w:t>
      </w:r>
      <w:r w:rsidRPr="009B4A73">
        <w:rPr>
          <w:sz w:val="22"/>
        </w:rPr>
        <w:t xml:space="preserve">therapy during periods of reversible, </w:t>
      </w:r>
      <w:r w:rsidRPr="009B4A73">
        <w:rPr>
          <w:sz w:val="22"/>
        </w:rPr>
        <w:lastRenderedPageBreak/>
        <w:t>chemotherapy-induced myelosuppression, but they should be carefully monitored for complications of neutropenia during this time. The specific instructions to reduce or hold the dose of chemotherapy should be followed.</w:t>
      </w:r>
    </w:p>
    <w:p w14:paraId="1AAD83CB" w14:textId="77777777" w:rsidR="009736BF" w:rsidRPr="009B4A73" w:rsidRDefault="009736BF" w:rsidP="00316679">
      <w:pPr>
        <w:spacing w:after="0" w:line="240" w:lineRule="auto"/>
        <w:ind w:left="426" w:right="8"/>
        <w:rPr>
          <w:sz w:val="22"/>
        </w:rPr>
      </w:pPr>
    </w:p>
    <w:p w14:paraId="492A33C8" w14:textId="2E760AE7" w:rsidR="00D92EBC" w:rsidRPr="009B4A73" w:rsidRDefault="0078763F" w:rsidP="00316679">
      <w:pPr>
        <w:pStyle w:val="Heading3"/>
        <w:spacing w:after="0" w:line="240" w:lineRule="auto"/>
        <w:ind w:left="426" w:right="1296"/>
        <w:rPr>
          <w:i/>
          <w:iCs/>
          <w:sz w:val="22"/>
          <w:u w:val="none"/>
        </w:rPr>
      </w:pPr>
      <w:r w:rsidRPr="009B4A73">
        <w:rPr>
          <w:i/>
          <w:iCs/>
          <w:sz w:val="22"/>
        </w:rPr>
        <w:t>Use in Elderly</w:t>
      </w:r>
      <w:r w:rsidRPr="009B4A73">
        <w:rPr>
          <w:i/>
          <w:iCs/>
          <w:sz w:val="22"/>
          <w:u w:val="none"/>
        </w:rPr>
        <w:t xml:space="preserve"> </w:t>
      </w:r>
    </w:p>
    <w:p w14:paraId="018CFA84" w14:textId="77777777" w:rsidR="009736BF" w:rsidRPr="009B4A73" w:rsidRDefault="009736BF" w:rsidP="00316679">
      <w:pPr>
        <w:spacing w:after="0" w:line="240" w:lineRule="auto"/>
        <w:ind w:left="426"/>
        <w:rPr>
          <w:sz w:val="22"/>
        </w:rPr>
      </w:pPr>
    </w:p>
    <w:p w14:paraId="731151DA" w14:textId="418AF357" w:rsidR="00D92EBC" w:rsidRPr="009B4A73" w:rsidRDefault="0078763F" w:rsidP="00316679">
      <w:pPr>
        <w:spacing w:after="0" w:line="240" w:lineRule="auto"/>
        <w:ind w:left="426" w:right="8"/>
        <w:rPr>
          <w:sz w:val="22"/>
        </w:rPr>
      </w:pPr>
      <w:r w:rsidRPr="009B4A73">
        <w:rPr>
          <w:sz w:val="22"/>
        </w:rPr>
        <w:t xml:space="preserve">In clinical trials, patients ≥ 65 years of age did not receive reduced doses of trastuzumab. Age has been shown to have no effect on the disposition of trastuzumab (see section 5.2 Pharmacokinetic </w:t>
      </w:r>
      <w:r w:rsidR="00F94AD5" w:rsidRPr="009B4A73">
        <w:rPr>
          <w:sz w:val="22"/>
        </w:rPr>
        <w:t>p</w:t>
      </w:r>
      <w:r w:rsidRPr="009B4A73">
        <w:rPr>
          <w:sz w:val="22"/>
        </w:rPr>
        <w:t>roperties).</w:t>
      </w:r>
    </w:p>
    <w:p w14:paraId="28DDCF5C" w14:textId="77777777" w:rsidR="009736BF" w:rsidRPr="009B4A73" w:rsidRDefault="009736BF" w:rsidP="00316679">
      <w:pPr>
        <w:spacing w:after="0" w:line="240" w:lineRule="auto"/>
        <w:ind w:left="426" w:right="8"/>
        <w:rPr>
          <w:sz w:val="22"/>
        </w:rPr>
      </w:pPr>
    </w:p>
    <w:p w14:paraId="7A7DFBFF" w14:textId="50BED29C" w:rsidR="00D92EBC" w:rsidRPr="009B4A73" w:rsidRDefault="0078763F" w:rsidP="00F94AD5">
      <w:pPr>
        <w:pStyle w:val="Heading2"/>
        <w:keepLines w:val="0"/>
        <w:spacing w:after="0" w:line="240" w:lineRule="auto"/>
        <w:ind w:left="425" w:hanging="11"/>
        <w:rPr>
          <w:b w:val="0"/>
          <w:bCs/>
          <w:sz w:val="22"/>
          <w:u w:val="single"/>
        </w:rPr>
      </w:pPr>
      <w:r w:rsidRPr="009B4A73">
        <w:rPr>
          <w:b w:val="0"/>
          <w:bCs/>
          <w:sz w:val="22"/>
          <w:u w:val="single"/>
        </w:rPr>
        <w:t>Method of Administration</w:t>
      </w:r>
    </w:p>
    <w:p w14:paraId="2EC742E9" w14:textId="77777777" w:rsidR="009736BF" w:rsidRPr="009B4A73" w:rsidRDefault="009736BF" w:rsidP="00F94AD5">
      <w:pPr>
        <w:keepNext/>
        <w:spacing w:after="0" w:line="240" w:lineRule="auto"/>
        <w:ind w:left="425" w:hanging="11"/>
        <w:rPr>
          <w:sz w:val="22"/>
        </w:rPr>
      </w:pPr>
    </w:p>
    <w:p w14:paraId="4E3963BE" w14:textId="56D6D590" w:rsidR="00D92EBC" w:rsidRPr="009B4A73" w:rsidRDefault="0004515C" w:rsidP="00316679">
      <w:pPr>
        <w:spacing w:after="0" w:line="240" w:lineRule="auto"/>
        <w:ind w:left="426" w:right="8"/>
        <w:rPr>
          <w:sz w:val="22"/>
        </w:rPr>
      </w:pPr>
      <w:r w:rsidRPr="009B4A73">
        <w:rPr>
          <w:sz w:val="22"/>
        </w:rPr>
        <w:t>Trastucip</w:t>
      </w:r>
      <w:r w:rsidRPr="009B4A73" w:rsidDel="0004515C">
        <w:rPr>
          <w:sz w:val="22"/>
        </w:rPr>
        <w:t xml:space="preserve"> </w:t>
      </w:r>
      <w:r w:rsidR="0078763F" w:rsidRPr="009B4A73">
        <w:rPr>
          <w:sz w:val="22"/>
        </w:rPr>
        <w:t>IV solution is not to be used for subcutaneous administration and must be administered as an IV infusion. Do not administer as an IV push or bolus.</w:t>
      </w:r>
    </w:p>
    <w:p w14:paraId="21F303F1" w14:textId="77777777" w:rsidR="009736BF" w:rsidRPr="009B4A73" w:rsidRDefault="009736BF" w:rsidP="00316679">
      <w:pPr>
        <w:spacing w:after="0" w:line="240" w:lineRule="auto"/>
        <w:ind w:left="426" w:right="8"/>
        <w:rPr>
          <w:sz w:val="22"/>
        </w:rPr>
      </w:pPr>
    </w:p>
    <w:p w14:paraId="0AB43E7A" w14:textId="4B6333F9" w:rsidR="00D92EBC" w:rsidRPr="009B4A73" w:rsidRDefault="0004515C" w:rsidP="00316679">
      <w:pPr>
        <w:spacing w:after="0" w:line="240" w:lineRule="auto"/>
        <w:ind w:left="426" w:right="8"/>
        <w:rPr>
          <w:sz w:val="22"/>
        </w:rPr>
      </w:pPr>
      <w:r w:rsidRPr="009B4A73">
        <w:rPr>
          <w:sz w:val="22"/>
        </w:rPr>
        <w:t>Trastucip</w:t>
      </w:r>
      <w:r w:rsidRPr="009B4A73" w:rsidDel="0004515C">
        <w:rPr>
          <w:sz w:val="22"/>
        </w:rPr>
        <w:t xml:space="preserve"> </w:t>
      </w:r>
      <w:r w:rsidR="0078763F" w:rsidRPr="009B4A73">
        <w:rPr>
          <w:sz w:val="22"/>
        </w:rPr>
        <w:t>IV loading doses should be administered over approximately 90 minutes. If the loading dose was well tolerated, subsequent doses can be administered as a 30-minute infusion.</w:t>
      </w:r>
    </w:p>
    <w:p w14:paraId="0DC20D72" w14:textId="77777777" w:rsidR="009736BF" w:rsidRPr="009B4A73" w:rsidRDefault="009736BF" w:rsidP="00316679">
      <w:pPr>
        <w:spacing w:after="0" w:line="240" w:lineRule="auto"/>
        <w:ind w:left="426" w:right="8"/>
        <w:rPr>
          <w:sz w:val="22"/>
        </w:rPr>
      </w:pPr>
    </w:p>
    <w:p w14:paraId="3FCD889D" w14:textId="2A1DB816" w:rsidR="00D92EBC" w:rsidRPr="009B4A73" w:rsidRDefault="0078763F" w:rsidP="00316679">
      <w:pPr>
        <w:spacing w:after="0" w:line="240" w:lineRule="auto"/>
        <w:ind w:left="426" w:right="8"/>
        <w:rPr>
          <w:sz w:val="22"/>
        </w:rPr>
      </w:pPr>
      <w:r w:rsidRPr="009B4A73">
        <w:rPr>
          <w:sz w:val="22"/>
        </w:rPr>
        <w:t xml:space="preserve">Patients should be observed for fever and chills or other infusion-associated symptoms (see section 4.8 Adverse </w:t>
      </w:r>
      <w:r w:rsidR="00F94AD5" w:rsidRPr="009B4A73">
        <w:rPr>
          <w:sz w:val="22"/>
        </w:rPr>
        <w:t>e</w:t>
      </w:r>
      <w:r w:rsidRPr="009B4A73">
        <w:rPr>
          <w:sz w:val="22"/>
        </w:rPr>
        <w:t xml:space="preserve">ffects (Undesirable </w:t>
      </w:r>
      <w:r w:rsidR="00F94AD5" w:rsidRPr="009B4A73">
        <w:rPr>
          <w:sz w:val="22"/>
        </w:rPr>
        <w:t>e</w:t>
      </w:r>
      <w:r w:rsidRPr="009B4A73">
        <w:rPr>
          <w:sz w:val="22"/>
        </w:rPr>
        <w:t>ffects)).</w:t>
      </w:r>
      <w:r w:rsidR="008805AA" w:rsidRPr="009B4A73">
        <w:rPr>
          <w:sz w:val="22"/>
        </w:rPr>
        <w:t xml:space="preserve"> </w:t>
      </w:r>
      <w:r w:rsidRPr="009B4A73">
        <w:rPr>
          <w:sz w:val="22"/>
        </w:rPr>
        <w:t>Interruption of the infusion and/or medication may help to control such symptoms.</w:t>
      </w:r>
      <w:r w:rsidR="00622D9C" w:rsidRPr="009B4A73">
        <w:rPr>
          <w:sz w:val="22"/>
        </w:rPr>
        <w:t xml:space="preserve"> </w:t>
      </w:r>
      <w:r w:rsidRPr="009B4A73">
        <w:rPr>
          <w:sz w:val="22"/>
        </w:rPr>
        <w:t>The infusion may be resumed when symptoms abate.</w:t>
      </w:r>
    </w:p>
    <w:p w14:paraId="23ABDBC2" w14:textId="77777777" w:rsidR="009736BF" w:rsidRPr="009B4A73" w:rsidRDefault="009736BF" w:rsidP="00316679">
      <w:pPr>
        <w:spacing w:after="0" w:line="240" w:lineRule="auto"/>
        <w:ind w:left="426" w:right="8"/>
        <w:rPr>
          <w:sz w:val="22"/>
        </w:rPr>
      </w:pPr>
    </w:p>
    <w:p w14:paraId="4AFED503" w14:textId="2E9C939F" w:rsidR="00D92EBC" w:rsidRPr="009B4A73" w:rsidRDefault="0078763F" w:rsidP="00316679">
      <w:pPr>
        <w:pStyle w:val="Heading2"/>
        <w:spacing w:after="0" w:line="240" w:lineRule="auto"/>
        <w:ind w:left="426"/>
        <w:rPr>
          <w:b w:val="0"/>
          <w:bCs/>
          <w:sz w:val="22"/>
          <w:u w:val="single"/>
        </w:rPr>
      </w:pPr>
      <w:r w:rsidRPr="009B4A73">
        <w:rPr>
          <w:b w:val="0"/>
          <w:bCs/>
          <w:sz w:val="22"/>
          <w:u w:val="single"/>
        </w:rPr>
        <w:t>Duration of Treatment</w:t>
      </w:r>
    </w:p>
    <w:p w14:paraId="74C99FD8" w14:textId="77777777" w:rsidR="009736BF" w:rsidRPr="009B4A73" w:rsidRDefault="009736BF" w:rsidP="00316679">
      <w:pPr>
        <w:spacing w:after="0" w:line="240" w:lineRule="auto"/>
        <w:ind w:left="426"/>
        <w:rPr>
          <w:sz w:val="22"/>
        </w:rPr>
      </w:pPr>
    </w:p>
    <w:p w14:paraId="2D3EB619" w14:textId="03AA71D5" w:rsidR="00D92EBC" w:rsidRPr="009B4A73" w:rsidRDefault="0078763F" w:rsidP="00316679">
      <w:pPr>
        <w:spacing w:after="0" w:line="240" w:lineRule="auto"/>
        <w:ind w:left="426" w:right="8"/>
        <w:rPr>
          <w:sz w:val="22"/>
        </w:rPr>
      </w:pPr>
      <w:r w:rsidRPr="009B4A73">
        <w:rPr>
          <w:sz w:val="22"/>
        </w:rPr>
        <w:t>Patients with early or locally advanced breast cancer should be treated for 1 year or until disease recurrence or unmanageable toxicity, whichever occurs first.</w:t>
      </w:r>
      <w:r w:rsidR="008805AA" w:rsidRPr="009B4A73">
        <w:rPr>
          <w:sz w:val="22"/>
        </w:rPr>
        <w:t xml:space="preserve"> </w:t>
      </w:r>
      <w:r w:rsidRPr="009B4A73">
        <w:rPr>
          <w:sz w:val="22"/>
        </w:rPr>
        <w:t xml:space="preserve">However, extending adjuvant treatment beyond one year is not recommended (see section 5.1 Pharmacodynamic </w:t>
      </w:r>
      <w:r w:rsidR="00F94AD5" w:rsidRPr="009B4A73">
        <w:rPr>
          <w:sz w:val="22"/>
        </w:rPr>
        <w:t>p</w:t>
      </w:r>
      <w:r w:rsidRPr="009B4A73">
        <w:rPr>
          <w:sz w:val="22"/>
        </w:rPr>
        <w:t xml:space="preserve">roperties, Clinical </w:t>
      </w:r>
      <w:r w:rsidR="00F94AD5" w:rsidRPr="009B4A73">
        <w:rPr>
          <w:sz w:val="22"/>
        </w:rPr>
        <w:t>t</w:t>
      </w:r>
      <w:r w:rsidRPr="009B4A73">
        <w:rPr>
          <w:sz w:val="22"/>
        </w:rPr>
        <w:t xml:space="preserve">rials, Early </w:t>
      </w:r>
      <w:r w:rsidR="00F94AD5" w:rsidRPr="009B4A73">
        <w:rPr>
          <w:sz w:val="22"/>
        </w:rPr>
        <w:t>b</w:t>
      </w:r>
      <w:r w:rsidRPr="009B4A73">
        <w:rPr>
          <w:sz w:val="22"/>
        </w:rPr>
        <w:t xml:space="preserve">reast </w:t>
      </w:r>
      <w:r w:rsidR="00F94AD5" w:rsidRPr="009B4A73">
        <w:rPr>
          <w:sz w:val="22"/>
        </w:rPr>
        <w:t>c</w:t>
      </w:r>
      <w:r w:rsidRPr="009B4A73">
        <w:rPr>
          <w:sz w:val="22"/>
        </w:rPr>
        <w:t>ancer</w:t>
      </w:r>
      <w:r w:rsidRPr="009B4A73">
        <w:rPr>
          <w:b/>
          <w:sz w:val="22"/>
        </w:rPr>
        <w:t>)</w:t>
      </w:r>
      <w:r w:rsidRPr="009B4A73">
        <w:rPr>
          <w:sz w:val="22"/>
        </w:rPr>
        <w:t>.</w:t>
      </w:r>
    </w:p>
    <w:p w14:paraId="62132E94" w14:textId="77777777" w:rsidR="009736BF" w:rsidRPr="009B4A73" w:rsidRDefault="009736BF" w:rsidP="00316679">
      <w:pPr>
        <w:spacing w:after="0" w:line="240" w:lineRule="auto"/>
        <w:ind w:left="426" w:right="8"/>
        <w:rPr>
          <w:sz w:val="22"/>
        </w:rPr>
      </w:pPr>
    </w:p>
    <w:p w14:paraId="59DCA709" w14:textId="43FD9343" w:rsidR="00D92EBC" w:rsidRPr="009B4A73" w:rsidRDefault="0078763F" w:rsidP="00316679">
      <w:pPr>
        <w:spacing w:after="0" w:line="240" w:lineRule="auto"/>
        <w:ind w:left="426" w:right="8"/>
        <w:rPr>
          <w:sz w:val="22"/>
        </w:rPr>
      </w:pPr>
      <w:r w:rsidRPr="009B4A73">
        <w:rPr>
          <w:sz w:val="22"/>
        </w:rPr>
        <w:t>Patients with metastatic breast cancer and advanced gastric cancer should be treated until progression of disease or unmanageable toxicity.</w:t>
      </w:r>
    </w:p>
    <w:p w14:paraId="273A25FB" w14:textId="77777777" w:rsidR="009736BF" w:rsidRPr="009B4A73" w:rsidRDefault="009736BF" w:rsidP="00316679">
      <w:pPr>
        <w:spacing w:after="0" w:line="240" w:lineRule="auto"/>
        <w:ind w:left="426" w:right="8"/>
        <w:rPr>
          <w:sz w:val="22"/>
        </w:rPr>
      </w:pPr>
    </w:p>
    <w:p w14:paraId="0100E8D4" w14:textId="7CCFD5E3" w:rsidR="00D92EBC" w:rsidRPr="009B4A73" w:rsidRDefault="0078763F" w:rsidP="00316679">
      <w:pPr>
        <w:pStyle w:val="Heading2"/>
        <w:spacing w:after="0" w:line="240" w:lineRule="auto"/>
        <w:ind w:left="426"/>
        <w:rPr>
          <w:b w:val="0"/>
          <w:bCs/>
          <w:sz w:val="22"/>
          <w:u w:val="single"/>
        </w:rPr>
      </w:pPr>
      <w:r w:rsidRPr="009B4A73">
        <w:rPr>
          <w:b w:val="0"/>
          <w:bCs/>
          <w:sz w:val="22"/>
          <w:u w:val="single"/>
        </w:rPr>
        <w:t xml:space="preserve">Preparation for IV infusion </w:t>
      </w:r>
    </w:p>
    <w:p w14:paraId="4C4D5F26" w14:textId="77777777" w:rsidR="009736BF" w:rsidRPr="009B4A73" w:rsidRDefault="009736BF" w:rsidP="00316679">
      <w:pPr>
        <w:spacing w:after="0" w:line="240" w:lineRule="auto"/>
        <w:ind w:left="426"/>
        <w:rPr>
          <w:sz w:val="22"/>
        </w:rPr>
      </w:pPr>
    </w:p>
    <w:p w14:paraId="1AF0B75A" w14:textId="3CDDB5BF" w:rsidR="00D92EBC" w:rsidRPr="009B4A73" w:rsidRDefault="0078763F" w:rsidP="00316679">
      <w:pPr>
        <w:pStyle w:val="Heading3"/>
        <w:spacing w:after="0" w:line="240" w:lineRule="auto"/>
        <w:ind w:left="426" w:right="1296"/>
        <w:rPr>
          <w:i/>
          <w:iCs/>
          <w:sz w:val="22"/>
        </w:rPr>
      </w:pPr>
      <w:r w:rsidRPr="009B4A73">
        <w:rPr>
          <w:i/>
          <w:iCs/>
          <w:sz w:val="22"/>
        </w:rPr>
        <w:t xml:space="preserve">Reconstituting the </w:t>
      </w:r>
      <w:r w:rsidR="00C24EA5" w:rsidRPr="009B4A73">
        <w:rPr>
          <w:i/>
          <w:iCs/>
          <w:sz w:val="22"/>
        </w:rPr>
        <w:t>p</w:t>
      </w:r>
      <w:r w:rsidRPr="009B4A73">
        <w:rPr>
          <w:i/>
          <w:iCs/>
          <w:sz w:val="22"/>
        </w:rPr>
        <w:t xml:space="preserve">owder </w:t>
      </w:r>
    </w:p>
    <w:p w14:paraId="1A4FA2A7" w14:textId="77777777" w:rsidR="009736BF" w:rsidRPr="009B4A73" w:rsidRDefault="009736BF" w:rsidP="00316679">
      <w:pPr>
        <w:spacing w:after="0" w:line="240" w:lineRule="auto"/>
        <w:ind w:left="426"/>
        <w:rPr>
          <w:sz w:val="22"/>
        </w:rPr>
      </w:pPr>
    </w:p>
    <w:p w14:paraId="1FB6C33A" w14:textId="72073AFE" w:rsidR="00D92EBC" w:rsidRPr="009B4A73" w:rsidRDefault="0078763F" w:rsidP="00316679">
      <w:pPr>
        <w:spacing w:after="0" w:line="240" w:lineRule="auto"/>
        <w:ind w:left="426" w:right="8"/>
        <w:rPr>
          <w:sz w:val="22"/>
        </w:rPr>
      </w:pPr>
      <w:r w:rsidRPr="009B4A73">
        <w:rPr>
          <w:sz w:val="22"/>
        </w:rPr>
        <w:t>Appropriate aseptic technique should be used.</w:t>
      </w:r>
    </w:p>
    <w:p w14:paraId="61A2EB33" w14:textId="77777777" w:rsidR="009736BF" w:rsidRPr="009B4A73" w:rsidRDefault="009736BF" w:rsidP="00316679">
      <w:pPr>
        <w:spacing w:after="0" w:line="240" w:lineRule="auto"/>
        <w:ind w:left="426" w:right="8"/>
        <w:rPr>
          <w:sz w:val="22"/>
        </w:rPr>
      </w:pPr>
    </w:p>
    <w:p w14:paraId="416C4AA5" w14:textId="1B6EA84F" w:rsidR="00D92EBC" w:rsidRPr="009B4A73" w:rsidRDefault="0004515C" w:rsidP="00316679">
      <w:pPr>
        <w:spacing w:after="0" w:line="240" w:lineRule="auto"/>
        <w:ind w:left="426" w:right="8"/>
        <w:rPr>
          <w:sz w:val="22"/>
        </w:rPr>
      </w:pPr>
      <w:r w:rsidRPr="009B4A73">
        <w:rPr>
          <w:sz w:val="22"/>
        </w:rPr>
        <w:t>Trastucip</w:t>
      </w:r>
      <w:r w:rsidRPr="009B4A73" w:rsidDel="0004515C">
        <w:rPr>
          <w:sz w:val="22"/>
        </w:rPr>
        <w:t xml:space="preserve"> </w:t>
      </w:r>
      <w:r w:rsidR="0078763F" w:rsidRPr="009B4A73">
        <w:rPr>
          <w:sz w:val="22"/>
        </w:rPr>
        <w:t xml:space="preserve">should be carefully handled during reconstitution. Causing excessive foaming during reconstitution or shaking the reconstituted </w:t>
      </w:r>
      <w:r w:rsidRPr="009B4A73">
        <w:rPr>
          <w:sz w:val="22"/>
        </w:rPr>
        <w:t>Trastucip</w:t>
      </w:r>
      <w:r w:rsidRPr="009B4A73" w:rsidDel="0004515C">
        <w:rPr>
          <w:sz w:val="22"/>
        </w:rPr>
        <w:t xml:space="preserve"> </w:t>
      </w:r>
      <w:r w:rsidR="0078763F" w:rsidRPr="009B4A73">
        <w:rPr>
          <w:sz w:val="22"/>
        </w:rPr>
        <w:t xml:space="preserve">may result in problems with the amount of </w:t>
      </w:r>
      <w:r w:rsidRPr="009B4A73">
        <w:rPr>
          <w:sz w:val="22"/>
        </w:rPr>
        <w:t>Trastucip</w:t>
      </w:r>
      <w:r w:rsidRPr="009B4A73" w:rsidDel="0004515C">
        <w:rPr>
          <w:sz w:val="22"/>
        </w:rPr>
        <w:t xml:space="preserve"> </w:t>
      </w:r>
      <w:r w:rsidR="0078763F" w:rsidRPr="009B4A73">
        <w:rPr>
          <w:sz w:val="22"/>
        </w:rPr>
        <w:t>that can be withdrawn from the vial.</w:t>
      </w:r>
    </w:p>
    <w:p w14:paraId="43C69882" w14:textId="77777777" w:rsidR="009736BF" w:rsidRPr="009B4A73" w:rsidRDefault="009736BF" w:rsidP="00316679">
      <w:pPr>
        <w:spacing w:after="0" w:line="240" w:lineRule="auto"/>
        <w:ind w:left="426" w:right="8"/>
        <w:rPr>
          <w:sz w:val="22"/>
        </w:rPr>
      </w:pPr>
    </w:p>
    <w:p w14:paraId="11A602BB" w14:textId="1C76C769" w:rsidR="00D92EBC" w:rsidRPr="009B4A73" w:rsidRDefault="0078763F" w:rsidP="00316679">
      <w:pPr>
        <w:spacing w:after="0" w:line="240" w:lineRule="auto"/>
        <w:ind w:left="426" w:right="8"/>
        <w:rPr>
          <w:sz w:val="22"/>
        </w:rPr>
      </w:pPr>
      <w:r w:rsidRPr="009B4A73">
        <w:rPr>
          <w:sz w:val="22"/>
        </w:rPr>
        <w:t>Each 150 mg vial should be reconstituted with 7.2 mL of sterile water for injections as the solvent.</w:t>
      </w:r>
      <w:r w:rsidR="008805AA" w:rsidRPr="009B4A73">
        <w:rPr>
          <w:sz w:val="22"/>
        </w:rPr>
        <w:t xml:space="preserve"> </w:t>
      </w:r>
      <w:r w:rsidRPr="009B4A73">
        <w:rPr>
          <w:sz w:val="22"/>
        </w:rPr>
        <w:t>The use of other solvents should be avoided. The resultant solution is 7.4 mL of approximately 21 mg/mL trastuzumab.</w:t>
      </w:r>
      <w:r w:rsidR="008805AA" w:rsidRPr="009B4A73">
        <w:rPr>
          <w:sz w:val="22"/>
        </w:rPr>
        <w:t xml:space="preserve"> </w:t>
      </w:r>
      <w:r w:rsidRPr="009B4A73">
        <w:rPr>
          <w:sz w:val="22"/>
        </w:rPr>
        <w:t>A 4% overage is included to ensure withdrawal of the labelled dose of 150 mg.</w:t>
      </w:r>
    </w:p>
    <w:p w14:paraId="67F80F83" w14:textId="77777777" w:rsidR="009736BF" w:rsidRPr="009B4A73" w:rsidRDefault="009736BF" w:rsidP="00316679">
      <w:pPr>
        <w:spacing w:after="0" w:line="240" w:lineRule="auto"/>
        <w:ind w:left="426" w:right="8"/>
        <w:rPr>
          <w:sz w:val="22"/>
        </w:rPr>
      </w:pPr>
    </w:p>
    <w:p w14:paraId="28C37669" w14:textId="7C94D504" w:rsidR="00D92EBC" w:rsidRPr="009B4A73" w:rsidRDefault="0078763F" w:rsidP="00316679">
      <w:pPr>
        <w:pStyle w:val="Heading3"/>
        <w:spacing w:after="0" w:line="240" w:lineRule="auto"/>
        <w:ind w:left="426" w:right="1296"/>
        <w:rPr>
          <w:i/>
          <w:iCs/>
          <w:sz w:val="22"/>
          <w:u w:val="none"/>
        </w:rPr>
      </w:pPr>
      <w:r w:rsidRPr="009B4A73">
        <w:rPr>
          <w:i/>
          <w:iCs/>
          <w:sz w:val="22"/>
        </w:rPr>
        <w:t xml:space="preserve">Instructions for </w:t>
      </w:r>
      <w:r w:rsidR="00C24EA5" w:rsidRPr="009B4A73">
        <w:rPr>
          <w:i/>
          <w:iCs/>
          <w:sz w:val="22"/>
        </w:rPr>
        <w:t>r</w:t>
      </w:r>
      <w:r w:rsidRPr="009B4A73">
        <w:rPr>
          <w:i/>
          <w:iCs/>
          <w:sz w:val="22"/>
        </w:rPr>
        <w:t>econstitution</w:t>
      </w:r>
    </w:p>
    <w:p w14:paraId="4124BF8D" w14:textId="77777777" w:rsidR="009736BF" w:rsidRPr="009B4A73" w:rsidRDefault="009736BF" w:rsidP="00316679">
      <w:pPr>
        <w:spacing w:after="0" w:line="240" w:lineRule="auto"/>
        <w:ind w:left="426"/>
        <w:rPr>
          <w:sz w:val="22"/>
        </w:rPr>
      </w:pPr>
    </w:p>
    <w:p w14:paraId="49A03C52" w14:textId="7F3B9C10" w:rsidR="009736BF" w:rsidRPr="009B4A73" w:rsidRDefault="0078763F" w:rsidP="001B4427">
      <w:pPr>
        <w:numPr>
          <w:ilvl w:val="0"/>
          <w:numId w:val="2"/>
        </w:numPr>
        <w:tabs>
          <w:tab w:val="left" w:pos="284"/>
        </w:tabs>
        <w:spacing w:after="0" w:line="240" w:lineRule="auto"/>
        <w:ind w:left="993" w:right="8" w:hanging="544"/>
        <w:rPr>
          <w:sz w:val="22"/>
        </w:rPr>
      </w:pPr>
      <w:r w:rsidRPr="009B4A73">
        <w:rPr>
          <w:sz w:val="22"/>
        </w:rPr>
        <w:t>Using a sterile syringe, slowly inject 7.2 mL (for 150 mg vial)</w:t>
      </w:r>
      <w:r w:rsidR="00CE0B5E" w:rsidRPr="009B4A73">
        <w:rPr>
          <w:sz w:val="22"/>
        </w:rPr>
        <w:t xml:space="preserve"> </w:t>
      </w:r>
      <w:r w:rsidRPr="009B4A73">
        <w:rPr>
          <w:sz w:val="22"/>
        </w:rPr>
        <w:t xml:space="preserve">of sterile water for injections in the vial containing the lyophilized </w:t>
      </w:r>
      <w:r w:rsidR="0004515C" w:rsidRPr="009B4A73">
        <w:rPr>
          <w:sz w:val="22"/>
        </w:rPr>
        <w:t>Trastucip</w:t>
      </w:r>
      <w:r w:rsidRPr="009B4A73">
        <w:rPr>
          <w:sz w:val="22"/>
        </w:rPr>
        <w:t>, directing the stream into the lyophilized cake.</w:t>
      </w:r>
    </w:p>
    <w:p w14:paraId="6DA24FA4" w14:textId="39D55EBD" w:rsidR="00D92EBC" w:rsidRPr="009B4A73" w:rsidRDefault="0078763F" w:rsidP="00C24EA5">
      <w:pPr>
        <w:spacing w:after="0" w:line="240" w:lineRule="auto"/>
        <w:ind w:left="709" w:right="8" w:firstLine="0"/>
        <w:rPr>
          <w:sz w:val="22"/>
        </w:rPr>
      </w:pPr>
      <w:r w:rsidRPr="009B4A73">
        <w:rPr>
          <w:sz w:val="22"/>
        </w:rPr>
        <w:t xml:space="preserve"> </w:t>
      </w:r>
    </w:p>
    <w:p w14:paraId="06D63AF2" w14:textId="036724ED" w:rsidR="00D92EBC" w:rsidRPr="009B4A73" w:rsidRDefault="0078763F" w:rsidP="001B4427">
      <w:pPr>
        <w:numPr>
          <w:ilvl w:val="0"/>
          <w:numId w:val="2"/>
        </w:numPr>
        <w:spacing w:after="0" w:line="240" w:lineRule="auto"/>
        <w:ind w:left="993" w:right="8" w:hanging="544"/>
        <w:rPr>
          <w:sz w:val="22"/>
        </w:rPr>
      </w:pPr>
      <w:r w:rsidRPr="009B4A73">
        <w:rPr>
          <w:sz w:val="22"/>
        </w:rPr>
        <w:t xml:space="preserve">Swirl vial gently to aid reconstitution. </w:t>
      </w:r>
      <w:r w:rsidR="0004515C" w:rsidRPr="009B4A73">
        <w:rPr>
          <w:sz w:val="22"/>
        </w:rPr>
        <w:t>Trastucip</w:t>
      </w:r>
      <w:r w:rsidR="0004515C" w:rsidRPr="009B4A73" w:rsidDel="0004515C">
        <w:rPr>
          <w:sz w:val="22"/>
        </w:rPr>
        <w:t xml:space="preserve"> </w:t>
      </w:r>
      <w:r w:rsidRPr="009B4A73">
        <w:rPr>
          <w:sz w:val="22"/>
        </w:rPr>
        <w:t xml:space="preserve">may be sensitive to shear-induced stress, </w:t>
      </w:r>
      <w:proofErr w:type="gramStart"/>
      <w:r w:rsidRPr="009B4A73">
        <w:rPr>
          <w:sz w:val="22"/>
        </w:rPr>
        <w:t>e.g.</w:t>
      </w:r>
      <w:proofErr w:type="gramEnd"/>
      <w:r w:rsidRPr="009B4A73">
        <w:rPr>
          <w:sz w:val="22"/>
        </w:rPr>
        <w:t xml:space="preserve"> agitation or rapid expulsion from a syringe. DO NOT SHAKE.</w:t>
      </w:r>
    </w:p>
    <w:p w14:paraId="237023FA" w14:textId="77777777" w:rsidR="009736BF" w:rsidRPr="009B4A73" w:rsidRDefault="009736BF" w:rsidP="00316679">
      <w:pPr>
        <w:spacing w:after="0" w:line="240" w:lineRule="auto"/>
        <w:ind w:left="426" w:right="8" w:firstLine="0"/>
        <w:rPr>
          <w:sz w:val="22"/>
        </w:rPr>
      </w:pPr>
    </w:p>
    <w:p w14:paraId="63A00CD6" w14:textId="0B346D58" w:rsidR="00132AA4" w:rsidRPr="009B4A73" w:rsidRDefault="0078763F" w:rsidP="001D3187">
      <w:pPr>
        <w:spacing w:after="0" w:line="240" w:lineRule="auto"/>
        <w:ind w:left="425" w:right="6"/>
        <w:rPr>
          <w:sz w:val="22"/>
        </w:rPr>
      </w:pPr>
      <w:r w:rsidRPr="009B4A73">
        <w:rPr>
          <w:sz w:val="22"/>
        </w:rPr>
        <w:lastRenderedPageBreak/>
        <w:t>Slight foaming of the product upon reconstitution is not unusual.</w:t>
      </w:r>
      <w:r w:rsidR="008805AA" w:rsidRPr="009B4A73">
        <w:rPr>
          <w:sz w:val="22"/>
        </w:rPr>
        <w:t xml:space="preserve"> </w:t>
      </w:r>
      <w:r w:rsidRPr="009B4A73">
        <w:rPr>
          <w:sz w:val="22"/>
        </w:rPr>
        <w:t>Allow the vial to stand undisturbed for approximately 5 minutes.</w:t>
      </w:r>
      <w:r w:rsidR="008805AA" w:rsidRPr="009B4A73">
        <w:rPr>
          <w:sz w:val="22"/>
        </w:rPr>
        <w:t xml:space="preserve"> </w:t>
      </w:r>
      <w:r w:rsidRPr="009B4A73">
        <w:rPr>
          <w:sz w:val="22"/>
        </w:rPr>
        <w:t>The reconstituted preparation results in a colourless to pale yellow</w:t>
      </w:r>
      <w:r w:rsidR="00C24EA5" w:rsidRPr="009B4A73">
        <w:rPr>
          <w:sz w:val="22"/>
        </w:rPr>
        <w:t>,</w:t>
      </w:r>
      <w:r w:rsidRPr="009B4A73">
        <w:rPr>
          <w:sz w:val="22"/>
        </w:rPr>
        <w:t xml:space="preserve"> </w:t>
      </w:r>
      <w:r w:rsidR="00C24EA5" w:rsidRPr="009B4A73">
        <w:rPr>
          <w:sz w:val="22"/>
        </w:rPr>
        <w:t xml:space="preserve">clear to slightly opalescent </w:t>
      </w:r>
      <w:r w:rsidRPr="009B4A73">
        <w:rPr>
          <w:sz w:val="22"/>
        </w:rPr>
        <w:t>solution and should be essentially free of visible particulates.</w:t>
      </w:r>
    </w:p>
    <w:p w14:paraId="6C345482" w14:textId="77777777" w:rsidR="00D92EBC" w:rsidRPr="009B4A73" w:rsidRDefault="00D92EBC" w:rsidP="001D3187">
      <w:pPr>
        <w:spacing w:after="0" w:line="240" w:lineRule="auto"/>
        <w:ind w:left="426" w:right="8" w:firstLine="0"/>
        <w:rPr>
          <w:sz w:val="22"/>
        </w:rPr>
      </w:pPr>
    </w:p>
    <w:p w14:paraId="0E194D0E" w14:textId="755392C5" w:rsidR="00D92EBC" w:rsidRPr="009B4A73" w:rsidRDefault="0078763F" w:rsidP="00316679">
      <w:pPr>
        <w:pStyle w:val="Heading3"/>
        <w:spacing w:after="0" w:line="240" w:lineRule="auto"/>
        <w:ind w:left="426" w:right="1296"/>
        <w:rPr>
          <w:i/>
          <w:iCs/>
          <w:sz w:val="22"/>
          <w:u w:val="none"/>
        </w:rPr>
      </w:pPr>
      <w:r w:rsidRPr="009B4A73">
        <w:rPr>
          <w:i/>
          <w:iCs/>
          <w:sz w:val="22"/>
        </w:rPr>
        <w:t xml:space="preserve">Instructions for </w:t>
      </w:r>
      <w:r w:rsidR="00A40B11" w:rsidRPr="009B4A73">
        <w:rPr>
          <w:i/>
          <w:iCs/>
          <w:sz w:val="22"/>
        </w:rPr>
        <w:t>d</w:t>
      </w:r>
      <w:r w:rsidRPr="009B4A73">
        <w:rPr>
          <w:i/>
          <w:iCs/>
          <w:sz w:val="22"/>
        </w:rPr>
        <w:t>ilution</w:t>
      </w:r>
      <w:r w:rsidRPr="009B4A73">
        <w:rPr>
          <w:i/>
          <w:iCs/>
          <w:sz w:val="22"/>
          <w:u w:val="none"/>
        </w:rPr>
        <w:t xml:space="preserve"> </w:t>
      </w:r>
    </w:p>
    <w:p w14:paraId="016E39F2" w14:textId="77777777" w:rsidR="009047BD" w:rsidRPr="009B4A73" w:rsidRDefault="009047BD" w:rsidP="00316679">
      <w:pPr>
        <w:spacing w:after="0" w:line="240" w:lineRule="auto"/>
        <w:ind w:left="426"/>
        <w:rPr>
          <w:sz w:val="22"/>
        </w:rPr>
      </w:pPr>
    </w:p>
    <w:p w14:paraId="7BADC75B" w14:textId="22328C8D" w:rsidR="00D92EBC" w:rsidRPr="009B4A73" w:rsidRDefault="0078763F" w:rsidP="00316679">
      <w:pPr>
        <w:pStyle w:val="Heading4"/>
        <w:spacing w:after="0" w:line="240" w:lineRule="auto"/>
        <w:ind w:left="426"/>
        <w:rPr>
          <w:sz w:val="22"/>
        </w:rPr>
      </w:pPr>
      <w:r w:rsidRPr="009B4A73">
        <w:rPr>
          <w:sz w:val="22"/>
        </w:rPr>
        <w:t xml:space="preserve">Weekly </w:t>
      </w:r>
      <w:r w:rsidR="00A40B11" w:rsidRPr="009B4A73">
        <w:rPr>
          <w:sz w:val="22"/>
        </w:rPr>
        <w:t>r</w:t>
      </w:r>
      <w:r w:rsidRPr="009B4A73">
        <w:rPr>
          <w:sz w:val="22"/>
        </w:rPr>
        <w:t xml:space="preserve">egimen </w:t>
      </w:r>
    </w:p>
    <w:p w14:paraId="43FEEEBB" w14:textId="77777777" w:rsidR="009047BD" w:rsidRPr="009B4A73" w:rsidRDefault="009047BD" w:rsidP="00316679">
      <w:pPr>
        <w:spacing w:after="0" w:line="240" w:lineRule="auto"/>
        <w:ind w:left="426"/>
        <w:rPr>
          <w:sz w:val="22"/>
        </w:rPr>
      </w:pPr>
    </w:p>
    <w:p w14:paraId="54C5F3E1" w14:textId="622F6971" w:rsidR="00D92EBC" w:rsidRPr="009B4A73" w:rsidRDefault="0078763F" w:rsidP="00316679">
      <w:pPr>
        <w:spacing w:after="0" w:line="240" w:lineRule="auto"/>
        <w:ind w:left="426" w:right="8"/>
        <w:rPr>
          <w:sz w:val="22"/>
        </w:rPr>
      </w:pPr>
      <w:r w:rsidRPr="009B4A73">
        <w:rPr>
          <w:sz w:val="22"/>
        </w:rPr>
        <w:t>Determine the volume of the reconstituted solution required based on a loading dose of trastuzumab 4 mg/kg body weight, or a maintenance dose of trastuzumab 2 mg/kg body weight</w:t>
      </w:r>
    </w:p>
    <w:p w14:paraId="33D16C0D" w14:textId="77777777" w:rsidR="009047BD" w:rsidRPr="009B4A73" w:rsidRDefault="009047BD" w:rsidP="00316679">
      <w:pPr>
        <w:spacing w:after="0" w:line="240" w:lineRule="auto"/>
        <w:ind w:left="426" w:right="8"/>
        <w:rPr>
          <w:sz w:val="22"/>
        </w:rPr>
      </w:pPr>
    </w:p>
    <w:p w14:paraId="4929E876" w14:textId="516BDE9C" w:rsidR="00D92EBC" w:rsidRPr="009B4A73" w:rsidRDefault="0078763F" w:rsidP="00316679">
      <w:pPr>
        <w:pStyle w:val="Heading3"/>
        <w:spacing w:line="240" w:lineRule="auto"/>
        <w:ind w:left="426" w:right="1296"/>
        <w:rPr>
          <w:sz w:val="22"/>
        </w:rPr>
      </w:pPr>
      <w:r w:rsidRPr="009B4A73">
        <w:rPr>
          <w:sz w:val="22"/>
          <w:u w:val="none"/>
        </w:rPr>
        <w:t xml:space="preserve">Volume (mL) = </w:t>
      </w:r>
      <w:r w:rsidRPr="009B4A73">
        <w:rPr>
          <w:sz w:val="22"/>
        </w:rPr>
        <w:t>Body weight (kg) x dose (4 mg/kg for loading or 2 mg/kg for maintenance)</w:t>
      </w:r>
    </w:p>
    <w:p w14:paraId="67C7DC05" w14:textId="488C3FE8" w:rsidR="00D92EBC" w:rsidRPr="009B4A73" w:rsidRDefault="0078763F" w:rsidP="00316679">
      <w:pPr>
        <w:spacing w:after="0" w:line="240" w:lineRule="auto"/>
        <w:ind w:left="426" w:right="5"/>
        <w:jc w:val="center"/>
        <w:rPr>
          <w:sz w:val="22"/>
        </w:rPr>
      </w:pPr>
      <w:r w:rsidRPr="009B4A73">
        <w:rPr>
          <w:sz w:val="22"/>
        </w:rPr>
        <w:t>21 (mg/mL, concentration of reconstituted solution)</w:t>
      </w:r>
    </w:p>
    <w:p w14:paraId="477C91FB" w14:textId="77777777" w:rsidR="00195B99" w:rsidRPr="009B4A73" w:rsidRDefault="00195B99" w:rsidP="00316679">
      <w:pPr>
        <w:spacing w:after="0" w:line="240" w:lineRule="auto"/>
        <w:ind w:left="426" w:right="5"/>
        <w:jc w:val="center"/>
        <w:rPr>
          <w:sz w:val="22"/>
        </w:rPr>
      </w:pPr>
    </w:p>
    <w:p w14:paraId="79508DE5" w14:textId="1AD31641" w:rsidR="00D92EBC" w:rsidRPr="009B4A73" w:rsidRDefault="0078763F" w:rsidP="00F94AD5">
      <w:pPr>
        <w:pStyle w:val="Heading4"/>
        <w:keepLines w:val="0"/>
        <w:spacing w:after="0" w:line="240" w:lineRule="auto"/>
        <w:ind w:left="425" w:hanging="11"/>
        <w:rPr>
          <w:sz w:val="22"/>
        </w:rPr>
      </w:pPr>
      <w:r w:rsidRPr="009B4A73">
        <w:rPr>
          <w:sz w:val="22"/>
        </w:rPr>
        <w:t>Three-</w:t>
      </w:r>
      <w:r w:rsidR="00A40B11" w:rsidRPr="009B4A73">
        <w:rPr>
          <w:sz w:val="22"/>
        </w:rPr>
        <w:t>w</w:t>
      </w:r>
      <w:r w:rsidRPr="009B4A73">
        <w:rPr>
          <w:sz w:val="22"/>
        </w:rPr>
        <w:t xml:space="preserve">eekly </w:t>
      </w:r>
      <w:r w:rsidR="00A40B11" w:rsidRPr="009B4A73">
        <w:rPr>
          <w:sz w:val="22"/>
        </w:rPr>
        <w:t>r</w:t>
      </w:r>
      <w:r w:rsidRPr="009B4A73">
        <w:rPr>
          <w:sz w:val="22"/>
        </w:rPr>
        <w:t xml:space="preserve">egimen </w:t>
      </w:r>
    </w:p>
    <w:p w14:paraId="02E00362" w14:textId="77777777" w:rsidR="009047BD" w:rsidRPr="009B4A73" w:rsidRDefault="009047BD" w:rsidP="00F94AD5">
      <w:pPr>
        <w:keepNext/>
        <w:spacing w:after="0" w:line="240" w:lineRule="auto"/>
        <w:ind w:left="425" w:hanging="11"/>
        <w:rPr>
          <w:sz w:val="22"/>
        </w:rPr>
      </w:pPr>
    </w:p>
    <w:p w14:paraId="2260817B" w14:textId="582E2A26" w:rsidR="00D92EBC" w:rsidRPr="009B4A73" w:rsidRDefault="0078763F" w:rsidP="00316679">
      <w:pPr>
        <w:spacing w:after="0" w:line="240" w:lineRule="auto"/>
        <w:ind w:left="426" w:right="8"/>
        <w:rPr>
          <w:sz w:val="22"/>
        </w:rPr>
      </w:pPr>
      <w:r w:rsidRPr="009B4A73">
        <w:rPr>
          <w:sz w:val="22"/>
        </w:rPr>
        <w:t>Determine the volume of the reconstituted solution required based on a loading dose of trastuzumab 8 mg/kg body weight, or subsequent every 3 weeks dose of 6 mg/kg body weight:</w:t>
      </w:r>
    </w:p>
    <w:p w14:paraId="66D6970A" w14:textId="77777777" w:rsidR="009047BD" w:rsidRPr="009B4A73" w:rsidRDefault="009047BD" w:rsidP="00316679">
      <w:pPr>
        <w:spacing w:after="0" w:line="240" w:lineRule="auto"/>
        <w:ind w:left="426" w:right="8"/>
        <w:rPr>
          <w:sz w:val="22"/>
        </w:rPr>
      </w:pPr>
    </w:p>
    <w:p w14:paraId="2C1DC06B" w14:textId="7E13E385" w:rsidR="0060582F" w:rsidRPr="009B4A73" w:rsidRDefault="0078763F" w:rsidP="00391329">
      <w:pPr>
        <w:pStyle w:val="Heading3"/>
        <w:spacing w:after="0" w:line="240" w:lineRule="auto"/>
        <w:ind w:left="426" w:right="1296" w:firstLine="0"/>
        <w:rPr>
          <w:sz w:val="22"/>
          <w:u w:val="none"/>
        </w:rPr>
      </w:pPr>
      <w:r w:rsidRPr="009B4A73">
        <w:rPr>
          <w:sz w:val="22"/>
          <w:u w:val="none"/>
        </w:rPr>
        <w:t xml:space="preserve">Volume (mL) = </w:t>
      </w:r>
      <w:r w:rsidRPr="009B4A73">
        <w:rPr>
          <w:sz w:val="22"/>
        </w:rPr>
        <w:t>Body weight (kg) x dose (8 mg/kg for loading or 6 mg/kg for maintenance)</w:t>
      </w:r>
    </w:p>
    <w:p w14:paraId="6B5405C0" w14:textId="5C0C5ED9" w:rsidR="00D92EBC" w:rsidRPr="009B4A73" w:rsidRDefault="0060582F" w:rsidP="00391329">
      <w:pPr>
        <w:pStyle w:val="Heading3"/>
        <w:spacing w:after="0" w:line="240" w:lineRule="auto"/>
        <w:ind w:left="2021" w:right="1296" w:hanging="2741"/>
        <w:rPr>
          <w:sz w:val="22"/>
          <w:u w:val="none"/>
        </w:rPr>
      </w:pPr>
      <w:r w:rsidRPr="009B4A73">
        <w:rPr>
          <w:sz w:val="22"/>
          <w:u w:val="none"/>
        </w:rPr>
        <w:t xml:space="preserve"> </w:t>
      </w:r>
      <w:r w:rsidRPr="009B4A73">
        <w:rPr>
          <w:sz w:val="22"/>
          <w:u w:val="none"/>
        </w:rPr>
        <w:tab/>
      </w:r>
      <w:r w:rsidR="0078763F" w:rsidRPr="009B4A73">
        <w:rPr>
          <w:sz w:val="22"/>
          <w:u w:val="none"/>
        </w:rPr>
        <w:t xml:space="preserve"> 21 (mg/mL, concentration of reconstituted solution)</w:t>
      </w:r>
    </w:p>
    <w:p w14:paraId="699088F1" w14:textId="77777777" w:rsidR="009047BD" w:rsidRPr="009B4A73" w:rsidRDefault="009047BD" w:rsidP="00316679">
      <w:pPr>
        <w:spacing w:after="0" w:line="240" w:lineRule="auto"/>
        <w:ind w:left="426"/>
        <w:rPr>
          <w:sz w:val="22"/>
        </w:rPr>
      </w:pPr>
    </w:p>
    <w:p w14:paraId="116D8E30" w14:textId="198FC4AA" w:rsidR="00D92EBC" w:rsidRPr="009B4A73" w:rsidRDefault="0078763F" w:rsidP="0060424C">
      <w:pPr>
        <w:pStyle w:val="Heading4"/>
        <w:keepLines w:val="0"/>
        <w:spacing w:after="0" w:line="240" w:lineRule="auto"/>
        <w:ind w:left="425" w:hanging="11"/>
        <w:rPr>
          <w:sz w:val="22"/>
        </w:rPr>
      </w:pPr>
      <w:r w:rsidRPr="009B4A73">
        <w:rPr>
          <w:sz w:val="22"/>
        </w:rPr>
        <w:t xml:space="preserve">Preparation and </w:t>
      </w:r>
      <w:r w:rsidR="00A40B11" w:rsidRPr="009B4A73">
        <w:rPr>
          <w:sz w:val="22"/>
        </w:rPr>
        <w:t>s</w:t>
      </w:r>
      <w:r w:rsidRPr="009B4A73">
        <w:rPr>
          <w:sz w:val="22"/>
        </w:rPr>
        <w:t xml:space="preserve">tability of the </w:t>
      </w:r>
      <w:r w:rsidR="00A40B11" w:rsidRPr="009B4A73">
        <w:rPr>
          <w:sz w:val="22"/>
        </w:rPr>
        <w:t>a</w:t>
      </w:r>
      <w:r w:rsidRPr="009B4A73">
        <w:rPr>
          <w:sz w:val="22"/>
        </w:rPr>
        <w:t xml:space="preserve">dmixture </w:t>
      </w:r>
    </w:p>
    <w:p w14:paraId="50A5E329" w14:textId="77777777" w:rsidR="009047BD" w:rsidRPr="009B4A73" w:rsidRDefault="009047BD" w:rsidP="0060424C">
      <w:pPr>
        <w:keepNext/>
        <w:spacing w:after="0" w:line="240" w:lineRule="auto"/>
        <w:ind w:left="425" w:hanging="11"/>
        <w:rPr>
          <w:sz w:val="22"/>
        </w:rPr>
      </w:pPr>
    </w:p>
    <w:p w14:paraId="32F48F98" w14:textId="5CA67182" w:rsidR="00D92EBC" w:rsidRPr="009B4A73" w:rsidRDefault="0078763F" w:rsidP="00316679">
      <w:pPr>
        <w:spacing w:after="0" w:line="240" w:lineRule="auto"/>
        <w:ind w:left="426" w:right="8"/>
        <w:rPr>
          <w:sz w:val="22"/>
        </w:rPr>
      </w:pPr>
      <w:r w:rsidRPr="009B4A73">
        <w:rPr>
          <w:sz w:val="22"/>
        </w:rPr>
        <w:t xml:space="preserve">The appropriate amount of the reconstituted solution should be withdrawn from the vial </w:t>
      </w:r>
      <w:r w:rsidR="00C87EA6" w:rsidRPr="00C87EA6">
        <w:rPr>
          <w:sz w:val="22"/>
        </w:rPr>
        <w:t xml:space="preserve">using a sterile needle and syringe </w:t>
      </w:r>
      <w:r w:rsidRPr="009B4A73">
        <w:rPr>
          <w:sz w:val="22"/>
        </w:rPr>
        <w:t>and added to an infusion bag containing 250 mL of 0.9% sodium chloride.</w:t>
      </w:r>
    </w:p>
    <w:p w14:paraId="193F6FD3" w14:textId="77777777" w:rsidR="009047BD" w:rsidRPr="009B4A73" w:rsidRDefault="009047BD" w:rsidP="00316679">
      <w:pPr>
        <w:spacing w:after="0" w:line="240" w:lineRule="auto"/>
        <w:ind w:left="426" w:right="8"/>
        <w:rPr>
          <w:sz w:val="22"/>
        </w:rPr>
      </w:pPr>
    </w:p>
    <w:p w14:paraId="6B3590FC" w14:textId="6015CF16" w:rsidR="00D92EBC" w:rsidRPr="009B4A73" w:rsidRDefault="0078763F" w:rsidP="00316679">
      <w:pPr>
        <w:spacing w:after="0" w:line="240" w:lineRule="auto"/>
        <w:ind w:left="426" w:right="8"/>
        <w:rPr>
          <w:sz w:val="22"/>
        </w:rPr>
      </w:pPr>
      <w:r w:rsidRPr="009B4A73">
        <w:rPr>
          <w:sz w:val="22"/>
        </w:rPr>
        <w:t>Dextrose (5%) solution should not be used since it causes aggregation of the protein.</w:t>
      </w:r>
    </w:p>
    <w:p w14:paraId="3FB66E1C" w14:textId="77777777" w:rsidR="009047BD" w:rsidRPr="009B4A73" w:rsidRDefault="009047BD" w:rsidP="00316679">
      <w:pPr>
        <w:spacing w:after="0" w:line="240" w:lineRule="auto"/>
        <w:ind w:left="426" w:right="8"/>
        <w:rPr>
          <w:sz w:val="22"/>
        </w:rPr>
      </w:pPr>
    </w:p>
    <w:p w14:paraId="0107FA6D" w14:textId="50BEA1C4" w:rsidR="00D92EBC" w:rsidRPr="009B4A73" w:rsidRDefault="0004515C" w:rsidP="00316679">
      <w:pPr>
        <w:spacing w:after="0" w:line="240" w:lineRule="auto"/>
        <w:ind w:left="426" w:right="8"/>
        <w:rPr>
          <w:sz w:val="22"/>
        </w:rPr>
      </w:pPr>
      <w:r w:rsidRPr="009B4A73">
        <w:rPr>
          <w:sz w:val="22"/>
        </w:rPr>
        <w:t>TRASTUCIP</w:t>
      </w:r>
      <w:r w:rsidRPr="009B4A73" w:rsidDel="0004515C">
        <w:rPr>
          <w:sz w:val="22"/>
        </w:rPr>
        <w:t xml:space="preserve"> </w:t>
      </w:r>
      <w:r w:rsidR="0078763F" w:rsidRPr="009B4A73">
        <w:rPr>
          <w:sz w:val="22"/>
        </w:rPr>
        <w:t>SHOULD NOT BE MIXED OR DILUTED WITH OTHER MEDICINES.</w:t>
      </w:r>
    </w:p>
    <w:p w14:paraId="09A0D7A1" w14:textId="77777777" w:rsidR="009047BD" w:rsidRPr="009B4A73" w:rsidRDefault="009047BD" w:rsidP="00316679">
      <w:pPr>
        <w:spacing w:after="0" w:line="240" w:lineRule="auto"/>
        <w:ind w:left="426" w:right="8"/>
        <w:rPr>
          <w:sz w:val="22"/>
        </w:rPr>
      </w:pPr>
    </w:p>
    <w:p w14:paraId="2A1EEA36" w14:textId="008CA85A" w:rsidR="00D92EBC" w:rsidRPr="009B4A73" w:rsidRDefault="0078763F" w:rsidP="00316679">
      <w:pPr>
        <w:spacing w:after="0" w:line="240" w:lineRule="auto"/>
        <w:ind w:left="426" w:right="8"/>
        <w:rPr>
          <w:sz w:val="22"/>
        </w:rPr>
      </w:pPr>
      <w:r w:rsidRPr="009B4A73">
        <w:rPr>
          <w:sz w:val="22"/>
        </w:rPr>
        <w:t xml:space="preserve">No incompatibilities between </w:t>
      </w:r>
      <w:r w:rsidR="0004515C" w:rsidRPr="009B4A73">
        <w:rPr>
          <w:sz w:val="22"/>
        </w:rPr>
        <w:t>Trastucip</w:t>
      </w:r>
      <w:r w:rsidR="0004515C" w:rsidRPr="009B4A73" w:rsidDel="0004515C">
        <w:rPr>
          <w:sz w:val="22"/>
        </w:rPr>
        <w:t xml:space="preserve"> </w:t>
      </w:r>
      <w:r w:rsidRPr="009B4A73">
        <w:rPr>
          <w:sz w:val="22"/>
        </w:rPr>
        <w:t>and polyvinylchloride, polyethylene or polypropylene bags have been observed.</w:t>
      </w:r>
    </w:p>
    <w:p w14:paraId="0EC848F8" w14:textId="77777777" w:rsidR="009047BD" w:rsidRPr="009B4A73" w:rsidRDefault="009047BD" w:rsidP="00316679">
      <w:pPr>
        <w:spacing w:after="0" w:line="240" w:lineRule="auto"/>
        <w:ind w:left="426" w:right="8"/>
        <w:rPr>
          <w:sz w:val="22"/>
        </w:rPr>
      </w:pPr>
    </w:p>
    <w:p w14:paraId="7F0BDF73" w14:textId="5807CE03" w:rsidR="00D92EBC" w:rsidRPr="009B4A73" w:rsidRDefault="0078763F" w:rsidP="00316679">
      <w:pPr>
        <w:spacing w:after="0" w:line="240" w:lineRule="auto"/>
        <w:ind w:left="426" w:right="8"/>
        <w:rPr>
          <w:sz w:val="22"/>
        </w:rPr>
      </w:pPr>
      <w:r w:rsidRPr="009B4A73">
        <w:rPr>
          <w:sz w:val="22"/>
        </w:rPr>
        <w:t xml:space="preserve">The infusion bag should be gently inverted to mix the solution </w:t>
      </w:r>
      <w:proofErr w:type="gramStart"/>
      <w:r w:rsidRPr="009B4A73">
        <w:rPr>
          <w:sz w:val="22"/>
        </w:rPr>
        <w:t>in order to</w:t>
      </w:r>
      <w:proofErr w:type="gramEnd"/>
      <w:r w:rsidRPr="009B4A73">
        <w:rPr>
          <w:sz w:val="22"/>
        </w:rPr>
        <w:t xml:space="preserve"> avoid foaming.</w:t>
      </w:r>
      <w:r w:rsidR="008805AA" w:rsidRPr="009B4A73">
        <w:rPr>
          <w:sz w:val="22"/>
        </w:rPr>
        <w:t xml:space="preserve"> </w:t>
      </w:r>
      <w:r w:rsidRPr="009B4A73">
        <w:rPr>
          <w:sz w:val="22"/>
        </w:rPr>
        <w:t xml:space="preserve">Care must be taken to ensure the sterility of prepared solutions. Since the medicinal product does not contain any antibacterial preservative or bacteriostatic agent, </w:t>
      </w:r>
      <w:r w:rsidR="001B4427" w:rsidRPr="009B4A73">
        <w:rPr>
          <w:sz w:val="22"/>
        </w:rPr>
        <w:t>aseptic</w:t>
      </w:r>
      <w:r w:rsidRPr="009B4A73">
        <w:rPr>
          <w:sz w:val="22"/>
        </w:rPr>
        <w:t xml:space="preserve"> technique must be observed. Parenteral drug products should be inspected visually for particulates and discoloration prior to administration.</w:t>
      </w:r>
    </w:p>
    <w:p w14:paraId="132EA6F2" w14:textId="77777777" w:rsidR="009047BD" w:rsidRPr="009B4A73" w:rsidRDefault="009047BD" w:rsidP="00316679">
      <w:pPr>
        <w:spacing w:after="0" w:line="240" w:lineRule="auto"/>
        <w:ind w:left="426" w:right="8"/>
        <w:rPr>
          <w:sz w:val="22"/>
        </w:rPr>
      </w:pPr>
    </w:p>
    <w:p w14:paraId="05882F36" w14:textId="74BEA6B3" w:rsidR="00D92EBC" w:rsidRPr="009B4A73" w:rsidRDefault="0078763F" w:rsidP="00316679">
      <w:pPr>
        <w:spacing w:after="0" w:line="240" w:lineRule="auto"/>
        <w:ind w:left="426" w:right="8"/>
        <w:rPr>
          <w:sz w:val="22"/>
        </w:rPr>
      </w:pPr>
      <w:r w:rsidRPr="009B4A73">
        <w:rPr>
          <w:sz w:val="22"/>
        </w:rPr>
        <w:t xml:space="preserve">From a microbiological point of view, the </w:t>
      </w:r>
      <w:r w:rsidR="0004515C" w:rsidRPr="009B4A73">
        <w:rPr>
          <w:sz w:val="22"/>
        </w:rPr>
        <w:t>Trastucip</w:t>
      </w:r>
      <w:r w:rsidR="0004515C" w:rsidRPr="009B4A73" w:rsidDel="0004515C">
        <w:rPr>
          <w:sz w:val="22"/>
        </w:rPr>
        <w:t xml:space="preserve"> </w:t>
      </w:r>
      <w:r w:rsidRPr="009B4A73">
        <w:rPr>
          <w:sz w:val="22"/>
        </w:rPr>
        <w:t>infusion solution should be used immediately.</w:t>
      </w:r>
      <w:r w:rsidR="008805AA" w:rsidRPr="009B4A73">
        <w:rPr>
          <w:sz w:val="22"/>
        </w:rPr>
        <w:t xml:space="preserve"> </w:t>
      </w:r>
      <w:r w:rsidRPr="009B4A73">
        <w:rPr>
          <w:sz w:val="22"/>
        </w:rPr>
        <w:t>If diluted aseptically, it may be stored for 24 hours when refrigerated at 2 to 8°C.</w:t>
      </w:r>
    </w:p>
    <w:p w14:paraId="1E9D9263" w14:textId="77777777" w:rsidR="009047BD" w:rsidRPr="009B4A73" w:rsidRDefault="009047BD" w:rsidP="00316679">
      <w:pPr>
        <w:spacing w:after="0" w:line="240" w:lineRule="auto"/>
        <w:ind w:left="426" w:right="8"/>
        <w:rPr>
          <w:sz w:val="22"/>
        </w:rPr>
      </w:pPr>
    </w:p>
    <w:p w14:paraId="568EAC61" w14:textId="22CA48E4" w:rsidR="009047BD" w:rsidRPr="009B4A73" w:rsidRDefault="0078763F" w:rsidP="00391329">
      <w:pPr>
        <w:pStyle w:val="Heading1"/>
        <w:tabs>
          <w:tab w:val="left" w:pos="426"/>
        </w:tabs>
        <w:spacing w:after="0" w:line="240" w:lineRule="auto"/>
        <w:ind w:left="426" w:hanging="426"/>
        <w:rPr>
          <w:sz w:val="22"/>
        </w:rPr>
      </w:pPr>
      <w:r w:rsidRPr="009B4A73">
        <w:rPr>
          <w:sz w:val="22"/>
        </w:rPr>
        <w:t>4.3</w:t>
      </w:r>
      <w:r w:rsidRPr="009B4A73">
        <w:rPr>
          <w:rFonts w:eastAsia="Arial"/>
          <w:sz w:val="22"/>
        </w:rPr>
        <w:t xml:space="preserve"> </w:t>
      </w:r>
      <w:r w:rsidR="00061CA4" w:rsidRPr="009B4A73">
        <w:rPr>
          <w:rFonts w:eastAsia="Arial"/>
          <w:sz w:val="22"/>
        </w:rPr>
        <w:tab/>
      </w:r>
      <w:r w:rsidR="00061CA4" w:rsidRPr="009B4A73">
        <w:rPr>
          <w:sz w:val="22"/>
        </w:rPr>
        <w:t>Contraindications</w:t>
      </w:r>
    </w:p>
    <w:p w14:paraId="5487E031" w14:textId="1E0590BF" w:rsidR="00D92EBC" w:rsidRPr="009B4A73" w:rsidRDefault="0078763F" w:rsidP="00316679">
      <w:pPr>
        <w:pStyle w:val="Heading2"/>
        <w:tabs>
          <w:tab w:val="center" w:pos="2054"/>
        </w:tabs>
        <w:spacing w:after="0" w:line="240" w:lineRule="auto"/>
        <w:ind w:left="426" w:firstLine="0"/>
        <w:rPr>
          <w:sz w:val="22"/>
        </w:rPr>
      </w:pPr>
      <w:r w:rsidRPr="009B4A73">
        <w:rPr>
          <w:sz w:val="22"/>
        </w:rPr>
        <w:t xml:space="preserve"> </w:t>
      </w:r>
    </w:p>
    <w:p w14:paraId="7BB08CC4" w14:textId="7C304E5F" w:rsidR="00D92EBC" w:rsidRPr="009B4A73" w:rsidRDefault="00A40B11" w:rsidP="00316679">
      <w:pPr>
        <w:spacing w:after="0" w:line="240" w:lineRule="auto"/>
        <w:ind w:left="426" w:right="8"/>
        <w:rPr>
          <w:sz w:val="22"/>
        </w:rPr>
      </w:pPr>
      <w:bookmarkStart w:id="0" w:name="_Hlk64466869"/>
      <w:r w:rsidRPr="009B4A73">
        <w:rPr>
          <w:sz w:val="22"/>
        </w:rPr>
        <w:t>T</w:t>
      </w:r>
      <w:r w:rsidR="006C4452" w:rsidRPr="009B4A73">
        <w:rPr>
          <w:sz w:val="22"/>
        </w:rPr>
        <w:t>rastuzumab</w:t>
      </w:r>
      <w:r w:rsidR="0078763F" w:rsidRPr="009B4A73">
        <w:rPr>
          <w:sz w:val="22"/>
        </w:rPr>
        <w:t xml:space="preserve"> </w:t>
      </w:r>
      <w:bookmarkEnd w:id="0"/>
      <w:r w:rsidR="0078763F" w:rsidRPr="009B4A73">
        <w:rPr>
          <w:sz w:val="22"/>
        </w:rPr>
        <w:t xml:space="preserve">is contraindicated in patients with known hypersensitivity to trastuzumab, Chinese hamster ovary cell proteins or to any of its excipients. </w:t>
      </w:r>
    </w:p>
    <w:p w14:paraId="22E11D82" w14:textId="77777777" w:rsidR="009047BD" w:rsidRPr="009B4A73" w:rsidRDefault="009047BD" w:rsidP="00316679">
      <w:pPr>
        <w:spacing w:after="0" w:line="240" w:lineRule="auto"/>
        <w:ind w:left="426" w:right="8"/>
        <w:rPr>
          <w:sz w:val="22"/>
        </w:rPr>
      </w:pPr>
    </w:p>
    <w:p w14:paraId="3F153AA8" w14:textId="52DE3189" w:rsidR="00D92EBC" w:rsidRPr="009B4A73" w:rsidRDefault="0078763F" w:rsidP="00316679">
      <w:pPr>
        <w:spacing w:after="0" w:line="240" w:lineRule="auto"/>
        <w:ind w:left="426" w:right="8"/>
        <w:rPr>
          <w:sz w:val="22"/>
        </w:rPr>
      </w:pPr>
      <w:r w:rsidRPr="009B4A73">
        <w:rPr>
          <w:sz w:val="22"/>
        </w:rPr>
        <w:t xml:space="preserve">In the treatment of early or locally advanced breast cancer, </w:t>
      </w:r>
      <w:r w:rsidR="00C508A1" w:rsidRPr="009B4A73">
        <w:rPr>
          <w:sz w:val="22"/>
        </w:rPr>
        <w:t xml:space="preserve">trastuzumab </w:t>
      </w:r>
      <w:r w:rsidRPr="009B4A73">
        <w:rPr>
          <w:sz w:val="22"/>
        </w:rPr>
        <w:t>is contraindicated in patients with a left ventricular ejection fraction of less than 45% and those with symptomatic heart failure.</w:t>
      </w:r>
    </w:p>
    <w:p w14:paraId="78F438B8" w14:textId="77777777" w:rsidR="009047BD" w:rsidRPr="009B4A73" w:rsidRDefault="009047BD" w:rsidP="00316679">
      <w:pPr>
        <w:spacing w:after="0" w:line="240" w:lineRule="auto"/>
        <w:ind w:left="426" w:right="8"/>
        <w:rPr>
          <w:sz w:val="22"/>
        </w:rPr>
      </w:pPr>
    </w:p>
    <w:p w14:paraId="0689CC60" w14:textId="248B0205" w:rsidR="00290044" w:rsidRPr="009B4A73" w:rsidRDefault="0078763F" w:rsidP="00391329">
      <w:pPr>
        <w:pStyle w:val="Heading1"/>
        <w:tabs>
          <w:tab w:val="left" w:pos="426"/>
        </w:tabs>
        <w:spacing w:after="0" w:line="240" w:lineRule="auto"/>
        <w:ind w:left="426" w:hanging="426"/>
        <w:rPr>
          <w:sz w:val="22"/>
        </w:rPr>
      </w:pPr>
      <w:r w:rsidRPr="009B4A73">
        <w:rPr>
          <w:sz w:val="22"/>
        </w:rPr>
        <w:t xml:space="preserve">4.4 </w:t>
      </w:r>
      <w:r w:rsidR="00061CA4" w:rsidRPr="009B4A73">
        <w:rPr>
          <w:sz w:val="22"/>
        </w:rPr>
        <w:tab/>
      </w:r>
      <w:r w:rsidR="00A959D7" w:rsidRPr="009B4A73">
        <w:rPr>
          <w:sz w:val="22"/>
        </w:rPr>
        <w:t xml:space="preserve">Special warnings and precautions for use </w:t>
      </w:r>
    </w:p>
    <w:p w14:paraId="0D471E3F" w14:textId="77777777" w:rsidR="00290044" w:rsidRPr="009B4A73" w:rsidRDefault="00290044" w:rsidP="00316679">
      <w:pPr>
        <w:pStyle w:val="Heading2"/>
        <w:spacing w:after="0" w:line="240" w:lineRule="auto"/>
        <w:ind w:left="426"/>
        <w:rPr>
          <w:sz w:val="22"/>
        </w:rPr>
      </w:pPr>
    </w:p>
    <w:p w14:paraId="2C7817D3" w14:textId="6F72417C" w:rsidR="00D92EBC" w:rsidRPr="009B4A73" w:rsidRDefault="0078763F" w:rsidP="00316679">
      <w:pPr>
        <w:pStyle w:val="Heading2"/>
        <w:spacing w:after="0" w:line="240" w:lineRule="auto"/>
        <w:ind w:left="426"/>
        <w:rPr>
          <w:b w:val="0"/>
          <w:bCs/>
          <w:sz w:val="22"/>
          <w:u w:val="single"/>
        </w:rPr>
      </w:pPr>
      <w:r w:rsidRPr="009B4A73">
        <w:rPr>
          <w:b w:val="0"/>
          <w:bCs/>
          <w:sz w:val="22"/>
          <w:u w:val="single"/>
        </w:rPr>
        <w:t xml:space="preserve">General </w:t>
      </w:r>
    </w:p>
    <w:p w14:paraId="082F65B8" w14:textId="77777777" w:rsidR="009047BD" w:rsidRPr="009B4A73" w:rsidRDefault="009047BD" w:rsidP="00316679">
      <w:pPr>
        <w:spacing w:after="0" w:line="240" w:lineRule="auto"/>
        <w:ind w:left="426"/>
        <w:rPr>
          <w:sz w:val="22"/>
        </w:rPr>
      </w:pPr>
    </w:p>
    <w:p w14:paraId="1636B67F" w14:textId="311F356E" w:rsidR="00D92EBC" w:rsidRPr="009B4A73" w:rsidRDefault="00A40B11" w:rsidP="00316679">
      <w:pPr>
        <w:spacing w:after="0" w:line="240" w:lineRule="auto"/>
        <w:ind w:left="426" w:right="8"/>
        <w:rPr>
          <w:sz w:val="22"/>
        </w:rPr>
      </w:pPr>
      <w:r w:rsidRPr="009B4A73">
        <w:rPr>
          <w:sz w:val="22"/>
        </w:rPr>
        <w:lastRenderedPageBreak/>
        <w:t>Trastuzumab</w:t>
      </w:r>
      <w:r w:rsidR="0078763F" w:rsidRPr="009B4A73">
        <w:rPr>
          <w:sz w:val="22"/>
        </w:rPr>
        <w:t xml:space="preserve"> therapy should only be initiated under the supervision of a physician experienced in the treatment of cancer patients.</w:t>
      </w:r>
      <w:r w:rsidR="008805AA" w:rsidRPr="009B4A73">
        <w:rPr>
          <w:sz w:val="22"/>
        </w:rPr>
        <w:t xml:space="preserve"> </w:t>
      </w:r>
      <w:r w:rsidR="0078763F" w:rsidRPr="009B4A73">
        <w:rPr>
          <w:sz w:val="22"/>
        </w:rPr>
        <w:t>Usual clinical care should be taken to prevent microbial contamination of the intravenous access sites used to deliver</w:t>
      </w:r>
      <w:r w:rsidR="00C508A1" w:rsidRPr="009B4A73">
        <w:rPr>
          <w:sz w:val="22"/>
        </w:rPr>
        <w:t xml:space="preserve"> trastuzumab</w:t>
      </w:r>
      <w:r w:rsidR="0078763F" w:rsidRPr="009B4A73">
        <w:rPr>
          <w:sz w:val="22"/>
        </w:rPr>
        <w:t xml:space="preserve"> therapy. </w:t>
      </w:r>
      <w:r w:rsidRPr="009B4A73">
        <w:rPr>
          <w:sz w:val="22"/>
        </w:rPr>
        <w:t>Trastuzumab</w:t>
      </w:r>
      <w:r w:rsidR="0078763F" w:rsidRPr="009B4A73">
        <w:rPr>
          <w:sz w:val="22"/>
        </w:rPr>
        <w:t xml:space="preserve"> should be administered by a healthcare professional prepared to manage anaphylaxis and adequate life support facilities should be available. Treatment may be administered in an outpatient setting. </w:t>
      </w:r>
    </w:p>
    <w:p w14:paraId="38533D0F" w14:textId="77777777" w:rsidR="009047BD" w:rsidRPr="009B4A73" w:rsidRDefault="009047BD" w:rsidP="00316679">
      <w:pPr>
        <w:spacing w:after="0" w:line="240" w:lineRule="auto"/>
        <w:ind w:left="426" w:right="8"/>
        <w:rPr>
          <w:sz w:val="22"/>
        </w:rPr>
      </w:pPr>
    </w:p>
    <w:p w14:paraId="5A9D25DC" w14:textId="4D1760B1" w:rsidR="009047BD" w:rsidRPr="009B4A73" w:rsidRDefault="0078763F" w:rsidP="00316679">
      <w:pPr>
        <w:spacing w:after="0" w:line="240" w:lineRule="auto"/>
        <w:ind w:left="426" w:right="8"/>
        <w:rPr>
          <w:i/>
          <w:sz w:val="22"/>
        </w:rPr>
      </w:pPr>
      <w:r w:rsidRPr="009B4A73">
        <w:rPr>
          <w:sz w:val="22"/>
        </w:rPr>
        <w:t>If</w:t>
      </w:r>
      <w:r w:rsidR="0056577E" w:rsidRPr="009B4A73">
        <w:rPr>
          <w:sz w:val="22"/>
        </w:rPr>
        <w:t xml:space="preserve"> trastuzumab</w:t>
      </w:r>
      <w:r w:rsidRPr="009B4A73">
        <w:rPr>
          <w:sz w:val="22"/>
        </w:rPr>
        <w:t xml:space="preserve"> is used concurrently with cytotoxic chemotherapy, the specific guidelines used to reduce or hold the dose of chemotherapy should be followed.</w:t>
      </w:r>
      <w:r w:rsidR="008805AA" w:rsidRPr="009B4A73">
        <w:rPr>
          <w:sz w:val="22"/>
        </w:rPr>
        <w:t xml:space="preserve"> </w:t>
      </w:r>
      <w:r w:rsidRPr="009B4A73">
        <w:rPr>
          <w:sz w:val="22"/>
        </w:rPr>
        <w:t>Patients may continue</w:t>
      </w:r>
      <w:r w:rsidR="00CE0B5E" w:rsidRPr="009B4A73">
        <w:rPr>
          <w:sz w:val="22"/>
        </w:rPr>
        <w:t xml:space="preserve"> </w:t>
      </w:r>
      <w:r w:rsidR="0056577E" w:rsidRPr="009B4A73">
        <w:rPr>
          <w:sz w:val="22"/>
        </w:rPr>
        <w:t>trastuzumab</w:t>
      </w:r>
      <w:r w:rsidRPr="009B4A73">
        <w:rPr>
          <w:sz w:val="22"/>
        </w:rPr>
        <w:t xml:space="preserve"> therapy during periods of reversible chemotherapy-induced myelosuppression, renal </w:t>
      </w:r>
      <w:proofErr w:type="gramStart"/>
      <w:r w:rsidRPr="009B4A73">
        <w:rPr>
          <w:sz w:val="22"/>
        </w:rPr>
        <w:t>toxicity</w:t>
      </w:r>
      <w:proofErr w:type="gramEnd"/>
      <w:r w:rsidRPr="009B4A73">
        <w:rPr>
          <w:sz w:val="22"/>
        </w:rPr>
        <w:t xml:space="preserve"> or hepatic toxicity.</w:t>
      </w:r>
    </w:p>
    <w:p w14:paraId="4C03EC7E" w14:textId="6C5A2DD5" w:rsidR="00D92EBC" w:rsidRPr="009B4A73" w:rsidRDefault="0078763F" w:rsidP="00316679">
      <w:pPr>
        <w:spacing w:after="0" w:line="240" w:lineRule="auto"/>
        <w:ind w:left="426" w:right="8"/>
        <w:rPr>
          <w:sz w:val="22"/>
        </w:rPr>
      </w:pPr>
      <w:r w:rsidRPr="009B4A73">
        <w:rPr>
          <w:i/>
          <w:sz w:val="22"/>
        </w:rPr>
        <w:t xml:space="preserve"> </w:t>
      </w:r>
    </w:p>
    <w:p w14:paraId="4D948D1E" w14:textId="43BCE059" w:rsidR="00D92EBC" w:rsidRPr="009B4A73" w:rsidRDefault="0078763F" w:rsidP="00316679">
      <w:pPr>
        <w:pStyle w:val="Heading2"/>
        <w:spacing w:after="0" w:line="240" w:lineRule="auto"/>
        <w:ind w:left="426"/>
        <w:rPr>
          <w:b w:val="0"/>
          <w:bCs/>
          <w:sz w:val="22"/>
          <w:u w:val="single"/>
        </w:rPr>
      </w:pPr>
      <w:r w:rsidRPr="009B4A73">
        <w:rPr>
          <w:b w:val="0"/>
          <w:bCs/>
          <w:sz w:val="22"/>
          <w:u w:val="single"/>
        </w:rPr>
        <w:t xml:space="preserve">Cardiac </w:t>
      </w:r>
      <w:r w:rsidR="00A40B11" w:rsidRPr="009B4A73">
        <w:rPr>
          <w:b w:val="0"/>
          <w:bCs/>
          <w:sz w:val="22"/>
          <w:u w:val="single"/>
        </w:rPr>
        <w:t>d</w:t>
      </w:r>
      <w:r w:rsidRPr="009B4A73">
        <w:rPr>
          <w:b w:val="0"/>
          <w:bCs/>
          <w:sz w:val="22"/>
          <w:u w:val="single"/>
        </w:rPr>
        <w:t xml:space="preserve">ysfunction </w:t>
      </w:r>
    </w:p>
    <w:p w14:paraId="0E59AF90" w14:textId="77777777" w:rsidR="009047BD" w:rsidRPr="009B4A73" w:rsidRDefault="009047BD" w:rsidP="00316679">
      <w:pPr>
        <w:spacing w:after="0" w:line="240" w:lineRule="auto"/>
        <w:ind w:left="426"/>
        <w:rPr>
          <w:sz w:val="22"/>
        </w:rPr>
      </w:pPr>
    </w:p>
    <w:p w14:paraId="56F68E97" w14:textId="740442F5" w:rsidR="00D92EBC" w:rsidRPr="009B4A73" w:rsidRDefault="0078763F" w:rsidP="00316679">
      <w:pPr>
        <w:pStyle w:val="Heading3"/>
        <w:spacing w:after="92" w:line="240" w:lineRule="auto"/>
        <w:ind w:left="426" w:right="1296"/>
        <w:rPr>
          <w:i/>
          <w:iCs/>
          <w:sz w:val="22"/>
        </w:rPr>
      </w:pPr>
      <w:r w:rsidRPr="009B4A73">
        <w:rPr>
          <w:i/>
          <w:iCs/>
          <w:sz w:val="22"/>
        </w:rPr>
        <w:t xml:space="preserve">General considerations </w:t>
      </w:r>
    </w:p>
    <w:p w14:paraId="6289A943" w14:textId="77777777" w:rsidR="00B31544" w:rsidRPr="009B4A73" w:rsidRDefault="00B31544" w:rsidP="00316679">
      <w:pPr>
        <w:spacing w:after="0" w:line="240" w:lineRule="auto"/>
        <w:ind w:left="426" w:hanging="11"/>
        <w:rPr>
          <w:sz w:val="22"/>
        </w:rPr>
      </w:pPr>
    </w:p>
    <w:p w14:paraId="722AD7F2" w14:textId="7858D5CB" w:rsidR="00B31544" w:rsidRPr="009B4A73" w:rsidRDefault="0078763F" w:rsidP="00316679">
      <w:pPr>
        <w:spacing w:after="0" w:line="240" w:lineRule="auto"/>
        <w:ind w:left="426" w:right="8"/>
        <w:rPr>
          <w:sz w:val="22"/>
        </w:rPr>
      </w:pPr>
      <w:r w:rsidRPr="009B4A73">
        <w:rPr>
          <w:sz w:val="22"/>
        </w:rPr>
        <w:t>Patients treated with</w:t>
      </w:r>
      <w:r w:rsidR="00CE0B5E" w:rsidRPr="009B4A73">
        <w:rPr>
          <w:sz w:val="22"/>
        </w:rPr>
        <w:t xml:space="preserve"> </w:t>
      </w:r>
      <w:r w:rsidR="00180C38" w:rsidRPr="009B4A73">
        <w:rPr>
          <w:sz w:val="22"/>
        </w:rPr>
        <w:t>trastuzumab</w:t>
      </w:r>
      <w:r w:rsidRPr="009B4A73">
        <w:rPr>
          <w:sz w:val="22"/>
        </w:rPr>
        <w:t xml:space="preserve"> are at increased risk of developing congestive heart failure (CHF) (New York Heart Association [NYHA] class II-IV) or asymptomatic cardiac dysfunction. These events have been observed in patients receiving</w:t>
      </w:r>
      <w:r w:rsidR="00CE0B5E" w:rsidRPr="009B4A73">
        <w:rPr>
          <w:sz w:val="22"/>
        </w:rPr>
        <w:t xml:space="preserve"> </w:t>
      </w:r>
      <w:r w:rsidR="004900D7" w:rsidRPr="009B4A73">
        <w:rPr>
          <w:sz w:val="22"/>
        </w:rPr>
        <w:t>trastuzumab</w:t>
      </w:r>
      <w:r w:rsidRPr="009B4A73">
        <w:rPr>
          <w:sz w:val="22"/>
        </w:rPr>
        <w:t xml:space="preserve"> therapy alone or in combination with a </w:t>
      </w:r>
      <w:proofErr w:type="spellStart"/>
      <w:r w:rsidRPr="009B4A73">
        <w:rPr>
          <w:sz w:val="22"/>
        </w:rPr>
        <w:t>taxane</w:t>
      </w:r>
      <w:proofErr w:type="spellEnd"/>
      <w:r w:rsidRPr="009B4A73">
        <w:rPr>
          <w:sz w:val="22"/>
        </w:rPr>
        <w:t xml:space="preserve"> following anthracycline (doxorubicin or </w:t>
      </w:r>
      <w:proofErr w:type="spellStart"/>
      <w:r w:rsidRPr="009B4A73">
        <w:rPr>
          <w:sz w:val="22"/>
        </w:rPr>
        <w:t>epirubicin</w:t>
      </w:r>
      <w:proofErr w:type="spellEnd"/>
      <w:r w:rsidRPr="009B4A73">
        <w:rPr>
          <w:sz w:val="22"/>
        </w:rPr>
        <w:t xml:space="preserve">)–containing chemotherapy. This may be moderate to severe and has been associated with death. In addition, caution should be exercised in treating patients with increased cardiac risk </w:t>
      </w:r>
      <w:proofErr w:type="gramStart"/>
      <w:r w:rsidRPr="009B4A73">
        <w:rPr>
          <w:sz w:val="22"/>
        </w:rPr>
        <w:t>e.g.</w:t>
      </w:r>
      <w:proofErr w:type="gramEnd"/>
      <w:r w:rsidRPr="009B4A73">
        <w:rPr>
          <w:sz w:val="22"/>
        </w:rPr>
        <w:t xml:space="preserve"> hypertension, documented coronary artery disease, CHF, diastolic dysfunction, older age.</w:t>
      </w:r>
    </w:p>
    <w:p w14:paraId="4BC916C3" w14:textId="562F5DB5" w:rsidR="00D92EBC" w:rsidRPr="009B4A73" w:rsidRDefault="0078763F" w:rsidP="00316679">
      <w:pPr>
        <w:spacing w:after="0" w:line="240" w:lineRule="auto"/>
        <w:ind w:left="426" w:right="8"/>
        <w:rPr>
          <w:sz w:val="22"/>
        </w:rPr>
      </w:pPr>
      <w:r w:rsidRPr="009B4A73">
        <w:rPr>
          <w:sz w:val="22"/>
        </w:rPr>
        <w:t xml:space="preserve"> </w:t>
      </w:r>
    </w:p>
    <w:p w14:paraId="7C7B23DB" w14:textId="12D359EC" w:rsidR="00D92EBC" w:rsidRPr="009B4A73" w:rsidRDefault="0078763F" w:rsidP="00316679">
      <w:pPr>
        <w:spacing w:after="0" w:line="240" w:lineRule="auto"/>
        <w:ind w:left="426" w:right="8"/>
        <w:rPr>
          <w:sz w:val="22"/>
        </w:rPr>
      </w:pPr>
      <w:r w:rsidRPr="009B4A73">
        <w:rPr>
          <w:spacing w:val="2"/>
          <w:sz w:val="22"/>
        </w:rPr>
        <w:t>Population pharmacokinetic model simulations indicate that trastuzumab may persist in the circulation for up to 7</w:t>
      </w:r>
      <w:r w:rsidRPr="009B4A73">
        <w:rPr>
          <w:sz w:val="22"/>
        </w:rPr>
        <w:t xml:space="preserve"> months after stopping</w:t>
      </w:r>
      <w:r w:rsidR="00CE0B5E" w:rsidRPr="009B4A73">
        <w:rPr>
          <w:sz w:val="22"/>
        </w:rPr>
        <w:t xml:space="preserve"> </w:t>
      </w:r>
      <w:r w:rsidR="00294EE2" w:rsidRPr="009B4A73">
        <w:rPr>
          <w:sz w:val="22"/>
        </w:rPr>
        <w:t>trastuzumab</w:t>
      </w:r>
      <w:r w:rsidRPr="009B4A73">
        <w:rPr>
          <w:sz w:val="22"/>
        </w:rPr>
        <w:t xml:space="preserve"> treatment (see Section 5.2 Pharmacokinetic </w:t>
      </w:r>
      <w:r w:rsidR="00F94AD5" w:rsidRPr="009B4A73">
        <w:rPr>
          <w:sz w:val="22"/>
        </w:rPr>
        <w:t>p</w:t>
      </w:r>
      <w:r w:rsidRPr="009B4A73">
        <w:rPr>
          <w:sz w:val="22"/>
        </w:rPr>
        <w:t>ropertie</w:t>
      </w:r>
      <w:r w:rsidRPr="009B4A73">
        <w:rPr>
          <w:b/>
          <w:sz w:val="22"/>
        </w:rPr>
        <w:t>s</w:t>
      </w:r>
      <w:r w:rsidRPr="009B4A73">
        <w:rPr>
          <w:sz w:val="22"/>
        </w:rPr>
        <w:t>). Patients who receive anthracycline after stopping</w:t>
      </w:r>
      <w:r w:rsidR="00CE0B5E" w:rsidRPr="009B4A73">
        <w:rPr>
          <w:sz w:val="22"/>
        </w:rPr>
        <w:t xml:space="preserve"> </w:t>
      </w:r>
      <w:r w:rsidR="00294EE2" w:rsidRPr="009B4A73">
        <w:rPr>
          <w:sz w:val="22"/>
        </w:rPr>
        <w:t>trastuzumab</w:t>
      </w:r>
      <w:r w:rsidRPr="009B4A73">
        <w:rPr>
          <w:sz w:val="22"/>
        </w:rPr>
        <w:t xml:space="preserve"> may also be at increased risk of cardiac dysfunction. If possible, physicians should avoid anthracycline-based therapy for up to 7 months after stopping</w:t>
      </w:r>
      <w:r w:rsidR="00CE0B5E" w:rsidRPr="009B4A73">
        <w:rPr>
          <w:sz w:val="22"/>
        </w:rPr>
        <w:t xml:space="preserve"> </w:t>
      </w:r>
      <w:r w:rsidR="00294EE2" w:rsidRPr="009B4A73">
        <w:rPr>
          <w:sz w:val="22"/>
        </w:rPr>
        <w:t>trastuzumab</w:t>
      </w:r>
      <w:r w:rsidRPr="009B4A73">
        <w:rPr>
          <w:sz w:val="22"/>
        </w:rPr>
        <w:t>. If anthracyclines are used, the patient’s cardiac function should be monitored carefully.</w:t>
      </w:r>
    </w:p>
    <w:p w14:paraId="76DD7121" w14:textId="77777777" w:rsidR="00B31544" w:rsidRPr="009B4A73" w:rsidRDefault="00B31544" w:rsidP="00316679">
      <w:pPr>
        <w:spacing w:after="0" w:line="240" w:lineRule="auto"/>
        <w:ind w:left="426" w:right="8"/>
        <w:rPr>
          <w:sz w:val="22"/>
        </w:rPr>
      </w:pPr>
    </w:p>
    <w:p w14:paraId="0C00FFA7" w14:textId="707A6F7B" w:rsidR="00D92EBC" w:rsidRPr="009B4A73" w:rsidRDefault="0078763F" w:rsidP="00316679">
      <w:pPr>
        <w:spacing w:after="11" w:line="240" w:lineRule="auto"/>
        <w:ind w:left="426" w:right="8"/>
        <w:rPr>
          <w:sz w:val="22"/>
        </w:rPr>
      </w:pPr>
      <w:r w:rsidRPr="009B4A73">
        <w:rPr>
          <w:sz w:val="22"/>
        </w:rPr>
        <w:t>Candidates for treatment with</w:t>
      </w:r>
      <w:r w:rsidR="00CE0B5E" w:rsidRPr="009B4A73">
        <w:rPr>
          <w:sz w:val="22"/>
        </w:rPr>
        <w:t xml:space="preserve"> </w:t>
      </w:r>
      <w:r w:rsidR="00F27C0A" w:rsidRPr="009B4A73">
        <w:rPr>
          <w:sz w:val="22"/>
        </w:rPr>
        <w:t>trastuzumab</w:t>
      </w:r>
      <w:r w:rsidRPr="009B4A73">
        <w:rPr>
          <w:sz w:val="22"/>
        </w:rPr>
        <w:t>, especially those with prior anthracycline and cyclophosphamide</w:t>
      </w:r>
      <w:r w:rsidR="00290044" w:rsidRPr="009B4A73">
        <w:rPr>
          <w:sz w:val="22"/>
        </w:rPr>
        <w:t xml:space="preserve"> </w:t>
      </w:r>
      <w:r w:rsidRPr="009B4A73">
        <w:rPr>
          <w:sz w:val="22"/>
        </w:rPr>
        <w:t xml:space="preserve">(AC) exposure, should undergo baseline cardiac assessment including history and physical examination, </w:t>
      </w:r>
      <w:proofErr w:type="gramStart"/>
      <w:r w:rsidRPr="009B4A73">
        <w:rPr>
          <w:sz w:val="22"/>
        </w:rPr>
        <w:t>ECG</w:t>
      </w:r>
      <w:proofErr w:type="gramEnd"/>
      <w:r w:rsidRPr="009B4A73">
        <w:rPr>
          <w:sz w:val="22"/>
        </w:rPr>
        <w:t xml:space="preserve"> and echocardiogram, or MUGA scan.</w:t>
      </w:r>
      <w:r w:rsidR="008C0640" w:rsidRPr="009B4A73">
        <w:rPr>
          <w:sz w:val="22"/>
        </w:rPr>
        <w:t xml:space="preserve"> </w:t>
      </w:r>
      <w:r w:rsidRPr="009B4A73">
        <w:rPr>
          <w:sz w:val="22"/>
        </w:rPr>
        <w:t xml:space="preserve">Monitoring may help to identify patients who develop cardiac dysfunction, </w:t>
      </w:r>
      <w:r w:rsidRPr="009B4A73">
        <w:rPr>
          <w:spacing w:val="2"/>
          <w:sz w:val="22"/>
        </w:rPr>
        <w:t>including signs and symptoms of CHF. Cardiac assessments, as performed at baseline, should be repeated every 3</w:t>
      </w:r>
      <w:r w:rsidRPr="009B4A73">
        <w:rPr>
          <w:sz w:val="22"/>
        </w:rPr>
        <w:t xml:space="preserve"> months during treatment and every 6 months following discontinuation of treatment until 24 months from the last administration of</w:t>
      </w:r>
      <w:r w:rsidR="00CE0B5E" w:rsidRPr="009B4A73">
        <w:rPr>
          <w:sz w:val="22"/>
        </w:rPr>
        <w:t xml:space="preserve"> </w:t>
      </w:r>
      <w:r w:rsidR="00F27C0A" w:rsidRPr="009B4A73">
        <w:rPr>
          <w:sz w:val="22"/>
        </w:rPr>
        <w:t>trastuzumab</w:t>
      </w:r>
      <w:r w:rsidRPr="009B4A73">
        <w:rPr>
          <w:sz w:val="22"/>
        </w:rPr>
        <w:t>.</w:t>
      </w:r>
    </w:p>
    <w:p w14:paraId="7045F96F" w14:textId="77777777" w:rsidR="00B31544" w:rsidRPr="009B4A73" w:rsidRDefault="00B31544" w:rsidP="00316679">
      <w:pPr>
        <w:spacing w:after="0" w:line="240" w:lineRule="auto"/>
        <w:ind w:left="426" w:right="8"/>
        <w:rPr>
          <w:sz w:val="22"/>
        </w:rPr>
      </w:pPr>
    </w:p>
    <w:p w14:paraId="1D5C72A7" w14:textId="77777777" w:rsidR="00D92EBC" w:rsidRPr="009B4A73" w:rsidRDefault="0078763F" w:rsidP="00316679">
      <w:pPr>
        <w:spacing w:after="11" w:line="240" w:lineRule="auto"/>
        <w:ind w:left="426" w:right="8"/>
        <w:rPr>
          <w:sz w:val="22"/>
        </w:rPr>
      </w:pPr>
      <w:r w:rsidRPr="009B4A73">
        <w:rPr>
          <w:sz w:val="22"/>
        </w:rPr>
        <w:t xml:space="preserve">If left ventricular ejection fraction (LVEF) drops 10 percentage points from baseline and to below 50%, </w:t>
      </w:r>
    </w:p>
    <w:p w14:paraId="6CA9B68B" w14:textId="24A0379C" w:rsidR="00D92EBC" w:rsidRPr="009B4A73" w:rsidRDefault="00F27C0A" w:rsidP="00316679">
      <w:pPr>
        <w:spacing w:after="11" w:line="240" w:lineRule="auto"/>
        <w:ind w:left="426" w:right="8"/>
        <w:rPr>
          <w:sz w:val="22"/>
        </w:rPr>
      </w:pPr>
      <w:r w:rsidRPr="009B4A73">
        <w:rPr>
          <w:sz w:val="22"/>
        </w:rPr>
        <w:t xml:space="preserve"> trastuzumab</w:t>
      </w:r>
      <w:r w:rsidR="0078763F" w:rsidRPr="009B4A73">
        <w:rPr>
          <w:sz w:val="22"/>
        </w:rPr>
        <w:t xml:space="preserve"> should be withheld and a repeat LVEF assessment performed within approximately 3 weeks. If LVEF has not improved, or declined further, or clinically significant CHF has developed, discontinuation of</w:t>
      </w:r>
      <w:r w:rsidR="00CE0B5E" w:rsidRPr="009B4A73">
        <w:rPr>
          <w:sz w:val="22"/>
        </w:rPr>
        <w:t xml:space="preserve"> </w:t>
      </w:r>
      <w:r w:rsidRPr="009B4A73">
        <w:rPr>
          <w:sz w:val="22"/>
        </w:rPr>
        <w:t>trastuzumab</w:t>
      </w:r>
      <w:r w:rsidR="0078763F" w:rsidRPr="009B4A73">
        <w:rPr>
          <w:sz w:val="22"/>
        </w:rPr>
        <w:t xml:space="preserve"> should be strongly considered, unless the benefits for the individual patient are deemed to outweigh the risks.</w:t>
      </w:r>
    </w:p>
    <w:p w14:paraId="35DA4BFB" w14:textId="77777777" w:rsidR="00B31544" w:rsidRPr="009B4A73" w:rsidRDefault="00B31544" w:rsidP="00316679">
      <w:pPr>
        <w:spacing w:after="0" w:line="240" w:lineRule="auto"/>
        <w:ind w:left="426"/>
        <w:jc w:val="both"/>
        <w:rPr>
          <w:sz w:val="22"/>
        </w:rPr>
      </w:pPr>
    </w:p>
    <w:p w14:paraId="45CCDF84" w14:textId="16E720BF" w:rsidR="00D92EBC" w:rsidRPr="009B4A73" w:rsidRDefault="0078763F" w:rsidP="00316679">
      <w:pPr>
        <w:spacing w:after="0" w:line="240" w:lineRule="auto"/>
        <w:ind w:left="426" w:right="8"/>
        <w:rPr>
          <w:sz w:val="22"/>
        </w:rPr>
      </w:pPr>
      <w:r w:rsidRPr="009B4A73">
        <w:rPr>
          <w:sz w:val="22"/>
        </w:rPr>
        <w:t>Patients who develop asymptomatic cardiac dysfunction may benefit from more frequent monitoring (</w:t>
      </w:r>
      <w:proofErr w:type="gramStart"/>
      <w:r w:rsidRPr="009B4A73">
        <w:rPr>
          <w:sz w:val="22"/>
        </w:rPr>
        <w:t>e.g.</w:t>
      </w:r>
      <w:proofErr w:type="gramEnd"/>
      <w:r w:rsidRPr="009B4A73">
        <w:rPr>
          <w:sz w:val="22"/>
        </w:rPr>
        <w:t xml:space="preserve"> every 6 - 8 weeks).</w:t>
      </w:r>
      <w:r w:rsidR="008805AA" w:rsidRPr="009B4A73">
        <w:rPr>
          <w:sz w:val="22"/>
        </w:rPr>
        <w:t xml:space="preserve"> </w:t>
      </w:r>
      <w:r w:rsidRPr="009B4A73">
        <w:rPr>
          <w:sz w:val="22"/>
        </w:rPr>
        <w:t>If patients have a continued decrease in left ventricular function, but remain asymptomatic, the physician should consider discontinuing therapy unless the benefits for the individual patient are deemed to outweigh the risks.</w:t>
      </w:r>
    </w:p>
    <w:p w14:paraId="5CDD035F" w14:textId="77777777" w:rsidR="00B31544" w:rsidRPr="009B4A73" w:rsidRDefault="00B31544" w:rsidP="00316679">
      <w:pPr>
        <w:spacing w:after="0" w:line="240" w:lineRule="auto"/>
        <w:ind w:left="426" w:right="8"/>
        <w:rPr>
          <w:sz w:val="22"/>
        </w:rPr>
      </w:pPr>
    </w:p>
    <w:p w14:paraId="5FA7AFE1" w14:textId="260F8627" w:rsidR="00D92EBC" w:rsidRPr="009B4A73" w:rsidRDefault="0078763F" w:rsidP="00316679">
      <w:pPr>
        <w:spacing w:after="0" w:line="240" w:lineRule="auto"/>
        <w:ind w:left="426" w:right="8"/>
        <w:rPr>
          <w:sz w:val="22"/>
        </w:rPr>
      </w:pPr>
      <w:r w:rsidRPr="009B4A73">
        <w:rPr>
          <w:sz w:val="22"/>
        </w:rPr>
        <w:t>The safety of continuation or resumption of</w:t>
      </w:r>
      <w:r w:rsidR="00CE0B5E" w:rsidRPr="009B4A73">
        <w:rPr>
          <w:sz w:val="22"/>
        </w:rPr>
        <w:t xml:space="preserve"> </w:t>
      </w:r>
      <w:r w:rsidR="00F27C0A" w:rsidRPr="009B4A73">
        <w:rPr>
          <w:sz w:val="22"/>
        </w:rPr>
        <w:t>trastuzumab</w:t>
      </w:r>
      <w:r w:rsidRPr="009B4A73">
        <w:rPr>
          <w:sz w:val="22"/>
        </w:rPr>
        <w:t xml:space="preserve"> in patients who experience cardiac dysfunction has not been prospectively studied.</w:t>
      </w:r>
      <w:r w:rsidR="008805AA" w:rsidRPr="009B4A73">
        <w:rPr>
          <w:sz w:val="22"/>
        </w:rPr>
        <w:t xml:space="preserve"> </w:t>
      </w:r>
      <w:r w:rsidRPr="009B4A73">
        <w:rPr>
          <w:sz w:val="22"/>
        </w:rPr>
        <w:t>If symptomatic cardiac failure develops during</w:t>
      </w:r>
      <w:r w:rsidR="00CE0B5E" w:rsidRPr="009B4A73">
        <w:rPr>
          <w:sz w:val="22"/>
        </w:rPr>
        <w:t xml:space="preserve"> </w:t>
      </w:r>
      <w:r w:rsidR="00F27C0A" w:rsidRPr="009B4A73">
        <w:rPr>
          <w:sz w:val="22"/>
        </w:rPr>
        <w:t>trastuzumab</w:t>
      </w:r>
      <w:r w:rsidRPr="009B4A73">
        <w:rPr>
          <w:sz w:val="22"/>
        </w:rPr>
        <w:t xml:space="preserve"> therapy, it should be treated with the standard medications for this purpose. In the pivotal trials, most patients who developed heart failure or asymptomatic cardiac dysfunction improved with standard heart failure treatment consisting of angiotensin-converting enzyme (ACE) inhibitor or angiotensin receptor blocker (ARB) and a β-blocker.</w:t>
      </w:r>
      <w:r w:rsidR="00AC6E78" w:rsidRPr="009B4A73">
        <w:rPr>
          <w:sz w:val="22"/>
        </w:rPr>
        <w:t xml:space="preserve"> </w:t>
      </w:r>
      <w:proofErr w:type="gramStart"/>
      <w:r w:rsidRPr="009B4A73">
        <w:rPr>
          <w:sz w:val="22"/>
        </w:rPr>
        <w:t>The majority of</w:t>
      </w:r>
      <w:proofErr w:type="gramEnd"/>
      <w:r w:rsidRPr="009B4A73">
        <w:rPr>
          <w:sz w:val="22"/>
        </w:rPr>
        <w:t xml:space="preserve"> patients with cardiac symptoms and evidence of a clinical benefit of</w:t>
      </w:r>
      <w:r w:rsidR="00CE0B5E" w:rsidRPr="009B4A73">
        <w:rPr>
          <w:sz w:val="22"/>
        </w:rPr>
        <w:t xml:space="preserve"> </w:t>
      </w:r>
      <w:r w:rsidR="00F27C0A" w:rsidRPr="009B4A73">
        <w:rPr>
          <w:sz w:val="22"/>
        </w:rPr>
        <w:t>trastuzumab</w:t>
      </w:r>
      <w:r w:rsidRPr="009B4A73">
        <w:rPr>
          <w:sz w:val="22"/>
        </w:rPr>
        <w:t xml:space="preserve"> treatment continued on weekly therapy with</w:t>
      </w:r>
      <w:r w:rsidR="00CE0B5E" w:rsidRPr="009B4A73">
        <w:rPr>
          <w:sz w:val="22"/>
        </w:rPr>
        <w:t xml:space="preserve"> </w:t>
      </w:r>
      <w:r w:rsidR="00F27C0A" w:rsidRPr="009B4A73">
        <w:rPr>
          <w:sz w:val="22"/>
        </w:rPr>
        <w:t>trastuzumab</w:t>
      </w:r>
      <w:r w:rsidRPr="009B4A73">
        <w:rPr>
          <w:sz w:val="22"/>
        </w:rPr>
        <w:t xml:space="preserve"> without additional clinical cardiac events.</w:t>
      </w:r>
    </w:p>
    <w:p w14:paraId="4F8E3258" w14:textId="77777777" w:rsidR="00B31544" w:rsidRPr="009B4A73" w:rsidRDefault="00B31544" w:rsidP="00316679">
      <w:pPr>
        <w:spacing w:after="0" w:line="240" w:lineRule="auto"/>
        <w:ind w:left="426" w:right="8"/>
        <w:rPr>
          <w:sz w:val="22"/>
        </w:rPr>
      </w:pPr>
    </w:p>
    <w:p w14:paraId="3F133E47" w14:textId="102D0920" w:rsidR="00D92EBC" w:rsidRPr="009B4A73" w:rsidRDefault="0078763F" w:rsidP="00316679">
      <w:pPr>
        <w:pStyle w:val="Heading3"/>
        <w:spacing w:after="0" w:line="240" w:lineRule="auto"/>
        <w:ind w:left="426" w:right="1296"/>
        <w:rPr>
          <w:i/>
          <w:iCs/>
          <w:sz w:val="22"/>
          <w:u w:val="none"/>
        </w:rPr>
      </w:pPr>
      <w:r w:rsidRPr="009B4A73">
        <w:rPr>
          <w:i/>
          <w:iCs/>
          <w:sz w:val="22"/>
        </w:rPr>
        <w:lastRenderedPageBreak/>
        <w:t xml:space="preserve">Early and </w:t>
      </w:r>
      <w:r w:rsidR="00F90570" w:rsidRPr="009B4A73">
        <w:rPr>
          <w:i/>
          <w:iCs/>
          <w:sz w:val="22"/>
        </w:rPr>
        <w:t>l</w:t>
      </w:r>
      <w:r w:rsidRPr="009B4A73">
        <w:rPr>
          <w:i/>
          <w:iCs/>
          <w:sz w:val="22"/>
        </w:rPr>
        <w:t xml:space="preserve">ocally </w:t>
      </w:r>
      <w:r w:rsidR="00F90570" w:rsidRPr="009B4A73">
        <w:rPr>
          <w:i/>
          <w:iCs/>
          <w:sz w:val="22"/>
        </w:rPr>
        <w:t>a</w:t>
      </w:r>
      <w:r w:rsidRPr="009B4A73">
        <w:rPr>
          <w:i/>
          <w:iCs/>
          <w:sz w:val="22"/>
        </w:rPr>
        <w:t xml:space="preserve">dvanced </w:t>
      </w:r>
      <w:r w:rsidR="00F90570" w:rsidRPr="009B4A73">
        <w:rPr>
          <w:i/>
          <w:iCs/>
          <w:sz w:val="22"/>
        </w:rPr>
        <w:t>b</w:t>
      </w:r>
      <w:r w:rsidRPr="009B4A73">
        <w:rPr>
          <w:i/>
          <w:iCs/>
          <w:sz w:val="22"/>
        </w:rPr>
        <w:t xml:space="preserve">reast </w:t>
      </w:r>
      <w:r w:rsidR="00F90570" w:rsidRPr="009B4A73">
        <w:rPr>
          <w:i/>
          <w:iCs/>
          <w:sz w:val="22"/>
        </w:rPr>
        <w:t>c</w:t>
      </w:r>
      <w:r w:rsidRPr="009B4A73">
        <w:rPr>
          <w:i/>
          <w:iCs/>
          <w:sz w:val="22"/>
        </w:rPr>
        <w:t>ancer</w:t>
      </w:r>
    </w:p>
    <w:p w14:paraId="41DB2B3C" w14:textId="77777777" w:rsidR="00F62074" w:rsidRPr="009B4A73" w:rsidRDefault="00F62074" w:rsidP="00316679">
      <w:pPr>
        <w:spacing w:after="0" w:line="240" w:lineRule="auto"/>
        <w:ind w:left="426"/>
        <w:rPr>
          <w:sz w:val="22"/>
        </w:rPr>
      </w:pPr>
    </w:p>
    <w:p w14:paraId="4AB7E708" w14:textId="1240706A" w:rsidR="00F62074" w:rsidRPr="009B4A73" w:rsidRDefault="0078763F" w:rsidP="00316679">
      <w:pPr>
        <w:spacing w:after="110" w:line="240" w:lineRule="auto"/>
        <w:ind w:left="426" w:right="8"/>
        <w:rPr>
          <w:spacing w:val="4"/>
          <w:sz w:val="22"/>
        </w:rPr>
      </w:pPr>
      <w:r w:rsidRPr="009B4A73">
        <w:rPr>
          <w:spacing w:val="4"/>
          <w:sz w:val="22"/>
        </w:rPr>
        <w:t>For patients with early breast cancer, cardiac assessments, as performed at baseline, should be repeated every 3 months during treatment and every 6 months following discontinuation of treatment until 24 months from the last administration of</w:t>
      </w:r>
      <w:r w:rsidR="00CE0B5E" w:rsidRPr="009B4A73">
        <w:rPr>
          <w:spacing w:val="4"/>
          <w:sz w:val="22"/>
        </w:rPr>
        <w:t xml:space="preserve"> </w:t>
      </w:r>
      <w:r w:rsidR="009D5ADA" w:rsidRPr="009B4A73">
        <w:rPr>
          <w:spacing w:val="4"/>
          <w:sz w:val="22"/>
        </w:rPr>
        <w:t>trastuzumab</w:t>
      </w:r>
      <w:r w:rsidRPr="009B4A73">
        <w:rPr>
          <w:spacing w:val="4"/>
          <w:sz w:val="22"/>
        </w:rPr>
        <w:t xml:space="preserve">. In patients who receive anthracycline containing chemotherapy further monitoring is </w:t>
      </w:r>
      <w:proofErr w:type="gramStart"/>
      <w:r w:rsidRPr="009B4A73">
        <w:rPr>
          <w:spacing w:val="4"/>
          <w:sz w:val="22"/>
        </w:rPr>
        <w:t>recommended, and</w:t>
      </w:r>
      <w:proofErr w:type="gramEnd"/>
      <w:r w:rsidRPr="009B4A73">
        <w:rPr>
          <w:spacing w:val="4"/>
          <w:sz w:val="22"/>
        </w:rPr>
        <w:t xml:space="preserve"> should occur yearly up to 5 years from the last administration of</w:t>
      </w:r>
      <w:r w:rsidR="00CE0B5E" w:rsidRPr="009B4A73">
        <w:rPr>
          <w:spacing w:val="4"/>
          <w:sz w:val="22"/>
        </w:rPr>
        <w:t xml:space="preserve"> </w:t>
      </w:r>
      <w:r w:rsidR="009D5ADA" w:rsidRPr="009B4A73">
        <w:rPr>
          <w:spacing w:val="4"/>
          <w:sz w:val="22"/>
        </w:rPr>
        <w:t>trastuzumab</w:t>
      </w:r>
      <w:r w:rsidRPr="009B4A73">
        <w:rPr>
          <w:spacing w:val="4"/>
          <w:sz w:val="22"/>
        </w:rPr>
        <w:t>, or longer if a continuous decrease of LVEF is observed.</w:t>
      </w:r>
    </w:p>
    <w:p w14:paraId="60490714" w14:textId="1016834D" w:rsidR="00D92EBC" w:rsidRPr="009B4A73" w:rsidRDefault="0078763F" w:rsidP="00316679">
      <w:pPr>
        <w:spacing w:after="0" w:line="240" w:lineRule="auto"/>
        <w:ind w:left="426" w:right="8"/>
        <w:rPr>
          <w:sz w:val="22"/>
        </w:rPr>
      </w:pPr>
      <w:r w:rsidRPr="009B4A73">
        <w:rPr>
          <w:sz w:val="22"/>
        </w:rPr>
        <w:t xml:space="preserve"> </w:t>
      </w:r>
    </w:p>
    <w:p w14:paraId="6CA16992" w14:textId="0183111A" w:rsidR="00D92EBC" w:rsidRPr="009B4A73" w:rsidRDefault="0078763F" w:rsidP="00316679">
      <w:pPr>
        <w:spacing w:after="0" w:line="240" w:lineRule="auto"/>
        <w:ind w:left="426" w:right="8"/>
        <w:rPr>
          <w:sz w:val="22"/>
        </w:rPr>
      </w:pPr>
      <w:r w:rsidRPr="009B4A73">
        <w:rPr>
          <w:sz w:val="22"/>
        </w:rPr>
        <w:t>All patients should have a determination of LVEF prior to treatment. Use of</w:t>
      </w:r>
      <w:r w:rsidR="00CE0B5E" w:rsidRPr="009B4A73">
        <w:rPr>
          <w:sz w:val="22"/>
        </w:rPr>
        <w:t xml:space="preserve"> </w:t>
      </w:r>
      <w:r w:rsidR="009D5ADA" w:rsidRPr="009B4A73">
        <w:rPr>
          <w:sz w:val="22"/>
        </w:rPr>
        <w:t>trastuzumab</w:t>
      </w:r>
      <w:r w:rsidRPr="009B4A73">
        <w:rPr>
          <w:sz w:val="22"/>
        </w:rPr>
        <w:t xml:space="preserve"> is contraindicated in patients with early or locally advanced disease and a LVEF of less than 45% and those with symptomatic heart failure (see section 4.3 Contraindications). Patients with a LVEF of 45 - 55% at baseline should be monitored regularly for symptoms of heart failure during</w:t>
      </w:r>
      <w:r w:rsidR="00CE0B5E" w:rsidRPr="009B4A73">
        <w:rPr>
          <w:sz w:val="22"/>
        </w:rPr>
        <w:t xml:space="preserve"> </w:t>
      </w:r>
      <w:r w:rsidR="004F768C" w:rsidRPr="009B4A73">
        <w:rPr>
          <w:sz w:val="22"/>
        </w:rPr>
        <w:t>trastuzumab</w:t>
      </w:r>
      <w:r w:rsidRPr="009B4A73">
        <w:rPr>
          <w:sz w:val="22"/>
        </w:rPr>
        <w:t xml:space="preserve"> treatment.</w:t>
      </w:r>
    </w:p>
    <w:p w14:paraId="228ACBF9" w14:textId="77777777" w:rsidR="001337F5" w:rsidRPr="009B4A73" w:rsidRDefault="001337F5" w:rsidP="00316679">
      <w:pPr>
        <w:spacing w:after="0" w:line="240" w:lineRule="auto"/>
        <w:ind w:left="426" w:right="8"/>
        <w:rPr>
          <w:sz w:val="22"/>
        </w:rPr>
      </w:pPr>
    </w:p>
    <w:p w14:paraId="075C080B" w14:textId="0A8D1148" w:rsidR="00D92EBC" w:rsidRPr="009B4A73" w:rsidRDefault="0078763F" w:rsidP="00316679">
      <w:pPr>
        <w:spacing w:after="0" w:line="240" w:lineRule="auto"/>
        <w:ind w:left="426" w:right="8"/>
        <w:rPr>
          <w:sz w:val="22"/>
        </w:rPr>
      </w:pPr>
      <w:r w:rsidRPr="009B4A73">
        <w:rPr>
          <w:sz w:val="22"/>
        </w:rPr>
        <w:t>Patients with history of myocardial infarction (MI), angina pectoris requiring medication, history of or present CHF (NYHA Class II –IV), other cardiomyopathy, cardiac arrhythmia requiring medication, clinically significant cardiac valvular disease, poorly controlled hypertension (hypertension controlled by standard medication eligible), and haemodynamic effective pericardial effusion were excluded from adjuvant and neoadjuvant breast cancer clinical trials with</w:t>
      </w:r>
      <w:r w:rsidR="00CE0B5E" w:rsidRPr="009B4A73">
        <w:rPr>
          <w:sz w:val="22"/>
        </w:rPr>
        <w:t xml:space="preserve"> </w:t>
      </w:r>
      <w:r w:rsidR="004F768C" w:rsidRPr="009B4A73">
        <w:rPr>
          <w:sz w:val="22"/>
        </w:rPr>
        <w:t>trastuzumab</w:t>
      </w:r>
      <w:r w:rsidRPr="009B4A73">
        <w:rPr>
          <w:sz w:val="22"/>
        </w:rPr>
        <w:t>.</w:t>
      </w:r>
    </w:p>
    <w:p w14:paraId="755294BC" w14:textId="77777777" w:rsidR="001337F5" w:rsidRPr="009B4A73" w:rsidRDefault="001337F5" w:rsidP="00316679">
      <w:pPr>
        <w:spacing w:after="0" w:line="240" w:lineRule="auto"/>
        <w:ind w:left="426" w:right="8"/>
        <w:rPr>
          <w:sz w:val="22"/>
        </w:rPr>
      </w:pPr>
    </w:p>
    <w:p w14:paraId="0B05132E" w14:textId="77777777" w:rsidR="00266D55" w:rsidRPr="009B4A73" w:rsidRDefault="0078763F" w:rsidP="00316679">
      <w:pPr>
        <w:pStyle w:val="Heading3"/>
        <w:spacing w:after="0" w:line="240" w:lineRule="auto"/>
        <w:ind w:left="426" w:right="1296"/>
        <w:rPr>
          <w:i/>
          <w:iCs/>
          <w:sz w:val="22"/>
        </w:rPr>
      </w:pPr>
      <w:r w:rsidRPr="009B4A73">
        <w:rPr>
          <w:i/>
          <w:iCs/>
          <w:sz w:val="22"/>
        </w:rPr>
        <w:t>Adjuvant treatment</w:t>
      </w:r>
    </w:p>
    <w:p w14:paraId="70AD472A" w14:textId="2E83A2B0" w:rsidR="00D92EBC" w:rsidRPr="009B4A73" w:rsidRDefault="0078763F" w:rsidP="00316679">
      <w:pPr>
        <w:pStyle w:val="Heading3"/>
        <w:spacing w:after="0" w:line="240" w:lineRule="auto"/>
        <w:ind w:left="426" w:right="1296"/>
        <w:rPr>
          <w:sz w:val="22"/>
        </w:rPr>
      </w:pPr>
      <w:r w:rsidRPr="009B4A73">
        <w:rPr>
          <w:sz w:val="22"/>
          <w:u w:val="none"/>
        </w:rPr>
        <w:t xml:space="preserve"> </w:t>
      </w:r>
    </w:p>
    <w:p w14:paraId="429006CD" w14:textId="1F63815C" w:rsidR="00D92EBC" w:rsidRPr="009B4A73" w:rsidRDefault="00F90570" w:rsidP="00316679">
      <w:pPr>
        <w:spacing w:after="0" w:line="240" w:lineRule="auto"/>
        <w:ind w:left="426" w:right="8"/>
        <w:rPr>
          <w:sz w:val="22"/>
        </w:rPr>
      </w:pPr>
      <w:r w:rsidRPr="009B4A73">
        <w:rPr>
          <w:sz w:val="22"/>
        </w:rPr>
        <w:t>Trastuzumab</w:t>
      </w:r>
      <w:r w:rsidR="0078763F" w:rsidRPr="009B4A73">
        <w:rPr>
          <w:sz w:val="22"/>
        </w:rPr>
        <w:t xml:space="preserve"> and anthracyclines should not be given concurrently in the adjuvant treatment setting.</w:t>
      </w:r>
    </w:p>
    <w:p w14:paraId="0B5C94DE" w14:textId="77777777" w:rsidR="00266D55" w:rsidRPr="009B4A73" w:rsidRDefault="00266D55" w:rsidP="00316679">
      <w:pPr>
        <w:spacing w:after="0" w:line="240" w:lineRule="auto"/>
        <w:ind w:left="426" w:right="8"/>
        <w:rPr>
          <w:sz w:val="22"/>
        </w:rPr>
      </w:pPr>
    </w:p>
    <w:p w14:paraId="00A550FD" w14:textId="420B9B9A" w:rsidR="00266D55" w:rsidRPr="009B4A73" w:rsidRDefault="0078763F" w:rsidP="00316679">
      <w:pPr>
        <w:spacing w:after="0" w:line="240" w:lineRule="auto"/>
        <w:ind w:left="426" w:right="8"/>
        <w:rPr>
          <w:sz w:val="22"/>
        </w:rPr>
      </w:pPr>
      <w:r w:rsidRPr="009B4A73">
        <w:rPr>
          <w:sz w:val="22"/>
        </w:rPr>
        <w:t>An increase in the incidence of symptomatic and asymptomatic cardiac events was observed when</w:t>
      </w:r>
      <w:r w:rsidR="00CE0B5E" w:rsidRPr="009B4A73">
        <w:rPr>
          <w:sz w:val="22"/>
        </w:rPr>
        <w:t xml:space="preserve"> </w:t>
      </w:r>
      <w:r w:rsidR="004F768C" w:rsidRPr="009B4A73">
        <w:rPr>
          <w:sz w:val="22"/>
        </w:rPr>
        <w:t>trastuzumab</w:t>
      </w:r>
      <w:r w:rsidRPr="009B4A73">
        <w:rPr>
          <w:sz w:val="22"/>
        </w:rPr>
        <w:t xml:space="preserve"> was administered after anthracycline-containing chemotherapy compared to administration with a non</w:t>
      </w:r>
      <w:r w:rsidR="001B4427" w:rsidRPr="009B4A73">
        <w:rPr>
          <w:sz w:val="22"/>
        </w:rPr>
        <w:t>-</w:t>
      </w:r>
      <w:r w:rsidRPr="009B4A73">
        <w:rPr>
          <w:sz w:val="22"/>
        </w:rPr>
        <w:t>anthracycline regimen of docetaxel and carboplatin. The incidence was more marked when</w:t>
      </w:r>
      <w:r w:rsidR="00CE0B5E" w:rsidRPr="009B4A73">
        <w:rPr>
          <w:sz w:val="22"/>
        </w:rPr>
        <w:t xml:space="preserve"> </w:t>
      </w:r>
      <w:r w:rsidR="004F768C" w:rsidRPr="009B4A73">
        <w:rPr>
          <w:sz w:val="22"/>
        </w:rPr>
        <w:t>trastuzumab</w:t>
      </w:r>
      <w:r w:rsidRPr="009B4A73">
        <w:rPr>
          <w:sz w:val="22"/>
        </w:rPr>
        <w:t xml:space="preserve"> was administered concurrently with </w:t>
      </w:r>
      <w:proofErr w:type="spellStart"/>
      <w:r w:rsidRPr="009B4A73">
        <w:rPr>
          <w:sz w:val="22"/>
        </w:rPr>
        <w:t>taxanes</w:t>
      </w:r>
      <w:proofErr w:type="spellEnd"/>
      <w:r w:rsidRPr="009B4A73">
        <w:rPr>
          <w:sz w:val="22"/>
        </w:rPr>
        <w:t xml:space="preserve"> than when administered sequentially to </w:t>
      </w:r>
      <w:proofErr w:type="spellStart"/>
      <w:r w:rsidRPr="009B4A73">
        <w:rPr>
          <w:sz w:val="22"/>
        </w:rPr>
        <w:t>taxanes</w:t>
      </w:r>
      <w:proofErr w:type="spellEnd"/>
      <w:r w:rsidRPr="009B4A73">
        <w:rPr>
          <w:sz w:val="22"/>
        </w:rPr>
        <w:t>. Regardless of the regimen used, most symptomatic cardiac events occurred within the first 18</w:t>
      </w:r>
      <w:r w:rsidRPr="009B4A73">
        <w:rPr>
          <w:b/>
          <w:sz w:val="22"/>
        </w:rPr>
        <w:t xml:space="preserve"> </w:t>
      </w:r>
      <w:r w:rsidRPr="009B4A73">
        <w:rPr>
          <w:sz w:val="22"/>
        </w:rPr>
        <w:t>months.</w:t>
      </w:r>
    </w:p>
    <w:p w14:paraId="2A61B9B8" w14:textId="79C7CA35" w:rsidR="00D92EBC" w:rsidRPr="009B4A73" w:rsidRDefault="0078763F" w:rsidP="00316679">
      <w:pPr>
        <w:spacing w:after="0" w:line="240" w:lineRule="auto"/>
        <w:ind w:left="426" w:right="8"/>
        <w:rPr>
          <w:sz w:val="22"/>
        </w:rPr>
      </w:pPr>
      <w:r w:rsidRPr="009B4A73">
        <w:rPr>
          <w:sz w:val="22"/>
        </w:rPr>
        <w:t xml:space="preserve"> </w:t>
      </w:r>
    </w:p>
    <w:p w14:paraId="021E9A1E" w14:textId="33DCD100" w:rsidR="00D92EBC" w:rsidRPr="009B4A73" w:rsidRDefault="0078763F" w:rsidP="00316679">
      <w:pPr>
        <w:spacing w:after="0" w:line="240" w:lineRule="auto"/>
        <w:ind w:left="426" w:right="8"/>
        <w:rPr>
          <w:i/>
          <w:sz w:val="22"/>
        </w:rPr>
      </w:pPr>
      <w:r w:rsidRPr="009B4A73">
        <w:rPr>
          <w:sz w:val="22"/>
        </w:rPr>
        <w:t>Risk factors for a cardiac event, identified in 4 large adjuvant studies, included advanced age (&gt; 50 years), low level of baseline and declining LVEF (&lt; 55%), low LVEF prior to or following the initiation of paclitaxel treatment,</w:t>
      </w:r>
      <w:r w:rsidR="00CE0B5E" w:rsidRPr="009B4A73">
        <w:rPr>
          <w:sz w:val="22"/>
        </w:rPr>
        <w:t xml:space="preserve"> </w:t>
      </w:r>
      <w:r w:rsidR="00D36D4E" w:rsidRPr="009B4A73">
        <w:rPr>
          <w:sz w:val="22"/>
        </w:rPr>
        <w:t>trastuzumab</w:t>
      </w:r>
      <w:r w:rsidRPr="009B4A73">
        <w:rPr>
          <w:sz w:val="22"/>
        </w:rPr>
        <w:t xml:space="preserve"> treatment, and prior or concurrent use of anti-hypertensive medications. In patients receiving</w:t>
      </w:r>
      <w:r w:rsidR="00CE0B5E" w:rsidRPr="009B4A73">
        <w:rPr>
          <w:sz w:val="22"/>
        </w:rPr>
        <w:t xml:space="preserve"> </w:t>
      </w:r>
      <w:r w:rsidR="00D36D4E" w:rsidRPr="009B4A73">
        <w:rPr>
          <w:sz w:val="22"/>
        </w:rPr>
        <w:t>trastuzumab</w:t>
      </w:r>
      <w:r w:rsidRPr="009B4A73">
        <w:rPr>
          <w:sz w:val="22"/>
        </w:rPr>
        <w:t xml:space="preserve"> after completion of adjuvant chemotherapy the risk of cardiac dysfunction was associated with a higher cumulative dose of anthracycline given prior to initiation of</w:t>
      </w:r>
      <w:r w:rsidR="00CE0B5E" w:rsidRPr="009B4A73">
        <w:rPr>
          <w:sz w:val="22"/>
        </w:rPr>
        <w:t xml:space="preserve"> </w:t>
      </w:r>
      <w:r w:rsidR="00D36D4E" w:rsidRPr="009B4A73">
        <w:rPr>
          <w:sz w:val="22"/>
        </w:rPr>
        <w:t>trastuzumab</w:t>
      </w:r>
      <w:r w:rsidRPr="009B4A73">
        <w:rPr>
          <w:sz w:val="22"/>
        </w:rPr>
        <w:t xml:space="preserve"> and a high body mass index (&gt; 25 kg/m</w:t>
      </w:r>
      <w:r w:rsidRPr="009B4A73">
        <w:rPr>
          <w:sz w:val="22"/>
          <w:vertAlign w:val="superscript"/>
        </w:rPr>
        <w:t>2</w:t>
      </w:r>
      <w:r w:rsidRPr="009B4A73">
        <w:rPr>
          <w:sz w:val="22"/>
        </w:rPr>
        <w:t>).</w:t>
      </w:r>
    </w:p>
    <w:p w14:paraId="2BB64B18" w14:textId="77777777" w:rsidR="00DC7B6A" w:rsidRPr="009B4A73" w:rsidRDefault="00DC7B6A" w:rsidP="00316679">
      <w:pPr>
        <w:spacing w:after="0" w:line="240" w:lineRule="auto"/>
        <w:ind w:left="426" w:right="8"/>
        <w:rPr>
          <w:sz w:val="22"/>
        </w:rPr>
      </w:pPr>
    </w:p>
    <w:p w14:paraId="6B0B354E" w14:textId="7C674E49" w:rsidR="00D92EBC" w:rsidRPr="009B4A73" w:rsidRDefault="0078763F" w:rsidP="00316679">
      <w:pPr>
        <w:pStyle w:val="Heading3"/>
        <w:spacing w:after="0" w:line="240" w:lineRule="auto"/>
        <w:ind w:left="426" w:right="1296"/>
        <w:rPr>
          <w:i/>
          <w:iCs/>
          <w:sz w:val="22"/>
          <w:u w:val="none"/>
        </w:rPr>
      </w:pPr>
      <w:r w:rsidRPr="009B4A73">
        <w:rPr>
          <w:i/>
          <w:iCs/>
          <w:sz w:val="22"/>
        </w:rPr>
        <w:t>Neoadjuvant-adjuvant treatment</w:t>
      </w:r>
    </w:p>
    <w:p w14:paraId="39295EEE" w14:textId="77777777" w:rsidR="00DC7B6A" w:rsidRPr="009B4A73" w:rsidRDefault="00DC7B6A" w:rsidP="00316679">
      <w:pPr>
        <w:spacing w:after="0" w:line="240" w:lineRule="auto"/>
        <w:ind w:left="426"/>
        <w:rPr>
          <w:sz w:val="22"/>
        </w:rPr>
      </w:pPr>
    </w:p>
    <w:p w14:paraId="2808EB53" w14:textId="2233460D" w:rsidR="00D92EBC" w:rsidRPr="009B4A73" w:rsidRDefault="00F90570" w:rsidP="00316679">
      <w:pPr>
        <w:spacing w:after="0" w:line="240" w:lineRule="auto"/>
        <w:ind w:left="426" w:right="8"/>
        <w:rPr>
          <w:sz w:val="22"/>
        </w:rPr>
      </w:pPr>
      <w:r w:rsidRPr="009B4A73">
        <w:rPr>
          <w:sz w:val="22"/>
        </w:rPr>
        <w:t>Trastuzumab</w:t>
      </w:r>
      <w:r w:rsidR="0078763F" w:rsidRPr="009B4A73">
        <w:rPr>
          <w:sz w:val="22"/>
        </w:rPr>
        <w:t xml:space="preserve"> neoadjuvant-adjuvant treatment concurrent with anthracyclines should be used with caution and only in chemotherapy-naive patients. The maximum cumulative doses of the low-dose anthracycline regimens should not exceed 180 mg/m</w:t>
      </w:r>
      <w:r w:rsidR="0078763F" w:rsidRPr="009B4A73">
        <w:rPr>
          <w:sz w:val="22"/>
          <w:vertAlign w:val="superscript"/>
        </w:rPr>
        <w:t xml:space="preserve">2 </w:t>
      </w:r>
      <w:r w:rsidR="0078763F" w:rsidRPr="009B4A73">
        <w:rPr>
          <w:sz w:val="22"/>
        </w:rPr>
        <w:t>(doxorubicin) or 360 mg/m</w:t>
      </w:r>
      <w:r w:rsidR="0078763F" w:rsidRPr="009B4A73">
        <w:rPr>
          <w:sz w:val="22"/>
          <w:vertAlign w:val="superscript"/>
        </w:rPr>
        <w:t>2</w:t>
      </w:r>
      <w:r w:rsidR="0078763F" w:rsidRPr="009B4A73">
        <w:rPr>
          <w:sz w:val="22"/>
        </w:rPr>
        <w:t xml:space="preserve"> (</w:t>
      </w:r>
      <w:proofErr w:type="spellStart"/>
      <w:r w:rsidR="0078763F" w:rsidRPr="009B4A73">
        <w:rPr>
          <w:sz w:val="22"/>
        </w:rPr>
        <w:t>epirubicin</w:t>
      </w:r>
      <w:proofErr w:type="spellEnd"/>
      <w:r w:rsidR="0078763F" w:rsidRPr="009B4A73">
        <w:rPr>
          <w:sz w:val="22"/>
        </w:rPr>
        <w:t>).</w:t>
      </w:r>
    </w:p>
    <w:p w14:paraId="239CD655" w14:textId="77777777" w:rsidR="00F35452" w:rsidRPr="009B4A73" w:rsidRDefault="00F35452" w:rsidP="00316679">
      <w:pPr>
        <w:spacing w:after="0" w:line="240" w:lineRule="auto"/>
        <w:ind w:left="426" w:right="8"/>
        <w:rPr>
          <w:sz w:val="22"/>
        </w:rPr>
      </w:pPr>
    </w:p>
    <w:p w14:paraId="79388E9D" w14:textId="03146ACB" w:rsidR="00D92EBC" w:rsidRPr="009B4A73" w:rsidRDefault="0078763F" w:rsidP="00316679">
      <w:pPr>
        <w:spacing w:after="0" w:line="240" w:lineRule="auto"/>
        <w:ind w:left="426" w:right="8"/>
        <w:rPr>
          <w:sz w:val="22"/>
        </w:rPr>
      </w:pPr>
      <w:r w:rsidRPr="009B4A73">
        <w:rPr>
          <w:sz w:val="22"/>
        </w:rPr>
        <w:t>If patients have been treated concurrently with low-dose anthracyclines and</w:t>
      </w:r>
      <w:r w:rsidR="00CE0B5E" w:rsidRPr="009B4A73">
        <w:rPr>
          <w:sz w:val="22"/>
        </w:rPr>
        <w:t xml:space="preserve"> </w:t>
      </w:r>
      <w:r w:rsidR="00D36D4E" w:rsidRPr="009B4A73">
        <w:rPr>
          <w:sz w:val="22"/>
        </w:rPr>
        <w:t>trastuzumab</w:t>
      </w:r>
      <w:r w:rsidRPr="009B4A73">
        <w:rPr>
          <w:sz w:val="22"/>
        </w:rPr>
        <w:t xml:space="preserve"> in the neoadjuvant setting, no additional cytotoxic chemotherapy should be given after surgery</w:t>
      </w:r>
      <w:r w:rsidR="00F90570" w:rsidRPr="009B4A73">
        <w:rPr>
          <w:sz w:val="22"/>
        </w:rPr>
        <w:t>.</w:t>
      </w:r>
    </w:p>
    <w:p w14:paraId="61B0CA29" w14:textId="77777777" w:rsidR="004E04C8" w:rsidRPr="009B4A73" w:rsidRDefault="004E04C8" w:rsidP="00316679">
      <w:pPr>
        <w:spacing w:after="0" w:line="240" w:lineRule="auto"/>
        <w:ind w:left="426" w:right="8"/>
        <w:rPr>
          <w:sz w:val="22"/>
        </w:rPr>
      </w:pPr>
    </w:p>
    <w:p w14:paraId="09C41779" w14:textId="1D7B5F1A" w:rsidR="00D92EBC" w:rsidRPr="009B4A73" w:rsidRDefault="0078763F" w:rsidP="00316679">
      <w:pPr>
        <w:spacing w:after="0" w:line="240" w:lineRule="auto"/>
        <w:ind w:left="426" w:right="1296"/>
        <w:rPr>
          <w:i/>
          <w:iCs/>
          <w:sz w:val="22"/>
        </w:rPr>
      </w:pPr>
      <w:r w:rsidRPr="009B4A73">
        <w:rPr>
          <w:i/>
          <w:iCs/>
          <w:sz w:val="22"/>
          <w:u w:val="single" w:color="000000"/>
        </w:rPr>
        <w:t>Metastatic breast cancer</w:t>
      </w:r>
      <w:r w:rsidRPr="009B4A73">
        <w:rPr>
          <w:i/>
          <w:iCs/>
          <w:sz w:val="22"/>
        </w:rPr>
        <w:t xml:space="preserve"> </w:t>
      </w:r>
    </w:p>
    <w:p w14:paraId="20FC28F6" w14:textId="77777777" w:rsidR="00D27E03" w:rsidRPr="009B4A73" w:rsidRDefault="00D27E03" w:rsidP="00316679">
      <w:pPr>
        <w:spacing w:after="0" w:line="240" w:lineRule="auto"/>
        <w:ind w:left="426" w:right="1296"/>
        <w:rPr>
          <w:sz w:val="22"/>
        </w:rPr>
      </w:pPr>
    </w:p>
    <w:p w14:paraId="42C528F1" w14:textId="0BE0AFDB" w:rsidR="00D92EBC" w:rsidRPr="009B4A73" w:rsidRDefault="00F90570" w:rsidP="00316679">
      <w:pPr>
        <w:spacing w:after="0" w:line="240" w:lineRule="auto"/>
        <w:ind w:left="426" w:right="8"/>
        <w:rPr>
          <w:sz w:val="22"/>
        </w:rPr>
      </w:pPr>
      <w:r w:rsidRPr="009B4A73">
        <w:rPr>
          <w:sz w:val="22"/>
        </w:rPr>
        <w:t>Trastuzumab</w:t>
      </w:r>
      <w:r w:rsidR="0078763F" w:rsidRPr="009B4A73">
        <w:rPr>
          <w:sz w:val="22"/>
        </w:rPr>
        <w:t xml:space="preserve"> and anthracyclines should not be given concurrently in the metastatic breast cancer setting.</w:t>
      </w:r>
    </w:p>
    <w:p w14:paraId="4B65B2AC" w14:textId="77777777" w:rsidR="00F22655" w:rsidRPr="009B4A73" w:rsidRDefault="00F22655" w:rsidP="00316679">
      <w:pPr>
        <w:spacing w:after="0" w:line="240" w:lineRule="auto"/>
        <w:ind w:left="426" w:right="8"/>
        <w:rPr>
          <w:sz w:val="22"/>
        </w:rPr>
      </w:pPr>
    </w:p>
    <w:p w14:paraId="20C070EE" w14:textId="043688D2" w:rsidR="00D92EBC" w:rsidRPr="009B4A73" w:rsidRDefault="0078763F" w:rsidP="00316679">
      <w:pPr>
        <w:pStyle w:val="Heading3"/>
        <w:spacing w:after="0" w:line="240" w:lineRule="auto"/>
        <w:ind w:left="426" w:right="1296"/>
        <w:rPr>
          <w:i/>
          <w:iCs/>
          <w:sz w:val="22"/>
          <w:u w:val="none"/>
        </w:rPr>
      </w:pPr>
      <w:r w:rsidRPr="009B4A73">
        <w:rPr>
          <w:i/>
          <w:iCs/>
          <w:sz w:val="22"/>
        </w:rPr>
        <w:t xml:space="preserve">Advanced </w:t>
      </w:r>
      <w:r w:rsidR="00F90570" w:rsidRPr="009B4A73">
        <w:rPr>
          <w:i/>
          <w:iCs/>
          <w:sz w:val="22"/>
        </w:rPr>
        <w:t>g</w:t>
      </w:r>
      <w:r w:rsidRPr="009B4A73">
        <w:rPr>
          <w:i/>
          <w:iCs/>
          <w:sz w:val="22"/>
        </w:rPr>
        <w:t xml:space="preserve">astric </w:t>
      </w:r>
      <w:r w:rsidR="00F90570" w:rsidRPr="009B4A73">
        <w:rPr>
          <w:i/>
          <w:iCs/>
          <w:sz w:val="22"/>
        </w:rPr>
        <w:t>c</w:t>
      </w:r>
      <w:r w:rsidRPr="009B4A73">
        <w:rPr>
          <w:i/>
          <w:iCs/>
          <w:sz w:val="22"/>
        </w:rPr>
        <w:t>ancer</w:t>
      </w:r>
      <w:r w:rsidRPr="009B4A73">
        <w:rPr>
          <w:i/>
          <w:iCs/>
          <w:sz w:val="22"/>
          <w:u w:val="none"/>
        </w:rPr>
        <w:t xml:space="preserve"> </w:t>
      </w:r>
    </w:p>
    <w:p w14:paraId="53DA0821" w14:textId="77777777" w:rsidR="009133B2" w:rsidRPr="009B4A73" w:rsidRDefault="009133B2" w:rsidP="00316679">
      <w:pPr>
        <w:spacing w:after="0" w:line="240" w:lineRule="auto"/>
        <w:ind w:left="426"/>
        <w:rPr>
          <w:sz w:val="22"/>
        </w:rPr>
      </w:pPr>
    </w:p>
    <w:p w14:paraId="11B929F7" w14:textId="77777777" w:rsidR="00D92EBC" w:rsidRPr="009B4A73" w:rsidRDefault="0078763F" w:rsidP="00316679">
      <w:pPr>
        <w:spacing w:after="0" w:line="240" w:lineRule="auto"/>
        <w:ind w:left="426" w:right="8"/>
        <w:rPr>
          <w:sz w:val="22"/>
        </w:rPr>
      </w:pPr>
      <w:r w:rsidRPr="009B4A73">
        <w:rPr>
          <w:sz w:val="22"/>
        </w:rPr>
        <w:t xml:space="preserve">In advanced gastric cancer, patients with a history of documented congestive heart failure, angina pectoris requiring medication, evidence of transmural myocardial infarction on ECG, poorly controlled hypertension (systolic BP &gt;180 mmHg or diastolic BP &gt;100 mmHg), clinically significant valvular heart disease, high risk </w:t>
      </w:r>
      <w:r w:rsidRPr="009B4A73">
        <w:rPr>
          <w:sz w:val="22"/>
        </w:rPr>
        <w:lastRenderedPageBreak/>
        <w:t>uncontrollable arrhythmias, and baseline LVEF &lt;50% (measured by echocardiography or MUGA) were excluded from Study BO18255</w:t>
      </w:r>
      <w:r w:rsidRPr="009B4A73">
        <w:rPr>
          <w:b/>
          <w:sz w:val="22"/>
        </w:rPr>
        <w:t xml:space="preserve"> </w:t>
      </w:r>
      <w:r w:rsidRPr="009B4A73">
        <w:rPr>
          <w:sz w:val="22"/>
        </w:rPr>
        <w:t>(</w:t>
      </w:r>
      <w:proofErr w:type="spellStart"/>
      <w:r w:rsidRPr="009B4A73">
        <w:rPr>
          <w:sz w:val="22"/>
        </w:rPr>
        <w:t>ToGA</w:t>
      </w:r>
      <w:proofErr w:type="spellEnd"/>
      <w:r w:rsidRPr="009B4A73">
        <w:rPr>
          <w:sz w:val="22"/>
        </w:rPr>
        <w:t xml:space="preserve">) according to the study protocol. </w:t>
      </w:r>
    </w:p>
    <w:p w14:paraId="078B917F" w14:textId="77777777" w:rsidR="00D92EBC" w:rsidRPr="009B4A73" w:rsidRDefault="0078763F" w:rsidP="00316679">
      <w:pPr>
        <w:spacing w:after="0" w:line="240" w:lineRule="auto"/>
        <w:ind w:left="426" w:firstLine="0"/>
        <w:rPr>
          <w:sz w:val="22"/>
        </w:rPr>
      </w:pPr>
      <w:r w:rsidRPr="009B4A73">
        <w:rPr>
          <w:b/>
          <w:sz w:val="22"/>
        </w:rPr>
        <w:t xml:space="preserve"> </w:t>
      </w:r>
    </w:p>
    <w:p w14:paraId="1059616C" w14:textId="137A04BD" w:rsidR="00D92EBC" w:rsidRPr="009B4A73" w:rsidRDefault="0078763F" w:rsidP="00316679">
      <w:pPr>
        <w:pStyle w:val="Heading2"/>
        <w:spacing w:after="0" w:line="240" w:lineRule="auto"/>
        <w:ind w:left="426"/>
        <w:rPr>
          <w:b w:val="0"/>
          <w:bCs/>
          <w:sz w:val="22"/>
          <w:u w:val="single"/>
        </w:rPr>
      </w:pPr>
      <w:r w:rsidRPr="009B4A73">
        <w:rPr>
          <w:b w:val="0"/>
          <w:bCs/>
          <w:sz w:val="22"/>
          <w:u w:val="single"/>
        </w:rPr>
        <w:t xml:space="preserve">Hypersensitivity </w:t>
      </w:r>
      <w:r w:rsidR="00F90570" w:rsidRPr="009B4A73">
        <w:rPr>
          <w:b w:val="0"/>
          <w:bCs/>
          <w:sz w:val="22"/>
          <w:u w:val="single"/>
        </w:rPr>
        <w:t>r</w:t>
      </w:r>
      <w:r w:rsidRPr="009B4A73">
        <w:rPr>
          <w:b w:val="0"/>
          <w:bCs/>
          <w:sz w:val="22"/>
          <w:u w:val="single"/>
        </w:rPr>
        <w:t xml:space="preserve">eactions including </w:t>
      </w:r>
      <w:r w:rsidR="00F90570" w:rsidRPr="009B4A73">
        <w:rPr>
          <w:b w:val="0"/>
          <w:bCs/>
          <w:sz w:val="22"/>
          <w:u w:val="single"/>
        </w:rPr>
        <w:t>a</w:t>
      </w:r>
      <w:r w:rsidRPr="009B4A73">
        <w:rPr>
          <w:b w:val="0"/>
          <w:bCs/>
          <w:sz w:val="22"/>
          <w:u w:val="single"/>
        </w:rPr>
        <w:t xml:space="preserve">naphylaxis </w:t>
      </w:r>
    </w:p>
    <w:p w14:paraId="51D88B22" w14:textId="77777777" w:rsidR="0032377B" w:rsidRPr="009B4A73" w:rsidRDefault="0032377B" w:rsidP="00316679">
      <w:pPr>
        <w:spacing w:after="0" w:line="240" w:lineRule="auto"/>
        <w:ind w:left="426"/>
        <w:rPr>
          <w:sz w:val="22"/>
        </w:rPr>
      </w:pPr>
    </w:p>
    <w:p w14:paraId="4FFB2D1F" w14:textId="725E07FE" w:rsidR="00D92EBC" w:rsidRPr="009B4A73" w:rsidRDefault="0078763F" w:rsidP="00316679">
      <w:pPr>
        <w:spacing w:after="0" w:line="240" w:lineRule="auto"/>
        <w:ind w:left="426" w:right="8"/>
        <w:rPr>
          <w:sz w:val="22"/>
        </w:rPr>
      </w:pPr>
      <w:r w:rsidRPr="009B4A73">
        <w:rPr>
          <w:sz w:val="22"/>
        </w:rPr>
        <w:t>Severe hypersensitivity reactions have been infrequently reported in patients treated with</w:t>
      </w:r>
      <w:r w:rsidR="00CE0B5E" w:rsidRPr="009B4A73">
        <w:rPr>
          <w:sz w:val="22"/>
        </w:rPr>
        <w:t xml:space="preserve"> </w:t>
      </w:r>
      <w:r w:rsidR="00D36D4E" w:rsidRPr="009B4A73">
        <w:rPr>
          <w:sz w:val="22"/>
        </w:rPr>
        <w:t>trastuzumab</w:t>
      </w:r>
      <w:r w:rsidRPr="009B4A73">
        <w:rPr>
          <w:sz w:val="22"/>
        </w:rPr>
        <w:t>.</w:t>
      </w:r>
      <w:r w:rsidR="008805AA" w:rsidRPr="009B4A73">
        <w:rPr>
          <w:sz w:val="22"/>
        </w:rPr>
        <w:t xml:space="preserve"> </w:t>
      </w:r>
      <w:r w:rsidRPr="009B4A73">
        <w:rPr>
          <w:sz w:val="22"/>
        </w:rPr>
        <w:t>Signs and symptoms include anaphylaxis, urticaria, bronchospasm, angioedema, and/or hypotension. In some cases, the reactions have been fatal.</w:t>
      </w:r>
      <w:r w:rsidR="008805AA" w:rsidRPr="009B4A73">
        <w:rPr>
          <w:sz w:val="22"/>
        </w:rPr>
        <w:t xml:space="preserve"> </w:t>
      </w:r>
      <w:r w:rsidRPr="009B4A73">
        <w:rPr>
          <w:sz w:val="22"/>
        </w:rPr>
        <w:t xml:space="preserve">The onset of symptoms generally occurred during an infusion, but there have also been reports of symptom onset after the completion of an infusion. Reactions were </w:t>
      </w:r>
      <w:proofErr w:type="gramStart"/>
      <w:r w:rsidRPr="009B4A73">
        <w:rPr>
          <w:sz w:val="22"/>
        </w:rPr>
        <w:t>most commonly reported</w:t>
      </w:r>
      <w:proofErr w:type="gramEnd"/>
      <w:r w:rsidRPr="009B4A73">
        <w:rPr>
          <w:sz w:val="22"/>
        </w:rPr>
        <w:t xml:space="preserve"> in association with the initial infusion.</w:t>
      </w:r>
    </w:p>
    <w:p w14:paraId="2E7E83E5" w14:textId="77777777" w:rsidR="00A05910" w:rsidRPr="009B4A73" w:rsidRDefault="00A05910" w:rsidP="00316679">
      <w:pPr>
        <w:spacing w:after="0" w:line="240" w:lineRule="auto"/>
        <w:ind w:left="426" w:right="8"/>
        <w:rPr>
          <w:sz w:val="22"/>
        </w:rPr>
      </w:pPr>
    </w:p>
    <w:p w14:paraId="71FEE3A3" w14:textId="6C229C6F" w:rsidR="00D92EBC" w:rsidRPr="009B4A73" w:rsidRDefault="0078763F" w:rsidP="00316679">
      <w:pPr>
        <w:spacing w:after="0" w:line="240" w:lineRule="auto"/>
        <w:ind w:left="426" w:right="8"/>
        <w:rPr>
          <w:sz w:val="22"/>
        </w:rPr>
      </w:pPr>
      <w:r w:rsidRPr="009B4A73">
        <w:rPr>
          <w:sz w:val="22"/>
        </w:rPr>
        <w:t xml:space="preserve">Patients should be observed closely for hypersensitivity reactions. </w:t>
      </w:r>
      <w:r w:rsidR="00F90570" w:rsidRPr="009B4A73">
        <w:rPr>
          <w:sz w:val="22"/>
        </w:rPr>
        <w:t>Trastuzumab</w:t>
      </w:r>
      <w:r w:rsidRPr="009B4A73">
        <w:rPr>
          <w:sz w:val="22"/>
        </w:rPr>
        <w:t xml:space="preserve"> infusion should be interrupted in all patients with severe hypersensitivity reactions. In the event of a hypersensitivity reaction, appropriate medical therapy should be administered, which may include adrenaline, corticosteroids, antihistamines, </w:t>
      </w:r>
      <w:proofErr w:type="gramStart"/>
      <w:r w:rsidRPr="009B4A73">
        <w:rPr>
          <w:sz w:val="22"/>
        </w:rPr>
        <w:t>bronchodilators</w:t>
      </w:r>
      <w:proofErr w:type="gramEnd"/>
      <w:r w:rsidRPr="009B4A73">
        <w:rPr>
          <w:sz w:val="22"/>
        </w:rPr>
        <w:t xml:space="preserve"> and oxygen. Patients should be evaluated and carefully monitored until complete resolution of signs and symptoms.</w:t>
      </w:r>
    </w:p>
    <w:p w14:paraId="6865E484" w14:textId="77777777" w:rsidR="00A05910" w:rsidRPr="009B4A73" w:rsidRDefault="00A05910" w:rsidP="00316679">
      <w:pPr>
        <w:spacing w:after="0" w:line="240" w:lineRule="auto"/>
        <w:ind w:left="426" w:right="8"/>
        <w:rPr>
          <w:sz w:val="22"/>
        </w:rPr>
      </w:pPr>
    </w:p>
    <w:p w14:paraId="5A6FDB33" w14:textId="338E5FB0" w:rsidR="00D92EBC" w:rsidRPr="009B4A73" w:rsidRDefault="0078763F" w:rsidP="00316679">
      <w:pPr>
        <w:pStyle w:val="Heading2"/>
        <w:spacing w:after="0" w:line="240" w:lineRule="auto"/>
        <w:ind w:left="426"/>
        <w:rPr>
          <w:b w:val="0"/>
          <w:bCs/>
          <w:sz w:val="22"/>
          <w:u w:val="single"/>
        </w:rPr>
      </w:pPr>
      <w:r w:rsidRPr="009B4A73">
        <w:rPr>
          <w:b w:val="0"/>
          <w:bCs/>
          <w:sz w:val="22"/>
          <w:u w:val="single"/>
        </w:rPr>
        <w:t>Infusion-</w:t>
      </w:r>
      <w:r w:rsidR="00F90570" w:rsidRPr="009B4A73">
        <w:rPr>
          <w:b w:val="0"/>
          <w:bCs/>
          <w:sz w:val="22"/>
          <w:u w:val="single"/>
        </w:rPr>
        <w:t>r</w:t>
      </w:r>
      <w:r w:rsidRPr="009B4A73">
        <w:rPr>
          <w:b w:val="0"/>
          <w:bCs/>
          <w:sz w:val="22"/>
          <w:u w:val="single"/>
        </w:rPr>
        <w:t xml:space="preserve">elated </w:t>
      </w:r>
      <w:r w:rsidR="00F90570" w:rsidRPr="009B4A73">
        <w:rPr>
          <w:b w:val="0"/>
          <w:bCs/>
          <w:sz w:val="22"/>
          <w:u w:val="single"/>
        </w:rPr>
        <w:t>r</w:t>
      </w:r>
      <w:r w:rsidRPr="009B4A73">
        <w:rPr>
          <w:b w:val="0"/>
          <w:bCs/>
          <w:sz w:val="22"/>
          <w:u w:val="single"/>
        </w:rPr>
        <w:t>eactions (IRRs)</w:t>
      </w:r>
    </w:p>
    <w:p w14:paraId="02E596C7" w14:textId="77777777" w:rsidR="00BC4217" w:rsidRPr="009B4A73" w:rsidRDefault="00BC4217" w:rsidP="00316679">
      <w:pPr>
        <w:spacing w:after="0" w:line="240" w:lineRule="auto"/>
        <w:ind w:left="426"/>
        <w:rPr>
          <w:sz w:val="22"/>
        </w:rPr>
      </w:pPr>
    </w:p>
    <w:p w14:paraId="10391E74" w14:textId="7F77FB2B" w:rsidR="00D92EBC" w:rsidRPr="009B4A73" w:rsidRDefault="0078763F" w:rsidP="00316679">
      <w:pPr>
        <w:spacing w:after="0" w:line="240" w:lineRule="auto"/>
        <w:ind w:left="426" w:right="8"/>
        <w:rPr>
          <w:sz w:val="22"/>
        </w:rPr>
      </w:pPr>
      <w:r w:rsidRPr="009B4A73">
        <w:rPr>
          <w:sz w:val="22"/>
        </w:rPr>
        <w:t>IRRs are known to occur with the administration of</w:t>
      </w:r>
      <w:r w:rsidR="00CE0B5E" w:rsidRPr="009B4A73">
        <w:rPr>
          <w:sz w:val="22"/>
        </w:rPr>
        <w:t xml:space="preserve"> </w:t>
      </w:r>
      <w:r w:rsidR="00D36D4E" w:rsidRPr="009B4A73">
        <w:rPr>
          <w:sz w:val="22"/>
        </w:rPr>
        <w:t>trastuzumab</w:t>
      </w:r>
      <w:r w:rsidRPr="009B4A73">
        <w:rPr>
          <w:sz w:val="22"/>
        </w:rPr>
        <w:t xml:space="preserve"> (see section 4.8 Adverse </w:t>
      </w:r>
      <w:r w:rsidR="00F94AD5" w:rsidRPr="009B4A73">
        <w:rPr>
          <w:sz w:val="22"/>
        </w:rPr>
        <w:t>e</w:t>
      </w:r>
      <w:r w:rsidRPr="009B4A73">
        <w:rPr>
          <w:sz w:val="22"/>
        </w:rPr>
        <w:t xml:space="preserve">ffects (Undesirable </w:t>
      </w:r>
      <w:r w:rsidR="00F94AD5" w:rsidRPr="009B4A73">
        <w:rPr>
          <w:sz w:val="22"/>
        </w:rPr>
        <w:t>e</w:t>
      </w:r>
      <w:r w:rsidRPr="009B4A73">
        <w:rPr>
          <w:sz w:val="22"/>
        </w:rPr>
        <w:t xml:space="preserve">ffects)). </w:t>
      </w:r>
    </w:p>
    <w:p w14:paraId="2270F9E2" w14:textId="77777777" w:rsidR="00593504" w:rsidRPr="009B4A73" w:rsidRDefault="00593504" w:rsidP="00316679">
      <w:pPr>
        <w:spacing w:after="0" w:line="240" w:lineRule="auto"/>
        <w:ind w:left="426" w:right="8"/>
        <w:rPr>
          <w:sz w:val="22"/>
        </w:rPr>
      </w:pPr>
    </w:p>
    <w:p w14:paraId="21B9C3CC" w14:textId="77777777" w:rsidR="00593504" w:rsidRPr="009B4A73" w:rsidRDefault="0078763F" w:rsidP="00316679">
      <w:pPr>
        <w:spacing w:after="0" w:line="240" w:lineRule="auto"/>
        <w:ind w:left="426" w:right="8"/>
        <w:rPr>
          <w:sz w:val="22"/>
        </w:rPr>
      </w:pPr>
      <w:r w:rsidRPr="009B4A73">
        <w:rPr>
          <w:sz w:val="22"/>
        </w:rPr>
        <w:t>Pre-medication may be used to reduce risk of occurrence of IRRs.</w:t>
      </w:r>
    </w:p>
    <w:p w14:paraId="7A520355" w14:textId="632F1EB4" w:rsidR="00D92EBC" w:rsidRPr="009B4A73" w:rsidRDefault="0078763F" w:rsidP="00316679">
      <w:pPr>
        <w:spacing w:after="0" w:line="240" w:lineRule="auto"/>
        <w:ind w:left="426" w:right="8"/>
        <w:rPr>
          <w:sz w:val="22"/>
        </w:rPr>
      </w:pPr>
      <w:r w:rsidRPr="009B4A73">
        <w:rPr>
          <w:sz w:val="22"/>
        </w:rPr>
        <w:t xml:space="preserve"> </w:t>
      </w:r>
    </w:p>
    <w:p w14:paraId="3756C0C0" w14:textId="43B922A3" w:rsidR="00D92EBC" w:rsidRPr="009B4A73" w:rsidRDefault="0078763F" w:rsidP="00316679">
      <w:pPr>
        <w:spacing w:after="0" w:line="240" w:lineRule="auto"/>
        <w:ind w:left="426" w:right="8"/>
        <w:rPr>
          <w:sz w:val="22"/>
        </w:rPr>
      </w:pPr>
      <w:r w:rsidRPr="009B4A73">
        <w:rPr>
          <w:sz w:val="22"/>
        </w:rPr>
        <w:t>Serious IRRs to</w:t>
      </w:r>
      <w:r w:rsidR="00CE0B5E" w:rsidRPr="009B4A73">
        <w:rPr>
          <w:sz w:val="22"/>
        </w:rPr>
        <w:t xml:space="preserve"> </w:t>
      </w:r>
      <w:r w:rsidR="00D36D4E" w:rsidRPr="009B4A73">
        <w:rPr>
          <w:sz w:val="22"/>
        </w:rPr>
        <w:t>trastuzumab</w:t>
      </w:r>
      <w:r w:rsidRPr="009B4A73">
        <w:rPr>
          <w:sz w:val="22"/>
        </w:rPr>
        <w:t xml:space="preserve"> infusion including dyspnoea, hypotension, wheezing, bronchospasm, tachycardia, reduced oxygen saturation and respiratory distress and supraventricular tachyarrhythmia have been reported (see section 4.8 Adverse </w:t>
      </w:r>
      <w:r w:rsidR="00F94AD5" w:rsidRPr="009B4A73">
        <w:rPr>
          <w:sz w:val="22"/>
        </w:rPr>
        <w:t>e</w:t>
      </w:r>
      <w:r w:rsidRPr="009B4A73">
        <w:rPr>
          <w:sz w:val="22"/>
        </w:rPr>
        <w:t xml:space="preserve">ffects (Undesirable </w:t>
      </w:r>
      <w:r w:rsidR="00F94AD5" w:rsidRPr="009B4A73">
        <w:rPr>
          <w:sz w:val="22"/>
        </w:rPr>
        <w:t>e</w:t>
      </w:r>
      <w:r w:rsidRPr="009B4A73">
        <w:rPr>
          <w:sz w:val="22"/>
        </w:rPr>
        <w:t>ffects)).</w:t>
      </w:r>
    </w:p>
    <w:p w14:paraId="6D3D0530" w14:textId="77777777" w:rsidR="00AC5705" w:rsidRPr="009B4A73" w:rsidRDefault="00AC5705" w:rsidP="00316679">
      <w:pPr>
        <w:spacing w:after="0" w:line="240" w:lineRule="auto"/>
        <w:ind w:left="426" w:right="8"/>
        <w:rPr>
          <w:sz w:val="22"/>
        </w:rPr>
      </w:pPr>
    </w:p>
    <w:p w14:paraId="162D5CBF" w14:textId="3B5D4AF9" w:rsidR="00D92EBC" w:rsidRPr="009B4A73" w:rsidRDefault="0078763F" w:rsidP="00316679">
      <w:pPr>
        <w:spacing w:after="0" w:line="240" w:lineRule="auto"/>
        <w:ind w:left="426" w:right="8"/>
        <w:rPr>
          <w:sz w:val="22"/>
        </w:rPr>
      </w:pPr>
      <w:r w:rsidRPr="009B4A73">
        <w:rPr>
          <w:sz w:val="22"/>
        </w:rPr>
        <w:t>Patients should be observed for IRRs. Interruption of an IV infusion may help control such symptoms and the infusion may be resumed when symptoms abate.</w:t>
      </w:r>
      <w:r w:rsidR="008805AA" w:rsidRPr="009B4A73">
        <w:rPr>
          <w:sz w:val="22"/>
        </w:rPr>
        <w:t xml:space="preserve"> </w:t>
      </w:r>
      <w:r w:rsidRPr="009B4A73">
        <w:rPr>
          <w:sz w:val="22"/>
        </w:rPr>
        <w:t>These symptoms can be treated with an analgesic/antipyretic such as paracetamol and an antihistamine. Serious reactions have been treated successfully with supportive therapy such as oxygen, intravenous fluids, beta-</w:t>
      </w:r>
      <w:proofErr w:type="gramStart"/>
      <w:r w:rsidRPr="009B4A73">
        <w:rPr>
          <w:sz w:val="22"/>
        </w:rPr>
        <w:t>agonists</w:t>
      </w:r>
      <w:proofErr w:type="gramEnd"/>
      <w:r w:rsidRPr="009B4A73">
        <w:rPr>
          <w:sz w:val="22"/>
        </w:rPr>
        <w:t xml:space="preserve"> and corticosteroids. In rare cases, these reactions are associated with a clinical course culminating in a fatal outcome.</w:t>
      </w:r>
      <w:r w:rsidR="008805AA" w:rsidRPr="009B4A73">
        <w:rPr>
          <w:sz w:val="22"/>
        </w:rPr>
        <w:t xml:space="preserve"> </w:t>
      </w:r>
      <w:r w:rsidRPr="009B4A73">
        <w:rPr>
          <w:sz w:val="22"/>
        </w:rPr>
        <w:t>In other patients with acute onset of signs and symptoms, initial improvement was followed by clinical deterioration and delayed reactions with rapid clinical deterioration have also been reported.</w:t>
      </w:r>
      <w:r w:rsidR="008805AA" w:rsidRPr="009B4A73">
        <w:rPr>
          <w:sz w:val="22"/>
        </w:rPr>
        <w:t xml:space="preserve"> </w:t>
      </w:r>
      <w:r w:rsidRPr="009B4A73">
        <w:rPr>
          <w:sz w:val="22"/>
        </w:rPr>
        <w:t>Fatalities have occurred within hours or up to one week following an infusion.</w:t>
      </w:r>
    </w:p>
    <w:p w14:paraId="0620DAAD" w14:textId="77777777" w:rsidR="00165E7F" w:rsidRPr="009B4A73" w:rsidRDefault="00165E7F" w:rsidP="00316679">
      <w:pPr>
        <w:spacing w:after="0" w:line="240" w:lineRule="auto"/>
        <w:ind w:left="426" w:right="8"/>
        <w:rPr>
          <w:sz w:val="22"/>
        </w:rPr>
      </w:pPr>
    </w:p>
    <w:p w14:paraId="654BBA71" w14:textId="37C79133" w:rsidR="00D92EBC" w:rsidRPr="009B4A73" w:rsidRDefault="0078763F" w:rsidP="00316679">
      <w:pPr>
        <w:spacing w:after="0" w:line="240" w:lineRule="auto"/>
        <w:ind w:left="426" w:right="8"/>
        <w:rPr>
          <w:sz w:val="22"/>
        </w:rPr>
      </w:pPr>
      <w:r w:rsidRPr="009B4A73">
        <w:rPr>
          <w:sz w:val="22"/>
        </w:rPr>
        <w:t>Patients who are experiencing dyspnoea at rest due to complications of advanced malignancy or co</w:t>
      </w:r>
      <w:r w:rsidR="000E2357" w:rsidRPr="009B4A73">
        <w:rPr>
          <w:sz w:val="22"/>
        </w:rPr>
        <w:t>-</w:t>
      </w:r>
      <w:r w:rsidRPr="009B4A73">
        <w:rPr>
          <w:sz w:val="22"/>
        </w:rPr>
        <w:t>morbidities may be at increased risk of a fatal infusion reaction. Therefore, these patients should not be treated with</w:t>
      </w:r>
      <w:r w:rsidR="00CE0B5E" w:rsidRPr="009B4A73">
        <w:rPr>
          <w:sz w:val="22"/>
        </w:rPr>
        <w:t xml:space="preserve"> </w:t>
      </w:r>
      <w:r w:rsidR="00D36D4E" w:rsidRPr="009B4A73">
        <w:rPr>
          <w:sz w:val="22"/>
        </w:rPr>
        <w:t>trastuzumab</w:t>
      </w:r>
      <w:r w:rsidRPr="009B4A73">
        <w:rPr>
          <w:sz w:val="22"/>
        </w:rPr>
        <w:t xml:space="preserve"> (see Pulmonary </w:t>
      </w:r>
      <w:r w:rsidR="00F94AD5" w:rsidRPr="009B4A73">
        <w:rPr>
          <w:sz w:val="22"/>
        </w:rPr>
        <w:t>r</w:t>
      </w:r>
      <w:r w:rsidRPr="009B4A73">
        <w:rPr>
          <w:sz w:val="22"/>
        </w:rPr>
        <w:t>eactions below).</w:t>
      </w:r>
    </w:p>
    <w:p w14:paraId="1D2EB8BE" w14:textId="77777777" w:rsidR="00450B20" w:rsidRPr="009B4A73" w:rsidRDefault="00450B20" w:rsidP="00316679">
      <w:pPr>
        <w:spacing w:after="0" w:line="240" w:lineRule="auto"/>
        <w:ind w:left="426" w:right="8"/>
        <w:rPr>
          <w:sz w:val="22"/>
        </w:rPr>
      </w:pPr>
    </w:p>
    <w:p w14:paraId="253C5D97" w14:textId="6ACE89FC" w:rsidR="00D92EBC" w:rsidRPr="009B4A73" w:rsidRDefault="0078763F" w:rsidP="00316679">
      <w:pPr>
        <w:pStyle w:val="Heading2"/>
        <w:spacing w:after="0" w:line="240" w:lineRule="auto"/>
        <w:ind w:left="426"/>
        <w:rPr>
          <w:b w:val="0"/>
          <w:bCs/>
          <w:sz w:val="22"/>
          <w:u w:val="single"/>
        </w:rPr>
      </w:pPr>
      <w:r w:rsidRPr="009B4A73">
        <w:rPr>
          <w:b w:val="0"/>
          <w:bCs/>
          <w:sz w:val="22"/>
          <w:u w:val="single"/>
        </w:rPr>
        <w:t xml:space="preserve">Pulmonary </w:t>
      </w:r>
      <w:r w:rsidR="00F90570" w:rsidRPr="009B4A73">
        <w:rPr>
          <w:b w:val="0"/>
          <w:bCs/>
          <w:sz w:val="22"/>
          <w:u w:val="single"/>
        </w:rPr>
        <w:t>r</w:t>
      </w:r>
      <w:r w:rsidRPr="009B4A73">
        <w:rPr>
          <w:b w:val="0"/>
          <w:bCs/>
          <w:sz w:val="22"/>
          <w:u w:val="single"/>
        </w:rPr>
        <w:t xml:space="preserve">eactions </w:t>
      </w:r>
    </w:p>
    <w:p w14:paraId="05AF6A35" w14:textId="77777777" w:rsidR="001011F5" w:rsidRPr="009B4A73" w:rsidRDefault="001011F5" w:rsidP="00316679">
      <w:pPr>
        <w:spacing w:after="0" w:line="240" w:lineRule="auto"/>
        <w:ind w:left="426"/>
        <w:rPr>
          <w:sz w:val="22"/>
        </w:rPr>
      </w:pPr>
    </w:p>
    <w:p w14:paraId="101F240F" w14:textId="4C047212" w:rsidR="001011F5" w:rsidRPr="009B4A73" w:rsidRDefault="0078763F" w:rsidP="00316679">
      <w:pPr>
        <w:spacing w:after="0" w:line="240" w:lineRule="auto"/>
        <w:ind w:left="426" w:right="8"/>
        <w:rPr>
          <w:sz w:val="22"/>
        </w:rPr>
      </w:pPr>
      <w:r w:rsidRPr="009B4A73">
        <w:rPr>
          <w:sz w:val="22"/>
        </w:rPr>
        <w:t>Severe pulmonary events leading to death have been reported with the use of</w:t>
      </w:r>
      <w:r w:rsidR="00CE0B5E" w:rsidRPr="009B4A73">
        <w:rPr>
          <w:sz w:val="22"/>
        </w:rPr>
        <w:t xml:space="preserve"> </w:t>
      </w:r>
      <w:r w:rsidR="00D36D4E" w:rsidRPr="009B4A73">
        <w:rPr>
          <w:sz w:val="22"/>
        </w:rPr>
        <w:t>trastuzumab</w:t>
      </w:r>
      <w:r w:rsidRPr="009B4A73">
        <w:rPr>
          <w:sz w:val="22"/>
        </w:rPr>
        <w:t xml:space="preserve"> in the post</w:t>
      </w:r>
      <w:r w:rsidR="000E2357" w:rsidRPr="009B4A73">
        <w:rPr>
          <w:sz w:val="22"/>
        </w:rPr>
        <w:t>-</w:t>
      </w:r>
      <w:r w:rsidRPr="009B4A73">
        <w:rPr>
          <w:sz w:val="22"/>
        </w:rPr>
        <w:t>marketing setting. These events may occur as part of an infusion-related reaction (see Infusion-</w:t>
      </w:r>
      <w:r w:rsidR="00F94AD5" w:rsidRPr="009B4A73">
        <w:rPr>
          <w:sz w:val="22"/>
        </w:rPr>
        <w:t>r</w:t>
      </w:r>
      <w:r w:rsidRPr="009B4A73">
        <w:rPr>
          <w:sz w:val="22"/>
        </w:rPr>
        <w:t xml:space="preserve">elated </w:t>
      </w:r>
      <w:r w:rsidR="00F94AD5" w:rsidRPr="009B4A73">
        <w:rPr>
          <w:sz w:val="22"/>
        </w:rPr>
        <w:t>r</w:t>
      </w:r>
      <w:r w:rsidRPr="009B4A73">
        <w:rPr>
          <w:sz w:val="22"/>
        </w:rPr>
        <w:t xml:space="preserve">eactions above) or with a delayed onset. In addition, cases of interstitial lung disease including lung infiltrates, acute respiratory distress syndrome, pneumonia, pneumonitis, pleural effusion, respiratory distress, acute pulmonary oedema, pulmonary hypertension, pulmonary </w:t>
      </w:r>
      <w:proofErr w:type="gramStart"/>
      <w:r w:rsidRPr="009B4A73">
        <w:rPr>
          <w:sz w:val="22"/>
        </w:rPr>
        <w:t>fibrosis</w:t>
      </w:r>
      <w:proofErr w:type="gramEnd"/>
      <w:r w:rsidRPr="009B4A73">
        <w:rPr>
          <w:sz w:val="22"/>
        </w:rPr>
        <w:t xml:space="preserve"> and respiratory insufficiency have been reported.</w:t>
      </w:r>
    </w:p>
    <w:p w14:paraId="17DF29D9" w14:textId="1F26E007" w:rsidR="00D92EBC" w:rsidRPr="009B4A73" w:rsidRDefault="008805AA" w:rsidP="00316679">
      <w:pPr>
        <w:spacing w:after="0" w:line="240" w:lineRule="auto"/>
        <w:ind w:left="426" w:right="8"/>
        <w:rPr>
          <w:sz w:val="22"/>
        </w:rPr>
      </w:pPr>
      <w:r w:rsidRPr="009B4A73">
        <w:rPr>
          <w:sz w:val="22"/>
        </w:rPr>
        <w:t xml:space="preserve"> </w:t>
      </w:r>
    </w:p>
    <w:p w14:paraId="6696B01C" w14:textId="461F22AB" w:rsidR="004968A9" w:rsidRPr="009B4A73" w:rsidRDefault="0078763F" w:rsidP="00316679">
      <w:pPr>
        <w:spacing w:after="0" w:line="240" w:lineRule="auto"/>
        <w:ind w:left="426"/>
        <w:jc w:val="both"/>
        <w:rPr>
          <w:sz w:val="22"/>
        </w:rPr>
      </w:pPr>
      <w:r w:rsidRPr="009B4A73">
        <w:rPr>
          <w:sz w:val="22"/>
        </w:rPr>
        <w:t>Risk factors associated with interstitial lung disease include prior or concomitant therapy with other anti</w:t>
      </w:r>
      <w:r w:rsidR="000E2357" w:rsidRPr="009B4A73">
        <w:rPr>
          <w:sz w:val="22"/>
        </w:rPr>
        <w:t>-</w:t>
      </w:r>
      <w:r w:rsidRPr="009B4A73">
        <w:rPr>
          <w:sz w:val="22"/>
        </w:rPr>
        <w:t xml:space="preserve">neoplastic therapies known to be associated with it such as </w:t>
      </w:r>
      <w:proofErr w:type="spellStart"/>
      <w:r w:rsidRPr="009B4A73">
        <w:rPr>
          <w:sz w:val="22"/>
        </w:rPr>
        <w:t>taxanes</w:t>
      </w:r>
      <w:proofErr w:type="spellEnd"/>
      <w:r w:rsidRPr="009B4A73">
        <w:rPr>
          <w:sz w:val="22"/>
        </w:rPr>
        <w:t>, gemcitabine, vinorelbine and radiation therapy. Patients with dyspnoea at rest due to complications of advanced malignancy and co-morbidities may be at increased risk of pulmonary events. Therefore, these patients should not be treated with</w:t>
      </w:r>
      <w:r w:rsidR="00CE0B5E" w:rsidRPr="009B4A73">
        <w:rPr>
          <w:sz w:val="22"/>
        </w:rPr>
        <w:t xml:space="preserve"> </w:t>
      </w:r>
      <w:r w:rsidR="00D36D4E" w:rsidRPr="009B4A73">
        <w:rPr>
          <w:sz w:val="22"/>
        </w:rPr>
        <w:t>trastuzumab</w:t>
      </w:r>
      <w:r w:rsidRPr="009B4A73">
        <w:rPr>
          <w:sz w:val="22"/>
        </w:rPr>
        <w:t xml:space="preserve">. </w:t>
      </w:r>
    </w:p>
    <w:p w14:paraId="675521F4" w14:textId="60DBAD5D" w:rsidR="00D92EBC" w:rsidRPr="009B4A73" w:rsidRDefault="0078763F" w:rsidP="00316679">
      <w:pPr>
        <w:spacing w:after="0" w:line="240" w:lineRule="auto"/>
        <w:ind w:left="426"/>
        <w:jc w:val="both"/>
        <w:rPr>
          <w:sz w:val="22"/>
        </w:rPr>
      </w:pPr>
      <w:r w:rsidRPr="009B4A73">
        <w:rPr>
          <w:sz w:val="22"/>
        </w:rPr>
        <w:t xml:space="preserve"> </w:t>
      </w:r>
    </w:p>
    <w:p w14:paraId="4804695A" w14:textId="25B14693" w:rsidR="00D92EBC" w:rsidRPr="009B4A73" w:rsidRDefault="0078763F" w:rsidP="00316679">
      <w:pPr>
        <w:pStyle w:val="Heading2"/>
        <w:spacing w:after="0" w:line="240" w:lineRule="auto"/>
        <w:ind w:left="426"/>
        <w:rPr>
          <w:b w:val="0"/>
          <w:bCs/>
          <w:sz w:val="22"/>
          <w:u w:val="single"/>
        </w:rPr>
      </w:pPr>
      <w:r w:rsidRPr="009B4A73">
        <w:rPr>
          <w:b w:val="0"/>
          <w:bCs/>
          <w:sz w:val="22"/>
          <w:u w:val="single"/>
        </w:rPr>
        <w:lastRenderedPageBreak/>
        <w:t xml:space="preserve">Tumour lysis syndrome (TLS) </w:t>
      </w:r>
    </w:p>
    <w:p w14:paraId="1CED33F8" w14:textId="77777777" w:rsidR="00B37C84" w:rsidRPr="009B4A73" w:rsidRDefault="00B37C84" w:rsidP="00316679">
      <w:pPr>
        <w:spacing w:after="0" w:line="240" w:lineRule="auto"/>
        <w:ind w:left="426"/>
        <w:rPr>
          <w:sz w:val="22"/>
        </w:rPr>
      </w:pPr>
    </w:p>
    <w:p w14:paraId="6C4A881F" w14:textId="6E1A9F41" w:rsidR="00D92EBC" w:rsidRPr="009B4A73" w:rsidRDefault="0078763F" w:rsidP="00316679">
      <w:pPr>
        <w:spacing w:after="0" w:line="240" w:lineRule="auto"/>
        <w:ind w:left="426" w:right="8"/>
        <w:rPr>
          <w:sz w:val="22"/>
        </w:rPr>
      </w:pPr>
      <w:r w:rsidRPr="009B4A73">
        <w:rPr>
          <w:sz w:val="22"/>
        </w:rPr>
        <w:t>Tumour lysis syndrome (TLS) refers to the constellation of metabolic disturbances that may be seen after initiation of effective cancer treatment. It usually occurs in patients with high grade, bulky, rapidly proliferating, treatment-responsive tumours and in patients with acute haematological malignancies.</w:t>
      </w:r>
      <w:r w:rsidR="008805AA" w:rsidRPr="009B4A73">
        <w:rPr>
          <w:sz w:val="22"/>
        </w:rPr>
        <w:t xml:space="preserve"> </w:t>
      </w:r>
    </w:p>
    <w:p w14:paraId="1B0F0FF8" w14:textId="77777777" w:rsidR="000E2357" w:rsidRPr="009B4A73" w:rsidRDefault="000E2357" w:rsidP="00316679">
      <w:pPr>
        <w:spacing w:after="0" w:line="240" w:lineRule="auto"/>
        <w:ind w:left="426" w:right="8"/>
        <w:rPr>
          <w:sz w:val="22"/>
        </w:rPr>
      </w:pPr>
    </w:p>
    <w:p w14:paraId="0254F2B8" w14:textId="13DEB660" w:rsidR="00D92EBC" w:rsidRPr="009B4A73" w:rsidRDefault="0078763F" w:rsidP="00316679">
      <w:pPr>
        <w:spacing w:after="0" w:line="240" w:lineRule="auto"/>
        <w:ind w:left="426"/>
        <w:jc w:val="both"/>
        <w:rPr>
          <w:sz w:val="22"/>
        </w:rPr>
      </w:pPr>
      <w:r w:rsidRPr="009B4A73">
        <w:rPr>
          <w:sz w:val="22"/>
        </w:rPr>
        <w:t>Cases of possible TLS have been reported in patients treated with</w:t>
      </w:r>
      <w:r w:rsidR="00CE0B5E" w:rsidRPr="009B4A73">
        <w:rPr>
          <w:sz w:val="22"/>
        </w:rPr>
        <w:t xml:space="preserve"> </w:t>
      </w:r>
      <w:r w:rsidR="00D36D4E" w:rsidRPr="009B4A73">
        <w:rPr>
          <w:sz w:val="22"/>
        </w:rPr>
        <w:t>trastuzumab</w:t>
      </w:r>
      <w:r w:rsidRPr="009B4A73">
        <w:rPr>
          <w:sz w:val="22"/>
        </w:rPr>
        <w:t>. Patients with significant tumour burden (</w:t>
      </w:r>
      <w:proofErr w:type="gramStart"/>
      <w:r w:rsidRPr="009B4A73">
        <w:rPr>
          <w:sz w:val="22"/>
        </w:rPr>
        <w:t>e.g.</w:t>
      </w:r>
      <w:proofErr w:type="gramEnd"/>
      <w:r w:rsidRPr="009B4A73">
        <w:rPr>
          <w:sz w:val="22"/>
        </w:rPr>
        <w:t xml:space="preserve"> bulky metastases) may be at a higher risk. Patients could present with hyperuricemia, hyperphosphatemia, and acute renal failure which may represent possible TLS. Providers should consider additional monitoring and/or treatment as clinically indicated. </w:t>
      </w:r>
    </w:p>
    <w:p w14:paraId="17174198" w14:textId="77777777" w:rsidR="007C7151" w:rsidRPr="009B4A73" w:rsidRDefault="007C7151" w:rsidP="00316679">
      <w:pPr>
        <w:spacing w:after="0" w:line="240" w:lineRule="auto"/>
        <w:ind w:left="426"/>
        <w:jc w:val="both"/>
        <w:rPr>
          <w:sz w:val="22"/>
        </w:rPr>
      </w:pPr>
    </w:p>
    <w:p w14:paraId="0FF02E3A" w14:textId="3D96F021" w:rsidR="00D92EBC" w:rsidRPr="009B4A73" w:rsidRDefault="0078763F" w:rsidP="00316679">
      <w:pPr>
        <w:spacing w:after="0" w:line="240" w:lineRule="auto"/>
        <w:ind w:left="426"/>
        <w:rPr>
          <w:bCs/>
          <w:sz w:val="22"/>
          <w:u w:val="single"/>
        </w:rPr>
      </w:pPr>
      <w:r w:rsidRPr="009B4A73">
        <w:rPr>
          <w:bCs/>
          <w:sz w:val="22"/>
          <w:u w:val="single"/>
        </w:rPr>
        <w:t xml:space="preserve">Paediatric </w:t>
      </w:r>
      <w:r w:rsidR="000E2357" w:rsidRPr="009B4A73">
        <w:rPr>
          <w:bCs/>
          <w:sz w:val="22"/>
          <w:u w:val="single"/>
        </w:rPr>
        <w:t>u</w:t>
      </w:r>
      <w:r w:rsidRPr="009B4A73">
        <w:rPr>
          <w:bCs/>
          <w:sz w:val="22"/>
          <w:u w:val="single"/>
        </w:rPr>
        <w:t xml:space="preserve">se </w:t>
      </w:r>
    </w:p>
    <w:p w14:paraId="0956F775" w14:textId="77777777" w:rsidR="007C7151" w:rsidRPr="009B4A73" w:rsidRDefault="007C7151" w:rsidP="00316679">
      <w:pPr>
        <w:spacing w:after="0" w:line="240" w:lineRule="auto"/>
        <w:ind w:left="426"/>
        <w:rPr>
          <w:sz w:val="22"/>
        </w:rPr>
      </w:pPr>
    </w:p>
    <w:p w14:paraId="4A166DD9" w14:textId="488A3CB7" w:rsidR="007C7151" w:rsidRPr="009B4A73" w:rsidRDefault="0078763F" w:rsidP="00316679">
      <w:pPr>
        <w:spacing w:after="0" w:line="240" w:lineRule="auto"/>
        <w:ind w:left="426" w:right="8"/>
        <w:rPr>
          <w:sz w:val="22"/>
        </w:rPr>
      </w:pPr>
      <w:r w:rsidRPr="009B4A73">
        <w:rPr>
          <w:sz w:val="22"/>
        </w:rPr>
        <w:t>The safety and efficacy of</w:t>
      </w:r>
      <w:r w:rsidR="00CE0B5E" w:rsidRPr="009B4A73">
        <w:rPr>
          <w:sz w:val="22"/>
        </w:rPr>
        <w:t xml:space="preserve"> </w:t>
      </w:r>
      <w:r w:rsidR="00D36D4E" w:rsidRPr="009B4A73">
        <w:rPr>
          <w:sz w:val="22"/>
        </w:rPr>
        <w:t>trastuzumab</w:t>
      </w:r>
      <w:r w:rsidRPr="009B4A73">
        <w:rPr>
          <w:sz w:val="22"/>
        </w:rPr>
        <w:t xml:space="preserve"> in patients under the age of 18 years have not been established.</w:t>
      </w:r>
    </w:p>
    <w:p w14:paraId="2B68076A" w14:textId="77777777" w:rsidR="004F441A" w:rsidRPr="009B4A73" w:rsidRDefault="004F441A" w:rsidP="00316679">
      <w:pPr>
        <w:spacing w:after="0" w:line="240" w:lineRule="auto"/>
        <w:ind w:left="426" w:right="8"/>
        <w:rPr>
          <w:sz w:val="22"/>
        </w:rPr>
      </w:pPr>
    </w:p>
    <w:p w14:paraId="44918952" w14:textId="6BE88EAE" w:rsidR="00D92EBC" w:rsidRPr="009B4A73" w:rsidRDefault="0078763F" w:rsidP="00316679">
      <w:pPr>
        <w:pStyle w:val="Heading2"/>
        <w:spacing w:after="0" w:line="240" w:lineRule="auto"/>
        <w:ind w:left="426"/>
        <w:rPr>
          <w:b w:val="0"/>
          <w:bCs/>
          <w:sz w:val="22"/>
          <w:u w:val="single"/>
        </w:rPr>
      </w:pPr>
      <w:r w:rsidRPr="009B4A73">
        <w:rPr>
          <w:b w:val="0"/>
          <w:bCs/>
          <w:sz w:val="22"/>
          <w:u w:val="single"/>
        </w:rPr>
        <w:t xml:space="preserve">Use in the </w:t>
      </w:r>
      <w:r w:rsidR="000E2357" w:rsidRPr="009B4A73">
        <w:rPr>
          <w:b w:val="0"/>
          <w:bCs/>
          <w:sz w:val="22"/>
          <w:u w:val="single"/>
        </w:rPr>
        <w:t>e</w:t>
      </w:r>
      <w:r w:rsidRPr="009B4A73">
        <w:rPr>
          <w:b w:val="0"/>
          <w:bCs/>
          <w:sz w:val="22"/>
          <w:u w:val="single"/>
        </w:rPr>
        <w:t xml:space="preserve">lderly </w:t>
      </w:r>
    </w:p>
    <w:p w14:paraId="7FCA769F" w14:textId="77777777" w:rsidR="00393071" w:rsidRPr="009B4A73" w:rsidRDefault="00393071" w:rsidP="00316679">
      <w:pPr>
        <w:spacing w:after="0" w:line="240" w:lineRule="auto"/>
        <w:ind w:left="426"/>
        <w:rPr>
          <w:sz w:val="22"/>
        </w:rPr>
      </w:pPr>
    </w:p>
    <w:p w14:paraId="1E4DEFD3" w14:textId="37B09BCF" w:rsidR="00D92EBC" w:rsidRPr="009B4A73" w:rsidRDefault="0078763F" w:rsidP="00316679">
      <w:pPr>
        <w:spacing w:after="0" w:line="240" w:lineRule="auto"/>
        <w:ind w:left="426"/>
        <w:jc w:val="both"/>
        <w:rPr>
          <w:sz w:val="22"/>
        </w:rPr>
      </w:pPr>
      <w:r w:rsidRPr="009B4A73">
        <w:rPr>
          <w:sz w:val="22"/>
        </w:rPr>
        <w:t>Clinical experience is limited in patients above 65 years of age. The risk of cardiac dysfunction may be increased in elderly patients.</w:t>
      </w:r>
      <w:r w:rsidR="008805AA" w:rsidRPr="009B4A73">
        <w:rPr>
          <w:sz w:val="22"/>
        </w:rPr>
        <w:t xml:space="preserve"> </w:t>
      </w:r>
      <w:r w:rsidRPr="009B4A73">
        <w:rPr>
          <w:sz w:val="22"/>
        </w:rPr>
        <w:t>The reported clinical experience is not adequate to determine whether older patients respond differently from younger patients.</w:t>
      </w:r>
      <w:r w:rsidR="008805AA" w:rsidRPr="009B4A73">
        <w:rPr>
          <w:sz w:val="22"/>
        </w:rPr>
        <w:t xml:space="preserve"> </w:t>
      </w:r>
      <w:r w:rsidRPr="009B4A73">
        <w:rPr>
          <w:sz w:val="22"/>
        </w:rPr>
        <w:t>Elderly patients did not receive reduced doses of</w:t>
      </w:r>
      <w:r w:rsidR="00CE0B5E" w:rsidRPr="009B4A73">
        <w:rPr>
          <w:sz w:val="22"/>
        </w:rPr>
        <w:t xml:space="preserve"> </w:t>
      </w:r>
      <w:r w:rsidR="00D36D4E" w:rsidRPr="009B4A73">
        <w:rPr>
          <w:sz w:val="22"/>
        </w:rPr>
        <w:t>trastuzumab</w:t>
      </w:r>
      <w:r w:rsidRPr="009B4A73">
        <w:rPr>
          <w:sz w:val="22"/>
        </w:rPr>
        <w:t xml:space="preserve"> in clinical trials.</w:t>
      </w:r>
      <w:r w:rsidR="008805AA" w:rsidRPr="009B4A73">
        <w:rPr>
          <w:sz w:val="22"/>
        </w:rPr>
        <w:t xml:space="preserve"> </w:t>
      </w:r>
      <w:r w:rsidRPr="009B4A73">
        <w:rPr>
          <w:sz w:val="22"/>
        </w:rPr>
        <w:t>However, greater sensitivity to</w:t>
      </w:r>
      <w:r w:rsidR="00CE0B5E" w:rsidRPr="009B4A73">
        <w:rPr>
          <w:sz w:val="22"/>
        </w:rPr>
        <w:t xml:space="preserve"> </w:t>
      </w:r>
      <w:r w:rsidR="00D36D4E" w:rsidRPr="009B4A73">
        <w:rPr>
          <w:sz w:val="22"/>
        </w:rPr>
        <w:t>trastuzumab</w:t>
      </w:r>
      <w:r w:rsidRPr="009B4A73">
        <w:rPr>
          <w:sz w:val="22"/>
        </w:rPr>
        <w:t xml:space="preserve"> in some older patients cannot be ruled out.</w:t>
      </w:r>
    </w:p>
    <w:p w14:paraId="52D7F82D" w14:textId="77777777" w:rsidR="004F441A" w:rsidRPr="009B4A73" w:rsidRDefault="004F441A" w:rsidP="00316679">
      <w:pPr>
        <w:spacing w:after="0" w:line="240" w:lineRule="auto"/>
        <w:ind w:left="426"/>
        <w:jc w:val="both"/>
        <w:rPr>
          <w:sz w:val="22"/>
        </w:rPr>
      </w:pPr>
    </w:p>
    <w:p w14:paraId="7812F01D" w14:textId="0CB9EEEF" w:rsidR="00694145" w:rsidRPr="009B4A73" w:rsidRDefault="0078763F" w:rsidP="00316679">
      <w:pPr>
        <w:pStyle w:val="Heading2"/>
        <w:spacing w:after="0" w:line="240" w:lineRule="auto"/>
        <w:ind w:left="426"/>
        <w:rPr>
          <w:b w:val="0"/>
          <w:bCs/>
          <w:sz w:val="22"/>
          <w:u w:val="single"/>
        </w:rPr>
      </w:pPr>
      <w:r w:rsidRPr="009B4A73">
        <w:rPr>
          <w:b w:val="0"/>
          <w:bCs/>
          <w:sz w:val="22"/>
          <w:u w:val="single"/>
        </w:rPr>
        <w:t xml:space="preserve">Use in </w:t>
      </w:r>
      <w:r w:rsidR="000E2357" w:rsidRPr="009B4A73">
        <w:rPr>
          <w:b w:val="0"/>
          <w:bCs/>
          <w:sz w:val="22"/>
          <w:u w:val="single"/>
        </w:rPr>
        <w:t>r</w:t>
      </w:r>
      <w:r w:rsidRPr="009B4A73">
        <w:rPr>
          <w:b w:val="0"/>
          <w:bCs/>
          <w:sz w:val="22"/>
          <w:u w:val="single"/>
        </w:rPr>
        <w:t xml:space="preserve">enal </w:t>
      </w:r>
      <w:r w:rsidR="000E2357" w:rsidRPr="009B4A73">
        <w:rPr>
          <w:b w:val="0"/>
          <w:bCs/>
          <w:sz w:val="22"/>
          <w:u w:val="single"/>
        </w:rPr>
        <w:t>i</w:t>
      </w:r>
      <w:r w:rsidRPr="009B4A73">
        <w:rPr>
          <w:b w:val="0"/>
          <w:bCs/>
          <w:sz w:val="22"/>
          <w:u w:val="single"/>
        </w:rPr>
        <w:t>mpairment</w:t>
      </w:r>
    </w:p>
    <w:p w14:paraId="2EF62DBF" w14:textId="4854CB95" w:rsidR="00D92EBC" w:rsidRPr="009B4A73" w:rsidRDefault="0078763F" w:rsidP="00316679">
      <w:pPr>
        <w:pStyle w:val="Heading2"/>
        <w:spacing w:after="0" w:line="240" w:lineRule="auto"/>
        <w:ind w:left="426"/>
        <w:rPr>
          <w:sz w:val="22"/>
        </w:rPr>
      </w:pPr>
      <w:r w:rsidRPr="009B4A73">
        <w:rPr>
          <w:sz w:val="22"/>
        </w:rPr>
        <w:t xml:space="preserve"> </w:t>
      </w:r>
    </w:p>
    <w:p w14:paraId="3545C5CA" w14:textId="540FEF0F" w:rsidR="00D92EBC" w:rsidRPr="009B4A73" w:rsidRDefault="0078763F" w:rsidP="00316679">
      <w:pPr>
        <w:spacing w:after="0" w:line="240" w:lineRule="auto"/>
        <w:ind w:left="426"/>
        <w:jc w:val="both"/>
        <w:rPr>
          <w:sz w:val="22"/>
        </w:rPr>
      </w:pPr>
      <w:r w:rsidRPr="009B4A73">
        <w:rPr>
          <w:sz w:val="22"/>
        </w:rPr>
        <w:t xml:space="preserve">Formal PK studies have not been conducted in patients with renal impairment. Based on population PK analysis, renal impairment is not expected to influence trastuzumab exposure, however, limited data from patients with moderate to severe renal impairment were included in the population PK analysis (see section 5.2 Pharmacokinetic </w:t>
      </w:r>
      <w:r w:rsidR="00F94AD5" w:rsidRPr="009B4A73">
        <w:rPr>
          <w:sz w:val="22"/>
        </w:rPr>
        <w:t>p</w:t>
      </w:r>
      <w:r w:rsidRPr="009B4A73">
        <w:rPr>
          <w:sz w:val="22"/>
        </w:rPr>
        <w:t xml:space="preserve">roperties). </w:t>
      </w:r>
    </w:p>
    <w:p w14:paraId="52391300" w14:textId="77777777" w:rsidR="00694145" w:rsidRPr="009B4A73" w:rsidRDefault="00694145" w:rsidP="00316679">
      <w:pPr>
        <w:spacing w:after="0" w:line="240" w:lineRule="auto"/>
        <w:ind w:left="426"/>
        <w:jc w:val="both"/>
        <w:rPr>
          <w:sz w:val="22"/>
        </w:rPr>
      </w:pPr>
    </w:p>
    <w:p w14:paraId="50C1A236" w14:textId="455BE0BB" w:rsidR="00D92EBC" w:rsidRPr="009B4A73" w:rsidRDefault="0078763F" w:rsidP="00316679">
      <w:pPr>
        <w:pStyle w:val="Heading2"/>
        <w:spacing w:after="0" w:line="240" w:lineRule="auto"/>
        <w:ind w:left="426"/>
        <w:rPr>
          <w:b w:val="0"/>
          <w:bCs/>
          <w:sz w:val="22"/>
          <w:u w:val="single"/>
        </w:rPr>
      </w:pPr>
      <w:r w:rsidRPr="009B4A73">
        <w:rPr>
          <w:b w:val="0"/>
          <w:bCs/>
          <w:sz w:val="22"/>
          <w:u w:val="single"/>
        </w:rPr>
        <w:t xml:space="preserve">Use in </w:t>
      </w:r>
      <w:r w:rsidR="000E2357" w:rsidRPr="009B4A73">
        <w:rPr>
          <w:b w:val="0"/>
          <w:bCs/>
          <w:sz w:val="22"/>
          <w:u w:val="single"/>
        </w:rPr>
        <w:t>h</w:t>
      </w:r>
      <w:r w:rsidRPr="009B4A73">
        <w:rPr>
          <w:b w:val="0"/>
          <w:bCs/>
          <w:sz w:val="22"/>
          <w:u w:val="single"/>
        </w:rPr>
        <w:t xml:space="preserve">epatic </w:t>
      </w:r>
      <w:r w:rsidR="000E2357" w:rsidRPr="009B4A73">
        <w:rPr>
          <w:b w:val="0"/>
          <w:bCs/>
          <w:sz w:val="22"/>
          <w:u w:val="single"/>
        </w:rPr>
        <w:t>i</w:t>
      </w:r>
      <w:r w:rsidRPr="009B4A73">
        <w:rPr>
          <w:b w:val="0"/>
          <w:bCs/>
          <w:sz w:val="22"/>
          <w:u w:val="single"/>
        </w:rPr>
        <w:t xml:space="preserve">mpairment </w:t>
      </w:r>
    </w:p>
    <w:p w14:paraId="3682E2AA" w14:textId="77777777" w:rsidR="00694145" w:rsidRPr="009B4A73" w:rsidRDefault="00694145" w:rsidP="00316679">
      <w:pPr>
        <w:spacing w:after="0" w:line="240" w:lineRule="auto"/>
        <w:ind w:left="426"/>
        <w:rPr>
          <w:sz w:val="22"/>
        </w:rPr>
      </w:pPr>
    </w:p>
    <w:p w14:paraId="2F78C490" w14:textId="3FC934F1" w:rsidR="00D92EBC" w:rsidRPr="009B4A73" w:rsidRDefault="0078763F" w:rsidP="00316679">
      <w:pPr>
        <w:spacing w:after="0" w:line="240" w:lineRule="auto"/>
        <w:ind w:left="426" w:right="8"/>
        <w:rPr>
          <w:sz w:val="22"/>
        </w:rPr>
      </w:pPr>
      <w:r w:rsidRPr="009B4A73">
        <w:rPr>
          <w:sz w:val="22"/>
        </w:rPr>
        <w:t>The use of</w:t>
      </w:r>
      <w:r w:rsidR="00CE0B5E" w:rsidRPr="009B4A73">
        <w:rPr>
          <w:sz w:val="22"/>
        </w:rPr>
        <w:t xml:space="preserve"> </w:t>
      </w:r>
      <w:r w:rsidR="00D36D4E" w:rsidRPr="009B4A73">
        <w:rPr>
          <w:sz w:val="22"/>
        </w:rPr>
        <w:t>trastuzumab</w:t>
      </w:r>
      <w:r w:rsidRPr="009B4A73">
        <w:rPr>
          <w:sz w:val="22"/>
        </w:rPr>
        <w:t xml:space="preserve"> in patients with hepatic impairment has not been studied.</w:t>
      </w:r>
    </w:p>
    <w:p w14:paraId="75645F55" w14:textId="77777777" w:rsidR="001A716E" w:rsidRPr="009B4A73" w:rsidRDefault="001A716E" w:rsidP="00316679">
      <w:pPr>
        <w:spacing w:after="0" w:line="240" w:lineRule="auto"/>
        <w:ind w:left="426" w:right="8" w:firstLine="0"/>
        <w:rPr>
          <w:sz w:val="22"/>
        </w:rPr>
      </w:pPr>
    </w:p>
    <w:p w14:paraId="6844872B" w14:textId="30D47E9F" w:rsidR="001A716E" w:rsidRPr="009B4A73" w:rsidRDefault="0078763F" w:rsidP="00F94AD5">
      <w:pPr>
        <w:keepNext/>
        <w:spacing w:after="0" w:line="240" w:lineRule="auto"/>
        <w:ind w:left="425" w:right="7258" w:hanging="11"/>
        <w:rPr>
          <w:bCs/>
          <w:sz w:val="22"/>
          <w:u w:val="single"/>
        </w:rPr>
      </w:pPr>
      <w:r w:rsidRPr="009B4A73">
        <w:rPr>
          <w:bCs/>
          <w:sz w:val="22"/>
          <w:u w:val="single"/>
        </w:rPr>
        <w:t xml:space="preserve">Effects on </w:t>
      </w:r>
      <w:r w:rsidR="000E2357" w:rsidRPr="009B4A73">
        <w:rPr>
          <w:bCs/>
          <w:sz w:val="22"/>
          <w:u w:val="single"/>
        </w:rPr>
        <w:t>l</w:t>
      </w:r>
      <w:r w:rsidRPr="009B4A73">
        <w:rPr>
          <w:bCs/>
          <w:sz w:val="22"/>
          <w:u w:val="single"/>
        </w:rPr>
        <w:t xml:space="preserve">aboratory </w:t>
      </w:r>
      <w:r w:rsidR="000E2357" w:rsidRPr="009B4A73">
        <w:rPr>
          <w:bCs/>
          <w:sz w:val="22"/>
          <w:u w:val="single"/>
        </w:rPr>
        <w:t>t</w:t>
      </w:r>
      <w:r w:rsidRPr="009B4A73">
        <w:rPr>
          <w:bCs/>
          <w:sz w:val="22"/>
          <w:u w:val="single"/>
        </w:rPr>
        <w:t>ests</w:t>
      </w:r>
    </w:p>
    <w:p w14:paraId="026D1CFA" w14:textId="77777777" w:rsidR="001A716E" w:rsidRPr="009B4A73" w:rsidRDefault="001A716E" w:rsidP="00316679">
      <w:pPr>
        <w:spacing w:after="0" w:line="240" w:lineRule="auto"/>
        <w:ind w:left="426" w:right="7259"/>
        <w:rPr>
          <w:b/>
          <w:sz w:val="22"/>
        </w:rPr>
      </w:pPr>
    </w:p>
    <w:p w14:paraId="4719A513" w14:textId="4011703A" w:rsidR="00D92EBC" w:rsidRPr="009B4A73" w:rsidRDefault="0078763F" w:rsidP="00316679">
      <w:pPr>
        <w:spacing w:after="0" w:line="240" w:lineRule="auto"/>
        <w:ind w:left="426" w:right="7259"/>
        <w:rPr>
          <w:sz w:val="22"/>
        </w:rPr>
      </w:pPr>
      <w:r w:rsidRPr="009B4A73">
        <w:rPr>
          <w:b/>
          <w:sz w:val="22"/>
        </w:rPr>
        <w:t xml:space="preserve"> </w:t>
      </w:r>
      <w:r w:rsidRPr="009B4A73">
        <w:rPr>
          <w:sz w:val="22"/>
        </w:rPr>
        <w:t>No data available</w:t>
      </w:r>
      <w:r w:rsidR="00452BBE" w:rsidRPr="009B4A73">
        <w:rPr>
          <w:sz w:val="22"/>
        </w:rPr>
        <w:t>.</w:t>
      </w:r>
    </w:p>
    <w:p w14:paraId="780B28D9" w14:textId="77777777" w:rsidR="00BC079A" w:rsidRPr="009B4A73" w:rsidRDefault="00BC079A" w:rsidP="00316679">
      <w:pPr>
        <w:spacing w:after="0" w:line="240" w:lineRule="auto"/>
        <w:ind w:left="426" w:right="7259"/>
        <w:rPr>
          <w:sz w:val="22"/>
        </w:rPr>
      </w:pPr>
    </w:p>
    <w:p w14:paraId="3DDE9ECC" w14:textId="1A2AB8D0" w:rsidR="00D92EBC" w:rsidRPr="009B4A73" w:rsidRDefault="0078763F" w:rsidP="00391329">
      <w:pPr>
        <w:pStyle w:val="Heading1"/>
        <w:tabs>
          <w:tab w:val="left" w:pos="426"/>
        </w:tabs>
        <w:spacing w:after="0" w:line="240" w:lineRule="auto"/>
        <w:ind w:left="426" w:hanging="426"/>
        <w:rPr>
          <w:sz w:val="22"/>
        </w:rPr>
      </w:pPr>
      <w:r w:rsidRPr="009B4A73">
        <w:rPr>
          <w:sz w:val="22"/>
        </w:rPr>
        <w:t xml:space="preserve">4.5 </w:t>
      </w:r>
      <w:r w:rsidR="002F2680" w:rsidRPr="009B4A73">
        <w:rPr>
          <w:sz w:val="22"/>
        </w:rPr>
        <w:tab/>
      </w:r>
      <w:r w:rsidR="002F5485" w:rsidRPr="009B4A73">
        <w:rPr>
          <w:sz w:val="22"/>
        </w:rPr>
        <w:t xml:space="preserve">Interaction with other medicines and other forms of interaction </w:t>
      </w:r>
    </w:p>
    <w:p w14:paraId="53A1C927" w14:textId="77777777" w:rsidR="00BC079A" w:rsidRPr="009B4A73" w:rsidRDefault="00BC079A" w:rsidP="00316679">
      <w:pPr>
        <w:spacing w:after="0" w:line="240" w:lineRule="auto"/>
        <w:ind w:left="426"/>
        <w:rPr>
          <w:sz w:val="22"/>
        </w:rPr>
      </w:pPr>
    </w:p>
    <w:p w14:paraId="207ECA3C" w14:textId="7D7908F9" w:rsidR="00D92EBC" w:rsidRPr="009B4A73" w:rsidRDefault="0078763F" w:rsidP="00316679">
      <w:pPr>
        <w:spacing w:after="0" w:line="240" w:lineRule="auto"/>
        <w:ind w:left="426" w:right="8"/>
        <w:rPr>
          <w:sz w:val="22"/>
        </w:rPr>
      </w:pPr>
      <w:r w:rsidRPr="009B4A73">
        <w:rPr>
          <w:sz w:val="22"/>
        </w:rPr>
        <w:t>No formal drug interaction studies have been performed with</w:t>
      </w:r>
      <w:r w:rsidR="00CE0B5E" w:rsidRPr="009B4A73">
        <w:rPr>
          <w:sz w:val="22"/>
        </w:rPr>
        <w:t xml:space="preserve"> </w:t>
      </w:r>
      <w:r w:rsidR="00D36D4E" w:rsidRPr="009B4A73">
        <w:rPr>
          <w:sz w:val="22"/>
        </w:rPr>
        <w:t>trastuzumab</w:t>
      </w:r>
      <w:r w:rsidRPr="009B4A73">
        <w:rPr>
          <w:sz w:val="22"/>
        </w:rPr>
        <w:t xml:space="preserve"> in humans.</w:t>
      </w:r>
      <w:r w:rsidR="008805AA" w:rsidRPr="009B4A73">
        <w:rPr>
          <w:sz w:val="22"/>
        </w:rPr>
        <w:t xml:space="preserve"> </w:t>
      </w:r>
      <w:r w:rsidRPr="009B4A73">
        <w:rPr>
          <w:sz w:val="22"/>
        </w:rPr>
        <w:t>Clinically significant interactions with concomitant medication used in clinical trials have not been observed.</w:t>
      </w:r>
      <w:r w:rsidR="008805AA" w:rsidRPr="009B4A73">
        <w:rPr>
          <w:sz w:val="22"/>
        </w:rPr>
        <w:t xml:space="preserve"> </w:t>
      </w:r>
      <w:r w:rsidRPr="009B4A73">
        <w:rPr>
          <w:sz w:val="22"/>
        </w:rPr>
        <w:t>A comparison of serum levels of</w:t>
      </w:r>
      <w:r w:rsidR="00CE0B5E" w:rsidRPr="009B4A73">
        <w:rPr>
          <w:sz w:val="22"/>
        </w:rPr>
        <w:t xml:space="preserve"> </w:t>
      </w:r>
      <w:r w:rsidR="00D36D4E" w:rsidRPr="009B4A73">
        <w:rPr>
          <w:sz w:val="22"/>
        </w:rPr>
        <w:t>trastuzumab</w:t>
      </w:r>
      <w:r w:rsidRPr="009B4A73">
        <w:rPr>
          <w:sz w:val="22"/>
        </w:rPr>
        <w:t xml:space="preserve"> given in combination with cisplatin, doxorubicin or </w:t>
      </w:r>
      <w:proofErr w:type="spellStart"/>
      <w:r w:rsidRPr="009B4A73">
        <w:rPr>
          <w:sz w:val="22"/>
        </w:rPr>
        <w:t>epirubicin</w:t>
      </w:r>
      <w:proofErr w:type="spellEnd"/>
      <w:r w:rsidRPr="009B4A73">
        <w:rPr>
          <w:sz w:val="22"/>
        </w:rPr>
        <w:t>-plus</w:t>
      </w:r>
      <w:r w:rsidR="004F441A" w:rsidRPr="009B4A73">
        <w:rPr>
          <w:sz w:val="22"/>
        </w:rPr>
        <w:t>-</w:t>
      </w:r>
      <w:r w:rsidRPr="009B4A73">
        <w:rPr>
          <w:sz w:val="22"/>
        </w:rPr>
        <w:t>cyclophosphamide has not suggested the possibility of any interaction.</w:t>
      </w:r>
    </w:p>
    <w:p w14:paraId="4D69EE76" w14:textId="77777777" w:rsidR="00BC079A" w:rsidRPr="009B4A73" w:rsidRDefault="00BC079A" w:rsidP="00316679">
      <w:pPr>
        <w:spacing w:after="0" w:line="240" w:lineRule="auto"/>
        <w:ind w:left="426" w:right="8"/>
        <w:rPr>
          <w:sz w:val="22"/>
        </w:rPr>
      </w:pPr>
    </w:p>
    <w:p w14:paraId="3B211645" w14:textId="641441F5" w:rsidR="00D92EBC" w:rsidRPr="009B4A73" w:rsidRDefault="0078763F" w:rsidP="00316679">
      <w:pPr>
        <w:spacing w:after="0" w:line="240" w:lineRule="auto"/>
        <w:ind w:left="426" w:right="8"/>
        <w:rPr>
          <w:sz w:val="22"/>
        </w:rPr>
      </w:pPr>
      <w:r w:rsidRPr="009B4A73">
        <w:rPr>
          <w:sz w:val="22"/>
        </w:rPr>
        <w:t>Administration of paclitaxel in combination with</w:t>
      </w:r>
      <w:r w:rsidR="00CE0B5E" w:rsidRPr="009B4A73">
        <w:rPr>
          <w:sz w:val="22"/>
        </w:rPr>
        <w:t xml:space="preserve"> </w:t>
      </w:r>
      <w:r w:rsidR="00D36D4E" w:rsidRPr="009B4A73">
        <w:rPr>
          <w:sz w:val="22"/>
        </w:rPr>
        <w:t>trastuzumab</w:t>
      </w:r>
      <w:r w:rsidRPr="009B4A73">
        <w:rPr>
          <w:sz w:val="22"/>
        </w:rPr>
        <w:t xml:space="preserve"> resulted in a slightly less than two-fold decrease in trastuzumab clearance in a non-human primate study and a 1.5-fold increase in trastuzumab serum levels in clinical studies. Paclitaxel pharmacokinetics determined during the fourth cycle of the alternative 3</w:t>
      </w:r>
      <w:r w:rsidR="000E2357" w:rsidRPr="009B4A73">
        <w:rPr>
          <w:sz w:val="22"/>
        </w:rPr>
        <w:t>-</w:t>
      </w:r>
      <w:r w:rsidRPr="009B4A73">
        <w:rPr>
          <w:sz w:val="22"/>
        </w:rPr>
        <w:t>weekly</w:t>
      </w:r>
      <w:r w:rsidR="00CE0B5E" w:rsidRPr="009B4A73">
        <w:rPr>
          <w:sz w:val="22"/>
        </w:rPr>
        <w:t xml:space="preserve"> </w:t>
      </w:r>
      <w:r w:rsidR="00D36D4E" w:rsidRPr="009B4A73">
        <w:rPr>
          <w:sz w:val="22"/>
        </w:rPr>
        <w:t>trastuzumab</w:t>
      </w:r>
      <w:r w:rsidRPr="009B4A73">
        <w:rPr>
          <w:sz w:val="22"/>
        </w:rPr>
        <w:t xml:space="preserve"> regimen (n = 25) were not altered appreciably, relative to parameters determined during the initiation of paclitaxel, prior to introduction of</w:t>
      </w:r>
      <w:r w:rsidR="00CE0B5E" w:rsidRPr="009B4A73">
        <w:rPr>
          <w:sz w:val="22"/>
        </w:rPr>
        <w:t xml:space="preserve"> </w:t>
      </w:r>
      <w:r w:rsidR="00D36D4E" w:rsidRPr="009B4A73">
        <w:rPr>
          <w:sz w:val="22"/>
        </w:rPr>
        <w:t>trastuzumab</w:t>
      </w:r>
      <w:r w:rsidRPr="009B4A73">
        <w:rPr>
          <w:sz w:val="22"/>
        </w:rPr>
        <w:t>. Similarly, docetaxel pharmacokinetics determined during the first dose of</w:t>
      </w:r>
      <w:r w:rsidR="00CE0B5E" w:rsidRPr="009B4A73">
        <w:rPr>
          <w:sz w:val="22"/>
        </w:rPr>
        <w:t xml:space="preserve"> </w:t>
      </w:r>
      <w:r w:rsidR="00D36D4E" w:rsidRPr="009B4A73">
        <w:rPr>
          <w:sz w:val="22"/>
        </w:rPr>
        <w:t>trastuzumab</w:t>
      </w:r>
      <w:r w:rsidRPr="009B4A73">
        <w:rPr>
          <w:sz w:val="22"/>
        </w:rPr>
        <w:t xml:space="preserve"> in the standard weekly regimen (n = 10) were not altered appreciably relative to those determined 2 weeks earlier for docetaxel-alone.</w:t>
      </w:r>
    </w:p>
    <w:p w14:paraId="14154962" w14:textId="77777777" w:rsidR="00002131" w:rsidRPr="009B4A73" w:rsidRDefault="00002131" w:rsidP="00316679">
      <w:pPr>
        <w:spacing w:after="0" w:line="240" w:lineRule="auto"/>
        <w:ind w:left="426" w:right="8"/>
        <w:rPr>
          <w:sz w:val="22"/>
        </w:rPr>
      </w:pPr>
    </w:p>
    <w:p w14:paraId="7F6030ED" w14:textId="34E27A8C" w:rsidR="00D92EBC" w:rsidRPr="009B4A73" w:rsidRDefault="0078763F" w:rsidP="00316679">
      <w:pPr>
        <w:spacing w:after="0" w:line="240" w:lineRule="auto"/>
        <w:ind w:left="426" w:right="8"/>
        <w:rPr>
          <w:sz w:val="22"/>
        </w:rPr>
      </w:pPr>
      <w:r w:rsidRPr="009B4A73">
        <w:rPr>
          <w:sz w:val="22"/>
        </w:rPr>
        <w:t>A pharmacokinetic interaction sub study of BO18255 (</w:t>
      </w:r>
      <w:proofErr w:type="spellStart"/>
      <w:r w:rsidRPr="009B4A73">
        <w:rPr>
          <w:sz w:val="22"/>
        </w:rPr>
        <w:t>ToGA</w:t>
      </w:r>
      <w:proofErr w:type="spellEnd"/>
      <w:r w:rsidRPr="009B4A73">
        <w:rPr>
          <w:sz w:val="22"/>
        </w:rPr>
        <w:t xml:space="preserve">) performed in male and female Japanese patients with advanced gastric cancer showed that co-administration of trastuzumab and capecitabine and cisplatin had no </w:t>
      </w:r>
      <w:r w:rsidRPr="009B4A73">
        <w:rPr>
          <w:sz w:val="22"/>
        </w:rPr>
        <w:lastRenderedPageBreak/>
        <w:t>significant effects on the pharmacokinetics of the two chemotherapy agents compared with co-administration of the two agents without trastuzumab. The pharmacokinetics of trastuzumab were not evaluated in this study.</w:t>
      </w:r>
    </w:p>
    <w:p w14:paraId="78E286D4" w14:textId="77777777" w:rsidR="00002131" w:rsidRPr="009B4A73" w:rsidRDefault="00002131" w:rsidP="00316679">
      <w:pPr>
        <w:spacing w:after="0" w:line="240" w:lineRule="auto"/>
        <w:ind w:left="426" w:right="8"/>
        <w:rPr>
          <w:sz w:val="22"/>
        </w:rPr>
      </w:pPr>
    </w:p>
    <w:p w14:paraId="2841E877" w14:textId="6F842951" w:rsidR="00D92EBC" w:rsidRPr="009B4A73" w:rsidRDefault="0078763F" w:rsidP="00316679">
      <w:pPr>
        <w:spacing w:after="0" w:line="240" w:lineRule="auto"/>
        <w:ind w:left="426" w:right="8"/>
        <w:rPr>
          <w:sz w:val="22"/>
        </w:rPr>
      </w:pPr>
      <w:r w:rsidRPr="009B4A73">
        <w:rPr>
          <w:sz w:val="22"/>
        </w:rPr>
        <w:t>The administration of concomitant chemotherapy (either anthracycline or cyclophosphamide) did not appear to influence the pharmacokinetics of trastuzumab.</w:t>
      </w:r>
    </w:p>
    <w:p w14:paraId="40154074" w14:textId="77777777" w:rsidR="00002131" w:rsidRPr="009B4A73" w:rsidRDefault="00002131" w:rsidP="00316679">
      <w:pPr>
        <w:spacing w:after="0" w:line="240" w:lineRule="auto"/>
        <w:ind w:left="426" w:right="8"/>
        <w:rPr>
          <w:sz w:val="22"/>
        </w:rPr>
      </w:pPr>
    </w:p>
    <w:p w14:paraId="44A3EA24" w14:textId="36E580F1" w:rsidR="004F441A" w:rsidRPr="009B4A73" w:rsidRDefault="0078763F" w:rsidP="00391329">
      <w:pPr>
        <w:pStyle w:val="Heading1"/>
        <w:tabs>
          <w:tab w:val="left" w:pos="426"/>
        </w:tabs>
        <w:spacing w:after="0" w:line="240" w:lineRule="auto"/>
        <w:ind w:left="426" w:hanging="426"/>
        <w:rPr>
          <w:sz w:val="22"/>
        </w:rPr>
      </w:pPr>
      <w:r w:rsidRPr="009B4A73">
        <w:rPr>
          <w:sz w:val="22"/>
        </w:rPr>
        <w:t xml:space="preserve">4.6 </w:t>
      </w:r>
      <w:r w:rsidR="002F2680" w:rsidRPr="009B4A73">
        <w:rPr>
          <w:sz w:val="22"/>
        </w:rPr>
        <w:tab/>
      </w:r>
      <w:r w:rsidR="002F5485" w:rsidRPr="009B4A73">
        <w:rPr>
          <w:sz w:val="22"/>
        </w:rPr>
        <w:t xml:space="preserve">Fertility, </w:t>
      </w:r>
      <w:proofErr w:type="gramStart"/>
      <w:r w:rsidR="002F5485" w:rsidRPr="009B4A73">
        <w:rPr>
          <w:sz w:val="22"/>
        </w:rPr>
        <w:t>pregnancy</w:t>
      </w:r>
      <w:proofErr w:type="gramEnd"/>
      <w:r w:rsidR="002F5485" w:rsidRPr="009B4A73">
        <w:rPr>
          <w:sz w:val="22"/>
        </w:rPr>
        <w:t xml:space="preserve"> and lactation </w:t>
      </w:r>
    </w:p>
    <w:p w14:paraId="25CC79C9" w14:textId="77777777" w:rsidR="004F441A" w:rsidRPr="009B4A73" w:rsidRDefault="004F441A" w:rsidP="00316679">
      <w:pPr>
        <w:pStyle w:val="Heading2"/>
        <w:spacing w:after="0" w:line="240" w:lineRule="auto"/>
        <w:ind w:left="426"/>
        <w:rPr>
          <w:sz w:val="22"/>
        </w:rPr>
      </w:pPr>
    </w:p>
    <w:p w14:paraId="037FD428" w14:textId="43EA6904" w:rsidR="00D92EBC" w:rsidRPr="009B4A73" w:rsidRDefault="0078763F" w:rsidP="00316679">
      <w:pPr>
        <w:pStyle w:val="Heading2"/>
        <w:spacing w:after="0" w:line="240" w:lineRule="auto"/>
        <w:ind w:left="426"/>
        <w:rPr>
          <w:b w:val="0"/>
          <w:bCs/>
          <w:sz w:val="22"/>
          <w:u w:val="single"/>
        </w:rPr>
      </w:pPr>
      <w:r w:rsidRPr="009B4A73">
        <w:rPr>
          <w:b w:val="0"/>
          <w:bCs/>
          <w:sz w:val="22"/>
          <w:u w:val="single"/>
        </w:rPr>
        <w:t xml:space="preserve">Effects on </w:t>
      </w:r>
      <w:r w:rsidR="000E2357" w:rsidRPr="009B4A73">
        <w:rPr>
          <w:b w:val="0"/>
          <w:bCs/>
          <w:sz w:val="22"/>
          <w:u w:val="single"/>
        </w:rPr>
        <w:t>f</w:t>
      </w:r>
      <w:r w:rsidRPr="009B4A73">
        <w:rPr>
          <w:b w:val="0"/>
          <w:bCs/>
          <w:sz w:val="22"/>
          <w:u w:val="single"/>
        </w:rPr>
        <w:t>ertility</w:t>
      </w:r>
    </w:p>
    <w:p w14:paraId="466ED52F" w14:textId="77777777" w:rsidR="00A93B7D" w:rsidRPr="009B4A73" w:rsidRDefault="00A93B7D" w:rsidP="00316679">
      <w:pPr>
        <w:spacing w:after="0" w:line="240" w:lineRule="auto"/>
        <w:ind w:left="426"/>
        <w:rPr>
          <w:sz w:val="22"/>
        </w:rPr>
      </w:pPr>
    </w:p>
    <w:p w14:paraId="59FABB7A" w14:textId="6BCEF429" w:rsidR="00D92EBC" w:rsidRPr="009B4A73" w:rsidRDefault="0078763F" w:rsidP="00316679">
      <w:pPr>
        <w:spacing w:after="0" w:line="240" w:lineRule="auto"/>
        <w:ind w:left="426" w:right="8"/>
        <w:rPr>
          <w:sz w:val="22"/>
        </w:rPr>
      </w:pPr>
      <w:r w:rsidRPr="009B4A73">
        <w:rPr>
          <w:sz w:val="22"/>
        </w:rPr>
        <w:t xml:space="preserve">A study in female cynomolgus monkeys revealed no evidence of impaired fertility at IV trastuzumab doses up to 25 mg/kg twice weekly, corresponding to serum trough levels (serum </w:t>
      </w:r>
      <w:proofErr w:type="spellStart"/>
      <w:r w:rsidRPr="009B4A73">
        <w:rPr>
          <w:sz w:val="22"/>
        </w:rPr>
        <w:t>Cmin</w:t>
      </w:r>
      <w:proofErr w:type="spellEnd"/>
      <w:r w:rsidRPr="009B4A73">
        <w:rPr>
          <w:sz w:val="22"/>
        </w:rPr>
        <w:t>) about 15 times higher than that in humans receiving the recommended weekly dose of 2 mg/kg.</w:t>
      </w:r>
    </w:p>
    <w:p w14:paraId="7D79B6BC" w14:textId="77777777" w:rsidR="00163827" w:rsidRPr="009B4A73" w:rsidRDefault="00163827" w:rsidP="00316679">
      <w:pPr>
        <w:spacing w:after="0" w:line="240" w:lineRule="auto"/>
        <w:ind w:left="426" w:right="8"/>
        <w:rPr>
          <w:sz w:val="22"/>
        </w:rPr>
      </w:pPr>
    </w:p>
    <w:p w14:paraId="02F712F6" w14:textId="12CBA7BB" w:rsidR="00D92EBC" w:rsidRPr="009B4A73" w:rsidRDefault="0078763F" w:rsidP="00316679">
      <w:pPr>
        <w:pStyle w:val="Heading2"/>
        <w:spacing w:after="0" w:line="240" w:lineRule="auto"/>
        <w:ind w:left="426"/>
        <w:rPr>
          <w:b w:val="0"/>
          <w:bCs/>
          <w:sz w:val="22"/>
          <w:u w:val="single"/>
        </w:rPr>
      </w:pPr>
      <w:r w:rsidRPr="009B4A73">
        <w:rPr>
          <w:b w:val="0"/>
          <w:bCs/>
          <w:sz w:val="22"/>
          <w:u w:val="single"/>
        </w:rPr>
        <w:t xml:space="preserve">Use in </w:t>
      </w:r>
      <w:r w:rsidR="000E2357" w:rsidRPr="009B4A73">
        <w:rPr>
          <w:b w:val="0"/>
          <w:bCs/>
          <w:sz w:val="22"/>
          <w:u w:val="single"/>
        </w:rPr>
        <w:t>p</w:t>
      </w:r>
      <w:r w:rsidRPr="009B4A73">
        <w:rPr>
          <w:b w:val="0"/>
          <w:bCs/>
          <w:sz w:val="22"/>
          <w:u w:val="single"/>
        </w:rPr>
        <w:t>regnancy – Category D</w:t>
      </w:r>
    </w:p>
    <w:p w14:paraId="6FECBAA9" w14:textId="77777777" w:rsidR="00A93B7D" w:rsidRPr="009B4A73" w:rsidRDefault="00A93B7D" w:rsidP="00316679">
      <w:pPr>
        <w:spacing w:after="0" w:line="240" w:lineRule="auto"/>
        <w:ind w:left="426"/>
        <w:rPr>
          <w:sz w:val="22"/>
        </w:rPr>
      </w:pPr>
    </w:p>
    <w:p w14:paraId="5B9F2076" w14:textId="6240FD4C" w:rsidR="00D92EBC" w:rsidRPr="009B4A73" w:rsidRDefault="000E2357" w:rsidP="00316679">
      <w:pPr>
        <w:spacing w:after="0" w:line="240" w:lineRule="auto"/>
        <w:ind w:left="426" w:right="8"/>
        <w:rPr>
          <w:sz w:val="22"/>
        </w:rPr>
      </w:pPr>
      <w:r w:rsidRPr="009B4A73">
        <w:rPr>
          <w:spacing w:val="2"/>
          <w:sz w:val="22"/>
        </w:rPr>
        <w:t>Trastuzumab</w:t>
      </w:r>
      <w:r w:rsidR="0078763F" w:rsidRPr="009B4A73">
        <w:rPr>
          <w:spacing w:val="2"/>
          <w:sz w:val="22"/>
        </w:rPr>
        <w:t xml:space="preserve"> should be avoided during pregnancy and since trastuzumab may persist in the circulation for up to 7</w:t>
      </w:r>
      <w:r w:rsidR="0078763F" w:rsidRPr="009B4A73">
        <w:rPr>
          <w:sz w:val="22"/>
        </w:rPr>
        <w:t xml:space="preserve"> months, pregnancy should be avoided for 7 months after the last dose of</w:t>
      </w:r>
      <w:r w:rsidR="00CE0B5E" w:rsidRPr="009B4A73">
        <w:rPr>
          <w:sz w:val="22"/>
        </w:rPr>
        <w:t xml:space="preserve"> </w:t>
      </w:r>
      <w:r w:rsidR="00D36D4E" w:rsidRPr="009B4A73">
        <w:rPr>
          <w:sz w:val="22"/>
        </w:rPr>
        <w:t>trastuzumab</w:t>
      </w:r>
      <w:r w:rsidR="0078763F" w:rsidRPr="009B4A73">
        <w:rPr>
          <w:sz w:val="22"/>
        </w:rPr>
        <w:t>, unless the anticipated benefit for the mother outweighs the unknown risk to the foetus.</w:t>
      </w:r>
    </w:p>
    <w:p w14:paraId="135B7E4D" w14:textId="77777777" w:rsidR="00A93B7D" w:rsidRPr="009B4A73" w:rsidRDefault="00A93B7D" w:rsidP="00316679">
      <w:pPr>
        <w:spacing w:after="0" w:line="240" w:lineRule="auto"/>
        <w:ind w:left="426" w:right="8"/>
        <w:rPr>
          <w:sz w:val="22"/>
        </w:rPr>
      </w:pPr>
    </w:p>
    <w:p w14:paraId="02AD3873" w14:textId="7216F56D" w:rsidR="00D92EBC" w:rsidRPr="009B4A73" w:rsidRDefault="0078763F" w:rsidP="00316679">
      <w:pPr>
        <w:spacing w:after="0" w:line="240" w:lineRule="auto"/>
        <w:ind w:left="426" w:right="8"/>
        <w:rPr>
          <w:sz w:val="22"/>
        </w:rPr>
      </w:pPr>
      <w:r w:rsidRPr="009B4A73">
        <w:rPr>
          <w:sz w:val="22"/>
        </w:rPr>
        <w:t>In the post-marketing setting, cases of foetal renal growth and/or function impairment in association with oligohydramnios, some associated with fatal pulmonary hypoplasia of the foetus, have been reported in pregnant women receiving</w:t>
      </w:r>
      <w:r w:rsidR="00CE0B5E" w:rsidRPr="009B4A73">
        <w:rPr>
          <w:sz w:val="22"/>
        </w:rPr>
        <w:t xml:space="preserve"> </w:t>
      </w:r>
      <w:r w:rsidR="00D36D4E" w:rsidRPr="009B4A73">
        <w:rPr>
          <w:sz w:val="22"/>
        </w:rPr>
        <w:t>trastuzumab</w:t>
      </w:r>
      <w:r w:rsidRPr="009B4A73">
        <w:rPr>
          <w:sz w:val="22"/>
        </w:rPr>
        <w:t>.</w:t>
      </w:r>
    </w:p>
    <w:p w14:paraId="4B85D394" w14:textId="77777777" w:rsidR="00A93B7D" w:rsidRPr="009B4A73" w:rsidRDefault="00A93B7D" w:rsidP="00316679">
      <w:pPr>
        <w:spacing w:after="0" w:line="240" w:lineRule="auto"/>
        <w:ind w:left="426" w:right="8"/>
        <w:rPr>
          <w:sz w:val="22"/>
        </w:rPr>
      </w:pPr>
    </w:p>
    <w:p w14:paraId="4A5B3545" w14:textId="05AE508C" w:rsidR="00D92EBC" w:rsidRPr="009B4A73" w:rsidRDefault="0078763F" w:rsidP="00316679">
      <w:pPr>
        <w:spacing w:after="0" w:line="240" w:lineRule="auto"/>
        <w:ind w:left="426" w:right="8"/>
        <w:rPr>
          <w:sz w:val="22"/>
        </w:rPr>
      </w:pPr>
      <w:r w:rsidRPr="009B4A73">
        <w:rPr>
          <w:sz w:val="22"/>
        </w:rPr>
        <w:t>Women of childbearing potential should be advised to use effective contraception during treatment with</w:t>
      </w:r>
      <w:r w:rsidR="00CE0B5E" w:rsidRPr="009B4A73">
        <w:rPr>
          <w:sz w:val="22"/>
        </w:rPr>
        <w:t xml:space="preserve"> </w:t>
      </w:r>
      <w:r w:rsidR="00D36D4E" w:rsidRPr="009B4A73">
        <w:rPr>
          <w:sz w:val="22"/>
        </w:rPr>
        <w:t>trastuzumab</w:t>
      </w:r>
      <w:r w:rsidRPr="009B4A73">
        <w:rPr>
          <w:sz w:val="22"/>
        </w:rPr>
        <w:t xml:space="preserve"> and for at least 7 months after treatment has concluded. Women who become pregnant should be advised of the possibility of harm to the foetus.</w:t>
      </w:r>
      <w:r w:rsidR="008805AA" w:rsidRPr="009B4A73">
        <w:rPr>
          <w:sz w:val="22"/>
        </w:rPr>
        <w:t xml:space="preserve"> </w:t>
      </w:r>
      <w:r w:rsidRPr="009B4A73">
        <w:rPr>
          <w:sz w:val="22"/>
        </w:rPr>
        <w:t>If a pregnant woman is treated with</w:t>
      </w:r>
      <w:r w:rsidR="00CE0B5E" w:rsidRPr="009B4A73">
        <w:rPr>
          <w:sz w:val="22"/>
        </w:rPr>
        <w:t xml:space="preserve"> </w:t>
      </w:r>
      <w:r w:rsidR="00D36D4E" w:rsidRPr="009B4A73">
        <w:rPr>
          <w:sz w:val="22"/>
        </w:rPr>
        <w:t>trastuzumab</w:t>
      </w:r>
      <w:r w:rsidR="00A959D7" w:rsidRPr="009B4A73">
        <w:rPr>
          <w:sz w:val="22"/>
        </w:rPr>
        <w:t xml:space="preserve"> </w:t>
      </w:r>
      <w:r w:rsidRPr="009B4A73">
        <w:rPr>
          <w:sz w:val="22"/>
        </w:rPr>
        <w:t>or becomes pregnant within 7 months following the last dose of</w:t>
      </w:r>
      <w:r w:rsidR="00CE0B5E" w:rsidRPr="009B4A73">
        <w:rPr>
          <w:sz w:val="22"/>
        </w:rPr>
        <w:t xml:space="preserve"> </w:t>
      </w:r>
      <w:r w:rsidR="00D36D4E" w:rsidRPr="009B4A73">
        <w:rPr>
          <w:sz w:val="22"/>
        </w:rPr>
        <w:t>trastuzumab</w:t>
      </w:r>
      <w:r w:rsidRPr="009B4A73">
        <w:rPr>
          <w:sz w:val="22"/>
        </w:rPr>
        <w:t>, close monitoring by a multidisciplinary team is desirable.</w:t>
      </w:r>
    </w:p>
    <w:p w14:paraId="4831F10C" w14:textId="77777777" w:rsidR="00623457" w:rsidRPr="009B4A73" w:rsidRDefault="00623457" w:rsidP="00316679">
      <w:pPr>
        <w:spacing w:after="0" w:line="240" w:lineRule="auto"/>
        <w:ind w:left="426" w:right="8"/>
        <w:rPr>
          <w:sz w:val="22"/>
        </w:rPr>
      </w:pPr>
    </w:p>
    <w:p w14:paraId="28177954" w14:textId="3609407B" w:rsidR="00D92EBC" w:rsidRPr="009B4A73" w:rsidRDefault="0078763F" w:rsidP="00316679">
      <w:pPr>
        <w:pStyle w:val="Heading2"/>
        <w:spacing w:after="0" w:line="240" w:lineRule="auto"/>
        <w:ind w:left="426"/>
        <w:rPr>
          <w:b w:val="0"/>
          <w:bCs/>
          <w:sz w:val="22"/>
          <w:u w:val="single"/>
        </w:rPr>
      </w:pPr>
      <w:r w:rsidRPr="009B4A73">
        <w:rPr>
          <w:b w:val="0"/>
          <w:bCs/>
          <w:sz w:val="22"/>
          <w:u w:val="single"/>
        </w:rPr>
        <w:t xml:space="preserve">Use in </w:t>
      </w:r>
      <w:r w:rsidR="000E2357" w:rsidRPr="009B4A73">
        <w:rPr>
          <w:b w:val="0"/>
          <w:bCs/>
          <w:sz w:val="22"/>
          <w:u w:val="single"/>
        </w:rPr>
        <w:t>l</w:t>
      </w:r>
      <w:r w:rsidRPr="009B4A73">
        <w:rPr>
          <w:b w:val="0"/>
          <w:bCs/>
          <w:sz w:val="22"/>
          <w:u w:val="single"/>
        </w:rPr>
        <w:t xml:space="preserve">actation </w:t>
      </w:r>
    </w:p>
    <w:p w14:paraId="15488AB2" w14:textId="77777777" w:rsidR="00836507" w:rsidRPr="009B4A73" w:rsidRDefault="00836507" w:rsidP="00316679">
      <w:pPr>
        <w:spacing w:after="0" w:line="240" w:lineRule="auto"/>
        <w:ind w:left="426"/>
        <w:rPr>
          <w:sz w:val="22"/>
        </w:rPr>
      </w:pPr>
    </w:p>
    <w:p w14:paraId="27964D28" w14:textId="46F5EBCF" w:rsidR="00D92EBC" w:rsidRPr="009B4A73" w:rsidRDefault="0078763F" w:rsidP="00316679">
      <w:pPr>
        <w:spacing w:after="0" w:line="240" w:lineRule="auto"/>
        <w:ind w:left="426" w:right="8"/>
        <w:rPr>
          <w:sz w:val="22"/>
        </w:rPr>
      </w:pPr>
      <w:r w:rsidRPr="009B4A73">
        <w:rPr>
          <w:spacing w:val="4"/>
          <w:sz w:val="22"/>
        </w:rPr>
        <w:t xml:space="preserve">A study conducted in lactating cynomolgus monkeys dosed intravenously with trastuzumab at 25 mg/kg twice weekly (serum </w:t>
      </w:r>
      <w:proofErr w:type="spellStart"/>
      <w:r w:rsidRPr="009B4A73">
        <w:rPr>
          <w:spacing w:val="4"/>
          <w:sz w:val="22"/>
        </w:rPr>
        <w:t>C</w:t>
      </w:r>
      <w:r w:rsidRPr="009B4A73">
        <w:rPr>
          <w:spacing w:val="4"/>
          <w:sz w:val="22"/>
          <w:vertAlign w:val="subscript"/>
        </w:rPr>
        <w:t>min</w:t>
      </w:r>
      <w:proofErr w:type="spellEnd"/>
      <w:r w:rsidRPr="009B4A73">
        <w:rPr>
          <w:spacing w:val="4"/>
          <w:sz w:val="22"/>
          <w:vertAlign w:val="subscript"/>
        </w:rPr>
        <w:t xml:space="preserve"> </w:t>
      </w:r>
      <w:r w:rsidRPr="009B4A73">
        <w:rPr>
          <w:spacing w:val="4"/>
          <w:sz w:val="22"/>
        </w:rPr>
        <w:t>about 15 times higher than that in humans receiving the recommended weekly dose of 2</w:t>
      </w:r>
      <w:r w:rsidRPr="009B4A73">
        <w:rPr>
          <w:sz w:val="22"/>
        </w:rPr>
        <w:t xml:space="preserve"> mg/kg) demonstrated that trastuzumab is excreted in the milk.</w:t>
      </w:r>
      <w:r w:rsidR="008805AA" w:rsidRPr="009B4A73">
        <w:rPr>
          <w:sz w:val="22"/>
        </w:rPr>
        <w:t xml:space="preserve"> </w:t>
      </w:r>
      <w:r w:rsidRPr="009B4A73">
        <w:rPr>
          <w:sz w:val="22"/>
        </w:rPr>
        <w:t>The exposure to trastuzumab in utero and the presence of trastuzumab in the serum of infant monkeys was not associated with adverse effects on their growth or development from birth to 1 month of age.</w:t>
      </w:r>
      <w:r w:rsidR="008805AA" w:rsidRPr="009B4A73">
        <w:rPr>
          <w:sz w:val="22"/>
        </w:rPr>
        <w:t xml:space="preserve"> </w:t>
      </w:r>
      <w:r w:rsidRPr="009B4A73">
        <w:rPr>
          <w:sz w:val="22"/>
        </w:rPr>
        <w:t>However, the binding affinity of trastuzumab to epidermal growth factor receptor 2 protein in cynomolgus monkeys is unclear.</w:t>
      </w:r>
    </w:p>
    <w:p w14:paraId="230E4013" w14:textId="77777777" w:rsidR="00F82599" w:rsidRPr="009B4A73" w:rsidRDefault="00F82599" w:rsidP="00316679">
      <w:pPr>
        <w:spacing w:after="0" w:line="240" w:lineRule="auto"/>
        <w:ind w:left="426" w:right="8"/>
        <w:rPr>
          <w:sz w:val="22"/>
        </w:rPr>
      </w:pPr>
    </w:p>
    <w:p w14:paraId="4C1AAF81" w14:textId="78BA572F" w:rsidR="00D92EBC" w:rsidRPr="009B4A73" w:rsidRDefault="0078763F" w:rsidP="00316679">
      <w:pPr>
        <w:spacing w:after="0" w:line="240" w:lineRule="auto"/>
        <w:ind w:left="426" w:right="8"/>
        <w:rPr>
          <w:sz w:val="22"/>
        </w:rPr>
      </w:pPr>
      <w:r w:rsidRPr="009B4A73">
        <w:rPr>
          <w:sz w:val="22"/>
        </w:rPr>
        <w:t>It is not known whether trastuzumab is excreted in human milk.</w:t>
      </w:r>
      <w:r w:rsidR="008805AA" w:rsidRPr="009B4A73">
        <w:rPr>
          <w:sz w:val="22"/>
        </w:rPr>
        <w:t xml:space="preserve"> </w:t>
      </w:r>
      <w:r w:rsidRPr="009B4A73">
        <w:rPr>
          <w:sz w:val="22"/>
        </w:rPr>
        <w:t>As human immunoglobulin G (IgG) is secreted into human milk and the potential for harm to the infant is unknown, breast-feeding should be avoided during</w:t>
      </w:r>
      <w:r w:rsidR="00CE0B5E" w:rsidRPr="009B4A73">
        <w:rPr>
          <w:sz w:val="22"/>
        </w:rPr>
        <w:t xml:space="preserve"> </w:t>
      </w:r>
      <w:r w:rsidR="00D36D4E" w:rsidRPr="009B4A73">
        <w:rPr>
          <w:sz w:val="22"/>
        </w:rPr>
        <w:t>trastuzumab</w:t>
      </w:r>
      <w:r w:rsidRPr="009B4A73">
        <w:rPr>
          <w:sz w:val="22"/>
        </w:rPr>
        <w:t xml:space="preserve"> therapy and for 7 months after the last dose of</w:t>
      </w:r>
      <w:r w:rsidR="00CE0B5E" w:rsidRPr="009B4A73">
        <w:rPr>
          <w:sz w:val="22"/>
        </w:rPr>
        <w:t xml:space="preserve"> </w:t>
      </w:r>
      <w:r w:rsidR="00D36D4E" w:rsidRPr="009B4A73">
        <w:rPr>
          <w:sz w:val="22"/>
        </w:rPr>
        <w:t>trastuzumab</w:t>
      </w:r>
      <w:r w:rsidRPr="009B4A73">
        <w:rPr>
          <w:sz w:val="22"/>
        </w:rPr>
        <w:t>.</w:t>
      </w:r>
    </w:p>
    <w:p w14:paraId="1C313129" w14:textId="77777777" w:rsidR="002409E0" w:rsidRPr="009B4A73" w:rsidRDefault="002409E0" w:rsidP="00316679">
      <w:pPr>
        <w:spacing w:after="0" w:line="240" w:lineRule="auto"/>
        <w:ind w:left="426" w:right="8"/>
        <w:rPr>
          <w:sz w:val="22"/>
        </w:rPr>
      </w:pPr>
    </w:p>
    <w:p w14:paraId="36CBB5A4" w14:textId="696067DB" w:rsidR="00D92EBC" w:rsidRPr="009B4A73" w:rsidRDefault="0078763F" w:rsidP="00391329">
      <w:pPr>
        <w:pStyle w:val="Heading1"/>
        <w:tabs>
          <w:tab w:val="left" w:pos="426"/>
        </w:tabs>
        <w:spacing w:after="0" w:line="240" w:lineRule="auto"/>
        <w:ind w:left="426" w:hanging="426"/>
        <w:rPr>
          <w:sz w:val="22"/>
        </w:rPr>
      </w:pPr>
      <w:r w:rsidRPr="009B4A73">
        <w:rPr>
          <w:sz w:val="22"/>
        </w:rPr>
        <w:t xml:space="preserve">4.7 </w:t>
      </w:r>
      <w:r w:rsidR="002F2680" w:rsidRPr="009B4A73">
        <w:rPr>
          <w:sz w:val="22"/>
        </w:rPr>
        <w:tab/>
      </w:r>
      <w:r w:rsidR="002F5485" w:rsidRPr="009B4A73">
        <w:rPr>
          <w:sz w:val="22"/>
        </w:rPr>
        <w:t>Effects on ability to drive and use machines</w:t>
      </w:r>
    </w:p>
    <w:p w14:paraId="08745D66" w14:textId="77777777" w:rsidR="00C17DFE" w:rsidRPr="009B4A73" w:rsidRDefault="00C17DFE" w:rsidP="00316679">
      <w:pPr>
        <w:tabs>
          <w:tab w:val="left" w:pos="426"/>
        </w:tabs>
        <w:spacing w:after="0" w:line="240" w:lineRule="auto"/>
        <w:ind w:left="426"/>
        <w:rPr>
          <w:sz w:val="22"/>
        </w:rPr>
      </w:pPr>
    </w:p>
    <w:p w14:paraId="073CBFA4" w14:textId="314E3ABF" w:rsidR="004300D9" w:rsidRPr="009B4A73" w:rsidRDefault="000E2357" w:rsidP="00316679">
      <w:pPr>
        <w:spacing w:after="0" w:line="240" w:lineRule="auto"/>
        <w:ind w:left="426" w:right="8"/>
        <w:rPr>
          <w:sz w:val="22"/>
        </w:rPr>
      </w:pPr>
      <w:r w:rsidRPr="009B4A73">
        <w:rPr>
          <w:sz w:val="22"/>
        </w:rPr>
        <w:t>Trastuzumab</w:t>
      </w:r>
      <w:r w:rsidR="0078763F" w:rsidRPr="009B4A73">
        <w:rPr>
          <w:sz w:val="22"/>
        </w:rPr>
        <w:t xml:space="preserve"> has a minor influence on the ability to drive and use machines. Dizziness and somnolence may occur during treatment with</w:t>
      </w:r>
      <w:r w:rsidR="00CE0B5E" w:rsidRPr="009B4A73">
        <w:rPr>
          <w:sz w:val="22"/>
        </w:rPr>
        <w:t xml:space="preserve"> </w:t>
      </w:r>
      <w:r w:rsidR="00D36D4E" w:rsidRPr="009B4A73">
        <w:rPr>
          <w:sz w:val="22"/>
        </w:rPr>
        <w:t>trastuzumab</w:t>
      </w:r>
      <w:r w:rsidR="0078763F" w:rsidRPr="009B4A73">
        <w:rPr>
          <w:sz w:val="22"/>
        </w:rPr>
        <w:t xml:space="preserve"> (see section 4.8 Adverse </w:t>
      </w:r>
      <w:r w:rsidR="00F94AD5" w:rsidRPr="009B4A73">
        <w:rPr>
          <w:sz w:val="22"/>
        </w:rPr>
        <w:t>e</w:t>
      </w:r>
      <w:r w:rsidR="0078763F" w:rsidRPr="009B4A73">
        <w:rPr>
          <w:sz w:val="22"/>
        </w:rPr>
        <w:t xml:space="preserve">ffects (Undesirable </w:t>
      </w:r>
      <w:r w:rsidR="00F94AD5" w:rsidRPr="009B4A73">
        <w:rPr>
          <w:sz w:val="22"/>
        </w:rPr>
        <w:t>e</w:t>
      </w:r>
      <w:r w:rsidR="0078763F" w:rsidRPr="009B4A73">
        <w:rPr>
          <w:sz w:val="22"/>
        </w:rPr>
        <w:t>ffects). Patients experiencing infusion-related symptoms should be advised not to drive or use machines until symptoms resolve completely.</w:t>
      </w:r>
    </w:p>
    <w:p w14:paraId="40041CE2" w14:textId="4321EAE2" w:rsidR="00D92EBC" w:rsidRPr="009B4A73" w:rsidRDefault="0078763F" w:rsidP="00316679">
      <w:pPr>
        <w:spacing w:after="0" w:line="240" w:lineRule="auto"/>
        <w:ind w:left="426" w:right="8"/>
        <w:rPr>
          <w:sz w:val="22"/>
        </w:rPr>
      </w:pPr>
      <w:r w:rsidRPr="009B4A73">
        <w:rPr>
          <w:sz w:val="22"/>
        </w:rPr>
        <w:t xml:space="preserve"> </w:t>
      </w:r>
    </w:p>
    <w:p w14:paraId="0837B401" w14:textId="2FE0D540" w:rsidR="004300D9" w:rsidRPr="009B4A73" w:rsidRDefault="0078763F" w:rsidP="00391329">
      <w:pPr>
        <w:pStyle w:val="Heading1"/>
        <w:tabs>
          <w:tab w:val="left" w:pos="426"/>
        </w:tabs>
        <w:spacing w:after="0" w:line="240" w:lineRule="auto"/>
        <w:ind w:left="426" w:hanging="426"/>
        <w:rPr>
          <w:sz w:val="22"/>
        </w:rPr>
      </w:pPr>
      <w:r w:rsidRPr="009B4A73">
        <w:rPr>
          <w:sz w:val="22"/>
        </w:rPr>
        <w:lastRenderedPageBreak/>
        <w:t xml:space="preserve">4.8 </w:t>
      </w:r>
      <w:r w:rsidR="002F2680" w:rsidRPr="009B4A73">
        <w:rPr>
          <w:sz w:val="22"/>
        </w:rPr>
        <w:tab/>
      </w:r>
      <w:r w:rsidR="002F5485" w:rsidRPr="009B4A73">
        <w:rPr>
          <w:sz w:val="22"/>
        </w:rPr>
        <w:t>Adverse effects (Undesirable effects)</w:t>
      </w:r>
    </w:p>
    <w:p w14:paraId="78D4EECD" w14:textId="4090A5DC" w:rsidR="00D92EBC" w:rsidRPr="009B4A73" w:rsidRDefault="0078763F" w:rsidP="00316679">
      <w:pPr>
        <w:pStyle w:val="Heading2"/>
        <w:tabs>
          <w:tab w:val="center" w:pos="3477"/>
        </w:tabs>
        <w:spacing w:after="0" w:line="240" w:lineRule="auto"/>
        <w:ind w:left="426" w:firstLine="0"/>
        <w:rPr>
          <w:sz w:val="22"/>
        </w:rPr>
      </w:pPr>
      <w:r w:rsidRPr="009B4A73">
        <w:rPr>
          <w:sz w:val="22"/>
        </w:rPr>
        <w:t xml:space="preserve"> </w:t>
      </w:r>
    </w:p>
    <w:p w14:paraId="296FC8FA" w14:textId="5D93AAAA" w:rsidR="008A25EB" w:rsidRPr="009B4A73" w:rsidRDefault="0078763F" w:rsidP="00316679">
      <w:pPr>
        <w:spacing w:after="0" w:line="240" w:lineRule="auto"/>
        <w:ind w:left="426" w:right="8"/>
        <w:rPr>
          <w:sz w:val="22"/>
        </w:rPr>
      </w:pPr>
      <w:r w:rsidRPr="009B4A73">
        <w:rPr>
          <w:sz w:val="22"/>
        </w:rPr>
        <w:t>Table 1 summarizes the adverse drug reactions (ADRs) that have been reported in association with the use of</w:t>
      </w:r>
      <w:r w:rsidR="00CE0B5E" w:rsidRPr="009B4A73">
        <w:rPr>
          <w:sz w:val="22"/>
        </w:rPr>
        <w:t xml:space="preserve"> </w:t>
      </w:r>
      <w:r w:rsidR="00D36D4E" w:rsidRPr="009B4A73">
        <w:rPr>
          <w:sz w:val="22"/>
        </w:rPr>
        <w:t>trastuzumab</w:t>
      </w:r>
      <w:r w:rsidRPr="009B4A73">
        <w:rPr>
          <w:sz w:val="22"/>
        </w:rPr>
        <w:t xml:space="preserve"> alone, or in combination with chemotherapy in the below pivotal clinical trials as well as in the post-marketing setting. </w:t>
      </w:r>
    </w:p>
    <w:p w14:paraId="1BDA3379" w14:textId="6555D8EC" w:rsidR="00D92EBC" w:rsidRPr="009B4A73" w:rsidRDefault="0078763F" w:rsidP="00316679">
      <w:pPr>
        <w:spacing w:after="0" w:line="240" w:lineRule="auto"/>
        <w:ind w:left="426" w:right="8"/>
        <w:rPr>
          <w:sz w:val="22"/>
        </w:rPr>
      </w:pPr>
      <w:r w:rsidRPr="009B4A73">
        <w:rPr>
          <w:sz w:val="22"/>
        </w:rPr>
        <w:t xml:space="preserve"> </w:t>
      </w:r>
    </w:p>
    <w:p w14:paraId="0E494495" w14:textId="06BAA343" w:rsidR="00D92EBC" w:rsidRPr="009B4A73" w:rsidRDefault="0078763F" w:rsidP="001D3187">
      <w:pPr>
        <w:spacing w:after="60" w:line="240" w:lineRule="auto"/>
        <w:ind w:left="426" w:right="8"/>
        <w:rPr>
          <w:sz w:val="22"/>
        </w:rPr>
      </w:pPr>
      <w:r w:rsidRPr="009B4A73">
        <w:rPr>
          <w:sz w:val="22"/>
        </w:rPr>
        <w:t>The corresponding frequency category for each adverse drug reactio</w:t>
      </w:r>
      <w:r w:rsidR="001D3187" w:rsidRPr="009B4A73">
        <w:rPr>
          <w:sz w:val="22"/>
        </w:rPr>
        <w:t>n</w:t>
      </w:r>
      <w:r w:rsidRPr="009B4A73">
        <w:rPr>
          <w:sz w:val="22"/>
        </w:rPr>
        <w:t>s is based on the following convention</w:t>
      </w:r>
      <w:r w:rsidR="001D3187" w:rsidRPr="009B4A73">
        <w:rPr>
          <w:sz w:val="22"/>
        </w:rPr>
        <w:t xml:space="preserve">: </w:t>
      </w:r>
      <w:r w:rsidRPr="009B4A73">
        <w:rPr>
          <w:sz w:val="22"/>
        </w:rPr>
        <w:t>very common (</w:t>
      </w:r>
      <w:r w:rsidR="002F5485" w:rsidRPr="009B4A73">
        <w:rPr>
          <w:rFonts w:eastAsia="Segoe UI Symbol"/>
          <w:sz w:val="22"/>
        </w:rPr>
        <w:t>≥</w:t>
      </w:r>
      <w:r w:rsidRPr="009B4A73">
        <w:rPr>
          <w:sz w:val="22"/>
        </w:rPr>
        <w:t>1/10); common (</w:t>
      </w:r>
      <w:r w:rsidR="002F5485" w:rsidRPr="009B4A73">
        <w:rPr>
          <w:rFonts w:eastAsia="Segoe UI Symbol"/>
          <w:sz w:val="22"/>
        </w:rPr>
        <w:t>≥</w:t>
      </w:r>
      <w:r w:rsidRPr="009B4A73">
        <w:rPr>
          <w:sz w:val="22"/>
        </w:rPr>
        <w:t>1/100 to &lt;1/10); uncommon (≥1/1,000 to &lt;1/100); rare (≥1/10,000 to &lt;1/1,000); very rare (&lt;1/10,000); not known (cannot be estimated from the available data). Within each frequency grouping, adverse reactions are presented in order of decreasing seriousness.</w:t>
      </w:r>
    </w:p>
    <w:p w14:paraId="5EBDB635" w14:textId="77777777" w:rsidR="008A25EB" w:rsidRPr="009B4A73" w:rsidRDefault="008A25EB" w:rsidP="00316679">
      <w:pPr>
        <w:spacing w:after="0" w:line="240" w:lineRule="auto"/>
        <w:ind w:left="426" w:right="8"/>
        <w:rPr>
          <w:sz w:val="22"/>
        </w:rPr>
      </w:pPr>
    </w:p>
    <w:p w14:paraId="2BD8C3D9" w14:textId="032D352E" w:rsidR="00D92EBC" w:rsidRPr="009B4A73" w:rsidRDefault="0078763F" w:rsidP="00316679">
      <w:pPr>
        <w:pStyle w:val="Heading2"/>
        <w:spacing w:after="0" w:line="240" w:lineRule="auto"/>
        <w:ind w:left="426"/>
        <w:rPr>
          <w:b w:val="0"/>
          <w:bCs/>
          <w:sz w:val="22"/>
          <w:u w:val="single"/>
        </w:rPr>
      </w:pPr>
      <w:r w:rsidRPr="009B4A73">
        <w:rPr>
          <w:b w:val="0"/>
          <w:bCs/>
          <w:sz w:val="22"/>
          <w:u w:val="single"/>
        </w:rPr>
        <w:t xml:space="preserve">Early </w:t>
      </w:r>
      <w:r w:rsidR="000E2357" w:rsidRPr="009B4A73">
        <w:rPr>
          <w:b w:val="0"/>
          <w:bCs/>
          <w:sz w:val="22"/>
          <w:u w:val="single"/>
        </w:rPr>
        <w:t>b</w:t>
      </w:r>
      <w:r w:rsidRPr="009B4A73">
        <w:rPr>
          <w:b w:val="0"/>
          <w:bCs/>
          <w:sz w:val="22"/>
          <w:u w:val="single"/>
        </w:rPr>
        <w:t xml:space="preserve">reast </w:t>
      </w:r>
      <w:r w:rsidR="000E2357" w:rsidRPr="009B4A73">
        <w:rPr>
          <w:b w:val="0"/>
          <w:bCs/>
          <w:sz w:val="22"/>
          <w:u w:val="single"/>
        </w:rPr>
        <w:t>c</w:t>
      </w:r>
      <w:r w:rsidRPr="009B4A73">
        <w:rPr>
          <w:b w:val="0"/>
          <w:bCs/>
          <w:sz w:val="22"/>
          <w:u w:val="single"/>
        </w:rPr>
        <w:t xml:space="preserve">ancer </w:t>
      </w:r>
    </w:p>
    <w:p w14:paraId="35DE2CC1" w14:textId="77777777" w:rsidR="00D92EBC" w:rsidRPr="009B4A73" w:rsidRDefault="0078763F" w:rsidP="00316679">
      <w:pPr>
        <w:spacing w:after="0" w:line="240" w:lineRule="auto"/>
        <w:ind w:left="426" w:firstLine="0"/>
        <w:rPr>
          <w:sz w:val="22"/>
        </w:rPr>
      </w:pPr>
      <w:r w:rsidRPr="009B4A73">
        <w:rPr>
          <w:b/>
          <w:sz w:val="22"/>
        </w:rPr>
        <w:t xml:space="preserve"> </w:t>
      </w:r>
    </w:p>
    <w:p w14:paraId="2767C88C" w14:textId="785DD596" w:rsidR="00D92EBC" w:rsidRPr="009B4A73" w:rsidRDefault="0078763F" w:rsidP="000E2357">
      <w:pPr>
        <w:numPr>
          <w:ilvl w:val="0"/>
          <w:numId w:val="3"/>
        </w:numPr>
        <w:spacing w:after="0" w:line="240" w:lineRule="auto"/>
        <w:ind w:left="993" w:right="8" w:hanging="286"/>
        <w:rPr>
          <w:sz w:val="22"/>
        </w:rPr>
      </w:pPr>
      <w:r w:rsidRPr="009B4A73">
        <w:rPr>
          <w:b/>
          <w:sz w:val="22"/>
        </w:rPr>
        <w:t xml:space="preserve">BO16348 (HERA): </w:t>
      </w:r>
      <w:r w:rsidR="000E2357" w:rsidRPr="009B4A73">
        <w:rPr>
          <w:sz w:val="22"/>
        </w:rPr>
        <w:t>Trastuzumab</w:t>
      </w:r>
      <w:r w:rsidRPr="009B4A73">
        <w:rPr>
          <w:sz w:val="22"/>
        </w:rPr>
        <w:t xml:space="preserve"> arm (n=1678). Control arm (n=1708)</w:t>
      </w:r>
    </w:p>
    <w:p w14:paraId="47060D61" w14:textId="77777777" w:rsidR="008A25EB" w:rsidRPr="009B4A73" w:rsidRDefault="008A25EB" w:rsidP="000E2357">
      <w:pPr>
        <w:spacing w:after="0" w:line="240" w:lineRule="auto"/>
        <w:ind w:left="993" w:right="8" w:firstLine="0"/>
        <w:rPr>
          <w:sz w:val="22"/>
        </w:rPr>
      </w:pPr>
    </w:p>
    <w:p w14:paraId="538573EE" w14:textId="42D7DE52" w:rsidR="00D92EBC" w:rsidRPr="009B4A73" w:rsidRDefault="0078763F" w:rsidP="000E2357">
      <w:pPr>
        <w:numPr>
          <w:ilvl w:val="0"/>
          <w:numId w:val="3"/>
        </w:numPr>
        <w:spacing w:after="0" w:line="240" w:lineRule="auto"/>
        <w:ind w:left="993" w:right="8" w:hanging="286"/>
        <w:rPr>
          <w:sz w:val="22"/>
        </w:rPr>
      </w:pPr>
      <w:r w:rsidRPr="009B4A73">
        <w:rPr>
          <w:b/>
          <w:sz w:val="22"/>
        </w:rPr>
        <w:t xml:space="preserve">B-31/N9831 Joint Analysis: </w:t>
      </w:r>
      <w:r w:rsidR="000E2357" w:rsidRPr="009B4A73">
        <w:rPr>
          <w:sz w:val="22"/>
        </w:rPr>
        <w:t>Trastuzumab</w:t>
      </w:r>
      <w:r w:rsidRPr="009B4A73">
        <w:rPr>
          <w:sz w:val="22"/>
        </w:rPr>
        <w:t xml:space="preserve"> arms (n=2345). Control arm (n=1673)</w:t>
      </w:r>
    </w:p>
    <w:p w14:paraId="7189EE65" w14:textId="77777777" w:rsidR="008A25EB" w:rsidRPr="009B4A73" w:rsidRDefault="008A25EB" w:rsidP="000E2357">
      <w:pPr>
        <w:spacing w:after="0" w:line="240" w:lineRule="auto"/>
        <w:ind w:left="993" w:right="8" w:firstLine="0"/>
        <w:rPr>
          <w:sz w:val="22"/>
        </w:rPr>
      </w:pPr>
    </w:p>
    <w:p w14:paraId="41BD5FD5" w14:textId="6E78BFE3" w:rsidR="00D92EBC" w:rsidRPr="009B4A73" w:rsidRDefault="0078763F" w:rsidP="000E2357">
      <w:pPr>
        <w:numPr>
          <w:ilvl w:val="0"/>
          <w:numId w:val="3"/>
        </w:numPr>
        <w:spacing w:after="0" w:line="240" w:lineRule="auto"/>
        <w:ind w:left="993" w:right="8" w:hanging="286"/>
        <w:rPr>
          <w:sz w:val="22"/>
        </w:rPr>
      </w:pPr>
      <w:r w:rsidRPr="009B4A73">
        <w:rPr>
          <w:b/>
          <w:sz w:val="22"/>
        </w:rPr>
        <w:t xml:space="preserve">BCIRG 006: </w:t>
      </w:r>
      <w:r w:rsidR="000E2357" w:rsidRPr="009B4A73">
        <w:rPr>
          <w:sz w:val="22"/>
        </w:rPr>
        <w:t>Trastuzumab</w:t>
      </w:r>
      <w:r w:rsidRPr="009B4A73">
        <w:rPr>
          <w:sz w:val="22"/>
        </w:rPr>
        <w:t xml:space="preserve"> arm (n=2133). Control arm (n=1041)</w:t>
      </w:r>
    </w:p>
    <w:p w14:paraId="745C0ABE" w14:textId="77777777" w:rsidR="004F1581" w:rsidRPr="009B4A73" w:rsidRDefault="004F1581" w:rsidP="000E2357">
      <w:pPr>
        <w:spacing w:after="0" w:line="240" w:lineRule="auto"/>
        <w:ind w:left="993" w:right="8" w:firstLine="0"/>
        <w:rPr>
          <w:sz w:val="22"/>
        </w:rPr>
      </w:pPr>
    </w:p>
    <w:p w14:paraId="19123736" w14:textId="296647F9" w:rsidR="00D92EBC" w:rsidRPr="009B4A73" w:rsidRDefault="0078763F" w:rsidP="000E2357">
      <w:pPr>
        <w:numPr>
          <w:ilvl w:val="0"/>
          <w:numId w:val="3"/>
        </w:numPr>
        <w:spacing w:after="0" w:line="240" w:lineRule="auto"/>
        <w:ind w:left="993" w:right="8" w:hanging="286"/>
        <w:rPr>
          <w:sz w:val="22"/>
        </w:rPr>
      </w:pPr>
      <w:r w:rsidRPr="009B4A73">
        <w:rPr>
          <w:b/>
          <w:sz w:val="22"/>
        </w:rPr>
        <w:t>BO16216 (</w:t>
      </w:r>
      <w:proofErr w:type="spellStart"/>
      <w:r w:rsidRPr="009B4A73">
        <w:rPr>
          <w:b/>
          <w:sz w:val="22"/>
        </w:rPr>
        <w:t>TanDEM</w:t>
      </w:r>
      <w:proofErr w:type="spellEnd"/>
      <w:r w:rsidRPr="009B4A73">
        <w:rPr>
          <w:b/>
          <w:sz w:val="22"/>
        </w:rPr>
        <w:t xml:space="preserve">): </w:t>
      </w:r>
      <w:r w:rsidR="000E2357" w:rsidRPr="009B4A73">
        <w:rPr>
          <w:sz w:val="22"/>
        </w:rPr>
        <w:t>Trastuzumab</w:t>
      </w:r>
      <w:r w:rsidRPr="009B4A73">
        <w:rPr>
          <w:sz w:val="22"/>
        </w:rPr>
        <w:t xml:space="preserve"> arm (n=161). Control arm (n=161)</w:t>
      </w:r>
    </w:p>
    <w:p w14:paraId="6407D12B" w14:textId="77777777" w:rsidR="004F1581" w:rsidRPr="009B4A73" w:rsidRDefault="004F1581" w:rsidP="00391329">
      <w:pPr>
        <w:spacing w:after="0" w:line="240" w:lineRule="auto"/>
        <w:ind w:left="709" w:right="8" w:firstLine="0"/>
        <w:rPr>
          <w:sz w:val="22"/>
        </w:rPr>
      </w:pPr>
    </w:p>
    <w:p w14:paraId="6ADCDB5F" w14:textId="2903542C" w:rsidR="00D92EBC" w:rsidRPr="009B4A73" w:rsidRDefault="0078763F" w:rsidP="000E2357">
      <w:pPr>
        <w:spacing w:after="0" w:line="240" w:lineRule="auto"/>
        <w:ind w:left="426"/>
        <w:rPr>
          <w:bCs/>
          <w:sz w:val="22"/>
          <w:u w:val="single"/>
        </w:rPr>
      </w:pPr>
      <w:r w:rsidRPr="009B4A73">
        <w:rPr>
          <w:bCs/>
          <w:sz w:val="22"/>
          <w:u w:val="single"/>
        </w:rPr>
        <w:t xml:space="preserve">Locally </w:t>
      </w:r>
      <w:r w:rsidR="00DB5E06" w:rsidRPr="009B4A73">
        <w:rPr>
          <w:bCs/>
          <w:sz w:val="22"/>
          <w:u w:val="single"/>
        </w:rPr>
        <w:t>a</w:t>
      </w:r>
      <w:r w:rsidRPr="009B4A73">
        <w:rPr>
          <w:bCs/>
          <w:sz w:val="22"/>
          <w:u w:val="single"/>
        </w:rPr>
        <w:t xml:space="preserve">dvanced </w:t>
      </w:r>
      <w:r w:rsidR="00DB5E06" w:rsidRPr="009B4A73">
        <w:rPr>
          <w:bCs/>
          <w:sz w:val="22"/>
          <w:u w:val="single"/>
        </w:rPr>
        <w:t>b</w:t>
      </w:r>
      <w:r w:rsidRPr="009B4A73">
        <w:rPr>
          <w:bCs/>
          <w:sz w:val="22"/>
          <w:u w:val="single"/>
        </w:rPr>
        <w:t xml:space="preserve">reast </w:t>
      </w:r>
      <w:r w:rsidR="00DB5E06" w:rsidRPr="009B4A73">
        <w:rPr>
          <w:bCs/>
          <w:sz w:val="22"/>
          <w:u w:val="single"/>
        </w:rPr>
        <w:t>c</w:t>
      </w:r>
      <w:r w:rsidRPr="009B4A73">
        <w:rPr>
          <w:bCs/>
          <w:sz w:val="22"/>
          <w:u w:val="single"/>
        </w:rPr>
        <w:t xml:space="preserve">ancer </w:t>
      </w:r>
    </w:p>
    <w:p w14:paraId="35D8B3AA" w14:textId="353F3F70" w:rsidR="00D92EBC" w:rsidRPr="009B4A73" w:rsidRDefault="00D92EBC" w:rsidP="00391329">
      <w:pPr>
        <w:spacing w:after="0" w:line="240" w:lineRule="auto"/>
        <w:ind w:left="709" w:firstLine="0"/>
        <w:rPr>
          <w:sz w:val="22"/>
        </w:rPr>
      </w:pPr>
    </w:p>
    <w:p w14:paraId="557146D1" w14:textId="7FC0E14A" w:rsidR="00D92EBC" w:rsidRPr="009B4A73" w:rsidRDefault="0078763F" w:rsidP="00DB5E06">
      <w:pPr>
        <w:numPr>
          <w:ilvl w:val="0"/>
          <w:numId w:val="3"/>
        </w:numPr>
        <w:spacing w:after="0" w:line="240" w:lineRule="auto"/>
        <w:ind w:left="993" w:right="6" w:hanging="284"/>
        <w:rPr>
          <w:sz w:val="22"/>
        </w:rPr>
      </w:pPr>
      <w:r w:rsidRPr="009B4A73">
        <w:rPr>
          <w:b/>
          <w:sz w:val="22"/>
        </w:rPr>
        <w:t>MO16432 (NOAH):</w:t>
      </w:r>
      <w:r w:rsidRPr="009B4A73">
        <w:rPr>
          <w:sz w:val="22"/>
        </w:rPr>
        <w:t xml:space="preserve"> </w:t>
      </w:r>
      <w:r w:rsidR="00DB5E06" w:rsidRPr="009B4A73">
        <w:rPr>
          <w:sz w:val="22"/>
        </w:rPr>
        <w:t>Trastuzumab</w:t>
      </w:r>
      <w:r w:rsidRPr="009B4A73">
        <w:rPr>
          <w:sz w:val="22"/>
        </w:rPr>
        <w:t xml:space="preserve"> arm (n=115). Control arm (n=116)</w:t>
      </w:r>
    </w:p>
    <w:p w14:paraId="583141DA" w14:textId="77777777" w:rsidR="004F1581" w:rsidRPr="009B4A73" w:rsidRDefault="004F1581" w:rsidP="00DB5E06">
      <w:pPr>
        <w:spacing w:after="0" w:line="240" w:lineRule="auto"/>
        <w:ind w:left="993" w:right="8"/>
        <w:rPr>
          <w:sz w:val="22"/>
        </w:rPr>
      </w:pPr>
    </w:p>
    <w:p w14:paraId="75B69365" w14:textId="19E20081" w:rsidR="00D92EBC" w:rsidRPr="009B4A73" w:rsidRDefault="0078763F" w:rsidP="00DB5E06">
      <w:pPr>
        <w:pStyle w:val="Heading2"/>
        <w:spacing w:after="0" w:line="240" w:lineRule="auto"/>
        <w:ind w:left="426"/>
        <w:rPr>
          <w:b w:val="0"/>
          <w:bCs/>
          <w:sz w:val="22"/>
          <w:u w:val="single"/>
        </w:rPr>
      </w:pPr>
      <w:r w:rsidRPr="009B4A73">
        <w:rPr>
          <w:b w:val="0"/>
          <w:bCs/>
          <w:sz w:val="22"/>
          <w:u w:val="single"/>
        </w:rPr>
        <w:t xml:space="preserve">Metastatic </w:t>
      </w:r>
      <w:r w:rsidR="00DB5E06" w:rsidRPr="009B4A73">
        <w:rPr>
          <w:b w:val="0"/>
          <w:bCs/>
          <w:sz w:val="22"/>
          <w:u w:val="single"/>
        </w:rPr>
        <w:t>b</w:t>
      </w:r>
      <w:r w:rsidRPr="009B4A73">
        <w:rPr>
          <w:b w:val="0"/>
          <w:bCs/>
          <w:sz w:val="22"/>
          <w:u w:val="single"/>
        </w:rPr>
        <w:t xml:space="preserve">reast </w:t>
      </w:r>
      <w:r w:rsidR="00DB5E06" w:rsidRPr="009B4A73">
        <w:rPr>
          <w:b w:val="0"/>
          <w:bCs/>
          <w:sz w:val="22"/>
          <w:u w:val="single"/>
        </w:rPr>
        <w:t>c</w:t>
      </w:r>
      <w:r w:rsidRPr="009B4A73">
        <w:rPr>
          <w:b w:val="0"/>
          <w:bCs/>
          <w:sz w:val="22"/>
          <w:u w:val="single"/>
        </w:rPr>
        <w:t xml:space="preserve">ancer (MBC) </w:t>
      </w:r>
    </w:p>
    <w:p w14:paraId="784170DD" w14:textId="77777777" w:rsidR="00D92EBC" w:rsidRPr="009B4A73" w:rsidRDefault="0078763F" w:rsidP="00DB5E06">
      <w:pPr>
        <w:spacing w:after="0" w:line="240" w:lineRule="auto"/>
        <w:ind w:left="993" w:firstLine="0"/>
        <w:rPr>
          <w:sz w:val="22"/>
        </w:rPr>
      </w:pPr>
      <w:r w:rsidRPr="009B4A73">
        <w:rPr>
          <w:b/>
          <w:sz w:val="22"/>
        </w:rPr>
        <w:t xml:space="preserve"> </w:t>
      </w:r>
    </w:p>
    <w:p w14:paraId="5862F4E7" w14:textId="0E3A092B" w:rsidR="004F1581" w:rsidRPr="009B4A73" w:rsidRDefault="0078763F" w:rsidP="00DB5E06">
      <w:pPr>
        <w:numPr>
          <w:ilvl w:val="0"/>
          <w:numId w:val="4"/>
        </w:numPr>
        <w:spacing w:after="0" w:line="240" w:lineRule="auto"/>
        <w:ind w:left="993" w:right="8" w:hanging="286"/>
        <w:rPr>
          <w:sz w:val="22"/>
        </w:rPr>
      </w:pPr>
      <w:r w:rsidRPr="009B4A73">
        <w:rPr>
          <w:b/>
          <w:sz w:val="22"/>
        </w:rPr>
        <w:t>H0648g / H0649g:</w:t>
      </w:r>
      <w:r w:rsidRPr="009B4A73">
        <w:rPr>
          <w:sz w:val="22"/>
        </w:rPr>
        <w:t xml:space="preserve"> </w:t>
      </w:r>
      <w:r w:rsidR="00DB5E06" w:rsidRPr="009B4A73">
        <w:rPr>
          <w:sz w:val="22"/>
        </w:rPr>
        <w:t>Trastuzumab</w:t>
      </w:r>
      <w:r w:rsidRPr="009B4A73">
        <w:rPr>
          <w:sz w:val="22"/>
        </w:rPr>
        <w:t xml:space="preserve"> arms</w:t>
      </w:r>
      <w:r w:rsidRPr="009B4A73">
        <w:rPr>
          <w:b/>
          <w:sz w:val="22"/>
        </w:rPr>
        <w:t xml:space="preserve"> </w:t>
      </w:r>
      <w:r w:rsidRPr="009B4A73">
        <w:rPr>
          <w:sz w:val="22"/>
        </w:rPr>
        <w:t>(n=469 and n=222 respectively)</w:t>
      </w:r>
    </w:p>
    <w:p w14:paraId="0193D323" w14:textId="74B82B53" w:rsidR="00D92EBC" w:rsidRPr="009B4A73" w:rsidRDefault="0078763F" w:rsidP="00DB5E06">
      <w:pPr>
        <w:spacing w:after="0" w:line="240" w:lineRule="auto"/>
        <w:ind w:left="993" w:right="8" w:firstLine="0"/>
        <w:rPr>
          <w:sz w:val="22"/>
        </w:rPr>
      </w:pPr>
      <w:r w:rsidRPr="009B4A73">
        <w:rPr>
          <w:sz w:val="22"/>
        </w:rPr>
        <w:t xml:space="preserve"> </w:t>
      </w:r>
    </w:p>
    <w:p w14:paraId="1F179B24" w14:textId="637E61DA" w:rsidR="00D92EBC" w:rsidRPr="009B4A73" w:rsidRDefault="0078763F" w:rsidP="00DB5E06">
      <w:pPr>
        <w:numPr>
          <w:ilvl w:val="0"/>
          <w:numId w:val="4"/>
        </w:numPr>
        <w:spacing w:after="0" w:line="240" w:lineRule="auto"/>
        <w:ind w:left="993" w:right="8" w:hanging="286"/>
        <w:rPr>
          <w:sz w:val="22"/>
        </w:rPr>
      </w:pPr>
      <w:r w:rsidRPr="009B4A73">
        <w:rPr>
          <w:b/>
          <w:sz w:val="22"/>
        </w:rPr>
        <w:t xml:space="preserve">M77001: </w:t>
      </w:r>
      <w:r w:rsidR="00DB5E06" w:rsidRPr="009B4A73">
        <w:rPr>
          <w:sz w:val="22"/>
        </w:rPr>
        <w:t>Trastuzumab</w:t>
      </w:r>
      <w:r w:rsidRPr="009B4A73">
        <w:rPr>
          <w:sz w:val="22"/>
        </w:rPr>
        <w:t xml:space="preserve"> arm (n=92). Control arm (n=94)</w:t>
      </w:r>
    </w:p>
    <w:p w14:paraId="0AC486AA" w14:textId="77777777" w:rsidR="004F1581" w:rsidRPr="009B4A73" w:rsidRDefault="004F1581" w:rsidP="00391329">
      <w:pPr>
        <w:spacing w:after="0" w:line="240" w:lineRule="auto"/>
        <w:ind w:left="709" w:right="8" w:firstLine="0"/>
        <w:rPr>
          <w:sz w:val="22"/>
        </w:rPr>
      </w:pPr>
    </w:p>
    <w:p w14:paraId="67A77B1C" w14:textId="0BCFCF89" w:rsidR="00D92EBC" w:rsidRPr="009B4A73" w:rsidRDefault="0078763F" w:rsidP="00DB5E06">
      <w:pPr>
        <w:pStyle w:val="Heading2"/>
        <w:spacing w:after="0" w:line="240" w:lineRule="auto"/>
        <w:ind w:left="426"/>
        <w:rPr>
          <w:b w:val="0"/>
          <w:bCs/>
          <w:sz w:val="22"/>
          <w:u w:val="single"/>
        </w:rPr>
      </w:pPr>
      <w:r w:rsidRPr="009B4A73">
        <w:rPr>
          <w:b w:val="0"/>
          <w:bCs/>
          <w:sz w:val="22"/>
          <w:u w:val="single"/>
        </w:rPr>
        <w:t xml:space="preserve">Advanced </w:t>
      </w:r>
      <w:r w:rsidR="00DB5E06" w:rsidRPr="009B4A73">
        <w:rPr>
          <w:b w:val="0"/>
          <w:bCs/>
          <w:sz w:val="22"/>
          <w:u w:val="single"/>
        </w:rPr>
        <w:t>g</w:t>
      </w:r>
      <w:r w:rsidRPr="009B4A73">
        <w:rPr>
          <w:b w:val="0"/>
          <w:bCs/>
          <w:sz w:val="22"/>
          <w:u w:val="single"/>
        </w:rPr>
        <w:t xml:space="preserve">astric </w:t>
      </w:r>
      <w:r w:rsidR="00DB5E06" w:rsidRPr="009B4A73">
        <w:rPr>
          <w:b w:val="0"/>
          <w:bCs/>
          <w:sz w:val="22"/>
          <w:u w:val="single"/>
        </w:rPr>
        <w:t>c</w:t>
      </w:r>
      <w:r w:rsidRPr="009B4A73">
        <w:rPr>
          <w:b w:val="0"/>
          <w:bCs/>
          <w:sz w:val="22"/>
          <w:u w:val="single"/>
        </w:rPr>
        <w:t xml:space="preserve">ancer </w:t>
      </w:r>
    </w:p>
    <w:p w14:paraId="1F2ACE02" w14:textId="77777777" w:rsidR="00D92EBC" w:rsidRPr="009B4A73" w:rsidRDefault="0078763F" w:rsidP="00391329">
      <w:pPr>
        <w:spacing w:after="0" w:line="240" w:lineRule="auto"/>
        <w:ind w:left="709" w:firstLine="0"/>
        <w:rPr>
          <w:bCs/>
          <w:sz w:val="22"/>
          <w:u w:val="single"/>
        </w:rPr>
      </w:pPr>
      <w:r w:rsidRPr="009B4A73">
        <w:rPr>
          <w:bCs/>
          <w:sz w:val="22"/>
          <w:u w:val="single"/>
        </w:rPr>
        <w:t xml:space="preserve"> </w:t>
      </w:r>
    </w:p>
    <w:p w14:paraId="33716D04" w14:textId="3E595FC9" w:rsidR="004F1581" w:rsidRPr="009B4A73" w:rsidRDefault="0078763F" w:rsidP="00DB5E06">
      <w:pPr>
        <w:numPr>
          <w:ilvl w:val="0"/>
          <w:numId w:val="4"/>
        </w:numPr>
        <w:spacing w:after="0" w:line="240" w:lineRule="auto"/>
        <w:ind w:left="993" w:right="8" w:hanging="286"/>
        <w:rPr>
          <w:b/>
          <w:sz w:val="22"/>
        </w:rPr>
      </w:pPr>
      <w:r w:rsidRPr="009B4A73">
        <w:rPr>
          <w:b/>
          <w:sz w:val="22"/>
        </w:rPr>
        <w:t>BO18255 (</w:t>
      </w:r>
      <w:proofErr w:type="spellStart"/>
      <w:r w:rsidRPr="009B4A73">
        <w:rPr>
          <w:b/>
          <w:sz w:val="22"/>
        </w:rPr>
        <w:t>ToGA</w:t>
      </w:r>
      <w:proofErr w:type="spellEnd"/>
      <w:r w:rsidRPr="009B4A73">
        <w:rPr>
          <w:b/>
          <w:sz w:val="22"/>
        </w:rPr>
        <w:t xml:space="preserve">): </w:t>
      </w:r>
      <w:r w:rsidR="00DB5E06" w:rsidRPr="009B4A73">
        <w:rPr>
          <w:sz w:val="22"/>
        </w:rPr>
        <w:t>Trastuzumab</w:t>
      </w:r>
      <w:r w:rsidRPr="009B4A73">
        <w:rPr>
          <w:sz w:val="22"/>
        </w:rPr>
        <w:t xml:space="preserve"> arm (n=294). Control arm (n=290)</w:t>
      </w:r>
      <w:r w:rsidRPr="009B4A73">
        <w:rPr>
          <w:b/>
          <w:sz w:val="22"/>
        </w:rPr>
        <w:t xml:space="preserve"> </w:t>
      </w:r>
    </w:p>
    <w:p w14:paraId="482DE304" w14:textId="28111C25" w:rsidR="00D92EBC" w:rsidRPr="009B4A73" w:rsidRDefault="0078763F" w:rsidP="00316679">
      <w:pPr>
        <w:spacing w:after="0" w:line="240" w:lineRule="auto"/>
        <w:ind w:left="426" w:right="8"/>
        <w:rPr>
          <w:sz w:val="22"/>
        </w:rPr>
      </w:pPr>
      <w:r w:rsidRPr="009B4A73">
        <w:rPr>
          <w:sz w:val="22"/>
        </w:rPr>
        <w:t xml:space="preserve"> </w:t>
      </w:r>
    </w:p>
    <w:p w14:paraId="236AE473" w14:textId="77777777" w:rsidR="00D92EBC" w:rsidRPr="009B4A73" w:rsidRDefault="0078763F" w:rsidP="00316679">
      <w:pPr>
        <w:spacing w:after="123" w:line="240" w:lineRule="auto"/>
        <w:ind w:left="426" w:right="8"/>
        <w:rPr>
          <w:sz w:val="22"/>
        </w:rPr>
      </w:pPr>
      <w:r w:rsidRPr="009B4A73">
        <w:rPr>
          <w:sz w:val="22"/>
        </w:rPr>
        <w:t xml:space="preserve">All terms included are based on the highest percentage seen in pivotal clinical trials. </w:t>
      </w:r>
    </w:p>
    <w:p w14:paraId="56CADB01" w14:textId="77777777" w:rsidR="00D92EBC" w:rsidRPr="009B4A73" w:rsidRDefault="0078763F" w:rsidP="00316679">
      <w:pPr>
        <w:spacing w:after="0" w:line="240" w:lineRule="auto"/>
        <w:ind w:left="426" w:firstLine="0"/>
        <w:rPr>
          <w:sz w:val="22"/>
        </w:rPr>
      </w:pPr>
      <w:r w:rsidRPr="009B4A73">
        <w:rPr>
          <w:b/>
          <w:sz w:val="22"/>
        </w:rPr>
        <w:t xml:space="preserve"> </w:t>
      </w:r>
    </w:p>
    <w:p w14:paraId="3F409D4A" w14:textId="7E21A5BD" w:rsidR="00D92EBC" w:rsidRPr="009B4A73" w:rsidRDefault="0078763F" w:rsidP="00DB5E06">
      <w:pPr>
        <w:pStyle w:val="Heading2"/>
        <w:tabs>
          <w:tab w:val="left" w:pos="426"/>
          <w:tab w:val="left" w:pos="567"/>
        </w:tabs>
        <w:spacing w:after="0" w:line="240" w:lineRule="auto"/>
        <w:ind w:left="426" w:firstLine="0"/>
        <w:rPr>
          <w:sz w:val="22"/>
        </w:rPr>
      </w:pPr>
      <w:r w:rsidRPr="009B4A73">
        <w:rPr>
          <w:sz w:val="22"/>
        </w:rPr>
        <w:t>Table 1: Summary of adverse drug reactions occurring in patients treated with</w:t>
      </w:r>
      <w:r w:rsidR="00CE0B5E" w:rsidRPr="009B4A73">
        <w:rPr>
          <w:sz w:val="22"/>
        </w:rPr>
        <w:t xml:space="preserve"> </w:t>
      </w:r>
      <w:r w:rsidR="00850C5A" w:rsidRPr="009B4A73">
        <w:rPr>
          <w:sz w:val="22"/>
        </w:rPr>
        <w:t>trastuzumab</w:t>
      </w:r>
      <w:r w:rsidRPr="009B4A73">
        <w:rPr>
          <w:sz w:val="22"/>
        </w:rPr>
        <w:t xml:space="preserve"> in clinical trials and the post market setting</w:t>
      </w:r>
    </w:p>
    <w:p w14:paraId="777369DE" w14:textId="77777777" w:rsidR="00884F97" w:rsidRPr="009B4A73" w:rsidRDefault="00884F97" w:rsidP="00DB5E06">
      <w:pPr>
        <w:spacing w:after="0" w:line="240" w:lineRule="auto"/>
        <w:ind w:left="0" w:firstLine="0"/>
        <w:rPr>
          <w:sz w:val="22"/>
        </w:rPr>
      </w:pPr>
    </w:p>
    <w:tbl>
      <w:tblPr>
        <w:tblStyle w:val="TableGrid"/>
        <w:tblW w:w="0" w:type="auto"/>
        <w:jc w:val="center"/>
        <w:tblInd w:w="0" w:type="dxa"/>
        <w:tblLayout w:type="fixed"/>
        <w:tblCellMar>
          <w:top w:w="14" w:type="dxa"/>
          <w:left w:w="57" w:type="dxa"/>
          <w:right w:w="57" w:type="dxa"/>
        </w:tblCellMar>
        <w:tblLook w:val="04A0" w:firstRow="1" w:lastRow="0" w:firstColumn="1" w:lastColumn="0" w:noHBand="0" w:noVBand="1"/>
      </w:tblPr>
      <w:tblGrid>
        <w:gridCol w:w="3407"/>
        <w:gridCol w:w="4243"/>
        <w:gridCol w:w="1857"/>
      </w:tblGrid>
      <w:tr w:rsidR="00DB5E06" w:rsidRPr="009B4A73" w14:paraId="7C454D85" w14:textId="77777777" w:rsidTr="0060424C">
        <w:trPr>
          <w:trHeight w:val="227"/>
          <w:jc w:val="center"/>
        </w:trPr>
        <w:tc>
          <w:tcPr>
            <w:tcW w:w="3407" w:type="dxa"/>
            <w:tcBorders>
              <w:top w:val="single" w:sz="4" w:space="0" w:color="000000"/>
              <w:left w:val="single" w:sz="4" w:space="0" w:color="000000"/>
              <w:bottom w:val="single" w:sz="4" w:space="0" w:color="000000"/>
              <w:right w:val="single" w:sz="4" w:space="0" w:color="000000"/>
            </w:tcBorders>
          </w:tcPr>
          <w:p w14:paraId="2CDEF740" w14:textId="77777777" w:rsidR="00D92EBC" w:rsidRPr="009B4A73" w:rsidRDefault="0078763F" w:rsidP="00174DA5">
            <w:pPr>
              <w:spacing w:after="0" w:line="240" w:lineRule="auto"/>
              <w:ind w:left="222" w:firstLine="0"/>
              <w:rPr>
                <w:sz w:val="22"/>
              </w:rPr>
            </w:pPr>
            <w:r w:rsidRPr="009B4A73">
              <w:rPr>
                <w:b/>
                <w:sz w:val="22"/>
              </w:rPr>
              <w:t xml:space="preserve">System organ class </w:t>
            </w:r>
          </w:p>
        </w:tc>
        <w:tc>
          <w:tcPr>
            <w:tcW w:w="4243" w:type="dxa"/>
            <w:tcBorders>
              <w:top w:val="single" w:sz="4" w:space="0" w:color="000000"/>
              <w:left w:val="single" w:sz="4" w:space="0" w:color="000000"/>
              <w:bottom w:val="single" w:sz="4" w:space="0" w:color="000000"/>
              <w:right w:val="single" w:sz="4" w:space="0" w:color="000000"/>
            </w:tcBorders>
          </w:tcPr>
          <w:p w14:paraId="00C02427" w14:textId="77777777" w:rsidR="00D92EBC" w:rsidRPr="009B4A73" w:rsidRDefault="0078763F" w:rsidP="00DB5E06">
            <w:pPr>
              <w:spacing w:after="0" w:line="240" w:lineRule="auto"/>
              <w:ind w:left="62" w:firstLine="0"/>
              <w:rPr>
                <w:sz w:val="22"/>
              </w:rPr>
            </w:pPr>
            <w:r w:rsidRPr="009B4A73">
              <w:rPr>
                <w:b/>
                <w:sz w:val="22"/>
              </w:rPr>
              <w:t>Adverse reaction</w:t>
            </w:r>
            <w:r w:rsidRPr="009B4A73">
              <w:rPr>
                <w:b/>
                <w:sz w:val="22"/>
                <w:vertAlign w:val="superscript"/>
              </w:rPr>
              <w:t>1</w:t>
            </w:r>
            <w:r w:rsidRPr="009B4A73">
              <w:rPr>
                <w:b/>
                <w:sz w:val="22"/>
              </w:rPr>
              <w:t xml:space="preserve"> </w:t>
            </w:r>
          </w:p>
        </w:tc>
        <w:tc>
          <w:tcPr>
            <w:tcW w:w="1857" w:type="dxa"/>
            <w:tcBorders>
              <w:top w:val="single" w:sz="4" w:space="0" w:color="000000"/>
              <w:left w:val="single" w:sz="4" w:space="0" w:color="000000"/>
              <w:bottom w:val="single" w:sz="4" w:space="0" w:color="000000"/>
              <w:right w:val="single" w:sz="4" w:space="0" w:color="000000"/>
            </w:tcBorders>
          </w:tcPr>
          <w:p w14:paraId="66378DBC" w14:textId="77777777" w:rsidR="00D92EBC" w:rsidRPr="009B4A73" w:rsidRDefault="0078763F" w:rsidP="00174DA5">
            <w:pPr>
              <w:spacing w:after="0" w:line="240" w:lineRule="auto"/>
              <w:ind w:left="88" w:firstLine="0"/>
              <w:rPr>
                <w:sz w:val="22"/>
              </w:rPr>
            </w:pPr>
            <w:r w:rsidRPr="009B4A73">
              <w:rPr>
                <w:b/>
                <w:sz w:val="22"/>
              </w:rPr>
              <w:t xml:space="preserve">Frequency  </w:t>
            </w:r>
          </w:p>
        </w:tc>
      </w:tr>
      <w:tr w:rsidR="00DB5E06" w:rsidRPr="009B4A73" w14:paraId="7D56DB3D" w14:textId="77777777" w:rsidTr="0060424C">
        <w:trPr>
          <w:trHeight w:val="227"/>
          <w:jc w:val="center"/>
        </w:trPr>
        <w:tc>
          <w:tcPr>
            <w:tcW w:w="3407" w:type="dxa"/>
            <w:vMerge w:val="restart"/>
            <w:tcBorders>
              <w:top w:val="single" w:sz="4" w:space="0" w:color="000000"/>
              <w:left w:val="single" w:sz="4" w:space="0" w:color="000000"/>
              <w:bottom w:val="single" w:sz="4" w:space="0" w:color="000000"/>
              <w:right w:val="single" w:sz="4" w:space="0" w:color="000000"/>
            </w:tcBorders>
          </w:tcPr>
          <w:p w14:paraId="09BBE606" w14:textId="77777777" w:rsidR="00D92EBC" w:rsidRPr="009B4A73" w:rsidRDefault="0078763F" w:rsidP="00174DA5">
            <w:pPr>
              <w:spacing w:after="57" w:line="240" w:lineRule="auto"/>
              <w:ind w:left="89" w:firstLine="0"/>
              <w:rPr>
                <w:sz w:val="22"/>
              </w:rPr>
            </w:pPr>
            <w:r w:rsidRPr="009B4A73">
              <w:rPr>
                <w:sz w:val="22"/>
              </w:rPr>
              <w:t xml:space="preserve">Infections and infestations </w:t>
            </w:r>
          </w:p>
          <w:p w14:paraId="08742DA7" w14:textId="77777777" w:rsidR="00D92EBC" w:rsidRPr="009B4A73" w:rsidRDefault="0078763F" w:rsidP="00174DA5">
            <w:pPr>
              <w:spacing w:after="57" w:line="240" w:lineRule="auto"/>
              <w:ind w:left="222" w:firstLine="0"/>
              <w:rPr>
                <w:sz w:val="22"/>
              </w:rPr>
            </w:pPr>
            <w:r w:rsidRPr="009B4A73">
              <w:rPr>
                <w:sz w:val="22"/>
              </w:rPr>
              <w:t xml:space="preserve"> </w:t>
            </w:r>
          </w:p>
          <w:p w14:paraId="6C081F5B" w14:textId="77777777" w:rsidR="00D92EBC" w:rsidRPr="009B4A73" w:rsidRDefault="0078763F" w:rsidP="00174DA5">
            <w:pPr>
              <w:spacing w:after="57" w:line="240" w:lineRule="auto"/>
              <w:ind w:left="222" w:firstLine="0"/>
              <w:rPr>
                <w:sz w:val="22"/>
              </w:rPr>
            </w:pPr>
            <w:r w:rsidRPr="009B4A73">
              <w:rPr>
                <w:sz w:val="22"/>
              </w:rPr>
              <w:t xml:space="preserve"> </w:t>
            </w:r>
          </w:p>
          <w:p w14:paraId="0EA7CF09" w14:textId="77777777" w:rsidR="00D92EBC" w:rsidRPr="009B4A73" w:rsidRDefault="0078763F" w:rsidP="00174DA5">
            <w:pPr>
              <w:spacing w:after="58" w:line="240" w:lineRule="auto"/>
              <w:ind w:left="222" w:firstLine="0"/>
              <w:rPr>
                <w:sz w:val="22"/>
              </w:rPr>
            </w:pPr>
            <w:r w:rsidRPr="009B4A73">
              <w:rPr>
                <w:sz w:val="22"/>
              </w:rPr>
              <w:t xml:space="preserve"> </w:t>
            </w:r>
          </w:p>
          <w:p w14:paraId="56BE522D" w14:textId="77777777" w:rsidR="00D92EBC" w:rsidRPr="009B4A73" w:rsidRDefault="0078763F" w:rsidP="00174DA5">
            <w:pPr>
              <w:spacing w:after="57" w:line="240" w:lineRule="auto"/>
              <w:ind w:left="222" w:firstLine="0"/>
              <w:rPr>
                <w:sz w:val="22"/>
              </w:rPr>
            </w:pPr>
            <w:r w:rsidRPr="009B4A73">
              <w:rPr>
                <w:sz w:val="22"/>
              </w:rPr>
              <w:t xml:space="preserve"> </w:t>
            </w:r>
          </w:p>
          <w:p w14:paraId="5E63743E" w14:textId="77777777" w:rsidR="00D92EBC" w:rsidRPr="009B4A73" w:rsidRDefault="0078763F" w:rsidP="00174DA5">
            <w:pPr>
              <w:spacing w:after="57" w:line="240" w:lineRule="auto"/>
              <w:ind w:left="222" w:firstLine="0"/>
              <w:rPr>
                <w:sz w:val="22"/>
              </w:rPr>
            </w:pPr>
            <w:r w:rsidRPr="009B4A73">
              <w:rPr>
                <w:sz w:val="22"/>
              </w:rPr>
              <w:t xml:space="preserve"> </w:t>
            </w:r>
          </w:p>
          <w:p w14:paraId="286F5DF2" w14:textId="77777777" w:rsidR="00D92EBC" w:rsidRPr="009B4A73" w:rsidRDefault="0078763F" w:rsidP="00174DA5">
            <w:pPr>
              <w:spacing w:after="57" w:line="240" w:lineRule="auto"/>
              <w:ind w:left="222" w:firstLine="0"/>
              <w:rPr>
                <w:sz w:val="22"/>
              </w:rPr>
            </w:pPr>
            <w:r w:rsidRPr="009B4A73">
              <w:rPr>
                <w:sz w:val="22"/>
              </w:rPr>
              <w:t xml:space="preserve"> </w:t>
            </w:r>
          </w:p>
          <w:p w14:paraId="5373C436" w14:textId="77777777" w:rsidR="00D92EBC" w:rsidRPr="009B4A73" w:rsidRDefault="0078763F" w:rsidP="00174DA5">
            <w:pPr>
              <w:spacing w:after="57" w:line="240" w:lineRule="auto"/>
              <w:ind w:left="222" w:firstLine="0"/>
              <w:rPr>
                <w:sz w:val="22"/>
              </w:rPr>
            </w:pPr>
            <w:r w:rsidRPr="009B4A73">
              <w:rPr>
                <w:sz w:val="22"/>
              </w:rPr>
              <w:t xml:space="preserve"> </w:t>
            </w:r>
          </w:p>
          <w:p w14:paraId="1B3B2768" w14:textId="77777777" w:rsidR="00D92EBC" w:rsidRPr="009B4A73" w:rsidRDefault="0078763F" w:rsidP="00174DA5">
            <w:pPr>
              <w:spacing w:after="57" w:line="240" w:lineRule="auto"/>
              <w:ind w:left="222" w:firstLine="0"/>
              <w:rPr>
                <w:sz w:val="22"/>
              </w:rPr>
            </w:pPr>
            <w:r w:rsidRPr="009B4A73">
              <w:rPr>
                <w:sz w:val="22"/>
              </w:rPr>
              <w:t xml:space="preserve"> </w:t>
            </w:r>
          </w:p>
          <w:p w14:paraId="476387D0" w14:textId="77777777" w:rsidR="00D92EBC" w:rsidRPr="009B4A73" w:rsidRDefault="0078763F" w:rsidP="00174DA5">
            <w:pPr>
              <w:spacing w:after="60" w:line="240" w:lineRule="auto"/>
              <w:ind w:left="222" w:firstLine="0"/>
              <w:rPr>
                <w:sz w:val="22"/>
              </w:rPr>
            </w:pPr>
            <w:r w:rsidRPr="009B4A73">
              <w:rPr>
                <w:sz w:val="22"/>
              </w:rPr>
              <w:lastRenderedPageBreak/>
              <w:t xml:space="preserve"> </w:t>
            </w:r>
          </w:p>
          <w:p w14:paraId="505E17E5" w14:textId="77777777" w:rsidR="00D92EBC" w:rsidRPr="009B4A73" w:rsidRDefault="0078763F" w:rsidP="00174DA5">
            <w:pPr>
              <w:spacing w:after="57" w:line="240" w:lineRule="auto"/>
              <w:ind w:left="222" w:firstLine="0"/>
              <w:rPr>
                <w:sz w:val="22"/>
              </w:rPr>
            </w:pPr>
            <w:r w:rsidRPr="009B4A73">
              <w:rPr>
                <w:sz w:val="22"/>
              </w:rPr>
              <w:t xml:space="preserve"> </w:t>
            </w:r>
          </w:p>
          <w:p w14:paraId="14ED44B1" w14:textId="1869B680" w:rsidR="00D92EBC" w:rsidRPr="009B4A73" w:rsidRDefault="0078763F" w:rsidP="00174DA5">
            <w:pPr>
              <w:spacing w:after="57" w:line="240" w:lineRule="auto"/>
              <w:ind w:left="222" w:firstLine="0"/>
              <w:rPr>
                <w:sz w:val="22"/>
              </w:rPr>
            </w:pPr>
            <w:r w:rsidRPr="009B4A73">
              <w:rPr>
                <w:sz w:val="22"/>
              </w:rPr>
              <w:t xml:space="preserve"> </w:t>
            </w:r>
          </w:p>
        </w:tc>
        <w:tc>
          <w:tcPr>
            <w:tcW w:w="4243" w:type="dxa"/>
            <w:tcBorders>
              <w:top w:val="single" w:sz="4" w:space="0" w:color="000000"/>
              <w:left w:val="single" w:sz="4" w:space="0" w:color="000000"/>
              <w:bottom w:val="single" w:sz="4" w:space="0" w:color="000000"/>
              <w:right w:val="single" w:sz="4" w:space="0" w:color="000000"/>
            </w:tcBorders>
          </w:tcPr>
          <w:p w14:paraId="6D70EB00" w14:textId="77777777" w:rsidR="00D92EBC" w:rsidRPr="009B4A73" w:rsidRDefault="0078763F" w:rsidP="00DB5E06">
            <w:pPr>
              <w:spacing w:after="0" w:line="240" w:lineRule="auto"/>
              <w:ind w:left="62" w:firstLine="0"/>
              <w:rPr>
                <w:sz w:val="22"/>
              </w:rPr>
            </w:pPr>
            <w:r w:rsidRPr="009B4A73">
              <w:rPr>
                <w:sz w:val="22"/>
              </w:rPr>
              <w:lastRenderedPageBreak/>
              <w:t>Nasopharyngitis</w:t>
            </w:r>
            <w:r w:rsidRPr="009B4A73">
              <w:rPr>
                <w:sz w:val="22"/>
                <w:vertAlign w:val="superscript"/>
              </w:rPr>
              <w:t xml:space="preserve"> </w:t>
            </w:r>
          </w:p>
        </w:tc>
        <w:tc>
          <w:tcPr>
            <w:tcW w:w="1857" w:type="dxa"/>
            <w:tcBorders>
              <w:top w:val="single" w:sz="4" w:space="0" w:color="000000"/>
              <w:left w:val="single" w:sz="4" w:space="0" w:color="000000"/>
              <w:bottom w:val="single" w:sz="4" w:space="0" w:color="000000"/>
              <w:right w:val="single" w:sz="4" w:space="0" w:color="000000"/>
            </w:tcBorders>
          </w:tcPr>
          <w:p w14:paraId="1FF461C1"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DB5E06" w:rsidRPr="009B4A73" w14:paraId="76100255" w14:textId="77777777" w:rsidTr="0060424C">
        <w:trPr>
          <w:trHeight w:val="227"/>
          <w:jc w:val="center"/>
        </w:trPr>
        <w:tc>
          <w:tcPr>
            <w:tcW w:w="3407" w:type="dxa"/>
            <w:vMerge/>
            <w:tcBorders>
              <w:top w:val="nil"/>
              <w:left w:val="single" w:sz="4" w:space="0" w:color="000000"/>
              <w:bottom w:val="nil"/>
              <w:right w:val="single" w:sz="4" w:space="0" w:color="000000"/>
            </w:tcBorders>
          </w:tcPr>
          <w:p w14:paraId="0825A0DC"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2698C867" w14:textId="77777777" w:rsidR="00D92EBC" w:rsidRPr="009B4A73" w:rsidRDefault="0078763F" w:rsidP="00DB5E06">
            <w:pPr>
              <w:spacing w:after="0" w:line="240" w:lineRule="auto"/>
              <w:ind w:left="62" w:firstLine="0"/>
              <w:rPr>
                <w:sz w:val="22"/>
              </w:rPr>
            </w:pPr>
            <w:r w:rsidRPr="009B4A73">
              <w:rPr>
                <w:sz w:val="22"/>
              </w:rPr>
              <w:t xml:space="preserve">Infection </w:t>
            </w:r>
          </w:p>
        </w:tc>
        <w:tc>
          <w:tcPr>
            <w:tcW w:w="1857" w:type="dxa"/>
            <w:tcBorders>
              <w:top w:val="single" w:sz="4" w:space="0" w:color="000000"/>
              <w:left w:val="single" w:sz="4" w:space="0" w:color="000000"/>
              <w:bottom w:val="single" w:sz="4" w:space="0" w:color="000000"/>
              <w:right w:val="single" w:sz="4" w:space="0" w:color="000000"/>
            </w:tcBorders>
          </w:tcPr>
          <w:p w14:paraId="4E4CDEE6"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DB5E06" w:rsidRPr="009B4A73" w14:paraId="4EC1BF07" w14:textId="77777777" w:rsidTr="0060424C">
        <w:trPr>
          <w:trHeight w:val="227"/>
          <w:jc w:val="center"/>
        </w:trPr>
        <w:tc>
          <w:tcPr>
            <w:tcW w:w="3407" w:type="dxa"/>
            <w:vMerge/>
            <w:tcBorders>
              <w:top w:val="nil"/>
              <w:left w:val="single" w:sz="4" w:space="0" w:color="000000"/>
              <w:bottom w:val="nil"/>
              <w:right w:val="single" w:sz="4" w:space="0" w:color="000000"/>
            </w:tcBorders>
          </w:tcPr>
          <w:p w14:paraId="5F365C7B"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4386C036" w14:textId="77777777" w:rsidR="00D92EBC" w:rsidRPr="009B4A73" w:rsidRDefault="0078763F" w:rsidP="00DB5E06">
            <w:pPr>
              <w:spacing w:after="0" w:line="240" w:lineRule="auto"/>
              <w:ind w:left="62" w:firstLine="0"/>
              <w:rPr>
                <w:sz w:val="22"/>
              </w:rPr>
            </w:pPr>
            <w:r w:rsidRPr="009B4A73">
              <w:rPr>
                <w:sz w:val="22"/>
              </w:rPr>
              <w:t xml:space="preserve">Neutropenic sepsis </w:t>
            </w:r>
          </w:p>
        </w:tc>
        <w:tc>
          <w:tcPr>
            <w:tcW w:w="1857" w:type="dxa"/>
            <w:tcBorders>
              <w:top w:val="single" w:sz="4" w:space="0" w:color="000000"/>
              <w:left w:val="single" w:sz="4" w:space="0" w:color="000000"/>
              <w:bottom w:val="single" w:sz="4" w:space="0" w:color="000000"/>
              <w:right w:val="single" w:sz="4" w:space="0" w:color="000000"/>
            </w:tcBorders>
          </w:tcPr>
          <w:p w14:paraId="2388B62E"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DB5E06" w:rsidRPr="009B4A73" w14:paraId="48ED814C" w14:textId="77777777" w:rsidTr="0060424C">
        <w:trPr>
          <w:trHeight w:val="227"/>
          <w:jc w:val="center"/>
        </w:trPr>
        <w:tc>
          <w:tcPr>
            <w:tcW w:w="3407" w:type="dxa"/>
            <w:vMerge/>
            <w:tcBorders>
              <w:top w:val="nil"/>
              <w:left w:val="single" w:sz="4" w:space="0" w:color="000000"/>
              <w:bottom w:val="nil"/>
              <w:right w:val="single" w:sz="4" w:space="0" w:color="000000"/>
            </w:tcBorders>
          </w:tcPr>
          <w:p w14:paraId="79CA51D8"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61B2D7A8" w14:textId="77777777" w:rsidR="00D92EBC" w:rsidRPr="009B4A73" w:rsidRDefault="0078763F" w:rsidP="00DB5E06">
            <w:pPr>
              <w:spacing w:after="0" w:line="240" w:lineRule="auto"/>
              <w:ind w:left="62" w:firstLine="0"/>
              <w:rPr>
                <w:sz w:val="22"/>
              </w:rPr>
            </w:pPr>
            <w:r w:rsidRPr="009B4A73">
              <w:rPr>
                <w:sz w:val="22"/>
              </w:rPr>
              <w:t xml:space="preserve">Cystitis </w:t>
            </w:r>
          </w:p>
        </w:tc>
        <w:tc>
          <w:tcPr>
            <w:tcW w:w="1857" w:type="dxa"/>
            <w:tcBorders>
              <w:top w:val="single" w:sz="4" w:space="0" w:color="000000"/>
              <w:left w:val="single" w:sz="4" w:space="0" w:color="000000"/>
              <w:bottom w:val="single" w:sz="4" w:space="0" w:color="000000"/>
              <w:right w:val="single" w:sz="4" w:space="0" w:color="000000"/>
            </w:tcBorders>
          </w:tcPr>
          <w:p w14:paraId="2508428A"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DB5E06" w:rsidRPr="009B4A73" w14:paraId="117F07AA" w14:textId="77777777" w:rsidTr="0060424C">
        <w:trPr>
          <w:trHeight w:val="227"/>
          <w:jc w:val="center"/>
        </w:trPr>
        <w:tc>
          <w:tcPr>
            <w:tcW w:w="3407" w:type="dxa"/>
            <w:vMerge/>
            <w:tcBorders>
              <w:top w:val="nil"/>
              <w:left w:val="single" w:sz="4" w:space="0" w:color="000000"/>
              <w:bottom w:val="nil"/>
              <w:right w:val="single" w:sz="4" w:space="0" w:color="000000"/>
            </w:tcBorders>
          </w:tcPr>
          <w:p w14:paraId="5A86204B"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6691B55C" w14:textId="77777777" w:rsidR="00D92EBC" w:rsidRPr="009B4A73" w:rsidRDefault="0078763F" w:rsidP="00DB5E06">
            <w:pPr>
              <w:spacing w:after="0" w:line="240" w:lineRule="auto"/>
              <w:ind w:left="62" w:firstLine="0"/>
              <w:rPr>
                <w:sz w:val="22"/>
              </w:rPr>
            </w:pPr>
            <w:r w:rsidRPr="009B4A73">
              <w:rPr>
                <w:sz w:val="22"/>
              </w:rPr>
              <w:t xml:space="preserve">Herpes zoster </w:t>
            </w:r>
          </w:p>
        </w:tc>
        <w:tc>
          <w:tcPr>
            <w:tcW w:w="1857" w:type="dxa"/>
            <w:tcBorders>
              <w:top w:val="single" w:sz="4" w:space="0" w:color="000000"/>
              <w:left w:val="single" w:sz="4" w:space="0" w:color="000000"/>
              <w:bottom w:val="single" w:sz="4" w:space="0" w:color="000000"/>
              <w:right w:val="single" w:sz="4" w:space="0" w:color="000000"/>
            </w:tcBorders>
          </w:tcPr>
          <w:p w14:paraId="7EE77BA3"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DB5E06" w:rsidRPr="009B4A73" w14:paraId="32F92640" w14:textId="77777777" w:rsidTr="0060424C">
        <w:trPr>
          <w:trHeight w:val="227"/>
          <w:jc w:val="center"/>
        </w:trPr>
        <w:tc>
          <w:tcPr>
            <w:tcW w:w="3407" w:type="dxa"/>
            <w:vMerge/>
            <w:tcBorders>
              <w:top w:val="nil"/>
              <w:left w:val="single" w:sz="4" w:space="0" w:color="000000"/>
              <w:bottom w:val="nil"/>
              <w:right w:val="single" w:sz="4" w:space="0" w:color="000000"/>
            </w:tcBorders>
          </w:tcPr>
          <w:p w14:paraId="5155CA84"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634707E9" w14:textId="77777777" w:rsidR="00D92EBC" w:rsidRPr="009B4A73" w:rsidRDefault="0078763F" w:rsidP="00DB5E06">
            <w:pPr>
              <w:spacing w:after="0" w:line="240" w:lineRule="auto"/>
              <w:ind w:left="62" w:firstLine="0"/>
              <w:rPr>
                <w:sz w:val="22"/>
              </w:rPr>
            </w:pPr>
            <w:r w:rsidRPr="009B4A73">
              <w:rPr>
                <w:sz w:val="22"/>
              </w:rPr>
              <w:t xml:space="preserve">Influenza </w:t>
            </w:r>
          </w:p>
        </w:tc>
        <w:tc>
          <w:tcPr>
            <w:tcW w:w="1857" w:type="dxa"/>
            <w:tcBorders>
              <w:top w:val="single" w:sz="4" w:space="0" w:color="000000"/>
              <w:left w:val="single" w:sz="4" w:space="0" w:color="000000"/>
              <w:bottom w:val="single" w:sz="4" w:space="0" w:color="000000"/>
              <w:right w:val="single" w:sz="4" w:space="0" w:color="000000"/>
            </w:tcBorders>
          </w:tcPr>
          <w:p w14:paraId="37076D4E"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DB5E06" w:rsidRPr="009B4A73" w14:paraId="3EC39F91" w14:textId="77777777" w:rsidTr="0060424C">
        <w:trPr>
          <w:trHeight w:val="227"/>
          <w:jc w:val="center"/>
        </w:trPr>
        <w:tc>
          <w:tcPr>
            <w:tcW w:w="3407" w:type="dxa"/>
            <w:vMerge/>
            <w:tcBorders>
              <w:top w:val="nil"/>
              <w:left w:val="single" w:sz="4" w:space="0" w:color="000000"/>
              <w:bottom w:val="nil"/>
              <w:right w:val="single" w:sz="4" w:space="0" w:color="000000"/>
            </w:tcBorders>
          </w:tcPr>
          <w:p w14:paraId="1B3D21B8"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134359BA" w14:textId="77777777" w:rsidR="00D92EBC" w:rsidRPr="009B4A73" w:rsidRDefault="0078763F" w:rsidP="00DB5E06">
            <w:pPr>
              <w:spacing w:after="0" w:line="240" w:lineRule="auto"/>
              <w:ind w:left="62" w:firstLine="0"/>
              <w:rPr>
                <w:sz w:val="22"/>
              </w:rPr>
            </w:pPr>
            <w:r w:rsidRPr="009B4A73">
              <w:rPr>
                <w:sz w:val="22"/>
              </w:rPr>
              <w:t xml:space="preserve">Pharyngitis </w:t>
            </w:r>
          </w:p>
        </w:tc>
        <w:tc>
          <w:tcPr>
            <w:tcW w:w="1857" w:type="dxa"/>
            <w:tcBorders>
              <w:top w:val="single" w:sz="4" w:space="0" w:color="000000"/>
              <w:left w:val="single" w:sz="4" w:space="0" w:color="000000"/>
              <w:bottom w:val="single" w:sz="4" w:space="0" w:color="000000"/>
              <w:right w:val="single" w:sz="4" w:space="0" w:color="000000"/>
            </w:tcBorders>
          </w:tcPr>
          <w:p w14:paraId="19D5EBCC"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DB5E06" w:rsidRPr="009B4A73" w14:paraId="46F36941" w14:textId="77777777" w:rsidTr="0060424C">
        <w:trPr>
          <w:trHeight w:val="227"/>
          <w:jc w:val="center"/>
        </w:trPr>
        <w:tc>
          <w:tcPr>
            <w:tcW w:w="3407" w:type="dxa"/>
            <w:vMerge/>
            <w:tcBorders>
              <w:top w:val="nil"/>
              <w:left w:val="single" w:sz="4" w:space="0" w:color="000000"/>
              <w:bottom w:val="nil"/>
              <w:right w:val="single" w:sz="4" w:space="0" w:color="000000"/>
            </w:tcBorders>
          </w:tcPr>
          <w:p w14:paraId="71CD48D3"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6B6FCDF8" w14:textId="77777777" w:rsidR="00D92EBC" w:rsidRPr="009B4A73" w:rsidRDefault="0078763F" w:rsidP="00DB5E06">
            <w:pPr>
              <w:spacing w:after="0" w:line="240" w:lineRule="auto"/>
              <w:ind w:left="62" w:firstLine="0"/>
              <w:rPr>
                <w:sz w:val="22"/>
              </w:rPr>
            </w:pPr>
            <w:r w:rsidRPr="009B4A73">
              <w:rPr>
                <w:sz w:val="22"/>
              </w:rPr>
              <w:t xml:space="preserve">Sinusitis </w:t>
            </w:r>
          </w:p>
        </w:tc>
        <w:tc>
          <w:tcPr>
            <w:tcW w:w="1857" w:type="dxa"/>
            <w:tcBorders>
              <w:top w:val="single" w:sz="4" w:space="0" w:color="000000"/>
              <w:left w:val="single" w:sz="4" w:space="0" w:color="000000"/>
              <w:bottom w:val="single" w:sz="4" w:space="0" w:color="000000"/>
              <w:right w:val="single" w:sz="4" w:space="0" w:color="000000"/>
            </w:tcBorders>
          </w:tcPr>
          <w:p w14:paraId="3B3DA518"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DB5E06" w:rsidRPr="009B4A73" w14:paraId="1337267C" w14:textId="77777777" w:rsidTr="0060424C">
        <w:trPr>
          <w:trHeight w:val="227"/>
          <w:jc w:val="center"/>
        </w:trPr>
        <w:tc>
          <w:tcPr>
            <w:tcW w:w="3407" w:type="dxa"/>
            <w:vMerge/>
            <w:tcBorders>
              <w:top w:val="nil"/>
              <w:left w:val="single" w:sz="4" w:space="0" w:color="000000"/>
              <w:bottom w:val="nil"/>
              <w:right w:val="single" w:sz="4" w:space="0" w:color="000000"/>
            </w:tcBorders>
          </w:tcPr>
          <w:p w14:paraId="0319ACCC"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0B06BAD8" w14:textId="77777777" w:rsidR="00D92EBC" w:rsidRPr="009B4A73" w:rsidRDefault="0078763F" w:rsidP="00DB5E06">
            <w:pPr>
              <w:spacing w:after="0" w:line="240" w:lineRule="auto"/>
              <w:ind w:left="62" w:firstLine="0"/>
              <w:rPr>
                <w:sz w:val="22"/>
              </w:rPr>
            </w:pPr>
            <w:r w:rsidRPr="009B4A73">
              <w:rPr>
                <w:sz w:val="22"/>
              </w:rPr>
              <w:t xml:space="preserve">Skin infection </w:t>
            </w:r>
          </w:p>
        </w:tc>
        <w:tc>
          <w:tcPr>
            <w:tcW w:w="1857" w:type="dxa"/>
            <w:tcBorders>
              <w:top w:val="single" w:sz="4" w:space="0" w:color="000000"/>
              <w:left w:val="single" w:sz="4" w:space="0" w:color="000000"/>
              <w:bottom w:val="single" w:sz="4" w:space="0" w:color="000000"/>
              <w:right w:val="single" w:sz="4" w:space="0" w:color="000000"/>
            </w:tcBorders>
          </w:tcPr>
          <w:p w14:paraId="1C3AB4CF"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DB5E06" w:rsidRPr="009B4A73" w14:paraId="74E16750" w14:textId="77777777" w:rsidTr="0060424C">
        <w:trPr>
          <w:trHeight w:val="227"/>
          <w:jc w:val="center"/>
        </w:trPr>
        <w:tc>
          <w:tcPr>
            <w:tcW w:w="3407" w:type="dxa"/>
            <w:vMerge/>
            <w:tcBorders>
              <w:top w:val="nil"/>
              <w:left w:val="single" w:sz="4" w:space="0" w:color="000000"/>
              <w:bottom w:val="nil"/>
              <w:right w:val="single" w:sz="4" w:space="0" w:color="000000"/>
            </w:tcBorders>
          </w:tcPr>
          <w:p w14:paraId="45CC1D9A"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42988821" w14:textId="77777777" w:rsidR="00D92EBC" w:rsidRPr="009B4A73" w:rsidRDefault="0078763F" w:rsidP="00DB5E06">
            <w:pPr>
              <w:spacing w:after="0" w:line="240" w:lineRule="auto"/>
              <w:ind w:left="62" w:firstLine="0"/>
              <w:rPr>
                <w:sz w:val="22"/>
              </w:rPr>
            </w:pPr>
            <w:r w:rsidRPr="009B4A73">
              <w:rPr>
                <w:sz w:val="22"/>
              </w:rPr>
              <w:t xml:space="preserve">Rhinitis </w:t>
            </w:r>
          </w:p>
        </w:tc>
        <w:tc>
          <w:tcPr>
            <w:tcW w:w="1857" w:type="dxa"/>
            <w:tcBorders>
              <w:top w:val="single" w:sz="4" w:space="0" w:color="000000"/>
              <w:left w:val="single" w:sz="4" w:space="0" w:color="000000"/>
              <w:bottom w:val="single" w:sz="4" w:space="0" w:color="000000"/>
              <w:right w:val="single" w:sz="4" w:space="0" w:color="000000"/>
            </w:tcBorders>
          </w:tcPr>
          <w:p w14:paraId="70AB40CA"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DB5E06" w:rsidRPr="009B4A73" w14:paraId="52B0912D" w14:textId="77777777" w:rsidTr="0060424C">
        <w:trPr>
          <w:trHeight w:val="227"/>
          <w:jc w:val="center"/>
        </w:trPr>
        <w:tc>
          <w:tcPr>
            <w:tcW w:w="3407" w:type="dxa"/>
            <w:vMerge/>
            <w:tcBorders>
              <w:top w:val="nil"/>
              <w:left w:val="single" w:sz="4" w:space="0" w:color="000000"/>
              <w:bottom w:val="nil"/>
              <w:right w:val="single" w:sz="4" w:space="0" w:color="000000"/>
            </w:tcBorders>
          </w:tcPr>
          <w:p w14:paraId="0645517E"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2C53F1C4" w14:textId="77777777" w:rsidR="00D92EBC" w:rsidRPr="009B4A73" w:rsidRDefault="0078763F" w:rsidP="00DB5E06">
            <w:pPr>
              <w:spacing w:after="0" w:line="240" w:lineRule="auto"/>
              <w:ind w:left="62" w:firstLine="0"/>
              <w:rPr>
                <w:sz w:val="22"/>
              </w:rPr>
            </w:pPr>
            <w:r w:rsidRPr="009B4A73">
              <w:rPr>
                <w:sz w:val="22"/>
              </w:rPr>
              <w:t xml:space="preserve">Upper respiratory tract infection </w:t>
            </w:r>
          </w:p>
        </w:tc>
        <w:tc>
          <w:tcPr>
            <w:tcW w:w="1857" w:type="dxa"/>
            <w:tcBorders>
              <w:top w:val="single" w:sz="4" w:space="0" w:color="000000"/>
              <w:left w:val="single" w:sz="4" w:space="0" w:color="000000"/>
              <w:bottom w:val="single" w:sz="4" w:space="0" w:color="000000"/>
              <w:right w:val="single" w:sz="4" w:space="0" w:color="000000"/>
            </w:tcBorders>
          </w:tcPr>
          <w:p w14:paraId="2B6EBF60"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DB5E06" w:rsidRPr="009B4A73" w14:paraId="27461E84" w14:textId="77777777" w:rsidTr="0060424C">
        <w:trPr>
          <w:trHeight w:val="227"/>
          <w:jc w:val="center"/>
        </w:trPr>
        <w:tc>
          <w:tcPr>
            <w:tcW w:w="3407" w:type="dxa"/>
            <w:vMerge/>
            <w:tcBorders>
              <w:top w:val="nil"/>
              <w:left w:val="single" w:sz="4" w:space="0" w:color="000000"/>
              <w:bottom w:val="nil"/>
              <w:right w:val="single" w:sz="4" w:space="0" w:color="000000"/>
            </w:tcBorders>
          </w:tcPr>
          <w:p w14:paraId="5ABE5A3D"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5398CFC5" w14:textId="77777777" w:rsidR="00D92EBC" w:rsidRPr="009B4A73" w:rsidRDefault="0078763F" w:rsidP="00DB5E06">
            <w:pPr>
              <w:spacing w:after="0" w:line="240" w:lineRule="auto"/>
              <w:ind w:left="62" w:firstLine="0"/>
              <w:rPr>
                <w:sz w:val="22"/>
              </w:rPr>
            </w:pPr>
            <w:r w:rsidRPr="009B4A73">
              <w:rPr>
                <w:sz w:val="22"/>
              </w:rPr>
              <w:t xml:space="preserve">Urinary tract infection </w:t>
            </w:r>
          </w:p>
        </w:tc>
        <w:tc>
          <w:tcPr>
            <w:tcW w:w="1857" w:type="dxa"/>
            <w:tcBorders>
              <w:top w:val="single" w:sz="4" w:space="0" w:color="000000"/>
              <w:left w:val="single" w:sz="4" w:space="0" w:color="000000"/>
              <w:bottom w:val="single" w:sz="4" w:space="0" w:color="000000"/>
              <w:right w:val="single" w:sz="4" w:space="0" w:color="000000"/>
            </w:tcBorders>
          </w:tcPr>
          <w:p w14:paraId="28678AD7"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DB5E06" w:rsidRPr="009B4A73" w14:paraId="2F1A79BD" w14:textId="77777777" w:rsidTr="0060424C">
        <w:trPr>
          <w:trHeight w:val="227"/>
          <w:jc w:val="center"/>
        </w:trPr>
        <w:tc>
          <w:tcPr>
            <w:tcW w:w="3407" w:type="dxa"/>
            <w:vMerge/>
            <w:tcBorders>
              <w:top w:val="nil"/>
              <w:left w:val="single" w:sz="4" w:space="0" w:color="000000"/>
              <w:bottom w:val="nil"/>
              <w:right w:val="single" w:sz="4" w:space="0" w:color="000000"/>
            </w:tcBorders>
          </w:tcPr>
          <w:p w14:paraId="480D8193"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4930B327" w14:textId="77777777" w:rsidR="00D92EBC" w:rsidRPr="009B4A73" w:rsidRDefault="0078763F" w:rsidP="00DB5E06">
            <w:pPr>
              <w:spacing w:after="0" w:line="240" w:lineRule="auto"/>
              <w:ind w:left="62" w:firstLine="0"/>
              <w:rPr>
                <w:sz w:val="22"/>
              </w:rPr>
            </w:pPr>
            <w:r w:rsidRPr="009B4A73">
              <w:rPr>
                <w:sz w:val="22"/>
              </w:rPr>
              <w:t xml:space="preserve">Erysipelas </w:t>
            </w:r>
          </w:p>
        </w:tc>
        <w:tc>
          <w:tcPr>
            <w:tcW w:w="1857" w:type="dxa"/>
            <w:tcBorders>
              <w:top w:val="single" w:sz="4" w:space="0" w:color="000000"/>
              <w:left w:val="single" w:sz="4" w:space="0" w:color="000000"/>
              <w:bottom w:val="single" w:sz="4" w:space="0" w:color="000000"/>
              <w:right w:val="single" w:sz="4" w:space="0" w:color="000000"/>
            </w:tcBorders>
          </w:tcPr>
          <w:p w14:paraId="6C55B555"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DB5E06" w:rsidRPr="009B4A73" w14:paraId="05AB35A6" w14:textId="77777777" w:rsidTr="0060424C">
        <w:trPr>
          <w:trHeight w:val="227"/>
          <w:jc w:val="center"/>
        </w:trPr>
        <w:tc>
          <w:tcPr>
            <w:tcW w:w="3407" w:type="dxa"/>
            <w:vMerge/>
            <w:tcBorders>
              <w:top w:val="nil"/>
              <w:left w:val="single" w:sz="4" w:space="0" w:color="000000"/>
              <w:bottom w:val="nil"/>
              <w:right w:val="single" w:sz="4" w:space="0" w:color="000000"/>
            </w:tcBorders>
          </w:tcPr>
          <w:p w14:paraId="25BD04E1"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5F70EE93" w14:textId="77777777" w:rsidR="00D92EBC" w:rsidRPr="009B4A73" w:rsidRDefault="0078763F" w:rsidP="00DB5E06">
            <w:pPr>
              <w:spacing w:after="0" w:line="240" w:lineRule="auto"/>
              <w:ind w:left="62" w:firstLine="0"/>
              <w:rPr>
                <w:sz w:val="22"/>
              </w:rPr>
            </w:pPr>
            <w:r w:rsidRPr="009B4A73">
              <w:rPr>
                <w:sz w:val="22"/>
              </w:rPr>
              <w:t xml:space="preserve">Cellulitis </w:t>
            </w:r>
          </w:p>
        </w:tc>
        <w:tc>
          <w:tcPr>
            <w:tcW w:w="1857" w:type="dxa"/>
            <w:tcBorders>
              <w:top w:val="single" w:sz="4" w:space="0" w:color="000000"/>
              <w:left w:val="single" w:sz="4" w:space="0" w:color="000000"/>
              <w:bottom w:val="single" w:sz="4" w:space="0" w:color="000000"/>
              <w:right w:val="single" w:sz="4" w:space="0" w:color="000000"/>
            </w:tcBorders>
          </w:tcPr>
          <w:p w14:paraId="0A7D5825"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DB5E06" w:rsidRPr="009B4A73" w14:paraId="0E66645C" w14:textId="77777777" w:rsidTr="0060424C">
        <w:trPr>
          <w:trHeight w:val="227"/>
          <w:jc w:val="center"/>
        </w:trPr>
        <w:tc>
          <w:tcPr>
            <w:tcW w:w="3407" w:type="dxa"/>
            <w:vMerge/>
            <w:tcBorders>
              <w:top w:val="nil"/>
              <w:left w:val="single" w:sz="4" w:space="0" w:color="000000"/>
              <w:bottom w:val="single" w:sz="4" w:space="0" w:color="000000"/>
              <w:right w:val="single" w:sz="4" w:space="0" w:color="000000"/>
            </w:tcBorders>
          </w:tcPr>
          <w:p w14:paraId="1435C93F"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6E76223E" w14:textId="77777777" w:rsidR="00D92EBC" w:rsidRPr="009B4A73" w:rsidRDefault="0078763F" w:rsidP="00DB5E06">
            <w:pPr>
              <w:spacing w:after="0" w:line="240" w:lineRule="auto"/>
              <w:ind w:left="62" w:firstLine="0"/>
              <w:rPr>
                <w:sz w:val="22"/>
              </w:rPr>
            </w:pPr>
            <w:r w:rsidRPr="009B4A73">
              <w:rPr>
                <w:sz w:val="22"/>
              </w:rPr>
              <w:t xml:space="preserve">Sepsis </w:t>
            </w:r>
          </w:p>
        </w:tc>
        <w:tc>
          <w:tcPr>
            <w:tcW w:w="1857" w:type="dxa"/>
            <w:tcBorders>
              <w:top w:val="single" w:sz="4" w:space="0" w:color="000000"/>
              <w:left w:val="single" w:sz="4" w:space="0" w:color="000000"/>
              <w:bottom w:val="single" w:sz="4" w:space="0" w:color="000000"/>
              <w:right w:val="single" w:sz="4" w:space="0" w:color="000000"/>
            </w:tcBorders>
          </w:tcPr>
          <w:p w14:paraId="450C92BE" w14:textId="77777777" w:rsidR="00D92EBC" w:rsidRPr="009B4A73" w:rsidRDefault="0078763F" w:rsidP="00174DA5">
            <w:pPr>
              <w:spacing w:after="0" w:line="240" w:lineRule="auto"/>
              <w:ind w:left="88" w:firstLine="0"/>
              <w:rPr>
                <w:sz w:val="22"/>
              </w:rPr>
            </w:pPr>
            <w:r w:rsidRPr="009B4A73">
              <w:rPr>
                <w:sz w:val="22"/>
              </w:rPr>
              <w:t xml:space="preserve">Uncommon </w:t>
            </w:r>
          </w:p>
        </w:tc>
      </w:tr>
      <w:tr w:rsidR="00DB5E06" w:rsidRPr="009B4A73" w14:paraId="6A372B05" w14:textId="77777777" w:rsidTr="0060424C">
        <w:trPr>
          <w:trHeight w:val="227"/>
          <w:jc w:val="center"/>
        </w:trPr>
        <w:tc>
          <w:tcPr>
            <w:tcW w:w="3407" w:type="dxa"/>
            <w:vMerge w:val="restart"/>
            <w:tcBorders>
              <w:top w:val="single" w:sz="4" w:space="0" w:color="000000"/>
              <w:left w:val="single" w:sz="4" w:space="0" w:color="000000"/>
              <w:bottom w:val="single" w:sz="4" w:space="0" w:color="000000"/>
              <w:right w:val="single" w:sz="4" w:space="0" w:color="000000"/>
            </w:tcBorders>
          </w:tcPr>
          <w:p w14:paraId="0924CF07" w14:textId="77777777" w:rsidR="00D92EBC" w:rsidRPr="009B4A73" w:rsidRDefault="0078763F" w:rsidP="00174DA5">
            <w:pPr>
              <w:spacing w:after="0" w:line="240" w:lineRule="auto"/>
              <w:ind w:left="82" w:firstLine="0"/>
              <w:rPr>
                <w:sz w:val="22"/>
              </w:rPr>
            </w:pPr>
            <w:r w:rsidRPr="009B4A73">
              <w:rPr>
                <w:sz w:val="22"/>
              </w:rPr>
              <w:t xml:space="preserve">Neoplasms benign, </w:t>
            </w:r>
            <w:proofErr w:type="gramStart"/>
            <w:r w:rsidRPr="009B4A73">
              <w:rPr>
                <w:sz w:val="22"/>
              </w:rPr>
              <w:t>malignant</w:t>
            </w:r>
            <w:proofErr w:type="gramEnd"/>
            <w:r w:rsidRPr="009B4A73">
              <w:rPr>
                <w:sz w:val="22"/>
              </w:rPr>
              <w:t xml:space="preserve"> and unspecified (incl. Cysts and polyps) </w:t>
            </w:r>
          </w:p>
        </w:tc>
        <w:tc>
          <w:tcPr>
            <w:tcW w:w="4243" w:type="dxa"/>
            <w:tcBorders>
              <w:top w:val="single" w:sz="4" w:space="0" w:color="000000"/>
              <w:left w:val="single" w:sz="4" w:space="0" w:color="000000"/>
              <w:bottom w:val="single" w:sz="4" w:space="0" w:color="000000"/>
              <w:right w:val="single" w:sz="4" w:space="0" w:color="000000"/>
            </w:tcBorders>
          </w:tcPr>
          <w:p w14:paraId="6426FC75" w14:textId="77777777" w:rsidR="00D92EBC" w:rsidRPr="009B4A73" w:rsidRDefault="0078763F" w:rsidP="00DB5E06">
            <w:pPr>
              <w:spacing w:after="0" w:line="240" w:lineRule="auto"/>
              <w:ind w:left="62" w:firstLine="0"/>
              <w:rPr>
                <w:sz w:val="22"/>
              </w:rPr>
            </w:pPr>
            <w:r w:rsidRPr="009B4A73">
              <w:rPr>
                <w:sz w:val="22"/>
              </w:rPr>
              <w:t xml:space="preserve">Malignant neoplasm progression </w:t>
            </w:r>
          </w:p>
        </w:tc>
        <w:tc>
          <w:tcPr>
            <w:tcW w:w="1857" w:type="dxa"/>
            <w:tcBorders>
              <w:top w:val="single" w:sz="4" w:space="0" w:color="000000"/>
              <w:left w:val="single" w:sz="4" w:space="0" w:color="000000"/>
              <w:bottom w:val="single" w:sz="4" w:space="0" w:color="000000"/>
              <w:right w:val="single" w:sz="4" w:space="0" w:color="000000"/>
            </w:tcBorders>
          </w:tcPr>
          <w:p w14:paraId="46B00831" w14:textId="77777777" w:rsidR="00D92EBC" w:rsidRPr="009B4A73" w:rsidRDefault="0078763F" w:rsidP="00174DA5">
            <w:pPr>
              <w:spacing w:after="0" w:line="240" w:lineRule="auto"/>
              <w:ind w:left="88" w:firstLine="0"/>
              <w:rPr>
                <w:sz w:val="22"/>
              </w:rPr>
            </w:pPr>
            <w:r w:rsidRPr="009B4A73">
              <w:rPr>
                <w:sz w:val="22"/>
              </w:rPr>
              <w:t xml:space="preserve">Not known </w:t>
            </w:r>
          </w:p>
        </w:tc>
      </w:tr>
      <w:tr w:rsidR="00DB5E06" w:rsidRPr="009B4A73" w14:paraId="6AE46731" w14:textId="77777777" w:rsidTr="0060424C">
        <w:trPr>
          <w:trHeight w:val="227"/>
          <w:jc w:val="center"/>
        </w:trPr>
        <w:tc>
          <w:tcPr>
            <w:tcW w:w="3407" w:type="dxa"/>
            <w:vMerge/>
            <w:tcBorders>
              <w:top w:val="nil"/>
              <w:left w:val="single" w:sz="4" w:space="0" w:color="000000"/>
              <w:bottom w:val="single" w:sz="4" w:space="0" w:color="000000"/>
              <w:right w:val="single" w:sz="4" w:space="0" w:color="000000"/>
            </w:tcBorders>
          </w:tcPr>
          <w:p w14:paraId="617A5C3F"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vAlign w:val="center"/>
          </w:tcPr>
          <w:p w14:paraId="2E31B946" w14:textId="77777777" w:rsidR="00D92EBC" w:rsidRPr="009B4A73" w:rsidRDefault="0078763F" w:rsidP="00DB5E06">
            <w:pPr>
              <w:spacing w:after="0" w:line="240" w:lineRule="auto"/>
              <w:ind w:left="62" w:firstLine="0"/>
              <w:rPr>
                <w:sz w:val="22"/>
              </w:rPr>
            </w:pPr>
            <w:r w:rsidRPr="009B4A73">
              <w:rPr>
                <w:sz w:val="22"/>
              </w:rPr>
              <w:t xml:space="preserve">Neoplasm progression </w:t>
            </w:r>
          </w:p>
        </w:tc>
        <w:tc>
          <w:tcPr>
            <w:tcW w:w="1857" w:type="dxa"/>
            <w:tcBorders>
              <w:top w:val="single" w:sz="4" w:space="0" w:color="000000"/>
              <w:left w:val="single" w:sz="4" w:space="0" w:color="000000"/>
              <w:bottom w:val="single" w:sz="4" w:space="0" w:color="000000"/>
              <w:right w:val="single" w:sz="4" w:space="0" w:color="000000"/>
            </w:tcBorders>
            <w:vAlign w:val="center"/>
          </w:tcPr>
          <w:p w14:paraId="449D8AD8" w14:textId="77777777" w:rsidR="00D92EBC" w:rsidRPr="009B4A73" w:rsidRDefault="0078763F" w:rsidP="00174DA5">
            <w:pPr>
              <w:spacing w:after="0" w:line="240" w:lineRule="auto"/>
              <w:ind w:left="88" w:firstLine="0"/>
              <w:rPr>
                <w:sz w:val="22"/>
              </w:rPr>
            </w:pPr>
            <w:r w:rsidRPr="009B4A73">
              <w:rPr>
                <w:sz w:val="22"/>
              </w:rPr>
              <w:t xml:space="preserve">Not known </w:t>
            </w:r>
          </w:p>
        </w:tc>
      </w:tr>
      <w:tr w:rsidR="00174DA5" w:rsidRPr="009B4A73" w14:paraId="645EAB79" w14:textId="77777777" w:rsidTr="0060424C">
        <w:trPr>
          <w:trHeight w:val="227"/>
          <w:jc w:val="center"/>
        </w:trPr>
        <w:tc>
          <w:tcPr>
            <w:tcW w:w="3407" w:type="dxa"/>
            <w:vMerge w:val="restart"/>
            <w:tcBorders>
              <w:top w:val="single" w:sz="4" w:space="0" w:color="000000"/>
              <w:left w:val="single" w:sz="4" w:space="0" w:color="000000"/>
              <w:right w:val="single" w:sz="4" w:space="0" w:color="000000"/>
            </w:tcBorders>
          </w:tcPr>
          <w:p w14:paraId="5757C420" w14:textId="77777777" w:rsidR="00174DA5" w:rsidRPr="009B4A73" w:rsidRDefault="00174DA5" w:rsidP="00174DA5">
            <w:pPr>
              <w:spacing w:after="60" w:line="240" w:lineRule="auto"/>
              <w:ind w:left="82" w:firstLine="0"/>
              <w:rPr>
                <w:sz w:val="22"/>
              </w:rPr>
            </w:pPr>
            <w:r w:rsidRPr="009B4A73">
              <w:rPr>
                <w:sz w:val="22"/>
              </w:rPr>
              <w:t xml:space="preserve">Blood and lymphatic system disorders </w:t>
            </w:r>
          </w:p>
          <w:p w14:paraId="5D0BED3E" w14:textId="77777777" w:rsidR="00174DA5" w:rsidRPr="009B4A73" w:rsidRDefault="00174DA5" w:rsidP="00174DA5">
            <w:pPr>
              <w:spacing w:after="57" w:line="240" w:lineRule="auto"/>
              <w:ind w:left="222" w:firstLine="0"/>
              <w:rPr>
                <w:sz w:val="22"/>
              </w:rPr>
            </w:pPr>
            <w:r w:rsidRPr="009B4A73">
              <w:rPr>
                <w:sz w:val="22"/>
              </w:rPr>
              <w:t xml:space="preserve"> </w:t>
            </w:r>
          </w:p>
          <w:p w14:paraId="2D9959C3" w14:textId="77777777" w:rsidR="00174DA5" w:rsidRPr="009B4A73" w:rsidRDefault="00174DA5" w:rsidP="00174DA5">
            <w:pPr>
              <w:spacing w:after="57" w:line="240" w:lineRule="auto"/>
              <w:ind w:left="222" w:firstLine="0"/>
              <w:rPr>
                <w:sz w:val="22"/>
              </w:rPr>
            </w:pPr>
            <w:r w:rsidRPr="009B4A73">
              <w:rPr>
                <w:sz w:val="22"/>
              </w:rPr>
              <w:t xml:space="preserve"> </w:t>
            </w:r>
          </w:p>
          <w:p w14:paraId="6F155971" w14:textId="77777777" w:rsidR="00174DA5" w:rsidRPr="009B4A73" w:rsidRDefault="00174DA5" w:rsidP="00174DA5">
            <w:pPr>
              <w:spacing w:after="0" w:line="240" w:lineRule="auto"/>
              <w:ind w:left="222" w:firstLine="0"/>
              <w:rPr>
                <w:sz w:val="22"/>
              </w:rPr>
            </w:pPr>
            <w:r w:rsidRPr="009B4A73">
              <w:rPr>
                <w:sz w:val="22"/>
              </w:rPr>
              <w:t xml:space="preserve"> </w:t>
            </w:r>
          </w:p>
        </w:tc>
        <w:tc>
          <w:tcPr>
            <w:tcW w:w="4243" w:type="dxa"/>
            <w:tcBorders>
              <w:top w:val="single" w:sz="4" w:space="0" w:color="000000"/>
              <w:left w:val="single" w:sz="4" w:space="0" w:color="000000"/>
              <w:bottom w:val="single" w:sz="4" w:space="0" w:color="000000"/>
              <w:right w:val="single" w:sz="4" w:space="0" w:color="000000"/>
            </w:tcBorders>
          </w:tcPr>
          <w:p w14:paraId="21152875" w14:textId="77777777" w:rsidR="00174DA5" w:rsidRPr="009B4A73" w:rsidRDefault="00174DA5" w:rsidP="00DB5E06">
            <w:pPr>
              <w:spacing w:after="0" w:line="240" w:lineRule="auto"/>
              <w:ind w:left="62" w:firstLine="0"/>
              <w:rPr>
                <w:sz w:val="22"/>
              </w:rPr>
            </w:pPr>
            <w:r w:rsidRPr="009B4A73">
              <w:rPr>
                <w:sz w:val="22"/>
              </w:rPr>
              <w:t xml:space="preserve">Febrile neutropenia </w:t>
            </w:r>
          </w:p>
        </w:tc>
        <w:tc>
          <w:tcPr>
            <w:tcW w:w="1857" w:type="dxa"/>
            <w:tcBorders>
              <w:top w:val="single" w:sz="4" w:space="0" w:color="000000"/>
              <w:left w:val="single" w:sz="4" w:space="0" w:color="000000"/>
              <w:bottom w:val="single" w:sz="4" w:space="0" w:color="000000"/>
              <w:right w:val="single" w:sz="4" w:space="0" w:color="000000"/>
            </w:tcBorders>
          </w:tcPr>
          <w:p w14:paraId="43BDD344" w14:textId="77777777" w:rsidR="00174DA5" w:rsidRPr="009B4A73" w:rsidRDefault="00174DA5" w:rsidP="00174DA5">
            <w:pPr>
              <w:spacing w:after="0" w:line="240" w:lineRule="auto"/>
              <w:ind w:left="88" w:firstLine="0"/>
              <w:rPr>
                <w:sz w:val="22"/>
              </w:rPr>
            </w:pPr>
            <w:r w:rsidRPr="009B4A73">
              <w:rPr>
                <w:sz w:val="22"/>
              </w:rPr>
              <w:t xml:space="preserve">Very common  </w:t>
            </w:r>
          </w:p>
        </w:tc>
      </w:tr>
      <w:tr w:rsidR="00174DA5" w:rsidRPr="009B4A73" w14:paraId="110E094B" w14:textId="77777777" w:rsidTr="0060424C">
        <w:trPr>
          <w:trHeight w:val="227"/>
          <w:jc w:val="center"/>
        </w:trPr>
        <w:tc>
          <w:tcPr>
            <w:tcW w:w="3407" w:type="dxa"/>
            <w:vMerge/>
            <w:tcBorders>
              <w:left w:val="single" w:sz="4" w:space="0" w:color="000000"/>
              <w:right w:val="single" w:sz="4" w:space="0" w:color="000000"/>
            </w:tcBorders>
          </w:tcPr>
          <w:p w14:paraId="1EE51DA5" w14:textId="77777777" w:rsidR="00174DA5" w:rsidRPr="009B4A73" w:rsidRDefault="00174DA5"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56AF10DE" w14:textId="77777777" w:rsidR="00174DA5" w:rsidRPr="009B4A73" w:rsidRDefault="00174DA5" w:rsidP="00DB5E06">
            <w:pPr>
              <w:spacing w:after="0" w:line="240" w:lineRule="auto"/>
              <w:ind w:left="62" w:firstLine="0"/>
              <w:rPr>
                <w:sz w:val="22"/>
              </w:rPr>
            </w:pPr>
            <w:r w:rsidRPr="009B4A73">
              <w:rPr>
                <w:sz w:val="22"/>
              </w:rPr>
              <w:t xml:space="preserve">Anaemia </w:t>
            </w:r>
          </w:p>
        </w:tc>
        <w:tc>
          <w:tcPr>
            <w:tcW w:w="1857" w:type="dxa"/>
            <w:tcBorders>
              <w:top w:val="single" w:sz="4" w:space="0" w:color="000000"/>
              <w:left w:val="single" w:sz="4" w:space="0" w:color="000000"/>
              <w:bottom w:val="single" w:sz="4" w:space="0" w:color="000000"/>
              <w:right w:val="single" w:sz="4" w:space="0" w:color="000000"/>
            </w:tcBorders>
          </w:tcPr>
          <w:p w14:paraId="1526EAE5" w14:textId="77777777" w:rsidR="00174DA5" w:rsidRPr="009B4A73" w:rsidRDefault="00174DA5" w:rsidP="00174DA5">
            <w:pPr>
              <w:spacing w:after="0" w:line="240" w:lineRule="auto"/>
              <w:ind w:left="88" w:firstLine="0"/>
              <w:rPr>
                <w:sz w:val="22"/>
              </w:rPr>
            </w:pPr>
            <w:r w:rsidRPr="009B4A73">
              <w:rPr>
                <w:sz w:val="22"/>
              </w:rPr>
              <w:t xml:space="preserve">Very common </w:t>
            </w:r>
          </w:p>
        </w:tc>
      </w:tr>
      <w:tr w:rsidR="00174DA5" w:rsidRPr="009B4A73" w14:paraId="4C53FF4B" w14:textId="77777777" w:rsidTr="0060424C">
        <w:trPr>
          <w:trHeight w:val="227"/>
          <w:jc w:val="center"/>
        </w:trPr>
        <w:tc>
          <w:tcPr>
            <w:tcW w:w="3407" w:type="dxa"/>
            <w:vMerge/>
            <w:tcBorders>
              <w:left w:val="single" w:sz="4" w:space="0" w:color="000000"/>
              <w:right w:val="single" w:sz="4" w:space="0" w:color="000000"/>
            </w:tcBorders>
          </w:tcPr>
          <w:p w14:paraId="62873B44" w14:textId="77777777" w:rsidR="00174DA5" w:rsidRPr="009B4A73" w:rsidRDefault="00174DA5"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78F9824E" w14:textId="77777777" w:rsidR="00174DA5" w:rsidRPr="009B4A73" w:rsidRDefault="00174DA5" w:rsidP="00DB5E06">
            <w:pPr>
              <w:spacing w:after="0" w:line="240" w:lineRule="auto"/>
              <w:ind w:left="62" w:firstLine="0"/>
              <w:rPr>
                <w:sz w:val="22"/>
              </w:rPr>
            </w:pPr>
            <w:r w:rsidRPr="009B4A73">
              <w:rPr>
                <w:sz w:val="22"/>
              </w:rPr>
              <w:t xml:space="preserve">Thrombocytopenia </w:t>
            </w:r>
          </w:p>
        </w:tc>
        <w:tc>
          <w:tcPr>
            <w:tcW w:w="1857" w:type="dxa"/>
            <w:tcBorders>
              <w:top w:val="single" w:sz="4" w:space="0" w:color="000000"/>
              <w:left w:val="single" w:sz="4" w:space="0" w:color="000000"/>
              <w:bottom w:val="single" w:sz="4" w:space="0" w:color="000000"/>
              <w:right w:val="single" w:sz="4" w:space="0" w:color="000000"/>
            </w:tcBorders>
          </w:tcPr>
          <w:p w14:paraId="1708EC0A" w14:textId="77777777" w:rsidR="00174DA5" w:rsidRPr="009B4A73" w:rsidRDefault="00174DA5" w:rsidP="00174DA5">
            <w:pPr>
              <w:spacing w:after="0" w:line="240" w:lineRule="auto"/>
              <w:ind w:left="88" w:firstLine="0"/>
              <w:rPr>
                <w:sz w:val="22"/>
              </w:rPr>
            </w:pPr>
            <w:r w:rsidRPr="009B4A73">
              <w:rPr>
                <w:sz w:val="22"/>
              </w:rPr>
              <w:t xml:space="preserve">Very common </w:t>
            </w:r>
          </w:p>
        </w:tc>
      </w:tr>
      <w:tr w:rsidR="00174DA5" w:rsidRPr="009B4A73" w14:paraId="5F448042" w14:textId="77777777" w:rsidTr="0060424C">
        <w:trPr>
          <w:trHeight w:val="227"/>
          <w:jc w:val="center"/>
        </w:trPr>
        <w:tc>
          <w:tcPr>
            <w:tcW w:w="3407" w:type="dxa"/>
            <w:vMerge/>
            <w:tcBorders>
              <w:left w:val="single" w:sz="4" w:space="0" w:color="000000"/>
              <w:right w:val="single" w:sz="4" w:space="0" w:color="000000"/>
            </w:tcBorders>
          </w:tcPr>
          <w:p w14:paraId="4D75BAE9" w14:textId="77777777" w:rsidR="00174DA5" w:rsidRPr="009B4A73" w:rsidRDefault="00174DA5"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38904E3E" w14:textId="760D7197" w:rsidR="00174DA5" w:rsidRPr="009B4A73" w:rsidRDefault="00174DA5" w:rsidP="00DB5E06">
            <w:pPr>
              <w:spacing w:after="0" w:line="240" w:lineRule="auto"/>
              <w:ind w:left="62" w:firstLine="0"/>
              <w:rPr>
                <w:sz w:val="22"/>
              </w:rPr>
            </w:pPr>
            <w:r w:rsidRPr="009B4A73">
              <w:rPr>
                <w:sz w:val="22"/>
              </w:rPr>
              <w:t xml:space="preserve">White blood cell count decreased/leukopenia </w:t>
            </w:r>
          </w:p>
        </w:tc>
        <w:tc>
          <w:tcPr>
            <w:tcW w:w="1857" w:type="dxa"/>
            <w:tcBorders>
              <w:top w:val="single" w:sz="4" w:space="0" w:color="000000"/>
              <w:left w:val="single" w:sz="4" w:space="0" w:color="000000"/>
              <w:bottom w:val="single" w:sz="4" w:space="0" w:color="000000"/>
              <w:right w:val="single" w:sz="4" w:space="0" w:color="000000"/>
            </w:tcBorders>
          </w:tcPr>
          <w:p w14:paraId="131672F3" w14:textId="77777777" w:rsidR="00174DA5" w:rsidRPr="009B4A73" w:rsidRDefault="00174DA5" w:rsidP="00174DA5">
            <w:pPr>
              <w:spacing w:after="0" w:line="240" w:lineRule="auto"/>
              <w:ind w:left="88" w:firstLine="0"/>
              <w:rPr>
                <w:sz w:val="22"/>
              </w:rPr>
            </w:pPr>
            <w:r w:rsidRPr="009B4A73">
              <w:rPr>
                <w:sz w:val="22"/>
              </w:rPr>
              <w:t xml:space="preserve">Very common </w:t>
            </w:r>
          </w:p>
        </w:tc>
      </w:tr>
      <w:tr w:rsidR="00174DA5" w:rsidRPr="009B4A73" w14:paraId="53B1A95D" w14:textId="77777777" w:rsidTr="0060424C">
        <w:trPr>
          <w:trHeight w:val="227"/>
          <w:jc w:val="center"/>
        </w:trPr>
        <w:tc>
          <w:tcPr>
            <w:tcW w:w="3407" w:type="dxa"/>
            <w:vMerge/>
            <w:tcBorders>
              <w:left w:val="single" w:sz="4" w:space="0" w:color="000000"/>
              <w:right w:val="single" w:sz="4" w:space="0" w:color="000000"/>
            </w:tcBorders>
          </w:tcPr>
          <w:p w14:paraId="61F955B7" w14:textId="77777777" w:rsidR="00174DA5" w:rsidRPr="009B4A73" w:rsidRDefault="00174DA5"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355A4358" w14:textId="77777777" w:rsidR="00174DA5" w:rsidRPr="009B4A73" w:rsidRDefault="00174DA5" w:rsidP="00DB5E06">
            <w:pPr>
              <w:spacing w:after="0" w:line="240" w:lineRule="auto"/>
              <w:ind w:left="62" w:firstLine="0"/>
              <w:rPr>
                <w:sz w:val="22"/>
              </w:rPr>
            </w:pPr>
            <w:r w:rsidRPr="009B4A73">
              <w:rPr>
                <w:sz w:val="22"/>
              </w:rPr>
              <w:t xml:space="preserve">Neutropenia </w:t>
            </w:r>
          </w:p>
        </w:tc>
        <w:tc>
          <w:tcPr>
            <w:tcW w:w="1857" w:type="dxa"/>
            <w:tcBorders>
              <w:top w:val="single" w:sz="4" w:space="0" w:color="000000"/>
              <w:left w:val="single" w:sz="4" w:space="0" w:color="000000"/>
              <w:bottom w:val="single" w:sz="4" w:space="0" w:color="000000"/>
              <w:right w:val="single" w:sz="4" w:space="0" w:color="000000"/>
            </w:tcBorders>
          </w:tcPr>
          <w:p w14:paraId="62D65617" w14:textId="77777777" w:rsidR="00174DA5" w:rsidRPr="009B4A73" w:rsidRDefault="00174DA5" w:rsidP="00174DA5">
            <w:pPr>
              <w:spacing w:after="0" w:line="240" w:lineRule="auto"/>
              <w:ind w:left="88" w:firstLine="0"/>
              <w:rPr>
                <w:sz w:val="22"/>
              </w:rPr>
            </w:pPr>
            <w:r w:rsidRPr="009B4A73">
              <w:rPr>
                <w:sz w:val="22"/>
              </w:rPr>
              <w:t xml:space="preserve">Very common </w:t>
            </w:r>
          </w:p>
        </w:tc>
      </w:tr>
      <w:tr w:rsidR="00174DA5" w:rsidRPr="009B4A73" w14:paraId="74D6AC07" w14:textId="77777777" w:rsidTr="0060424C">
        <w:tblPrEx>
          <w:jc w:val="left"/>
          <w:tblCellMar>
            <w:top w:w="11" w:type="dxa"/>
          </w:tblCellMar>
        </w:tblPrEx>
        <w:trPr>
          <w:trHeight w:val="227"/>
        </w:trPr>
        <w:tc>
          <w:tcPr>
            <w:tcW w:w="3407" w:type="dxa"/>
            <w:vMerge/>
            <w:tcBorders>
              <w:left w:val="single" w:sz="4" w:space="0" w:color="000000"/>
              <w:right w:val="single" w:sz="4" w:space="0" w:color="000000"/>
            </w:tcBorders>
          </w:tcPr>
          <w:p w14:paraId="3E246762" w14:textId="5B82F538" w:rsidR="00174DA5" w:rsidRPr="009B4A73" w:rsidRDefault="00174DA5" w:rsidP="00174DA5">
            <w:pPr>
              <w:spacing w:after="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159EF186" w14:textId="77777777" w:rsidR="00174DA5" w:rsidRPr="009B4A73" w:rsidRDefault="00174DA5" w:rsidP="00DB5E06">
            <w:pPr>
              <w:spacing w:after="0" w:line="240" w:lineRule="auto"/>
              <w:ind w:left="62" w:firstLine="0"/>
              <w:rPr>
                <w:sz w:val="22"/>
              </w:rPr>
            </w:pPr>
            <w:r w:rsidRPr="009B4A73">
              <w:rPr>
                <w:sz w:val="22"/>
              </w:rPr>
              <w:t xml:space="preserve">Hypoprothrombinaemia </w:t>
            </w:r>
          </w:p>
        </w:tc>
        <w:tc>
          <w:tcPr>
            <w:tcW w:w="1857" w:type="dxa"/>
            <w:tcBorders>
              <w:top w:val="single" w:sz="4" w:space="0" w:color="000000"/>
              <w:left w:val="single" w:sz="4" w:space="0" w:color="000000"/>
              <w:bottom w:val="single" w:sz="4" w:space="0" w:color="000000"/>
              <w:right w:val="single" w:sz="4" w:space="0" w:color="000000"/>
            </w:tcBorders>
          </w:tcPr>
          <w:p w14:paraId="0DA45828" w14:textId="77777777" w:rsidR="00174DA5" w:rsidRPr="009B4A73" w:rsidRDefault="00174DA5" w:rsidP="00174DA5">
            <w:pPr>
              <w:spacing w:after="0" w:line="240" w:lineRule="auto"/>
              <w:ind w:left="88" w:firstLine="0"/>
              <w:rPr>
                <w:sz w:val="22"/>
              </w:rPr>
            </w:pPr>
            <w:r w:rsidRPr="009B4A73">
              <w:rPr>
                <w:sz w:val="22"/>
              </w:rPr>
              <w:t xml:space="preserve">Not known </w:t>
            </w:r>
          </w:p>
        </w:tc>
      </w:tr>
      <w:tr w:rsidR="00174DA5" w:rsidRPr="009B4A73" w14:paraId="7479092E" w14:textId="77777777" w:rsidTr="0060424C">
        <w:tblPrEx>
          <w:jc w:val="left"/>
          <w:tblCellMar>
            <w:top w:w="11" w:type="dxa"/>
          </w:tblCellMar>
        </w:tblPrEx>
        <w:trPr>
          <w:trHeight w:val="227"/>
        </w:trPr>
        <w:tc>
          <w:tcPr>
            <w:tcW w:w="3407" w:type="dxa"/>
            <w:vMerge/>
            <w:tcBorders>
              <w:left w:val="single" w:sz="4" w:space="0" w:color="000000"/>
              <w:bottom w:val="single" w:sz="4" w:space="0" w:color="000000"/>
              <w:right w:val="single" w:sz="4" w:space="0" w:color="000000"/>
            </w:tcBorders>
          </w:tcPr>
          <w:p w14:paraId="6A927CE8" w14:textId="77777777" w:rsidR="00174DA5" w:rsidRPr="009B4A73" w:rsidRDefault="00174DA5"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10CEAD92" w14:textId="77777777" w:rsidR="00174DA5" w:rsidRPr="009B4A73" w:rsidRDefault="00174DA5" w:rsidP="00DB5E06">
            <w:pPr>
              <w:spacing w:after="0" w:line="240" w:lineRule="auto"/>
              <w:ind w:left="62" w:firstLine="0"/>
              <w:rPr>
                <w:sz w:val="22"/>
              </w:rPr>
            </w:pPr>
            <w:r w:rsidRPr="009B4A73">
              <w:rPr>
                <w:sz w:val="22"/>
              </w:rPr>
              <w:t xml:space="preserve">Immune Thrombocytopenia </w:t>
            </w:r>
          </w:p>
        </w:tc>
        <w:tc>
          <w:tcPr>
            <w:tcW w:w="1857" w:type="dxa"/>
            <w:tcBorders>
              <w:top w:val="single" w:sz="4" w:space="0" w:color="000000"/>
              <w:left w:val="single" w:sz="4" w:space="0" w:color="000000"/>
              <w:bottom w:val="single" w:sz="4" w:space="0" w:color="000000"/>
              <w:right w:val="single" w:sz="4" w:space="0" w:color="000000"/>
            </w:tcBorders>
          </w:tcPr>
          <w:p w14:paraId="63E572FC" w14:textId="77777777" w:rsidR="00174DA5" w:rsidRPr="009B4A73" w:rsidRDefault="00174DA5" w:rsidP="00174DA5">
            <w:pPr>
              <w:spacing w:after="0" w:line="240" w:lineRule="auto"/>
              <w:ind w:left="88" w:firstLine="0"/>
              <w:rPr>
                <w:sz w:val="22"/>
              </w:rPr>
            </w:pPr>
            <w:r w:rsidRPr="009B4A73">
              <w:rPr>
                <w:sz w:val="22"/>
              </w:rPr>
              <w:t xml:space="preserve">Not Known </w:t>
            </w:r>
          </w:p>
        </w:tc>
      </w:tr>
      <w:tr w:rsidR="00174DA5" w:rsidRPr="009B4A73" w14:paraId="0FD4B725" w14:textId="77777777" w:rsidTr="0060424C">
        <w:tblPrEx>
          <w:jc w:val="left"/>
          <w:tblCellMar>
            <w:top w:w="11" w:type="dxa"/>
          </w:tblCellMar>
        </w:tblPrEx>
        <w:trPr>
          <w:trHeight w:val="227"/>
        </w:trPr>
        <w:tc>
          <w:tcPr>
            <w:tcW w:w="3407" w:type="dxa"/>
            <w:vMerge w:val="restart"/>
            <w:tcBorders>
              <w:top w:val="single" w:sz="4" w:space="0" w:color="000000"/>
              <w:left w:val="single" w:sz="4" w:space="0" w:color="000000"/>
              <w:bottom w:val="single" w:sz="4" w:space="0" w:color="000000"/>
              <w:right w:val="single" w:sz="4" w:space="0" w:color="000000"/>
            </w:tcBorders>
          </w:tcPr>
          <w:p w14:paraId="62622F88" w14:textId="77777777" w:rsidR="00D92EBC" w:rsidRPr="009B4A73" w:rsidRDefault="0078763F" w:rsidP="00174DA5">
            <w:pPr>
              <w:spacing w:after="57" w:line="240" w:lineRule="auto"/>
              <w:ind w:left="82" w:firstLine="0"/>
              <w:rPr>
                <w:sz w:val="22"/>
              </w:rPr>
            </w:pPr>
            <w:r w:rsidRPr="009B4A73">
              <w:rPr>
                <w:sz w:val="22"/>
              </w:rPr>
              <w:t xml:space="preserve">Immune system disorders </w:t>
            </w:r>
          </w:p>
          <w:p w14:paraId="6BC65E21" w14:textId="38BE721F" w:rsidR="00D92EBC" w:rsidRPr="009B4A73" w:rsidRDefault="0078763F" w:rsidP="00174DA5">
            <w:pPr>
              <w:tabs>
                <w:tab w:val="center" w:pos="966"/>
              </w:tabs>
              <w:spacing w:after="57" w:line="240" w:lineRule="auto"/>
              <w:ind w:left="222" w:firstLine="0"/>
              <w:rPr>
                <w:sz w:val="22"/>
              </w:rPr>
            </w:pPr>
            <w:r w:rsidRPr="009B4A73">
              <w:rPr>
                <w:sz w:val="22"/>
              </w:rPr>
              <w:t xml:space="preserve"> </w:t>
            </w:r>
            <w:r w:rsidR="00DB5E06" w:rsidRPr="009B4A73">
              <w:rPr>
                <w:sz w:val="22"/>
              </w:rPr>
              <w:tab/>
            </w:r>
          </w:p>
          <w:p w14:paraId="3415FD24" w14:textId="77777777" w:rsidR="00D92EBC" w:rsidRPr="009B4A73" w:rsidRDefault="0078763F" w:rsidP="00174DA5">
            <w:pPr>
              <w:spacing w:after="0" w:line="240" w:lineRule="auto"/>
              <w:ind w:left="222" w:firstLine="0"/>
              <w:rPr>
                <w:sz w:val="22"/>
              </w:rPr>
            </w:pPr>
            <w:r w:rsidRPr="009B4A73">
              <w:rPr>
                <w:sz w:val="22"/>
              </w:rPr>
              <w:t xml:space="preserve"> </w:t>
            </w:r>
          </w:p>
        </w:tc>
        <w:tc>
          <w:tcPr>
            <w:tcW w:w="4243" w:type="dxa"/>
            <w:tcBorders>
              <w:top w:val="single" w:sz="4" w:space="0" w:color="000000"/>
              <w:left w:val="single" w:sz="4" w:space="0" w:color="000000"/>
              <w:bottom w:val="single" w:sz="4" w:space="0" w:color="000000"/>
              <w:right w:val="single" w:sz="4" w:space="0" w:color="000000"/>
            </w:tcBorders>
          </w:tcPr>
          <w:p w14:paraId="4A9D304F" w14:textId="77777777" w:rsidR="00D92EBC" w:rsidRPr="009B4A73" w:rsidRDefault="0078763F" w:rsidP="00DB5E06">
            <w:pPr>
              <w:spacing w:after="0" w:line="240" w:lineRule="auto"/>
              <w:ind w:left="62" w:firstLine="0"/>
              <w:rPr>
                <w:sz w:val="22"/>
              </w:rPr>
            </w:pPr>
            <w:r w:rsidRPr="009B4A73">
              <w:rPr>
                <w:sz w:val="22"/>
              </w:rPr>
              <w:t xml:space="preserve">Hypersensitivity </w:t>
            </w:r>
          </w:p>
        </w:tc>
        <w:tc>
          <w:tcPr>
            <w:tcW w:w="1857" w:type="dxa"/>
            <w:tcBorders>
              <w:top w:val="single" w:sz="4" w:space="0" w:color="000000"/>
              <w:left w:val="single" w:sz="4" w:space="0" w:color="000000"/>
              <w:bottom w:val="single" w:sz="4" w:space="0" w:color="000000"/>
              <w:right w:val="single" w:sz="4" w:space="0" w:color="000000"/>
            </w:tcBorders>
          </w:tcPr>
          <w:p w14:paraId="0B532590"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174DA5" w:rsidRPr="009B4A73" w14:paraId="7FC8CF5C" w14:textId="77777777" w:rsidTr="0060424C">
        <w:tblPrEx>
          <w:jc w:val="left"/>
          <w:tblCellMar>
            <w:top w:w="11" w:type="dxa"/>
          </w:tblCellMar>
        </w:tblPrEx>
        <w:trPr>
          <w:trHeight w:val="227"/>
        </w:trPr>
        <w:tc>
          <w:tcPr>
            <w:tcW w:w="3407" w:type="dxa"/>
            <w:vMerge/>
            <w:tcBorders>
              <w:top w:val="single" w:sz="4" w:space="0" w:color="auto"/>
              <w:left w:val="single" w:sz="4" w:space="0" w:color="000000"/>
              <w:bottom w:val="nil"/>
              <w:right w:val="single" w:sz="4" w:space="0" w:color="000000"/>
            </w:tcBorders>
          </w:tcPr>
          <w:p w14:paraId="6E82B1E6"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26EFABE2" w14:textId="77777777" w:rsidR="00D92EBC" w:rsidRPr="009B4A73" w:rsidRDefault="0078763F" w:rsidP="00DB5E06">
            <w:pPr>
              <w:spacing w:after="0" w:line="240" w:lineRule="auto"/>
              <w:ind w:left="62" w:firstLine="0"/>
              <w:rPr>
                <w:sz w:val="22"/>
              </w:rPr>
            </w:pPr>
            <w:r w:rsidRPr="009B4A73">
              <w:rPr>
                <w:b/>
                <w:sz w:val="22"/>
                <w:vertAlign w:val="superscript"/>
              </w:rPr>
              <w:t>2</w:t>
            </w:r>
            <w:r w:rsidRPr="009B4A73">
              <w:rPr>
                <w:sz w:val="22"/>
              </w:rPr>
              <w:t xml:space="preserve">Anaphylactic reaction </w:t>
            </w:r>
          </w:p>
        </w:tc>
        <w:tc>
          <w:tcPr>
            <w:tcW w:w="1857" w:type="dxa"/>
            <w:tcBorders>
              <w:top w:val="single" w:sz="4" w:space="0" w:color="000000"/>
              <w:left w:val="single" w:sz="4" w:space="0" w:color="000000"/>
              <w:bottom w:val="single" w:sz="4" w:space="0" w:color="000000"/>
              <w:right w:val="single" w:sz="4" w:space="0" w:color="000000"/>
            </w:tcBorders>
          </w:tcPr>
          <w:p w14:paraId="53A1C329" w14:textId="77777777" w:rsidR="00D92EBC" w:rsidRPr="009B4A73" w:rsidRDefault="0078763F" w:rsidP="00174DA5">
            <w:pPr>
              <w:spacing w:after="0" w:line="240" w:lineRule="auto"/>
              <w:ind w:left="88" w:firstLine="0"/>
              <w:rPr>
                <w:sz w:val="22"/>
              </w:rPr>
            </w:pPr>
            <w:r w:rsidRPr="009B4A73">
              <w:rPr>
                <w:sz w:val="22"/>
              </w:rPr>
              <w:t xml:space="preserve">Not known </w:t>
            </w:r>
          </w:p>
        </w:tc>
      </w:tr>
      <w:tr w:rsidR="00174DA5" w:rsidRPr="009B4A73" w14:paraId="31A858B6" w14:textId="77777777" w:rsidTr="0060424C">
        <w:tblPrEx>
          <w:jc w:val="left"/>
          <w:tblCellMar>
            <w:top w:w="11" w:type="dxa"/>
          </w:tblCellMar>
        </w:tblPrEx>
        <w:trPr>
          <w:trHeight w:val="227"/>
        </w:trPr>
        <w:tc>
          <w:tcPr>
            <w:tcW w:w="3407" w:type="dxa"/>
            <w:vMerge/>
            <w:tcBorders>
              <w:top w:val="nil"/>
              <w:left w:val="single" w:sz="4" w:space="0" w:color="000000"/>
              <w:bottom w:val="single" w:sz="4" w:space="0" w:color="000000"/>
              <w:right w:val="single" w:sz="4" w:space="0" w:color="000000"/>
            </w:tcBorders>
          </w:tcPr>
          <w:p w14:paraId="55C809F6"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763300D9" w14:textId="77777777" w:rsidR="00D92EBC" w:rsidRPr="009B4A73" w:rsidRDefault="0078763F" w:rsidP="00DB5E06">
            <w:pPr>
              <w:spacing w:after="0" w:line="240" w:lineRule="auto"/>
              <w:ind w:left="62" w:firstLine="0"/>
              <w:rPr>
                <w:sz w:val="22"/>
              </w:rPr>
            </w:pPr>
            <w:r w:rsidRPr="009B4A73">
              <w:rPr>
                <w:b/>
                <w:sz w:val="22"/>
                <w:vertAlign w:val="superscript"/>
              </w:rPr>
              <w:t>2</w:t>
            </w:r>
            <w:r w:rsidRPr="009B4A73">
              <w:rPr>
                <w:sz w:val="22"/>
              </w:rPr>
              <w:t xml:space="preserve">Anaphylactic shock </w:t>
            </w:r>
          </w:p>
        </w:tc>
        <w:tc>
          <w:tcPr>
            <w:tcW w:w="1857" w:type="dxa"/>
            <w:tcBorders>
              <w:top w:val="single" w:sz="4" w:space="0" w:color="000000"/>
              <w:left w:val="single" w:sz="4" w:space="0" w:color="000000"/>
              <w:bottom w:val="single" w:sz="4" w:space="0" w:color="000000"/>
              <w:right w:val="single" w:sz="4" w:space="0" w:color="000000"/>
            </w:tcBorders>
          </w:tcPr>
          <w:p w14:paraId="1DB486E9" w14:textId="77777777" w:rsidR="00D92EBC" w:rsidRPr="009B4A73" w:rsidRDefault="0078763F" w:rsidP="00174DA5">
            <w:pPr>
              <w:spacing w:after="0" w:line="240" w:lineRule="auto"/>
              <w:ind w:left="88" w:firstLine="0"/>
              <w:rPr>
                <w:sz w:val="22"/>
              </w:rPr>
            </w:pPr>
            <w:r w:rsidRPr="009B4A73">
              <w:rPr>
                <w:sz w:val="22"/>
              </w:rPr>
              <w:t xml:space="preserve">Not known </w:t>
            </w:r>
          </w:p>
        </w:tc>
      </w:tr>
      <w:tr w:rsidR="00174DA5" w:rsidRPr="009B4A73" w14:paraId="48D4C139" w14:textId="77777777" w:rsidTr="0060424C">
        <w:tblPrEx>
          <w:jc w:val="left"/>
          <w:tblCellMar>
            <w:top w:w="11" w:type="dxa"/>
          </w:tblCellMar>
        </w:tblPrEx>
        <w:trPr>
          <w:trHeight w:val="227"/>
        </w:trPr>
        <w:tc>
          <w:tcPr>
            <w:tcW w:w="3407" w:type="dxa"/>
            <w:vMerge w:val="restart"/>
            <w:tcBorders>
              <w:top w:val="single" w:sz="4" w:space="0" w:color="000000"/>
              <w:left w:val="single" w:sz="4" w:space="0" w:color="000000"/>
              <w:bottom w:val="single" w:sz="4" w:space="0" w:color="000000"/>
              <w:right w:val="single" w:sz="4" w:space="0" w:color="000000"/>
            </w:tcBorders>
          </w:tcPr>
          <w:p w14:paraId="225FFD35" w14:textId="77777777" w:rsidR="00D92EBC" w:rsidRPr="009B4A73" w:rsidRDefault="0078763F" w:rsidP="00174DA5">
            <w:pPr>
              <w:spacing w:after="60" w:line="240" w:lineRule="auto"/>
              <w:ind w:left="82" w:firstLine="0"/>
              <w:rPr>
                <w:sz w:val="22"/>
              </w:rPr>
            </w:pPr>
            <w:r w:rsidRPr="009B4A73">
              <w:rPr>
                <w:sz w:val="22"/>
              </w:rPr>
              <w:t xml:space="preserve">Metabolism and nutrition disorders </w:t>
            </w:r>
          </w:p>
          <w:p w14:paraId="5781B1D8" w14:textId="77777777" w:rsidR="00D92EBC" w:rsidRPr="009B4A73" w:rsidRDefault="0078763F" w:rsidP="00174DA5">
            <w:pPr>
              <w:spacing w:after="57" w:line="240" w:lineRule="auto"/>
              <w:ind w:left="222" w:firstLine="0"/>
              <w:rPr>
                <w:sz w:val="22"/>
              </w:rPr>
            </w:pPr>
            <w:r w:rsidRPr="009B4A73">
              <w:rPr>
                <w:sz w:val="22"/>
              </w:rPr>
              <w:t xml:space="preserve"> </w:t>
            </w:r>
          </w:p>
          <w:p w14:paraId="25909246" w14:textId="77777777" w:rsidR="00D92EBC" w:rsidRPr="009B4A73" w:rsidRDefault="0078763F" w:rsidP="00174DA5">
            <w:pPr>
              <w:spacing w:after="0" w:line="240" w:lineRule="auto"/>
              <w:ind w:left="222" w:firstLine="0"/>
              <w:rPr>
                <w:sz w:val="22"/>
              </w:rPr>
            </w:pPr>
            <w:r w:rsidRPr="009B4A73">
              <w:rPr>
                <w:sz w:val="22"/>
              </w:rPr>
              <w:t xml:space="preserve"> </w:t>
            </w:r>
          </w:p>
        </w:tc>
        <w:tc>
          <w:tcPr>
            <w:tcW w:w="4243" w:type="dxa"/>
            <w:tcBorders>
              <w:top w:val="single" w:sz="4" w:space="0" w:color="000000"/>
              <w:left w:val="single" w:sz="4" w:space="0" w:color="000000"/>
              <w:bottom w:val="single" w:sz="4" w:space="0" w:color="000000"/>
              <w:right w:val="single" w:sz="4" w:space="0" w:color="000000"/>
            </w:tcBorders>
          </w:tcPr>
          <w:p w14:paraId="36484300" w14:textId="77777777" w:rsidR="00D92EBC" w:rsidRPr="009B4A73" w:rsidRDefault="0078763F" w:rsidP="00DB5E06">
            <w:pPr>
              <w:spacing w:after="0" w:line="240" w:lineRule="auto"/>
              <w:ind w:left="62" w:firstLine="0"/>
              <w:rPr>
                <w:sz w:val="22"/>
              </w:rPr>
            </w:pPr>
            <w:r w:rsidRPr="009B4A73">
              <w:rPr>
                <w:sz w:val="22"/>
              </w:rPr>
              <w:t xml:space="preserve">Weight Decreased/Weight Loss </w:t>
            </w:r>
          </w:p>
        </w:tc>
        <w:tc>
          <w:tcPr>
            <w:tcW w:w="1857" w:type="dxa"/>
            <w:tcBorders>
              <w:top w:val="single" w:sz="4" w:space="0" w:color="000000"/>
              <w:left w:val="single" w:sz="4" w:space="0" w:color="000000"/>
              <w:bottom w:val="single" w:sz="4" w:space="0" w:color="000000"/>
              <w:right w:val="single" w:sz="4" w:space="0" w:color="000000"/>
            </w:tcBorders>
          </w:tcPr>
          <w:p w14:paraId="0D3F19FD"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10065996"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25057808"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5DDA99F4" w14:textId="77777777" w:rsidR="00D92EBC" w:rsidRPr="009B4A73" w:rsidRDefault="0078763F" w:rsidP="00DB5E06">
            <w:pPr>
              <w:spacing w:after="0" w:line="240" w:lineRule="auto"/>
              <w:ind w:left="62" w:firstLine="0"/>
              <w:rPr>
                <w:sz w:val="22"/>
              </w:rPr>
            </w:pPr>
            <w:r w:rsidRPr="009B4A73">
              <w:rPr>
                <w:sz w:val="22"/>
              </w:rPr>
              <w:t xml:space="preserve">Weight Increased </w:t>
            </w:r>
          </w:p>
        </w:tc>
        <w:tc>
          <w:tcPr>
            <w:tcW w:w="1857" w:type="dxa"/>
            <w:tcBorders>
              <w:top w:val="single" w:sz="4" w:space="0" w:color="000000"/>
              <w:left w:val="single" w:sz="4" w:space="0" w:color="000000"/>
              <w:bottom w:val="single" w:sz="4" w:space="0" w:color="000000"/>
              <w:right w:val="single" w:sz="4" w:space="0" w:color="000000"/>
            </w:tcBorders>
          </w:tcPr>
          <w:p w14:paraId="265117AF"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0B9738A9"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5EA78E21"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5D04827F" w14:textId="77777777" w:rsidR="00D92EBC" w:rsidRPr="009B4A73" w:rsidRDefault="0078763F" w:rsidP="00DB5E06">
            <w:pPr>
              <w:spacing w:after="0" w:line="240" w:lineRule="auto"/>
              <w:ind w:left="62" w:firstLine="0"/>
              <w:rPr>
                <w:sz w:val="22"/>
              </w:rPr>
            </w:pPr>
            <w:r w:rsidRPr="009B4A73">
              <w:rPr>
                <w:sz w:val="22"/>
              </w:rPr>
              <w:t xml:space="preserve">Decreased appetite </w:t>
            </w:r>
          </w:p>
        </w:tc>
        <w:tc>
          <w:tcPr>
            <w:tcW w:w="1857" w:type="dxa"/>
            <w:tcBorders>
              <w:top w:val="single" w:sz="4" w:space="0" w:color="000000"/>
              <w:left w:val="single" w:sz="4" w:space="0" w:color="000000"/>
              <w:bottom w:val="single" w:sz="4" w:space="0" w:color="000000"/>
              <w:right w:val="single" w:sz="4" w:space="0" w:color="000000"/>
            </w:tcBorders>
          </w:tcPr>
          <w:p w14:paraId="110F1B4E"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3338194B"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43655D26"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22B345A9" w14:textId="77777777" w:rsidR="00D92EBC" w:rsidRPr="009B4A73" w:rsidRDefault="0078763F" w:rsidP="00DB5E06">
            <w:pPr>
              <w:spacing w:after="0" w:line="240" w:lineRule="auto"/>
              <w:ind w:left="62" w:firstLine="0"/>
              <w:rPr>
                <w:sz w:val="22"/>
              </w:rPr>
            </w:pPr>
            <w:r w:rsidRPr="009B4A73">
              <w:rPr>
                <w:sz w:val="22"/>
              </w:rPr>
              <w:t xml:space="preserve">Anorexia </w:t>
            </w:r>
          </w:p>
        </w:tc>
        <w:tc>
          <w:tcPr>
            <w:tcW w:w="1857" w:type="dxa"/>
            <w:tcBorders>
              <w:top w:val="single" w:sz="4" w:space="0" w:color="000000"/>
              <w:left w:val="single" w:sz="4" w:space="0" w:color="000000"/>
              <w:bottom w:val="single" w:sz="4" w:space="0" w:color="000000"/>
              <w:right w:val="single" w:sz="4" w:space="0" w:color="000000"/>
            </w:tcBorders>
          </w:tcPr>
          <w:p w14:paraId="5284297A"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119F3D78"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0A2F2246"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4D428A9B" w14:textId="77777777" w:rsidR="00D92EBC" w:rsidRPr="009B4A73" w:rsidRDefault="0078763F" w:rsidP="00DB5E06">
            <w:pPr>
              <w:spacing w:after="0" w:line="240" w:lineRule="auto"/>
              <w:ind w:left="62" w:firstLine="0"/>
              <w:rPr>
                <w:sz w:val="22"/>
              </w:rPr>
            </w:pPr>
            <w:r w:rsidRPr="009B4A73">
              <w:rPr>
                <w:sz w:val="22"/>
              </w:rPr>
              <w:t xml:space="preserve">Hyperkalaemia </w:t>
            </w:r>
          </w:p>
        </w:tc>
        <w:tc>
          <w:tcPr>
            <w:tcW w:w="1857" w:type="dxa"/>
            <w:tcBorders>
              <w:top w:val="single" w:sz="4" w:space="0" w:color="000000"/>
              <w:left w:val="single" w:sz="4" w:space="0" w:color="000000"/>
              <w:bottom w:val="single" w:sz="4" w:space="0" w:color="000000"/>
              <w:right w:val="single" w:sz="4" w:space="0" w:color="000000"/>
            </w:tcBorders>
          </w:tcPr>
          <w:p w14:paraId="0CCC3879" w14:textId="77777777" w:rsidR="00D92EBC" w:rsidRPr="009B4A73" w:rsidRDefault="0078763F" w:rsidP="00174DA5">
            <w:pPr>
              <w:spacing w:after="0" w:line="240" w:lineRule="auto"/>
              <w:ind w:left="88" w:firstLine="0"/>
              <w:rPr>
                <w:sz w:val="22"/>
              </w:rPr>
            </w:pPr>
            <w:r w:rsidRPr="009B4A73">
              <w:rPr>
                <w:sz w:val="22"/>
              </w:rPr>
              <w:t xml:space="preserve">Not known </w:t>
            </w:r>
          </w:p>
        </w:tc>
      </w:tr>
      <w:tr w:rsidR="00174DA5" w:rsidRPr="009B4A73" w14:paraId="6664186F" w14:textId="77777777" w:rsidTr="0060424C">
        <w:tblPrEx>
          <w:jc w:val="left"/>
          <w:tblCellMar>
            <w:top w:w="11" w:type="dxa"/>
          </w:tblCellMar>
        </w:tblPrEx>
        <w:trPr>
          <w:trHeight w:val="227"/>
        </w:trPr>
        <w:tc>
          <w:tcPr>
            <w:tcW w:w="3407" w:type="dxa"/>
            <w:vMerge/>
            <w:tcBorders>
              <w:top w:val="nil"/>
              <w:left w:val="single" w:sz="4" w:space="0" w:color="000000"/>
              <w:bottom w:val="single" w:sz="4" w:space="0" w:color="000000"/>
              <w:right w:val="single" w:sz="4" w:space="0" w:color="000000"/>
            </w:tcBorders>
          </w:tcPr>
          <w:p w14:paraId="2505F153"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7007B0A0" w14:textId="77777777" w:rsidR="00D92EBC" w:rsidRPr="009B4A73" w:rsidRDefault="0078763F" w:rsidP="00DB5E06">
            <w:pPr>
              <w:spacing w:after="0" w:line="240" w:lineRule="auto"/>
              <w:ind w:left="62" w:firstLine="0"/>
              <w:rPr>
                <w:sz w:val="22"/>
              </w:rPr>
            </w:pPr>
            <w:r w:rsidRPr="009B4A73">
              <w:rPr>
                <w:sz w:val="22"/>
              </w:rPr>
              <w:t xml:space="preserve">Tumour lysis syndrome </w:t>
            </w:r>
          </w:p>
        </w:tc>
        <w:tc>
          <w:tcPr>
            <w:tcW w:w="1857" w:type="dxa"/>
            <w:tcBorders>
              <w:top w:val="single" w:sz="4" w:space="0" w:color="000000"/>
              <w:left w:val="single" w:sz="4" w:space="0" w:color="000000"/>
              <w:bottom w:val="single" w:sz="4" w:space="0" w:color="000000"/>
              <w:right w:val="single" w:sz="4" w:space="0" w:color="000000"/>
            </w:tcBorders>
          </w:tcPr>
          <w:p w14:paraId="720FE228" w14:textId="3C05F617" w:rsidR="00F53773" w:rsidRPr="009B4A73" w:rsidRDefault="0078763F" w:rsidP="00174DA5">
            <w:pPr>
              <w:spacing w:after="0" w:line="240" w:lineRule="auto"/>
              <w:ind w:left="88" w:firstLine="0"/>
              <w:rPr>
                <w:sz w:val="22"/>
              </w:rPr>
            </w:pPr>
            <w:r w:rsidRPr="009B4A73">
              <w:rPr>
                <w:sz w:val="22"/>
              </w:rPr>
              <w:t xml:space="preserve">Not known </w:t>
            </w:r>
          </w:p>
        </w:tc>
      </w:tr>
      <w:tr w:rsidR="00174DA5" w:rsidRPr="009B4A73" w14:paraId="6CA12528" w14:textId="77777777" w:rsidTr="0060424C">
        <w:tblPrEx>
          <w:jc w:val="left"/>
          <w:tblCellMar>
            <w:top w:w="11" w:type="dxa"/>
          </w:tblCellMar>
        </w:tblPrEx>
        <w:trPr>
          <w:trHeight w:val="227"/>
        </w:trPr>
        <w:tc>
          <w:tcPr>
            <w:tcW w:w="3407" w:type="dxa"/>
            <w:vMerge w:val="restart"/>
            <w:tcBorders>
              <w:top w:val="single" w:sz="4" w:space="0" w:color="000000"/>
              <w:left w:val="single" w:sz="4" w:space="0" w:color="000000"/>
              <w:bottom w:val="single" w:sz="4" w:space="0" w:color="000000"/>
              <w:right w:val="single" w:sz="4" w:space="0" w:color="000000"/>
            </w:tcBorders>
          </w:tcPr>
          <w:p w14:paraId="290A3690" w14:textId="77777777" w:rsidR="00D92EBC" w:rsidRPr="009B4A73" w:rsidRDefault="0078763F" w:rsidP="00174DA5">
            <w:pPr>
              <w:spacing w:after="57" w:line="240" w:lineRule="auto"/>
              <w:ind w:left="82" w:firstLine="0"/>
              <w:rPr>
                <w:sz w:val="22"/>
              </w:rPr>
            </w:pPr>
            <w:r w:rsidRPr="009B4A73">
              <w:rPr>
                <w:sz w:val="22"/>
              </w:rPr>
              <w:t xml:space="preserve">Psychiatric disorders </w:t>
            </w:r>
          </w:p>
          <w:p w14:paraId="07DBFCCC" w14:textId="77777777" w:rsidR="00D92EBC" w:rsidRPr="009B4A73" w:rsidRDefault="0078763F" w:rsidP="00174DA5">
            <w:pPr>
              <w:spacing w:after="57" w:line="240" w:lineRule="auto"/>
              <w:ind w:left="222" w:firstLine="0"/>
              <w:rPr>
                <w:sz w:val="22"/>
              </w:rPr>
            </w:pPr>
            <w:r w:rsidRPr="009B4A73">
              <w:rPr>
                <w:sz w:val="22"/>
              </w:rPr>
              <w:t xml:space="preserve"> </w:t>
            </w:r>
          </w:p>
          <w:p w14:paraId="1D7DC05B" w14:textId="77777777" w:rsidR="00D92EBC" w:rsidRPr="009B4A73" w:rsidRDefault="0078763F" w:rsidP="00174DA5">
            <w:pPr>
              <w:spacing w:after="60" w:line="240" w:lineRule="auto"/>
              <w:ind w:left="222" w:firstLine="0"/>
              <w:rPr>
                <w:sz w:val="22"/>
              </w:rPr>
            </w:pPr>
            <w:r w:rsidRPr="009B4A73">
              <w:rPr>
                <w:sz w:val="22"/>
              </w:rPr>
              <w:t xml:space="preserve"> </w:t>
            </w:r>
          </w:p>
          <w:p w14:paraId="7C4916E8" w14:textId="77777777" w:rsidR="00D92EBC" w:rsidRPr="009B4A73" w:rsidRDefault="0078763F" w:rsidP="00174DA5">
            <w:pPr>
              <w:spacing w:after="0" w:line="240" w:lineRule="auto"/>
              <w:ind w:left="222" w:firstLine="0"/>
              <w:rPr>
                <w:sz w:val="22"/>
              </w:rPr>
            </w:pPr>
            <w:r w:rsidRPr="009B4A73">
              <w:rPr>
                <w:sz w:val="22"/>
              </w:rPr>
              <w:t xml:space="preserve"> </w:t>
            </w:r>
          </w:p>
        </w:tc>
        <w:tc>
          <w:tcPr>
            <w:tcW w:w="4243" w:type="dxa"/>
            <w:tcBorders>
              <w:top w:val="single" w:sz="4" w:space="0" w:color="000000"/>
              <w:left w:val="single" w:sz="4" w:space="0" w:color="000000"/>
              <w:bottom w:val="single" w:sz="4" w:space="0" w:color="000000"/>
              <w:right w:val="single" w:sz="4" w:space="0" w:color="000000"/>
            </w:tcBorders>
          </w:tcPr>
          <w:p w14:paraId="1B00B6CC" w14:textId="77777777" w:rsidR="00D92EBC" w:rsidRPr="009B4A73" w:rsidRDefault="0078763F" w:rsidP="00DB5E06">
            <w:pPr>
              <w:spacing w:after="0" w:line="240" w:lineRule="auto"/>
              <w:ind w:left="62" w:firstLine="0"/>
              <w:rPr>
                <w:sz w:val="22"/>
              </w:rPr>
            </w:pPr>
            <w:r w:rsidRPr="009B4A73">
              <w:rPr>
                <w:sz w:val="22"/>
              </w:rPr>
              <w:t xml:space="preserve">Insomnia  </w:t>
            </w:r>
          </w:p>
        </w:tc>
        <w:tc>
          <w:tcPr>
            <w:tcW w:w="1857" w:type="dxa"/>
            <w:tcBorders>
              <w:top w:val="single" w:sz="4" w:space="0" w:color="000000"/>
              <w:left w:val="single" w:sz="4" w:space="0" w:color="000000"/>
              <w:bottom w:val="single" w:sz="4" w:space="0" w:color="000000"/>
              <w:right w:val="single" w:sz="4" w:space="0" w:color="000000"/>
            </w:tcBorders>
          </w:tcPr>
          <w:p w14:paraId="057174F9"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7D613AED"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7D1B7247"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20FC0CA6" w14:textId="77777777" w:rsidR="00D92EBC" w:rsidRPr="009B4A73" w:rsidRDefault="0078763F" w:rsidP="00DB5E06">
            <w:pPr>
              <w:spacing w:after="0" w:line="240" w:lineRule="auto"/>
              <w:ind w:left="62" w:firstLine="0"/>
              <w:rPr>
                <w:sz w:val="22"/>
              </w:rPr>
            </w:pPr>
            <w:r w:rsidRPr="009B4A73">
              <w:rPr>
                <w:sz w:val="22"/>
              </w:rPr>
              <w:t xml:space="preserve">Depression </w:t>
            </w:r>
          </w:p>
        </w:tc>
        <w:tc>
          <w:tcPr>
            <w:tcW w:w="1857" w:type="dxa"/>
            <w:tcBorders>
              <w:top w:val="single" w:sz="4" w:space="0" w:color="000000"/>
              <w:left w:val="single" w:sz="4" w:space="0" w:color="000000"/>
              <w:bottom w:val="single" w:sz="4" w:space="0" w:color="000000"/>
              <w:right w:val="single" w:sz="4" w:space="0" w:color="000000"/>
            </w:tcBorders>
          </w:tcPr>
          <w:p w14:paraId="007E03B7"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174DA5" w:rsidRPr="009B4A73" w14:paraId="0EDD7355"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161E7FD3"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2B1A8C0F" w14:textId="77777777" w:rsidR="00D92EBC" w:rsidRPr="009B4A73" w:rsidRDefault="0078763F" w:rsidP="00DB5E06">
            <w:pPr>
              <w:spacing w:after="0" w:line="240" w:lineRule="auto"/>
              <w:ind w:left="62" w:firstLine="0"/>
              <w:rPr>
                <w:sz w:val="22"/>
              </w:rPr>
            </w:pPr>
            <w:r w:rsidRPr="009B4A73">
              <w:rPr>
                <w:sz w:val="22"/>
              </w:rPr>
              <w:t xml:space="preserve">Anxiety </w:t>
            </w:r>
          </w:p>
        </w:tc>
        <w:tc>
          <w:tcPr>
            <w:tcW w:w="1857" w:type="dxa"/>
            <w:tcBorders>
              <w:top w:val="single" w:sz="4" w:space="0" w:color="000000"/>
              <w:left w:val="single" w:sz="4" w:space="0" w:color="000000"/>
              <w:bottom w:val="single" w:sz="4" w:space="0" w:color="000000"/>
              <w:right w:val="single" w:sz="4" w:space="0" w:color="000000"/>
            </w:tcBorders>
          </w:tcPr>
          <w:p w14:paraId="347BDD16"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174DA5" w:rsidRPr="009B4A73" w14:paraId="2585F7BC" w14:textId="77777777" w:rsidTr="0060424C">
        <w:tblPrEx>
          <w:jc w:val="left"/>
          <w:tblCellMar>
            <w:top w:w="11" w:type="dxa"/>
          </w:tblCellMar>
        </w:tblPrEx>
        <w:trPr>
          <w:trHeight w:val="227"/>
        </w:trPr>
        <w:tc>
          <w:tcPr>
            <w:tcW w:w="3407" w:type="dxa"/>
            <w:vMerge/>
            <w:tcBorders>
              <w:top w:val="nil"/>
              <w:left w:val="single" w:sz="4" w:space="0" w:color="000000"/>
              <w:bottom w:val="single" w:sz="4" w:space="0" w:color="000000"/>
              <w:right w:val="single" w:sz="4" w:space="0" w:color="000000"/>
            </w:tcBorders>
          </w:tcPr>
          <w:p w14:paraId="609E2B4A"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2EEFA48E" w14:textId="77777777" w:rsidR="00D92EBC" w:rsidRPr="009B4A73" w:rsidRDefault="0078763F" w:rsidP="00DB5E06">
            <w:pPr>
              <w:spacing w:after="0" w:line="240" w:lineRule="auto"/>
              <w:ind w:left="62" w:firstLine="0"/>
              <w:rPr>
                <w:sz w:val="22"/>
              </w:rPr>
            </w:pPr>
            <w:r w:rsidRPr="009B4A73">
              <w:rPr>
                <w:sz w:val="22"/>
              </w:rPr>
              <w:t xml:space="preserve">Thinking abnormal </w:t>
            </w:r>
          </w:p>
        </w:tc>
        <w:tc>
          <w:tcPr>
            <w:tcW w:w="1857" w:type="dxa"/>
            <w:tcBorders>
              <w:top w:val="single" w:sz="4" w:space="0" w:color="000000"/>
              <w:left w:val="single" w:sz="4" w:space="0" w:color="000000"/>
              <w:bottom w:val="single" w:sz="4" w:space="0" w:color="000000"/>
              <w:right w:val="single" w:sz="4" w:space="0" w:color="000000"/>
            </w:tcBorders>
          </w:tcPr>
          <w:p w14:paraId="3A8899ED"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174DA5" w:rsidRPr="009B4A73" w14:paraId="022B7425" w14:textId="77777777" w:rsidTr="0060424C">
        <w:tblPrEx>
          <w:jc w:val="left"/>
          <w:tblCellMar>
            <w:top w:w="11" w:type="dxa"/>
          </w:tblCellMar>
        </w:tblPrEx>
        <w:trPr>
          <w:trHeight w:val="227"/>
        </w:trPr>
        <w:tc>
          <w:tcPr>
            <w:tcW w:w="3407" w:type="dxa"/>
            <w:vMerge w:val="restart"/>
            <w:tcBorders>
              <w:top w:val="single" w:sz="4" w:space="0" w:color="000000"/>
              <w:left w:val="single" w:sz="4" w:space="0" w:color="000000"/>
              <w:bottom w:val="single" w:sz="4" w:space="0" w:color="000000"/>
              <w:right w:val="single" w:sz="4" w:space="0" w:color="000000"/>
            </w:tcBorders>
          </w:tcPr>
          <w:p w14:paraId="1F7DAA96" w14:textId="77777777" w:rsidR="00D92EBC" w:rsidRPr="009B4A73" w:rsidRDefault="0078763F" w:rsidP="00174DA5">
            <w:pPr>
              <w:spacing w:after="57" w:line="240" w:lineRule="auto"/>
              <w:ind w:left="82" w:firstLine="0"/>
              <w:rPr>
                <w:sz w:val="22"/>
              </w:rPr>
            </w:pPr>
            <w:r w:rsidRPr="009B4A73">
              <w:rPr>
                <w:sz w:val="22"/>
              </w:rPr>
              <w:t xml:space="preserve">Nervous system disorders </w:t>
            </w:r>
          </w:p>
          <w:p w14:paraId="3305F451" w14:textId="77777777" w:rsidR="00D92EBC" w:rsidRPr="009B4A73" w:rsidRDefault="0078763F" w:rsidP="00174DA5">
            <w:pPr>
              <w:spacing w:after="60" w:line="240" w:lineRule="auto"/>
              <w:ind w:left="222" w:firstLine="0"/>
              <w:rPr>
                <w:sz w:val="22"/>
              </w:rPr>
            </w:pPr>
            <w:r w:rsidRPr="009B4A73">
              <w:rPr>
                <w:sz w:val="22"/>
              </w:rPr>
              <w:t xml:space="preserve"> </w:t>
            </w:r>
          </w:p>
          <w:p w14:paraId="067A8745" w14:textId="77777777" w:rsidR="00D92EBC" w:rsidRPr="009B4A73" w:rsidRDefault="0078763F" w:rsidP="00174DA5">
            <w:pPr>
              <w:spacing w:after="57" w:line="240" w:lineRule="auto"/>
              <w:ind w:left="222" w:firstLine="0"/>
              <w:rPr>
                <w:sz w:val="22"/>
              </w:rPr>
            </w:pPr>
            <w:r w:rsidRPr="009B4A73">
              <w:rPr>
                <w:sz w:val="22"/>
              </w:rPr>
              <w:t xml:space="preserve"> </w:t>
            </w:r>
          </w:p>
          <w:p w14:paraId="25A40C41" w14:textId="77777777" w:rsidR="00D92EBC" w:rsidRPr="009B4A73" w:rsidRDefault="0078763F" w:rsidP="00174DA5">
            <w:pPr>
              <w:spacing w:after="57" w:line="240" w:lineRule="auto"/>
              <w:ind w:left="222" w:firstLine="0"/>
              <w:rPr>
                <w:sz w:val="22"/>
              </w:rPr>
            </w:pPr>
            <w:r w:rsidRPr="009B4A73">
              <w:rPr>
                <w:sz w:val="22"/>
              </w:rPr>
              <w:t xml:space="preserve"> </w:t>
            </w:r>
          </w:p>
          <w:p w14:paraId="2176D735" w14:textId="77777777" w:rsidR="00D92EBC" w:rsidRPr="009B4A73" w:rsidRDefault="0078763F" w:rsidP="00174DA5">
            <w:pPr>
              <w:spacing w:after="57" w:line="240" w:lineRule="auto"/>
              <w:ind w:left="222" w:firstLine="0"/>
              <w:rPr>
                <w:sz w:val="22"/>
              </w:rPr>
            </w:pPr>
            <w:r w:rsidRPr="009B4A73">
              <w:rPr>
                <w:sz w:val="22"/>
              </w:rPr>
              <w:t xml:space="preserve"> </w:t>
            </w:r>
          </w:p>
          <w:p w14:paraId="672ACB91" w14:textId="77777777" w:rsidR="00D92EBC" w:rsidRPr="009B4A73" w:rsidRDefault="0078763F" w:rsidP="00174DA5">
            <w:pPr>
              <w:spacing w:after="58" w:line="240" w:lineRule="auto"/>
              <w:ind w:left="222" w:firstLine="0"/>
              <w:rPr>
                <w:sz w:val="22"/>
              </w:rPr>
            </w:pPr>
            <w:r w:rsidRPr="009B4A73">
              <w:rPr>
                <w:sz w:val="22"/>
              </w:rPr>
              <w:t xml:space="preserve"> </w:t>
            </w:r>
          </w:p>
          <w:p w14:paraId="6FD0662B" w14:textId="77777777" w:rsidR="00D92EBC" w:rsidRPr="009B4A73" w:rsidRDefault="0078763F" w:rsidP="00174DA5">
            <w:pPr>
              <w:spacing w:after="57" w:line="240" w:lineRule="auto"/>
              <w:ind w:left="222" w:firstLine="0"/>
              <w:rPr>
                <w:sz w:val="22"/>
              </w:rPr>
            </w:pPr>
            <w:r w:rsidRPr="009B4A73">
              <w:rPr>
                <w:sz w:val="22"/>
              </w:rPr>
              <w:t xml:space="preserve"> </w:t>
            </w:r>
          </w:p>
          <w:p w14:paraId="28EC806D" w14:textId="77777777" w:rsidR="00D92EBC" w:rsidRPr="009B4A73" w:rsidRDefault="0078763F" w:rsidP="00174DA5">
            <w:pPr>
              <w:spacing w:after="57" w:line="240" w:lineRule="auto"/>
              <w:ind w:left="222" w:firstLine="0"/>
              <w:rPr>
                <w:sz w:val="22"/>
              </w:rPr>
            </w:pPr>
            <w:r w:rsidRPr="009B4A73">
              <w:rPr>
                <w:sz w:val="22"/>
              </w:rPr>
              <w:t xml:space="preserve"> </w:t>
            </w:r>
          </w:p>
          <w:p w14:paraId="1407925E" w14:textId="77777777" w:rsidR="00D92EBC" w:rsidRPr="009B4A73" w:rsidRDefault="0078763F" w:rsidP="00174DA5">
            <w:pPr>
              <w:spacing w:after="57" w:line="240" w:lineRule="auto"/>
              <w:ind w:left="222" w:firstLine="0"/>
              <w:rPr>
                <w:sz w:val="22"/>
              </w:rPr>
            </w:pPr>
            <w:r w:rsidRPr="009B4A73">
              <w:rPr>
                <w:sz w:val="22"/>
              </w:rPr>
              <w:t xml:space="preserve"> </w:t>
            </w:r>
          </w:p>
          <w:p w14:paraId="0186DF8B" w14:textId="77777777" w:rsidR="00D92EBC" w:rsidRPr="009B4A73" w:rsidRDefault="0078763F" w:rsidP="00174DA5">
            <w:pPr>
              <w:spacing w:after="57" w:line="240" w:lineRule="auto"/>
              <w:ind w:left="222" w:firstLine="0"/>
              <w:rPr>
                <w:sz w:val="22"/>
              </w:rPr>
            </w:pPr>
            <w:r w:rsidRPr="009B4A73">
              <w:rPr>
                <w:sz w:val="22"/>
              </w:rPr>
              <w:t xml:space="preserve"> </w:t>
            </w:r>
          </w:p>
          <w:p w14:paraId="2E3A7E3C" w14:textId="77777777" w:rsidR="00D92EBC" w:rsidRPr="009B4A73" w:rsidRDefault="0078763F" w:rsidP="00174DA5">
            <w:pPr>
              <w:spacing w:after="0" w:line="240" w:lineRule="auto"/>
              <w:ind w:left="222" w:firstLine="0"/>
              <w:rPr>
                <w:sz w:val="22"/>
              </w:rPr>
            </w:pPr>
            <w:r w:rsidRPr="009B4A73">
              <w:rPr>
                <w:sz w:val="22"/>
              </w:rPr>
              <w:t xml:space="preserve"> </w:t>
            </w:r>
          </w:p>
        </w:tc>
        <w:tc>
          <w:tcPr>
            <w:tcW w:w="4243" w:type="dxa"/>
            <w:tcBorders>
              <w:top w:val="single" w:sz="4" w:space="0" w:color="000000"/>
              <w:left w:val="single" w:sz="4" w:space="0" w:color="000000"/>
              <w:bottom w:val="single" w:sz="4" w:space="0" w:color="000000"/>
              <w:right w:val="single" w:sz="4" w:space="0" w:color="000000"/>
            </w:tcBorders>
          </w:tcPr>
          <w:p w14:paraId="15099A1E" w14:textId="77777777" w:rsidR="00D92EBC" w:rsidRPr="009B4A73" w:rsidRDefault="0078763F" w:rsidP="00DB5E06">
            <w:pPr>
              <w:spacing w:after="0" w:line="240" w:lineRule="auto"/>
              <w:ind w:left="62" w:firstLine="0"/>
              <w:rPr>
                <w:sz w:val="22"/>
              </w:rPr>
            </w:pPr>
            <w:r w:rsidRPr="009B4A73">
              <w:rPr>
                <w:sz w:val="22"/>
                <w:vertAlign w:val="superscript"/>
              </w:rPr>
              <w:t>3</w:t>
            </w:r>
            <w:r w:rsidRPr="009B4A73">
              <w:rPr>
                <w:sz w:val="22"/>
              </w:rPr>
              <w:t>Tremor</w:t>
            </w:r>
            <w:r w:rsidRPr="009B4A73">
              <w:rPr>
                <w:sz w:val="22"/>
                <w:vertAlign w:val="superscript"/>
              </w:rPr>
              <w:t xml:space="preserve"> </w:t>
            </w:r>
          </w:p>
        </w:tc>
        <w:tc>
          <w:tcPr>
            <w:tcW w:w="1857" w:type="dxa"/>
            <w:tcBorders>
              <w:top w:val="single" w:sz="4" w:space="0" w:color="000000"/>
              <w:left w:val="single" w:sz="4" w:space="0" w:color="000000"/>
              <w:bottom w:val="single" w:sz="4" w:space="0" w:color="000000"/>
              <w:right w:val="single" w:sz="4" w:space="0" w:color="000000"/>
            </w:tcBorders>
          </w:tcPr>
          <w:p w14:paraId="2C6A3978"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2779BC7B"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58136C78"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7C35228E" w14:textId="77777777" w:rsidR="00D92EBC" w:rsidRPr="009B4A73" w:rsidRDefault="0078763F" w:rsidP="00DB5E06">
            <w:pPr>
              <w:spacing w:after="0" w:line="240" w:lineRule="auto"/>
              <w:ind w:left="62" w:firstLine="0"/>
              <w:rPr>
                <w:sz w:val="22"/>
              </w:rPr>
            </w:pPr>
            <w:r w:rsidRPr="009B4A73">
              <w:rPr>
                <w:sz w:val="22"/>
              </w:rPr>
              <w:t xml:space="preserve">Dizziness </w:t>
            </w:r>
          </w:p>
        </w:tc>
        <w:tc>
          <w:tcPr>
            <w:tcW w:w="1857" w:type="dxa"/>
            <w:tcBorders>
              <w:top w:val="single" w:sz="4" w:space="0" w:color="000000"/>
              <w:left w:val="single" w:sz="4" w:space="0" w:color="000000"/>
              <w:bottom w:val="single" w:sz="4" w:space="0" w:color="000000"/>
              <w:right w:val="single" w:sz="4" w:space="0" w:color="000000"/>
            </w:tcBorders>
          </w:tcPr>
          <w:p w14:paraId="1D7B8A6A"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7EEC6192"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04408877"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3ABFDF2C" w14:textId="77777777" w:rsidR="00D92EBC" w:rsidRPr="009B4A73" w:rsidRDefault="0078763F" w:rsidP="00DB5E06">
            <w:pPr>
              <w:spacing w:after="0" w:line="240" w:lineRule="auto"/>
              <w:ind w:left="62" w:firstLine="0"/>
              <w:rPr>
                <w:sz w:val="22"/>
              </w:rPr>
            </w:pPr>
            <w:r w:rsidRPr="009B4A73">
              <w:rPr>
                <w:sz w:val="22"/>
              </w:rPr>
              <w:t xml:space="preserve">Headache </w:t>
            </w:r>
          </w:p>
        </w:tc>
        <w:tc>
          <w:tcPr>
            <w:tcW w:w="1857" w:type="dxa"/>
            <w:tcBorders>
              <w:top w:val="single" w:sz="4" w:space="0" w:color="000000"/>
              <w:left w:val="single" w:sz="4" w:space="0" w:color="000000"/>
              <w:bottom w:val="single" w:sz="4" w:space="0" w:color="000000"/>
              <w:right w:val="single" w:sz="4" w:space="0" w:color="000000"/>
            </w:tcBorders>
          </w:tcPr>
          <w:p w14:paraId="6DE17FAF"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16C8AFE0"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4D6807C3"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2AFEA912" w14:textId="77777777" w:rsidR="00D92EBC" w:rsidRPr="009B4A73" w:rsidRDefault="0078763F" w:rsidP="00DB5E06">
            <w:pPr>
              <w:spacing w:after="0" w:line="240" w:lineRule="auto"/>
              <w:ind w:left="62" w:firstLine="0"/>
              <w:rPr>
                <w:sz w:val="22"/>
              </w:rPr>
            </w:pPr>
            <w:r w:rsidRPr="009B4A73">
              <w:rPr>
                <w:sz w:val="22"/>
              </w:rPr>
              <w:t xml:space="preserve">Dysgeusia </w:t>
            </w:r>
          </w:p>
        </w:tc>
        <w:tc>
          <w:tcPr>
            <w:tcW w:w="1857" w:type="dxa"/>
            <w:tcBorders>
              <w:top w:val="single" w:sz="4" w:space="0" w:color="000000"/>
              <w:left w:val="single" w:sz="4" w:space="0" w:color="000000"/>
              <w:bottom w:val="single" w:sz="4" w:space="0" w:color="000000"/>
              <w:right w:val="single" w:sz="4" w:space="0" w:color="000000"/>
            </w:tcBorders>
          </w:tcPr>
          <w:p w14:paraId="06A8DA3B"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6685E5DD"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2C0FDED2"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77E3EBD6" w14:textId="77777777" w:rsidR="00D92EBC" w:rsidRPr="009B4A73" w:rsidRDefault="0078763F" w:rsidP="00DB5E06">
            <w:pPr>
              <w:spacing w:after="0" w:line="240" w:lineRule="auto"/>
              <w:ind w:left="62" w:firstLine="0"/>
              <w:rPr>
                <w:sz w:val="22"/>
              </w:rPr>
            </w:pPr>
            <w:r w:rsidRPr="009B4A73">
              <w:rPr>
                <w:sz w:val="22"/>
              </w:rPr>
              <w:t xml:space="preserve">Paraesthesia  </w:t>
            </w:r>
          </w:p>
        </w:tc>
        <w:tc>
          <w:tcPr>
            <w:tcW w:w="1857" w:type="dxa"/>
            <w:tcBorders>
              <w:top w:val="single" w:sz="4" w:space="0" w:color="000000"/>
              <w:left w:val="single" w:sz="4" w:space="0" w:color="000000"/>
              <w:bottom w:val="single" w:sz="4" w:space="0" w:color="000000"/>
              <w:right w:val="single" w:sz="4" w:space="0" w:color="000000"/>
            </w:tcBorders>
          </w:tcPr>
          <w:p w14:paraId="7DDB70DE"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0718F915"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39D03ACF"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046CE3C8" w14:textId="77777777" w:rsidR="00D92EBC" w:rsidRPr="009B4A73" w:rsidRDefault="0078763F" w:rsidP="00DB5E06">
            <w:pPr>
              <w:spacing w:after="0" w:line="240" w:lineRule="auto"/>
              <w:ind w:left="62" w:firstLine="0"/>
              <w:rPr>
                <w:sz w:val="22"/>
              </w:rPr>
            </w:pPr>
            <w:proofErr w:type="spellStart"/>
            <w:r w:rsidRPr="009B4A73">
              <w:rPr>
                <w:sz w:val="22"/>
              </w:rPr>
              <w:t>Hypoaesthesia</w:t>
            </w:r>
            <w:proofErr w:type="spellEnd"/>
            <w:r w:rsidRPr="009B4A73">
              <w:rPr>
                <w:sz w:val="22"/>
              </w:rPr>
              <w:t xml:space="preserve"> </w:t>
            </w:r>
          </w:p>
        </w:tc>
        <w:tc>
          <w:tcPr>
            <w:tcW w:w="1857" w:type="dxa"/>
            <w:tcBorders>
              <w:top w:val="single" w:sz="4" w:space="0" w:color="000000"/>
              <w:left w:val="single" w:sz="4" w:space="0" w:color="000000"/>
              <w:bottom w:val="single" w:sz="4" w:space="0" w:color="000000"/>
              <w:right w:val="single" w:sz="4" w:space="0" w:color="000000"/>
            </w:tcBorders>
          </w:tcPr>
          <w:p w14:paraId="606B1532"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3727D6E2"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64184CE7"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134B358D" w14:textId="77777777" w:rsidR="00D92EBC" w:rsidRPr="009B4A73" w:rsidRDefault="0078763F" w:rsidP="00DB5E06">
            <w:pPr>
              <w:spacing w:after="0" w:line="240" w:lineRule="auto"/>
              <w:ind w:left="62" w:firstLine="0"/>
              <w:rPr>
                <w:sz w:val="22"/>
              </w:rPr>
            </w:pPr>
            <w:r w:rsidRPr="009B4A73">
              <w:rPr>
                <w:sz w:val="22"/>
              </w:rPr>
              <w:t xml:space="preserve">Peripheral neuropathy </w:t>
            </w:r>
          </w:p>
        </w:tc>
        <w:tc>
          <w:tcPr>
            <w:tcW w:w="1857" w:type="dxa"/>
            <w:tcBorders>
              <w:top w:val="single" w:sz="4" w:space="0" w:color="000000"/>
              <w:left w:val="single" w:sz="4" w:space="0" w:color="000000"/>
              <w:bottom w:val="single" w:sz="4" w:space="0" w:color="000000"/>
              <w:right w:val="single" w:sz="4" w:space="0" w:color="000000"/>
            </w:tcBorders>
          </w:tcPr>
          <w:p w14:paraId="475230D3"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174DA5" w:rsidRPr="009B4A73" w14:paraId="3F8E1BDA"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0E6B79D7"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4C2DE97F" w14:textId="77777777" w:rsidR="00D92EBC" w:rsidRPr="009B4A73" w:rsidRDefault="0078763F" w:rsidP="00DB5E06">
            <w:pPr>
              <w:spacing w:after="0" w:line="240" w:lineRule="auto"/>
              <w:ind w:left="62" w:firstLine="0"/>
              <w:rPr>
                <w:sz w:val="22"/>
              </w:rPr>
            </w:pPr>
            <w:r w:rsidRPr="009B4A73">
              <w:rPr>
                <w:sz w:val="22"/>
              </w:rPr>
              <w:t xml:space="preserve">Hypertonia </w:t>
            </w:r>
          </w:p>
        </w:tc>
        <w:tc>
          <w:tcPr>
            <w:tcW w:w="1857" w:type="dxa"/>
            <w:tcBorders>
              <w:top w:val="single" w:sz="4" w:space="0" w:color="000000"/>
              <w:left w:val="single" w:sz="4" w:space="0" w:color="000000"/>
              <w:bottom w:val="single" w:sz="4" w:space="0" w:color="000000"/>
              <w:right w:val="single" w:sz="4" w:space="0" w:color="000000"/>
            </w:tcBorders>
          </w:tcPr>
          <w:p w14:paraId="1863966A"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174DA5" w:rsidRPr="009B4A73" w14:paraId="02D5592E"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49CF4EA4"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3108B841" w14:textId="77777777" w:rsidR="00D92EBC" w:rsidRPr="009B4A73" w:rsidRDefault="0078763F" w:rsidP="00DB5E06">
            <w:pPr>
              <w:spacing w:after="0" w:line="240" w:lineRule="auto"/>
              <w:ind w:left="62" w:firstLine="0"/>
              <w:rPr>
                <w:sz w:val="22"/>
              </w:rPr>
            </w:pPr>
            <w:r w:rsidRPr="009B4A73">
              <w:rPr>
                <w:sz w:val="22"/>
              </w:rPr>
              <w:t xml:space="preserve">Somnolence </w:t>
            </w:r>
          </w:p>
        </w:tc>
        <w:tc>
          <w:tcPr>
            <w:tcW w:w="1857" w:type="dxa"/>
            <w:tcBorders>
              <w:top w:val="single" w:sz="4" w:space="0" w:color="000000"/>
              <w:left w:val="single" w:sz="4" w:space="0" w:color="000000"/>
              <w:bottom w:val="single" w:sz="4" w:space="0" w:color="000000"/>
              <w:right w:val="single" w:sz="4" w:space="0" w:color="000000"/>
            </w:tcBorders>
          </w:tcPr>
          <w:p w14:paraId="369164D0"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174DA5" w:rsidRPr="009B4A73" w14:paraId="3F6AAEFA"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4DCAF67A"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7E5E8C12" w14:textId="77777777" w:rsidR="00D92EBC" w:rsidRPr="009B4A73" w:rsidRDefault="0078763F" w:rsidP="00DB5E06">
            <w:pPr>
              <w:spacing w:after="0" w:line="240" w:lineRule="auto"/>
              <w:ind w:left="62" w:firstLine="0"/>
              <w:rPr>
                <w:sz w:val="22"/>
              </w:rPr>
            </w:pPr>
            <w:r w:rsidRPr="009B4A73">
              <w:rPr>
                <w:sz w:val="22"/>
              </w:rPr>
              <w:t xml:space="preserve">Ataxia </w:t>
            </w:r>
          </w:p>
        </w:tc>
        <w:tc>
          <w:tcPr>
            <w:tcW w:w="1857" w:type="dxa"/>
            <w:tcBorders>
              <w:top w:val="single" w:sz="4" w:space="0" w:color="000000"/>
              <w:left w:val="single" w:sz="4" w:space="0" w:color="000000"/>
              <w:bottom w:val="single" w:sz="4" w:space="0" w:color="000000"/>
              <w:right w:val="single" w:sz="4" w:space="0" w:color="000000"/>
            </w:tcBorders>
          </w:tcPr>
          <w:p w14:paraId="0C309903"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174DA5" w:rsidRPr="009B4A73" w14:paraId="510450F5"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7AC79112"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55156117" w14:textId="77777777" w:rsidR="00D92EBC" w:rsidRPr="009B4A73" w:rsidRDefault="0078763F" w:rsidP="00DB5E06">
            <w:pPr>
              <w:spacing w:after="0" w:line="240" w:lineRule="auto"/>
              <w:ind w:left="62" w:firstLine="0"/>
              <w:rPr>
                <w:sz w:val="22"/>
              </w:rPr>
            </w:pPr>
            <w:r w:rsidRPr="009B4A73">
              <w:rPr>
                <w:sz w:val="22"/>
              </w:rPr>
              <w:t xml:space="preserve">Paresis </w:t>
            </w:r>
          </w:p>
        </w:tc>
        <w:tc>
          <w:tcPr>
            <w:tcW w:w="1857" w:type="dxa"/>
            <w:tcBorders>
              <w:top w:val="single" w:sz="4" w:space="0" w:color="000000"/>
              <w:left w:val="single" w:sz="4" w:space="0" w:color="000000"/>
              <w:bottom w:val="single" w:sz="4" w:space="0" w:color="000000"/>
              <w:right w:val="single" w:sz="4" w:space="0" w:color="000000"/>
            </w:tcBorders>
          </w:tcPr>
          <w:p w14:paraId="303A8B72" w14:textId="77777777" w:rsidR="00D92EBC" w:rsidRPr="009B4A73" w:rsidRDefault="0078763F" w:rsidP="00174DA5">
            <w:pPr>
              <w:spacing w:after="0" w:line="240" w:lineRule="auto"/>
              <w:ind w:left="88" w:firstLine="0"/>
              <w:rPr>
                <w:sz w:val="22"/>
              </w:rPr>
            </w:pPr>
            <w:r w:rsidRPr="009B4A73">
              <w:rPr>
                <w:sz w:val="22"/>
              </w:rPr>
              <w:t xml:space="preserve">Rare </w:t>
            </w:r>
          </w:p>
        </w:tc>
      </w:tr>
      <w:tr w:rsidR="00174DA5" w:rsidRPr="009B4A73" w14:paraId="6E45877C" w14:textId="77777777" w:rsidTr="0060424C">
        <w:tblPrEx>
          <w:jc w:val="left"/>
          <w:tblCellMar>
            <w:top w:w="11" w:type="dxa"/>
          </w:tblCellMar>
        </w:tblPrEx>
        <w:trPr>
          <w:trHeight w:val="227"/>
        </w:trPr>
        <w:tc>
          <w:tcPr>
            <w:tcW w:w="3407" w:type="dxa"/>
            <w:vMerge/>
            <w:tcBorders>
              <w:top w:val="nil"/>
              <w:left w:val="single" w:sz="4" w:space="0" w:color="000000"/>
              <w:bottom w:val="single" w:sz="4" w:space="0" w:color="000000"/>
              <w:right w:val="single" w:sz="4" w:space="0" w:color="000000"/>
            </w:tcBorders>
          </w:tcPr>
          <w:p w14:paraId="2DA297DA"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51A85FA9" w14:textId="77777777" w:rsidR="00D92EBC" w:rsidRPr="009B4A73" w:rsidRDefault="0078763F" w:rsidP="00DB5E06">
            <w:pPr>
              <w:spacing w:after="0" w:line="240" w:lineRule="auto"/>
              <w:ind w:left="62" w:firstLine="0"/>
              <w:rPr>
                <w:sz w:val="22"/>
              </w:rPr>
            </w:pPr>
            <w:r w:rsidRPr="009B4A73">
              <w:rPr>
                <w:sz w:val="22"/>
              </w:rPr>
              <w:t xml:space="preserve">Brain oedema </w:t>
            </w:r>
          </w:p>
        </w:tc>
        <w:tc>
          <w:tcPr>
            <w:tcW w:w="1857" w:type="dxa"/>
            <w:tcBorders>
              <w:top w:val="single" w:sz="4" w:space="0" w:color="000000"/>
              <w:left w:val="single" w:sz="4" w:space="0" w:color="000000"/>
              <w:bottom w:val="single" w:sz="4" w:space="0" w:color="000000"/>
              <w:right w:val="single" w:sz="4" w:space="0" w:color="000000"/>
            </w:tcBorders>
          </w:tcPr>
          <w:p w14:paraId="436AAB97" w14:textId="77777777" w:rsidR="00D92EBC" w:rsidRPr="009B4A73" w:rsidRDefault="0078763F" w:rsidP="00174DA5">
            <w:pPr>
              <w:spacing w:after="0" w:line="240" w:lineRule="auto"/>
              <w:ind w:left="88" w:firstLine="0"/>
              <w:rPr>
                <w:sz w:val="22"/>
              </w:rPr>
            </w:pPr>
            <w:r w:rsidRPr="009B4A73">
              <w:rPr>
                <w:sz w:val="22"/>
              </w:rPr>
              <w:t xml:space="preserve">Not known </w:t>
            </w:r>
          </w:p>
        </w:tc>
      </w:tr>
      <w:tr w:rsidR="00174DA5" w:rsidRPr="009B4A73" w14:paraId="21AD7F8F" w14:textId="77777777" w:rsidTr="0060424C">
        <w:tblPrEx>
          <w:jc w:val="left"/>
          <w:tblCellMar>
            <w:top w:w="11" w:type="dxa"/>
          </w:tblCellMar>
        </w:tblPrEx>
        <w:trPr>
          <w:trHeight w:val="227"/>
        </w:trPr>
        <w:tc>
          <w:tcPr>
            <w:tcW w:w="3407" w:type="dxa"/>
            <w:vMerge w:val="restart"/>
            <w:tcBorders>
              <w:top w:val="single" w:sz="4" w:space="0" w:color="000000"/>
              <w:left w:val="single" w:sz="4" w:space="0" w:color="000000"/>
              <w:bottom w:val="single" w:sz="4" w:space="0" w:color="000000"/>
              <w:right w:val="single" w:sz="4" w:space="0" w:color="000000"/>
            </w:tcBorders>
          </w:tcPr>
          <w:p w14:paraId="7C6B92C2" w14:textId="77777777" w:rsidR="00D92EBC" w:rsidRPr="009B4A73" w:rsidRDefault="0078763F" w:rsidP="00174DA5">
            <w:pPr>
              <w:spacing w:after="60" w:line="240" w:lineRule="auto"/>
              <w:ind w:left="222" w:firstLine="0"/>
              <w:rPr>
                <w:sz w:val="22"/>
              </w:rPr>
            </w:pPr>
            <w:r w:rsidRPr="009B4A73">
              <w:rPr>
                <w:sz w:val="22"/>
              </w:rPr>
              <w:t xml:space="preserve">Eye disorders </w:t>
            </w:r>
          </w:p>
          <w:p w14:paraId="45EA2047" w14:textId="77777777" w:rsidR="00D92EBC" w:rsidRPr="009B4A73" w:rsidRDefault="0078763F" w:rsidP="00174DA5">
            <w:pPr>
              <w:spacing w:after="57" w:line="240" w:lineRule="auto"/>
              <w:ind w:left="222" w:firstLine="0"/>
              <w:rPr>
                <w:sz w:val="22"/>
              </w:rPr>
            </w:pPr>
            <w:r w:rsidRPr="009B4A73">
              <w:rPr>
                <w:sz w:val="22"/>
              </w:rPr>
              <w:t xml:space="preserve"> </w:t>
            </w:r>
          </w:p>
          <w:p w14:paraId="41E50AC0" w14:textId="77777777" w:rsidR="00D92EBC" w:rsidRPr="009B4A73" w:rsidRDefault="0078763F" w:rsidP="00174DA5">
            <w:pPr>
              <w:spacing w:after="57" w:line="240" w:lineRule="auto"/>
              <w:ind w:left="222" w:firstLine="0"/>
              <w:rPr>
                <w:sz w:val="22"/>
              </w:rPr>
            </w:pPr>
            <w:r w:rsidRPr="009B4A73">
              <w:rPr>
                <w:sz w:val="22"/>
              </w:rPr>
              <w:t xml:space="preserve"> </w:t>
            </w:r>
          </w:p>
          <w:p w14:paraId="0ADA421E" w14:textId="77777777" w:rsidR="00D92EBC" w:rsidRPr="009B4A73" w:rsidRDefault="0078763F" w:rsidP="00174DA5">
            <w:pPr>
              <w:spacing w:after="58" w:line="240" w:lineRule="auto"/>
              <w:ind w:left="222" w:firstLine="0"/>
              <w:rPr>
                <w:sz w:val="22"/>
              </w:rPr>
            </w:pPr>
            <w:r w:rsidRPr="009B4A73">
              <w:rPr>
                <w:sz w:val="22"/>
              </w:rPr>
              <w:t xml:space="preserve"> </w:t>
            </w:r>
          </w:p>
          <w:p w14:paraId="72272E9F" w14:textId="77777777" w:rsidR="00D92EBC" w:rsidRPr="009B4A73" w:rsidRDefault="0078763F" w:rsidP="00174DA5">
            <w:pPr>
              <w:spacing w:after="0" w:line="240" w:lineRule="auto"/>
              <w:ind w:left="222" w:firstLine="0"/>
              <w:rPr>
                <w:sz w:val="22"/>
              </w:rPr>
            </w:pPr>
            <w:r w:rsidRPr="009B4A73">
              <w:rPr>
                <w:sz w:val="22"/>
              </w:rPr>
              <w:t xml:space="preserve"> </w:t>
            </w:r>
          </w:p>
        </w:tc>
        <w:tc>
          <w:tcPr>
            <w:tcW w:w="4243" w:type="dxa"/>
            <w:tcBorders>
              <w:top w:val="single" w:sz="4" w:space="0" w:color="000000"/>
              <w:left w:val="single" w:sz="4" w:space="0" w:color="000000"/>
              <w:bottom w:val="single" w:sz="4" w:space="0" w:color="000000"/>
              <w:right w:val="single" w:sz="4" w:space="0" w:color="000000"/>
            </w:tcBorders>
          </w:tcPr>
          <w:p w14:paraId="64346CAA" w14:textId="77777777" w:rsidR="00D92EBC" w:rsidRPr="009B4A73" w:rsidRDefault="0078763F" w:rsidP="00DB5E06">
            <w:pPr>
              <w:spacing w:after="0" w:line="240" w:lineRule="auto"/>
              <w:ind w:left="62" w:firstLine="0"/>
              <w:rPr>
                <w:sz w:val="22"/>
              </w:rPr>
            </w:pPr>
            <w:r w:rsidRPr="009B4A73">
              <w:rPr>
                <w:sz w:val="22"/>
              </w:rPr>
              <w:t xml:space="preserve">Conjunctivitis </w:t>
            </w:r>
          </w:p>
        </w:tc>
        <w:tc>
          <w:tcPr>
            <w:tcW w:w="1857" w:type="dxa"/>
            <w:tcBorders>
              <w:top w:val="single" w:sz="4" w:space="0" w:color="000000"/>
              <w:left w:val="single" w:sz="4" w:space="0" w:color="000000"/>
              <w:bottom w:val="single" w:sz="4" w:space="0" w:color="000000"/>
              <w:right w:val="single" w:sz="4" w:space="0" w:color="000000"/>
            </w:tcBorders>
          </w:tcPr>
          <w:p w14:paraId="4A39ACF8"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29AEB4FA"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18036625"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55726112" w14:textId="77777777" w:rsidR="00D92EBC" w:rsidRPr="009B4A73" w:rsidRDefault="0078763F" w:rsidP="00DB5E06">
            <w:pPr>
              <w:spacing w:after="0" w:line="240" w:lineRule="auto"/>
              <w:ind w:left="62" w:firstLine="0"/>
              <w:rPr>
                <w:sz w:val="22"/>
              </w:rPr>
            </w:pPr>
            <w:r w:rsidRPr="009B4A73">
              <w:rPr>
                <w:sz w:val="22"/>
              </w:rPr>
              <w:t xml:space="preserve">Lacrimation increased </w:t>
            </w:r>
          </w:p>
        </w:tc>
        <w:tc>
          <w:tcPr>
            <w:tcW w:w="1857" w:type="dxa"/>
            <w:tcBorders>
              <w:top w:val="single" w:sz="4" w:space="0" w:color="000000"/>
              <w:left w:val="single" w:sz="4" w:space="0" w:color="000000"/>
              <w:bottom w:val="single" w:sz="4" w:space="0" w:color="000000"/>
              <w:right w:val="single" w:sz="4" w:space="0" w:color="000000"/>
            </w:tcBorders>
          </w:tcPr>
          <w:p w14:paraId="2002E242"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716064D1"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2E619ABC"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7179F5CF" w14:textId="77777777" w:rsidR="00D92EBC" w:rsidRPr="009B4A73" w:rsidRDefault="0078763F" w:rsidP="00DB5E06">
            <w:pPr>
              <w:spacing w:after="0" w:line="240" w:lineRule="auto"/>
              <w:ind w:left="62" w:firstLine="0"/>
              <w:rPr>
                <w:sz w:val="22"/>
              </w:rPr>
            </w:pPr>
            <w:r w:rsidRPr="009B4A73">
              <w:rPr>
                <w:sz w:val="22"/>
              </w:rPr>
              <w:t xml:space="preserve">Dry eye </w:t>
            </w:r>
          </w:p>
        </w:tc>
        <w:tc>
          <w:tcPr>
            <w:tcW w:w="1857" w:type="dxa"/>
            <w:tcBorders>
              <w:top w:val="single" w:sz="4" w:space="0" w:color="000000"/>
              <w:left w:val="single" w:sz="4" w:space="0" w:color="000000"/>
              <w:bottom w:val="single" w:sz="4" w:space="0" w:color="000000"/>
              <w:right w:val="single" w:sz="4" w:space="0" w:color="000000"/>
            </w:tcBorders>
          </w:tcPr>
          <w:p w14:paraId="6ED80C65"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174DA5" w:rsidRPr="009B4A73" w14:paraId="39380057"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1A0895F2"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566D2DAB" w14:textId="77777777" w:rsidR="00D92EBC" w:rsidRPr="009B4A73" w:rsidRDefault="0078763F" w:rsidP="00DB5E06">
            <w:pPr>
              <w:spacing w:after="0" w:line="240" w:lineRule="auto"/>
              <w:ind w:left="62" w:firstLine="0"/>
              <w:rPr>
                <w:sz w:val="22"/>
              </w:rPr>
            </w:pPr>
            <w:proofErr w:type="spellStart"/>
            <w:r w:rsidRPr="009B4A73">
              <w:rPr>
                <w:sz w:val="22"/>
              </w:rPr>
              <w:t>Papilloedema</w:t>
            </w:r>
            <w:proofErr w:type="spellEnd"/>
            <w:r w:rsidRPr="009B4A73">
              <w:rPr>
                <w:sz w:val="22"/>
              </w:rPr>
              <w:t xml:space="preserve"> </w:t>
            </w:r>
          </w:p>
        </w:tc>
        <w:tc>
          <w:tcPr>
            <w:tcW w:w="1857" w:type="dxa"/>
            <w:tcBorders>
              <w:top w:val="single" w:sz="4" w:space="0" w:color="000000"/>
              <w:left w:val="single" w:sz="4" w:space="0" w:color="000000"/>
              <w:bottom w:val="single" w:sz="4" w:space="0" w:color="000000"/>
              <w:right w:val="single" w:sz="4" w:space="0" w:color="000000"/>
            </w:tcBorders>
          </w:tcPr>
          <w:p w14:paraId="357DE146" w14:textId="77777777" w:rsidR="00D92EBC" w:rsidRPr="009B4A73" w:rsidRDefault="0078763F" w:rsidP="00174DA5">
            <w:pPr>
              <w:spacing w:after="0" w:line="240" w:lineRule="auto"/>
              <w:ind w:left="88" w:firstLine="0"/>
              <w:rPr>
                <w:sz w:val="22"/>
              </w:rPr>
            </w:pPr>
            <w:r w:rsidRPr="009B4A73">
              <w:rPr>
                <w:sz w:val="22"/>
              </w:rPr>
              <w:t xml:space="preserve">Not known </w:t>
            </w:r>
          </w:p>
        </w:tc>
      </w:tr>
      <w:tr w:rsidR="00174DA5" w:rsidRPr="009B4A73" w14:paraId="2744D5E1" w14:textId="77777777" w:rsidTr="0060424C">
        <w:tblPrEx>
          <w:jc w:val="left"/>
          <w:tblCellMar>
            <w:top w:w="11" w:type="dxa"/>
          </w:tblCellMar>
        </w:tblPrEx>
        <w:trPr>
          <w:trHeight w:val="227"/>
        </w:trPr>
        <w:tc>
          <w:tcPr>
            <w:tcW w:w="3407" w:type="dxa"/>
            <w:vMerge/>
            <w:tcBorders>
              <w:top w:val="nil"/>
              <w:left w:val="single" w:sz="4" w:space="0" w:color="000000"/>
              <w:bottom w:val="single" w:sz="4" w:space="0" w:color="000000"/>
              <w:right w:val="single" w:sz="4" w:space="0" w:color="000000"/>
            </w:tcBorders>
          </w:tcPr>
          <w:p w14:paraId="3471CF24"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0D246123" w14:textId="77777777" w:rsidR="00D92EBC" w:rsidRPr="009B4A73" w:rsidRDefault="0078763F" w:rsidP="00DB5E06">
            <w:pPr>
              <w:spacing w:after="0" w:line="240" w:lineRule="auto"/>
              <w:ind w:left="62" w:firstLine="0"/>
              <w:rPr>
                <w:sz w:val="22"/>
              </w:rPr>
            </w:pPr>
            <w:r w:rsidRPr="009B4A73">
              <w:rPr>
                <w:sz w:val="22"/>
              </w:rPr>
              <w:t xml:space="preserve">Retinal haemorrhage </w:t>
            </w:r>
          </w:p>
        </w:tc>
        <w:tc>
          <w:tcPr>
            <w:tcW w:w="1857" w:type="dxa"/>
            <w:tcBorders>
              <w:top w:val="single" w:sz="4" w:space="0" w:color="000000"/>
              <w:left w:val="single" w:sz="4" w:space="0" w:color="000000"/>
              <w:bottom w:val="single" w:sz="4" w:space="0" w:color="000000"/>
              <w:right w:val="single" w:sz="4" w:space="0" w:color="000000"/>
            </w:tcBorders>
          </w:tcPr>
          <w:p w14:paraId="47AF3303" w14:textId="77777777" w:rsidR="00D92EBC" w:rsidRPr="009B4A73" w:rsidRDefault="0078763F" w:rsidP="00174DA5">
            <w:pPr>
              <w:spacing w:after="0" w:line="240" w:lineRule="auto"/>
              <w:ind w:left="88" w:firstLine="0"/>
              <w:rPr>
                <w:sz w:val="22"/>
              </w:rPr>
            </w:pPr>
            <w:r w:rsidRPr="009B4A73">
              <w:rPr>
                <w:sz w:val="22"/>
              </w:rPr>
              <w:t xml:space="preserve">Not known </w:t>
            </w:r>
          </w:p>
        </w:tc>
      </w:tr>
      <w:tr w:rsidR="00174DA5" w:rsidRPr="009B4A73" w14:paraId="51DFF5BF" w14:textId="77777777" w:rsidTr="0060424C">
        <w:tblPrEx>
          <w:jc w:val="left"/>
          <w:tblCellMar>
            <w:top w:w="11" w:type="dxa"/>
          </w:tblCellMar>
        </w:tblPrEx>
        <w:trPr>
          <w:trHeight w:val="227"/>
        </w:trPr>
        <w:tc>
          <w:tcPr>
            <w:tcW w:w="3407" w:type="dxa"/>
            <w:tcBorders>
              <w:top w:val="single" w:sz="4" w:space="0" w:color="000000"/>
              <w:left w:val="single" w:sz="4" w:space="0" w:color="000000"/>
              <w:bottom w:val="single" w:sz="4" w:space="0" w:color="000000"/>
              <w:right w:val="single" w:sz="4" w:space="0" w:color="000000"/>
            </w:tcBorders>
          </w:tcPr>
          <w:p w14:paraId="16CDDFC6" w14:textId="77777777" w:rsidR="00D92EBC" w:rsidRPr="009B4A73" w:rsidRDefault="0078763F" w:rsidP="00174DA5">
            <w:pPr>
              <w:spacing w:after="0" w:line="240" w:lineRule="auto"/>
              <w:ind w:left="222" w:firstLine="0"/>
              <w:rPr>
                <w:sz w:val="22"/>
              </w:rPr>
            </w:pPr>
            <w:r w:rsidRPr="009B4A73">
              <w:rPr>
                <w:sz w:val="22"/>
              </w:rPr>
              <w:t xml:space="preserve">Ear and Labyrinth Disorders  </w:t>
            </w:r>
          </w:p>
        </w:tc>
        <w:tc>
          <w:tcPr>
            <w:tcW w:w="4243" w:type="dxa"/>
            <w:tcBorders>
              <w:top w:val="single" w:sz="4" w:space="0" w:color="000000"/>
              <w:left w:val="single" w:sz="4" w:space="0" w:color="000000"/>
              <w:bottom w:val="single" w:sz="4" w:space="0" w:color="000000"/>
              <w:right w:val="single" w:sz="4" w:space="0" w:color="000000"/>
            </w:tcBorders>
          </w:tcPr>
          <w:p w14:paraId="730E69E5" w14:textId="77777777" w:rsidR="00D92EBC" w:rsidRPr="009B4A73" w:rsidRDefault="0078763F" w:rsidP="00DB5E06">
            <w:pPr>
              <w:spacing w:after="0" w:line="240" w:lineRule="auto"/>
              <w:ind w:left="62" w:firstLine="0"/>
              <w:rPr>
                <w:sz w:val="22"/>
              </w:rPr>
            </w:pPr>
            <w:r w:rsidRPr="009B4A73">
              <w:rPr>
                <w:sz w:val="22"/>
              </w:rPr>
              <w:t xml:space="preserve">Deafness </w:t>
            </w:r>
          </w:p>
        </w:tc>
        <w:tc>
          <w:tcPr>
            <w:tcW w:w="1857" w:type="dxa"/>
            <w:tcBorders>
              <w:top w:val="single" w:sz="4" w:space="0" w:color="000000"/>
              <w:left w:val="single" w:sz="4" w:space="0" w:color="000000"/>
              <w:bottom w:val="single" w:sz="4" w:space="0" w:color="000000"/>
              <w:right w:val="single" w:sz="4" w:space="0" w:color="000000"/>
            </w:tcBorders>
          </w:tcPr>
          <w:p w14:paraId="0B017486" w14:textId="77777777" w:rsidR="00D92EBC" w:rsidRPr="009B4A73" w:rsidRDefault="0078763F" w:rsidP="00174DA5">
            <w:pPr>
              <w:spacing w:after="0" w:line="240" w:lineRule="auto"/>
              <w:ind w:left="88" w:firstLine="0"/>
              <w:rPr>
                <w:sz w:val="22"/>
              </w:rPr>
            </w:pPr>
            <w:r w:rsidRPr="009B4A73">
              <w:rPr>
                <w:sz w:val="22"/>
              </w:rPr>
              <w:t xml:space="preserve">Uncommon </w:t>
            </w:r>
          </w:p>
        </w:tc>
      </w:tr>
      <w:tr w:rsidR="00174DA5" w:rsidRPr="009B4A73" w14:paraId="3993E296" w14:textId="77777777" w:rsidTr="0060424C">
        <w:tblPrEx>
          <w:jc w:val="left"/>
          <w:tblCellMar>
            <w:top w:w="11" w:type="dxa"/>
          </w:tblCellMar>
        </w:tblPrEx>
        <w:trPr>
          <w:trHeight w:val="227"/>
        </w:trPr>
        <w:tc>
          <w:tcPr>
            <w:tcW w:w="3407" w:type="dxa"/>
            <w:vMerge w:val="restart"/>
            <w:tcBorders>
              <w:top w:val="single" w:sz="4" w:space="0" w:color="000000"/>
              <w:left w:val="single" w:sz="4" w:space="0" w:color="000000"/>
              <w:bottom w:val="single" w:sz="4" w:space="0" w:color="000000"/>
              <w:right w:val="single" w:sz="4" w:space="0" w:color="000000"/>
            </w:tcBorders>
          </w:tcPr>
          <w:p w14:paraId="17E37BA7" w14:textId="77777777" w:rsidR="00D92EBC" w:rsidRPr="009B4A73" w:rsidRDefault="0078763F" w:rsidP="00174DA5">
            <w:pPr>
              <w:spacing w:after="0" w:line="240" w:lineRule="auto"/>
              <w:ind w:left="222" w:firstLine="0"/>
              <w:rPr>
                <w:sz w:val="22"/>
              </w:rPr>
            </w:pPr>
            <w:r w:rsidRPr="009B4A73">
              <w:rPr>
                <w:sz w:val="22"/>
              </w:rPr>
              <w:t xml:space="preserve">Cardiac disorders </w:t>
            </w:r>
          </w:p>
        </w:tc>
        <w:tc>
          <w:tcPr>
            <w:tcW w:w="4243" w:type="dxa"/>
            <w:tcBorders>
              <w:top w:val="single" w:sz="4" w:space="0" w:color="000000"/>
              <w:left w:val="single" w:sz="4" w:space="0" w:color="000000"/>
              <w:bottom w:val="single" w:sz="4" w:space="0" w:color="000000"/>
              <w:right w:val="single" w:sz="4" w:space="0" w:color="000000"/>
            </w:tcBorders>
          </w:tcPr>
          <w:p w14:paraId="0D0B724A" w14:textId="77777777" w:rsidR="00D92EBC" w:rsidRPr="009B4A73" w:rsidRDefault="0078763F" w:rsidP="00DB5E06">
            <w:pPr>
              <w:spacing w:after="0" w:line="240" w:lineRule="auto"/>
              <w:ind w:left="62" w:firstLine="0"/>
              <w:rPr>
                <w:sz w:val="22"/>
              </w:rPr>
            </w:pPr>
            <w:r w:rsidRPr="009B4A73">
              <w:rPr>
                <w:sz w:val="22"/>
                <w:vertAlign w:val="superscript"/>
              </w:rPr>
              <w:t>3</w:t>
            </w:r>
            <w:r w:rsidRPr="009B4A73">
              <w:rPr>
                <w:sz w:val="22"/>
              </w:rPr>
              <w:t xml:space="preserve">Blood pressure decreased </w:t>
            </w:r>
          </w:p>
        </w:tc>
        <w:tc>
          <w:tcPr>
            <w:tcW w:w="1857" w:type="dxa"/>
            <w:tcBorders>
              <w:top w:val="single" w:sz="4" w:space="0" w:color="000000"/>
              <w:left w:val="single" w:sz="4" w:space="0" w:color="000000"/>
              <w:bottom w:val="single" w:sz="4" w:space="0" w:color="000000"/>
              <w:right w:val="single" w:sz="4" w:space="0" w:color="000000"/>
            </w:tcBorders>
          </w:tcPr>
          <w:p w14:paraId="0B2C3257" w14:textId="77777777" w:rsidR="00D92EBC" w:rsidRPr="009B4A73" w:rsidRDefault="0078763F" w:rsidP="00174DA5">
            <w:pPr>
              <w:spacing w:after="0" w:line="240" w:lineRule="auto"/>
              <w:ind w:left="88" w:firstLine="0"/>
              <w:rPr>
                <w:sz w:val="22"/>
              </w:rPr>
            </w:pPr>
            <w:r w:rsidRPr="009B4A73">
              <w:rPr>
                <w:sz w:val="22"/>
              </w:rPr>
              <w:t>Very common</w:t>
            </w:r>
            <w:r w:rsidRPr="009B4A73">
              <w:rPr>
                <w:sz w:val="22"/>
                <w:vertAlign w:val="superscript"/>
              </w:rPr>
              <w:t xml:space="preserve"> </w:t>
            </w:r>
          </w:p>
        </w:tc>
      </w:tr>
      <w:tr w:rsidR="00174DA5" w:rsidRPr="009B4A73" w14:paraId="7B7DCF92"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79686A0F"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35B9ABEC" w14:textId="77777777" w:rsidR="00D92EBC" w:rsidRPr="009B4A73" w:rsidRDefault="0078763F" w:rsidP="00DB5E06">
            <w:pPr>
              <w:spacing w:after="0" w:line="240" w:lineRule="auto"/>
              <w:ind w:left="62" w:firstLine="0"/>
              <w:rPr>
                <w:sz w:val="22"/>
              </w:rPr>
            </w:pPr>
            <w:r w:rsidRPr="009B4A73">
              <w:rPr>
                <w:sz w:val="22"/>
                <w:vertAlign w:val="superscript"/>
              </w:rPr>
              <w:t>3</w:t>
            </w:r>
            <w:r w:rsidRPr="009B4A73">
              <w:rPr>
                <w:sz w:val="22"/>
              </w:rPr>
              <w:t xml:space="preserve">Blood pressure increased </w:t>
            </w:r>
          </w:p>
        </w:tc>
        <w:tc>
          <w:tcPr>
            <w:tcW w:w="1857" w:type="dxa"/>
            <w:tcBorders>
              <w:top w:val="single" w:sz="4" w:space="0" w:color="000000"/>
              <w:left w:val="single" w:sz="4" w:space="0" w:color="000000"/>
              <w:bottom w:val="single" w:sz="4" w:space="0" w:color="000000"/>
              <w:right w:val="single" w:sz="4" w:space="0" w:color="000000"/>
            </w:tcBorders>
          </w:tcPr>
          <w:p w14:paraId="2F055AEC" w14:textId="77777777" w:rsidR="00D92EBC" w:rsidRPr="009B4A73" w:rsidRDefault="0078763F" w:rsidP="00174DA5">
            <w:pPr>
              <w:spacing w:after="0" w:line="240" w:lineRule="auto"/>
              <w:ind w:left="88" w:firstLine="0"/>
              <w:rPr>
                <w:sz w:val="22"/>
              </w:rPr>
            </w:pPr>
            <w:r w:rsidRPr="009B4A73">
              <w:rPr>
                <w:sz w:val="22"/>
              </w:rPr>
              <w:t>Very common</w:t>
            </w:r>
            <w:r w:rsidRPr="009B4A73">
              <w:rPr>
                <w:sz w:val="22"/>
                <w:vertAlign w:val="superscript"/>
              </w:rPr>
              <w:t xml:space="preserve"> </w:t>
            </w:r>
          </w:p>
        </w:tc>
      </w:tr>
      <w:tr w:rsidR="00174DA5" w:rsidRPr="009B4A73" w14:paraId="513CA1B5"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24910AF4"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6B5DF04E" w14:textId="77777777" w:rsidR="00D92EBC" w:rsidRPr="009B4A73" w:rsidRDefault="0078763F" w:rsidP="00DB5E06">
            <w:pPr>
              <w:spacing w:after="0" w:line="240" w:lineRule="auto"/>
              <w:ind w:left="62" w:firstLine="0"/>
              <w:rPr>
                <w:sz w:val="22"/>
              </w:rPr>
            </w:pPr>
            <w:r w:rsidRPr="009B4A73">
              <w:rPr>
                <w:sz w:val="22"/>
                <w:vertAlign w:val="superscript"/>
              </w:rPr>
              <w:t>3</w:t>
            </w:r>
            <w:r w:rsidRPr="009B4A73">
              <w:rPr>
                <w:sz w:val="22"/>
              </w:rPr>
              <w:t xml:space="preserve">Heart beat irregular </w:t>
            </w:r>
          </w:p>
        </w:tc>
        <w:tc>
          <w:tcPr>
            <w:tcW w:w="1857" w:type="dxa"/>
            <w:tcBorders>
              <w:top w:val="single" w:sz="4" w:space="0" w:color="000000"/>
              <w:left w:val="single" w:sz="4" w:space="0" w:color="000000"/>
              <w:bottom w:val="single" w:sz="4" w:space="0" w:color="000000"/>
              <w:right w:val="single" w:sz="4" w:space="0" w:color="000000"/>
            </w:tcBorders>
          </w:tcPr>
          <w:p w14:paraId="0DD8CCFC" w14:textId="77777777" w:rsidR="00D92EBC" w:rsidRPr="009B4A73" w:rsidRDefault="0078763F" w:rsidP="00174DA5">
            <w:pPr>
              <w:spacing w:after="0" w:line="240" w:lineRule="auto"/>
              <w:ind w:left="88" w:firstLine="0"/>
              <w:rPr>
                <w:sz w:val="22"/>
              </w:rPr>
            </w:pPr>
            <w:r w:rsidRPr="009B4A73">
              <w:rPr>
                <w:sz w:val="22"/>
              </w:rPr>
              <w:t>Very common</w:t>
            </w:r>
            <w:r w:rsidRPr="009B4A73">
              <w:rPr>
                <w:sz w:val="22"/>
                <w:vertAlign w:val="superscript"/>
              </w:rPr>
              <w:t xml:space="preserve"> </w:t>
            </w:r>
          </w:p>
        </w:tc>
      </w:tr>
      <w:tr w:rsidR="00174DA5" w:rsidRPr="009B4A73" w14:paraId="58D4A4EB"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1E148582"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14527D28" w14:textId="77777777" w:rsidR="00D92EBC" w:rsidRPr="009B4A73" w:rsidRDefault="0078763F" w:rsidP="00DB5E06">
            <w:pPr>
              <w:spacing w:after="0" w:line="240" w:lineRule="auto"/>
              <w:ind w:left="62" w:firstLine="0"/>
              <w:rPr>
                <w:sz w:val="22"/>
              </w:rPr>
            </w:pPr>
            <w:r w:rsidRPr="009B4A73">
              <w:rPr>
                <w:sz w:val="22"/>
                <w:vertAlign w:val="superscript"/>
              </w:rPr>
              <w:t>3</w:t>
            </w:r>
            <w:r w:rsidRPr="009B4A73">
              <w:rPr>
                <w:sz w:val="22"/>
              </w:rPr>
              <w:t xml:space="preserve">Palpitation </w:t>
            </w:r>
          </w:p>
        </w:tc>
        <w:tc>
          <w:tcPr>
            <w:tcW w:w="1857" w:type="dxa"/>
            <w:tcBorders>
              <w:top w:val="single" w:sz="4" w:space="0" w:color="000000"/>
              <w:left w:val="single" w:sz="4" w:space="0" w:color="000000"/>
              <w:bottom w:val="single" w:sz="4" w:space="0" w:color="000000"/>
              <w:right w:val="single" w:sz="4" w:space="0" w:color="000000"/>
            </w:tcBorders>
          </w:tcPr>
          <w:p w14:paraId="3B983276"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1F691B72"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70C7B338"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3833621B" w14:textId="77777777" w:rsidR="00D92EBC" w:rsidRPr="009B4A73" w:rsidRDefault="0078763F" w:rsidP="00DB5E06">
            <w:pPr>
              <w:spacing w:after="0" w:line="240" w:lineRule="auto"/>
              <w:ind w:left="62" w:firstLine="0"/>
              <w:rPr>
                <w:sz w:val="22"/>
              </w:rPr>
            </w:pPr>
            <w:r w:rsidRPr="009B4A73">
              <w:rPr>
                <w:sz w:val="22"/>
                <w:vertAlign w:val="superscript"/>
              </w:rPr>
              <w:t>3</w:t>
            </w:r>
            <w:r w:rsidRPr="009B4A73">
              <w:rPr>
                <w:sz w:val="22"/>
              </w:rPr>
              <w:t xml:space="preserve">Cardiac flutter </w:t>
            </w:r>
          </w:p>
        </w:tc>
        <w:tc>
          <w:tcPr>
            <w:tcW w:w="1857" w:type="dxa"/>
            <w:tcBorders>
              <w:top w:val="single" w:sz="4" w:space="0" w:color="000000"/>
              <w:left w:val="single" w:sz="4" w:space="0" w:color="000000"/>
              <w:bottom w:val="single" w:sz="4" w:space="0" w:color="000000"/>
              <w:right w:val="single" w:sz="4" w:space="0" w:color="000000"/>
            </w:tcBorders>
          </w:tcPr>
          <w:p w14:paraId="26477BE7"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1425F85E"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1E4EA5AE"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4A36BFB4" w14:textId="77777777" w:rsidR="00D92EBC" w:rsidRPr="009B4A73" w:rsidRDefault="0078763F" w:rsidP="00DB5E06">
            <w:pPr>
              <w:spacing w:after="0" w:line="240" w:lineRule="auto"/>
              <w:ind w:left="62" w:firstLine="0"/>
              <w:rPr>
                <w:sz w:val="22"/>
              </w:rPr>
            </w:pPr>
            <w:r w:rsidRPr="009B4A73">
              <w:rPr>
                <w:sz w:val="22"/>
                <w:vertAlign w:val="superscript"/>
              </w:rPr>
              <w:t>4</w:t>
            </w:r>
            <w:r w:rsidRPr="009B4A73">
              <w:rPr>
                <w:sz w:val="22"/>
              </w:rPr>
              <w:t>Ejection fraction decreased</w:t>
            </w:r>
            <w:r w:rsidRPr="009B4A73">
              <w:rPr>
                <w:sz w:val="22"/>
                <w:vertAlign w:val="superscript"/>
              </w:rPr>
              <w:t xml:space="preserve"> </w:t>
            </w:r>
          </w:p>
        </w:tc>
        <w:tc>
          <w:tcPr>
            <w:tcW w:w="1857" w:type="dxa"/>
            <w:tcBorders>
              <w:top w:val="single" w:sz="4" w:space="0" w:color="000000"/>
              <w:left w:val="single" w:sz="4" w:space="0" w:color="000000"/>
              <w:bottom w:val="single" w:sz="4" w:space="0" w:color="000000"/>
              <w:right w:val="single" w:sz="4" w:space="0" w:color="000000"/>
            </w:tcBorders>
          </w:tcPr>
          <w:p w14:paraId="31653EC6"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008648F7" w14:textId="77777777" w:rsidTr="0060424C">
        <w:tblPrEx>
          <w:jc w:val="left"/>
          <w:tblCellMar>
            <w:top w:w="11" w:type="dxa"/>
          </w:tblCellMar>
        </w:tblPrEx>
        <w:trPr>
          <w:trHeight w:val="227"/>
        </w:trPr>
        <w:tc>
          <w:tcPr>
            <w:tcW w:w="3407" w:type="dxa"/>
            <w:vMerge/>
            <w:tcBorders>
              <w:top w:val="nil"/>
              <w:left w:val="single" w:sz="4" w:space="0" w:color="000000"/>
              <w:bottom w:val="single" w:sz="4" w:space="0" w:color="000000"/>
              <w:right w:val="single" w:sz="4" w:space="0" w:color="000000"/>
            </w:tcBorders>
          </w:tcPr>
          <w:p w14:paraId="0FB5D7BD"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4E2219DE" w14:textId="77777777" w:rsidR="00D92EBC" w:rsidRPr="009B4A73" w:rsidRDefault="0078763F" w:rsidP="00DB5E06">
            <w:pPr>
              <w:spacing w:after="0" w:line="240" w:lineRule="auto"/>
              <w:ind w:left="62" w:firstLine="0"/>
              <w:rPr>
                <w:sz w:val="22"/>
              </w:rPr>
            </w:pPr>
            <w:r w:rsidRPr="009B4A73">
              <w:rPr>
                <w:sz w:val="22"/>
                <w:vertAlign w:val="superscript"/>
              </w:rPr>
              <w:t>2</w:t>
            </w:r>
            <w:r w:rsidRPr="009B4A73">
              <w:rPr>
                <w:sz w:val="22"/>
              </w:rPr>
              <w:t xml:space="preserve">Cardiac failure (congestive) </w:t>
            </w:r>
          </w:p>
        </w:tc>
        <w:tc>
          <w:tcPr>
            <w:tcW w:w="1857" w:type="dxa"/>
            <w:tcBorders>
              <w:top w:val="single" w:sz="4" w:space="0" w:color="000000"/>
              <w:left w:val="single" w:sz="4" w:space="0" w:color="000000"/>
              <w:bottom w:val="single" w:sz="4" w:space="0" w:color="000000"/>
              <w:right w:val="single" w:sz="4" w:space="0" w:color="000000"/>
            </w:tcBorders>
          </w:tcPr>
          <w:p w14:paraId="0D4739EF"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174DA5" w:rsidRPr="009B4A73" w14:paraId="4B06CAB3" w14:textId="77777777" w:rsidTr="0060424C">
        <w:tblPrEx>
          <w:jc w:val="left"/>
          <w:tblCellMar>
            <w:top w:w="11" w:type="dxa"/>
          </w:tblCellMar>
        </w:tblPrEx>
        <w:trPr>
          <w:trHeight w:val="227"/>
        </w:trPr>
        <w:tc>
          <w:tcPr>
            <w:tcW w:w="3407" w:type="dxa"/>
            <w:vMerge w:val="restart"/>
            <w:tcBorders>
              <w:top w:val="single" w:sz="4" w:space="0" w:color="000000"/>
              <w:left w:val="single" w:sz="4" w:space="0" w:color="000000"/>
              <w:bottom w:val="single" w:sz="4" w:space="0" w:color="000000"/>
              <w:right w:val="single" w:sz="4" w:space="0" w:color="000000"/>
            </w:tcBorders>
          </w:tcPr>
          <w:p w14:paraId="5D0B0012"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0A0E9F1D" w14:textId="77777777" w:rsidR="00D92EBC" w:rsidRPr="009B4A73" w:rsidRDefault="0078763F" w:rsidP="00DB5E06">
            <w:pPr>
              <w:spacing w:after="0" w:line="240" w:lineRule="auto"/>
              <w:ind w:left="62" w:firstLine="0"/>
              <w:rPr>
                <w:sz w:val="22"/>
              </w:rPr>
            </w:pPr>
            <w:r w:rsidRPr="009B4A73">
              <w:rPr>
                <w:sz w:val="22"/>
                <w:vertAlign w:val="superscript"/>
              </w:rPr>
              <w:t>2,3</w:t>
            </w:r>
            <w:r w:rsidRPr="009B4A73">
              <w:rPr>
                <w:sz w:val="22"/>
              </w:rPr>
              <w:t xml:space="preserve">Supraventricular tachyarrhythmia </w:t>
            </w:r>
          </w:p>
        </w:tc>
        <w:tc>
          <w:tcPr>
            <w:tcW w:w="1857" w:type="dxa"/>
            <w:tcBorders>
              <w:top w:val="single" w:sz="4" w:space="0" w:color="000000"/>
              <w:left w:val="single" w:sz="4" w:space="0" w:color="000000"/>
              <w:bottom w:val="single" w:sz="4" w:space="0" w:color="000000"/>
              <w:right w:val="single" w:sz="4" w:space="0" w:color="000000"/>
            </w:tcBorders>
          </w:tcPr>
          <w:p w14:paraId="6DFAD694"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174DA5" w:rsidRPr="009B4A73" w14:paraId="6942849C"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5E9B1442"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7E652301" w14:textId="77777777" w:rsidR="00D92EBC" w:rsidRPr="009B4A73" w:rsidRDefault="0078763F" w:rsidP="00DB5E06">
            <w:pPr>
              <w:spacing w:after="0" w:line="240" w:lineRule="auto"/>
              <w:ind w:left="62" w:firstLine="0"/>
              <w:rPr>
                <w:sz w:val="22"/>
              </w:rPr>
            </w:pPr>
            <w:r w:rsidRPr="009B4A73">
              <w:rPr>
                <w:sz w:val="22"/>
              </w:rPr>
              <w:t xml:space="preserve">Cardiomyopathy </w:t>
            </w:r>
          </w:p>
        </w:tc>
        <w:tc>
          <w:tcPr>
            <w:tcW w:w="1857" w:type="dxa"/>
            <w:tcBorders>
              <w:top w:val="single" w:sz="4" w:space="0" w:color="000000"/>
              <w:left w:val="single" w:sz="4" w:space="0" w:color="000000"/>
              <w:bottom w:val="single" w:sz="4" w:space="0" w:color="000000"/>
              <w:right w:val="single" w:sz="4" w:space="0" w:color="000000"/>
            </w:tcBorders>
          </w:tcPr>
          <w:p w14:paraId="08FCE74F"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174DA5" w:rsidRPr="009B4A73" w14:paraId="16486174"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37E63661"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15C0FBAF" w14:textId="77777777" w:rsidR="00D92EBC" w:rsidRPr="009B4A73" w:rsidRDefault="0078763F" w:rsidP="00DB5E06">
            <w:pPr>
              <w:spacing w:after="0" w:line="240" w:lineRule="auto"/>
              <w:ind w:left="62" w:firstLine="0"/>
              <w:rPr>
                <w:sz w:val="22"/>
              </w:rPr>
            </w:pPr>
            <w:r w:rsidRPr="009B4A73">
              <w:rPr>
                <w:sz w:val="22"/>
              </w:rPr>
              <w:t xml:space="preserve">Pericardial effusion </w:t>
            </w:r>
          </w:p>
        </w:tc>
        <w:tc>
          <w:tcPr>
            <w:tcW w:w="1857" w:type="dxa"/>
            <w:tcBorders>
              <w:top w:val="single" w:sz="4" w:space="0" w:color="000000"/>
              <w:left w:val="single" w:sz="4" w:space="0" w:color="000000"/>
              <w:bottom w:val="single" w:sz="4" w:space="0" w:color="000000"/>
              <w:right w:val="single" w:sz="4" w:space="0" w:color="000000"/>
            </w:tcBorders>
          </w:tcPr>
          <w:p w14:paraId="27843740" w14:textId="77777777" w:rsidR="00D92EBC" w:rsidRPr="009B4A73" w:rsidRDefault="0078763F" w:rsidP="00174DA5">
            <w:pPr>
              <w:spacing w:after="0" w:line="240" w:lineRule="auto"/>
              <w:ind w:left="88" w:firstLine="0"/>
              <w:rPr>
                <w:sz w:val="22"/>
              </w:rPr>
            </w:pPr>
            <w:r w:rsidRPr="009B4A73">
              <w:rPr>
                <w:sz w:val="22"/>
              </w:rPr>
              <w:t xml:space="preserve">Uncommon </w:t>
            </w:r>
          </w:p>
        </w:tc>
      </w:tr>
      <w:tr w:rsidR="00174DA5" w:rsidRPr="009B4A73" w14:paraId="7E1D37F2"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71CF5264"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3998A975" w14:textId="77777777" w:rsidR="00D92EBC" w:rsidRPr="009B4A73" w:rsidRDefault="0078763F" w:rsidP="00DB5E06">
            <w:pPr>
              <w:spacing w:after="0" w:line="240" w:lineRule="auto"/>
              <w:ind w:left="62" w:firstLine="0"/>
              <w:rPr>
                <w:sz w:val="22"/>
              </w:rPr>
            </w:pPr>
            <w:r w:rsidRPr="009B4A73">
              <w:rPr>
                <w:sz w:val="22"/>
              </w:rPr>
              <w:t xml:space="preserve">Cardiogenic shock </w:t>
            </w:r>
          </w:p>
        </w:tc>
        <w:tc>
          <w:tcPr>
            <w:tcW w:w="1857" w:type="dxa"/>
            <w:tcBorders>
              <w:top w:val="single" w:sz="4" w:space="0" w:color="000000"/>
              <w:left w:val="single" w:sz="4" w:space="0" w:color="000000"/>
              <w:bottom w:val="single" w:sz="4" w:space="0" w:color="000000"/>
              <w:right w:val="single" w:sz="4" w:space="0" w:color="000000"/>
            </w:tcBorders>
          </w:tcPr>
          <w:p w14:paraId="30A9D355" w14:textId="77777777" w:rsidR="00D92EBC" w:rsidRPr="009B4A73" w:rsidRDefault="0078763F" w:rsidP="00174DA5">
            <w:pPr>
              <w:spacing w:after="0" w:line="240" w:lineRule="auto"/>
              <w:ind w:left="88" w:firstLine="0"/>
              <w:rPr>
                <w:sz w:val="22"/>
              </w:rPr>
            </w:pPr>
            <w:r w:rsidRPr="009B4A73">
              <w:rPr>
                <w:sz w:val="22"/>
              </w:rPr>
              <w:t xml:space="preserve">Not known </w:t>
            </w:r>
          </w:p>
        </w:tc>
      </w:tr>
      <w:tr w:rsidR="00174DA5" w:rsidRPr="009B4A73" w14:paraId="1CEE5C66"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41F83779"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6A7500D6" w14:textId="77777777" w:rsidR="00D92EBC" w:rsidRPr="009B4A73" w:rsidRDefault="0078763F" w:rsidP="00DB5E06">
            <w:pPr>
              <w:spacing w:after="0" w:line="240" w:lineRule="auto"/>
              <w:ind w:left="62" w:firstLine="0"/>
              <w:rPr>
                <w:sz w:val="22"/>
              </w:rPr>
            </w:pPr>
            <w:r w:rsidRPr="009B4A73">
              <w:rPr>
                <w:sz w:val="22"/>
              </w:rPr>
              <w:t xml:space="preserve">Pericarditis </w:t>
            </w:r>
          </w:p>
        </w:tc>
        <w:tc>
          <w:tcPr>
            <w:tcW w:w="1857" w:type="dxa"/>
            <w:tcBorders>
              <w:top w:val="single" w:sz="4" w:space="0" w:color="000000"/>
              <w:left w:val="single" w:sz="4" w:space="0" w:color="000000"/>
              <w:bottom w:val="single" w:sz="4" w:space="0" w:color="000000"/>
              <w:right w:val="single" w:sz="4" w:space="0" w:color="000000"/>
            </w:tcBorders>
          </w:tcPr>
          <w:p w14:paraId="25ADF074" w14:textId="77777777" w:rsidR="00D92EBC" w:rsidRPr="009B4A73" w:rsidRDefault="0078763F" w:rsidP="00174DA5">
            <w:pPr>
              <w:spacing w:after="0" w:line="240" w:lineRule="auto"/>
              <w:ind w:left="88" w:firstLine="0"/>
              <w:rPr>
                <w:sz w:val="22"/>
              </w:rPr>
            </w:pPr>
            <w:r w:rsidRPr="009B4A73">
              <w:rPr>
                <w:sz w:val="22"/>
              </w:rPr>
              <w:t xml:space="preserve">Not known </w:t>
            </w:r>
          </w:p>
        </w:tc>
      </w:tr>
      <w:tr w:rsidR="00174DA5" w:rsidRPr="009B4A73" w14:paraId="4EA056CF"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7F5B68C0"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70CE9AB0" w14:textId="77777777" w:rsidR="00D92EBC" w:rsidRPr="009B4A73" w:rsidRDefault="0078763F" w:rsidP="00DB5E06">
            <w:pPr>
              <w:spacing w:after="0" w:line="240" w:lineRule="auto"/>
              <w:ind w:left="62" w:firstLine="0"/>
              <w:rPr>
                <w:sz w:val="22"/>
              </w:rPr>
            </w:pPr>
            <w:r w:rsidRPr="009B4A73">
              <w:rPr>
                <w:sz w:val="22"/>
              </w:rPr>
              <w:t>Bradycardia</w:t>
            </w:r>
            <w:r w:rsidRPr="009B4A73">
              <w:rPr>
                <w:sz w:val="22"/>
                <w:vertAlign w:val="superscript"/>
              </w:rPr>
              <w:t xml:space="preserve"> </w:t>
            </w:r>
          </w:p>
        </w:tc>
        <w:tc>
          <w:tcPr>
            <w:tcW w:w="1857" w:type="dxa"/>
            <w:tcBorders>
              <w:top w:val="single" w:sz="4" w:space="0" w:color="000000"/>
              <w:left w:val="single" w:sz="4" w:space="0" w:color="000000"/>
              <w:bottom w:val="single" w:sz="4" w:space="0" w:color="000000"/>
              <w:right w:val="single" w:sz="4" w:space="0" w:color="000000"/>
            </w:tcBorders>
          </w:tcPr>
          <w:p w14:paraId="41114567" w14:textId="77777777" w:rsidR="00D92EBC" w:rsidRPr="009B4A73" w:rsidRDefault="0078763F" w:rsidP="00174DA5">
            <w:pPr>
              <w:spacing w:after="0" w:line="240" w:lineRule="auto"/>
              <w:ind w:left="88" w:firstLine="0"/>
              <w:rPr>
                <w:sz w:val="22"/>
              </w:rPr>
            </w:pPr>
            <w:r w:rsidRPr="009B4A73">
              <w:rPr>
                <w:sz w:val="22"/>
              </w:rPr>
              <w:t xml:space="preserve">Not known </w:t>
            </w:r>
          </w:p>
        </w:tc>
      </w:tr>
      <w:tr w:rsidR="00174DA5" w:rsidRPr="009B4A73" w14:paraId="3DEAB97A" w14:textId="77777777" w:rsidTr="0060424C">
        <w:tblPrEx>
          <w:jc w:val="left"/>
          <w:tblCellMar>
            <w:top w:w="11" w:type="dxa"/>
          </w:tblCellMar>
        </w:tblPrEx>
        <w:trPr>
          <w:trHeight w:val="227"/>
        </w:trPr>
        <w:tc>
          <w:tcPr>
            <w:tcW w:w="3407" w:type="dxa"/>
            <w:vMerge/>
            <w:tcBorders>
              <w:top w:val="nil"/>
              <w:left w:val="single" w:sz="4" w:space="0" w:color="000000"/>
              <w:bottom w:val="single" w:sz="4" w:space="0" w:color="000000"/>
              <w:right w:val="single" w:sz="4" w:space="0" w:color="000000"/>
            </w:tcBorders>
          </w:tcPr>
          <w:p w14:paraId="782F2D98"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44F51DB9" w14:textId="77777777" w:rsidR="00D92EBC" w:rsidRPr="009B4A73" w:rsidRDefault="0078763F" w:rsidP="00DB5E06">
            <w:pPr>
              <w:spacing w:after="0" w:line="240" w:lineRule="auto"/>
              <w:ind w:left="62" w:firstLine="0"/>
              <w:rPr>
                <w:sz w:val="22"/>
              </w:rPr>
            </w:pPr>
            <w:r w:rsidRPr="009B4A73">
              <w:rPr>
                <w:sz w:val="22"/>
              </w:rPr>
              <w:t xml:space="preserve">Gallop rhythm present </w:t>
            </w:r>
          </w:p>
        </w:tc>
        <w:tc>
          <w:tcPr>
            <w:tcW w:w="1857" w:type="dxa"/>
            <w:tcBorders>
              <w:top w:val="single" w:sz="4" w:space="0" w:color="000000"/>
              <w:left w:val="single" w:sz="4" w:space="0" w:color="000000"/>
              <w:bottom w:val="single" w:sz="4" w:space="0" w:color="000000"/>
              <w:right w:val="single" w:sz="4" w:space="0" w:color="000000"/>
            </w:tcBorders>
          </w:tcPr>
          <w:p w14:paraId="0A8225A4" w14:textId="77777777" w:rsidR="00D92EBC" w:rsidRPr="009B4A73" w:rsidRDefault="0078763F" w:rsidP="00174DA5">
            <w:pPr>
              <w:spacing w:after="0" w:line="240" w:lineRule="auto"/>
              <w:ind w:left="88" w:firstLine="0"/>
              <w:rPr>
                <w:sz w:val="22"/>
              </w:rPr>
            </w:pPr>
            <w:r w:rsidRPr="009B4A73">
              <w:rPr>
                <w:sz w:val="22"/>
              </w:rPr>
              <w:t xml:space="preserve">Not known </w:t>
            </w:r>
          </w:p>
        </w:tc>
      </w:tr>
      <w:tr w:rsidR="00174DA5" w:rsidRPr="009B4A73" w14:paraId="571AA49F" w14:textId="77777777" w:rsidTr="0060424C">
        <w:tblPrEx>
          <w:jc w:val="left"/>
          <w:tblCellMar>
            <w:top w:w="11" w:type="dxa"/>
          </w:tblCellMar>
        </w:tblPrEx>
        <w:trPr>
          <w:trHeight w:val="227"/>
        </w:trPr>
        <w:tc>
          <w:tcPr>
            <w:tcW w:w="3407" w:type="dxa"/>
            <w:vMerge w:val="restart"/>
            <w:tcBorders>
              <w:top w:val="single" w:sz="4" w:space="0" w:color="000000"/>
              <w:left w:val="single" w:sz="4" w:space="0" w:color="000000"/>
              <w:bottom w:val="single" w:sz="4" w:space="0" w:color="000000"/>
              <w:right w:val="single" w:sz="4" w:space="0" w:color="000000"/>
            </w:tcBorders>
          </w:tcPr>
          <w:p w14:paraId="70DA604C" w14:textId="77777777" w:rsidR="00D92EBC" w:rsidRPr="009B4A73" w:rsidRDefault="0078763F" w:rsidP="00174DA5">
            <w:pPr>
              <w:spacing w:after="57" w:line="240" w:lineRule="auto"/>
              <w:ind w:left="222" w:firstLine="0"/>
              <w:rPr>
                <w:sz w:val="22"/>
              </w:rPr>
            </w:pPr>
            <w:r w:rsidRPr="009B4A73">
              <w:rPr>
                <w:sz w:val="22"/>
              </w:rPr>
              <w:t xml:space="preserve">Vascular disorders </w:t>
            </w:r>
          </w:p>
          <w:p w14:paraId="04AD41CB" w14:textId="77777777" w:rsidR="00D92EBC" w:rsidRPr="009B4A73" w:rsidRDefault="0078763F" w:rsidP="00174DA5">
            <w:pPr>
              <w:spacing w:after="57" w:line="240" w:lineRule="auto"/>
              <w:ind w:left="222" w:firstLine="0"/>
              <w:rPr>
                <w:sz w:val="22"/>
              </w:rPr>
            </w:pPr>
            <w:r w:rsidRPr="009B4A73">
              <w:rPr>
                <w:sz w:val="22"/>
              </w:rPr>
              <w:t xml:space="preserve"> </w:t>
            </w:r>
          </w:p>
          <w:p w14:paraId="05C1B7BB" w14:textId="77777777" w:rsidR="00D92EBC" w:rsidRPr="009B4A73" w:rsidRDefault="0078763F" w:rsidP="00174DA5">
            <w:pPr>
              <w:spacing w:after="0" w:line="240" w:lineRule="auto"/>
              <w:ind w:left="222" w:firstLine="0"/>
              <w:rPr>
                <w:sz w:val="22"/>
              </w:rPr>
            </w:pPr>
            <w:r w:rsidRPr="009B4A73">
              <w:rPr>
                <w:sz w:val="22"/>
              </w:rPr>
              <w:t xml:space="preserve"> </w:t>
            </w:r>
          </w:p>
        </w:tc>
        <w:tc>
          <w:tcPr>
            <w:tcW w:w="4243" w:type="dxa"/>
            <w:tcBorders>
              <w:top w:val="single" w:sz="4" w:space="0" w:color="000000"/>
              <w:left w:val="single" w:sz="4" w:space="0" w:color="000000"/>
              <w:bottom w:val="single" w:sz="4" w:space="0" w:color="000000"/>
              <w:right w:val="single" w:sz="4" w:space="0" w:color="000000"/>
            </w:tcBorders>
          </w:tcPr>
          <w:p w14:paraId="73B23023" w14:textId="77777777" w:rsidR="00D92EBC" w:rsidRPr="009B4A73" w:rsidRDefault="0078763F" w:rsidP="00DB5E06">
            <w:pPr>
              <w:spacing w:after="0" w:line="240" w:lineRule="auto"/>
              <w:ind w:left="62" w:firstLine="0"/>
              <w:rPr>
                <w:sz w:val="22"/>
              </w:rPr>
            </w:pPr>
            <w:r w:rsidRPr="009B4A73">
              <w:rPr>
                <w:sz w:val="22"/>
              </w:rPr>
              <w:t xml:space="preserve">Lymphoedema </w:t>
            </w:r>
          </w:p>
        </w:tc>
        <w:tc>
          <w:tcPr>
            <w:tcW w:w="1857" w:type="dxa"/>
            <w:tcBorders>
              <w:top w:val="single" w:sz="4" w:space="0" w:color="000000"/>
              <w:left w:val="single" w:sz="4" w:space="0" w:color="000000"/>
              <w:bottom w:val="single" w:sz="4" w:space="0" w:color="000000"/>
              <w:right w:val="single" w:sz="4" w:space="0" w:color="000000"/>
            </w:tcBorders>
          </w:tcPr>
          <w:p w14:paraId="15ED9931"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485E8510"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342A4DF7"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55FDCD47" w14:textId="77777777" w:rsidR="00D92EBC" w:rsidRPr="009B4A73" w:rsidRDefault="0078763F" w:rsidP="00DB5E06">
            <w:pPr>
              <w:spacing w:after="0" w:line="240" w:lineRule="auto"/>
              <w:ind w:left="62" w:firstLine="0"/>
              <w:rPr>
                <w:sz w:val="22"/>
              </w:rPr>
            </w:pPr>
            <w:r w:rsidRPr="009B4A73">
              <w:rPr>
                <w:sz w:val="22"/>
              </w:rPr>
              <w:t>Hot flush</w:t>
            </w:r>
            <w:r w:rsidRPr="009B4A73">
              <w:rPr>
                <w:sz w:val="22"/>
                <w:vertAlign w:val="superscript"/>
              </w:rPr>
              <w:t xml:space="preserve"> </w:t>
            </w:r>
          </w:p>
        </w:tc>
        <w:tc>
          <w:tcPr>
            <w:tcW w:w="1857" w:type="dxa"/>
            <w:tcBorders>
              <w:top w:val="single" w:sz="4" w:space="0" w:color="000000"/>
              <w:left w:val="single" w:sz="4" w:space="0" w:color="000000"/>
              <w:bottom w:val="single" w:sz="4" w:space="0" w:color="000000"/>
              <w:right w:val="single" w:sz="4" w:space="0" w:color="000000"/>
            </w:tcBorders>
          </w:tcPr>
          <w:p w14:paraId="04B900C0"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03C3693A"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6D23A34E"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0B3CE824" w14:textId="77777777" w:rsidR="00D92EBC" w:rsidRPr="009B4A73" w:rsidRDefault="0078763F" w:rsidP="00DB5E06">
            <w:pPr>
              <w:spacing w:after="0" w:line="240" w:lineRule="auto"/>
              <w:ind w:left="62" w:firstLine="0"/>
              <w:rPr>
                <w:sz w:val="22"/>
              </w:rPr>
            </w:pPr>
            <w:r w:rsidRPr="009B4A73">
              <w:rPr>
                <w:sz w:val="22"/>
                <w:vertAlign w:val="superscript"/>
              </w:rPr>
              <w:t>2,3</w:t>
            </w:r>
            <w:r w:rsidRPr="009B4A73">
              <w:rPr>
                <w:sz w:val="22"/>
              </w:rPr>
              <w:t xml:space="preserve">Hypotension </w:t>
            </w:r>
          </w:p>
        </w:tc>
        <w:tc>
          <w:tcPr>
            <w:tcW w:w="1857" w:type="dxa"/>
            <w:tcBorders>
              <w:top w:val="single" w:sz="4" w:space="0" w:color="000000"/>
              <w:left w:val="single" w:sz="4" w:space="0" w:color="000000"/>
              <w:bottom w:val="single" w:sz="4" w:space="0" w:color="000000"/>
              <w:right w:val="single" w:sz="4" w:space="0" w:color="000000"/>
            </w:tcBorders>
          </w:tcPr>
          <w:p w14:paraId="3AA269D8"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174DA5" w:rsidRPr="009B4A73" w14:paraId="24A408DE"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7AA87CCE"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2CC8E785" w14:textId="77777777" w:rsidR="00D92EBC" w:rsidRPr="009B4A73" w:rsidRDefault="0078763F" w:rsidP="00DB5E06">
            <w:pPr>
              <w:spacing w:after="0" w:line="240" w:lineRule="auto"/>
              <w:ind w:left="62" w:firstLine="0"/>
              <w:rPr>
                <w:sz w:val="22"/>
              </w:rPr>
            </w:pPr>
            <w:r w:rsidRPr="009B4A73">
              <w:rPr>
                <w:sz w:val="22"/>
              </w:rPr>
              <w:t xml:space="preserve">Hypertension </w:t>
            </w:r>
          </w:p>
        </w:tc>
        <w:tc>
          <w:tcPr>
            <w:tcW w:w="1857" w:type="dxa"/>
            <w:tcBorders>
              <w:top w:val="single" w:sz="4" w:space="0" w:color="000000"/>
              <w:left w:val="single" w:sz="4" w:space="0" w:color="000000"/>
              <w:bottom w:val="single" w:sz="4" w:space="0" w:color="000000"/>
              <w:right w:val="single" w:sz="4" w:space="0" w:color="000000"/>
            </w:tcBorders>
          </w:tcPr>
          <w:p w14:paraId="32669662"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174DA5" w:rsidRPr="009B4A73" w14:paraId="45CCD4F6" w14:textId="77777777" w:rsidTr="0060424C">
        <w:tblPrEx>
          <w:jc w:val="left"/>
          <w:tblCellMar>
            <w:top w:w="11" w:type="dxa"/>
          </w:tblCellMar>
        </w:tblPrEx>
        <w:trPr>
          <w:trHeight w:val="227"/>
        </w:trPr>
        <w:tc>
          <w:tcPr>
            <w:tcW w:w="3407" w:type="dxa"/>
            <w:vMerge/>
            <w:tcBorders>
              <w:top w:val="nil"/>
              <w:left w:val="single" w:sz="4" w:space="0" w:color="000000"/>
              <w:bottom w:val="single" w:sz="4" w:space="0" w:color="000000"/>
              <w:right w:val="single" w:sz="4" w:space="0" w:color="000000"/>
            </w:tcBorders>
          </w:tcPr>
          <w:p w14:paraId="43F4E944"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25A5AD85" w14:textId="77777777" w:rsidR="00D92EBC" w:rsidRPr="009B4A73" w:rsidRDefault="0078763F" w:rsidP="00DB5E06">
            <w:pPr>
              <w:spacing w:after="0" w:line="240" w:lineRule="auto"/>
              <w:ind w:left="62" w:firstLine="0"/>
              <w:rPr>
                <w:sz w:val="22"/>
              </w:rPr>
            </w:pPr>
            <w:r w:rsidRPr="009B4A73">
              <w:rPr>
                <w:sz w:val="22"/>
              </w:rPr>
              <w:t xml:space="preserve">Vasodilatation </w:t>
            </w:r>
          </w:p>
        </w:tc>
        <w:tc>
          <w:tcPr>
            <w:tcW w:w="1857" w:type="dxa"/>
            <w:tcBorders>
              <w:top w:val="single" w:sz="4" w:space="0" w:color="000000"/>
              <w:left w:val="single" w:sz="4" w:space="0" w:color="000000"/>
              <w:bottom w:val="single" w:sz="4" w:space="0" w:color="000000"/>
              <w:right w:val="single" w:sz="4" w:space="0" w:color="000000"/>
            </w:tcBorders>
          </w:tcPr>
          <w:p w14:paraId="5FFE9CA8"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174DA5" w:rsidRPr="009B4A73" w14:paraId="7EEC3314" w14:textId="77777777" w:rsidTr="0060424C">
        <w:tblPrEx>
          <w:jc w:val="left"/>
          <w:tblCellMar>
            <w:top w:w="11" w:type="dxa"/>
          </w:tblCellMar>
        </w:tblPrEx>
        <w:trPr>
          <w:trHeight w:val="227"/>
        </w:trPr>
        <w:tc>
          <w:tcPr>
            <w:tcW w:w="3407" w:type="dxa"/>
            <w:vMerge w:val="restart"/>
            <w:tcBorders>
              <w:top w:val="single" w:sz="4" w:space="0" w:color="000000"/>
              <w:left w:val="single" w:sz="4" w:space="0" w:color="000000"/>
              <w:bottom w:val="single" w:sz="4" w:space="0" w:color="000000"/>
              <w:right w:val="single" w:sz="4" w:space="0" w:color="000000"/>
            </w:tcBorders>
          </w:tcPr>
          <w:p w14:paraId="1BAE5E9E" w14:textId="66232D86" w:rsidR="00D92EBC" w:rsidRPr="009B4A73" w:rsidRDefault="0078763F" w:rsidP="00C05947">
            <w:pPr>
              <w:spacing w:after="60" w:line="240" w:lineRule="auto"/>
              <w:ind w:left="82" w:firstLine="0"/>
              <w:rPr>
                <w:sz w:val="22"/>
              </w:rPr>
            </w:pPr>
            <w:r w:rsidRPr="009B4A73">
              <w:rPr>
                <w:sz w:val="22"/>
              </w:rPr>
              <w:t xml:space="preserve">Respiratory, </w:t>
            </w:r>
            <w:proofErr w:type="gramStart"/>
            <w:r w:rsidRPr="009B4A73">
              <w:rPr>
                <w:sz w:val="22"/>
              </w:rPr>
              <w:t>thoracic</w:t>
            </w:r>
            <w:proofErr w:type="gramEnd"/>
            <w:r w:rsidRPr="009B4A73">
              <w:rPr>
                <w:sz w:val="22"/>
              </w:rPr>
              <w:t xml:space="preserve"> and mediastinal disorders  </w:t>
            </w:r>
          </w:p>
          <w:p w14:paraId="0B709497" w14:textId="77777777" w:rsidR="00D92EBC" w:rsidRPr="009B4A73" w:rsidRDefault="0078763F" w:rsidP="00174DA5">
            <w:pPr>
              <w:spacing w:after="0" w:line="240" w:lineRule="auto"/>
              <w:ind w:left="222" w:firstLine="0"/>
              <w:rPr>
                <w:sz w:val="22"/>
              </w:rPr>
            </w:pPr>
            <w:r w:rsidRPr="009B4A73">
              <w:rPr>
                <w:sz w:val="22"/>
              </w:rPr>
              <w:t xml:space="preserve"> </w:t>
            </w:r>
          </w:p>
        </w:tc>
        <w:tc>
          <w:tcPr>
            <w:tcW w:w="4243" w:type="dxa"/>
            <w:tcBorders>
              <w:top w:val="single" w:sz="4" w:space="0" w:color="000000"/>
              <w:left w:val="single" w:sz="4" w:space="0" w:color="000000"/>
              <w:bottom w:val="single" w:sz="4" w:space="0" w:color="000000"/>
              <w:right w:val="single" w:sz="4" w:space="0" w:color="000000"/>
            </w:tcBorders>
          </w:tcPr>
          <w:p w14:paraId="79011961" w14:textId="77777777" w:rsidR="00D92EBC" w:rsidRPr="009B4A73" w:rsidRDefault="0078763F" w:rsidP="00DB5E06">
            <w:pPr>
              <w:spacing w:after="0" w:line="240" w:lineRule="auto"/>
              <w:ind w:left="62" w:firstLine="0"/>
              <w:rPr>
                <w:sz w:val="22"/>
              </w:rPr>
            </w:pPr>
            <w:r w:rsidRPr="009B4A73">
              <w:rPr>
                <w:sz w:val="22"/>
                <w:vertAlign w:val="superscript"/>
              </w:rPr>
              <w:t>2,3</w:t>
            </w:r>
            <w:r w:rsidRPr="009B4A73">
              <w:rPr>
                <w:sz w:val="22"/>
              </w:rPr>
              <w:t xml:space="preserve">Wheezing </w:t>
            </w:r>
          </w:p>
        </w:tc>
        <w:tc>
          <w:tcPr>
            <w:tcW w:w="1857" w:type="dxa"/>
            <w:tcBorders>
              <w:top w:val="single" w:sz="4" w:space="0" w:color="000000"/>
              <w:left w:val="single" w:sz="4" w:space="0" w:color="000000"/>
              <w:bottom w:val="single" w:sz="4" w:space="0" w:color="000000"/>
              <w:right w:val="single" w:sz="4" w:space="0" w:color="000000"/>
            </w:tcBorders>
          </w:tcPr>
          <w:p w14:paraId="3A3784BE"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588BCE7D"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46708019"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64EF2668" w14:textId="77777777" w:rsidR="00D92EBC" w:rsidRPr="009B4A73" w:rsidRDefault="0078763F" w:rsidP="00DB5E06">
            <w:pPr>
              <w:spacing w:after="0" w:line="240" w:lineRule="auto"/>
              <w:ind w:left="62" w:firstLine="0"/>
              <w:rPr>
                <w:sz w:val="22"/>
              </w:rPr>
            </w:pPr>
            <w:r w:rsidRPr="009B4A73">
              <w:rPr>
                <w:b/>
                <w:sz w:val="22"/>
                <w:vertAlign w:val="superscript"/>
              </w:rPr>
              <w:t>2</w:t>
            </w:r>
            <w:r w:rsidRPr="009B4A73">
              <w:rPr>
                <w:sz w:val="22"/>
              </w:rPr>
              <w:t xml:space="preserve">Dyspnoea </w:t>
            </w:r>
          </w:p>
        </w:tc>
        <w:tc>
          <w:tcPr>
            <w:tcW w:w="1857" w:type="dxa"/>
            <w:tcBorders>
              <w:top w:val="single" w:sz="4" w:space="0" w:color="000000"/>
              <w:left w:val="single" w:sz="4" w:space="0" w:color="000000"/>
              <w:bottom w:val="single" w:sz="4" w:space="0" w:color="000000"/>
              <w:right w:val="single" w:sz="4" w:space="0" w:color="000000"/>
            </w:tcBorders>
          </w:tcPr>
          <w:p w14:paraId="45A15021"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589F5318"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067D7CB6"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172609CB" w14:textId="77777777" w:rsidR="00D92EBC" w:rsidRPr="009B4A73" w:rsidRDefault="0078763F" w:rsidP="00DB5E06">
            <w:pPr>
              <w:spacing w:after="0" w:line="240" w:lineRule="auto"/>
              <w:ind w:left="62" w:firstLine="0"/>
              <w:rPr>
                <w:sz w:val="22"/>
              </w:rPr>
            </w:pPr>
            <w:r w:rsidRPr="009B4A73">
              <w:rPr>
                <w:sz w:val="22"/>
              </w:rPr>
              <w:t xml:space="preserve">Cough </w:t>
            </w:r>
          </w:p>
        </w:tc>
        <w:tc>
          <w:tcPr>
            <w:tcW w:w="1857" w:type="dxa"/>
            <w:tcBorders>
              <w:top w:val="single" w:sz="4" w:space="0" w:color="000000"/>
              <w:left w:val="single" w:sz="4" w:space="0" w:color="000000"/>
              <w:bottom w:val="single" w:sz="4" w:space="0" w:color="000000"/>
              <w:right w:val="single" w:sz="4" w:space="0" w:color="000000"/>
            </w:tcBorders>
          </w:tcPr>
          <w:p w14:paraId="295262A6"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4799FC9C"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7343A2EC"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04CE2476" w14:textId="77777777" w:rsidR="00D92EBC" w:rsidRPr="009B4A73" w:rsidRDefault="0078763F" w:rsidP="00DB5E06">
            <w:pPr>
              <w:spacing w:after="0" w:line="240" w:lineRule="auto"/>
              <w:ind w:left="62" w:firstLine="0"/>
              <w:rPr>
                <w:sz w:val="22"/>
              </w:rPr>
            </w:pPr>
            <w:r w:rsidRPr="009B4A73">
              <w:rPr>
                <w:sz w:val="22"/>
              </w:rPr>
              <w:t xml:space="preserve">Epistaxis </w:t>
            </w:r>
          </w:p>
        </w:tc>
        <w:tc>
          <w:tcPr>
            <w:tcW w:w="1857" w:type="dxa"/>
            <w:tcBorders>
              <w:top w:val="single" w:sz="4" w:space="0" w:color="000000"/>
              <w:left w:val="single" w:sz="4" w:space="0" w:color="000000"/>
              <w:bottom w:val="single" w:sz="4" w:space="0" w:color="000000"/>
              <w:right w:val="single" w:sz="4" w:space="0" w:color="000000"/>
            </w:tcBorders>
          </w:tcPr>
          <w:p w14:paraId="7359658E"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4F0AF994"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797CC89B"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4328DDA4" w14:textId="77777777" w:rsidR="00D92EBC" w:rsidRPr="009B4A73" w:rsidRDefault="0078763F" w:rsidP="00DB5E06">
            <w:pPr>
              <w:spacing w:after="0" w:line="240" w:lineRule="auto"/>
              <w:ind w:left="62" w:firstLine="0"/>
              <w:rPr>
                <w:sz w:val="22"/>
              </w:rPr>
            </w:pPr>
            <w:r w:rsidRPr="009B4A73">
              <w:rPr>
                <w:sz w:val="22"/>
              </w:rPr>
              <w:t xml:space="preserve">Rhinorrhoea </w:t>
            </w:r>
          </w:p>
        </w:tc>
        <w:tc>
          <w:tcPr>
            <w:tcW w:w="1857" w:type="dxa"/>
            <w:tcBorders>
              <w:top w:val="single" w:sz="4" w:space="0" w:color="000000"/>
              <w:left w:val="single" w:sz="4" w:space="0" w:color="000000"/>
              <w:bottom w:val="single" w:sz="4" w:space="0" w:color="000000"/>
              <w:right w:val="single" w:sz="4" w:space="0" w:color="000000"/>
            </w:tcBorders>
          </w:tcPr>
          <w:p w14:paraId="11CBB5D2"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557252D0"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731576C2"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1979E212" w14:textId="77777777" w:rsidR="00D92EBC" w:rsidRPr="009B4A73" w:rsidRDefault="0078763F" w:rsidP="00DB5E06">
            <w:pPr>
              <w:spacing w:after="0" w:line="240" w:lineRule="auto"/>
              <w:ind w:left="62" w:firstLine="0"/>
              <w:rPr>
                <w:sz w:val="22"/>
              </w:rPr>
            </w:pPr>
            <w:r w:rsidRPr="009B4A73">
              <w:rPr>
                <w:sz w:val="22"/>
              </w:rPr>
              <w:t xml:space="preserve">Oropharyngeal pain </w:t>
            </w:r>
          </w:p>
        </w:tc>
        <w:tc>
          <w:tcPr>
            <w:tcW w:w="1857" w:type="dxa"/>
            <w:tcBorders>
              <w:top w:val="single" w:sz="4" w:space="0" w:color="000000"/>
              <w:left w:val="single" w:sz="4" w:space="0" w:color="000000"/>
              <w:bottom w:val="single" w:sz="4" w:space="0" w:color="000000"/>
              <w:right w:val="single" w:sz="4" w:space="0" w:color="000000"/>
            </w:tcBorders>
          </w:tcPr>
          <w:p w14:paraId="73E28E19"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34792B86"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1DDFC79D"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2CF9818B" w14:textId="77777777" w:rsidR="00D92EBC" w:rsidRPr="009B4A73" w:rsidRDefault="0078763F" w:rsidP="00DB5E06">
            <w:pPr>
              <w:spacing w:after="0" w:line="240" w:lineRule="auto"/>
              <w:ind w:left="62" w:firstLine="0"/>
              <w:rPr>
                <w:sz w:val="22"/>
              </w:rPr>
            </w:pPr>
            <w:r w:rsidRPr="009B4A73">
              <w:rPr>
                <w:sz w:val="22"/>
              </w:rPr>
              <w:t xml:space="preserve">Asthma </w:t>
            </w:r>
          </w:p>
        </w:tc>
        <w:tc>
          <w:tcPr>
            <w:tcW w:w="1857" w:type="dxa"/>
            <w:tcBorders>
              <w:top w:val="single" w:sz="4" w:space="0" w:color="000000"/>
              <w:left w:val="single" w:sz="4" w:space="0" w:color="000000"/>
              <w:bottom w:val="single" w:sz="4" w:space="0" w:color="000000"/>
              <w:right w:val="single" w:sz="4" w:space="0" w:color="000000"/>
            </w:tcBorders>
          </w:tcPr>
          <w:p w14:paraId="7AEB6B1D"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174DA5" w:rsidRPr="009B4A73" w14:paraId="126EB9DB"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2787946A"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17556D18" w14:textId="77777777" w:rsidR="00D92EBC" w:rsidRPr="009B4A73" w:rsidRDefault="0078763F" w:rsidP="00DB5E06">
            <w:pPr>
              <w:spacing w:after="0" w:line="240" w:lineRule="auto"/>
              <w:ind w:left="62" w:firstLine="0"/>
              <w:rPr>
                <w:sz w:val="22"/>
              </w:rPr>
            </w:pPr>
            <w:r w:rsidRPr="009B4A73">
              <w:rPr>
                <w:sz w:val="22"/>
              </w:rPr>
              <w:t xml:space="preserve">Lung disorder </w:t>
            </w:r>
          </w:p>
        </w:tc>
        <w:tc>
          <w:tcPr>
            <w:tcW w:w="1857" w:type="dxa"/>
            <w:tcBorders>
              <w:top w:val="single" w:sz="4" w:space="0" w:color="000000"/>
              <w:left w:val="single" w:sz="4" w:space="0" w:color="000000"/>
              <w:bottom w:val="single" w:sz="4" w:space="0" w:color="000000"/>
              <w:right w:val="single" w:sz="4" w:space="0" w:color="000000"/>
            </w:tcBorders>
          </w:tcPr>
          <w:p w14:paraId="4346E93E"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174DA5" w:rsidRPr="009B4A73" w14:paraId="75DCF950"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3CDCC13A"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7BEDB086" w14:textId="77777777" w:rsidR="00D92EBC" w:rsidRPr="009B4A73" w:rsidRDefault="0078763F" w:rsidP="00DB5E06">
            <w:pPr>
              <w:spacing w:after="0" w:line="240" w:lineRule="auto"/>
              <w:ind w:left="62" w:firstLine="0"/>
              <w:rPr>
                <w:sz w:val="22"/>
              </w:rPr>
            </w:pPr>
            <w:r w:rsidRPr="009B4A73">
              <w:rPr>
                <w:b/>
                <w:sz w:val="22"/>
                <w:vertAlign w:val="superscript"/>
              </w:rPr>
              <w:t>2</w:t>
            </w:r>
            <w:r w:rsidRPr="009B4A73">
              <w:rPr>
                <w:sz w:val="22"/>
              </w:rPr>
              <w:t xml:space="preserve">Pleural effusion </w:t>
            </w:r>
          </w:p>
        </w:tc>
        <w:tc>
          <w:tcPr>
            <w:tcW w:w="1857" w:type="dxa"/>
            <w:tcBorders>
              <w:top w:val="single" w:sz="4" w:space="0" w:color="000000"/>
              <w:left w:val="single" w:sz="4" w:space="0" w:color="000000"/>
              <w:bottom w:val="single" w:sz="4" w:space="0" w:color="000000"/>
              <w:right w:val="single" w:sz="4" w:space="0" w:color="000000"/>
            </w:tcBorders>
          </w:tcPr>
          <w:p w14:paraId="6899F871"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174DA5" w:rsidRPr="009B4A73" w14:paraId="1775E722"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39557257"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1E104C3F" w14:textId="77777777" w:rsidR="00D92EBC" w:rsidRPr="009B4A73" w:rsidRDefault="0078763F" w:rsidP="00DB5E06">
            <w:pPr>
              <w:spacing w:after="0" w:line="240" w:lineRule="auto"/>
              <w:ind w:left="62" w:firstLine="0"/>
              <w:rPr>
                <w:sz w:val="22"/>
              </w:rPr>
            </w:pPr>
            <w:r w:rsidRPr="009B4A73">
              <w:rPr>
                <w:sz w:val="22"/>
                <w:vertAlign w:val="superscript"/>
              </w:rPr>
              <w:t>2</w:t>
            </w:r>
            <w:r w:rsidRPr="009B4A73">
              <w:rPr>
                <w:sz w:val="22"/>
              </w:rPr>
              <w:t>Pneumonia</w:t>
            </w:r>
            <w:r w:rsidRPr="009B4A73">
              <w:rPr>
                <w:sz w:val="22"/>
                <w:vertAlign w:val="superscript"/>
              </w:rPr>
              <w:t xml:space="preserve"> </w:t>
            </w:r>
            <w:r w:rsidRPr="009B4A73">
              <w:rPr>
                <w:sz w:val="22"/>
              </w:rPr>
              <w:t xml:space="preserve"> </w:t>
            </w:r>
          </w:p>
        </w:tc>
        <w:tc>
          <w:tcPr>
            <w:tcW w:w="1857" w:type="dxa"/>
            <w:tcBorders>
              <w:top w:val="single" w:sz="4" w:space="0" w:color="000000"/>
              <w:left w:val="single" w:sz="4" w:space="0" w:color="000000"/>
              <w:bottom w:val="single" w:sz="4" w:space="0" w:color="000000"/>
              <w:right w:val="single" w:sz="4" w:space="0" w:color="000000"/>
            </w:tcBorders>
          </w:tcPr>
          <w:p w14:paraId="7249E227"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174DA5" w:rsidRPr="009B4A73" w14:paraId="4091861C"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2130CBA9"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6801D0BC" w14:textId="77777777" w:rsidR="00D92EBC" w:rsidRPr="009B4A73" w:rsidRDefault="0078763F" w:rsidP="00DB5E06">
            <w:pPr>
              <w:spacing w:after="0" w:line="240" w:lineRule="auto"/>
              <w:ind w:left="62" w:firstLine="0"/>
              <w:rPr>
                <w:sz w:val="22"/>
              </w:rPr>
            </w:pPr>
            <w:r w:rsidRPr="009B4A73">
              <w:rPr>
                <w:sz w:val="22"/>
              </w:rPr>
              <w:t xml:space="preserve">Pneumonitis </w:t>
            </w:r>
          </w:p>
        </w:tc>
        <w:tc>
          <w:tcPr>
            <w:tcW w:w="1857" w:type="dxa"/>
            <w:tcBorders>
              <w:top w:val="single" w:sz="4" w:space="0" w:color="000000"/>
              <w:left w:val="single" w:sz="4" w:space="0" w:color="000000"/>
              <w:bottom w:val="single" w:sz="4" w:space="0" w:color="000000"/>
              <w:right w:val="single" w:sz="4" w:space="0" w:color="000000"/>
            </w:tcBorders>
          </w:tcPr>
          <w:p w14:paraId="28B19AEF" w14:textId="77777777" w:rsidR="00D92EBC" w:rsidRPr="009B4A73" w:rsidRDefault="0078763F" w:rsidP="00174DA5">
            <w:pPr>
              <w:spacing w:after="0" w:line="240" w:lineRule="auto"/>
              <w:ind w:left="88" w:firstLine="0"/>
              <w:rPr>
                <w:sz w:val="22"/>
              </w:rPr>
            </w:pPr>
            <w:r w:rsidRPr="009B4A73">
              <w:rPr>
                <w:sz w:val="22"/>
              </w:rPr>
              <w:t xml:space="preserve">Uncommon </w:t>
            </w:r>
          </w:p>
        </w:tc>
      </w:tr>
      <w:tr w:rsidR="00174DA5" w:rsidRPr="009B4A73" w14:paraId="7C60616A"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29D2BE5C"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14DD8F44" w14:textId="77777777" w:rsidR="00D92EBC" w:rsidRPr="009B4A73" w:rsidRDefault="0078763F" w:rsidP="00DB5E06">
            <w:pPr>
              <w:spacing w:after="0" w:line="240" w:lineRule="auto"/>
              <w:ind w:left="62" w:firstLine="0"/>
              <w:rPr>
                <w:sz w:val="22"/>
              </w:rPr>
            </w:pPr>
            <w:r w:rsidRPr="009B4A73">
              <w:rPr>
                <w:b/>
                <w:sz w:val="22"/>
                <w:vertAlign w:val="superscript"/>
              </w:rPr>
              <w:t>2</w:t>
            </w:r>
            <w:r w:rsidRPr="009B4A73">
              <w:rPr>
                <w:sz w:val="22"/>
              </w:rPr>
              <w:t xml:space="preserve">Pulmonary fibrosis </w:t>
            </w:r>
          </w:p>
        </w:tc>
        <w:tc>
          <w:tcPr>
            <w:tcW w:w="1857" w:type="dxa"/>
            <w:tcBorders>
              <w:top w:val="single" w:sz="4" w:space="0" w:color="000000"/>
              <w:left w:val="single" w:sz="4" w:space="0" w:color="000000"/>
              <w:bottom w:val="single" w:sz="4" w:space="0" w:color="000000"/>
              <w:right w:val="single" w:sz="4" w:space="0" w:color="000000"/>
            </w:tcBorders>
          </w:tcPr>
          <w:p w14:paraId="12CDCDE4" w14:textId="77777777" w:rsidR="00D92EBC" w:rsidRPr="009B4A73" w:rsidRDefault="0078763F" w:rsidP="00174DA5">
            <w:pPr>
              <w:spacing w:after="0" w:line="240" w:lineRule="auto"/>
              <w:ind w:left="88" w:firstLine="0"/>
              <w:rPr>
                <w:sz w:val="22"/>
              </w:rPr>
            </w:pPr>
            <w:r w:rsidRPr="009B4A73">
              <w:rPr>
                <w:sz w:val="22"/>
              </w:rPr>
              <w:t xml:space="preserve">Not known </w:t>
            </w:r>
          </w:p>
        </w:tc>
      </w:tr>
      <w:tr w:rsidR="00174DA5" w:rsidRPr="009B4A73" w14:paraId="3BF3F415"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18862B8D"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6E41866E" w14:textId="77777777" w:rsidR="00D92EBC" w:rsidRPr="009B4A73" w:rsidRDefault="0078763F" w:rsidP="00DB5E06">
            <w:pPr>
              <w:spacing w:after="0" w:line="240" w:lineRule="auto"/>
              <w:ind w:left="62" w:firstLine="0"/>
              <w:rPr>
                <w:sz w:val="22"/>
              </w:rPr>
            </w:pPr>
            <w:r w:rsidRPr="009B4A73">
              <w:rPr>
                <w:b/>
                <w:sz w:val="22"/>
                <w:vertAlign w:val="superscript"/>
              </w:rPr>
              <w:t>2</w:t>
            </w:r>
            <w:r w:rsidRPr="009B4A73">
              <w:rPr>
                <w:sz w:val="22"/>
              </w:rPr>
              <w:t xml:space="preserve">Respiratory distress </w:t>
            </w:r>
          </w:p>
        </w:tc>
        <w:tc>
          <w:tcPr>
            <w:tcW w:w="1857" w:type="dxa"/>
            <w:tcBorders>
              <w:top w:val="single" w:sz="4" w:space="0" w:color="000000"/>
              <w:left w:val="single" w:sz="4" w:space="0" w:color="000000"/>
              <w:bottom w:val="single" w:sz="4" w:space="0" w:color="000000"/>
              <w:right w:val="single" w:sz="4" w:space="0" w:color="000000"/>
            </w:tcBorders>
          </w:tcPr>
          <w:p w14:paraId="62CF0B5E" w14:textId="77777777" w:rsidR="00D92EBC" w:rsidRPr="009B4A73" w:rsidRDefault="0078763F" w:rsidP="00174DA5">
            <w:pPr>
              <w:spacing w:after="0" w:line="240" w:lineRule="auto"/>
              <w:ind w:left="88" w:firstLine="0"/>
              <w:rPr>
                <w:sz w:val="22"/>
              </w:rPr>
            </w:pPr>
            <w:r w:rsidRPr="009B4A73">
              <w:rPr>
                <w:sz w:val="22"/>
              </w:rPr>
              <w:t xml:space="preserve">Not known </w:t>
            </w:r>
          </w:p>
        </w:tc>
      </w:tr>
      <w:tr w:rsidR="00174DA5" w:rsidRPr="009B4A73" w14:paraId="107B6B58"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18E7A8CA"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0A431B16" w14:textId="77777777" w:rsidR="00D92EBC" w:rsidRPr="009B4A73" w:rsidRDefault="0078763F" w:rsidP="00DB5E06">
            <w:pPr>
              <w:spacing w:after="0" w:line="240" w:lineRule="auto"/>
              <w:ind w:left="62" w:firstLine="0"/>
              <w:rPr>
                <w:sz w:val="22"/>
              </w:rPr>
            </w:pPr>
            <w:r w:rsidRPr="009B4A73">
              <w:rPr>
                <w:b/>
                <w:sz w:val="22"/>
                <w:vertAlign w:val="superscript"/>
              </w:rPr>
              <w:t>2</w:t>
            </w:r>
            <w:r w:rsidRPr="009B4A73">
              <w:rPr>
                <w:sz w:val="22"/>
              </w:rPr>
              <w:t xml:space="preserve">Respiratory failure </w:t>
            </w:r>
          </w:p>
        </w:tc>
        <w:tc>
          <w:tcPr>
            <w:tcW w:w="1857" w:type="dxa"/>
            <w:tcBorders>
              <w:top w:val="single" w:sz="4" w:space="0" w:color="000000"/>
              <w:left w:val="single" w:sz="4" w:space="0" w:color="000000"/>
              <w:bottom w:val="single" w:sz="4" w:space="0" w:color="000000"/>
              <w:right w:val="single" w:sz="4" w:space="0" w:color="000000"/>
            </w:tcBorders>
          </w:tcPr>
          <w:p w14:paraId="4B72DC54" w14:textId="77777777" w:rsidR="00D92EBC" w:rsidRPr="009B4A73" w:rsidRDefault="0078763F" w:rsidP="00174DA5">
            <w:pPr>
              <w:spacing w:after="0" w:line="240" w:lineRule="auto"/>
              <w:ind w:left="88" w:firstLine="0"/>
              <w:rPr>
                <w:sz w:val="22"/>
              </w:rPr>
            </w:pPr>
            <w:r w:rsidRPr="009B4A73">
              <w:rPr>
                <w:sz w:val="22"/>
              </w:rPr>
              <w:t xml:space="preserve">Not known </w:t>
            </w:r>
          </w:p>
        </w:tc>
      </w:tr>
      <w:tr w:rsidR="00174DA5" w:rsidRPr="009B4A73" w14:paraId="25BB93CB"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69D1C6DD"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2FC6F975" w14:textId="77777777" w:rsidR="00D92EBC" w:rsidRPr="009B4A73" w:rsidRDefault="0078763F" w:rsidP="00DB5E06">
            <w:pPr>
              <w:spacing w:after="0" w:line="240" w:lineRule="auto"/>
              <w:ind w:left="62" w:firstLine="0"/>
              <w:rPr>
                <w:sz w:val="22"/>
              </w:rPr>
            </w:pPr>
            <w:r w:rsidRPr="009B4A73">
              <w:rPr>
                <w:b/>
                <w:sz w:val="22"/>
                <w:vertAlign w:val="superscript"/>
              </w:rPr>
              <w:t>2</w:t>
            </w:r>
            <w:r w:rsidRPr="009B4A73">
              <w:rPr>
                <w:sz w:val="22"/>
              </w:rPr>
              <w:t xml:space="preserve">Lung infiltration </w:t>
            </w:r>
          </w:p>
        </w:tc>
        <w:tc>
          <w:tcPr>
            <w:tcW w:w="1857" w:type="dxa"/>
            <w:tcBorders>
              <w:top w:val="single" w:sz="4" w:space="0" w:color="000000"/>
              <w:left w:val="single" w:sz="4" w:space="0" w:color="000000"/>
              <w:bottom w:val="single" w:sz="4" w:space="0" w:color="000000"/>
              <w:right w:val="single" w:sz="4" w:space="0" w:color="000000"/>
            </w:tcBorders>
          </w:tcPr>
          <w:p w14:paraId="7F5CC9ED" w14:textId="77777777" w:rsidR="00D92EBC" w:rsidRPr="009B4A73" w:rsidRDefault="0078763F" w:rsidP="00174DA5">
            <w:pPr>
              <w:spacing w:after="0" w:line="240" w:lineRule="auto"/>
              <w:ind w:left="88" w:firstLine="0"/>
              <w:rPr>
                <w:sz w:val="22"/>
              </w:rPr>
            </w:pPr>
            <w:r w:rsidRPr="009B4A73">
              <w:rPr>
                <w:sz w:val="22"/>
              </w:rPr>
              <w:t xml:space="preserve">Not known </w:t>
            </w:r>
          </w:p>
        </w:tc>
      </w:tr>
      <w:tr w:rsidR="00174DA5" w:rsidRPr="009B4A73" w14:paraId="0E0F796D"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28218E9E"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2A68FBE5" w14:textId="77777777" w:rsidR="00D92EBC" w:rsidRPr="009B4A73" w:rsidRDefault="0078763F" w:rsidP="00DB5E06">
            <w:pPr>
              <w:spacing w:after="0" w:line="240" w:lineRule="auto"/>
              <w:ind w:left="62" w:firstLine="0"/>
              <w:rPr>
                <w:sz w:val="22"/>
              </w:rPr>
            </w:pPr>
            <w:r w:rsidRPr="009B4A73">
              <w:rPr>
                <w:b/>
                <w:sz w:val="22"/>
                <w:vertAlign w:val="superscript"/>
              </w:rPr>
              <w:t>2</w:t>
            </w:r>
            <w:r w:rsidRPr="009B4A73">
              <w:rPr>
                <w:sz w:val="22"/>
              </w:rPr>
              <w:t xml:space="preserve">Acute pulmonary oedema </w:t>
            </w:r>
          </w:p>
        </w:tc>
        <w:tc>
          <w:tcPr>
            <w:tcW w:w="1857" w:type="dxa"/>
            <w:tcBorders>
              <w:top w:val="single" w:sz="4" w:space="0" w:color="000000"/>
              <w:left w:val="single" w:sz="4" w:space="0" w:color="000000"/>
              <w:bottom w:val="single" w:sz="4" w:space="0" w:color="000000"/>
              <w:right w:val="single" w:sz="4" w:space="0" w:color="000000"/>
            </w:tcBorders>
          </w:tcPr>
          <w:p w14:paraId="18945862" w14:textId="77777777" w:rsidR="00D92EBC" w:rsidRPr="009B4A73" w:rsidRDefault="0078763F" w:rsidP="00174DA5">
            <w:pPr>
              <w:spacing w:after="0" w:line="240" w:lineRule="auto"/>
              <w:ind w:left="88" w:firstLine="0"/>
              <w:rPr>
                <w:sz w:val="22"/>
              </w:rPr>
            </w:pPr>
            <w:r w:rsidRPr="009B4A73">
              <w:rPr>
                <w:sz w:val="22"/>
              </w:rPr>
              <w:t xml:space="preserve">Not known </w:t>
            </w:r>
          </w:p>
        </w:tc>
      </w:tr>
      <w:tr w:rsidR="00174DA5" w:rsidRPr="009B4A73" w14:paraId="11778577"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02B20B91"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0372594D" w14:textId="77777777" w:rsidR="00D92EBC" w:rsidRPr="009B4A73" w:rsidRDefault="0078763F" w:rsidP="00DB5E06">
            <w:pPr>
              <w:spacing w:after="0" w:line="240" w:lineRule="auto"/>
              <w:ind w:left="62" w:firstLine="0"/>
              <w:rPr>
                <w:sz w:val="22"/>
              </w:rPr>
            </w:pPr>
            <w:r w:rsidRPr="009B4A73">
              <w:rPr>
                <w:b/>
                <w:sz w:val="22"/>
                <w:vertAlign w:val="superscript"/>
              </w:rPr>
              <w:t>2</w:t>
            </w:r>
            <w:r w:rsidRPr="009B4A73">
              <w:rPr>
                <w:sz w:val="22"/>
              </w:rPr>
              <w:t xml:space="preserve">Acute respiratory distress syndrome </w:t>
            </w:r>
          </w:p>
        </w:tc>
        <w:tc>
          <w:tcPr>
            <w:tcW w:w="1857" w:type="dxa"/>
            <w:tcBorders>
              <w:top w:val="single" w:sz="4" w:space="0" w:color="000000"/>
              <w:left w:val="single" w:sz="4" w:space="0" w:color="000000"/>
              <w:bottom w:val="single" w:sz="4" w:space="0" w:color="000000"/>
              <w:right w:val="single" w:sz="4" w:space="0" w:color="000000"/>
            </w:tcBorders>
          </w:tcPr>
          <w:p w14:paraId="54D8851D" w14:textId="77777777" w:rsidR="00D92EBC" w:rsidRPr="009B4A73" w:rsidRDefault="0078763F" w:rsidP="00174DA5">
            <w:pPr>
              <w:spacing w:after="0" w:line="240" w:lineRule="auto"/>
              <w:ind w:left="88" w:firstLine="0"/>
              <w:rPr>
                <w:sz w:val="22"/>
              </w:rPr>
            </w:pPr>
            <w:r w:rsidRPr="009B4A73">
              <w:rPr>
                <w:sz w:val="22"/>
              </w:rPr>
              <w:t xml:space="preserve">Not known </w:t>
            </w:r>
          </w:p>
        </w:tc>
      </w:tr>
      <w:tr w:rsidR="00174DA5" w:rsidRPr="009B4A73" w14:paraId="7C490567"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3147EBEA"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2F324700" w14:textId="77777777" w:rsidR="00D92EBC" w:rsidRPr="009B4A73" w:rsidRDefault="0078763F" w:rsidP="00DB5E06">
            <w:pPr>
              <w:spacing w:after="0" w:line="240" w:lineRule="auto"/>
              <w:ind w:left="62" w:firstLine="0"/>
              <w:rPr>
                <w:sz w:val="22"/>
              </w:rPr>
            </w:pPr>
            <w:r w:rsidRPr="009B4A73">
              <w:rPr>
                <w:b/>
                <w:sz w:val="22"/>
                <w:vertAlign w:val="superscript"/>
              </w:rPr>
              <w:t>2</w:t>
            </w:r>
            <w:r w:rsidRPr="009B4A73">
              <w:rPr>
                <w:sz w:val="22"/>
              </w:rPr>
              <w:t xml:space="preserve">Bronchospasm </w:t>
            </w:r>
          </w:p>
        </w:tc>
        <w:tc>
          <w:tcPr>
            <w:tcW w:w="1857" w:type="dxa"/>
            <w:tcBorders>
              <w:top w:val="single" w:sz="4" w:space="0" w:color="000000"/>
              <w:left w:val="single" w:sz="4" w:space="0" w:color="000000"/>
              <w:bottom w:val="single" w:sz="4" w:space="0" w:color="000000"/>
              <w:right w:val="single" w:sz="4" w:space="0" w:color="000000"/>
            </w:tcBorders>
          </w:tcPr>
          <w:p w14:paraId="36DAA06B" w14:textId="77777777" w:rsidR="00D92EBC" w:rsidRPr="009B4A73" w:rsidRDefault="0078763F" w:rsidP="00174DA5">
            <w:pPr>
              <w:spacing w:after="0" w:line="240" w:lineRule="auto"/>
              <w:ind w:left="88" w:firstLine="0"/>
              <w:rPr>
                <w:sz w:val="22"/>
              </w:rPr>
            </w:pPr>
            <w:r w:rsidRPr="009B4A73">
              <w:rPr>
                <w:sz w:val="22"/>
              </w:rPr>
              <w:t xml:space="preserve">Not known </w:t>
            </w:r>
          </w:p>
        </w:tc>
      </w:tr>
      <w:tr w:rsidR="00174DA5" w:rsidRPr="009B4A73" w14:paraId="04F1DC5A"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18614D23"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67D8EFFC" w14:textId="77777777" w:rsidR="00D92EBC" w:rsidRPr="009B4A73" w:rsidRDefault="0078763F" w:rsidP="00DB5E06">
            <w:pPr>
              <w:spacing w:after="0" w:line="240" w:lineRule="auto"/>
              <w:ind w:left="62" w:firstLine="0"/>
              <w:rPr>
                <w:sz w:val="22"/>
              </w:rPr>
            </w:pPr>
            <w:r w:rsidRPr="009B4A73">
              <w:rPr>
                <w:b/>
                <w:sz w:val="22"/>
                <w:vertAlign w:val="superscript"/>
              </w:rPr>
              <w:t>2</w:t>
            </w:r>
            <w:r w:rsidRPr="009B4A73">
              <w:rPr>
                <w:sz w:val="22"/>
              </w:rPr>
              <w:t xml:space="preserve">Hypoxia </w:t>
            </w:r>
          </w:p>
        </w:tc>
        <w:tc>
          <w:tcPr>
            <w:tcW w:w="1857" w:type="dxa"/>
            <w:tcBorders>
              <w:top w:val="single" w:sz="4" w:space="0" w:color="000000"/>
              <w:left w:val="single" w:sz="4" w:space="0" w:color="000000"/>
              <w:bottom w:val="single" w:sz="4" w:space="0" w:color="000000"/>
              <w:right w:val="single" w:sz="4" w:space="0" w:color="000000"/>
            </w:tcBorders>
          </w:tcPr>
          <w:p w14:paraId="087B8033" w14:textId="77777777" w:rsidR="00D92EBC" w:rsidRPr="009B4A73" w:rsidRDefault="0078763F" w:rsidP="00174DA5">
            <w:pPr>
              <w:spacing w:after="0" w:line="240" w:lineRule="auto"/>
              <w:ind w:left="88" w:firstLine="0"/>
              <w:rPr>
                <w:sz w:val="22"/>
              </w:rPr>
            </w:pPr>
            <w:r w:rsidRPr="009B4A73">
              <w:rPr>
                <w:sz w:val="22"/>
              </w:rPr>
              <w:t xml:space="preserve">Not known </w:t>
            </w:r>
          </w:p>
        </w:tc>
      </w:tr>
      <w:tr w:rsidR="00174DA5" w:rsidRPr="009B4A73" w14:paraId="10BEDA12"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4D9F2889"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6DE2E051" w14:textId="77777777" w:rsidR="00D92EBC" w:rsidRPr="009B4A73" w:rsidRDefault="0078763F" w:rsidP="00DB5E06">
            <w:pPr>
              <w:spacing w:after="0" w:line="240" w:lineRule="auto"/>
              <w:ind w:left="62" w:firstLine="0"/>
              <w:rPr>
                <w:sz w:val="22"/>
              </w:rPr>
            </w:pPr>
            <w:r w:rsidRPr="009B4A73">
              <w:rPr>
                <w:b/>
                <w:sz w:val="22"/>
                <w:vertAlign w:val="superscript"/>
              </w:rPr>
              <w:t>2</w:t>
            </w:r>
            <w:r w:rsidRPr="009B4A73">
              <w:rPr>
                <w:sz w:val="22"/>
              </w:rPr>
              <w:t xml:space="preserve">Oxygen saturation decreased </w:t>
            </w:r>
          </w:p>
        </w:tc>
        <w:tc>
          <w:tcPr>
            <w:tcW w:w="1857" w:type="dxa"/>
            <w:tcBorders>
              <w:top w:val="single" w:sz="4" w:space="0" w:color="000000"/>
              <w:left w:val="single" w:sz="4" w:space="0" w:color="000000"/>
              <w:bottom w:val="single" w:sz="4" w:space="0" w:color="000000"/>
              <w:right w:val="single" w:sz="4" w:space="0" w:color="000000"/>
            </w:tcBorders>
          </w:tcPr>
          <w:p w14:paraId="33C46762" w14:textId="77777777" w:rsidR="00D92EBC" w:rsidRPr="009B4A73" w:rsidRDefault="0078763F" w:rsidP="00174DA5">
            <w:pPr>
              <w:spacing w:after="0" w:line="240" w:lineRule="auto"/>
              <w:ind w:left="88" w:firstLine="0"/>
              <w:rPr>
                <w:sz w:val="22"/>
              </w:rPr>
            </w:pPr>
            <w:r w:rsidRPr="009B4A73">
              <w:rPr>
                <w:sz w:val="22"/>
              </w:rPr>
              <w:t xml:space="preserve">Not known </w:t>
            </w:r>
          </w:p>
        </w:tc>
      </w:tr>
      <w:tr w:rsidR="00174DA5" w:rsidRPr="009B4A73" w14:paraId="620B3410"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04C09240"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6AB74D15" w14:textId="77777777" w:rsidR="00D92EBC" w:rsidRPr="009B4A73" w:rsidRDefault="0078763F" w:rsidP="00DB5E06">
            <w:pPr>
              <w:spacing w:after="0" w:line="240" w:lineRule="auto"/>
              <w:ind w:left="62" w:firstLine="0"/>
              <w:rPr>
                <w:sz w:val="22"/>
              </w:rPr>
            </w:pPr>
            <w:r w:rsidRPr="009B4A73">
              <w:rPr>
                <w:sz w:val="22"/>
              </w:rPr>
              <w:t xml:space="preserve">Laryngeal oedema </w:t>
            </w:r>
          </w:p>
        </w:tc>
        <w:tc>
          <w:tcPr>
            <w:tcW w:w="1857" w:type="dxa"/>
            <w:tcBorders>
              <w:top w:val="single" w:sz="4" w:space="0" w:color="000000"/>
              <w:left w:val="single" w:sz="4" w:space="0" w:color="000000"/>
              <w:bottom w:val="single" w:sz="4" w:space="0" w:color="000000"/>
              <w:right w:val="single" w:sz="4" w:space="0" w:color="000000"/>
            </w:tcBorders>
          </w:tcPr>
          <w:p w14:paraId="15150270" w14:textId="77777777" w:rsidR="00D92EBC" w:rsidRPr="009B4A73" w:rsidRDefault="0078763F" w:rsidP="00174DA5">
            <w:pPr>
              <w:spacing w:after="0" w:line="240" w:lineRule="auto"/>
              <w:ind w:left="88" w:firstLine="0"/>
              <w:rPr>
                <w:sz w:val="22"/>
              </w:rPr>
            </w:pPr>
            <w:r w:rsidRPr="009B4A73">
              <w:rPr>
                <w:sz w:val="22"/>
              </w:rPr>
              <w:t xml:space="preserve">Not known </w:t>
            </w:r>
          </w:p>
        </w:tc>
      </w:tr>
      <w:tr w:rsidR="00174DA5" w:rsidRPr="009B4A73" w14:paraId="3EEEDEA8"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62D93E8D"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434180E9" w14:textId="77777777" w:rsidR="00D92EBC" w:rsidRPr="009B4A73" w:rsidRDefault="0078763F" w:rsidP="00DB5E06">
            <w:pPr>
              <w:spacing w:after="0" w:line="240" w:lineRule="auto"/>
              <w:ind w:left="62" w:firstLine="0"/>
              <w:rPr>
                <w:sz w:val="22"/>
              </w:rPr>
            </w:pPr>
            <w:r w:rsidRPr="009B4A73">
              <w:rPr>
                <w:b/>
                <w:sz w:val="22"/>
                <w:vertAlign w:val="superscript"/>
              </w:rPr>
              <w:t>2</w:t>
            </w:r>
            <w:r w:rsidRPr="009B4A73">
              <w:rPr>
                <w:sz w:val="22"/>
              </w:rPr>
              <w:t xml:space="preserve">Orthopnoea </w:t>
            </w:r>
          </w:p>
        </w:tc>
        <w:tc>
          <w:tcPr>
            <w:tcW w:w="1857" w:type="dxa"/>
            <w:tcBorders>
              <w:top w:val="single" w:sz="4" w:space="0" w:color="000000"/>
              <w:left w:val="single" w:sz="4" w:space="0" w:color="000000"/>
              <w:bottom w:val="single" w:sz="4" w:space="0" w:color="000000"/>
              <w:right w:val="single" w:sz="4" w:space="0" w:color="000000"/>
            </w:tcBorders>
          </w:tcPr>
          <w:p w14:paraId="42FB54BE" w14:textId="77777777" w:rsidR="00D92EBC" w:rsidRPr="009B4A73" w:rsidRDefault="0078763F" w:rsidP="00174DA5">
            <w:pPr>
              <w:spacing w:after="0" w:line="240" w:lineRule="auto"/>
              <w:ind w:left="88" w:firstLine="0"/>
              <w:rPr>
                <w:sz w:val="22"/>
              </w:rPr>
            </w:pPr>
            <w:r w:rsidRPr="009B4A73">
              <w:rPr>
                <w:sz w:val="22"/>
              </w:rPr>
              <w:t xml:space="preserve">Not known </w:t>
            </w:r>
          </w:p>
        </w:tc>
      </w:tr>
      <w:tr w:rsidR="00174DA5" w:rsidRPr="009B4A73" w14:paraId="054ACF4E"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6CE0A081"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vAlign w:val="center"/>
          </w:tcPr>
          <w:p w14:paraId="007A6E07" w14:textId="77777777" w:rsidR="00D92EBC" w:rsidRPr="009B4A73" w:rsidRDefault="0078763F" w:rsidP="00DB5E06">
            <w:pPr>
              <w:spacing w:after="160" w:line="240" w:lineRule="auto"/>
              <w:ind w:left="62" w:firstLine="0"/>
              <w:rPr>
                <w:sz w:val="22"/>
              </w:rPr>
            </w:pPr>
            <w:r w:rsidRPr="009B4A73">
              <w:rPr>
                <w:sz w:val="22"/>
              </w:rPr>
              <w:t xml:space="preserve">Pulmonary oedema </w:t>
            </w:r>
          </w:p>
        </w:tc>
        <w:tc>
          <w:tcPr>
            <w:tcW w:w="1857" w:type="dxa"/>
            <w:tcBorders>
              <w:top w:val="single" w:sz="4" w:space="0" w:color="000000"/>
              <w:left w:val="single" w:sz="4" w:space="0" w:color="000000"/>
              <w:bottom w:val="single" w:sz="4" w:space="0" w:color="000000"/>
              <w:right w:val="single" w:sz="4" w:space="0" w:color="000000"/>
            </w:tcBorders>
            <w:vAlign w:val="center"/>
          </w:tcPr>
          <w:p w14:paraId="4D3F025F" w14:textId="7F76BCBF" w:rsidR="00D92EBC" w:rsidRPr="009B4A73" w:rsidRDefault="0078763F" w:rsidP="00174DA5">
            <w:pPr>
              <w:spacing w:after="160" w:line="240" w:lineRule="auto"/>
              <w:ind w:left="88" w:firstLine="0"/>
              <w:rPr>
                <w:sz w:val="22"/>
              </w:rPr>
            </w:pPr>
            <w:r w:rsidRPr="009B4A73">
              <w:rPr>
                <w:sz w:val="22"/>
              </w:rPr>
              <w:t>Not known</w:t>
            </w:r>
          </w:p>
        </w:tc>
      </w:tr>
      <w:tr w:rsidR="00174DA5" w:rsidRPr="009B4A73" w14:paraId="57B0D702" w14:textId="77777777" w:rsidTr="0060424C">
        <w:tblPrEx>
          <w:jc w:val="left"/>
          <w:tblCellMar>
            <w:top w:w="11" w:type="dxa"/>
          </w:tblCellMar>
        </w:tblPrEx>
        <w:trPr>
          <w:trHeight w:val="227"/>
        </w:trPr>
        <w:tc>
          <w:tcPr>
            <w:tcW w:w="3407" w:type="dxa"/>
            <w:vMerge/>
            <w:tcBorders>
              <w:top w:val="nil"/>
              <w:left w:val="single" w:sz="4" w:space="0" w:color="000000"/>
              <w:bottom w:val="single" w:sz="4" w:space="0" w:color="000000"/>
              <w:right w:val="single" w:sz="4" w:space="0" w:color="000000"/>
            </w:tcBorders>
          </w:tcPr>
          <w:p w14:paraId="21FFA02E"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66B0CB11" w14:textId="77777777" w:rsidR="00D92EBC" w:rsidRPr="009B4A73" w:rsidRDefault="0078763F" w:rsidP="00DB5E06">
            <w:pPr>
              <w:spacing w:after="0" w:line="240" w:lineRule="auto"/>
              <w:ind w:left="62" w:firstLine="0"/>
              <w:rPr>
                <w:sz w:val="22"/>
              </w:rPr>
            </w:pPr>
            <w:r w:rsidRPr="009B4A73">
              <w:rPr>
                <w:sz w:val="22"/>
              </w:rPr>
              <w:t xml:space="preserve">Interstitial lung disease </w:t>
            </w:r>
          </w:p>
        </w:tc>
        <w:tc>
          <w:tcPr>
            <w:tcW w:w="1857" w:type="dxa"/>
            <w:tcBorders>
              <w:top w:val="single" w:sz="4" w:space="0" w:color="000000"/>
              <w:left w:val="single" w:sz="4" w:space="0" w:color="000000"/>
              <w:bottom w:val="single" w:sz="4" w:space="0" w:color="000000"/>
              <w:right w:val="single" w:sz="4" w:space="0" w:color="000000"/>
            </w:tcBorders>
          </w:tcPr>
          <w:p w14:paraId="276B3A85" w14:textId="77777777" w:rsidR="00D92EBC" w:rsidRPr="009B4A73" w:rsidRDefault="0078763F" w:rsidP="00174DA5">
            <w:pPr>
              <w:spacing w:after="0" w:line="240" w:lineRule="auto"/>
              <w:ind w:left="88" w:firstLine="0"/>
              <w:rPr>
                <w:sz w:val="22"/>
              </w:rPr>
            </w:pPr>
            <w:r w:rsidRPr="009B4A73">
              <w:rPr>
                <w:sz w:val="22"/>
              </w:rPr>
              <w:t xml:space="preserve">Not known </w:t>
            </w:r>
          </w:p>
        </w:tc>
      </w:tr>
      <w:tr w:rsidR="00174DA5" w:rsidRPr="009B4A73" w14:paraId="62192BDB" w14:textId="77777777" w:rsidTr="0060424C">
        <w:tblPrEx>
          <w:jc w:val="left"/>
          <w:tblCellMar>
            <w:top w:w="11" w:type="dxa"/>
          </w:tblCellMar>
        </w:tblPrEx>
        <w:trPr>
          <w:trHeight w:val="227"/>
        </w:trPr>
        <w:tc>
          <w:tcPr>
            <w:tcW w:w="3407" w:type="dxa"/>
            <w:vMerge w:val="restart"/>
            <w:tcBorders>
              <w:top w:val="single" w:sz="4" w:space="0" w:color="000000"/>
              <w:left w:val="single" w:sz="4" w:space="0" w:color="000000"/>
              <w:bottom w:val="single" w:sz="4" w:space="0" w:color="000000"/>
              <w:right w:val="single" w:sz="4" w:space="0" w:color="000000"/>
            </w:tcBorders>
          </w:tcPr>
          <w:p w14:paraId="363547A3" w14:textId="77777777" w:rsidR="00D92EBC" w:rsidRPr="009B4A73" w:rsidRDefault="0078763F" w:rsidP="00174DA5">
            <w:pPr>
              <w:spacing w:after="0" w:line="240" w:lineRule="auto"/>
              <w:ind w:left="222" w:firstLine="0"/>
              <w:rPr>
                <w:sz w:val="22"/>
              </w:rPr>
            </w:pPr>
            <w:r w:rsidRPr="009B4A73">
              <w:rPr>
                <w:sz w:val="22"/>
              </w:rPr>
              <w:t xml:space="preserve">Gastrointestinal disorders </w:t>
            </w:r>
          </w:p>
        </w:tc>
        <w:tc>
          <w:tcPr>
            <w:tcW w:w="4243" w:type="dxa"/>
            <w:tcBorders>
              <w:top w:val="single" w:sz="4" w:space="0" w:color="000000"/>
              <w:left w:val="single" w:sz="4" w:space="0" w:color="000000"/>
              <w:bottom w:val="single" w:sz="4" w:space="0" w:color="000000"/>
              <w:right w:val="single" w:sz="4" w:space="0" w:color="000000"/>
            </w:tcBorders>
          </w:tcPr>
          <w:p w14:paraId="3509FEE0" w14:textId="77777777" w:rsidR="00D92EBC" w:rsidRPr="009B4A73" w:rsidRDefault="0078763F" w:rsidP="00DB5E06">
            <w:pPr>
              <w:spacing w:after="0" w:line="240" w:lineRule="auto"/>
              <w:ind w:left="62" w:firstLine="0"/>
              <w:rPr>
                <w:sz w:val="22"/>
              </w:rPr>
            </w:pPr>
            <w:r w:rsidRPr="009B4A73">
              <w:rPr>
                <w:sz w:val="22"/>
              </w:rPr>
              <w:t xml:space="preserve">Diarrhoea  </w:t>
            </w:r>
          </w:p>
        </w:tc>
        <w:tc>
          <w:tcPr>
            <w:tcW w:w="1857" w:type="dxa"/>
            <w:tcBorders>
              <w:top w:val="single" w:sz="4" w:space="0" w:color="000000"/>
              <w:left w:val="single" w:sz="4" w:space="0" w:color="000000"/>
              <w:bottom w:val="single" w:sz="4" w:space="0" w:color="000000"/>
              <w:right w:val="single" w:sz="4" w:space="0" w:color="000000"/>
            </w:tcBorders>
          </w:tcPr>
          <w:p w14:paraId="5B8395DD"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7D02E404" w14:textId="77777777" w:rsidTr="0060424C">
        <w:tblPrEx>
          <w:jc w:val="left"/>
          <w:tblCellMar>
            <w:top w:w="11" w:type="dxa"/>
          </w:tblCellMar>
        </w:tblPrEx>
        <w:trPr>
          <w:trHeight w:val="227"/>
        </w:trPr>
        <w:tc>
          <w:tcPr>
            <w:tcW w:w="3407" w:type="dxa"/>
            <w:vMerge/>
            <w:tcBorders>
              <w:top w:val="nil"/>
              <w:left w:val="single" w:sz="4" w:space="0" w:color="000000"/>
              <w:bottom w:val="nil"/>
              <w:right w:val="single" w:sz="4" w:space="0" w:color="000000"/>
            </w:tcBorders>
          </w:tcPr>
          <w:p w14:paraId="7AB451F6"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72B94FA9" w14:textId="77777777" w:rsidR="00D92EBC" w:rsidRPr="009B4A73" w:rsidRDefault="0078763F" w:rsidP="00DB5E06">
            <w:pPr>
              <w:spacing w:after="0" w:line="240" w:lineRule="auto"/>
              <w:ind w:left="62" w:firstLine="0"/>
              <w:rPr>
                <w:sz w:val="22"/>
              </w:rPr>
            </w:pPr>
            <w:r w:rsidRPr="009B4A73">
              <w:rPr>
                <w:sz w:val="22"/>
              </w:rPr>
              <w:t xml:space="preserve">Vomiting  </w:t>
            </w:r>
          </w:p>
        </w:tc>
        <w:tc>
          <w:tcPr>
            <w:tcW w:w="1857" w:type="dxa"/>
            <w:tcBorders>
              <w:top w:val="single" w:sz="4" w:space="0" w:color="000000"/>
              <w:left w:val="single" w:sz="4" w:space="0" w:color="000000"/>
              <w:bottom w:val="single" w:sz="4" w:space="0" w:color="000000"/>
              <w:right w:val="single" w:sz="4" w:space="0" w:color="000000"/>
            </w:tcBorders>
          </w:tcPr>
          <w:p w14:paraId="4A320BFE"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5F75C8EF" w14:textId="77777777" w:rsidTr="0060424C">
        <w:tblPrEx>
          <w:jc w:val="left"/>
          <w:tblCellMar>
            <w:top w:w="11" w:type="dxa"/>
          </w:tblCellMar>
        </w:tblPrEx>
        <w:trPr>
          <w:trHeight w:val="227"/>
        </w:trPr>
        <w:tc>
          <w:tcPr>
            <w:tcW w:w="3407" w:type="dxa"/>
            <w:vMerge/>
            <w:tcBorders>
              <w:top w:val="nil"/>
              <w:left w:val="single" w:sz="4" w:space="0" w:color="000000"/>
              <w:bottom w:val="single" w:sz="4" w:space="0" w:color="000000"/>
              <w:right w:val="single" w:sz="4" w:space="0" w:color="000000"/>
            </w:tcBorders>
          </w:tcPr>
          <w:p w14:paraId="72F25800"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5626DD3A" w14:textId="77777777" w:rsidR="00D92EBC" w:rsidRPr="009B4A73" w:rsidRDefault="0078763F" w:rsidP="00DB5E06">
            <w:pPr>
              <w:spacing w:after="0" w:line="240" w:lineRule="auto"/>
              <w:ind w:left="62" w:firstLine="0"/>
              <w:rPr>
                <w:sz w:val="22"/>
              </w:rPr>
            </w:pPr>
            <w:r w:rsidRPr="009B4A73">
              <w:rPr>
                <w:sz w:val="22"/>
              </w:rPr>
              <w:t xml:space="preserve">Nausea </w:t>
            </w:r>
          </w:p>
        </w:tc>
        <w:tc>
          <w:tcPr>
            <w:tcW w:w="1857" w:type="dxa"/>
            <w:tcBorders>
              <w:top w:val="single" w:sz="4" w:space="0" w:color="000000"/>
              <w:left w:val="single" w:sz="4" w:space="0" w:color="000000"/>
              <w:bottom w:val="single" w:sz="4" w:space="0" w:color="000000"/>
              <w:right w:val="single" w:sz="4" w:space="0" w:color="000000"/>
            </w:tcBorders>
          </w:tcPr>
          <w:p w14:paraId="2C01E332"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43CC4DCE" w14:textId="77777777" w:rsidTr="0060424C">
        <w:tblPrEx>
          <w:jc w:val="left"/>
          <w:tblCellMar>
            <w:top w:w="12" w:type="dxa"/>
          </w:tblCellMar>
        </w:tblPrEx>
        <w:trPr>
          <w:trHeight w:val="227"/>
        </w:trPr>
        <w:tc>
          <w:tcPr>
            <w:tcW w:w="3407" w:type="dxa"/>
            <w:vMerge w:val="restart"/>
            <w:tcBorders>
              <w:top w:val="single" w:sz="4" w:space="0" w:color="000000"/>
              <w:left w:val="single" w:sz="4" w:space="0" w:color="000000"/>
              <w:bottom w:val="single" w:sz="4" w:space="0" w:color="000000"/>
              <w:right w:val="single" w:sz="4" w:space="0" w:color="000000"/>
            </w:tcBorders>
          </w:tcPr>
          <w:p w14:paraId="1C7942D6"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7305C0B7" w14:textId="77777777" w:rsidR="00D92EBC" w:rsidRPr="009B4A73" w:rsidRDefault="0078763F" w:rsidP="00DB5E06">
            <w:pPr>
              <w:spacing w:after="0" w:line="240" w:lineRule="auto"/>
              <w:ind w:left="62" w:firstLine="0"/>
              <w:rPr>
                <w:sz w:val="22"/>
              </w:rPr>
            </w:pPr>
            <w:r w:rsidRPr="009B4A73">
              <w:rPr>
                <w:sz w:val="22"/>
              </w:rPr>
              <w:t xml:space="preserve">Lip swelling </w:t>
            </w:r>
          </w:p>
        </w:tc>
        <w:tc>
          <w:tcPr>
            <w:tcW w:w="1857" w:type="dxa"/>
            <w:tcBorders>
              <w:top w:val="single" w:sz="4" w:space="0" w:color="000000"/>
              <w:left w:val="single" w:sz="4" w:space="0" w:color="000000"/>
              <w:bottom w:val="single" w:sz="4" w:space="0" w:color="000000"/>
              <w:right w:val="single" w:sz="4" w:space="0" w:color="000000"/>
            </w:tcBorders>
          </w:tcPr>
          <w:p w14:paraId="3EBF166E"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35B8E68B"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0FD1BB7E"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7C129A93" w14:textId="77777777" w:rsidR="00D92EBC" w:rsidRPr="009B4A73" w:rsidRDefault="0078763F" w:rsidP="00DB5E06">
            <w:pPr>
              <w:spacing w:after="0" w:line="240" w:lineRule="auto"/>
              <w:ind w:left="62" w:firstLine="0"/>
              <w:rPr>
                <w:sz w:val="22"/>
              </w:rPr>
            </w:pPr>
            <w:r w:rsidRPr="009B4A73">
              <w:rPr>
                <w:sz w:val="22"/>
              </w:rPr>
              <w:t xml:space="preserve">Abdominal pain </w:t>
            </w:r>
          </w:p>
        </w:tc>
        <w:tc>
          <w:tcPr>
            <w:tcW w:w="1857" w:type="dxa"/>
            <w:tcBorders>
              <w:top w:val="single" w:sz="4" w:space="0" w:color="000000"/>
              <w:left w:val="single" w:sz="4" w:space="0" w:color="000000"/>
              <w:bottom w:val="single" w:sz="4" w:space="0" w:color="000000"/>
              <w:right w:val="single" w:sz="4" w:space="0" w:color="000000"/>
            </w:tcBorders>
          </w:tcPr>
          <w:p w14:paraId="70C0F661"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53C9F0BA"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11712D5A"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3DE59AC8" w14:textId="77777777" w:rsidR="00D92EBC" w:rsidRPr="009B4A73" w:rsidRDefault="0078763F" w:rsidP="00DB5E06">
            <w:pPr>
              <w:spacing w:after="0" w:line="240" w:lineRule="auto"/>
              <w:ind w:left="62" w:firstLine="0"/>
              <w:rPr>
                <w:sz w:val="22"/>
              </w:rPr>
            </w:pPr>
            <w:r w:rsidRPr="009B4A73">
              <w:rPr>
                <w:sz w:val="22"/>
              </w:rPr>
              <w:t xml:space="preserve">Stomatitis </w:t>
            </w:r>
          </w:p>
        </w:tc>
        <w:tc>
          <w:tcPr>
            <w:tcW w:w="1857" w:type="dxa"/>
            <w:tcBorders>
              <w:top w:val="single" w:sz="4" w:space="0" w:color="000000"/>
              <w:left w:val="single" w:sz="4" w:space="0" w:color="000000"/>
              <w:bottom w:val="single" w:sz="4" w:space="0" w:color="000000"/>
              <w:right w:val="single" w:sz="4" w:space="0" w:color="000000"/>
            </w:tcBorders>
          </w:tcPr>
          <w:p w14:paraId="2C6FB044"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069991EB"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0524E91D"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740FB355" w14:textId="77777777" w:rsidR="00D92EBC" w:rsidRPr="009B4A73" w:rsidRDefault="0078763F" w:rsidP="00DB5E06">
            <w:pPr>
              <w:spacing w:after="0" w:line="240" w:lineRule="auto"/>
              <w:ind w:left="62" w:firstLine="0"/>
              <w:rPr>
                <w:sz w:val="22"/>
              </w:rPr>
            </w:pPr>
            <w:r w:rsidRPr="009B4A73">
              <w:rPr>
                <w:sz w:val="22"/>
              </w:rPr>
              <w:t xml:space="preserve">Pancreatitis </w:t>
            </w:r>
          </w:p>
        </w:tc>
        <w:tc>
          <w:tcPr>
            <w:tcW w:w="1857" w:type="dxa"/>
            <w:tcBorders>
              <w:top w:val="single" w:sz="4" w:space="0" w:color="000000"/>
              <w:left w:val="single" w:sz="4" w:space="0" w:color="000000"/>
              <w:bottom w:val="single" w:sz="4" w:space="0" w:color="000000"/>
              <w:right w:val="single" w:sz="4" w:space="0" w:color="000000"/>
            </w:tcBorders>
          </w:tcPr>
          <w:p w14:paraId="195FADC1"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09E0DDB3"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4C7F9ED1"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56FC857A" w14:textId="77777777" w:rsidR="00D92EBC" w:rsidRPr="009B4A73" w:rsidRDefault="0078763F" w:rsidP="00DB5E06">
            <w:pPr>
              <w:spacing w:after="0" w:line="240" w:lineRule="auto"/>
              <w:ind w:left="62" w:firstLine="0"/>
              <w:rPr>
                <w:sz w:val="22"/>
              </w:rPr>
            </w:pPr>
            <w:r w:rsidRPr="009B4A73">
              <w:rPr>
                <w:sz w:val="22"/>
              </w:rPr>
              <w:t xml:space="preserve">Constipation </w:t>
            </w:r>
          </w:p>
        </w:tc>
        <w:tc>
          <w:tcPr>
            <w:tcW w:w="1857" w:type="dxa"/>
            <w:tcBorders>
              <w:top w:val="single" w:sz="4" w:space="0" w:color="000000"/>
              <w:left w:val="single" w:sz="4" w:space="0" w:color="000000"/>
              <w:bottom w:val="single" w:sz="4" w:space="0" w:color="000000"/>
              <w:right w:val="single" w:sz="4" w:space="0" w:color="000000"/>
            </w:tcBorders>
          </w:tcPr>
          <w:p w14:paraId="30997316"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72756B34"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12A5D32D"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7EA33332" w14:textId="77777777" w:rsidR="00D92EBC" w:rsidRPr="009B4A73" w:rsidRDefault="0078763F" w:rsidP="00DB5E06">
            <w:pPr>
              <w:spacing w:after="0" w:line="240" w:lineRule="auto"/>
              <w:ind w:left="62" w:firstLine="0"/>
              <w:rPr>
                <w:sz w:val="22"/>
              </w:rPr>
            </w:pPr>
            <w:r w:rsidRPr="009B4A73">
              <w:rPr>
                <w:sz w:val="22"/>
              </w:rPr>
              <w:t xml:space="preserve">Dyspepsia </w:t>
            </w:r>
          </w:p>
        </w:tc>
        <w:tc>
          <w:tcPr>
            <w:tcW w:w="1857" w:type="dxa"/>
            <w:tcBorders>
              <w:top w:val="single" w:sz="4" w:space="0" w:color="000000"/>
              <w:left w:val="single" w:sz="4" w:space="0" w:color="000000"/>
              <w:bottom w:val="single" w:sz="4" w:space="0" w:color="000000"/>
              <w:right w:val="single" w:sz="4" w:space="0" w:color="000000"/>
            </w:tcBorders>
          </w:tcPr>
          <w:p w14:paraId="55EFFACD"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3DE19DBD"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1D9E96D7"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680D6DC6" w14:textId="77777777" w:rsidR="00D92EBC" w:rsidRPr="009B4A73" w:rsidRDefault="0078763F" w:rsidP="00DB5E06">
            <w:pPr>
              <w:spacing w:after="0" w:line="240" w:lineRule="auto"/>
              <w:ind w:left="62" w:firstLine="0"/>
              <w:rPr>
                <w:sz w:val="22"/>
              </w:rPr>
            </w:pPr>
            <w:r w:rsidRPr="009B4A73">
              <w:rPr>
                <w:sz w:val="22"/>
              </w:rPr>
              <w:t xml:space="preserve">Haemorrhoids </w:t>
            </w:r>
          </w:p>
        </w:tc>
        <w:tc>
          <w:tcPr>
            <w:tcW w:w="1857" w:type="dxa"/>
            <w:tcBorders>
              <w:top w:val="single" w:sz="4" w:space="0" w:color="000000"/>
              <w:left w:val="single" w:sz="4" w:space="0" w:color="000000"/>
              <w:bottom w:val="single" w:sz="4" w:space="0" w:color="000000"/>
              <w:right w:val="single" w:sz="4" w:space="0" w:color="000000"/>
            </w:tcBorders>
          </w:tcPr>
          <w:p w14:paraId="6639438E"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174DA5" w:rsidRPr="009B4A73" w14:paraId="3DDE7072" w14:textId="77777777" w:rsidTr="0060424C">
        <w:tblPrEx>
          <w:jc w:val="left"/>
          <w:tblCellMar>
            <w:top w:w="12" w:type="dxa"/>
          </w:tblCellMar>
        </w:tblPrEx>
        <w:trPr>
          <w:trHeight w:val="227"/>
        </w:trPr>
        <w:tc>
          <w:tcPr>
            <w:tcW w:w="3407" w:type="dxa"/>
            <w:vMerge/>
            <w:tcBorders>
              <w:top w:val="nil"/>
              <w:left w:val="single" w:sz="4" w:space="0" w:color="000000"/>
              <w:bottom w:val="single" w:sz="4" w:space="0" w:color="000000"/>
              <w:right w:val="single" w:sz="4" w:space="0" w:color="000000"/>
            </w:tcBorders>
          </w:tcPr>
          <w:p w14:paraId="136D3EDE"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61119101" w14:textId="77777777" w:rsidR="00D92EBC" w:rsidRPr="009B4A73" w:rsidRDefault="0078763F" w:rsidP="00DB5E06">
            <w:pPr>
              <w:spacing w:after="0" w:line="240" w:lineRule="auto"/>
              <w:ind w:left="62" w:firstLine="0"/>
              <w:rPr>
                <w:sz w:val="22"/>
              </w:rPr>
            </w:pPr>
            <w:r w:rsidRPr="009B4A73">
              <w:rPr>
                <w:sz w:val="22"/>
              </w:rPr>
              <w:t xml:space="preserve">Dry mouth </w:t>
            </w:r>
          </w:p>
        </w:tc>
        <w:tc>
          <w:tcPr>
            <w:tcW w:w="1857" w:type="dxa"/>
            <w:tcBorders>
              <w:top w:val="single" w:sz="4" w:space="0" w:color="000000"/>
              <w:left w:val="single" w:sz="4" w:space="0" w:color="000000"/>
              <w:bottom w:val="single" w:sz="4" w:space="0" w:color="000000"/>
              <w:right w:val="single" w:sz="4" w:space="0" w:color="000000"/>
            </w:tcBorders>
          </w:tcPr>
          <w:p w14:paraId="79F4C2B4" w14:textId="1563D539" w:rsidR="00F53773" w:rsidRPr="009B4A73" w:rsidRDefault="0078763F" w:rsidP="00174DA5">
            <w:pPr>
              <w:spacing w:after="0" w:line="240" w:lineRule="auto"/>
              <w:ind w:left="88" w:firstLine="0"/>
              <w:rPr>
                <w:sz w:val="22"/>
              </w:rPr>
            </w:pPr>
            <w:r w:rsidRPr="009B4A73">
              <w:rPr>
                <w:sz w:val="22"/>
              </w:rPr>
              <w:t xml:space="preserve">Common </w:t>
            </w:r>
          </w:p>
        </w:tc>
      </w:tr>
      <w:tr w:rsidR="00174DA5" w:rsidRPr="009B4A73" w14:paraId="0F5BD080" w14:textId="77777777" w:rsidTr="0060424C">
        <w:tblPrEx>
          <w:jc w:val="left"/>
          <w:tblCellMar>
            <w:top w:w="12" w:type="dxa"/>
          </w:tblCellMar>
        </w:tblPrEx>
        <w:trPr>
          <w:trHeight w:val="227"/>
        </w:trPr>
        <w:tc>
          <w:tcPr>
            <w:tcW w:w="3407" w:type="dxa"/>
            <w:vMerge w:val="restart"/>
            <w:tcBorders>
              <w:top w:val="single" w:sz="4" w:space="0" w:color="000000"/>
              <w:left w:val="single" w:sz="4" w:space="0" w:color="000000"/>
              <w:bottom w:val="single" w:sz="4" w:space="0" w:color="000000"/>
              <w:right w:val="single" w:sz="4" w:space="0" w:color="000000"/>
            </w:tcBorders>
          </w:tcPr>
          <w:p w14:paraId="198CA566" w14:textId="77777777" w:rsidR="00D92EBC" w:rsidRPr="009B4A73" w:rsidRDefault="0078763F" w:rsidP="00174DA5">
            <w:pPr>
              <w:spacing w:after="0" w:line="240" w:lineRule="auto"/>
              <w:ind w:left="222" w:firstLine="0"/>
              <w:rPr>
                <w:sz w:val="22"/>
              </w:rPr>
            </w:pPr>
            <w:r w:rsidRPr="009B4A73">
              <w:rPr>
                <w:sz w:val="22"/>
              </w:rPr>
              <w:t xml:space="preserve">Hepatobiliary disorders </w:t>
            </w:r>
          </w:p>
        </w:tc>
        <w:tc>
          <w:tcPr>
            <w:tcW w:w="4243" w:type="dxa"/>
            <w:tcBorders>
              <w:top w:val="single" w:sz="4" w:space="0" w:color="000000"/>
              <w:left w:val="single" w:sz="4" w:space="0" w:color="000000"/>
              <w:bottom w:val="single" w:sz="4" w:space="0" w:color="000000"/>
              <w:right w:val="single" w:sz="4" w:space="0" w:color="000000"/>
            </w:tcBorders>
          </w:tcPr>
          <w:p w14:paraId="43B207AE" w14:textId="77777777" w:rsidR="00D92EBC" w:rsidRPr="009B4A73" w:rsidRDefault="0078763F" w:rsidP="00DB5E06">
            <w:pPr>
              <w:spacing w:after="0" w:line="240" w:lineRule="auto"/>
              <w:ind w:left="62" w:firstLine="0"/>
              <w:rPr>
                <w:sz w:val="22"/>
              </w:rPr>
            </w:pPr>
            <w:r w:rsidRPr="009B4A73">
              <w:rPr>
                <w:sz w:val="22"/>
              </w:rPr>
              <w:t xml:space="preserve">Hepatocellular Injury </w:t>
            </w:r>
          </w:p>
        </w:tc>
        <w:tc>
          <w:tcPr>
            <w:tcW w:w="1857" w:type="dxa"/>
            <w:tcBorders>
              <w:top w:val="single" w:sz="4" w:space="0" w:color="000000"/>
              <w:left w:val="single" w:sz="4" w:space="0" w:color="000000"/>
              <w:bottom w:val="single" w:sz="4" w:space="0" w:color="000000"/>
              <w:right w:val="single" w:sz="4" w:space="0" w:color="000000"/>
            </w:tcBorders>
          </w:tcPr>
          <w:p w14:paraId="1FDD7EF2"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174DA5" w:rsidRPr="009B4A73" w14:paraId="6C23B06E"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505A7605"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396E8E82" w14:textId="77777777" w:rsidR="00D92EBC" w:rsidRPr="009B4A73" w:rsidRDefault="0078763F" w:rsidP="00DB5E06">
            <w:pPr>
              <w:spacing w:after="0" w:line="240" w:lineRule="auto"/>
              <w:ind w:left="62" w:firstLine="0"/>
              <w:rPr>
                <w:sz w:val="22"/>
              </w:rPr>
            </w:pPr>
            <w:r w:rsidRPr="009B4A73">
              <w:rPr>
                <w:sz w:val="22"/>
              </w:rPr>
              <w:t xml:space="preserve">Hepatitis </w:t>
            </w:r>
          </w:p>
        </w:tc>
        <w:tc>
          <w:tcPr>
            <w:tcW w:w="1857" w:type="dxa"/>
            <w:tcBorders>
              <w:top w:val="single" w:sz="4" w:space="0" w:color="000000"/>
              <w:left w:val="single" w:sz="4" w:space="0" w:color="000000"/>
              <w:bottom w:val="single" w:sz="4" w:space="0" w:color="000000"/>
              <w:right w:val="single" w:sz="4" w:space="0" w:color="000000"/>
            </w:tcBorders>
          </w:tcPr>
          <w:p w14:paraId="615DF242"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174DA5" w:rsidRPr="009B4A73" w14:paraId="251C90A7"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30345FBA"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64492E79" w14:textId="77777777" w:rsidR="00D92EBC" w:rsidRPr="009B4A73" w:rsidRDefault="0078763F" w:rsidP="00DB5E06">
            <w:pPr>
              <w:spacing w:after="0" w:line="240" w:lineRule="auto"/>
              <w:ind w:left="62" w:firstLine="0"/>
              <w:rPr>
                <w:sz w:val="22"/>
              </w:rPr>
            </w:pPr>
            <w:r w:rsidRPr="009B4A73">
              <w:rPr>
                <w:sz w:val="22"/>
              </w:rPr>
              <w:t xml:space="preserve">Liver Tenderness </w:t>
            </w:r>
          </w:p>
        </w:tc>
        <w:tc>
          <w:tcPr>
            <w:tcW w:w="1857" w:type="dxa"/>
            <w:tcBorders>
              <w:top w:val="single" w:sz="4" w:space="0" w:color="000000"/>
              <w:left w:val="single" w:sz="4" w:space="0" w:color="000000"/>
              <w:bottom w:val="single" w:sz="4" w:space="0" w:color="000000"/>
              <w:right w:val="single" w:sz="4" w:space="0" w:color="000000"/>
            </w:tcBorders>
          </w:tcPr>
          <w:p w14:paraId="6688B1DE"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174DA5" w:rsidRPr="009B4A73" w14:paraId="1988A1C6"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53E62BEF"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403064CA" w14:textId="77777777" w:rsidR="00D92EBC" w:rsidRPr="009B4A73" w:rsidRDefault="0078763F" w:rsidP="00DB5E06">
            <w:pPr>
              <w:spacing w:after="0" w:line="240" w:lineRule="auto"/>
              <w:ind w:left="62" w:firstLine="0"/>
              <w:rPr>
                <w:sz w:val="22"/>
              </w:rPr>
            </w:pPr>
            <w:r w:rsidRPr="009B4A73">
              <w:rPr>
                <w:sz w:val="22"/>
              </w:rPr>
              <w:t xml:space="preserve">Jaundice </w:t>
            </w:r>
          </w:p>
        </w:tc>
        <w:tc>
          <w:tcPr>
            <w:tcW w:w="1857" w:type="dxa"/>
            <w:tcBorders>
              <w:top w:val="single" w:sz="4" w:space="0" w:color="000000"/>
              <w:left w:val="single" w:sz="4" w:space="0" w:color="000000"/>
              <w:bottom w:val="single" w:sz="4" w:space="0" w:color="000000"/>
              <w:right w:val="single" w:sz="4" w:space="0" w:color="000000"/>
            </w:tcBorders>
          </w:tcPr>
          <w:p w14:paraId="1B97619E" w14:textId="77777777" w:rsidR="00D92EBC" w:rsidRPr="009B4A73" w:rsidRDefault="0078763F" w:rsidP="00174DA5">
            <w:pPr>
              <w:spacing w:after="0" w:line="240" w:lineRule="auto"/>
              <w:ind w:left="88" w:firstLine="0"/>
              <w:rPr>
                <w:sz w:val="22"/>
              </w:rPr>
            </w:pPr>
            <w:r w:rsidRPr="009B4A73">
              <w:rPr>
                <w:sz w:val="22"/>
              </w:rPr>
              <w:t xml:space="preserve">Rare </w:t>
            </w:r>
          </w:p>
        </w:tc>
      </w:tr>
      <w:tr w:rsidR="00174DA5" w:rsidRPr="009B4A73" w14:paraId="750E11C2" w14:textId="77777777" w:rsidTr="0060424C">
        <w:tblPrEx>
          <w:jc w:val="left"/>
          <w:tblCellMar>
            <w:top w:w="12" w:type="dxa"/>
          </w:tblCellMar>
        </w:tblPrEx>
        <w:trPr>
          <w:trHeight w:val="227"/>
        </w:trPr>
        <w:tc>
          <w:tcPr>
            <w:tcW w:w="3407" w:type="dxa"/>
            <w:vMerge/>
            <w:tcBorders>
              <w:top w:val="nil"/>
              <w:left w:val="single" w:sz="4" w:space="0" w:color="000000"/>
              <w:bottom w:val="single" w:sz="4" w:space="0" w:color="000000"/>
              <w:right w:val="single" w:sz="4" w:space="0" w:color="000000"/>
            </w:tcBorders>
          </w:tcPr>
          <w:p w14:paraId="29B2E553"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4F146410" w14:textId="77777777" w:rsidR="00D92EBC" w:rsidRPr="009B4A73" w:rsidRDefault="0078763F" w:rsidP="00DB5E06">
            <w:pPr>
              <w:spacing w:after="0" w:line="240" w:lineRule="auto"/>
              <w:ind w:left="62" w:firstLine="0"/>
              <w:rPr>
                <w:sz w:val="22"/>
              </w:rPr>
            </w:pPr>
            <w:r w:rsidRPr="009B4A73">
              <w:rPr>
                <w:sz w:val="22"/>
              </w:rPr>
              <w:t xml:space="preserve">Hepatic Failure </w:t>
            </w:r>
          </w:p>
        </w:tc>
        <w:tc>
          <w:tcPr>
            <w:tcW w:w="1857" w:type="dxa"/>
            <w:tcBorders>
              <w:top w:val="single" w:sz="4" w:space="0" w:color="000000"/>
              <w:left w:val="single" w:sz="4" w:space="0" w:color="000000"/>
              <w:bottom w:val="single" w:sz="4" w:space="0" w:color="000000"/>
              <w:right w:val="single" w:sz="4" w:space="0" w:color="000000"/>
            </w:tcBorders>
          </w:tcPr>
          <w:p w14:paraId="5C4F9B85" w14:textId="77777777" w:rsidR="00D92EBC" w:rsidRPr="009B4A73" w:rsidRDefault="0078763F" w:rsidP="00174DA5">
            <w:pPr>
              <w:spacing w:after="0" w:line="240" w:lineRule="auto"/>
              <w:ind w:left="88" w:firstLine="0"/>
              <w:rPr>
                <w:sz w:val="22"/>
              </w:rPr>
            </w:pPr>
            <w:r w:rsidRPr="009B4A73">
              <w:rPr>
                <w:sz w:val="22"/>
              </w:rPr>
              <w:t xml:space="preserve">Not known </w:t>
            </w:r>
          </w:p>
        </w:tc>
      </w:tr>
      <w:tr w:rsidR="00174DA5" w:rsidRPr="009B4A73" w14:paraId="14768F92" w14:textId="77777777" w:rsidTr="0060424C">
        <w:tblPrEx>
          <w:jc w:val="left"/>
          <w:tblCellMar>
            <w:top w:w="12" w:type="dxa"/>
          </w:tblCellMar>
        </w:tblPrEx>
        <w:trPr>
          <w:trHeight w:val="227"/>
        </w:trPr>
        <w:tc>
          <w:tcPr>
            <w:tcW w:w="3407" w:type="dxa"/>
            <w:vMerge w:val="restart"/>
            <w:tcBorders>
              <w:top w:val="single" w:sz="4" w:space="0" w:color="000000"/>
              <w:left w:val="single" w:sz="4" w:space="0" w:color="000000"/>
              <w:bottom w:val="single" w:sz="4" w:space="0" w:color="000000"/>
              <w:right w:val="single" w:sz="4" w:space="0" w:color="000000"/>
            </w:tcBorders>
          </w:tcPr>
          <w:p w14:paraId="37CC3484" w14:textId="77777777" w:rsidR="00D92EBC" w:rsidRPr="009B4A73" w:rsidRDefault="0078763F" w:rsidP="00174DA5">
            <w:pPr>
              <w:spacing w:after="0" w:line="240" w:lineRule="auto"/>
              <w:ind w:left="82" w:firstLine="0"/>
              <w:rPr>
                <w:sz w:val="22"/>
              </w:rPr>
            </w:pPr>
            <w:r w:rsidRPr="009B4A73">
              <w:rPr>
                <w:sz w:val="22"/>
              </w:rPr>
              <w:t xml:space="preserve">Skin and subcutaneous tissue disorders  </w:t>
            </w:r>
          </w:p>
        </w:tc>
        <w:tc>
          <w:tcPr>
            <w:tcW w:w="4243" w:type="dxa"/>
            <w:tcBorders>
              <w:top w:val="single" w:sz="4" w:space="0" w:color="000000"/>
              <w:left w:val="single" w:sz="4" w:space="0" w:color="000000"/>
              <w:bottom w:val="single" w:sz="4" w:space="0" w:color="000000"/>
              <w:right w:val="single" w:sz="4" w:space="0" w:color="000000"/>
            </w:tcBorders>
          </w:tcPr>
          <w:p w14:paraId="30077B4E" w14:textId="77777777" w:rsidR="00D92EBC" w:rsidRPr="009B4A73" w:rsidRDefault="0078763F" w:rsidP="00DB5E06">
            <w:pPr>
              <w:spacing w:after="0" w:line="240" w:lineRule="auto"/>
              <w:ind w:left="62" w:firstLine="0"/>
              <w:rPr>
                <w:sz w:val="22"/>
              </w:rPr>
            </w:pPr>
            <w:r w:rsidRPr="009B4A73">
              <w:rPr>
                <w:sz w:val="22"/>
              </w:rPr>
              <w:t xml:space="preserve">Erythema </w:t>
            </w:r>
          </w:p>
        </w:tc>
        <w:tc>
          <w:tcPr>
            <w:tcW w:w="1857" w:type="dxa"/>
            <w:tcBorders>
              <w:top w:val="single" w:sz="4" w:space="0" w:color="000000"/>
              <w:left w:val="single" w:sz="4" w:space="0" w:color="000000"/>
              <w:bottom w:val="single" w:sz="4" w:space="0" w:color="000000"/>
              <w:right w:val="single" w:sz="4" w:space="0" w:color="000000"/>
            </w:tcBorders>
          </w:tcPr>
          <w:p w14:paraId="2A122086"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7061F371"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236E942E"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64376EC4" w14:textId="77777777" w:rsidR="00D92EBC" w:rsidRPr="009B4A73" w:rsidRDefault="0078763F" w:rsidP="00DB5E06">
            <w:pPr>
              <w:spacing w:after="0" w:line="240" w:lineRule="auto"/>
              <w:ind w:left="62" w:firstLine="0"/>
              <w:rPr>
                <w:sz w:val="22"/>
              </w:rPr>
            </w:pPr>
            <w:r w:rsidRPr="009B4A73">
              <w:rPr>
                <w:sz w:val="22"/>
              </w:rPr>
              <w:t xml:space="preserve">Rash </w:t>
            </w:r>
          </w:p>
        </w:tc>
        <w:tc>
          <w:tcPr>
            <w:tcW w:w="1857" w:type="dxa"/>
            <w:tcBorders>
              <w:top w:val="single" w:sz="4" w:space="0" w:color="000000"/>
              <w:left w:val="single" w:sz="4" w:space="0" w:color="000000"/>
              <w:bottom w:val="single" w:sz="4" w:space="0" w:color="000000"/>
              <w:right w:val="single" w:sz="4" w:space="0" w:color="000000"/>
            </w:tcBorders>
          </w:tcPr>
          <w:p w14:paraId="3DA14F09"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512F0F1C"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78C53AD2"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416E8566" w14:textId="77777777" w:rsidR="00D92EBC" w:rsidRPr="009B4A73" w:rsidRDefault="0078763F" w:rsidP="00DB5E06">
            <w:pPr>
              <w:spacing w:after="0" w:line="240" w:lineRule="auto"/>
              <w:ind w:left="62" w:firstLine="0"/>
              <w:rPr>
                <w:sz w:val="22"/>
              </w:rPr>
            </w:pPr>
            <w:r w:rsidRPr="009B4A73">
              <w:rPr>
                <w:sz w:val="22"/>
                <w:vertAlign w:val="superscript"/>
              </w:rPr>
              <w:t xml:space="preserve"> 3</w:t>
            </w:r>
            <w:r w:rsidRPr="009B4A73">
              <w:rPr>
                <w:sz w:val="22"/>
              </w:rPr>
              <w:t>Swelling face</w:t>
            </w:r>
            <w:r w:rsidRPr="009B4A73">
              <w:rPr>
                <w:sz w:val="22"/>
                <w:vertAlign w:val="superscript"/>
              </w:rPr>
              <w:t xml:space="preserve"> </w:t>
            </w:r>
          </w:p>
        </w:tc>
        <w:tc>
          <w:tcPr>
            <w:tcW w:w="1857" w:type="dxa"/>
            <w:tcBorders>
              <w:top w:val="single" w:sz="4" w:space="0" w:color="000000"/>
              <w:left w:val="single" w:sz="4" w:space="0" w:color="000000"/>
              <w:bottom w:val="single" w:sz="4" w:space="0" w:color="000000"/>
              <w:right w:val="single" w:sz="4" w:space="0" w:color="000000"/>
            </w:tcBorders>
          </w:tcPr>
          <w:p w14:paraId="48005E50"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527E26F4"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15637C2B"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249F2CAE" w14:textId="77777777" w:rsidR="00D92EBC" w:rsidRPr="009B4A73" w:rsidRDefault="0078763F" w:rsidP="00DB5E06">
            <w:pPr>
              <w:spacing w:after="0" w:line="240" w:lineRule="auto"/>
              <w:ind w:left="62" w:firstLine="0"/>
              <w:rPr>
                <w:sz w:val="22"/>
              </w:rPr>
            </w:pPr>
            <w:r w:rsidRPr="009B4A73">
              <w:rPr>
                <w:sz w:val="22"/>
              </w:rPr>
              <w:t xml:space="preserve">Palmar-plantar </w:t>
            </w:r>
            <w:proofErr w:type="spellStart"/>
            <w:r w:rsidRPr="009B4A73">
              <w:rPr>
                <w:sz w:val="22"/>
              </w:rPr>
              <w:t>erythrodysaesthesia</w:t>
            </w:r>
            <w:proofErr w:type="spellEnd"/>
            <w:r w:rsidRPr="009B4A73">
              <w:rPr>
                <w:sz w:val="22"/>
              </w:rPr>
              <w:t xml:space="preserve"> syndrome </w:t>
            </w:r>
          </w:p>
        </w:tc>
        <w:tc>
          <w:tcPr>
            <w:tcW w:w="1857" w:type="dxa"/>
            <w:tcBorders>
              <w:top w:val="single" w:sz="4" w:space="0" w:color="000000"/>
              <w:left w:val="single" w:sz="4" w:space="0" w:color="000000"/>
              <w:bottom w:val="single" w:sz="4" w:space="0" w:color="000000"/>
              <w:right w:val="single" w:sz="4" w:space="0" w:color="000000"/>
            </w:tcBorders>
          </w:tcPr>
          <w:p w14:paraId="0981C563"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2777DA93"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4CA93D20"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139AD057" w14:textId="77777777" w:rsidR="00D92EBC" w:rsidRPr="009B4A73" w:rsidRDefault="0078763F" w:rsidP="00DB5E06">
            <w:pPr>
              <w:spacing w:after="0" w:line="240" w:lineRule="auto"/>
              <w:ind w:left="62" w:firstLine="0"/>
              <w:rPr>
                <w:sz w:val="22"/>
              </w:rPr>
            </w:pPr>
            <w:r w:rsidRPr="009B4A73">
              <w:rPr>
                <w:sz w:val="22"/>
              </w:rPr>
              <w:t xml:space="preserve">Nail disorder </w:t>
            </w:r>
          </w:p>
        </w:tc>
        <w:tc>
          <w:tcPr>
            <w:tcW w:w="1857" w:type="dxa"/>
            <w:tcBorders>
              <w:top w:val="single" w:sz="4" w:space="0" w:color="000000"/>
              <w:left w:val="single" w:sz="4" w:space="0" w:color="000000"/>
              <w:bottom w:val="single" w:sz="4" w:space="0" w:color="000000"/>
              <w:right w:val="single" w:sz="4" w:space="0" w:color="000000"/>
            </w:tcBorders>
          </w:tcPr>
          <w:p w14:paraId="353759AC"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7A8BA5BA"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3C0910FE"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42DDC713" w14:textId="77777777" w:rsidR="00D92EBC" w:rsidRPr="009B4A73" w:rsidRDefault="0078763F" w:rsidP="00DB5E06">
            <w:pPr>
              <w:spacing w:after="0" w:line="240" w:lineRule="auto"/>
              <w:ind w:left="62" w:firstLine="0"/>
              <w:rPr>
                <w:sz w:val="22"/>
              </w:rPr>
            </w:pPr>
            <w:r w:rsidRPr="009B4A73">
              <w:rPr>
                <w:sz w:val="22"/>
              </w:rPr>
              <w:t xml:space="preserve">Alopecia </w:t>
            </w:r>
          </w:p>
        </w:tc>
        <w:tc>
          <w:tcPr>
            <w:tcW w:w="1857" w:type="dxa"/>
            <w:tcBorders>
              <w:top w:val="single" w:sz="4" w:space="0" w:color="000000"/>
              <w:left w:val="single" w:sz="4" w:space="0" w:color="000000"/>
              <w:bottom w:val="single" w:sz="4" w:space="0" w:color="000000"/>
              <w:right w:val="single" w:sz="4" w:space="0" w:color="000000"/>
            </w:tcBorders>
          </w:tcPr>
          <w:p w14:paraId="512B05D5"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430F09B1"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5A61B93E"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720C7648" w14:textId="77777777" w:rsidR="00D92EBC" w:rsidRPr="009B4A73" w:rsidRDefault="0078763F" w:rsidP="00DB5E06">
            <w:pPr>
              <w:spacing w:after="0" w:line="240" w:lineRule="auto"/>
              <w:ind w:left="62" w:firstLine="0"/>
              <w:rPr>
                <w:sz w:val="22"/>
              </w:rPr>
            </w:pPr>
            <w:r w:rsidRPr="009B4A73">
              <w:rPr>
                <w:sz w:val="22"/>
              </w:rPr>
              <w:t xml:space="preserve">Dry skin </w:t>
            </w:r>
          </w:p>
        </w:tc>
        <w:tc>
          <w:tcPr>
            <w:tcW w:w="1857" w:type="dxa"/>
            <w:tcBorders>
              <w:top w:val="single" w:sz="4" w:space="0" w:color="000000"/>
              <w:left w:val="single" w:sz="4" w:space="0" w:color="000000"/>
              <w:bottom w:val="single" w:sz="4" w:space="0" w:color="000000"/>
              <w:right w:val="single" w:sz="4" w:space="0" w:color="000000"/>
            </w:tcBorders>
          </w:tcPr>
          <w:p w14:paraId="6322A489"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174DA5" w:rsidRPr="009B4A73" w14:paraId="763E0DF2"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32F390AF"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45026B0E" w14:textId="77777777" w:rsidR="00D92EBC" w:rsidRPr="009B4A73" w:rsidRDefault="0078763F" w:rsidP="00DB5E06">
            <w:pPr>
              <w:spacing w:after="0" w:line="240" w:lineRule="auto"/>
              <w:ind w:left="62" w:firstLine="0"/>
              <w:rPr>
                <w:sz w:val="22"/>
              </w:rPr>
            </w:pPr>
            <w:r w:rsidRPr="009B4A73">
              <w:rPr>
                <w:sz w:val="22"/>
              </w:rPr>
              <w:t xml:space="preserve">Ecchymosis </w:t>
            </w:r>
          </w:p>
        </w:tc>
        <w:tc>
          <w:tcPr>
            <w:tcW w:w="1857" w:type="dxa"/>
            <w:tcBorders>
              <w:top w:val="single" w:sz="4" w:space="0" w:color="000000"/>
              <w:left w:val="single" w:sz="4" w:space="0" w:color="000000"/>
              <w:bottom w:val="single" w:sz="4" w:space="0" w:color="000000"/>
              <w:right w:val="single" w:sz="4" w:space="0" w:color="000000"/>
            </w:tcBorders>
          </w:tcPr>
          <w:p w14:paraId="08D1DDFE"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174DA5" w:rsidRPr="009B4A73" w14:paraId="5EB84122"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45A9F15A"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239CEE07" w14:textId="77777777" w:rsidR="00D92EBC" w:rsidRPr="009B4A73" w:rsidRDefault="0078763F" w:rsidP="00DB5E06">
            <w:pPr>
              <w:spacing w:after="0" w:line="240" w:lineRule="auto"/>
              <w:ind w:left="62" w:firstLine="0"/>
              <w:rPr>
                <w:sz w:val="22"/>
              </w:rPr>
            </w:pPr>
            <w:proofErr w:type="spellStart"/>
            <w:r w:rsidRPr="009B4A73">
              <w:rPr>
                <w:sz w:val="22"/>
              </w:rPr>
              <w:t>Hyperhydrosis</w:t>
            </w:r>
            <w:proofErr w:type="spellEnd"/>
            <w:r w:rsidRPr="009B4A73">
              <w:rPr>
                <w:sz w:val="22"/>
              </w:rPr>
              <w:t xml:space="preserve"> </w:t>
            </w:r>
          </w:p>
        </w:tc>
        <w:tc>
          <w:tcPr>
            <w:tcW w:w="1857" w:type="dxa"/>
            <w:tcBorders>
              <w:top w:val="single" w:sz="4" w:space="0" w:color="000000"/>
              <w:left w:val="single" w:sz="4" w:space="0" w:color="000000"/>
              <w:bottom w:val="single" w:sz="4" w:space="0" w:color="000000"/>
              <w:right w:val="single" w:sz="4" w:space="0" w:color="000000"/>
            </w:tcBorders>
          </w:tcPr>
          <w:p w14:paraId="56643E56"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174DA5" w:rsidRPr="009B4A73" w14:paraId="508AA640"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5DA791A9"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008BF836" w14:textId="77777777" w:rsidR="00D92EBC" w:rsidRPr="009B4A73" w:rsidRDefault="0078763F" w:rsidP="00DB5E06">
            <w:pPr>
              <w:spacing w:after="0" w:line="240" w:lineRule="auto"/>
              <w:ind w:left="62" w:firstLine="0"/>
              <w:rPr>
                <w:sz w:val="22"/>
              </w:rPr>
            </w:pPr>
            <w:r w:rsidRPr="009B4A73">
              <w:rPr>
                <w:sz w:val="22"/>
              </w:rPr>
              <w:t xml:space="preserve">Maculopapular rash </w:t>
            </w:r>
          </w:p>
        </w:tc>
        <w:tc>
          <w:tcPr>
            <w:tcW w:w="1857" w:type="dxa"/>
            <w:tcBorders>
              <w:top w:val="single" w:sz="4" w:space="0" w:color="000000"/>
              <w:left w:val="single" w:sz="4" w:space="0" w:color="000000"/>
              <w:bottom w:val="single" w:sz="4" w:space="0" w:color="000000"/>
              <w:right w:val="single" w:sz="4" w:space="0" w:color="000000"/>
            </w:tcBorders>
          </w:tcPr>
          <w:p w14:paraId="14BDCDBE"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174DA5" w:rsidRPr="009B4A73" w14:paraId="5F88F7CF"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7218BB61"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39D95D64" w14:textId="77777777" w:rsidR="00D92EBC" w:rsidRPr="009B4A73" w:rsidRDefault="0078763F" w:rsidP="00DB5E06">
            <w:pPr>
              <w:spacing w:after="0" w:line="240" w:lineRule="auto"/>
              <w:ind w:left="62" w:firstLine="0"/>
              <w:rPr>
                <w:sz w:val="22"/>
              </w:rPr>
            </w:pPr>
            <w:r w:rsidRPr="009B4A73">
              <w:rPr>
                <w:sz w:val="22"/>
              </w:rPr>
              <w:t xml:space="preserve">Acne </w:t>
            </w:r>
          </w:p>
        </w:tc>
        <w:tc>
          <w:tcPr>
            <w:tcW w:w="1857" w:type="dxa"/>
            <w:tcBorders>
              <w:top w:val="single" w:sz="4" w:space="0" w:color="000000"/>
              <w:left w:val="single" w:sz="4" w:space="0" w:color="000000"/>
              <w:bottom w:val="single" w:sz="4" w:space="0" w:color="000000"/>
              <w:right w:val="single" w:sz="4" w:space="0" w:color="000000"/>
            </w:tcBorders>
          </w:tcPr>
          <w:p w14:paraId="62E0A78F"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174DA5" w:rsidRPr="009B4A73" w14:paraId="232A2956"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24979864"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66BE0626" w14:textId="77777777" w:rsidR="00D92EBC" w:rsidRPr="009B4A73" w:rsidRDefault="0078763F" w:rsidP="00DB5E06">
            <w:pPr>
              <w:spacing w:after="0" w:line="240" w:lineRule="auto"/>
              <w:ind w:left="62" w:firstLine="0"/>
              <w:rPr>
                <w:sz w:val="22"/>
              </w:rPr>
            </w:pPr>
            <w:proofErr w:type="spellStart"/>
            <w:r w:rsidRPr="009B4A73">
              <w:rPr>
                <w:sz w:val="22"/>
              </w:rPr>
              <w:t>Onychoclasis</w:t>
            </w:r>
            <w:proofErr w:type="spellEnd"/>
            <w:r w:rsidRPr="009B4A73">
              <w:rPr>
                <w:sz w:val="22"/>
              </w:rPr>
              <w:t xml:space="preserve"> </w:t>
            </w:r>
          </w:p>
        </w:tc>
        <w:tc>
          <w:tcPr>
            <w:tcW w:w="1857" w:type="dxa"/>
            <w:tcBorders>
              <w:top w:val="single" w:sz="4" w:space="0" w:color="000000"/>
              <w:left w:val="single" w:sz="4" w:space="0" w:color="000000"/>
              <w:bottom w:val="single" w:sz="4" w:space="0" w:color="000000"/>
              <w:right w:val="single" w:sz="4" w:space="0" w:color="000000"/>
            </w:tcBorders>
          </w:tcPr>
          <w:p w14:paraId="22FEC722"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174DA5" w:rsidRPr="009B4A73" w14:paraId="4E9009EB"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238094BF"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16D72853" w14:textId="77777777" w:rsidR="00D92EBC" w:rsidRPr="009B4A73" w:rsidRDefault="0078763F" w:rsidP="00DB5E06">
            <w:pPr>
              <w:spacing w:after="0" w:line="240" w:lineRule="auto"/>
              <w:ind w:left="62" w:firstLine="0"/>
              <w:rPr>
                <w:sz w:val="22"/>
              </w:rPr>
            </w:pPr>
            <w:r w:rsidRPr="009B4A73">
              <w:rPr>
                <w:sz w:val="22"/>
              </w:rPr>
              <w:t xml:space="preserve">Pruritus </w:t>
            </w:r>
          </w:p>
        </w:tc>
        <w:tc>
          <w:tcPr>
            <w:tcW w:w="1857" w:type="dxa"/>
            <w:tcBorders>
              <w:top w:val="single" w:sz="4" w:space="0" w:color="000000"/>
              <w:left w:val="single" w:sz="4" w:space="0" w:color="000000"/>
              <w:bottom w:val="single" w:sz="4" w:space="0" w:color="000000"/>
              <w:right w:val="single" w:sz="4" w:space="0" w:color="000000"/>
            </w:tcBorders>
          </w:tcPr>
          <w:p w14:paraId="5732AFD3"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174DA5" w:rsidRPr="009B4A73" w14:paraId="2C1BB7D1"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06D9552A"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5AA4E919" w14:textId="77777777" w:rsidR="00D92EBC" w:rsidRPr="009B4A73" w:rsidRDefault="0078763F" w:rsidP="00DB5E06">
            <w:pPr>
              <w:spacing w:after="0" w:line="240" w:lineRule="auto"/>
              <w:ind w:left="62" w:firstLine="0"/>
              <w:rPr>
                <w:sz w:val="22"/>
              </w:rPr>
            </w:pPr>
            <w:r w:rsidRPr="009B4A73">
              <w:rPr>
                <w:sz w:val="22"/>
              </w:rPr>
              <w:t xml:space="preserve">Dermatitis </w:t>
            </w:r>
          </w:p>
        </w:tc>
        <w:tc>
          <w:tcPr>
            <w:tcW w:w="1857" w:type="dxa"/>
            <w:tcBorders>
              <w:top w:val="single" w:sz="4" w:space="0" w:color="000000"/>
              <w:left w:val="single" w:sz="4" w:space="0" w:color="000000"/>
              <w:bottom w:val="single" w:sz="4" w:space="0" w:color="000000"/>
              <w:right w:val="single" w:sz="4" w:space="0" w:color="000000"/>
            </w:tcBorders>
          </w:tcPr>
          <w:p w14:paraId="038F50CF"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174DA5" w:rsidRPr="009B4A73" w14:paraId="218374EA"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3E67A39E"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28FCC44F" w14:textId="77777777" w:rsidR="00D92EBC" w:rsidRPr="009B4A73" w:rsidRDefault="0078763F" w:rsidP="00DB5E06">
            <w:pPr>
              <w:spacing w:after="0" w:line="240" w:lineRule="auto"/>
              <w:ind w:left="62" w:firstLine="0"/>
              <w:rPr>
                <w:sz w:val="22"/>
              </w:rPr>
            </w:pPr>
            <w:r w:rsidRPr="009B4A73">
              <w:rPr>
                <w:sz w:val="22"/>
              </w:rPr>
              <w:t xml:space="preserve">Urticaria </w:t>
            </w:r>
          </w:p>
        </w:tc>
        <w:tc>
          <w:tcPr>
            <w:tcW w:w="1857" w:type="dxa"/>
            <w:tcBorders>
              <w:top w:val="single" w:sz="4" w:space="0" w:color="000000"/>
              <w:left w:val="single" w:sz="4" w:space="0" w:color="000000"/>
              <w:bottom w:val="single" w:sz="4" w:space="0" w:color="000000"/>
              <w:right w:val="single" w:sz="4" w:space="0" w:color="000000"/>
            </w:tcBorders>
          </w:tcPr>
          <w:p w14:paraId="0403D15C" w14:textId="77777777" w:rsidR="00D92EBC" w:rsidRPr="009B4A73" w:rsidRDefault="0078763F" w:rsidP="00174DA5">
            <w:pPr>
              <w:spacing w:after="0" w:line="240" w:lineRule="auto"/>
              <w:ind w:left="88" w:firstLine="0"/>
              <w:rPr>
                <w:sz w:val="22"/>
              </w:rPr>
            </w:pPr>
            <w:r w:rsidRPr="009B4A73">
              <w:rPr>
                <w:sz w:val="22"/>
              </w:rPr>
              <w:t xml:space="preserve">Uncommon </w:t>
            </w:r>
          </w:p>
        </w:tc>
      </w:tr>
      <w:tr w:rsidR="00174DA5" w:rsidRPr="009B4A73" w14:paraId="6A54F8C9" w14:textId="77777777" w:rsidTr="0060424C">
        <w:tblPrEx>
          <w:jc w:val="left"/>
          <w:tblCellMar>
            <w:top w:w="12" w:type="dxa"/>
          </w:tblCellMar>
        </w:tblPrEx>
        <w:trPr>
          <w:trHeight w:val="227"/>
        </w:trPr>
        <w:tc>
          <w:tcPr>
            <w:tcW w:w="3407" w:type="dxa"/>
            <w:vMerge/>
            <w:tcBorders>
              <w:top w:val="nil"/>
              <w:left w:val="single" w:sz="4" w:space="0" w:color="000000"/>
              <w:bottom w:val="single" w:sz="4" w:space="0" w:color="000000"/>
              <w:right w:val="single" w:sz="4" w:space="0" w:color="000000"/>
            </w:tcBorders>
          </w:tcPr>
          <w:p w14:paraId="4B28FB37"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7E3A4E62" w14:textId="77777777" w:rsidR="00D92EBC" w:rsidRPr="009B4A73" w:rsidRDefault="0078763F" w:rsidP="00DB5E06">
            <w:pPr>
              <w:spacing w:after="0" w:line="240" w:lineRule="auto"/>
              <w:ind w:left="62" w:firstLine="0"/>
              <w:rPr>
                <w:sz w:val="22"/>
              </w:rPr>
            </w:pPr>
            <w:r w:rsidRPr="009B4A73">
              <w:rPr>
                <w:sz w:val="22"/>
              </w:rPr>
              <w:t xml:space="preserve">Angioedema </w:t>
            </w:r>
          </w:p>
        </w:tc>
        <w:tc>
          <w:tcPr>
            <w:tcW w:w="1857" w:type="dxa"/>
            <w:tcBorders>
              <w:top w:val="single" w:sz="4" w:space="0" w:color="000000"/>
              <w:left w:val="single" w:sz="4" w:space="0" w:color="000000"/>
              <w:bottom w:val="single" w:sz="4" w:space="0" w:color="000000"/>
              <w:right w:val="single" w:sz="4" w:space="0" w:color="000000"/>
            </w:tcBorders>
          </w:tcPr>
          <w:p w14:paraId="1DDE0AE7" w14:textId="77777777" w:rsidR="00D92EBC" w:rsidRPr="009B4A73" w:rsidRDefault="0078763F" w:rsidP="00174DA5">
            <w:pPr>
              <w:spacing w:after="0" w:line="240" w:lineRule="auto"/>
              <w:ind w:left="88" w:firstLine="0"/>
              <w:rPr>
                <w:sz w:val="22"/>
              </w:rPr>
            </w:pPr>
            <w:r w:rsidRPr="009B4A73">
              <w:rPr>
                <w:sz w:val="22"/>
              </w:rPr>
              <w:t xml:space="preserve">Not known </w:t>
            </w:r>
          </w:p>
        </w:tc>
      </w:tr>
      <w:tr w:rsidR="00174DA5" w:rsidRPr="009B4A73" w14:paraId="11F939BA" w14:textId="77777777" w:rsidTr="0060424C">
        <w:tblPrEx>
          <w:jc w:val="left"/>
          <w:tblCellMar>
            <w:top w:w="12" w:type="dxa"/>
          </w:tblCellMar>
        </w:tblPrEx>
        <w:trPr>
          <w:trHeight w:val="227"/>
        </w:trPr>
        <w:tc>
          <w:tcPr>
            <w:tcW w:w="3407" w:type="dxa"/>
            <w:vMerge w:val="restart"/>
            <w:tcBorders>
              <w:top w:val="single" w:sz="4" w:space="0" w:color="000000"/>
              <w:left w:val="single" w:sz="4" w:space="0" w:color="000000"/>
              <w:bottom w:val="single" w:sz="4" w:space="0" w:color="000000"/>
              <w:right w:val="single" w:sz="4" w:space="0" w:color="000000"/>
            </w:tcBorders>
          </w:tcPr>
          <w:p w14:paraId="58D9320D" w14:textId="77777777" w:rsidR="00D92EBC" w:rsidRPr="009B4A73" w:rsidRDefault="0078763F" w:rsidP="00174DA5">
            <w:pPr>
              <w:spacing w:after="0" w:line="240" w:lineRule="auto"/>
              <w:ind w:left="222" w:firstLine="0"/>
              <w:rPr>
                <w:sz w:val="22"/>
              </w:rPr>
            </w:pPr>
            <w:r w:rsidRPr="009B4A73">
              <w:rPr>
                <w:sz w:val="22"/>
              </w:rPr>
              <w:t xml:space="preserve">Musculoskeletal and connective tissue disorders </w:t>
            </w:r>
          </w:p>
        </w:tc>
        <w:tc>
          <w:tcPr>
            <w:tcW w:w="4243" w:type="dxa"/>
            <w:tcBorders>
              <w:top w:val="single" w:sz="4" w:space="0" w:color="000000"/>
              <w:left w:val="single" w:sz="4" w:space="0" w:color="000000"/>
              <w:bottom w:val="single" w:sz="4" w:space="0" w:color="000000"/>
              <w:right w:val="single" w:sz="4" w:space="0" w:color="000000"/>
            </w:tcBorders>
          </w:tcPr>
          <w:p w14:paraId="1F62004E" w14:textId="77777777" w:rsidR="00D92EBC" w:rsidRPr="009B4A73" w:rsidRDefault="0078763F" w:rsidP="00DB5E06">
            <w:pPr>
              <w:spacing w:after="0" w:line="240" w:lineRule="auto"/>
              <w:ind w:left="62" w:firstLine="0"/>
              <w:rPr>
                <w:sz w:val="22"/>
              </w:rPr>
            </w:pPr>
            <w:r w:rsidRPr="009B4A73">
              <w:rPr>
                <w:sz w:val="22"/>
              </w:rPr>
              <w:t xml:space="preserve">Arthralgia </w:t>
            </w:r>
          </w:p>
        </w:tc>
        <w:tc>
          <w:tcPr>
            <w:tcW w:w="1857" w:type="dxa"/>
            <w:tcBorders>
              <w:top w:val="single" w:sz="4" w:space="0" w:color="000000"/>
              <w:left w:val="single" w:sz="4" w:space="0" w:color="000000"/>
              <w:bottom w:val="single" w:sz="4" w:space="0" w:color="000000"/>
              <w:right w:val="single" w:sz="4" w:space="0" w:color="000000"/>
            </w:tcBorders>
          </w:tcPr>
          <w:p w14:paraId="0DB2732D"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2E12B064"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212846C6"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212FE83B" w14:textId="77777777" w:rsidR="00D92EBC" w:rsidRPr="009B4A73" w:rsidRDefault="0078763F" w:rsidP="00DB5E06">
            <w:pPr>
              <w:spacing w:after="0" w:line="240" w:lineRule="auto"/>
              <w:ind w:left="62" w:firstLine="0"/>
              <w:rPr>
                <w:sz w:val="22"/>
              </w:rPr>
            </w:pPr>
            <w:r w:rsidRPr="009B4A73">
              <w:rPr>
                <w:sz w:val="22"/>
              </w:rPr>
              <w:t xml:space="preserve">Muscle tightness </w:t>
            </w:r>
          </w:p>
        </w:tc>
        <w:tc>
          <w:tcPr>
            <w:tcW w:w="1857" w:type="dxa"/>
            <w:tcBorders>
              <w:top w:val="single" w:sz="4" w:space="0" w:color="000000"/>
              <w:left w:val="single" w:sz="4" w:space="0" w:color="000000"/>
              <w:bottom w:val="single" w:sz="4" w:space="0" w:color="000000"/>
              <w:right w:val="single" w:sz="4" w:space="0" w:color="000000"/>
            </w:tcBorders>
          </w:tcPr>
          <w:p w14:paraId="45ECF228"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766F4EB2"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1E05A739"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59ED06B4" w14:textId="77777777" w:rsidR="00D92EBC" w:rsidRPr="009B4A73" w:rsidRDefault="0078763F" w:rsidP="00DB5E06">
            <w:pPr>
              <w:spacing w:after="0" w:line="240" w:lineRule="auto"/>
              <w:ind w:left="62" w:firstLine="0"/>
              <w:rPr>
                <w:sz w:val="22"/>
              </w:rPr>
            </w:pPr>
            <w:r w:rsidRPr="009B4A73">
              <w:rPr>
                <w:sz w:val="22"/>
              </w:rPr>
              <w:t xml:space="preserve">Myalgia </w:t>
            </w:r>
          </w:p>
        </w:tc>
        <w:tc>
          <w:tcPr>
            <w:tcW w:w="1857" w:type="dxa"/>
            <w:tcBorders>
              <w:top w:val="single" w:sz="4" w:space="0" w:color="000000"/>
              <w:left w:val="single" w:sz="4" w:space="0" w:color="000000"/>
              <w:bottom w:val="single" w:sz="4" w:space="0" w:color="000000"/>
              <w:right w:val="single" w:sz="4" w:space="0" w:color="000000"/>
            </w:tcBorders>
          </w:tcPr>
          <w:p w14:paraId="75270ECA"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6A5974C8"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272AF17C"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357EEE66" w14:textId="77777777" w:rsidR="00D92EBC" w:rsidRPr="009B4A73" w:rsidRDefault="0078763F" w:rsidP="00DB5E06">
            <w:pPr>
              <w:spacing w:after="0" w:line="240" w:lineRule="auto"/>
              <w:ind w:left="62" w:firstLine="0"/>
              <w:rPr>
                <w:sz w:val="22"/>
              </w:rPr>
            </w:pPr>
            <w:r w:rsidRPr="009B4A73">
              <w:rPr>
                <w:sz w:val="22"/>
              </w:rPr>
              <w:t xml:space="preserve">Arthritis </w:t>
            </w:r>
          </w:p>
        </w:tc>
        <w:tc>
          <w:tcPr>
            <w:tcW w:w="1857" w:type="dxa"/>
            <w:tcBorders>
              <w:top w:val="single" w:sz="4" w:space="0" w:color="000000"/>
              <w:left w:val="single" w:sz="4" w:space="0" w:color="000000"/>
              <w:bottom w:val="single" w:sz="4" w:space="0" w:color="000000"/>
              <w:right w:val="single" w:sz="4" w:space="0" w:color="000000"/>
            </w:tcBorders>
          </w:tcPr>
          <w:p w14:paraId="618C9C6A"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174DA5" w:rsidRPr="009B4A73" w14:paraId="4839F5C3"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04E21A8A"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7120D99A" w14:textId="77777777" w:rsidR="00D92EBC" w:rsidRPr="009B4A73" w:rsidRDefault="0078763F" w:rsidP="00DB5E06">
            <w:pPr>
              <w:spacing w:after="0" w:line="240" w:lineRule="auto"/>
              <w:ind w:left="62" w:firstLine="0"/>
              <w:rPr>
                <w:sz w:val="22"/>
              </w:rPr>
            </w:pPr>
            <w:r w:rsidRPr="009B4A73">
              <w:rPr>
                <w:sz w:val="22"/>
              </w:rPr>
              <w:t xml:space="preserve">Back pain </w:t>
            </w:r>
          </w:p>
        </w:tc>
        <w:tc>
          <w:tcPr>
            <w:tcW w:w="1857" w:type="dxa"/>
            <w:tcBorders>
              <w:top w:val="single" w:sz="4" w:space="0" w:color="000000"/>
              <w:left w:val="single" w:sz="4" w:space="0" w:color="000000"/>
              <w:bottom w:val="single" w:sz="4" w:space="0" w:color="000000"/>
              <w:right w:val="single" w:sz="4" w:space="0" w:color="000000"/>
            </w:tcBorders>
          </w:tcPr>
          <w:p w14:paraId="1448CF00"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174DA5" w:rsidRPr="009B4A73" w14:paraId="27C30D73"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72960D9B"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0194F65D" w14:textId="77777777" w:rsidR="00D92EBC" w:rsidRPr="009B4A73" w:rsidRDefault="0078763F" w:rsidP="00DB5E06">
            <w:pPr>
              <w:spacing w:after="0" w:line="240" w:lineRule="auto"/>
              <w:ind w:left="62" w:firstLine="0"/>
              <w:rPr>
                <w:sz w:val="22"/>
              </w:rPr>
            </w:pPr>
            <w:r w:rsidRPr="009B4A73">
              <w:rPr>
                <w:sz w:val="22"/>
              </w:rPr>
              <w:t xml:space="preserve">Bone pain </w:t>
            </w:r>
          </w:p>
        </w:tc>
        <w:tc>
          <w:tcPr>
            <w:tcW w:w="1857" w:type="dxa"/>
            <w:tcBorders>
              <w:top w:val="single" w:sz="4" w:space="0" w:color="000000"/>
              <w:left w:val="single" w:sz="4" w:space="0" w:color="000000"/>
              <w:bottom w:val="single" w:sz="4" w:space="0" w:color="000000"/>
              <w:right w:val="single" w:sz="4" w:space="0" w:color="000000"/>
            </w:tcBorders>
          </w:tcPr>
          <w:p w14:paraId="4ABBF56C"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174DA5" w:rsidRPr="009B4A73" w14:paraId="465F034D"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00E7B239"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auto"/>
              <w:right w:val="single" w:sz="4" w:space="0" w:color="000000"/>
            </w:tcBorders>
          </w:tcPr>
          <w:p w14:paraId="53ACE615" w14:textId="77777777" w:rsidR="00D92EBC" w:rsidRPr="009B4A73" w:rsidRDefault="0078763F" w:rsidP="00DB5E06">
            <w:pPr>
              <w:spacing w:after="0" w:line="240" w:lineRule="auto"/>
              <w:ind w:left="62" w:firstLine="0"/>
              <w:rPr>
                <w:sz w:val="22"/>
              </w:rPr>
            </w:pPr>
            <w:r w:rsidRPr="009B4A73">
              <w:rPr>
                <w:sz w:val="22"/>
              </w:rPr>
              <w:t xml:space="preserve">Muscle spasms </w:t>
            </w:r>
          </w:p>
        </w:tc>
        <w:tc>
          <w:tcPr>
            <w:tcW w:w="1857" w:type="dxa"/>
            <w:tcBorders>
              <w:top w:val="single" w:sz="4" w:space="0" w:color="000000"/>
              <w:left w:val="single" w:sz="4" w:space="0" w:color="000000"/>
              <w:bottom w:val="single" w:sz="4" w:space="0" w:color="000000"/>
              <w:right w:val="single" w:sz="4" w:space="0" w:color="000000"/>
            </w:tcBorders>
          </w:tcPr>
          <w:p w14:paraId="2B03A85F"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174DA5" w:rsidRPr="009B4A73" w14:paraId="68A297F7"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460E830E" w14:textId="77777777" w:rsidR="00D92EBC" w:rsidRPr="009B4A73" w:rsidRDefault="00D92EBC" w:rsidP="00174DA5">
            <w:pPr>
              <w:spacing w:after="160" w:line="240" w:lineRule="auto"/>
              <w:ind w:left="222" w:firstLine="0"/>
              <w:rPr>
                <w:sz w:val="22"/>
              </w:rPr>
            </w:pPr>
          </w:p>
        </w:tc>
        <w:tc>
          <w:tcPr>
            <w:tcW w:w="4243" w:type="dxa"/>
            <w:tcBorders>
              <w:top w:val="single" w:sz="4" w:space="0" w:color="auto"/>
              <w:left w:val="single" w:sz="4" w:space="0" w:color="000000"/>
              <w:bottom w:val="single" w:sz="4" w:space="0" w:color="000000"/>
              <w:right w:val="single" w:sz="4" w:space="0" w:color="000000"/>
            </w:tcBorders>
          </w:tcPr>
          <w:p w14:paraId="35C68102" w14:textId="77777777" w:rsidR="00D92EBC" w:rsidRPr="009B4A73" w:rsidRDefault="0078763F" w:rsidP="00DB5E06">
            <w:pPr>
              <w:spacing w:after="0" w:line="240" w:lineRule="auto"/>
              <w:ind w:left="62" w:firstLine="0"/>
              <w:rPr>
                <w:sz w:val="22"/>
              </w:rPr>
            </w:pPr>
            <w:r w:rsidRPr="009B4A73">
              <w:rPr>
                <w:sz w:val="22"/>
              </w:rPr>
              <w:t xml:space="preserve">Neck pain </w:t>
            </w:r>
          </w:p>
        </w:tc>
        <w:tc>
          <w:tcPr>
            <w:tcW w:w="1857" w:type="dxa"/>
            <w:tcBorders>
              <w:top w:val="single" w:sz="4" w:space="0" w:color="000000"/>
              <w:left w:val="single" w:sz="4" w:space="0" w:color="000000"/>
              <w:bottom w:val="single" w:sz="4" w:space="0" w:color="000000"/>
              <w:right w:val="single" w:sz="4" w:space="0" w:color="000000"/>
            </w:tcBorders>
          </w:tcPr>
          <w:p w14:paraId="1B500A29"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174DA5" w:rsidRPr="009B4A73" w14:paraId="09C2BE03" w14:textId="77777777" w:rsidTr="0060424C">
        <w:tblPrEx>
          <w:jc w:val="left"/>
          <w:tblCellMar>
            <w:top w:w="12" w:type="dxa"/>
          </w:tblCellMar>
        </w:tblPrEx>
        <w:trPr>
          <w:trHeight w:val="227"/>
        </w:trPr>
        <w:tc>
          <w:tcPr>
            <w:tcW w:w="3407" w:type="dxa"/>
            <w:vMerge/>
            <w:tcBorders>
              <w:top w:val="nil"/>
              <w:left w:val="single" w:sz="4" w:space="0" w:color="000000"/>
              <w:bottom w:val="single" w:sz="4" w:space="0" w:color="000000"/>
              <w:right w:val="single" w:sz="4" w:space="0" w:color="000000"/>
            </w:tcBorders>
          </w:tcPr>
          <w:p w14:paraId="40ACCD1A"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40452747" w14:textId="77777777" w:rsidR="00D92EBC" w:rsidRPr="009B4A73" w:rsidRDefault="0078763F" w:rsidP="00DB5E06">
            <w:pPr>
              <w:spacing w:after="0" w:line="240" w:lineRule="auto"/>
              <w:ind w:left="62" w:firstLine="0"/>
              <w:rPr>
                <w:sz w:val="22"/>
              </w:rPr>
            </w:pPr>
            <w:r w:rsidRPr="009B4A73">
              <w:rPr>
                <w:sz w:val="22"/>
              </w:rPr>
              <w:t xml:space="preserve">Pain in extremity </w:t>
            </w:r>
          </w:p>
        </w:tc>
        <w:tc>
          <w:tcPr>
            <w:tcW w:w="1857" w:type="dxa"/>
            <w:tcBorders>
              <w:top w:val="single" w:sz="4" w:space="0" w:color="000000"/>
              <w:left w:val="single" w:sz="4" w:space="0" w:color="000000"/>
              <w:bottom w:val="single" w:sz="4" w:space="0" w:color="000000"/>
              <w:right w:val="single" w:sz="4" w:space="0" w:color="000000"/>
            </w:tcBorders>
          </w:tcPr>
          <w:p w14:paraId="3800978D"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174DA5" w:rsidRPr="009B4A73" w14:paraId="76D7744F" w14:textId="77777777" w:rsidTr="0060424C">
        <w:tblPrEx>
          <w:jc w:val="left"/>
          <w:tblCellMar>
            <w:top w:w="12" w:type="dxa"/>
          </w:tblCellMar>
        </w:tblPrEx>
        <w:trPr>
          <w:trHeight w:val="227"/>
        </w:trPr>
        <w:tc>
          <w:tcPr>
            <w:tcW w:w="3407" w:type="dxa"/>
            <w:vMerge w:val="restart"/>
            <w:tcBorders>
              <w:top w:val="single" w:sz="4" w:space="0" w:color="000000"/>
              <w:left w:val="single" w:sz="4" w:space="0" w:color="000000"/>
              <w:bottom w:val="single" w:sz="4" w:space="0" w:color="000000"/>
              <w:right w:val="single" w:sz="4" w:space="0" w:color="000000"/>
            </w:tcBorders>
          </w:tcPr>
          <w:p w14:paraId="0F003F00" w14:textId="77777777" w:rsidR="00D92EBC" w:rsidRPr="009B4A73" w:rsidRDefault="0078763F" w:rsidP="00174DA5">
            <w:pPr>
              <w:spacing w:after="0" w:line="240" w:lineRule="auto"/>
              <w:ind w:left="222" w:firstLine="0"/>
              <w:rPr>
                <w:sz w:val="22"/>
              </w:rPr>
            </w:pPr>
            <w:r w:rsidRPr="009B4A73">
              <w:rPr>
                <w:sz w:val="22"/>
              </w:rPr>
              <w:t xml:space="preserve">Renal and urinary disorders </w:t>
            </w:r>
          </w:p>
        </w:tc>
        <w:tc>
          <w:tcPr>
            <w:tcW w:w="4243" w:type="dxa"/>
            <w:tcBorders>
              <w:top w:val="single" w:sz="4" w:space="0" w:color="000000"/>
              <w:left w:val="single" w:sz="4" w:space="0" w:color="000000"/>
              <w:bottom w:val="single" w:sz="4" w:space="0" w:color="000000"/>
              <w:right w:val="single" w:sz="4" w:space="0" w:color="000000"/>
            </w:tcBorders>
          </w:tcPr>
          <w:p w14:paraId="177DA889" w14:textId="77777777" w:rsidR="00D92EBC" w:rsidRPr="009B4A73" w:rsidRDefault="0078763F" w:rsidP="00DB5E06">
            <w:pPr>
              <w:spacing w:after="0" w:line="240" w:lineRule="auto"/>
              <w:ind w:left="62" w:firstLine="0"/>
              <w:rPr>
                <w:sz w:val="22"/>
              </w:rPr>
            </w:pPr>
            <w:r w:rsidRPr="009B4A73">
              <w:rPr>
                <w:sz w:val="22"/>
              </w:rPr>
              <w:t xml:space="preserve">Renal disorder </w:t>
            </w:r>
          </w:p>
        </w:tc>
        <w:tc>
          <w:tcPr>
            <w:tcW w:w="1857" w:type="dxa"/>
            <w:tcBorders>
              <w:top w:val="single" w:sz="4" w:space="0" w:color="000000"/>
              <w:left w:val="single" w:sz="4" w:space="0" w:color="000000"/>
              <w:bottom w:val="single" w:sz="4" w:space="0" w:color="000000"/>
              <w:right w:val="single" w:sz="4" w:space="0" w:color="000000"/>
            </w:tcBorders>
          </w:tcPr>
          <w:p w14:paraId="4AB758D3"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174DA5" w:rsidRPr="009B4A73" w14:paraId="338B2947" w14:textId="77777777" w:rsidTr="0060424C">
        <w:tblPrEx>
          <w:jc w:val="left"/>
          <w:tblCellMar>
            <w:top w:w="12" w:type="dxa"/>
          </w:tblCellMar>
        </w:tblPrEx>
        <w:trPr>
          <w:trHeight w:val="227"/>
        </w:trPr>
        <w:tc>
          <w:tcPr>
            <w:tcW w:w="3407" w:type="dxa"/>
            <w:vMerge/>
            <w:tcBorders>
              <w:top w:val="nil"/>
              <w:left w:val="single" w:sz="4" w:space="0" w:color="000000"/>
              <w:bottom w:val="single" w:sz="4" w:space="0" w:color="000000"/>
              <w:right w:val="single" w:sz="4" w:space="0" w:color="000000"/>
            </w:tcBorders>
          </w:tcPr>
          <w:p w14:paraId="4295FCDA"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0F11FE4E" w14:textId="77777777" w:rsidR="00D92EBC" w:rsidRPr="009B4A73" w:rsidRDefault="0078763F" w:rsidP="00DB5E06">
            <w:pPr>
              <w:spacing w:after="0" w:line="240" w:lineRule="auto"/>
              <w:ind w:left="62" w:firstLine="0"/>
              <w:rPr>
                <w:sz w:val="22"/>
              </w:rPr>
            </w:pPr>
            <w:r w:rsidRPr="009B4A73">
              <w:rPr>
                <w:sz w:val="22"/>
              </w:rPr>
              <w:t xml:space="preserve">Glomerulonephritis membranous </w:t>
            </w:r>
          </w:p>
        </w:tc>
        <w:tc>
          <w:tcPr>
            <w:tcW w:w="1857" w:type="dxa"/>
            <w:tcBorders>
              <w:top w:val="single" w:sz="4" w:space="0" w:color="000000"/>
              <w:left w:val="single" w:sz="4" w:space="0" w:color="000000"/>
              <w:bottom w:val="single" w:sz="4" w:space="0" w:color="000000"/>
              <w:right w:val="single" w:sz="4" w:space="0" w:color="000000"/>
            </w:tcBorders>
          </w:tcPr>
          <w:p w14:paraId="4055B846" w14:textId="77777777" w:rsidR="00D92EBC" w:rsidRPr="009B4A73" w:rsidRDefault="0078763F" w:rsidP="00174DA5">
            <w:pPr>
              <w:spacing w:after="0" w:line="240" w:lineRule="auto"/>
              <w:ind w:left="88" w:firstLine="0"/>
              <w:rPr>
                <w:sz w:val="22"/>
              </w:rPr>
            </w:pPr>
            <w:r w:rsidRPr="009B4A73">
              <w:rPr>
                <w:sz w:val="22"/>
              </w:rPr>
              <w:t xml:space="preserve">Not known </w:t>
            </w:r>
          </w:p>
        </w:tc>
      </w:tr>
      <w:tr w:rsidR="00174DA5" w:rsidRPr="009B4A73" w14:paraId="3DD129E6" w14:textId="77777777" w:rsidTr="0060424C">
        <w:tblPrEx>
          <w:jc w:val="left"/>
          <w:tblCellMar>
            <w:top w:w="12" w:type="dxa"/>
          </w:tblCellMar>
        </w:tblPrEx>
        <w:trPr>
          <w:trHeight w:val="227"/>
        </w:trPr>
        <w:tc>
          <w:tcPr>
            <w:tcW w:w="3407" w:type="dxa"/>
            <w:vMerge w:val="restart"/>
            <w:tcBorders>
              <w:top w:val="single" w:sz="4" w:space="0" w:color="000000"/>
              <w:left w:val="single" w:sz="4" w:space="0" w:color="000000"/>
              <w:bottom w:val="single" w:sz="4" w:space="0" w:color="000000"/>
              <w:right w:val="single" w:sz="4" w:space="0" w:color="000000"/>
            </w:tcBorders>
          </w:tcPr>
          <w:p w14:paraId="4024E542"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627BF9D4" w14:textId="77777777" w:rsidR="00D92EBC" w:rsidRPr="009B4A73" w:rsidRDefault="0078763F" w:rsidP="00DB5E06">
            <w:pPr>
              <w:spacing w:after="0" w:line="240" w:lineRule="auto"/>
              <w:ind w:left="62" w:firstLine="0"/>
              <w:rPr>
                <w:sz w:val="22"/>
              </w:rPr>
            </w:pPr>
            <w:proofErr w:type="spellStart"/>
            <w:r w:rsidRPr="009B4A73">
              <w:rPr>
                <w:sz w:val="22"/>
              </w:rPr>
              <w:t>Glomerulonephropathy</w:t>
            </w:r>
            <w:proofErr w:type="spellEnd"/>
            <w:r w:rsidRPr="009B4A73">
              <w:rPr>
                <w:sz w:val="22"/>
              </w:rPr>
              <w:t xml:space="preserve"> </w:t>
            </w:r>
          </w:p>
        </w:tc>
        <w:tc>
          <w:tcPr>
            <w:tcW w:w="1857" w:type="dxa"/>
            <w:tcBorders>
              <w:top w:val="single" w:sz="4" w:space="0" w:color="000000"/>
              <w:left w:val="single" w:sz="4" w:space="0" w:color="000000"/>
              <w:bottom w:val="single" w:sz="4" w:space="0" w:color="000000"/>
              <w:right w:val="single" w:sz="4" w:space="0" w:color="000000"/>
            </w:tcBorders>
          </w:tcPr>
          <w:p w14:paraId="492C2696" w14:textId="77777777" w:rsidR="00D92EBC" w:rsidRPr="009B4A73" w:rsidRDefault="0078763F" w:rsidP="00174DA5">
            <w:pPr>
              <w:spacing w:after="0" w:line="240" w:lineRule="auto"/>
              <w:ind w:left="88" w:firstLine="0"/>
              <w:rPr>
                <w:sz w:val="22"/>
              </w:rPr>
            </w:pPr>
            <w:r w:rsidRPr="009B4A73">
              <w:rPr>
                <w:sz w:val="22"/>
              </w:rPr>
              <w:t xml:space="preserve">Not known </w:t>
            </w:r>
          </w:p>
        </w:tc>
      </w:tr>
      <w:tr w:rsidR="00174DA5" w:rsidRPr="009B4A73" w14:paraId="4776815C" w14:textId="77777777" w:rsidTr="0060424C">
        <w:tblPrEx>
          <w:jc w:val="left"/>
          <w:tblCellMar>
            <w:top w:w="12" w:type="dxa"/>
          </w:tblCellMar>
        </w:tblPrEx>
        <w:trPr>
          <w:trHeight w:val="227"/>
        </w:trPr>
        <w:tc>
          <w:tcPr>
            <w:tcW w:w="3407" w:type="dxa"/>
            <w:vMerge/>
            <w:tcBorders>
              <w:top w:val="nil"/>
              <w:left w:val="single" w:sz="4" w:space="0" w:color="000000"/>
              <w:bottom w:val="single" w:sz="4" w:space="0" w:color="000000"/>
              <w:right w:val="single" w:sz="4" w:space="0" w:color="000000"/>
            </w:tcBorders>
          </w:tcPr>
          <w:p w14:paraId="1C413B7E"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0D940993" w14:textId="77777777" w:rsidR="00D92EBC" w:rsidRPr="009B4A73" w:rsidRDefault="0078763F" w:rsidP="00DB5E06">
            <w:pPr>
              <w:spacing w:after="0" w:line="240" w:lineRule="auto"/>
              <w:ind w:left="62" w:firstLine="0"/>
              <w:rPr>
                <w:sz w:val="22"/>
              </w:rPr>
            </w:pPr>
            <w:r w:rsidRPr="009B4A73">
              <w:rPr>
                <w:sz w:val="22"/>
              </w:rPr>
              <w:t xml:space="preserve">Renal failure </w:t>
            </w:r>
          </w:p>
        </w:tc>
        <w:tc>
          <w:tcPr>
            <w:tcW w:w="1857" w:type="dxa"/>
            <w:tcBorders>
              <w:top w:val="single" w:sz="4" w:space="0" w:color="000000"/>
              <w:left w:val="single" w:sz="4" w:space="0" w:color="000000"/>
              <w:bottom w:val="single" w:sz="4" w:space="0" w:color="000000"/>
              <w:right w:val="single" w:sz="4" w:space="0" w:color="000000"/>
            </w:tcBorders>
          </w:tcPr>
          <w:p w14:paraId="033FF3BE" w14:textId="77777777" w:rsidR="00D92EBC" w:rsidRPr="009B4A73" w:rsidRDefault="0078763F" w:rsidP="00174DA5">
            <w:pPr>
              <w:spacing w:after="0" w:line="240" w:lineRule="auto"/>
              <w:ind w:left="88" w:firstLine="0"/>
              <w:rPr>
                <w:sz w:val="22"/>
              </w:rPr>
            </w:pPr>
            <w:r w:rsidRPr="009B4A73">
              <w:rPr>
                <w:sz w:val="22"/>
              </w:rPr>
              <w:t xml:space="preserve">Not known </w:t>
            </w:r>
          </w:p>
        </w:tc>
      </w:tr>
      <w:tr w:rsidR="00174DA5" w:rsidRPr="009B4A73" w14:paraId="592DB9E5" w14:textId="77777777" w:rsidTr="0060424C">
        <w:tblPrEx>
          <w:jc w:val="left"/>
          <w:tblCellMar>
            <w:top w:w="12" w:type="dxa"/>
          </w:tblCellMar>
        </w:tblPrEx>
        <w:trPr>
          <w:trHeight w:val="227"/>
        </w:trPr>
        <w:tc>
          <w:tcPr>
            <w:tcW w:w="3407" w:type="dxa"/>
            <w:vMerge w:val="restart"/>
            <w:tcBorders>
              <w:top w:val="single" w:sz="4" w:space="0" w:color="000000"/>
              <w:left w:val="single" w:sz="4" w:space="0" w:color="000000"/>
              <w:bottom w:val="single" w:sz="4" w:space="0" w:color="000000"/>
              <w:right w:val="single" w:sz="4" w:space="0" w:color="000000"/>
            </w:tcBorders>
          </w:tcPr>
          <w:p w14:paraId="284D8F40" w14:textId="77777777" w:rsidR="00D92EBC" w:rsidRPr="009B4A73" w:rsidRDefault="0078763F" w:rsidP="00174DA5">
            <w:pPr>
              <w:spacing w:after="0" w:line="240" w:lineRule="auto"/>
              <w:ind w:left="222" w:firstLine="0"/>
              <w:rPr>
                <w:sz w:val="22"/>
              </w:rPr>
            </w:pPr>
            <w:r w:rsidRPr="009B4A73">
              <w:rPr>
                <w:sz w:val="22"/>
              </w:rPr>
              <w:t xml:space="preserve">Pregnancy, </w:t>
            </w:r>
            <w:proofErr w:type="gramStart"/>
            <w:r w:rsidRPr="009B4A73">
              <w:rPr>
                <w:sz w:val="22"/>
              </w:rPr>
              <w:t>puerperium</w:t>
            </w:r>
            <w:proofErr w:type="gramEnd"/>
            <w:r w:rsidRPr="009B4A73">
              <w:rPr>
                <w:sz w:val="22"/>
              </w:rPr>
              <w:t xml:space="preserve"> and perinatal conditions </w:t>
            </w:r>
          </w:p>
        </w:tc>
        <w:tc>
          <w:tcPr>
            <w:tcW w:w="4243" w:type="dxa"/>
            <w:tcBorders>
              <w:top w:val="single" w:sz="4" w:space="0" w:color="000000"/>
              <w:left w:val="single" w:sz="4" w:space="0" w:color="000000"/>
              <w:bottom w:val="single" w:sz="4" w:space="0" w:color="000000"/>
              <w:right w:val="single" w:sz="4" w:space="0" w:color="000000"/>
            </w:tcBorders>
          </w:tcPr>
          <w:p w14:paraId="427D5926" w14:textId="77777777" w:rsidR="00D92EBC" w:rsidRPr="009B4A73" w:rsidRDefault="0078763F" w:rsidP="00DB5E06">
            <w:pPr>
              <w:spacing w:after="0" w:line="240" w:lineRule="auto"/>
              <w:ind w:left="62" w:firstLine="0"/>
              <w:rPr>
                <w:sz w:val="22"/>
              </w:rPr>
            </w:pPr>
            <w:r w:rsidRPr="009B4A73">
              <w:rPr>
                <w:sz w:val="22"/>
              </w:rPr>
              <w:t xml:space="preserve">Oligohydramnios </w:t>
            </w:r>
          </w:p>
        </w:tc>
        <w:tc>
          <w:tcPr>
            <w:tcW w:w="1857" w:type="dxa"/>
            <w:tcBorders>
              <w:top w:val="single" w:sz="4" w:space="0" w:color="000000"/>
              <w:left w:val="single" w:sz="4" w:space="0" w:color="000000"/>
              <w:bottom w:val="single" w:sz="4" w:space="0" w:color="000000"/>
              <w:right w:val="single" w:sz="4" w:space="0" w:color="000000"/>
            </w:tcBorders>
          </w:tcPr>
          <w:p w14:paraId="5DD1EAE8" w14:textId="77777777" w:rsidR="00D92EBC" w:rsidRPr="009B4A73" w:rsidRDefault="0078763F" w:rsidP="00174DA5">
            <w:pPr>
              <w:spacing w:after="0" w:line="240" w:lineRule="auto"/>
              <w:ind w:left="88" w:firstLine="0"/>
              <w:rPr>
                <w:sz w:val="22"/>
              </w:rPr>
            </w:pPr>
            <w:r w:rsidRPr="009B4A73">
              <w:rPr>
                <w:sz w:val="22"/>
              </w:rPr>
              <w:t xml:space="preserve">Not known </w:t>
            </w:r>
          </w:p>
        </w:tc>
      </w:tr>
      <w:tr w:rsidR="00174DA5" w:rsidRPr="009B4A73" w14:paraId="2D81E7F1"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4A416A72"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4A9D729A" w14:textId="77777777" w:rsidR="00D92EBC" w:rsidRPr="009B4A73" w:rsidRDefault="0078763F" w:rsidP="00DB5E06">
            <w:pPr>
              <w:spacing w:after="0" w:line="240" w:lineRule="auto"/>
              <w:ind w:left="62" w:firstLine="0"/>
              <w:rPr>
                <w:sz w:val="22"/>
              </w:rPr>
            </w:pPr>
            <w:r w:rsidRPr="009B4A73">
              <w:rPr>
                <w:sz w:val="22"/>
              </w:rPr>
              <w:t xml:space="preserve">Renal hypoplasia </w:t>
            </w:r>
          </w:p>
        </w:tc>
        <w:tc>
          <w:tcPr>
            <w:tcW w:w="1857" w:type="dxa"/>
            <w:tcBorders>
              <w:top w:val="single" w:sz="4" w:space="0" w:color="000000"/>
              <w:left w:val="single" w:sz="4" w:space="0" w:color="000000"/>
              <w:bottom w:val="single" w:sz="4" w:space="0" w:color="000000"/>
              <w:right w:val="single" w:sz="4" w:space="0" w:color="000000"/>
            </w:tcBorders>
          </w:tcPr>
          <w:p w14:paraId="154259F6" w14:textId="77777777" w:rsidR="00D92EBC" w:rsidRPr="009B4A73" w:rsidRDefault="0078763F" w:rsidP="00174DA5">
            <w:pPr>
              <w:spacing w:after="0" w:line="240" w:lineRule="auto"/>
              <w:ind w:left="88" w:firstLine="0"/>
              <w:rPr>
                <w:sz w:val="22"/>
              </w:rPr>
            </w:pPr>
            <w:r w:rsidRPr="009B4A73">
              <w:rPr>
                <w:sz w:val="22"/>
              </w:rPr>
              <w:t xml:space="preserve">Not known </w:t>
            </w:r>
          </w:p>
        </w:tc>
      </w:tr>
      <w:tr w:rsidR="00174DA5" w:rsidRPr="009B4A73" w14:paraId="2B754A3F" w14:textId="77777777" w:rsidTr="0060424C">
        <w:tblPrEx>
          <w:jc w:val="left"/>
          <w:tblCellMar>
            <w:top w:w="12" w:type="dxa"/>
          </w:tblCellMar>
        </w:tblPrEx>
        <w:trPr>
          <w:trHeight w:val="227"/>
        </w:trPr>
        <w:tc>
          <w:tcPr>
            <w:tcW w:w="3407" w:type="dxa"/>
            <w:vMerge/>
            <w:tcBorders>
              <w:top w:val="nil"/>
              <w:left w:val="single" w:sz="4" w:space="0" w:color="000000"/>
              <w:bottom w:val="single" w:sz="4" w:space="0" w:color="000000"/>
              <w:right w:val="single" w:sz="4" w:space="0" w:color="000000"/>
            </w:tcBorders>
          </w:tcPr>
          <w:p w14:paraId="6BABDD84"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3B5E1068" w14:textId="77777777" w:rsidR="00D92EBC" w:rsidRPr="009B4A73" w:rsidRDefault="0078763F" w:rsidP="00DB5E06">
            <w:pPr>
              <w:spacing w:after="0" w:line="240" w:lineRule="auto"/>
              <w:ind w:left="62" w:firstLine="0"/>
              <w:rPr>
                <w:sz w:val="22"/>
              </w:rPr>
            </w:pPr>
            <w:r w:rsidRPr="009B4A73">
              <w:rPr>
                <w:sz w:val="22"/>
              </w:rPr>
              <w:t xml:space="preserve">Pulmonary hypoplasia </w:t>
            </w:r>
          </w:p>
        </w:tc>
        <w:tc>
          <w:tcPr>
            <w:tcW w:w="1857" w:type="dxa"/>
            <w:tcBorders>
              <w:top w:val="single" w:sz="4" w:space="0" w:color="000000"/>
              <w:left w:val="single" w:sz="4" w:space="0" w:color="000000"/>
              <w:bottom w:val="single" w:sz="4" w:space="0" w:color="000000"/>
              <w:right w:val="single" w:sz="4" w:space="0" w:color="000000"/>
            </w:tcBorders>
          </w:tcPr>
          <w:p w14:paraId="22A83E93" w14:textId="77777777" w:rsidR="00D92EBC" w:rsidRPr="009B4A73" w:rsidRDefault="0078763F" w:rsidP="00174DA5">
            <w:pPr>
              <w:spacing w:after="0" w:line="240" w:lineRule="auto"/>
              <w:ind w:left="88" w:firstLine="0"/>
              <w:rPr>
                <w:sz w:val="22"/>
              </w:rPr>
            </w:pPr>
            <w:r w:rsidRPr="009B4A73">
              <w:rPr>
                <w:sz w:val="22"/>
              </w:rPr>
              <w:t xml:space="preserve">Not known </w:t>
            </w:r>
          </w:p>
        </w:tc>
      </w:tr>
      <w:tr w:rsidR="00174DA5" w:rsidRPr="009B4A73" w14:paraId="2951F684" w14:textId="77777777" w:rsidTr="0060424C">
        <w:tblPrEx>
          <w:jc w:val="left"/>
          <w:tblCellMar>
            <w:top w:w="12" w:type="dxa"/>
          </w:tblCellMar>
        </w:tblPrEx>
        <w:trPr>
          <w:trHeight w:val="227"/>
        </w:trPr>
        <w:tc>
          <w:tcPr>
            <w:tcW w:w="3407" w:type="dxa"/>
            <w:tcBorders>
              <w:top w:val="single" w:sz="4" w:space="0" w:color="000000"/>
              <w:left w:val="single" w:sz="4" w:space="0" w:color="000000"/>
              <w:bottom w:val="single" w:sz="4" w:space="0" w:color="000000"/>
              <w:right w:val="single" w:sz="4" w:space="0" w:color="000000"/>
            </w:tcBorders>
          </w:tcPr>
          <w:p w14:paraId="4DAE193E" w14:textId="77777777" w:rsidR="00D92EBC" w:rsidRPr="009B4A73" w:rsidRDefault="0078763F" w:rsidP="00174DA5">
            <w:pPr>
              <w:spacing w:after="0" w:line="240" w:lineRule="auto"/>
              <w:ind w:left="222" w:firstLine="0"/>
              <w:rPr>
                <w:sz w:val="22"/>
              </w:rPr>
            </w:pPr>
            <w:r w:rsidRPr="009B4A73">
              <w:rPr>
                <w:sz w:val="22"/>
              </w:rPr>
              <w:t xml:space="preserve">Reproductive system and breast disorders </w:t>
            </w:r>
          </w:p>
        </w:tc>
        <w:tc>
          <w:tcPr>
            <w:tcW w:w="4243" w:type="dxa"/>
            <w:tcBorders>
              <w:top w:val="single" w:sz="4" w:space="0" w:color="000000"/>
              <w:left w:val="single" w:sz="4" w:space="0" w:color="000000"/>
              <w:bottom w:val="single" w:sz="4" w:space="0" w:color="000000"/>
              <w:right w:val="single" w:sz="4" w:space="0" w:color="000000"/>
            </w:tcBorders>
            <w:vAlign w:val="center"/>
          </w:tcPr>
          <w:p w14:paraId="2B0B4EDE" w14:textId="77777777" w:rsidR="00D92EBC" w:rsidRPr="009B4A73" w:rsidRDefault="0078763F" w:rsidP="00DB5E06">
            <w:pPr>
              <w:spacing w:after="0" w:line="240" w:lineRule="auto"/>
              <w:ind w:left="62" w:firstLine="0"/>
              <w:rPr>
                <w:sz w:val="22"/>
              </w:rPr>
            </w:pPr>
            <w:r w:rsidRPr="009B4A73">
              <w:rPr>
                <w:sz w:val="22"/>
              </w:rPr>
              <w:t xml:space="preserve">Breast inflammation/mastitis </w:t>
            </w:r>
          </w:p>
        </w:tc>
        <w:tc>
          <w:tcPr>
            <w:tcW w:w="1857" w:type="dxa"/>
            <w:tcBorders>
              <w:top w:val="single" w:sz="4" w:space="0" w:color="000000"/>
              <w:left w:val="single" w:sz="4" w:space="0" w:color="000000"/>
              <w:bottom w:val="single" w:sz="4" w:space="0" w:color="000000"/>
              <w:right w:val="single" w:sz="4" w:space="0" w:color="000000"/>
            </w:tcBorders>
            <w:vAlign w:val="center"/>
          </w:tcPr>
          <w:p w14:paraId="6BDD7157"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174DA5" w:rsidRPr="009B4A73" w14:paraId="641B9EA8" w14:textId="77777777" w:rsidTr="0060424C">
        <w:tblPrEx>
          <w:jc w:val="left"/>
          <w:tblCellMar>
            <w:top w:w="12" w:type="dxa"/>
          </w:tblCellMar>
        </w:tblPrEx>
        <w:trPr>
          <w:trHeight w:val="227"/>
        </w:trPr>
        <w:tc>
          <w:tcPr>
            <w:tcW w:w="3407" w:type="dxa"/>
            <w:vMerge w:val="restart"/>
            <w:tcBorders>
              <w:top w:val="single" w:sz="4" w:space="0" w:color="000000"/>
              <w:left w:val="single" w:sz="4" w:space="0" w:color="000000"/>
              <w:bottom w:val="single" w:sz="4" w:space="0" w:color="000000"/>
              <w:right w:val="single" w:sz="4" w:space="0" w:color="000000"/>
            </w:tcBorders>
          </w:tcPr>
          <w:p w14:paraId="486AEC9C" w14:textId="77777777" w:rsidR="00D92EBC" w:rsidRPr="009B4A73" w:rsidRDefault="0078763F" w:rsidP="00174DA5">
            <w:pPr>
              <w:spacing w:after="0" w:line="240" w:lineRule="auto"/>
              <w:ind w:left="222" w:firstLine="0"/>
              <w:rPr>
                <w:sz w:val="22"/>
              </w:rPr>
            </w:pPr>
            <w:r w:rsidRPr="009B4A73">
              <w:rPr>
                <w:sz w:val="22"/>
              </w:rPr>
              <w:t xml:space="preserve">General disorders and administration site conditions </w:t>
            </w:r>
          </w:p>
        </w:tc>
        <w:tc>
          <w:tcPr>
            <w:tcW w:w="4243" w:type="dxa"/>
            <w:tcBorders>
              <w:top w:val="single" w:sz="4" w:space="0" w:color="000000"/>
              <w:left w:val="single" w:sz="4" w:space="0" w:color="000000"/>
              <w:bottom w:val="single" w:sz="4" w:space="0" w:color="000000"/>
              <w:right w:val="single" w:sz="4" w:space="0" w:color="000000"/>
            </w:tcBorders>
          </w:tcPr>
          <w:p w14:paraId="49040186" w14:textId="77777777" w:rsidR="00D92EBC" w:rsidRPr="009B4A73" w:rsidRDefault="0078763F" w:rsidP="00DB5E06">
            <w:pPr>
              <w:spacing w:after="0" w:line="240" w:lineRule="auto"/>
              <w:ind w:left="62" w:firstLine="0"/>
              <w:rPr>
                <w:sz w:val="22"/>
              </w:rPr>
            </w:pPr>
            <w:r w:rsidRPr="009B4A73">
              <w:rPr>
                <w:sz w:val="22"/>
              </w:rPr>
              <w:t xml:space="preserve">Asthenia </w:t>
            </w:r>
          </w:p>
        </w:tc>
        <w:tc>
          <w:tcPr>
            <w:tcW w:w="1857" w:type="dxa"/>
            <w:tcBorders>
              <w:top w:val="single" w:sz="4" w:space="0" w:color="000000"/>
              <w:left w:val="single" w:sz="4" w:space="0" w:color="000000"/>
              <w:bottom w:val="single" w:sz="4" w:space="0" w:color="000000"/>
              <w:right w:val="single" w:sz="4" w:space="0" w:color="000000"/>
            </w:tcBorders>
          </w:tcPr>
          <w:p w14:paraId="39BB5E40"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2879E1D2"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12A271F8"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7CFAEFE3" w14:textId="77777777" w:rsidR="00D92EBC" w:rsidRPr="009B4A73" w:rsidRDefault="0078763F" w:rsidP="00DB5E06">
            <w:pPr>
              <w:spacing w:after="0" w:line="240" w:lineRule="auto"/>
              <w:ind w:left="62" w:firstLine="0"/>
              <w:rPr>
                <w:sz w:val="22"/>
              </w:rPr>
            </w:pPr>
            <w:r w:rsidRPr="009B4A73">
              <w:rPr>
                <w:sz w:val="22"/>
              </w:rPr>
              <w:t xml:space="preserve">Chest pain </w:t>
            </w:r>
          </w:p>
        </w:tc>
        <w:tc>
          <w:tcPr>
            <w:tcW w:w="1857" w:type="dxa"/>
            <w:tcBorders>
              <w:top w:val="single" w:sz="4" w:space="0" w:color="000000"/>
              <w:left w:val="single" w:sz="4" w:space="0" w:color="000000"/>
              <w:bottom w:val="single" w:sz="4" w:space="0" w:color="000000"/>
              <w:right w:val="single" w:sz="4" w:space="0" w:color="000000"/>
            </w:tcBorders>
          </w:tcPr>
          <w:p w14:paraId="41D1CB87"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1E26B2D7"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66D8FEB7"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2DB0B2FC" w14:textId="77777777" w:rsidR="00D92EBC" w:rsidRPr="009B4A73" w:rsidRDefault="0078763F" w:rsidP="00DB5E06">
            <w:pPr>
              <w:spacing w:after="0" w:line="240" w:lineRule="auto"/>
              <w:ind w:left="62" w:firstLine="0"/>
              <w:rPr>
                <w:sz w:val="22"/>
              </w:rPr>
            </w:pPr>
            <w:r w:rsidRPr="009B4A73">
              <w:rPr>
                <w:sz w:val="22"/>
              </w:rPr>
              <w:t xml:space="preserve">Chills </w:t>
            </w:r>
          </w:p>
        </w:tc>
        <w:tc>
          <w:tcPr>
            <w:tcW w:w="1857" w:type="dxa"/>
            <w:tcBorders>
              <w:top w:val="single" w:sz="4" w:space="0" w:color="000000"/>
              <w:left w:val="single" w:sz="4" w:space="0" w:color="000000"/>
              <w:bottom w:val="single" w:sz="4" w:space="0" w:color="000000"/>
              <w:right w:val="single" w:sz="4" w:space="0" w:color="000000"/>
            </w:tcBorders>
          </w:tcPr>
          <w:p w14:paraId="6ECF34BA"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6BCCFC27"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4DA7B1E7"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3560D5EB" w14:textId="77777777" w:rsidR="00D92EBC" w:rsidRPr="009B4A73" w:rsidRDefault="0078763F" w:rsidP="00DB5E06">
            <w:pPr>
              <w:spacing w:after="0" w:line="240" w:lineRule="auto"/>
              <w:ind w:left="62" w:firstLine="0"/>
              <w:rPr>
                <w:sz w:val="22"/>
              </w:rPr>
            </w:pPr>
            <w:r w:rsidRPr="009B4A73">
              <w:rPr>
                <w:sz w:val="22"/>
              </w:rPr>
              <w:t xml:space="preserve">Fatigue </w:t>
            </w:r>
          </w:p>
        </w:tc>
        <w:tc>
          <w:tcPr>
            <w:tcW w:w="1857" w:type="dxa"/>
            <w:tcBorders>
              <w:top w:val="single" w:sz="4" w:space="0" w:color="000000"/>
              <w:left w:val="single" w:sz="4" w:space="0" w:color="000000"/>
              <w:bottom w:val="single" w:sz="4" w:space="0" w:color="000000"/>
              <w:right w:val="single" w:sz="4" w:space="0" w:color="000000"/>
            </w:tcBorders>
          </w:tcPr>
          <w:p w14:paraId="5EFB5A88"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5AC42C73"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31F261D3"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3A9FA6A8" w14:textId="77777777" w:rsidR="00D92EBC" w:rsidRPr="009B4A73" w:rsidRDefault="0078763F" w:rsidP="00DB5E06">
            <w:pPr>
              <w:spacing w:after="0" w:line="240" w:lineRule="auto"/>
              <w:ind w:left="62" w:firstLine="0"/>
              <w:rPr>
                <w:sz w:val="22"/>
              </w:rPr>
            </w:pPr>
            <w:r w:rsidRPr="009B4A73">
              <w:rPr>
                <w:sz w:val="22"/>
              </w:rPr>
              <w:t xml:space="preserve">Influenza-like illness </w:t>
            </w:r>
          </w:p>
        </w:tc>
        <w:tc>
          <w:tcPr>
            <w:tcW w:w="1857" w:type="dxa"/>
            <w:tcBorders>
              <w:top w:val="single" w:sz="4" w:space="0" w:color="000000"/>
              <w:left w:val="single" w:sz="4" w:space="0" w:color="000000"/>
              <w:bottom w:val="single" w:sz="4" w:space="0" w:color="000000"/>
              <w:right w:val="single" w:sz="4" w:space="0" w:color="000000"/>
            </w:tcBorders>
          </w:tcPr>
          <w:p w14:paraId="19C94E0E"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294B82F8"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32EA2EEA"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5D169981" w14:textId="77777777" w:rsidR="00D92EBC" w:rsidRPr="009B4A73" w:rsidRDefault="0078763F" w:rsidP="00DB5E06">
            <w:pPr>
              <w:spacing w:after="0" w:line="240" w:lineRule="auto"/>
              <w:ind w:left="62" w:firstLine="0"/>
              <w:rPr>
                <w:sz w:val="22"/>
              </w:rPr>
            </w:pPr>
            <w:r w:rsidRPr="009B4A73">
              <w:rPr>
                <w:sz w:val="22"/>
              </w:rPr>
              <w:t xml:space="preserve">Infusion related reaction </w:t>
            </w:r>
          </w:p>
        </w:tc>
        <w:tc>
          <w:tcPr>
            <w:tcW w:w="1857" w:type="dxa"/>
            <w:tcBorders>
              <w:top w:val="single" w:sz="4" w:space="0" w:color="000000"/>
              <w:left w:val="single" w:sz="4" w:space="0" w:color="000000"/>
              <w:bottom w:val="single" w:sz="4" w:space="0" w:color="000000"/>
              <w:right w:val="single" w:sz="4" w:space="0" w:color="000000"/>
            </w:tcBorders>
          </w:tcPr>
          <w:p w14:paraId="470BC32D"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04847E4E"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50EC33F7"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10927CB3" w14:textId="77777777" w:rsidR="00D92EBC" w:rsidRPr="009B4A73" w:rsidRDefault="0078763F" w:rsidP="00DB5E06">
            <w:pPr>
              <w:spacing w:after="0" w:line="240" w:lineRule="auto"/>
              <w:ind w:left="62" w:firstLine="0"/>
              <w:rPr>
                <w:sz w:val="22"/>
              </w:rPr>
            </w:pPr>
            <w:r w:rsidRPr="009B4A73">
              <w:rPr>
                <w:sz w:val="22"/>
              </w:rPr>
              <w:t xml:space="preserve">Pain </w:t>
            </w:r>
          </w:p>
        </w:tc>
        <w:tc>
          <w:tcPr>
            <w:tcW w:w="1857" w:type="dxa"/>
            <w:tcBorders>
              <w:top w:val="single" w:sz="4" w:space="0" w:color="000000"/>
              <w:left w:val="single" w:sz="4" w:space="0" w:color="000000"/>
              <w:bottom w:val="single" w:sz="4" w:space="0" w:color="000000"/>
              <w:right w:val="single" w:sz="4" w:space="0" w:color="000000"/>
            </w:tcBorders>
          </w:tcPr>
          <w:p w14:paraId="5EC69D11"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23C92C3E"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69EE23BE"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6FDE0CB5" w14:textId="77777777" w:rsidR="00D92EBC" w:rsidRPr="009B4A73" w:rsidRDefault="0078763F" w:rsidP="00DB5E06">
            <w:pPr>
              <w:spacing w:after="0" w:line="240" w:lineRule="auto"/>
              <w:ind w:left="62" w:firstLine="0"/>
              <w:rPr>
                <w:sz w:val="22"/>
              </w:rPr>
            </w:pPr>
            <w:r w:rsidRPr="009B4A73">
              <w:rPr>
                <w:sz w:val="22"/>
              </w:rPr>
              <w:t xml:space="preserve">Pyrexia </w:t>
            </w:r>
          </w:p>
        </w:tc>
        <w:tc>
          <w:tcPr>
            <w:tcW w:w="1857" w:type="dxa"/>
            <w:tcBorders>
              <w:top w:val="single" w:sz="4" w:space="0" w:color="000000"/>
              <w:left w:val="single" w:sz="4" w:space="0" w:color="000000"/>
              <w:bottom w:val="single" w:sz="4" w:space="0" w:color="000000"/>
              <w:right w:val="single" w:sz="4" w:space="0" w:color="000000"/>
            </w:tcBorders>
          </w:tcPr>
          <w:p w14:paraId="349A700B"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016DF492"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77B2FC9E"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28923F26" w14:textId="77777777" w:rsidR="00D92EBC" w:rsidRPr="009B4A73" w:rsidRDefault="0078763F" w:rsidP="00DB5E06">
            <w:pPr>
              <w:spacing w:after="0" w:line="240" w:lineRule="auto"/>
              <w:ind w:left="62" w:firstLine="0"/>
              <w:rPr>
                <w:sz w:val="22"/>
              </w:rPr>
            </w:pPr>
            <w:r w:rsidRPr="009B4A73">
              <w:rPr>
                <w:sz w:val="22"/>
              </w:rPr>
              <w:t xml:space="preserve">Peripheral oedema </w:t>
            </w:r>
          </w:p>
        </w:tc>
        <w:tc>
          <w:tcPr>
            <w:tcW w:w="1857" w:type="dxa"/>
            <w:tcBorders>
              <w:top w:val="single" w:sz="4" w:space="0" w:color="000000"/>
              <w:left w:val="single" w:sz="4" w:space="0" w:color="000000"/>
              <w:bottom w:val="single" w:sz="4" w:space="0" w:color="000000"/>
              <w:right w:val="single" w:sz="4" w:space="0" w:color="000000"/>
            </w:tcBorders>
          </w:tcPr>
          <w:p w14:paraId="0D8D5120"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740A42C7"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724C4480"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72ECDCEE" w14:textId="77777777" w:rsidR="00D92EBC" w:rsidRPr="009B4A73" w:rsidRDefault="0078763F" w:rsidP="00DB5E06">
            <w:pPr>
              <w:spacing w:after="0" w:line="240" w:lineRule="auto"/>
              <w:ind w:left="62" w:firstLine="0"/>
              <w:rPr>
                <w:sz w:val="22"/>
              </w:rPr>
            </w:pPr>
            <w:r w:rsidRPr="009B4A73">
              <w:rPr>
                <w:sz w:val="22"/>
              </w:rPr>
              <w:t xml:space="preserve">Mucosal inflammation </w:t>
            </w:r>
          </w:p>
        </w:tc>
        <w:tc>
          <w:tcPr>
            <w:tcW w:w="1857" w:type="dxa"/>
            <w:tcBorders>
              <w:top w:val="single" w:sz="4" w:space="0" w:color="000000"/>
              <w:left w:val="single" w:sz="4" w:space="0" w:color="000000"/>
              <w:bottom w:val="single" w:sz="4" w:space="0" w:color="000000"/>
              <w:right w:val="single" w:sz="4" w:space="0" w:color="000000"/>
            </w:tcBorders>
          </w:tcPr>
          <w:p w14:paraId="03E49A90"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001F8AAD" w14:textId="77777777" w:rsidTr="0060424C">
        <w:tblPrEx>
          <w:jc w:val="left"/>
          <w:tblCellMar>
            <w:top w:w="12" w:type="dxa"/>
          </w:tblCellMar>
        </w:tblPrEx>
        <w:trPr>
          <w:trHeight w:val="227"/>
        </w:trPr>
        <w:tc>
          <w:tcPr>
            <w:tcW w:w="3407" w:type="dxa"/>
            <w:vMerge/>
            <w:tcBorders>
              <w:top w:val="nil"/>
              <w:left w:val="single" w:sz="4" w:space="0" w:color="000000"/>
              <w:bottom w:val="nil"/>
              <w:right w:val="single" w:sz="4" w:space="0" w:color="000000"/>
            </w:tcBorders>
          </w:tcPr>
          <w:p w14:paraId="48B0BC89"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3F3DB181" w14:textId="77777777" w:rsidR="00D92EBC" w:rsidRPr="009B4A73" w:rsidRDefault="0078763F" w:rsidP="00DB5E06">
            <w:pPr>
              <w:spacing w:after="0" w:line="240" w:lineRule="auto"/>
              <w:ind w:left="62" w:firstLine="0"/>
              <w:rPr>
                <w:sz w:val="22"/>
              </w:rPr>
            </w:pPr>
            <w:r w:rsidRPr="009B4A73">
              <w:rPr>
                <w:sz w:val="22"/>
              </w:rPr>
              <w:t xml:space="preserve">Malaise </w:t>
            </w:r>
          </w:p>
        </w:tc>
        <w:tc>
          <w:tcPr>
            <w:tcW w:w="1857" w:type="dxa"/>
            <w:tcBorders>
              <w:top w:val="single" w:sz="4" w:space="0" w:color="000000"/>
              <w:left w:val="single" w:sz="4" w:space="0" w:color="000000"/>
              <w:bottom w:val="single" w:sz="4" w:space="0" w:color="000000"/>
              <w:right w:val="single" w:sz="4" w:space="0" w:color="000000"/>
            </w:tcBorders>
          </w:tcPr>
          <w:p w14:paraId="3CCF849F"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174DA5" w:rsidRPr="009B4A73" w14:paraId="7A52ABAE" w14:textId="77777777" w:rsidTr="0060424C">
        <w:tblPrEx>
          <w:jc w:val="left"/>
          <w:tblCellMar>
            <w:top w:w="12" w:type="dxa"/>
          </w:tblCellMar>
        </w:tblPrEx>
        <w:trPr>
          <w:trHeight w:val="227"/>
        </w:trPr>
        <w:tc>
          <w:tcPr>
            <w:tcW w:w="3407" w:type="dxa"/>
            <w:vMerge/>
            <w:tcBorders>
              <w:top w:val="nil"/>
              <w:left w:val="single" w:sz="4" w:space="0" w:color="000000"/>
              <w:bottom w:val="single" w:sz="4" w:space="0" w:color="000000"/>
              <w:right w:val="single" w:sz="4" w:space="0" w:color="000000"/>
            </w:tcBorders>
          </w:tcPr>
          <w:p w14:paraId="5517CA31"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0CB48E40" w14:textId="77777777" w:rsidR="00D92EBC" w:rsidRPr="009B4A73" w:rsidRDefault="0078763F" w:rsidP="00DB5E06">
            <w:pPr>
              <w:spacing w:after="0" w:line="240" w:lineRule="auto"/>
              <w:ind w:left="62" w:firstLine="0"/>
              <w:rPr>
                <w:sz w:val="22"/>
              </w:rPr>
            </w:pPr>
            <w:r w:rsidRPr="009B4A73">
              <w:rPr>
                <w:sz w:val="22"/>
              </w:rPr>
              <w:t xml:space="preserve">Oedema </w:t>
            </w:r>
          </w:p>
        </w:tc>
        <w:tc>
          <w:tcPr>
            <w:tcW w:w="1857" w:type="dxa"/>
            <w:tcBorders>
              <w:top w:val="single" w:sz="4" w:space="0" w:color="000000"/>
              <w:left w:val="single" w:sz="4" w:space="0" w:color="000000"/>
              <w:bottom w:val="single" w:sz="4" w:space="0" w:color="000000"/>
              <w:right w:val="single" w:sz="4" w:space="0" w:color="000000"/>
            </w:tcBorders>
          </w:tcPr>
          <w:p w14:paraId="05C1E3F4" w14:textId="77777777" w:rsidR="00D92EBC" w:rsidRPr="009B4A73" w:rsidRDefault="0078763F" w:rsidP="00174DA5">
            <w:pPr>
              <w:spacing w:after="0" w:line="240" w:lineRule="auto"/>
              <w:ind w:left="88" w:firstLine="0"/>
              <w:rPr>
                <w:sz w:val="22"/>
              </w:rPr>
            </w:pPr>
            <w:r w:rsidRPr="009B4A73">
              <w:rPr>
                <w:sz w:val="22"/>
              </w:rPr>
              <w:t xml:space="preserve">Common </w:t>
            </w:r>
          </w:p>
        </w:tc>
      </w:tr>
      <w:tr w:rsidR="00174DA5" w:rsidRPr="009B4A73" w14:paraId="347AD62E" w14:textId="77777777" w:rsidTr="0060424C">
        <w:tblPrEx>
          <w:jc w:val="left"/>
          <w:tblCellMar>
            <w:top w:w="12" w:type="dxa"/>
          </w:tblCellMar>
        </w:tblPrEx>
        <w:trPr>
          <w:trHeight w:val="227"/>
        </w:trPr>
        <w:tc>
          <w:tcPr>
            <w:tcW w:w="3407" w:type="dxa"/>
            <w:vMerge w:val="restart"/>
            <w:tcBorders>
              <w:top w:val="single" w:sz="4" w:space="0" w:color="000000"/>
              <w:left w:val="single" w:sz="4" w:space="0" w:color="000000"/>
              <w:bottom w:val="single" w:sz="4" w:space="0" w:color="000000"/>
              <w:right w:val="single" w:sz="4" w:space="0" w:color="000000"/>
            </w:tcBorders>
          </w:tcPr>
          <w:p w14:paraId="50911A36" w14:textId="77777777" w:rsidR="00D92EBC" w:rsidRPr="009B4A73" w:rsidRDefault="0078763F" w:rsidP="00174DA5">
            <w:pPr>
              <w:spacing w:after="0" w:line="240" w:lineRule="auto"/>
              <w:ind w:left="222" w:firstLine="0"/>
              <w:rPr>
                <w:sz w:val="22"/>
              </w:rPr>
            </w:pPr>
            <w:r w:rsidRPr="009B4A73">
              <w:rPr>
                <w:sz w:val="22"/>
              </w:rPr>
              <w:lastRenderedPageBreak/>
              <w:t xml:space="preserve">Injury, poisoning and procedural complications </w:t>
            </w:r>
          </w:p>
        </w:tc>
        <w:tc>
          <w:tcPr>
            <w:tcW w:w="4243" w:type="dxa"/>
            <w:tcBorders>
              <w:top w:val="single" w:sz="4" w:space="0" w:color="000000"/>
              <w:left w:val="single" w:sz="4" w:space="0" w:color="000000"/>
              <w:bottom w:val="single" w:sz="4" w:space="0" w:color="000000"/>
              <w:right w:val="single" w:sz="4" w:space="0" w:color="000000"/>
            </w:tcBorders>
          </w:tcPr>
          <w:p w14:paraId="69A767F3" w14:textId="77777777" w:rsidR="00D92EBC" w:rsidRPr="009B4A73" w:rsidRDefault="0078763F" w:rsidP="00DB5E06">
            <w:pPr>
              <w:spacing w:after="0" w:line="240" w:lineRule="auto"/>
              <w:ind w:left="62" w:firstLine="0"/>
              <w:rPr>
                <w:sz w:val="22"/>
              </w:rPr>
            </w:pPr>
            <w:r w:rsidRPr="009B4A73">
              <w:rPr>
                <w:sz w:val="22"/>
              </w:rPr>
              <w:t xml:space="preserve">Nail toxicity </w:t>
            </w:r>
          </w:p>
        </w:tc>
        <w:tc>
          <w:tcPr>
            <w:tcW w:w="1857" w:type="dxa"/>
            <w:tcBorders>
              <w:top w:val="single" w:sz="4" w:space="0" w:color="000000"/>
              <w:left w:val="single" w:sz="4" w:space="0" w:color="000000"/>
              <w:bottom w:val="single" w:sz="4" w:space="0" w:color="000000"/>
              <w:right w:val="single" w:sz="4" w:space="0" w:color="000000"/>
            </w:tcBorders>
          </w:tcPr>
          <w:p w14:paraId="564BC96A" w14:textId="77777777" w:rsidR="00D92EBC" w:rsidRPr="009B4A73" w:rsidRDefault="0078763F" w:rsidP="00174DA5">
            <w:pPr>
              <w:spacing w:after="0" w:line="240" w:lineRule="auto"/>
              <w:ind w:left="88" w:firstLine="0"/>
              <w:rPr>
                <w:sz w:val="22"/>
              </w:rPr>
            </w:pPr>
            <w:r w:rsidRPr="009B4A73">
              <w:rPr>
                <w:sz w:val="22"/>
              </w:rPr>
              <w:t xml:space="preserve">Very common </w:t>
            </w:r>
          </w:p>
        </w:tc>
      </w:tr>
      <w:tr w:rsidR="00174DA5" w:rsidRPr="009B4A73" w14:paraId="3EA0D7F0" w14:textId="77777777" w:rsidTr="0060424C">
        <w:tblPrEx>
          <w:jc w:val="left"/>
          <w:tblCellMar>
            <w:top w:w="12" w:type="dxa"/>
          </w:tblCellMar>
        </w:tblPrEx>
        <w:trPr>
          <w:trHeight w:val="227"/>
        </w:trPr>
        <w:tc>
          <w:tcPr>
            <w:tcW w:w="3407" w:type="dxa"/>
            <w:vMerge/>
            <w:tcBorders>
              <w:top w:val="nil"/>
              <w:left w:val="single" w:sz="4" w:space="0" w:color="000000"/>
              <w:bottom w:val="single" w:sz="4" w:space="0" w:color="000000"/>
              <w:right w:val="single" w:sz="4" w:space="0" w:color="000000"/>
            </w:tcBorders>
          </w:tcPr>
          <w:p w14:paraId="6777610D" w14:textId="77777777" w:rsidR="00D92EBC" w:rsidRPr="009B4A73" w:rsidRDefault="00D92EBC" w:rsidP="00174DA5">
            <w:pPr>
              <w:spacing w:after="160" w:line="240" w:lineRule="auto"/>
              <w:ind w:left="222" w:firstLine="0"/>
              <w:rPr>
                <w:sz w:val="22"/>
              </w:rPr>
            </w:pPr>
          </w:p>
        </w:tc>
        <w:tc>
          <w:tcPr>
            <w:tcW w:w="4243" w:type="dxa"/>
            <w:tcBorders>
              <w:top w:val="single" w:sz="4" w:space="0" w:color="000000"/>
              <w:left w:val="single" w:sz="4" w:space="0" w:color="000000"/>
              <w:bottom w:val="single" w:sz="4" w:space="0" w:color="000000"/>
              <w:right w:val="single" w:sz="4" w:space="0" w:color="000000"/>
            </w:tcBorders>
          </w:tcPr>
          <w:p w14:paraId="69D30E5B" w14:textId="77777777" w:rsidR="00D92EBC" w:rsidRPr="009B4A73" w:rsidRDefault="0078763F" w:rsidP="00DB5E06">
            <w:pPr>
              <w:spacing w:after="0" w:line="240" w:lineRule="auto"/>
              <w:ind w:left="62" w:firstLine="0"/>
              <w:rPr>
                <w:sz w:val="22"/>
              </w:rPr>
            </w:pPr>
            <w:r w:rsidRPr="009B4A73">
              <w:rPr>
                <w:sz w:val="22"/>
              </w:rPr>
              <w:t xml:space="preserve">Contusion </w:t>
            </w:r>
          </w:p>
        </w:tc>
        <w:tc>
          <w:tcPr>
            <w:tcW w:w="1857" w:type="dxa"/>
            <w:tcBorders>
              <w:top w:val="single" w:sz="4" w:space="0" w:color="000000"/>
              <w:left w:val="single" w:sz="4" w:space="0" w:color="000000"/>
              <w:bottom w:val="single" w:sz="4" w:space="0" w:color="000000"/>
              <w:right w:val="single" w:sz="4" w:space="0" w:color="000000"/>
            </w:tcBorders>
          </w:tcPr>
          <w:p w14:paraId="60DAA2B5" w14:textId="77777777" w:rsidR="00D92EBC" w:rsidRPr="009B4A73" w:rsidRDefault="0078763F" w:rsidP="00174DA5">
            <w:pPr>
              <w:spacing w:after="0" w:line="240" w:lineRule="auto"/>
              <w:ind w:left="88" w:firstLine="0"/>
              <w:rPr>
                <w:sz w:val="22"/>
              </w:rPr>
            </w:pPr>
            <w:r w:rsidRPr="009B4A73">
              <w:rPr>
                <w:sz w:val="22"/>
              </w:rPr>
              <w:t xml:space="preserve">Common </w:t>
            </w:r>
          </w:p>
        </w:tc>
      </w:tr>
    </w:tbl>
    <w:p w14:paraId="41F40161" w14:textId="77777777" w:rsidR="00CE56A4" w:rsidRPr="009B4A73" w:rsidRDefault="00174DA5" w:rsidP="004D2632">
      <w:pPr>
        <w:spacing w:after="0" w:line="240" w:lineRule="auto"/>
        <w:ind w:left="426" w:firstLine="0"/>
        <w:rPr>
          <w:sz w:val="20"/>
          <w:szCs w:val="20"/>
        </w:rPr>
      </w:pPr>
      <w:r w:rsidRPr="009B4A73">
        <w:rPr>
          <w:sz w:val="20"/>
          <w:szCs w:val="20"/>
          <w:vertAlign w:val="superscript"/>
        </w:rPr>
        <w:t>1</w:t>
      </w:r>
      <w:r w:rsidRPr="009B4A73">
        <w:rPr>
          <w:sz w:val="20"/>
          <w:szCs w:val="20"/>
        </w:rPr>
        <w:t xml:space="preserve"> </w:t>
      </w:r>
      <w:r w:rsidR="0078763F" w:rsidRPr="009B4A73">
        <w:rPr>
          <w:sz w:val="20"/>
          <w:szCs w:val="20"/>
        </w:rPr>
        <w:t xml:space="preserve">Adverse drug reactions (ADRs) were identified as events that occurred with at least a 2% difference compared to the control arm in at least one of the major randomised clinical </w:t>
      </w:r>
      <w:proofErr w:type="gramStart"/>
      <w:r w:rsidR="0078763F" w:rsidRPr="009B4A73">
        <w:rPr>
          <w:sz w:val="20"/>
          <w:szCs w:val="20"/>
        </w:rPr>
        <w:t>trials;</w:t>
      </w:r>
      <w:proofErr w:type="gramEnd"/>
    </w:p>
    <w:p w14:paraId="31D587A1" w14:textId="77777777" w:rsidR="00CE56A4" w:rsidRPr="009B4A73" w:rsidRDefault="0078763F" w:rsidP="004D2632">
      <w:pPr>
        <w:spacing w:after="0" w:line="240" w:lineRule="auto"/>
        <w:ind w:left="426" w:firstLine="0"/>
        <w:rPr>
          <w:sz w:val="20"/>
          <w:szCs w:val="20"/>
        </w:rPr>
      </w:pPr>
      <w:r w:rsidRPr="009B4A73">
        <w:rPr>
          <w:sz w:val="20"/>
          <w:szCs w:val="20"/>
          <w:vertAlign w:val="superscript"/>
        </w:rPr>
        <w:t>2</w:t>
      </w:r>
      <w:r w:rsidRPr="009B4A73">
        <w:rPr>
          <w:sz w:val="20"/>
          <w:szCs w:val="20"/>
        </w:rPr>
        <w:t xml:space="preserve"> Denotes adverse reactions that have been reported in association with a fatal </w:t>
      </w:r>
      <w:proofErr w:type="gramStart"/>
      <w:r w:rsidRPr="009B4A73">
        <w:rPr>
          <w:sz w:val="20"/>
          <w:szCs w:val="20"/>
        </w:rPr>
        <w:t>outcome;</w:t>
      </w:r>
      <w:proofErr w:type="gramEnd"/>
    </w:p>
    <w:p w14:paraId="6EAC2A96" w14:textId="77777777" w:rsidR="00CE56A4" w:rsidRPr="009B4A73" w:rsidRDefault="0078763F" w:rsidP="004D2632">
      <w:pPr>
        <w:spacing w:after="0" w:line="240" w:lineRule="auto"/>
        <w:ind w:left="426" w:firstLine="0"/>
        <w:rPr>
          <w:sz w:val="20"/>
          <w:szCs w:val="20"/>
        </w:rPr>
      </w:pPr>
      <w:r w:rsidRPr="009B4A73">
        <w:rPr>
          <w:sz w:val="20"/>
          <w:szCs w:val="20"/>
          <w:vertAlign w:val="superscript"/>
        </w:rPr>
        <w:t>3</w:t>
      </w:r>
      <w:r w:rsidRPr="009B4A73">
        <w:rPr>
          <w:sz w:val="20"/>
          <w:szCs w:val="20"/>
        </w:rPr>
        <w:t xml:space="preserve"> Denotes adverse reactions that are reported largely in association with Infusion-related reactions. Specific percentages for these are not </w:t>
      </w:r>
      <w:proofErr w:type="gramStart"/>
      <w:r w:rsidRPr="009B4A73">
        <w:rPr>
          <w:sz w:val="20"/>
          <w:szCs w:val="20"/>
        </w:rPr>
        <w:t>available;</w:t>
      </w:r>
      <w:proofErr w:type="gramEnd"/>
    </w:p>
    <w:p w14:paraId="3B88F864" w14:textId="67C0E8B4" w:rsidR="00D92EBC" w:rsidRPr="009B4A73" w:rsidRDefault="0078763F" w:rsidP="004D2632">
      <w:pPr>
        <w:spacing w:after="0" w:line="240" w:lineRule="auto"/>
        <w:ind w:left="426" w:firstLine="0"/>
        <w:rPr>
          <w:sz w:val="20"/>
          <w:szCs w:val="20"/>
        </w:rPr>
      </w:pPr>
      <w:r w:rsidRPr="009B4A73">
        <w:rPr>
          <w:sz w:val="20"/>
          <w:szCs w:val="20"/>
          <w:vertAlign w:val="superscript"/>
        </w:rPr>
        <w:t>4</w:t>
      </w:r>
      <w:r w:rsidRPr="009B4A73">
        <w:rPr>
          <w:sz w:val="20"/>
          <w:szCs w:val="20"/>
        </w:rPr>
        <w:t xml:space="preserve"> Observed with combination therapy following anthracyclines and combined with </w:t>
      </w:r>
      <w:proofErr w:type="spellStart"/>
      <w:r w:rsidRPr="009B4A73">
        <w:rPr>
          <w:sz w:val="20"/>
          <w:szCs w:val="20"/>
        </w:rPr>
        <w:t>taxanes</w:t>
      </w:r>
      <w:proofErr w:type="spellEnd"/>
      <w:r w:rsidRPr="009B4A73">
        <w:rPr>
          <w:sz w:val="20"/>
          <w:szCs w:val="20"/>
        </w:rPr>
        <w:t xml:space="preserve"> </w:t>
      </w:r>
    </w:p>
    <w:p w14:paraId="460C24A4" w14:textId="5477073E" w:rsidR="00B15354" w:rsidRPr="009B4A73" w:rsidRDefault="00B15354" w:rsidP="00316679">
      <w:pPr>
        <w:spacing w:after="0" w:line="240" w:lineRule="auto"/>
        <w:ind w:left="426"/>
        <w:rPr>
          <w:sz w:val="22"/>
        </w:rPr>
      </w:pPr>
    </w:p>
    <w:p w14:paraId="5608AE2D" w14:textId="41DDA7EB" w:rsidR="00B15354" w:rsidRPr="009B4A73" w:rsidRDefault="0078763F" w:rsidP="00316679">
      <w:pPr>
        <w:spacing w:after="0" w:line="240" w:lineRule="auto"/>
        <w:ind w:left="426" w:right="4036"/>
        <w:rPr>
          <w:bCs/>
          <w:sz w:val="22"/>
          <w:u w:val="single"/>
        </w:rPr>
      </w:pPr>
      <w:r w:rsidRPr="009B4A73">
        <w:rPr>
          <w:bCs/>
          <w:sz w:val="22"/>
          <w:u w:val="single"/>
        </w:rPr>
        <w:t xml:space="preserve">Additional information for selected adverse drug reactions </w:t>
      </w:r>
    </w:p>
    <w:p w14:paraId="6F7FCCEB" w14:textId="77777777" w:rsidR="00F53773" w:rsidRPr="009B4A73" w:rsidRDefault="00F53773" w:rsidP="00316679">
      <w:pPr>
        <w:spacing w:after="0" w:line="240" w:lineRule="auto"/>
        <w:ind w:left="426" w:right="4036"/>
        <w:rPr>
          <w:b/>
          <w:sz w:val="22"/>
        </w:rPr>
      </w:pPr>
    </w:p>
    <w:p w14:paraId="10ADE4E1" w14:textId="14E53874" w:rsidR="00D92EBC" w:rsidRPr="009B4A73" w:rsidRDefault="0078763F" w:rsidP="00316679">
      <w:pPr>
        <w:spacing w:after="0" w:line="240" w:lineRule="auto"/>
        <w:ind w:left="426" w:right="4036"/>
        <w:rPr>
          <w:sz w:val="22"/>
        </w:rPr>
      </w:pPr>
      <w:r w:rsidRPr="009B4A73">
        <w:rPr>
          <w:sz w:val="22"/>
        </w:rPr>
        <w:t>The following information is relevant to all indications.</w:t>
      </w:r>
    </w:p>
    <w:p w14:paraId="38B36EF7" w14:textId="77777777" w:rsidR="00F53773" w:rsidRPr="009B4A73" w:rsidRDefault="00F53773" w:rsidP="00316679">
      <w:pPr>
        <w:spacing w:after="0" w:line="240" w:lineRule="auto"/>
        <w:ind w:left="426" w:right="4036"/>
        <w:rPr>
          <w:sz w:val="22"/>
        </w:rPr>
      </w:pPr>
    </w:p>
    <w:p w14:paraId="0C58C81D" w14:textId="4D90876E" w:rsidR="00B15354" w:rsidRPr="009B4A73" w:rsidRDefault="0078763F" w:rsidP="00316679">
      <w:pPr>
        <w:pStyle w:val="Heading2"/>
        <w:spacing w:after="0" w:line="240" w:lineRule="auto"/>
        <w:ind w:left="426"/>
        <w:rPr>
          <w:b w:val="0"/>
          <w:bCs/>
          <w:sz w:val="22"/>
          <w:u w:val="single"/>
        </w:rPr>
      </w:pPr>
      <w:r w:rsidRPr="009B4A73">
        <w:rPr>
          <w:b w:val="0"/>
          <w:bCs/>
          <w:sz w:val="22"/>
          <w:u w:val="single"/>
        </w:rPr>
        <w:t>Infusion-</w:t>
      </w:r>
      <w:r w:rsidR="004D2632" w:rsidRPr="009B4A73">
        <w:rPr>
          <w:b w:val="0"/>
          <w:bCs/>
          <w:sz w:val="22"/>
          <w:u w:val="single"/>
        </w:rPr>
        <w:t>r</w:t>
      </w:r>
      <w:r w:rsidRPr="009B4A73">
        <w:rPr>
          <w:b w:val="0"/>
          <w:bCs/>
          <w:sz w:val="22"/>
          <w:u w:val="single"/>
        </w:rPr>
        <w:t xml:space="preserve">elated </w:t>
      </w:r>
      <w:r w:rsidR="004D2632" w:rsidRPr="009B4A73">
        <w:rPr>
          <w:b w:val="0"/>
          <w:bCs/>
          <w:sz w:val="22"/>
          <w:u w:val="single"/>
        </w:rPr>
        <w:t>r</w:t>
      </w:r>
      <w:r w:rsidRPr="009B4A73">
        <w:rPr>
          <w:b w:val="0"/>
          <w:bCs/>
          <w:sz w:val="22"/>
          <w:u w:val="single"/>
        </w:rPr>
        <w:t xml:space="preserve">eactions (IRRs) and </w:t>
      </w:r>
      <w:r w:rsidR="004D2632" w:rsidRPr="009B4A73">
        <w:rPr>
          <w:b w:val="0"/>
          <w:bCs/>
          <w:sz w:val="22"/>
          <w:u w:val="single"/>
        </w:rPr>
        <w:t>h</w:t>
      </w:r>
      <w:r w:rsidRPr="009B4A73">
        <w:rPr>
          <w:b w:val="0"/>
          <w:bCs/>
          <w:sz w:val="22"/>
          <w:u w:val="single"/>
        </w:rPr>
        <w:t>ypersensitivity</w:t>
      </w:r>
    </w:p>
    <w:p w14:paraId="7A324953" w14:textId="0A6CD5F5" w:rsidR="00D92EBC" w:rsidRPr="009B4A73" w:rsidRDefault="0078763F" w:rsidP="00316679">
      <w:pPr>
        <w:pStyle w:val="Heading2"/>
        <w:spacing w:after="0" w:line="240" w:lineRule="auto"/>
        <w:ind w:left="426"/>
        <w:rPr>
          <w:sz w:val="22"/>
        </w:rPr>
      </w:pPr>
      <w:r w:rsidRPr="009B4A73">
        <w:rPr>
          <w:sz w:val="22"/>
        </w:rPr>
        <w:t xml:space="preserve"> </w:t>
      </w:r>
    </w:p>
    <w:p w14:paraId="76340131" w14:textId="1567694F" w:rsidR="00D92EBC" w:rsidRPr="009B4A73" w:rsidRDefault="0078763F" w:rsidP="00316679">
      <w:pPr>
        <w:spacing w:after="0" w:line="240" w:lineRule="auto"/>
        <w:ind w:left="426" w:right="8"/>
        <w:rPr>
          <w:sz w:val="22"/>
        </w:rPr>
      </w:pPr>
      <w:r w:rsidRPr="009B4A73">
        <w:rPr>
          <w:sz w:val="22"/>
        </w:rPr>
        <w:t>IRRs such as chills and/or fever, dyspnoea, hypotension, wheezing, bronchospasm, tachycardia, reduced oxygen saturation and respiratory distress were seen in all</w:t>
      </w:r>
      <w:r w:rsidR="00CE0B5E" w:rsidRPr="009B4A73">
        <w:rPr>
          <w:sz w:val="22"/>
        </w:rPr>
        <w:t xml:space="preserve"> </w:t>
      </w:r>
      <w:r w:rsidR="00850C5A" w:rsidRPr="009B4A73">
        <w:rPr>
          <w:sz w:val="22"/>
        </w:rPr>
        <w:t>trastuzumab</w:t>
      </w:r>
      <w:r w:rsidRPr="009B4A73">
        <w:rPr>
          <w:sz w:val="22"/>
        </w:rPr>
        <w:t xml:space="preserve"> clinical trials (see section 4.4 Special </w:t>
      </w:r>
      <w:r w:rsidR="00F94AD5" w:rsidRPr="009B4A73">
        <w:rPr>
          <w:sz w:val="22"/>
        </w:rPr>
        <w:t>w</w:t>
      </w:r>
      <w:r w:rsidRPr="009B4A73">
        <w:rPr>
          <w:sz w:val="22"/>
        </w:rPr>
        <w:t xml:space="preserve">arnings and </w:t>
      </w:r>
      <w:r w:rsidR="00F94AD5" w:rsidRPr="009B4A73">
        <w:rPr>
          <w:sz w:val="22"/>
        </w:rPr>
        <w:t>p</w:t>
      </w:r>
      <w:r w:rsidRPr="009B4A73">
        <w:rPr>
          <w:sz w:val="22"/>
        </w:rPr>
        <w:t xml:space="preserve">recautions for </w:t>
      </w:r>
      <w:r w:rsidR="00F94AD5" w:rsidRPr="009B4A73">
        <w:rPr>
          <w:sz w:val="22"/>
        </w:rPr>
        <w:t>u</w:t>
      </w:r>
      <w:r w:rsidRPr="009B4A73">
        <w:rPr>
          <w:sz w:val="22"/>
        </w:rPr>
        <w:t xml:space="preserve">se). </w:t>
      </w:r>
    </w:p>
    <w:p w14:paraId="6B2A825E" w14:textId="77777777" w:rsidR="00B15354" w:rsidRPr="009B4A73" w:rsidRDefault="00B15354" w:rsidP="00316679">
      <w:pPr>
        <w:spacing w:after="0" w:line="240" w:lineRule="auto"/>
        <w:ind w:left="426" w:right="8"/>
        <w:rPr>
          <w:sz w:val="22"/>
        </w:rPr>
      </w:pPr>
    </w:p>
    <w:p w14:paraId="441EA15F" w14:textId="3CF91517" w:rsidR="00D92EBC" w:rsidRPr="009B4A73" w:rsidRDefault="0078763F" w:rsidP="00316679">
      <w:pPr>
        <w:spacing w:after="0" w:line="240" w:lineRule="auto"/>
        <w:ind w:left="426" w:right="8"/>
        <w:rPr>
          <w:sz w:val="22"/>
        </w:rPr>
      </w:pPr>
      <w:r w:rsidRPr="009B4A73">
        <w:rPr>
          <w:sz w:val="22"/>
        </w:rPr>
        <w:t>IRRS may be clinically difficult to distinguish from hypersensitivity reactions.</w:t>
      </w:r>
    </w:p>
    <w:p w14:paraId="794B0F95" w14:textId="77777777" w:rsidR="00B15354" w:rsidRPr="009B4A73" w:rsidRDefault="00B15354" w:rsidP="00316679">
      <w:pPr>
        <w:spacing w:after="0" w:line="240" w:lineRule="auto"/>
        <w:ind w:left="426" w:right="8"/>
        <w:rPr>
          <w:sz w:val="22"/>
        </w:rPr>
      </w:pPr>
    </w:p>
    <w:p w14:paraId="66219AFE" w14:textId="16389720" w:rsidR="00D92EBC" w:rsidRPr="009B4A73" w:rsidRDefault="0078763F" w:rsidP="00316679">
      <w:pPr>
        <w:spacing w:after="0" w:line="240" w:lineRule="auto"/>
        <w:ind w:left="426" w:right="8"/>
        <w:rPr>
          <w:sz w:val="22"/>
        </w:rPr>
      </w:pPr>
      <w:r w:rsidRPr="009B4A73">
        <w:rPr>
          <w:sz w:val="22"/>
        </w:rPr>
        <w:t>The rate of IRRs of all grades varied between studies depending on the indication, whether</w:t>
      </w:r>
      <w:r w:rsidR="00CE0B5E" w:rsidRPr="009B4A73">
        <w:rPr>
          <w:sz w:val="22"/>
        </w:rPr>
        <w:t xml:space="preserve"> </w:t>
      </w:r>
      <w:r w:rsidR="00850C5A" w:rsidRPr="009B4A73">
        <w:rPr>
          <w:sz w:val="22"/>
        </w:rPr>
        <w:t>trastuzumab</w:t>
      </w:r>
      <w:r w:rsidRPr="009B4A73">
        <w:rPr>
          <w:sz w:val="22"/>
        </w:rPr>
        <w:t xml:space="preserve"> was given concurrently with chemotherapy or as monotherapy and data collection methodology</w:t>
      </w:r>
    </w:p>
    <w:p w14:paraId="0C5A7A5A" w14:textId="77777777" w:rsidR="00B15354" w:rsidRPr="009B4A73" w:rsidRDefault="00B15354" w:rsidP="00316679">
      <w:pPr>
        <w:spacing w:after="0" w:line="240" w:lineRule="auto"/>
        <w:ind w:left="426" w:right="8"/>
        <w:rPr>
          <w:sz w:val="22"/>
        </w:rPr>
      </w:pPr>
    </w:p>
    <w:p w14:paraId="5B2ECB07" w14:textId="7E4C3921" w:rsidR="00B15354" w:rsidRPr="009B4A73" w:rsidRDefault="0078763F" w:rsidP="00316679">
      <w:pPr>
        <w:spacing w:after="0" w:line="240" w:lineRule="auto"/>
        <w:ind w:left="426" w:right="8"/>
        <w:rPr>
          <w:sz w:val="22"/>
        </w:rPr>
      </w:pPr>
      <w:r w:rsidRPr="009B4A73">
        <w:rPr>
          <w:sz w:val="22"/>
        </w:rPr>
        <w:t>In early breast cancer, the rate of IRRs ranged from 18% to 54% in the</w:t>
      </w:r>
      <w:r w:rsidR="00CE0B5E" w:rsidRPr="009B4A73">
        <w:rPr>
          <w:sz w:val="22"/>
        </w:rPr>
        <w:t xml:space="preserve"> </w:t>
      </w:r>
      <w:r w:rsidR="00850C5A" w:rsidRPr="009B4A73">
        <w:rPr>
          <w:sz w:val="22"/>
        </w:rPr>
        <w:t>trastuzumab</w:t>
      </w:r>
      <w:r w:rsidRPr="009B4A73">
        <w:rPr>
          <w:sz w:val="22"/>
        </w:rPr>
        <w:t xml:space="preserve"> containing arm compared to 6% to 50% in the comparator arm (which may have contained other chemotherapy). Severe reactions (grade 3 and above) ranged from 0.5% to 6% in the</w:t>
      </w:r>
      <w:r w:rsidR="00CE0B5E" w:rsidRPr="009B4A73">
        <w:rPr>
          <w:sz w:val="22"/>
        </w:rPr>
        <w:t xml:space="preserve"> </w:t>
      </w:r>
      <w:r w:rsidR="00850C5A" w:rsidRPr="009B4A73">
        <w:rPr>
          <w:sz w:val="22"/>
        </w:rPr>
        <w:t>trastuzumab</w:t>
      </w:r>
      <w:r w:rsidRPr="009B4A73">
        <w:rPr>
          <w:sz w:val="22"/>
        </w:rPr>
        <w:t xml:space="preserve"> containing arm compared to 0.3% to 5 % in the comparator arm. </w:t>
      </w:r>
    </w:p>
    <w:p w14:paraId="7632FD4C" w14:textId="77777777" w:rsidR="00934F96" w:rsidRPr="009B4A73" w:rsidRDefault="00934F96" w:rsidP="00316679">
      <w:pPr>
        <w:spacing w:after="0" w:line="240" w:lineRule="auto"/>
        <w:ind w:left="426" w:right="8"/>
        <w:rPr>
          <w:sz w:val="22"/>
        </w:rPr>
      </w:pPr>
    </w:p>
    <w:p w14:paraId="091F2ABB" w14:textId="2013BC8A" w:rsidR="003513DE" w:rsidRPr="009B4A73" w:rsidRDefault="0078763F" w:rsidP="00316679">
      <w:pPr>
        <w:spacing w:after="8" w:line="240" w:lineRule="auto"/>
        <w:ind w:left="426" w:right="8"/>
        <w:rPr>
          <w:sz w:val="22"/>
        </w:rPr>
      </w:pPr>
      <w:r w:rsidRPr="009B4A73">
        <w:rPr>
          <w:sz w:val="22"/>
        </w:rPr>
        <w:t>In metastatic breast cancer, the rate of IRRs ranged from 49% to 54% in the</w:t>
      </w:r>
      <w:r w:rsidR="00CE0B5E" w:rsidRPr="009B4A73">
        <w:rPr>
          <w:sz w:val="22"/>
        </w:rPr>
        <w:t xml:space="preserve"> </w:t>
      </w:r>
      <w:r w:rsidR="00850C5A" w:rsidRPr="009B4A73">
        <w:rPr>
          <w:sz w:val="22"/>
        </w:rPr>
        <w:t>trastuzumab</w:t>
      </w:r>
      <w:r w:rsidRPr="009B4A73">
        <w:rPr>
          <w:sz w:val="22"/>
        </w:rPr>
        <w:t xml:space="preserve"> containing arm compared to 36% to 58% in the comparator arm (which may have contained other chemotherapy), Severe reactions (grade 3 and above) ranged from 5 % to 7% in the</w:t>
      </w:r>
      <w:r w:rsidR="00CE0B5E" w:rsidRPr="009B4A73">
        <w:rPr>
          <w:sz w:val="22"/>
        </w:rPr>
        <w:t xml:space="preserve"> </w:t>
      </w:r>
      <w:r w:rsidR="00850C5A" w:rsidRPr="009B4A73">
        <w:rPr>
          <w:sz w:val="22"/>
        </w:rPr>
        <w:t>trastuzumab</w:t>
      </w:r>
      <w:r w:rsidRPr="009B4A73">
        <w:rPr>
          <w:sz w:val="22"/>
        </w:rPr>
        <w:t xml:space="preserve"> containing arm compared to 5% to 6% in the comparator arm.</w:t>
      </w:r>
    </w:p>
    <w:p w14:paraId="722EE162" w14:textId="71FD53EF" w:rsidR="00D92EBC" w:rsidRPr="009B4A73" w:rsidRDefault="00CE0B5E" w:rsidP="00316679">
      <w:pPr>
        <w:spacing w:after="8" w:line="240" w:lineRule="auto"/>
        <w:ind w:left="426" w:right="8"/>
        <w:rPr>
          <w:sz w:val="22"/>
        </w:rPr>
      </w:pPr>
      <w:r w:rsidRPr="009B4A73">
        <w:rPr>
          <w:sz w:val="22"/>
        </w:rPr>
        <w:t xml:space="preserve"> </w:t>
      </w:r>
      <w:r w:rsidR="0078763F" w:rsidRPr="009B4A73">
        <w:rPr>
          <w:sz w:val="22"/>
        </w:rPr>
        <w:t xml:space="preserve"> </w:t>
      </w:r>
    </w:p>
    <w:p w14:paraId="0B89610B" w14:textId="40C1C895" w:rsidR="00D92EBC" w:rsidRPr="009B4A73" w:rsidRDefault="0078763F" w:rsidP="00316679">
      <w:pPr>
        <w:spacing w:after="0" w:line="240" w:lineRule="auto"/>
        <w:ind w:left="426" w:right="8"/>
        <w:rPr>
          <w:sz w:val="22"/>
        </w:rPr>
      </w:pPr>
      <w:r w:rsidRPr="009B4A73">
        <w:rPr>
          <w:sz w:val="22"/>
        </w:rPr>
        <w:t xml:space="preserve">Anaphylactoid reactions were observed in isolated cases (see section 4.4 Special </w:t>
      </w:r>
      <w:r w:rsidR="00F94AD5" w:rsidRPr="009B4A73">
        <w:rPr>
          <w:sz w:val="22"/>
        </w:rPr>
        <w:t>w</w:t>
      </w:r>
      <w:r w:rsidRPr="009B4A73">
        <w:rPr>
          <w:sz w:val="22"/>
        </w:rPr>
        <w:t xml:space="preserve">arnings and </w:t>
      </w:r>
      <w:r w:rsidR="00F94AD5" w:rsidRPr="009B4A73">
        <w:rPr>
          <w:sz w:val="22"/>
        </w:rPr>
        <w:t>p</w:t>
      </w:r>
      <w:r w:rsidRPr="009B4A73">
        <w:rPr>
          <w:sz w:val="22"/>
        </w:rPr>
        <w:t xml:space="preserve">recautions for </w:t>
      </w:r>
      <w:r w:rsidR="00F94AD5" w:rsidRPr="009B4A73">
        <w:rPr>
          <w:sz w:val="22"/>
        </w:rPr>
        <w:t>u</w:t>
      </w:r>
      <w:r w:rsidRPr="009B4A73">
        <w:rPr>
          <w:sz w:val="22"/>
        </w:rPr>
        <w:t>se)</w:t>
      </w:r>
    </w:p>
    <w:p w14:paraId="172F229C" w14:textId="77777777" w:rsidR="00B15354" w:rsidRPr="009B4A73" w:rsidRDefault="00B15354" w:rsidP="00316679">
      <w:pPr>
        <w:spacing w:after="0" w:line="240" w:lineRule="auto"/>
        <w:ind w:left="426" w:right="8" w:firstLine="0"/>
        <w:rPr>
          <w:sz w:val="22"/>
        </w:rPr>
      </w:pPr>
    </w:p>
    <w:p w14:paraId="305CA0F7" w14:textId="6538D37E" w:rsidR="00D92EBC" w:rsidRPr="009B4A73" w:rsidRDefault="0078763F" w:rsidP="00316679">
      <w:pPr>
        <w:pStyle w:val="Heading2"/>
        <w:spacing w:after="0" w:line="240" w:lineRule="auto"/>
        <w:ind w:left="426"/>
        <w:rPr>
          <w:b w:val="0"/>
          <w:bCs/>
          <w:sz w:val="22"/>
          <w:u w:val="single"/>
        </w:rPr>
      </w:pPr>
      <w:r w:rsidRPr="009B4A73">
        <w:rPr>
          <w:b w:val="0"/>
          <w:bCs/>
          <w:sz w:val="22"/>
          <w:u w:val="single"/>
        </w:rPr>
        <w:t xml:space="preserve">Cardiac </w:t>
      </w:r>
      <w:r w:rsidR="004D2632" w:rsidRPr="009B4A73">
        <w:rPr>
          <w:b w:val="0"/>
          <w:bCs/>
          <w:sz w:val="22"/>
          <w:u w:val="single"/>
        </w:rPr>
        <w:t>d</w:t>
      </w:r>
      <w:r w:rsidRPr="009B4A73">
        <w:rPr>
          <w:b w:val="0"/>
          <w:bCs/>
          <w:sz w:val="22"/>
          <w:u w:val="single"/>
        </w:rPr>
        <w:t xml:space="preserve">ysfunction </w:t>
      </w:r>
    </w:p>
    <w:p w14:paraId="1513E213" w14:textId="77777777" w:rsidR="00B15354" w:rsidRPr="009B4A73" w:rsidRDefault="00B15354" w:rsidP="00316679">
      <w:pPr>
        <w:spacing w:after="0" w:line="240" w:lineRule="auto"/>
        <w:ind w:left="426"/>
        <w:rPr>
          <w:sz w:val="22"/>
        </w:rPr>
      </w:pPr>
    </w:p>
    <w:p w14:paraId="6C97DF85" w14:textId="56816046" w:rsidR="00D92EBC" w:rsidRPr="009B4A73" w:rsidRDefault="0078763F" w:rsidP="00316679">
      <w:pPr>
        <w:spacing w:after="0" w:line="240" w:lineRule="auto"/>
        <w:ind w:left="426" w:right="8"/>
        <w:rPr>
          <w:sz w:val="22"/>
        </w:rPr>
      </w:pPr>
      <w:r w:rsidRPr="009B4A73">
        <w:rPr>
          <w:sz w:val="22"/>
        </w:rPr>
        <w:t>Congestive heart failure (NYHA Class II-IV) is a common adverse reaction to</w:t>
      </w:r>
      <w:r w:rsidR="00CE0B5E" w:rsidRPr="009B4A73">
        <w:rPr>
          <w:sz w:val="22"/>
        </w:rPr>
        <w:t xml:space="preserve"> </w:t>
      </w:r>
      <w:r w:rsidR="00850C5A" w:rsidRPr="009B4A73">
        <w:rPr>
          <w:sz w:val="22"/>
        </w:rPr>
        <w:t>trastuzumab</w:t>
      </w:r>
      <w:r w:rsidRPr="009B4A73">
        <w:rPr>
          <w:sz w:val="22"/>
        </w:rPr>
        <w:t>. It has been associated with fatal outcome. Signs and symptoms of heart failure, such as dyspnoea, orthopnoea, increased cough, pulmonary oedema, pulmonary hypertension and S3 gallop or reduced ventricular ejection fraction, have been observed in patients treated with</w:t>
      </w:r>
      <w:r w:rsidR="00CE0B5E" w:rsidRPr="009B4A73">
        <w:rPr>
          <w:sz w:val="22"/>
        </w:rPr>
        <w:t xml:space="preserve"> </w:t>
      </w:r>
      <w:r w:rsidR="00850C5A" w:rsidRPr="009B4A73">
        <w:rPr>
          <w:sz w:val="22"/>
        </w:rPr>
        <w:t>trastuzumab</w:t>
      </w:r>
      <w:r w:rsidRPr="009B4A73">
        <w:rPr>
          <w:sz w:val="22"/>
        </w:rPr>
        <w:t xml:space="preserve"> (see section 4.4 Special </w:t>
      </w:r>
      <w:r w:rsidR="00F94AD5" w:rsidRPr="009B4A73">
        <w:rPr>
          <w:sz w:val="22"/>
        </w:rPr>
        <w:t>w</w:t>
      </w:r>
      <w:r w:rsidRPr="009B4A73">
        <w:rPr>
          <w:sz w:val="22"/>
        </w:rPr>
        <w:t xml:space="preserve">arnings and </w:t>
      </w:r>
      <w:r w:rsidR="00F94AD5" w:rsidRPr="009B4A73">
        <w:rPr>
          <w:sz w:val="22"/>
        </w:rPr>
        <w:t>p</w:t>
      </w:r>
      <w:r w:rsidRPr="009B4A73">
        <w:rPr>
          <w:sz w:val="22"/>
        </w:rPr>
        <w:t xml:space="preserve">recautions for </w:t>
      </w:r>
      <w:r w:rsidR="00F94AD5" w:rsidRPr="009B4A73">
        <w:rPr>
          <w:sz w:val="22"/>
        </w:rPr>
        <w:t>u</w:t>
      </w:r>
      <w:r w:rsidRPr="009B4A73">
        <w:rPr>
          <w:sz w:val="22"/>
        </w:rPr>
        <w:t>se).</w:t>
      </w:r>
    </w:p>
    <w:p w14:paraId="5C5F7D0F" w14:textId="77777777" w:rsidR="00B15354" w:rsidRPr="009B4A73" w:rsidRDefault="00B15354" w:rsidP="00316679">
      <w:pPr>
        <w:spacing w:after="0" w:line="240" w:lineRule="auto"/>
        <w:ind w:left="426" w:right="8"/>
        <w:rPr>
          <w:sz w:val="22"/>
        </w:rPr>
      </w:pPr>
    </w:p>
    <w:p w14:paraId="1966EF93" w14:textId="5290F610" w:rsidR="00D92EBC" w:rsidRPr="009B4A73" w:rsidRDefault="0078763F" w:rsidP="001D3187">
      <w:pPr>
        <w:pStyle w:val="Heading3"/>
        <w:keepLines w:val="0"/>
        <w:spacing w:after="0" w:line="240" w:lineRule="auto"/>
        <w:ind w:left="425" w:right="1296" w:hanging="11"/>
        <w:rPr>
          <w:i/>
          <w:iCs/>
          <w:sz w:val="22"/>
          <w:u w:val="none"/>
        </w:rPr>
      </w:pPr>
      <w:r w:rsidRPr="009B4A73">
        <w:rPr>
          <w:i/>
          <w:iCs/>
          <w:sz w:val="22"/>
        </w:rPr>
        <w:t xml:space="preserve">Locally </w:t>
      </w:r>
      <w:r w:rsidR="004D2632" w:rsidRPr="009B4A73">
        <w:rPr>
          <w:i/>
          <w:iCs/>
          <w:sz w:val="22"/>
        </w:rPr>
        <w:t>a</w:t>
      </w:r>
      <w:r w:rsidRPr="009B4A73">
        <w:rPr>
          <w:i/>
          <w:iCs/>
          <w:sz w:val="22"/>
        </w:rPr>
        <w:t xml:space="preserve">dvanced </w:t>
      </w:r>
      <w:r w:rsidR="004D2632" w:rsidRPr="009B4A73">
        <w:rPr>
          <w:i/>
          <w:iCs/>
          <w:sz w:val="22"/>
        </w:rPr>
        <w:t>b</w:t>
      </w:r>
      <w:r w:rsidRPr="009B4A73">
        <w:rPr>
          <w:i/>
          <w:iCs/>
          <w:sz w:val="22"/>
        </w:rPr>
        <w:t xml:space="preserve">reast </w:t>
      </w:r>
      <w:r w:rsidR="004D2632" w:rsidRPr="009B4A73">
        <w:rPr>
          <w:i/>
          <w:iCs/>
          <w:sz w:val="22"/>
        </w:rPr>
        <w:t>c</w:t>
      </w:r>
      <w:r w:rsidRPr="009B4A73">
        <w:rPr>
          <w:i/>
          <w:iCs/>
          <w:sz w:val="22"/>
        </w:rPr>
        <w:t>ancer (neoadjuvant</w:t>
      </w:r>
      <w:r w:rsidR="004D2632" w:rsidRPr="009B4A73">
        <w:rPr>
          <w:i/>
          <w:iCs/>
          <w:sz w:val="22"/>
        </w:rPr>
        <w:t xml:space="preserve">- </w:t>
      </w:r>
      <w:r w:rsidRPr="009B4A73">
        <w:rPr>
          <w:i/>
          <w:iCs/>
          <w:sz w:val="22"/>
        </w:rPr>
        <w:t>adjuvant setting)</w:t>
      </w:r>
      <w:r w:rsidRPr="009B4A73">
        <w:rPr>
          <w:i/>
          <w:iCs/>
          <w:sz w:val="22"/>
          <w:u w:val="none"/>
        </w:rPr>
        <w:t xml:space="preserve"> </w:t>
      </w:r>
    </w:p>
    <w:p w14:paraId="7B3ACC9F" w14:textId="77777777" w:rsidR="00B15354" w:rsidRPr="009B4A73" w:rsidRDefault="00B15354" w:rsidP="001D3187">
      <w:pPr>
        <w:keepNext/>
        <w:spacing w:after="0" w:line="240" w:lineRule="auto"/>
        <w:ind w:left="425" w:hanging="11"/>
        <w:rPr>
          <w:sz w:val="22"/>
        </w:rPr>
      </w:pPr>
    </w:p>
    <w:p w14:paraId="600E7E03" w14:textId="397D1C7C" w:rsidR="00D92EBC" w:rsidRPr="009B4A73" w:rsidRDefault="0078763F" w:rsidP="00316679">
      <w:pPr>
        <w:spacing w:after="40" w:line="240" w:lineRule="auto"/>
        <w:ind w:left="426" w:right="8"/>
        <w:rPr>
          <w:sz w:val="22"/>
        </w:rPr>
      </w:pPr>
      <w:r w:rsidRPr="009B4A73">
        <w:rPr>
          <w:sz w:val="22"/>
        </w:rPr>
        <w:t>In the clinical trial setting, when</w:t>
      </w:r>
      <w:r w:rsidR="00CE0B5E" w:rsidRPr="009B4A73">
        <w:rPr>
          <w:sz w:val="22"/>
        </w:rPr>
        <w:t xml:space="preserve"> </w:t>
      </w:r>
      <w:r w:rsidR="00850C5A" w:rsidRPr="009B4A73">
        <w:rPr>
          <w:sz w:val="22"/>
        </w:rPr>
        <w:t>trastuzumab</w:t>
      </w:r>
      <w:r w:rsidRPr="009B4A73">
        <w:rPr>
          <w:sz w:val="22"/>
        </w:rPr>
        <w:t xml:space="preserve"> was administered concurrently with neoadjuvant chemotherapy containing 3-4 cycles of a neoadjuvant anthracycline (cumulative doxorubicin dose 180 mg/m</w:t>
      </w:r>
      <w:r w:rsidRPr="009B4A73">
        <w:rPr>
          <w:sz w:val="22"/>
          <w:vertAlign w:val="superscript"/>
        </w:rPr>
        <w:t xml:space="preserve">2 </w:t>
      </w:r>
      <w:r w:rsidRPr="009B4A73">
        <w:rPr>
          <w:sz w:val="22"/>
        </w:rPr>
        <w:t xml:space="preserve">or </w:t>
      </w:r>
      <w:proofErr w:type="spellStart"/>
      <w:r w:rsidRPr="009B4A73">
        <w:rPr>
          <w:sz w:val="22"/>
        </w:rPr>
        <w:t>epirubicin</w:t>
      </w:r>
      <w:proofErr w:type="spellEnd"/>
      <w:r w:rsidR="004F3CD3" w:rsidRPr="009B4A73">
        <w:rPr>
          <w:sz w:val="22"/>
        </w:rPr>
        <w:t xml:space="preserve"> </w:t>
      </w:r>
      <w:r w:rsidRPr="009B4A73">
        <w:rPr>
          <w:sz w:val="22"/>
        </w:rPr>
        <w:t>dose 360 mg/m</w:t>
      </w:r>
      <w:r w:rsidRPr="009B4A73">
        <w:rPr>
          <w:sz w:val="22"/>
          <w:vertAlign w:val="superscript"/>
        </w:rPr>
        <w:t>2</w:t>
      </w:r>
      <w:r w:rsidRPr="009B4A73">
        <w:rPr>
          <w:sz w:val="22"/>
        </w:rPr>
        <w:t>) overall, the incidence of symptomatic cardiac dysfunction was up to 1.7 % in the</w:t>
      </w:r>
      <w:r w:rsidR="00CE0B5E" w:rsidRPr="009B4A73">
        <w:rPr>
          <w:sz w:val="22"/>
        </w:rPr>
        <w:t xml:space="preserve"> </w:t>
      </w:r>
      <w:r w:rsidR="00850C5A" w:rsidRPr="009B4A73">
        <w:rPr>
          <w:sz w:val="22"/>
        </w:rPr>
        <w:t>trastuzumab</w:t>
      </w:r>
      <w:r w:rsidRPr="009B4A73">
        <w:rPr>
          <w:sz w:val="22"/>
        </w:rPr>
        <w:t xml:space="preserve"> arm.</w:t>
      </w:r>
    </w:p>
    <w:p w14:paraId="4DC73BC0" w14:textId="77777777" w:rsidR="00B15354" w:rsidRPr="009B4A73" w:rsidRDefault="00B15354" w:rsidP="00316679">
      <w:pPr>
        <w:spacing w:after="0" w:line="240" w:lineRule="auto"/>
        <w:ind w:left="426" w:right="8"/>
        <w:rPr>
          <w:sz w:val="22"/>
        </w:rPr>
      </w:pPr>
    </w:p>
    <w:p w14:paraId="27051FD2" w14:textId="3C6D61DB" w:rsidR="00D92EBC" w:rsidRPr="009B4A73" w:rsidRDefault="0078763F" w:rsidP="00F94AD5">
      <w:pPr>
        <w:pStyle w:val="Heading3"/>
        <w:keepLines w:val="0"/>
        <w:spacing w:after="0" w:line="240" w:lineRule="auto"/>
        <w:ind w:left="425" w:right="1296" w:hanging="11"/>
        <w:rPr>
          <w:i/>
          <w:iCs/>
          <w:sz w:val="22"/>
          <w:u w:val="none"/>
        </w:rPr>
      </w:pPr>
      <w:r w:rsidRPr="009B4A73">
        <w:rPr>
          <w:i/>
          <w:iCs/>
          <w:sz w:val="22"/>
        </w:rPr>
        <w:t xml:space="preserve">Early </w:t>
      </w:r>
      <w:r w:rsidR="004D2632" w:rsidRPr="009B4A73">
        <w:rPr>
          <w:i/>
          <w:iCs/>
          <w:sz w:val="22"/>
        </w:rPr>
        <w:t>b</w:t>
      </w:r>
      <w:r w:rsidRPr="009B4A73">
        <w:rPr>
          <w:i/>
          <w:iCs/>
          <w:sz w:val="22"/>
        </w:rPr>
        <w:t xml:space="preserve">reast </w:t>
      </w:r>
      <w:r w:rsidR="004D2632" w:rsidRPr="009B4A73">
        <w:rPr>
          <w:i/>
          <w:iCs/>
          <w:sz w:val="22"/>
        </w:rPr>
        <w:t>c</w:t>
      </w:r>
      <w:r w:rsidRPr="009B4A73">
        <w:rPr>
          <w:i/>
          <w:iCs/>
          <w:sz w:val="22"/>
        </w:rPr>
        <w:t>ancer (adjuvant setting)</w:t>
      </w:r>
    </w:p>
    <w:p w14:paraId="5237BB47" w14:textId="77777777" w:rsidR="00B15354" w:rsidRPr="009B4A73" w:rsidRDefault="00B15354" w:rsidP="00F94AD5">
      <w:pPr>
        <w:keepNext/>
        <w:spacing w:after="0" w:line="240" w:lineRule="auto"/>
        <w:ind w:left="425" w:hanging="11"/>
        <w:rPr>
          <w:sz w:val="22"/>
        </w:rPr>
      </w:pPr>
    </w:p>
    <w:p w14:paraId="0AA26FE4" w14:textId="2E349BFB" w:rsidR="00D92EBC" w:rsidRPr="009B4A73" w:rsidRDefault="0078763F" w:rsidP="00316679">
      <w:pPr>
        <w:spacing w:after="0" w:line="240" w:lineRule="auto"/>
        <w:ind w:left="426"/>
        <w:jc w:val="both"/>
        <w:rPr>
          <w:sz w:val="22"/>
        </w:rPr>
      </w:pPr>
      <w:r w:rsidRPr="009B4A73">
        <w:rPr>
          <w:sz w:val="22"/>
        </w:rPr>
        <w:t>In 3 pivotal clinical trials of adjuvant</w:t>
      </w:r>
      <w:r w:rsidR="00CE0B5E" w:rsidRPr="009B4A73">
        <w:rPr>
          <w:sz w:val="22"/>
        </w:rPr>
        <w:t xml:space="preserve"> </w:t>
      </w:r>
      <w:r w:rsidR="00850C5A" w:rsidRPr="009B4A73">
        <w:rPr>
          <w:sz w:val="22"/>
        </w:rPr>
        <w:t>trastuzumab</w:t>
      </w:r>
      <w:r w:rsidRPr="009B4A73">
        <w:rPr>
          <w:sz w:val="22"/>
        </w:rPr>
        <w:t xml:space="preserve"> given in combination with chemotherapy the incidence of grade 3/4 cardiac dysfunction (symptomatic CHF) was similar in patients who were administered chemotherapy alone and in patients who were administered</w:t>
      </w:r>
      <w:r w:rsidR="00CE0B5E" w:rsidRPr="009B4A73">
        <w:rPr>
          <w:sz w:val="22"/>
        </w:rPr>
        <w:t xml:space="preserve"> </w:t>
      </w:r>
      <w:r w:rsidR="00850C5A" w:rsidRPr="009B4A73">
        <w:rPr>
          <w:sz w:val="22"/>
        </w:rPr>
        <w:t>trastuzumab</w:t>
      </w:r>
      <w:r w:rsidRPr="009B4A73">
        <w:rPr>
          <w:sz w:val="22"/>
        </w:rPr>
        <w:t xml:space="preserve"> sequentially to a </w:t>
      </w:r>
      <w:proofErr w:type="spellStart"/>
      <w:r w:rsidRPr="009B4A73">
        <w:rPr>
          <w:sz w:val="22"/>
        </w:rPr>
        <w:t>taxane</w:t>
      </w:r>
      <w:proofErr w:type="spellEnd"/>
      <w:r w:rsidRPr="009B4A73">
        <w:rPr>
          <w:sz w:val="22"/>
        </w:rPr>
        <w:t xml:space="preserve"> (0.3 - 0.4%). The rate was highest in </w:t>
      </w:r>
      <w:r w:rsidRPr="009B4A73">
        <w:rPr>
          <w:sz w:val="22"/>
        </w:rPr>
        <w:lastRenderedPageBreak/>
        <w:t>patients who were administered</w:t>
      </w:r>
      <w:r w:rsidR="00CE0B5E" w:rsidRPr="009B4A73">
        <w:rPr>
          <w:sz w:val="22"/>
        </w:rPr>
        <w:t xml:space="preserve"> </w:t>
      </w:r>
      <w:r w:rsidR="00850C5A" w:rsidRPr="009B4A73">
        <w:rPr>
          <w:sz w:val="22"/>
        </w:rPr>
        <w:t>trastuzumab</w:t>
      </w:r>
      <w:r w:rsidRPr="009B4A73">
        <w:rPr>
          <w:sz w:val="22"/>
        </w:rPr>
        <w:t xml:space="preserve"> concurrently with a </w:t>
      </w:r>
      <w:proofErr w:type="spellStart"/>
      <w:r w:rsidRPr="009B4A73">
        <w:rPr>
          <w:sz w:val="22"/>
        </w:rPr>
        <w:t>taxane</w:t>
      </w:r>
      <w:proofErr w:type="spellEnd"/>
      <w:r w:rsidRPr="009B4A73">
        <w:rPr>
          <w:sz w:val="22"/>
        </w:rPr>
        <w:t xml:space="preserve"> (2.0%). At 3 years, the cardiac event rate in patients receiving AC→P (doxorubicin plus cyclophosphamide followed by paclitaxel) + H (</w:t>
      </w:r>
      <w:r w:rsidR="00850C5A" w:rsidRPr="009B4A73">
        <w:rPr>
          <w:sz w:val="22"/>
        </w:rPr>
        <w:t xml:space="preserve"> trastuzumab</w:t>
      </w:r>
      <w:r w:rsidRPr="009B4A73">
        <w:rPr>
          <w:sz w:val="22"/>
        </w:rPr>
        <w:t>) was estimated at 3.2%, compared with 0.8% in AC→P treated patients. No increase in the cumulative incidence of cardiac events was seen with further follow-up at 5 years.</w:t>
      </w:r>
    </w:p>
    <w:p w14:paraId="2A4DEF05" w14:textId="77777777" w:rsidR="00B15354" w:rsidRPr="009B4A73" w:rsidRDefault="00B15354" w:rsidP="00316679">
      <w:pPr>
        <w:spacing w:after="0" w:line="240" w:lineRule="auto"/>
        <w:ind w:left="426"/>
        <w:jc w:val="both"/>
        <w:rPr>
          <w:sz w:val="22"/>
        </w:rPr>
      </w:pPr>
    </w:p>
    <w:p w14:paraId="14AB44F0" w14:textId="3D1D021A" w:rsidR="00D92EBC" w:rsidRPr="009B4A73" w:rsidRDefault="0078763F" w:rsidP="00316679">
      <w:pPr>
        <w:spacing w:after="0" w:line="240" w:lineRule="auto"/>
        <w:ind w:left="426"/>
        <w:jc w:val="both"/>
        <w:rPr>
          <w:sz w:val="22"/>
        </w:rPr>
      </w:pPr>
      <w:r w:rsidRPr="009B4A73">
        <w:rPr>
          <w:sz w:val="22"/>
        </w:rPr>
        <w:t xml:space="preserve">At 5.5 years, the rates of symptomatic cardiac or LVEF events were 1.0%, 2.3%, and 1.1% in the AC→D (doxorubicin plus cyclophosphamide, followed by docetaxel), AC→DH (doxorubicin plus cyclophosphamide, followed by docetaxel plus trastuzumab), and </w:t>
      </w:r>
      <w:proofErr w:type="spellStart"/>
      <w:r w:rsidRPr="009B4A73">
        <w:rPr>
          <w:sz w:val="22"/>
        </w:rPr>
        <w:t>DCarbH</w:t>
      </w:r>
      <w:proofErr w:type="spellEnd"/>
      <w:r w:rsidRPr="009B4A73">
        <w:rPr>
          <w:sz w:val="22"/>
        </w:rPr>
        <w:t xml:space="preserve"> (docetaxel, carboplatin and</w:t>
      </w:r>
      <w:r w:rsidR="00CE0B5E" w:rsidRPr="009B4A73">
        <w:rPr>
          <w:sz w:val="22"/>
        </w:rPr>
        <w:t xml:space="preserve"> </w:t>
      </w:r>
      <w:r w:rsidR="00850C5A" w:rsidRPr="009B4A73">
        <w:rPr>
          <w:sz w:val="22"/>
        </w:rPr>
        <w:t>trastuzumab</w:t>
      </w:r>
      <w:r w:rsidRPr="009B4A73">
        <w:rPr>
          <w:sz w:val="22"/>
        </w:rPr>
        <w:t xml:space="preserve">) treatment arms, respectively. For symptomatic CHF (NCI-CTC Grade 3 - 4), the 5-year rates were 0.6%, 1.9%, and 0.4% in the AC→D, AC→DH, and </w:t>
      </w:r>
      <w:proofErr w:type="spellStart"/>
      <w:r w:rsidRPr="009B4A73">
        <w:rPr>
          <w:sz w:val="22"/>
        </w:rPr>
        <w:t>DCarbH</w:t>
      </w:r>
      <w:proofErr w:type="spellEnd"/>
      <w:r w:rsidRPr="009B4A73">
        <w:rPr>
          <w:sz w:val="22"/>
        </w:rPr>
        <w:t xml:space="preserve"> treatment arms, respectively. The overall risk of developing symptomatic cardiac events was low and similar for patients in AC→D and </w:t>
      </w:r>
      <w:proofErr w:type="spellStart"/>
      <w:r w:rsidRPr="009B4A73">
        <w:rPr>
          <w:sz w:val="22"/>
        </w:rPr>
        <w:t>DCarbH</w:t>
      </w:r>
      <w:proofErr w:type="spellEnd"/>
      <w:r w:rsidRPr="009B4A73">
        <w:rPr>
          <w:sz w:val="22"/>
        </w:rPr>
        <w:t xml:space="preserve"> arms; relative to both the AC→D and </w:t>
      </w:r>
      <w:proofErr w:type="spellStart"/>
      <w:r w:rsidRPr="009B4A73">
        <w:rPr>
          <w:sz w:val="22"/>
        </w:rPr>
        <w:t>DCarbH</w:t>
      </w:r>
      <w:proofErr w:type="spellEnd"/>
      <w:r w:rsidRPr="009B4A73">
        <w:rPr>
          <w:sz w:val="22"/>
        </w:rPr>
        <w:t xml:space="preserve"> arms there was an increased risk of developing a symptomatic cardiac event for patients in the AC→DH arm, being </w:t>
      </w:r>
      <w:proofErr w:type="spellStart"/>
      <w:r w:rsidRPr="009B4A73">
        <w:rPr>
          <w:sz w:val="22"/>
        </w:rPr>
        <w:t>discernable</w:t>
      </w:r>
      <w:proofErr w:type="spellEnd"/>
      <w:r w:rsidRPr="009B4A73">
        <w:rPr>
          <w:sz w:val="22"/>
        </w:rPr>
        <w:t xml:space="preserve"> by a continuous increase in the cumulative rate of symptomatic cardiac or LVEF events up to 2.3% compared to approximately 1% in the two comparator arms (AC→D and </w:t>
      </w:r>
      <w:proofErr w:type="spellStart"/>
      <w:r w:rsidRPr="009B4A73">
        <w:rPr>
          <w:sz w:val="22"/>
        </w:rPr>
        <w:t>DCarbH</w:t>
      </w:r>
      <w:proofErr w:type="spellEnd"/>
      <w:r w:rsidRPr="009B4A73">
        <w:rPr>
          <w:sz w:val="22"/>
        </w:rPr>
        <w:t>).</w:t>
      </w:r>
    </w:p>
    <w:p w14:paraId="047EC592" w14:textId="77777777" w:rsidR="00B15354" w:rsidRPr="009B4A73" w:rsidRDefault="00B15354" w:rsidP="00316679">
      <w:pPr>
        <w:spacing w:after="0" w:line="240" w:lineRule="auto"/>
        <w:ind w:left="426"/>
        <w:jc w:val="both"/>
        <w:rPr>
          <w:sz w:val="22"/>
        </w:rPr>
      </w:pPr>
    </w:p>
    <w:p w14:paraId="09806D21" w14:textId="023944DA" w:rsidR="00D92EBC" w:rsidRPr="009B4A73" w:rsidRDefault="0078763F" w:rsidP="00316679">
      <w:pPr>
        <w:spacing w:after="0" w:line="240" w:lineRule="auto"/>
        <w:ind w:left="426" w:right="8"/>
        <w:rPr>
          <w:sz w:val="22"/>
        </w:rPr>
      </w:pPr>
      <w:r w:rsidRPr="009B4A73">
        <w:rPr>
          <w:sz w:val="22"/>
        </w:rPr>
        <w:t>When</w:t>
      </w:r>
      <w:r w:rsidR="00CE0B5E" w:rsidRPr="009B4A73">
        <w:rPr>
          <w:sz w:val="22"/>
        </w:rPr>
        <w:t xml:space="preserve"> </w:t>
      </w:r>
      <w:r w:rsidR="00850C5A" w:rsidRPr="009B4A73">
        <w:rPr>
          <w:sz w:val="22"/>
        </w:rPr>
        <w:t>trastuzumab</w:t>
      </w:r>
      <w:r w:rsidRPr="009B4A73">
        <w:rPr>
          <w:sz w:val="22"/>
        </w:rPr>
        <w:t xml:space="preserve"> was administered after completion of adjuvant chemotherapy, NYHA class III-IV heart failure was observed in 0.6% of patients in the 1-year arm after a median follow up of 12 months. After a median follow-up of 3.6 years the incidence of severe CHF and left ventricular dysfunction after </w:t>
      </w:r>
      <w:proofErr w:type="gramStart"/>
      <w:r w:rsidRPr="009B4A73">
        <w:rPr>
          <w:sz w:val="22"/>
        </w:rPr>
        <w:t>1 year</w:t>
      </w:r>
      <w:proofErr w:type="gramEnd"/>
      <w:r w:rsidR="00CE0B5E" w:rsidRPr="009B4A73">
        <w:rPr>
          <w:sz w:val="22"/>
        </w:rPr>
        <w:t xml:space="preserve"> </w:t>
      </w:r>
      <w:r w:rsidR="00850C5A" w:rsidRPr="009B4A73">
        <w:rPr>
          <w:sz w:val="22"/>
        </w:rPr>
        <w:t>trastuzumab</w:t>
      </w:r>
      <w:r w:rsidRPr="009B4A73">
        <w:rPr>
          <w:sz w:val="22"/>
        </w:rPr>
        <w:t xml:space="preserve"> therapy remained low at 0.8% and 9.8%, respectively.</w:t>
      </w:r>
    </w:p>
    <w:p w14:paraId="32B349DA" w14:textId="77777777" w:rsidR="00B15354" w:rsidRPr="009B4A73" w:rsidRDefault="00B15354" w:rsidP="00316679">
      <w:pPr>
        <w:spacing w:after="0" w:line="240" w:lineRule="auto"/>
        <w:ind w:left="426" w:right="8"/>
        <w:rPr>
          <w:sz w:val="22"/>
        </w:rPr>
      </w:pPr>
    </w:p>
    <w:p w14:paraId="1EE73879" w14:textId="223D37C4" w:rsidR="00D92EBC" w:rsidRPr="009B4A73" w:rsidRDefault="0078763F" w:rsidP="00316679">
      <w:pPr>
        <w:spacing w:after="0" w:line="240" w:lineRule="auto"/>
        <w:ind w:left="426" w:right="8"/>
        <w:rPr>
          <w:sz w:val="22"/>
        </w:rPr>
      </w:pPr>
      <w:r w:rsidRPr="009B4A73">
        <w:rPr>
          <w:sz w:val="22"/>
        </w:rPr>
        <w:t>After a median follow-up of 8 years the incidence of severe CHF (NYHA Class III &amp; IV) following 1 year of</w:t>
      </w:r>
      <w:r w:rsidR="00CE0B5E" w:rsidRPr="009B4A73">
        <w:rPr>
          <w:sz w:val="22"/>
        </w:rPr>
        <w:t xml:space="preserve"> </w:t>
      </w:r>
      <w:r w:rsidR="00850C5A" w:rsidRPr="009B4A73">
        <w:rPr>
          <w:sz w:val="22"/>
        </w:rPr>
        <w:t>trastuzumab</w:t>
      </w:r>
      <w:r w:rsidRPr="009B4A73">
        <w:rPr>
          <w:sz w:val="22"/>
        </w:rPr>
        <w:t xml:space="preserve"> therapy (combined analysis of the two</w:t>
      </w:r>
      <w:r w:rsidR="00CE0B5E" w:rsidRPr="009B4A73">
        <w:rPr>
          <w:sz w:val="22"/>
        </w:rPr>
        <w:t xml:space="preserve"> </w:t>
      </w:r>
      <w:r w:rsidR="00850C5A" w:rsidRPr="009B4A73">
        <w:rPr>
          <w:sz w:val="22"/>
        </w:rPr>
        <w:t>trastuzumab</w:t>
      </w:r>
      <w:r w:rsidRPr="009B4A73">
        <w:rPr>
          <w:sz w:val="22"/>
        </w:rPr>
        <w:t xml:space="preserve"> treatment arms) was 0.8%, and the rate of mild symptomatic and asymptomatic left ventricular dysfunction was 4.6%.</w:t>
      </w:r>
    </w:p>
    <w:p w14:paraId="5B38F865" w14:textId="77777777" w:rsidR="00B15354" w:rsidRPr="009B4A73" w:rsidRDefault="00B15354" w:rsidP="00316679">
      <w:pPr>
        <w:spacing w:after="0" w:line="240" w:lineRule="auto"/>
        <w:ind w:left="426" w:right="8"/>
        <w:rPr>
          <w:sz w:val="22"/>
        </w:rPr>
      </w:pPr>
    </w:p>
    <w:p w14:paraId="276E3740" w14:textId="2EC6F4C0" w:rsidR="00D92EBC" w:rsidRPr="009B4A73" w:rsidRDefault="0078763F" w:rsidP="00316679">
      <w:pPr>
        <w:spacing w:after="0" w:line="240" w:lineRule="auto"/>
        <w:ind w:left="426" w:right="8"/>
        <w:rPr>
          <w:sz w:val="22"/>
        </w:rPr>
      </w:pPr>
      <w:r w:rsidRPr="009B4A73">
        <w:rPr>
          <w:sz w:val="22"/>
        </w:rPr>
        <w:t xml:space="preserve">Reversibility of severe CHF (defined as a sequence of at least two consecutive LVEF values </w:t>
      </w:r>
      <w:r w:rsidR="00C01A82" w:rsidRPr="009B4A73">
        <w:rPr>
          <w:rFonts w:eastAsia="Segoe UI Symbol"/>
          <w:sz w:val="22"/>
        </w:rPr>
        <w:t>≥</w:t>
      </w:r>
      <w:r w:rsidRPr="009B4A73">
        <w:rPr>
          <w:sz w:val="22"/>
        </w:rPr>
        <w:t xml:space="preserve"> 50% after the event) was evident for 71.4% of</w:t>
      </w:r>
      <w:r w:rsidR="00CE0B5E" w:rsidRPr="009B4A73">
        <w:rPr>
          <w:sz w:val="22"/>
        </w:rPr>
        <w:t xml:space="preserve"> </w:t>
      </w:r>
      <w:r w:rsidR="00850C5A" w:rsidRPr="009B4A73">
        <w:rPr>
          <w:sz w:val="22"/>
        </w:rPr>
        <w:t>trastuzumab</w:t>
      </w:r>
      <w:r w:rsidRPr="009B4A73">
        <w:rPr>
          <w:sz w:val="22"/>
        </w:rPr>
        <w:t>-treated patients. Reversibility of mild symptomatic and asymptomatic left ventricular dysfunction was demonstrated for 79.5% of</w:t>
      </w:r>
      <w:r w:rsidR="00CE0B5E" w:rsidRPr="009B4A73">
        <w:rPr>
          <w:sz w:val="22"/>
        </w:rPr>
        <w:t xml:space="preserve"> </w:t>
      </w:r>
      <w:r w:rsidR="00850C5A" w:rsidRPr="009B4A73">
        <w:rPr>
          <w:sz w:val="22"/>
        </w:rPr>
        <w:t>trastuzumab</w:t>
      </w:r>
      <w:r w:rsidR="005255D4" w:rsidRPr="009B4A73">
        <w:rPr>
          <w:sz w:val="22"/>
        </w:rPr>
        <w:t>-</w:t>
      </w:r>
      <w:r w:rsidRPr="009B4A73">
        <w:rPr>
          <w:sz w:val="22"/>
        </w:rPr>
        <w:t>treated patients. Approximately 17% of cardiac dysfunction related events occurred after completion of</w:t>
      </w:r>
      <w:r w:rsidR="00CE0B5E" w:rsidRPr="009B4A73">
        <w:rPr>
          <w:sz w:val="22"/>
        </w:rPr>
        <w:t xml:space="preserve"> </w:t>
      </w:r>
      <w:r w:rsidR="00850C5A" w:rsidRPr="009B4A73">
        <w:rPr>
          <w:sz w:val="22"/>
        </w:rPr>
        <w:t>trastuzumab</w:t>
      </w:r>
      <w:r w:rsidRPr="009B4A73">
        <w:rPr>
          <w:sz w:val="22"/>
        </w:rPr>
        <w:t>.</w:t>
      </w:r>
    </w:p>
    <w:p w14:paraId="52FF31A5" w14:textId="77777777" w:rsidR="00B15354" w:rsidRPr="009B4A73" w:rsidRDefault="00B15354" w:rsidP="00316679">
      <w:pPr>
        <w:spacing w:after="0" w:line="240" w:lineRule="auto"/>
        <w:ind w:left="426" w:right="8"/>
        <w:rPr>
          <w:sz w:val="22"/>
        </w:rPr>
      </w:pPr>
    </w:p>
    <w:p w14:paraId="2EEB0AC6" w14:textId="09E1307A" w:rsidR="00B15354" w:rsidRPr="009B4A73" w:rsidRDefault="0078763F" w:rsidP="00316679">
      <w:pPr>
        <w:spacing w:after="0" w:line="240" w:lineRule="auto"/>
        <w:ind w:left="426" w:right="8"/>
        <w:rPr>
          <w:sz w:val="22"/>
        </w:rPr>
      </w:pPr>
      <w:r w:rsidRPr="009B4A73">
        <w:rPr>
          <w:sz w:val="22"/>
        </w:rPr>
        <w:t>In the joint analysis of studies NSABP B-31 and NCCTG N9831, with a median follow-up of 8.1 years for the AC→PH group (doxorubicin plus cyclophosphamide, followed by paclitaxel plus trastuzumab): in patients with a symptomatic CHF event, while data are missing for 22.6%, 64.5% were known to recover, and 12.9% experienced no recovery.</w:t>
      </w:r>
      <w:r w:rsidR="008805AA" w:rsidRPr="009B4A73">
        <w:rPr>
          <w:sz w:val="22"/>
        </w:rPr>
        <w:t xml:space="preserve"> </w:t>
      </w:r>
      <w:r w:rsidRPr="009B4A73">
        <w:rPr>
          <w:sz w:val="22"/>
        </w:rPr>
        <w:t>The median time to first recovery by LVEF status occurred at 8.3 months (range 1 – 104 months); 90.3% experienced a full or partial LVEF recovery.</w:t>
      </w:r>
    </w:p>
    <w:p w14:paraId="432237EE" w14:textId="77777777" w:rsidR="00B15354" w:rsidRPr="009B4A73" w:rsidRDefault="00B15354" w:rsidP="00316679">
      <w:pPr>
        <w:spacing w:after="0" w:line="240" w:lineRule="auto"/>
        <w:ind w:left="426" w:right="8"/>
        <w:rPr>
          <w:sz w:val="22"/>
        </w:rPr>
      </w:pPr>
    </w:p>
    <w:p w14:paraId="1AFFD0FC" w14:textId="613682AD" w:rsidR="00B15354" w:rsidRPr="009B4A73" w:rsidRDefault="0078763F" w:rsidP="00316679">
      <w:pPr>
        <w:pStyle w:val="Heading3"/>
        <w:spacing w:after="0" w:line="240" w:lineRule="auto"/>
        <w:ind w:left="426" w:right="1296"/>
        <w:rPr>
          <w:i/>
          <w:iCs/>
          <w:sz w:val="22"/>
          <w:u w:val="none"/>
        </w:rPr>
      </w:pPr>
      <w:r w:rsidRPr="009B4A73">
        <w:rPr>
          <w:i/>
          <w:iCs/>
          <w:sz w:val="22"/>
        </w:rPr>
        <w:t xml:space="preserve">Metastatic </w:t>
      </w:r>
      <w:r w:rsidR="005255D4" w:rsidRPr="009B4A73">
        <w:rPr>
          <w:i/>
          <w:iCs/>
          <w:sz w:val="22"/>
        </w:rPr>
        <w:t>b</w:t>
      </w:r>
      <w:r w:rsidRPr="009B4A73">
        <w:rPr>
          <w:i/>
          <w:iCs/>
          <w:sz w:val="22"/>
        </w:rPr>
        <w:t xml:space="preserve">reast </w:t>
      </w:r>
      <w:r w:rsidR="005255D4" w:rsidRPr="009B4A73">
        <w:rPr>
          <w:i/>
          <w:iCs/>
          <w:sz w:val="22"/>
        </w:rPr>
        <w:t>c</w:t>
      </w:r>
      <w:r w:rsidRPr="009B4A73">
        <w:rPr>
          <w:i/>
          <w:iCs/>
          <w:sz w:val="22"/>
        </w:rPr>
        <w:t>ancer</w:t>
      </w:r>
      <w:r w:rsidRPr="009B4A73">
        <w:rPr>
          <w:i/>
          <w:iCs/>
          <w:sz w:val="22"/>
          <w:u w:val="none"/>
        </w:rPr>
        <w:t xml:space="preserve"> </w:t>
      </w:r>
    </w:p>
    <w:p w14:paraId="6D2368E0" w14:textId="77777777" w:rsidR="00B15354" w:rsidRPr="009B4A73" w:rsidRDefault="00B15354" w:rsidP="00316679">
      <w:pPr>
        <w:spacing w:after="0" w:line="240" w:lineRule="auto"/>
        <w:ind w:left="426"/>
        <w:rPr>
          <w:sz w:val="22"/>
        </w:rPr>
      </w:pPr>
    </w:p>
    <w:p w14:paraId="055CE156" w14:textId="67C541C9" w:rsidR="00D92EBC" w:rsidRPr="009B4A73" w:rsidRDefault="0078763F" w:rsidP="00316679">
      <w:pPr>
        <w:spacing w:after="0" w:line="240" w:lineRule="auto"/>
        <w:ind w:left="426" w:right="8"/>
        <w:rPr>
          <w:sz w:val="22"/>
        </w:rPr>
      </w:pPr>
      <w:r w:rsidRPr="009B4A73">
        <w:rPr>
          <w:sz w:val="22"/>
        </w:rPr>
        <w:t>Depending on the criteria used to define cardiac dysfunction, the incidence in the pivotal metastatic trials varied between 9% and 12% in the</w:t>
      </w:r>
      <w:r w:rsidR="00CE0B5E" w:rsidRPr="009B4A73">
        <w:rPr>
          <w:sz w:val="22"/>
        </w:rPr>
        <w:t xml:space="preserve"> </w:t>
      </w:r>
      <w:r w:rsidR="00850C5A" w:rsidRPr="009B4A73">
        <w:rPr>
          <w:sz w:val="22"/>
        </w:rPr>
        <w:t>trastuzumab</w:t>
      </w:r>
      <w:r w:rsidRPr="009B4A73">
        <w:rPr>
          <w:sz w:val="22"/>
        </w:rPr>
        <w:t xml:space="preserve"> + paclitaxel subgroup, compared with 1% - 4% for the paclitaxel-alone subgroup. For</w:t>
      </w:r>
      <w:r w:rsidR="00CE0B5E" w:rsidRPr="009B4A73">
        <w:rPr>
          <w:sz w:val="22"/>
        </w:rPr>
        <w:t xml:space="preserve"> </w:t>
      </w:r>
      <w:r w:rsidR="00850C5A" w:rsidRPr="009B4A73">
        <w:rPr>
          <w:sz w:val="22"/>
        </w:rPr>
        <w:t>trastuzumab</w:t>
      </w:r>
      <w:r w:rsidRPr="009B4A73">
        <w:rPr>
          <w:sz w:val="22"/>
        </w:rPr>
        <w:t xml:space="preserve"> monotherapy, the rate was 6 - 9%. The highest rate of cardiac dysfunction was seen in patients receiving concurrent</w:t>
      </w:r>
      <w:r w:rsidR="00CE0B5E" w:rsidRPr="009B4A73">
        <w:rPr>
          <w:sz w:val="22"/>
        </w:rPr>
        <w:t xml:space="preserve"> </w:t>
      </w:r>
      <w:r w:rsidR="00850C5A" w:rsidRPr="009B4A73">
        <w:rPr>
          <w:sz w:val="22"/>
        </w:rPr>
        <w:t>trastuzumab</w:t>
      </w:r>
      <w:r w:rsidRPr="009B4A73">
        <w:rPr>
          <w:sz w:val="22"/>
        </w:rPr>
        <w:t xml:space="preserve"> + anthracycline / cyclophosphamide (27%), significantly higher than in the anthracycline / cyclophosphamide-alone subgroup (7 - 10%). In study M77001 with prospective monitoring of cardiac function, the incidence of symptomatic heart failure was 2.2% in patients receiving</w:t>
      </w:r>
      <w:r w:rsidR="00CE0B5E" w:rsidRPr="009B4A73">
        <w:rPr>
          <w:sz w:val="22"/>
        </w:rPr>
        <w:t xml:space="preserve"> </w:t>
      </w:r>
      <w:r w:rsidR="00850C5A" w:rsidRPr="009B4A73">
        <w:rPr>
          <w:sz w:val="22"/>
        </w:rPr>
        <w:t>trastuzumab</w:t>
      </w:r>
      <w:r w:rsidRPr="009B4A73">
        <w:rPr>
          <w:sz w:val="22"/>
        </w:rPr>
        <w:t xml:space="preserve"> and docetaxel, compared with 0% in patients receiving docetaxel</w:t>
      </w:r>
      <w:r w:rsidR="005255D4" w:rsidRPr="009B4A73">
        <w:rPr>
          <w:sz w:val="22"/>
        </w:rPr>
        <w:t>-</w:t>
      </w:r>
      <w:r w:rsidRPr="009B4A73">
        <w:rPr>
          <w:sz w:val="22"/>
        </w:rPr>
        <w:t>alone. Most of the patients (79%) who developed cardiac dysfunction in these trials experienced an improvement after receiving standard treatment for heart failure.</w:t>
      </w:r>
    </w:p>
    <w:p w14:paraId="4C79AA84" w14:textId="77777777" w:rsidR="00B15354" w:rsidRPr="009B4A73" w:rsidRDefault="00B15354" w:rsidP="00316679">
      <w:pPr>
        <w:spacing w:after="0" w:line="240" w:lineRule="auto"/>
        <w:ind w:left="426" w:right="8"/>
        <w:rPr>
          <w:sz w:val="22"/>
        </w:rPr>
      </w:pPr>
    </w:p>
    <w:p w14:paraId="573D44A8" w14:textId="2B28819E" w:rsidR="00D92EBC" w:rsidRPr="009B4A73" w:rsidRDefault="0078763F" w:rsidP="00316679">
      <w:pPr>
        <w:pStyle w:val="Heading3"/>
        <w:spacing w:after="0" w:line="240" w:lineRule="auto"/>
        <w:ind w:left="426" w:right="1296"/>
        <w:rPr>
          <w:i/>
          <w:iCs/>
          <w:sz w:val="22"/>
          <w:u w:val="none"/>
        </w:rPr>
      </w:pPr>
      <w:r w:rsidRPr="009B4A73">
        <w:rPr>
          <w:i/>
          <w:iCs/>
          <w:sz w:val="22"/>
        </w:rPr>
        <w:t xml:space="preserve">Advanced </w:t>
      </w:r>
      <w:r w:rsidR="005255D4" w:rsidRPr="009B4A73">
        <w:rPr>
          <w:i/>
          <w:iCs/>
          <w:sz w:val="22"/>
        </w:rPr>
        <w:t>g</w:t>
      </w:r>
      <w:r w:rsidRPr="009B4A73">
        <w:rPr>
          <w:i/>
          <w:iCs/>
          <w:sz w:val="22"/>
        </w:rPr>
        <w:t xml:space="preserve">astric </w:t>
      </w:r>
      <w:r w:rsidR="005255D4" w:rsidRPr="009B4A73">
        <w:rPr>
          <w:i/>
          <w:iCs/>
          <w:sz w:val="22"/>
        </w:rPr>
        <w:t>c</w:t>
      </w:r>
      <w:r w:rsidRPr="009B4A73">
        <w:rPr>
          <w:i/>
          <w:iCs/>
          <w:sz w:val="22"/>
        </w:rPr>
        <w:t>ancer</w:t>
      </w:r>
    </w:p>
    <w:p w14:paraId="02CBE1BA" w14:textId="77777777" w:rsidR="00B15354" w:rsidRPr="009B4A73" w:rsidRDefault="00B15354" w:rsidP="00316679">
      <w:pPr>
        <w:spacing w:after="0" w:line="240" w:lineRule="auto"/>
        <w:ind w:left="426"/>
        <w:rPr>
          <w:sz w:val="22"/>
        </w:rPr>
      </w:pPr>
    </w:p>
    <w:p w14:paraId="130E4236" w14:textId="763D1628" w:rsidR="00B15354" w:rsidRPr="009B4A73" w:rsidRDefault="0078763F" w:rsidP="00316679">
      <w:pPr>
        <w:spacing w:after="0" w:line="240" w:lineRule="auto"/>
        <w:ind w:left="426" w:right="8"/>
        <w:rPr>
          <w:sz w:val="22"/>
        </w:rPr>
      </w:pPr>
      <w:r w:rsidRPr="009B4A73">
        <w:rPr>
          <w:sz w:val="22"/>
        </w:rPr>
        <w:t>In Study BO18255</w:t>
      </w:r>
      <w:r w:rsidRPr="009B4A73">
        <w:rPr>
          <w:b/>
          <w:sz w:val="22"/>
        </w:rPr>
        <w:t xml:space="preserve"> </w:t>
      </w:r>
      <w:r w:rsidRPr="009B4A73">
        <w:rPr>
          <w:sz w:val="22"/>
        </w:rPr>
        <w:t>(</w:t>
      </w:r>
      <w:proofErr w:type="spellStart"/>
      <w:r w:rsidRPr="009B4A73">
        <w:rPr>
          <w:sz w:val="22"/>
        </w:rPr>
        <w:t>ToGA</w:t>
      </w:r>
      <w:proofErr w:type="spellEnd"/>
      <w:r w:rsidRPr="009B4A73">
        <w:rPr>
          <w:sz w:val="22"/>
        </w:rPr>
        <w:t>), at screening, the median LVEF value was 64% (range 48% - 90%) in the fluoropyrimidine/cisplatin (FP) arm and 65% (range 50% - 86%) in the</w:t>
      </w:r>
      <w:r w:rsidR="00CE0B5E" w:rsidRPr="009B4A73">
        <w:rPr>
          <w:sz w:val="22"/>
        </w:rPr>
        <w:t xml:space="preserve"> </w:t>
      </w:r>
      <w:r w:rsidR="00850C5A" w:rsidRPr="009B4A73">
        <w:rPr>
          <w:sz w:val="22"/>
        </w:rPr>
        <w:t>trastuzumab</w:t>
      </w:r>
      <w:r w:rsidRPr="009B4A73">
        <w:rPr>
          <w:sz w:val="22"/>
        </w:rPr>
        <w:t xml:space="preserve"> + FP arm.</w:t>
      </w:r>
    </w:p>
    <w:p w14:paraId="647FC582" w14:textId="1C0E8903" w:rsidR="00D92EBC" w:rsidRPr="009B4A73" w:rsidRDefault="00CE0B5E" w:rsidP="00316679">
      <w:pPr>
        <w:spacing w:after="0" w:line="240" w:lineRule="auto"/>
        <w:ind w:left="426" w:right="8"/>
        <w:rPr>
          <w:sz w:val="22"/>
        </w:rPr>
      </w:pPr>
      <w:r w:rsidRPr="009B4A73">
        <w:rPr>
          <w:sz w:val="22"/>
        </w:rPr>
        <w:t xml:space="preserve"> </w:t>
      </w:r>
    </w:p>
    <w:p w14:paraId="44A8C480" w14:textId="5DE4F6C9" w:rsidR="00B15354" w:rsidRPr="009B4A73" w:rsidRDefault="0078763F" w:rsidP="00316679">
      <w:pPr>
        <w:spacing w:after="0" w:line="240" w:lineRule="auto"/>
        <w:ind w:left="426" w:right="8"/>
        <w:rPr>
          <w:sz w:val="22"/>
        </w:rPr>
      </w:pPr>
      <w:r w:rsidRPr="009B4A73">
        <w:rPr>
          <w:sz w:val="22"/>
        </w:rPr>
        <w:t>The majority of the LVEF decreases noted in Study BO18255 (</w:t>
      </w:r>
      <w:proofErr w:type="spellStart"/>
      <w:r w:rsidRPr="009B4A73">
        <w:rPr>
          <w:sz w:val="22"/>
        </w:rPr>
        <w:t>ToGA</w:t>
      </w:r>
      <w:proofErr w:type="spellEnd"/>
      <w:r w:rsidRPr="009B4A73">
        <w:rPr>
          <w:sz w:val="22"/>
        </w:rPr>
        <w:t xml:space="preserve">) were asymptomatic, </w:t>
      </w:r>
      <w:proofErr w:type="gramStart"/>
      <w:r w:rsidRPr="009B4A73">
        <w:rPr>
          <w:sz w:val="22"/>
        </w:rPr>
        <w:t>with the exception of</w:t>
      </w:r>
      <w:proofErr w:type="gramEnd"/>
      <w:r w:rsidRPr="009B4A73">
        <w:rPr>
          <w:sz w:val="22"/>
        </w:rPr>
        <w:t xml:space="preserve"> 1 patient in the</w:t>
      </w:r>
      <w:r w:rsidR="00CE0B5E" w:rsidRPr="009B4A73">
        <w:rPr>
          <w:sz w:val="22"/>
        </w:rPr>
        <w:t xml:space="preserve"> </w:t>
      </w:r>
      <w:r w:rsidR="00850C5A" w:rsidRPr="009B4A73">
        <w:rPr>
          <w:sz w:val="22"/>
        </w:rPr>
        <w:t>trastuzumab</w:t>
      </w:r>
      <w:r w:rsidRPr="009B4A73">
        <w:rPr>
          <w:sz w:val="22"/>
        </w:rPr>
        <w:t xml:space="preserve"> arm whose LVEF decrease coincided with cardiac failure.</w:t>
      </w:r>
    </w:p>
    <w:p w14:paraId="14C8FC52" w14:textId="250ED25B" w:rsidR="00D92EBC" w:rsidRPr="009B4A73" w:rsidRDefault="0078763F" w:rsidP="00316679">
      <w:pPr>
        <w:spacing w:after="0" w:line="240" w:lineRule="auto"/>
        <w:ind w:left="426" w:right="8"/>
        <w:rPr>
          <w:sz w:val="22"/>
        </w:rPr>
      </w:pPr>
      <w:r w:rsidRPr="009B4A73">
        <w:rPr>
          <w:sz w:val="22"/>
        </w:rPr>
        <w:lastRenderedPageBreak/>
        <w:t xml:space="preserve"> </w:t>
      </w:r>
    </w:p>
    <w:p w14:paraId="7D84A56F" w14:textId="44186945" w:rsidR="00D92EBC" w:rsidRPr="009B4A73" w:rsidRDefault="0078763F" w:rsidP="00316679">
      <w:pPr>
        <w:pStyle w:val="Heading2"/>
        <w:spacing w:line="240" w:lineRule="auto"/>
        <w:ind w:left="426"/>
        <w:rPr>
          <w:sz w:val="22"/>
        </w:rPr>
      </w:pPr>
      <w:r w:rsidRPr="009B4A73">
        <w:rPr>
          <w:sz w:val="22"/>
        </w:rPr>
        <w:t xml:space="preserve">Table 2: Summary of LVEF </w:t>
      </w:r>
      <w:r w:rsidR="005255D4" w:rsidRPr="009B4A73">
        <w:rPr>
          <w:sz w:val="22"/>
        </w:rPr>
        <w:t>c</w:t>
      </w:r>
      <w:r w:rsidRPr="009B4A73">
        <w:rPr>
          <w:sz w:val="22"/>
        </w:rPr>
        <w:t>hange from baseline (Study BO18255)</w:t>
      </w:r>
    </w:p>
    <w:p w14:paraId="5C1312AF" w14:textId="77777777" w:rsidR="00850C5A" w:rsidRPr="009B4A73" w:rsidRDefault="00850C5A" w:rsidP="00316679">
      <w:pPr>
        <w:spacing w:after="0" w:line="240" w:lineRule="auto"/>
        <w:ind w:left="426"/>
        <w:rPr>
          <w:sz w:val="22"/>
          <w:szCs w:val="20"/>
        </w:rPr>
      </w:pPr>
    </w:p>
    <w:tbl>
      <w:tblPr>
        <w:tblStyle w:val="TableGrid"/>
        <w:tblW w:w="4799" w:type="pct"/>
        <w:tblInd w:w="421" w:type="dxa"/>
        <w:tblCellMar>
          <w:left w:w="57" w:type="dxa"/>
          <w:right w:w="57" w:type="dxa"/>
        </w:tblCellMar>
        <w:tblLook w:val="04A0" w:firstRow="1" w:lastRow="0" w:firstColumn="1" w:lastColumn="0" w:noHBand="0" w:noVBand="1"/>
      </w:tblPr>
      <w:tblGrid>
        <w:gridCol w:w="2976"/>
        <w:gridCol w:w="3544"/>
        <w:gridCol w:w="3520"/>
      </w:tblGrid>
      <w:tr w:rsidR="00D92EBC" w:rsidRPr="009B4A73" w14:paraId="713E1439" w14:textId="77777777" w:rsidTr="005255D4">
        <w:trPr>
          <w:trHeight w:val="20"/>
        </w:trPr>
        <w:tc>
          <w:tcPr>
            <w:tcW w:w="1482" w:type="pct"/>
            <w:tcBorders>
              <w:top w:val="single" w:sz="4" w:space="0" w:color="000000"/>
              <w:left w:val="single" w:sz="4" w:space="0" w:color="000000"/>
              <w:bottom w:val="single" w:sz="4" w:space="0" w:color="000000"/>
              <w:right w:val="single" w:sz="4" w:space="0" w:color="000000"/>
            </w:tcBorders>
          </w:tcPr>
          <w:p w14:paraId="64CB96BF" w14:textId="77777777" w:rsidR="00D92EBC" w:rsidRPr="009B4A73" w:rsidRDefault="0078763F" w:rsidP="005255D4">
            <w:pPr>
              <w:spacing w:after="0" w:line="240" w:lineRule="auto"/>
              <w:ind w:left="-28" w:firstLine="0"/>
              <w:rPr>
                <w:sz w:val="22"/>
              </w:rPr>
            </w:pPr>
            <w:r w:rsidRPr="009B4A73">
              <w:rPr>
                <w:b/>
                <w:sz w:val="22"/>
              </w:rPr>
              <w:t>LVEF Decrease</w:t>
            </w:r>
            <w:r w:rsidRPr="009B4A73">
              <w:rPr>
                <w:b/>
                <w:sz w:val="22"/>
                <w:vertAlign w:val="superscript"/>
              </w:rPr>
              <w:t>#</w:t>
            </w:r>
            <w:r w:rsidRPr="009B4A73">
              <w:rPr>
                <w:b/>
                <w:sz w:val="22"/>
              </w:rPr>
              <w:t xml:space="preserve">:  </w:t>
            </w:r>
          </w:p>
          <w:p w14:paraId="71630E4D" w14:textId="77777777" w:rsidR="00D92EBC" w:rsidRPr="009B4A73" w:rsidRDefault="0078763F" w:rsidP="005255D4">
            <w:pPr>
              <w:spacing w:after="0" w:line="240" w:lineRule="auto"/>
              <w:ind w:left="-28" w:firstLine="0"/>
              <w:rPr>
                <w:sz w:val="22"/>
              </w:rPr>
            </w:pPr>
            <w:r w:rsidRPr="009B4A73">
              <w:rPr>
                <w:b/>
                <w:sz w:val="22"/>
              </w:rPr>
              <w:t>Lowest Post-screening Value</w:t>
            </w:r>
            <w:r w:rsidRPr="009B4A73">
              <w:rPr>
                <w:sz w:val="22"/>
              </w:rPr>
              <w:t xml:space="preserve"> </w:t>
            </w:r>
          </w:p>
        </w:tc>
        <w:tc>
          <w:tcPr>
            <w:tcW w:w="1765" w:type="pct"/>
            <w:tcBorders>
              <w:top w:val="single" w:sz="4" w:space="0" w:color="000000"/>
              <w:left w:val="single" w:sz="4" w:space="0" w:color="000000"/>
              <w:bottom w:val="single" w:sz="4" w:space="0" w:color="000000"/>
              <w:right w:val="single" w:sz="4" w:space="0" w:color="000000"/>
            </w:tcBorders>
          </w:tcPr>
          <w:p w14:paraId="002895EA" w14:textId="77777777" w:rsidR="00D92EBC" w:rsidRPr="009B4A73" w:rsidRDefault="0078763F" w:rsidP="005255D4">
            <w:pPr>
              <w:spacing w:after="0" w:line="240" w:lineRule="auto"/>
              <w:ind w:left="-28" w:right="39" w:firstLine="0"/>
              <w:jc w:val="center"/>
              <w:rPr>
                <w:sz w:val="22"/>
              </w:rPr>
            </w:pPr>
            <w:r w:rsidRPr="009B4A73">
              <w:rPr>
                <w:b/>
                <w:sz w:val="22"/>
              </w:rPr>
              <w:t xml:space="preserve">FP </w:t>
            </w:r>
          </w:p>
          <w:p w14:paraId="300BE1E3" w14:textId="77777777" w:rsidR="00D92EBC" w:rsidRPr="009B4A73" w:rsidRDefault="0078763F" w:rsidP="005255D4">
            <w:pPr>
              <w:spacing w:after="0" w:line="240" w:lineRule="auto"/>
              <w:ind w:left="-28" w:right="36" w:firstLine="0"/>
              <w:jc w:val="center"/>
              <w:rPr>
                <w:sz w:val="22"/>
              </w:rPr>
            </w:pPr>
            <w:r w:rsidRPr="009B4A73">
              <w:rPr>
                <w:b/>
                <w:sz w:val="22"/>
              </w:rPr>
              <w:t>(</w:t>
            </w:r>
            <w:r w:rsidRPr="009B4A73">
              <w:rPr>
                <w:b/>
                <w:i/>
                <w:sz w:val="22"/>
              </w:rPr>
              <w:t>n</w:t>
            </w:r>
            <w:r w:rsidRPr="009B4A73">
              <w:rPr>
                <w:b/>
                <w:sz w:val="22"/>
              </w:rPr>
              <w:t xml:space="preserve"> = 290) </w:t>
            </w:r>
          </w:p>
          <w:p w14:paraId="52E59DED" w14:textId="77777777" w:rsidR="00D92EBC" w:rsidRPr="009B4A73" w:rsidRDefault="0078763F" w:rsidP="005255D4">
            <w:pPr>
              <w:spacing w:after="0" w:line="240" w:lineRule="auto"/>
              <w:ind w:left="-28" w:firstLine="0"/>
              <w:jc w:val="center"/>
              <w:rPr>
                <w:sz w:val="22"/>
              </w:rPr>
            </w:pPr>
            <w:r w:rsidRPr="009B4A73">
              <w:rPr>
                <w:b/>
                <w:sz w:val="22"/>
              </w:rPr>
              <w:t>(% patients in each treatment arm)</w:t>
            </w:r>
            <w:r w:rsidRPr="009B4A73">
              <w:rPr>
                <w:sz w:val="22"/>
              </w:rPr>
              <w:t xml:space="preserve"> </w:t>
            </w:r>
          </w:p>
        </w:tc>
        <w:tc>
          <w:tcPr>
            <w:tcW w:w="1753" w:type="pct"/>
            <w:tcBorders>
              <w:top w:val="single" w:sz="4" w:space="0" w:color="000000"/>
              <w:left w:val="single" w:sz="4" w:space="0" w:color="000000"/>
              <w:bottom w:val="single" w:sz="4" w:space="0" w:color="000000"/>
              <w:right w:val="single" w:sz="4" w:space="0" w:color="000000"/>
            </w:tcBorders>
          </w:tcPr>
          <w:p w14:paraId="4DE87ADE" w14:textId="77777777" w:rsidR="00D92EBC" w:rsidRPr="009B4A73" w:rsidRDefault="0078763F" w:rsidP="005255D4">
            <w:pPr>
              <w:spacing w:after="0" w:line="240" w:lineRule="auto"/>
              <w:ind w:left="-28" w:right="38" w:firstLine="0"/>
              <w:jc w:val="center"/>
              <w:rPr>
                <w:sz w:val="22"/>
              </w:rPr>
            </w:pPr>
            <w:r w:rsidRPr="009B4A73">
              <w:rPr>
                <w:b/>
                <w:sz w:val="22"/>
              </w:rPr>
              <w:t xml:space="preserve">FP + H </w:t>
            </w:r>
          </w:p>
          <w:p w14:paraId="6ABE7475" w14:textId="77777777" w:rsidR="00D92EBC" w:rsidRPr="009B4A73" w:rsidRDefault="0078763F" w:rsidP="005255D4">
            <w:pPr>
              <w:spacing w:after="0" w:line="240" w:lineRule="auto"/>
              <w:ind w:left="-28" w:right="40" w:firstLine="0"/>
              <w:jc w:val="center"/>
              <w:rPr>
                <w:sz w:val="22"/>
              </w:rPr>
            </w:pPr>
            <w:r w:rsidRPr="009B4A73">
              <w:rPr>
                <w:b/>
                <w:sz w:val="22"/>
              </w:rPr>
              <w:t xml:space="preserve"> (</w:t>
            </w:r>
            <w:r w:rsidRPr="009B4A73">
              <w:rPr>
                <w:b/>
                <w:i/>
                <w:sz w:val="22"/>
              </w:rPr>
              <w:t>n</w:t>
            </w:r>
            <w:r w:rsidRPr="009B4A73">
              <w:rPr>
                <w:b/>
                <w:sz w:val="22"/>
              </w:rPr>
              <w:t xml:space="preserve"> = 294) </w:t>
            </w:r>
          </w:p>
          <w:p w14:paraId="2786963B" w14:textId="77777777" w:rsidR="00D92EBC" w:rsidRPr="009B4A73" w:rsidRDefault="0078763F" w:rsidP="005255D4">
            <w:pPr>
              <w:spacing w:after="0" w:line="240" w:lineRule="auto"/>
              <w:ind w:left="-28" w:right="43" w:firstLine="0"/>
              <w:jc w:val="center"/>
              <w:rPr>
                <w:sz w:val="22"/>
              </w:rPr>
            </w:pPr>
            <w:r w:rsidRPr="009B4A73">
              <w:rPr>
                <w:b/>
                <w:sz w:val="22"/>
              </w:rPr>
              <w:t>(% patients in each treatment arm)</w:t>
            </w:r>
            <w:r w:rsidRPr="009B4A73">
              <w:rPr>
                <w:sz w:val="22"/>
              </w:rPr>
              <w:t xml:space="preserve"> </w:t>
            </w:r>
          </w:p>
        </w:tc>
      </w:tr>
      <w:tr w:rsidR="00D92EBC" w:rsidRPr="009B4A73" w14:paraId="4A57A666" w14:textId="77777777" w:rsidTr="005255D4">
        <w:trPr>
          <w:trHeight w:val="20"/>
        </w:trPr>
        <w:tc>
          <w:tcPr>
            <w:tcW w:w="1482" w:type="pct"/>
            <w:tcBorders>
              <w:top w:val="single" w:sz="4" w:space="0" w:color="000000"/>
              <w:left w:val="single" w:sz="4" w:space="0" w:color="000000"/>
              <w:bottom w:val="single" w:sz="4" w:space="0" w:color="000000"/>
              <w:right w:val="single" w:sz="4" w:space="0" w:color="000000"/>
            </w:tcBorders>
          </w:tcPr>
          <w:p w14:paraId="759AB0C9" w14:textId="778B633D" w:rsidR="00D92EBC" w:rsidRPr="009B4A73" w:rsidRDefault="0078763F" w:rsidP="005255D4">
            <w:pPr>
              <w:spacing w:after="0" w:line="240" w:lineRule="auto"/>
              <w:ind w:left="-28" w:firstLine="0"/>
              <w:rPr>
                <w:sz w:val="22"/>
              </w:rPr>
            </w:pPr>
            <w:r w:rsidRPr="009B4A73">
              <w:rPr>
                <w:sz w:val="22"/>
              </w:rPr>
              <w:t xml:space="preserve">LVEF decrease </w:t>
            </w:r>
            <w:r w:rsidR="00C01A82" w:rsidRPr="009B4A73">
              <w:rPr>
                <w:rFonts w:eastAsia="Segoe UI Symbol"/>
                <w:sz w:val="22"/>
              </w:rPr>
              <w:t>≥</w:t>
            </w:r>
            <w:r w:rsidRPr="009B4A73">
              <w:rPr>
                <w:sz w:val="22"/>
              </w:rPr>
              <w:t xml:space="preserve">10% to &lt;50% </w:t>
            </w:r>
          </w:p>
        </w:tc>
        <w:tc>
          <w:tcPr>
            <w:tcW w:w="1765" w:type="pct"/>
            <w:tcBorders>
              <w:top w:val="single" w:sz="4" w:space="0" w:color="000000"/>
              <w:left w:val="single" w:sz="4" w:space="0" w:color="000000"/>
              <w:bottom w:val="single" w:sz="4" w:space="0" w:color="000000"/>
              <w:right w:val="single" w:sz="4" w:space="0" w:color="000000"/>
            </w:tcBorders>
          </w:tcPr>
          <w:p w14:paraId="4A7D0661" w14:textId="77777777" w:rsidR="00D92EBC" w:rsidRPr="009B4A73" w:rsidRDefault="0078763F" w:rsidP="005255D4">
            <w:pPr>
              <w:spacing w:after="0" w:line="240" w:lineRule="auto"/>
              <w:ind w:left="-28" w:right="38" w:firstLine="0"/>
              <w:jc w:val="center"/>
              <w:rPr>
                <w:sz w:val="22"/>
              </w:rPr>
            </w:pPr>
            <w:r w:rsidRPr="009B4A73">
              <w:rPr>
                <w:sz w:val="22"/>
              </w:rPr>
              <w:t xml:space="preserve">1.1% </w:t>
            </w:r>
          </w:p>
        </w:tc>
        <w:tc>
          <w:tcPr>
            <w:tcW w:w="1753" w:type="pct"/>
            <w:tcBorders>
              <w:top w:val="single" w:sz="4" w:space="0" w:color="000000"/>
              <w:left w:val="single" w:sz="4" w:space="0" w:color="000000"/>
              <w:bottom w:val="single" w:sz="4" w:space="0" w:color="000000"/>
              <w:right w:val="single" w:sz="4" w:space="0" w:color="000000"/>
            </w:tcBorders>
          </w:tcPr>
          <w:p w14:paraId="396A9EB7" w14:textId="77777777" w:rsidR="00D92EBC" w:rsidRPr="009B4A73" w:rsidRDefault="0078763F" w:rsidP="005255D4">
            <w:pPr>
              <w:spacing w:after="0" w:line="240" w:lineRule="auto"/>
              <w:ind w:left="-28" w:right="40" w:firstLine="0"/>
              <w:jc w:val="center"/>
              <w:rPr>
                <w:sz w:val="22"/>
              </w:rPr>
            </w:pPr>
            <w:r w:rsidRPr="009B4A73">
              <w:rPr>
                <w:sz w:val="22"/>
              </w:rPr>
              <w:t xml:space="preserve">4.6% </w:t>
            </w:r>
          </w:p>
        </w:tc>
      </w:tr>
      <w:tr w:rsidR="00D92EBC" w:rsidRPr="009B4A73" w14:paraId="6FDA857D" w14:textId="77777777" w:rsidTr="005255D4">
        <w:trPr>
          <w:trHeight w:val="20"/>
        </w:trPr>
        <w:tc>
          <w:tcPr>
            <w:tcW w:w="1482" w:type="pct"/>
            <w:tcBorders>
              <w:top w:val="single" w:sz="4" w:space="0" w:color="000000"/>
              <w:left w:val="single" w:sz="4" w:space="0" w:color="000000"/>
              <w:bottom w:val="single" w:sz="4" w:space="0" w:color="000000"/>
              <w:right w:val="single" w:sz="4" w:space="0" w:color="000000"/>
            </w:tcBorders>
          </w:tcPr>
          <w:p w14:paraId="1F9781AE" w14:textId="77777777" w:rsidR="00D92EBC" w:rsidRPr="009B4A73" w:rsidRDefault="0078763F" w:rsidP="005255D4">
            <w:pPr>
              <w:spacing w:after="0" w:line="240" w:lineRule="auto"/>
              <w:ind w:left="-28" w:firstLine="0"/>
              <w:rPr>
                <w:sz w:val="22"/>
              </w:rPr>
            </w:pPr>
            <w:r w:rsidRPr="009B4A73">
              <w:rPr>
                <w:sz w:val="22"/>
              </w:rPr>
              <w:t xml:space="preserve">Absolute Value &lt;50% </w:t>
            </w:r>
          </w:p>
        </w:tc>
        <w:tc>
          <w:tcPr>
            <w:tcW w:w="1765" w:type="pct"/>
            <w:tcBorders>
              <w:top w:val="single" w:sz="4" w:space="0" w:color="000000"/>
              <w:left w:val="single" w:sz="4" w:space="0" w:color="000000"/>
              <w:bottom w:val="single" w:sz="4" w:space="0" w:color="000000"/>
              <w:right w:val="single" w:sz="4" w:space="0" w:color="000000"/>
            </w:tcBorders>
          </w:tcPr>
          <w:p w14:paraId="1256B5E6" w14:textId="77777777" w:rsidR="00D92EBC" w:rsidRPr="009B4A73" w:rsidRDefault="0078763F" w:rsidP="005255D4">
            <w:pPr>
              <w:spacing w:after="0" w:line="240" w:lineRule="auto"/>
              <w:ind w:left="-28" w:right="38" w:firstLine="0"/>
              <w:jc w:val="center"/>
              <w:rPr>
                <w:sz w:val="22"/>
              </w:rPr>
            </w:pPr>
            <w:r w:rsidRPr="009B4A73">
              <w:rPr>
                <w:sz w:val="22"/>
              </w:rPr>
              <w:t xml:space="preserve">1.1% </w:t>
            </w:r>
          </w:p>
        </w:tc>
        <w:tc>
          <w:tcPr>
            <w:tcW w:w="1753" w:type="pct"/>
            <w:tcBorders>
              <w:top w:val="single" w:sz="4" w:space="0" w:color="000000"/>
              <w:left w:val="single" w:sz="4" w:space="0" w:color="000000"/>
              <w:bottom w:val="single" w:sz="4" w:space="0" w:color="000000"/>
              <w:right w:val="single" w:sz="4" w:space="0" w:color="000000"/>
            </w:tcBorders>
          </w:tcPr>
          <w:p w14:paraId="238CE92F" w14:textId="77777777" w:rsidR="00D92EBC" w:rsidRPr="009B4A73" w:rsidRDefault="0078763F" w:rsidP="005255D4">
            <w:pPr>
              <w:spacing w:after="0" w:line="240" w:lineRule="auto"/>
              <w:ind w:left="-28" w:right="40" w:firstLine="0"/>
              <w:jc w:val="center"/>
              <w:rPr>
                <w:sz w:val="22"/>
              </w:rPr>
            </w:pPr>
            <w:r w:rsidRPr="009B4A73">
              <w:rPr>
                <w:sz w:val="22"/>
              </w:rPr>
              <w:t xml:space="preserve">5.9% </w:t>
            </w:r>
          </w:p>
        </w:tc>
      </w:tr>
      <w:tr w:rsidR="00D92EBC" w:rsidRPr="009B4A73" w14:paraId="68B0D3DB" w14:textId="77777777" w:rsidTr="005255D4">
        <w:trPr>
          <w:trHeight w:val="20"/>
        </w:trPr>
        <w:tc>
          <w:tcPr>
            <w:tcW w:w="1482" w:type="pct"/>
            <w:tcBorders>
              <w:top w:val="single" w:sz="4" w:space="0" w:color="000000"/>
              <w:left w:val="single" w:sz="4" w:space="0" w:color="000000"/>
              <w:bottom w:val="single" w:sz="4" w:space="0" w:color="000000"/>
              <w:right w:val="single" w:sz="4" w:space="0" w:color="000000"/>
            </w:tcBorders>
          </w:tcPr>
          <w:p w14:paraId="2D400F50" w14:textId="5DB4E891" w:rsidR="00D92EBC" w:rsidRPr="009B4A73" w:rsidRDefault="0078763F" w:rsidP="005255D4">
            <w:pPr>
              <w:spacing w:after="0" w:line="240" w:lineRule="auto"/>
              <w:ind w:left="-28" w:firstLine="0"/>
              <w:jc w:val="both"/>
              <w:rPr>
                <w:sz w:val="22"/>
              </w:rPr>
            </w:pPr>
            <w:r w:rsidRPr="009B4A73">
              <w:rPr>
                <w:sz w:val="22"/>
              </w:rPr>
              <w:t xml:space="preserve">LVEF decrease </w:t>
            </w:r>
            <w:r w:rsidR="00C01A82" w:rsidRPr="009B4A73">
              <w:rPr>
                <w:rFonts w:eastAsia="Segoe UI Symbol"/>
                <w:sz w:val="22"/>
              </w:rPr>
              <w:t>≥</w:t>
            </w:r>
            <w:r w:rsidRPr="009B4A73">
              <w:rPr>
                <w:sz w:val="22"/>
              </w:rPr>
              <w:t xml:space="preserve"> 10% to </w:t>
            </w:r>
            <w:r w:rsidR="00C01A82" w:rsidRPr="009B4A73">
              <w:rPr>
                <w:rFonts w:eastAsia="Segoe UI Symbol"/>
                <w:sz w:val="22"/>
              </w:rPr>
              <w:t>≥</w:t>
            </w:r>
            <w:r w:rsidRPr="009B4A73">
              <w:rPr>
                <w:sz w:val="22"/>
              </w:rPr>
              <w:t xml:space="preserve"> 50% </w:t>
            </w:r>
          </w:p>
        </w:tc>
        <w:tc>
          <w:tcPr>
            <w:tcW w:w="1765" w:type="pct"/>
            <w:tcBorders>
              <w:top w:val="single" w:sz="4" w:space="0" w:color="000000"/>
              <w:left w:val="single" w:sz="4" w:space="0" w:color="000000"/>
              <w:bottom w:val="single" w:sz="4" w:space="0" w:color="000000"/>
              <w:right w:val="single" w:sz="4" w:space="0" w:color="000000"/>
            </w:tcBorders>
          </w:tcPr>
          <w:p w14:paraId="0D983021" w14:textId="77777777" w:rsidR="00D92EBC" w:rsidRPr="009B4A73" w:rsidRDefault="0078763F" w:rsidP="005255D4">
            <w:pPr>
              <w:spacing w:after="0" w:line="240" w:lineRule="auto"/>
              <w:ind w:left="-28" w:right="38" w:firstLine="0"/>
              <w:jc w:val="center"/>
              <w:rPr>
                <w:sz w:val="22"/>
              </w:rPr>
            </w:pPr>
            <w:r w:rsidRPr="009B4A73">
              <w:rPr>
                <w:sz w:val="22"/>
              </w:rPr>
              <w:t xml:space="preserve">11.8% </w:t>
            </w:r>
          </w:p>
        </w:tc>
        <w:tc>
          <w:tcPr>
            <w:tcW w:w="1753" w:type="pct"/>
            <w:tcBorders>
              <w:top w:val="single" w:sz="4" w:space="0" w:color="000000"/>
              <w:left w:val="single" w:sz="4" w:space="0" w:color="000000"/>
              <w:bottom w:val="single" w:sz="4" w:space="0" w:color="000000"/>
              <w:right w:val="single" w:sz="4" w:space="0" w:color="000000"/>
            </w:tcBorders>
          </w:tcPr>
          <w:p w14:paraId="227B2114" w14:textId="77777777" w:rsidR="00D92EBC" w:rsidRPr="009B4A73" w:rsidRDefault="0078763F" w:rsidP="005255D4">
            <w:pPr>
              <w:spacing w:after="0" w:line="240" w:lineRule="auto"/>
              <w:ind w:left="-28" w:right="40" w:firstLine="0"/>
              <w:jc w:val="center"/>
              <w:rPr>
                <w:sz w:val="22"/>
              </w:rPr>
            </w:pPr>
            <w:r w:rsidRPr="009B4A73">
              <w:rPr>
                <w:sz w:val="22"/>
              </w:rPr>
              <w:t xml:space="preserve">16.5% </w:t>
            </w:r>
          </w:p>
        </w:tc>
      </w:tr>
    </w:tbl>
    <w:p w14:paraId="62BC5F5C" w14:textId="2678CD8B" w:rsidR="00D92EBC" w:rsidRPr="009B4A73" w:rsidRDefault="0078763F" w:rsidP="00316679">
      <w:pPr>
        <w:spacing w:after="46" w:line="240" w:lineRule="auto"/>
        <w:ind w:left="426"/>
        <w:rPr>
          <w:sz w:val="20"/>
          <w:szCs w:val="20"/>
        </w:rPr>
      </w:pPr>
      <w:r w:rsidRPr="009B4A73">
        <w:rPr>
          <w:sz w:val="20"/>
          <w:szCs w:val="20"/>
        </w:rPr>
        <w:t>FP: fluoropyrimidine/cisplatin; FP+H: fluoropyrimidine/cisplatin +</w:t>
      </w:r>
      <w:r w:rsidR="00CE0B5E" w:rsidRPr="009B4A73">
        <w:rPr>
          <w:sz w:val="20"/>
          <w:szCs w:val="20"/>
        </w:rPr>
        <w:t xml:space="preserve"> </w:t>
      </w:r>
      <w:r w:rsidR="00850C5A" w:rsidRPr="009B4A73">
        <w:rPr>
          <w:sz w:val="20"/>
          <w:szCs w:val="20"/>
        </w:rPr>
        <w:t>trastuzumab</w:t>
      </w:r>
      <w:r w:rsidRPr="009B4A73">
        <w:rPr>
          <w:sz w:val="20"/>
          <w:szCs w:val="20"/>
        </w:rPr>
        <w:t xml:space="preserve">; </w:t>
      </w:r>
      <w:r w:rsidRPr="009B4A73">
        <w:rPr>
          <w:sz w:val="20"/>
          <w:szCs w:val="20"/>
          <w:vertAlign w:val="superscript"/>
        </w:rPr>
        <w:t>#</w:t>
      </w:r>
      <w:r w:rsidRPr="009B4A73">
        <w:rPr>
          <w:sz w:val="20"/>
          <w:szCs w:val="20"/>
        </w:rPr>
        <w:t xml:space="preserve">Only includes patients whose method of assessment at that visit is the same as at their initial assessments (FP: </w:t>
      </w:r>
      <w:r w:rsidRPr="009B4A73">
        <w:rPr>
          <w:i/>
          <w:sz w:val="20"/>
          <w:szCs w:val="20"/>
        </w:rPr>
        <w:t>n</w:t>
      </w:r>
      <w:r w:rsidRPr="009B4A73">
        <w:rPr>
          <w:sz w:val="20"/>
          <w:szCs w:val="20"/>
        </w:rPr>
        <w:t xml:space="preserve"> = 187 and FP + H: </w:t>
      </w:r>
      <w:r w:rsidRPr="009B4A73">
        <w:rPr>
          <w:i/>
          <w:sz w:val="20"/>
          <w:szCs w:val="20"/>
        </w:rPr>
        <w:t>n</w:t>
      </w:r>
      <w:r w:rsidRPr="009B4A73">
        <w:rPr>
          <w:sz w:val="20"/>
          <w:szCs w:val="20"/>
        </w:rPr>
        <w:t xml:space="preserve"> = 237). </w:t>
      </w:r>
    </w:p>
    <w:p w14:paraId="6FA32E5A" w14:textId="495EB458" w:rsidR="00D92EBC" w:rsidRDefault="0078763F" w:rsidP="00316679">
      <w:pPr>
        <w:spacing w:after="16" w:line="240" w:lineRule="auto"/>
        <w:ind w:left="426" w:firstLine="0"/>
        <w:rPr>
          <w:b/>
          <w:sz w:val="22"/>
        </w:rPr>
      </w:pPr>
      <w:r w:rsidRPr="009B4A73">
        <w:rPr>
          <w:b/>
          <w:sz w:val="22"/>
        </w:rPr>
        <w:t xml:space="preserve"> </w:t>
      </w:r>
    </w:p>
    <w:p w14:paraId="51395DB3" w14:textId="20CC6BAE" w:rsidR="007F61DE" w:rsidRDefault="007F61DE" w:rsidP="00316679">
      <w:pPr>
        <w:spacing w:after="16" w:line="240" w:lineRule="auto"/>
        <w:ind w:left="426" w:firstLine="0"/>
        <w:rPr>
          <w:b/>
          <w:sz w:val="22"/>
        </w:rPr>
      </w:pPr>
    </w:p>
    <w:p w14:paraId="5D4BA8E8" w14:textId="3A9BBD0D" w:rsidR="007F61DE" w:rsidRDefault="007F61DE" w:rsidP="00316679">
      <w:pPr>
        <w:spacing w:after="16" w:line="240" w:lineRule="auto"/>
        <w:ind w:left="426" w:firstLine="0"/>
        <w:rPr>
          <w:b/>
          <w:sz w:val="22"/>
        </w:rPr>
      </w:pPr>
    </w:p>
    <w:p w14:paraId="03B05D5D" w14:textId="1FFA70C2" w:rsidR="007F61DE" w:rsidRDefault="007F61DE" w:rsidP="00316679">
      <w:pPr>
        <w:spacing w:after="16" w:line="240" w:lineRule="auto"/>
        <w:ind w:left="426" w:firstLine="0"/>
        <w:rPr>
          <w:b/>
          <w:sz w:val="22"/>
        </w:rPr>
      </w:pPr>
    </w:p>
    <w:p w14:paraId="65C49040" w14:textId="77777777" w:rsidR="007F61DE" w:rsidRPr="009B4A73" w:rsidRDefault="007F61DE" w:rsidP="00316679">
      <w:pPr>
        <w:spacing w:after="16" w:line="240" w:lineRule="auto"/>
        <w:ind w:left="426" w:firstLine="0"/>
        <w:rPr>
          <w:sz w:val="22"/>
        </w:rPr>
      </w:pPr>
    </w:p>
    <w:p w14:paraId="62361C0B" w14:textId="7F3B6221" w:rsidR="00D92EBC" w:rsidRPr="009B4A73" w:rsidRDefault="0078763F" w:rsidP="005255D4">
      <w:pPr>
        <w:pStyle w:val="Heading2"/>
        <w:spacing w:after="0" w:line="240" w:lineRule="auto"/>
        <w:ind w:left="425" w:hanging="11"/>
        <w:rPr>
          <w:sz w:val="22"/>
        </w:rPr>
      </w:pPr>
      <w:r w:rsidRPr="009B4A73">
        <w:rPr>
          <w:sz w:val="22"/>
        </w:rPr>
        <w:t xml:space="preserve">Table 3: Cardiac </w:t>
      </w:r>
      <w:r w:rsidR="005255D4" w:rsidRPr="009B4A73">
        <w:rPr>
          <w:sz w:val="22"/>
        </w:rPr>
        <w:t>a</w:t>
      </w:r>
      <w:r w:rsidRPr="009B4A73">
        <w:rPr>
          <w:sz w:val="22"/>
        </w:rPr>
        <w:t xml:space="preserve">dverse </w:t>
      </w:r>
      <w:r w:rsidR="005255D4" w:rsidRPr="009B4A73">
        <w:rPr>
          <w:sz w:val="22"/>
        </w:rPr>
        <w:t>e</w:t>
      </w:r>
      <w:r w:rsidRPr="009B4A73">
        <w:rPr>
          <w:sz w:val="22"/>
        </w:rPr>
        <w:t>vents (Study BO18255)</w:t>
      </w:r>
    </w:p>
    <w:p w14:paraId="13C82D25" w14:textId="77777777" w:rsidR="00850C5A" w:rsidRPr="009B4A73" w:rsidRDefault="00850C5A" w:rsidP="005255D4">
      <w:pPr>
        <w:spacing w:after="0" w:line="240" w:lineRule="auto"/>
        <w:ind w:left="425" w:hanging="11"/>
        <w:rPr>
          <w:sz w:val="22"/>
          <w:szCs w:val="20"/>
        </w:rPr>
      </w:pPr>
    </w:p>
    <w:tbl>
      <w:tblPr>
        <w:tblStyle w:val="TableGrid"/>
        <w:tblW w:w="4810" w:type="pct"/>
        <w:tblInd w:w="421" w:type="dxa"/>
        <w:tblCellMar>
          <w:left w:w="57" w:type="dxa"/>
          <w:right w:w="57" w:type="dxa"/>
        </w:tblCellMar>
        <w:tblLook w:val="04A0" w:firstRow="1" w:lastRow="0" w:firstColumn="1" w:lastColumn="0" w:noHBand="0" w:noVBand="1"/>
      </w:tblPr>
      <w:tblGrid>
        <w:gridCol w:w="2836"/>
        <w:gridCol w:w="3542"/>
        <w:gridCol w:w="3685"/>
      </w:tblGrid>
      <w:tr w:rsidR="00D92EBC" w:rsidRPr="009B4A73" w14:paraId="087A68A9" w14:textId="77777777" w:rsidTr="00FD2C62">
        <w:trPr>
          <w:trHeight w:val="283"/>
        </w:trPr>
        <w:tc>
          <w:tcPr>
            <w:tcW w:w="1409" w:type="pct"/>
            <w:tcBorders>
              <w:top w:val="single" w:sz="4" w:space="0" w:color="000000"/>
              <w:left w:val="single" w:sz="4" w:space="0" w:color="000000"/>
              <w:bottom w:val="single" w:sz="4" w:space="0" w:color="000000"/>
              <w:right w:val="single" w:sz="4" w:space="0" w:color="000000"/>
            </w:tcBorders>
          </w:tcPr>
          <w:p w14:paraId="50DEBAD2" w14:textId="77777777" w:rsidR="00D92EBC" w:rsidRPr="009B4A73" w:rsidRDefault="0078763F" w:rsidP="005255D4">
            <w:pPr>
              <w:spacing w:after="0" w:line="240" w:lineRule="auto"/>
              <w:ind w:left="87" w:firstLine="0"/>
              <w:rPr>
                <w:sz w:val="22"/>
              </w:rPr>
            </w:pPr>
            <w:r w:rsidRPr="009B4A73">
              <w:rPr>
                <w:sz w:val="22"/>
              </w:rPr>
              <w:t xml:space="preserve"> </w:t>
            </w:r>
          </w:p>
        </w:tc>
        <w:tc>
          <w:tcPr>
            <w:tcW w:w="1760" w:type="pct"/>
            <w:tcBorders>
              <w:top w:val="single" w:sz="4" w:space="0" w:color="000000"/>
              <w:left w:val="single" w:sz="4" w:space="0" w:color="000000"/>
              <w:bottom w:val="single" w:sz="4" w:space="0" w:color="000000"/>
              <w:right w:val="single" w:sz="4" w:space="0" w:color="000000"/>
            </w:tcBorders>
          </w:tcPr>
          <w:p w14:paraId="0BB1E88D" w14:textId="77777777" w:rsidR="00D92EBC" w:rsidRPr="009B4A73" w:rsidRDefault="0078763F" w:rsidP="005255D4">
            <w:pPr>
              <w:spacing w:after="0" w:line="240" w:lineRule="auto"/>
              <w:ind w:left="80" w:firstLine="0"/>
              <w:jc w:val="center"/>
              <w:rPr>
                <w:sz w:val="22"/>
              </w:rPr>
            </w:pPr>
            <w:r w:rsidRPr="009B4A73">
              <w:rPr>
                <w:b/>
                <w:sz w:val="22"/>
              </w:rPr>
              <w:t xml:space="preserve">FP </w:t>
            </w:r>
          </w:p>
          <w:p w14:paraId="43333008" w14:textId="77777777" w:rsidR="00D92EBC" w:rsidRPr="009B4A73" w:rsidRDefault="0078763F" w:rsidP="005255D4">
            <w:pPr>
              <w:spacing w:after="0" w:line="240" w:lineRule="auto"/>
              <w:ind w:left="80" w:firstLine="0"/>
              <w:jc w:val="center"/>
              <w:rPr>
                <w:sz w:val="22"/>
              </w:rPr>
            </w:pPr>
            <w:r w:rsidRPr="009B4A73">
              <w:rPr>
                <w:b/>
                <w:sz w:val="22"/>
              </w:rPr>
              <w:t>(</w:t>
            </w:r>
            <w:r w:rsidRPr="009B4A73">
              <w:rPr>
                <w:b/>
                <w:i/>
                <w:sz w:val="22"/>
              </w:rPr>
              <w:t>n</w:t>
            </w:r>
            <w:r w:rsidRPr="009B4A73">
              <w:rPr>
                <w:b/>
                <w:sz w:val="22"/>
              </w:rPr>
              <w:t xml:space="preserve"> = 290) </w:t>
            </w:r>
          </w:p>
          <w:p w14:paraId="1DC66F56" w14:textId="77777777" w:rsidR="00D92EBC" w:rsidRPr="009B4A73" w:rsidRDefault="0078763F" w:rsidP="005255D4">
            <w:pPr>
              <w:spacing w:after="0" w:line="240" w:lineRule="auto"/>
              <w:ind w:left="80" w:firstLine="0"/>
              <w:jc w:val="center"/>
              <w:rPr>
                <w:sz w:val="22"/>
              </w:rPr>
            </w:pPr>
            <w:r w:rsidRPr="009B4A73">
              <w:rPr>
                <w:b/>
                <w:sz w:val="22"/>
              </w:rPr>
              <w:t>(% patients in each treatment arm)</w:t>
            </w:r>
            <w:r w:rsidRPr="009B4A73">
              <w:rPr>
                <w:sz w:val="22"/>
              </w:rPr>
              <w:t xml:space="preserve"> </w:t>
            </w:r>
          </w:p>
        </w:tc>
        <w:tc>
          <w:tcPr>
            <w:tcW w:w="1831" w:type="pct"/>
            <w:tcBorders>
              <w:top w:val="single" w:sz="4" w:space="0" w:color="000000"/>
              <w:left w:val="single" w:sz="4" w:space="0" w:color="000000"/>
              <w:bottom w:val="single" w:sz="4" w:space="0" w:color="000000"/>
              <w:right w:val="single" w:sz="4" w:space="0" w:color="000000"/>
            </w:tcBorders>
            <w:vAlign w:val="center"/>
          </w:tcPr>
          <w:p w14:paraId="60A9F435" w14:textId="69A69269" w:rsidR="00D92EBC" w:rsidRPr="009B4A73" w:rsidRDefault="0078763F" w:rsidP="005255D4">
            <w:pPr>
              <w:spacing w:after="0" w:line="240" w:lineRule="auto"/>
              <w:ind w:left="100" w:firstLine="0"/>
              <w:jc w:val="center"/>
              <w:rPr>
                <w:sz w:val="22"/>
              </w:rPr>
            </w:pPr>
            <w:r w:rsidRPr="009B4A73">
              <w:rPr>
                <w:b/>
                <w:sz w:val="22"/>
              </w:rPr>
              <w:t>FP +H</w:t>
            </w:r>
          </w:p>
          <w:p w14:paraId="730A7768" w14:textId="0F704AC6" w:rsidR="00D92EBC" w:rsidRPr="009B4A73" w:rsidRDefault="0078763F" w:rsidP="005255D4">
            <w:pPr>
              <w:spacing w:after="0" w:line="240" w:lineRule="auto"/>
              <w:ind w:left="100" w:firstLine="0"/>
              <w:jc w:val="center"/>
              <w:rPr>
                <w:sz w:val="22"/>
              </w:rPr>
            </w:pPr>
            <w:r w:rsidRPr="009B4A73">
              <w:rPr>
                <w:b/>
                <w:sz w:val="22"/>
              </w:rPr>
              <w:t>(</w:t>
            </w:r>
            <w:r w:rsidRPr="009B4A73">
              <w:rPr>
                <w:b/>
                <w:i/>
                <w:sz w:val="22"/>
              </w:rPr>
              <w:t>n</w:t>
            </w:r>
            <w:r w:rsidRPr="009B4A73">
              <w:rPr>
                <w:b/>
                <w:sz w:val="22"/>
              </w:rPr>
              <w:t xml:space="preserve"> = 294)</w:t>
            </w:r>
          </w:p>
          <w:p w14:paraId="7393CF08" w14:textId="61F13A5C" w:rsidR="00D92EBC" w:rsidRPr="009B4A73" w:rsidRDefault="0078763F" w:rsidP="005255D4">
            <w:pPr>
              <w:spacing w:after="0" w:line="240" w:lineRule="auto"/>
              <w:ind w:left="100" w:firstLine="0"/>
              <w:jc w:val="center"/>
              <w:rPr>
                <w:sz w:val="22"/>
              </w:rPr>
            </w:pPr>
            <w:r w:rsidRPr="009B4A73">
              <w:rPr>
                <w:b/>
                <w:sz w:val="22"/>
              </w:rPr>
              <w:t>(% patients in each treatment arm)</w:t>
            </w:r>
          </w:p>
        </w:tc>
      </w:tr>
      <w:tr w:rsidR="00D92EBC" w:rsidRPr="009B4A73" w14:paraId="217FDA4F" w14:textId="77777777" w:rsidTr="00FD2C62">
        <w:trPr>
          <w:trHeight w:val="283"/>
        </w:trPr>
        <w:tc>
          <w:tcPr>
            <w:tcW w:w="1409" w:type="pct"/>
            <w:tcBorders>
              <w:top w:val="single" w:sz="4" w:space="0" w:color="000000"/>
              <w:left w:val="single" w:sz="4" w:space="0" w:color="000000"/>
              <w:bottom w:val="single" w:sz="4" w:space="0" w:color="000000"/>
              <w:right w:val="single" w:sz="4" w:space="0" w:color="000000"/>
            </w:tcBorders>
          </w:tcPr>
          <w:p w14:paraId="5B0DCD85" w14:textId="77777777" w:rsidR="00D92EBC" w:rsidRPr="009B4A73" w:rsidRDefault="0078763F" w:rsidP="005255D4">
            <w:pPr>
              <w:spacing w:after="0" w:line="240" w:lineRule="auto"/>
              <w:ind w:left="87" w:firstLine="0"/>
              <w:rPr>
                <w:sz w:val="22"/>
              </w:rPr>
            </w:pPr>
            <w:r w:rsidRPr="009B4A73">
              <w:rPr>
                <w:sz w:val="22"/>
              </w:rPr>
              <w:t xml:space="preserve">Total Cardiac Events </w:t>
            </w:r>
          </w:p>
        </w:tc>
        <w:tc>
          <w:tcPr>
            <w:tcW w:w="1760" w:type="pct"/>
            <w:tcBorders>
              <w:top w:val="single" w:sz="4" w:space="0" w:color="000000"/>
              <w:left w:val="single" w:sz="4" w:space="0" w:color="000000"/>
              <w:bottom w:val="single" w:sz="4" w:space="0" w:color="000000"/>
              <w:right w:val="single" w:sz="4" w:space="0" w:color="000000"/>
            </w:tcBorders>
          </w:tcPr>
          <w:p w14:paraId="3B925503" w14:textId="77777777" w:rsidR="00D92EBC" w:rsidRPr="009B4A73" w:rsidRDefault="0078763F" w:rsidP="005255D4">
            <w:pPr>
              <w:spacing w:after="0" w:line="240" w:lineRule="auto"/>
              <w:ind w:left="80" w:firstLine="0"/>
              <w:jc w:val="center"/>
              <w:rPr>
                <w:sz w:val="22"/>
              </w:rPr>
            </w:pPr>
            <w:r w:rsidRPr="009B4A73">
              <w:rPr>
                <w:sz w:val="22"/>
              </w:rPr>
              <w:t xml:space="preserve">6% </w:t>
            </w:r>
          </w:p>
        </w:tc>
        <w:tc>
          <w:tcPr>
            <w:tcW w:w="1831" w:type="pct"/>
            <w:tcBorders>
              <w:top w:val="single" w:sz="4" w:space="0" w:color="000000"/>
              <w:left w:val="single" w:sz="4" w:space="0" w:color="000000"/>
              <w:bottom w:val="single" w:sz="4" w:space="0" w:color="000000"/>
              <w:right w:val="single" w:sz="4" w:space="0" w:color="000000"/>
            </w:tcBorders>
          </w:tcPr>
          <w:p w14:paraId="77D42AEE" w14:textId="77777777" w:rsidR="00D92EBC" w:rsidRPr="009B4A73" w:rsidRDefault="0078763F" w:rsidP="005255D4">
            <w:pPr>
              <w:spacing w:after="0" w:line="240" w:lineRule="auto"/>
              <w:ind w:left="100" w:firstLine="0"/>
              <w:jc w:val="center"/>
              <w:rPr>
                <w:sz w:val="22"/>
              </w:rPr>
            </w:pPr>
            <w:r w:rsidRPr="009B4A73">
              <w:rPr>
                <w:sz w:val="22"/>
              </w:rPr>
              <w:t xml:space="preserve">6% </w:t>
            </w:r>
          </w:p>
        </w:tc>
      </w:tr>
      <w:tr w:rsidR="00D92EBC" w:rsidRPr="009B4A73" w14:paraId="7AE76E8F" w14:textId="77777777" w:rsidTr="00FD2C62">
        <w:trPr>
          <w:trHeight w:val="283"/>
        </w:trPr>
        <w:tc>
          <w:tcPr>
            <w:tcW w:w="1409" w:type="pct"/>
            <w:tcBorders>
              <w:top w:val="single" w:sz="4" w:space="0" w:color="000000"/>
              <w:left w:val="single" w:sz="4" w:space="0" w:color="000000"/>
              <w:bottom w:val="single" w:sz="4" w:space="0" w:color="000000"/>
              <w:right w:val="single" w:sz="4" w:space="0" w:color="000000"/>
            </w:tcBorders>
          </w:tcPr>
          <w:p w14:paraId="40E6C744" w14:textId="0882EA4D" w:rsidR="00D92EBC" w:rsidRPr="009B4A73" w:rsidRDefault="0078763F" w:rsidP="005255D4">
            <w:pPr>
              <w:spacing w:after="0" w:line="240" w:lineRule="auto"/>
              <w:ind w:left="87" w:firstLine="0"/>
              <w:rPr>
                <w:sz w:val="22"/>
              </w:rPr>
            </w:pPr>
            <w:r w:rsidRPr="009B4A73">
              <w:rPr>
                <w:sz w:val="22"/>
              </w:rPr>
              <w:t xml:space="preserve"> </w:t>
            </w:r>
            <w:r w:rsidR="00940E19" w:rsidRPr="009B4A73">
              <w:rPr>
                <w:sz w:val="22"/>
              </w:rPr>
              <w:t>≥</w:t>
            </w:r>
            <w:r w:rsidRPr="009B4A73">
              <w:rPr>
                <w:sz w:val="22"/>
              </w:rPr>
              <w:t xml:space="preserve"> Grade 3 NCI CTCAE v3.0   </w:t>
            </w:r>
          </w:p>
        </w:tc>
        <w:tc>
          <w:tcPr>
            <w:tcW w:w="1760" w:type="pct"/>
            <w:tcBorders>
              <w:top w:val="single" w:sz="4" w:space="0" w:color="000000"/>
              <w:left w:val="single" w:sz="4" w:space="0" w:color="000000"/>
              <w:bottom w:val="single" w:sz="4" w:space="0" w:color="000000"/>
              <w:right w:val="single" w:sz="4" w:space="0" w:color="000000"/>
            </w:tcBorders>
          </w:tcPr>
          <w:p w14:paraId="707748E0" w14:textId="77777777" w:rsidR="00D92EBC" w:rsidRPr="009B4A73" w:rsidRDefault="0078763F" w:rsidP="005255D4">
            <w:pPr>
              <w:spacing w:after="0" w:line="240" w:lineRule="auto"/>
              <w:ind w:left="80" w:firstLine="0"/>
              <w:jc w:val="center"/>
              <w:rPr>
                <w:sz w:val="22"/>
              </w:rPr>
            </w:pPr>
            <w:r w:rsidRPr="009B4A73">
              <w:rPr>
                <w:sz w:val="22"/>
              </w:rPr>
              <w:t xml:space="preserve">3% a </w:t>
            </w:r>
          </w:p>
        </w:tc>
        <w:tc>
          <w:tcPr>
            <w:tcW w:w="1831" w:type="pct"/>
            <w:tcBorders>
              <w:top w:val="single" w:sz="4" w:space="0" w:color="000000"/>
              <w:left w:val="single" w:sz="4" w:space="0" w:color="000000"/>
              <w:bottom w:val="single" w:sz="4" w:space="0" w:color="000000"/>
              <w:right w:val="single" w:sz="4" w:space="0" w:color="000000"/>
            </w:tcBorders>
          </w:tcPr>
          <w:p w14:paraId="2B33BD07" w14:textId="77777777" w:rsidR="00D92EBC" w:rsidRPr="009B4A73" w:rsidRDefault="0078763F" w:rsidP="005255D4">
            <w:pPr>
              <w:spacing w:after="0" w:line="240" w:lineRule="auto"/>
              <w:ind w:left="100" w:firstLine="0"/>
              <w:jc w:val="center"/>
              <w:rPr>
                <w:sz w:val="22"/>
              </w:rPr>
            </w:pPr>
            <w:r w:rsidRPr="009B4A73">
              <w:rPr>
                <w:sz w:val="22"/>
              </w:rPr>
              <w:t xml:space="preserve">1% b </w:t>
            </w:r>
          </w:p>
        </w:tc>
      </w:tr>
    </w:tbl>
    <w:p w14:paraId="1B896CEC" w14:textId="4CF46492" w:rsidR="00D92EBC" w:rsidRPr="009B4A73" w:rsidRDefault="0078763F" w:rsidP="00316679">
      <w:pPr>
        <w:spacing w:after="40" w:line="240" w:lineRule="auto"/>
        <w:ind w:left="426"/>
        <w:rPr>
          <w:sz w:val="20"/>
          <w:szCs w:val="20"/>
        </w:rPr>
      </w:pPr>
      <w:r w:rsidRPr="009B4A73">
        <w:rPr>
          <w:sz w:val="20"/>
          <w:szCs w:val="20"/>
        </w:rPr>
        <w:t>FP: fluoropyrimidine/cisplatin; FP+H: fluoropyrimidine/cisplatin +</w:t>
      </w:r>
      <w:r w:rsidR="00CE0B5E" w:rsidRPr="009B4A73">
        <w:rPr>
          <w:sz w:val="20"/>
          <w:szCs w:val="20"/>
        </w:rPr>
        <w:t xml:space="preserve"> </w:t>
      </w:r>
      <w:r w:rsidR="002150C6" w:rsidRPr="009B4A73">
        <w:rPr>
          <w:sz w:val="20"/>
          <w:szCs w:val="20"/>
        </w:rPr>
        <w:t>trastuzumab</w:t>
      </w:r>
      <w:r w:rsidRPr="009B4A73">
        <w:rPr>
          <w:sz w:val="20"/>
          <w:szCs w:val="20"/>
        </w:rPr>
        <w:t xml:space="preserve">; </w:t>
      </w:r>
      <w:proofErr w:type="gramStart"/>
      <w:r w:rsidRPr="009B4A73">
        <w:rPr>
          <w:sz w:val="20"/>
          <w:szCs w:val="20"/>
          <w:vertAlign w:val="superscript"/>
        </w:rPr>
        <w:t>a</w:t>
      </w:r>
      <w:r w:rsidRPr="009B4A73">
        <w:rPr>
          <w:sz w:val="20"/>
          <w:szCs w:val="20"/>
        </w:rPr>
        <w:t xml:space="preserve"> 9 patients</w:t>
      </w:r>
      <w:proofErr w:type="gramEnd"/>
      <w:r w:rsidRPr="009B4A73">
        <w:rPr>
          <w:sz w:val="20"/>
          <w:szCs w:val="20"/>
        </w:rPr>
        <w:t xml:space="preserve"> experienced 9 Events; </w:t>
      </w:r>
      <w:r w:rsidRPr="009B4A73">
        <w:rPr>
          <w:sz w:val="20"/>
          <w:szCs w:val="20"/>
          <w:vertAlign w:val="superscript"/>
        </w:rPr>
        <w:t xml:space="preserve">b </w:t>
      </w:r>
      <w:r w:rsidRPr="009B4A73">
        <w:rPr>
          <w:sz w:val="20"/>
          <w:szCs w:val="20"/>
        </w:rPr>
        <w:t>4 patients experienced 5 Events</w:t>
      </w:r>
    </w:p>
    <w:p w14:paraId="02244EB6" w14:textId="77777777" w:rsidR="00D92EBC" w:rsidRPr="009B4A73" w:rsidRDefault="0078763F" w:rsidP="00316679">
      <w:pPr>
        <w:spacing w:after="0" w:line="240" w:lineRule="auto"/>
        <w:ind w:left="426" w:firstLine="0"/>
        <w:rPr>
          <w:sz w:val="22"/>
        </w:rPr>
      </w:pPr>
      <w:r w:rsidRPr="009B4A73">
        <w:rPr>
          <w:sz w:val="22"/>
        </w:rPr>
        <w:t xml:space="preserve"> </w:t>
      </w:r>
    </w:p>
    <w:p w14:paraId="45EC5FB4" w14:textId="56E4C79A" w:rsidR="00D92EBC" w:rsidRPr="009B4A73" w:rsidRDefault="0078763F" w:rsidP="00316679">
      <w:pPr>
        <w:spacing w:after="0" w:line="240" w:lineRule="auto"/>
        <w:ind w:left="426" w:right="8"/>
        <w:rPr>
          <w:sz w:val="22"/>
        </w:rPr>
      </w:pPr>
      <w:r w:rsidRPr="009B4A73">
        <w:rPr>
          <w:sz w:val="22"/>
        </w:rPr>
        <w:t xml:space="preserve">Overall, there were no significant differences in cardiotoxicity between the treatment arm and the comparator arm. </w:t>
      </w:r>
    </w:p>
    <w:p w14:paraId="21CA4EAA" w14:textId="77777777" w:rsidR="00B15354" w:rsidRPr="009B4A73" w:rsidRDefault="00B15354" w:rsidP="00316679">
      <w:pPr>
        <w:spacing w:after="0" w:line="240" w:lineRule="auto"/>
        <w:ind w:left="426" w:right="8"/>
        <w:rPr>
          <w:sz w:val="22"/>
        </w:rPr>
      </w:pPr>
    </w:p>
    <w:p w14:paraId="18205017" w14:textId="6938A2ED" w:rsidR="00D92EBC" w:rsidRPr="009B4A73" w:rsidRDefault="0078763F" w:rsidP="0060424C">
      <w:pPr>
        <w:pStyle w:val="Heading2"/>
        <w:keepLines w:val="0"/>
        <w:spacing w:after="0" w:line="240" w:lineRule="auto"/>
        <w:ind w:left="425" w:hanging="11"/>
        <w:rPr>
          <w:b w:val="0"/>
          <w:bCs/>
          <w:sz w:val="22"/>
          <w:u w:val="single"/>
        </w:rPr>
      </w:pPr>
      <w:r w:rsidRPr="009B4A73">
        <w:rPr>
          <w:b w:val="0"/>
          <w:bCs/>
          <w:sz w:val="22"/>
          <w:u w:val="single"/>
        </w:rPr>
        <w:t xml:space="preserve">Haematological Toxicity </w:t>
      </w:r>
    </w:p>
    <w:p w14:paraId="3CCF4FC4" w14:textId="77777777" w:rsidR="00B15354" w:rsidRPr="009B4A73" w:rsidRDefault="00B15354" w:rsidP="0060424C">
      <w:pPr>
        <w:keepNext/>
        <w:spacing w:after="0" w:line="240" w:lineRule="auto"/>
        <w:ind w:left="425" w:hanging="11"/>
        <w:rPr>
          <w:sz w:val="22"/>
        </w:rPr>
      </w:pPr>
    </w:p>
    <w:p w14:paraId="2AAD48B7" w14:textId="7833DABB" w:rsidR="00D92EBC" w:rsidRPr="009B4A73" w:rsidRDefault="0078763F" w:rsidP="00316679">
      <w:pPr>
        <w:pStyle w:val="Heading3"/>
        <w:spacing w:after="0" w:line="240" w:lineRule="auto"/>
        <w:ind w:left="426" w:right="1296"/>
        <w:rPr>
          <w:i/>
          <w:iCs/>
          <w:sz w:val="22"/>
          <w:u w:val="none"/>
        </w:rPr>
      </w:pPr>
      <w:r w:rsidRPr="009B4A73">
        <w:rPr>
          <w:i/>
          <w:iCs/>
          <w:sz w:val="22"/>
        </w:rPr>
        <w:t>Breast Cancer</w:t>
      </w:r>
      <w:r w:rsidRPr="009B4A73">
        <w:rPr>
          <w:i/>
          <w:iCs/>
          <w:sz w:val="22"/>
          <w:u w:val="none"/>
        </w:rPr>
        <w:t xml:space="preserve"> </w:t>
      </w:r>
    </w:p>
    <w:p w14:paraId="785B318A" w14:textId="77777777" w:rsidR="00B15354" w:rsidRPr="009B4A73" w:rsidRDefault="00B15354" w:rsidP="00316679">
      <w:pPr>
        <w:spacing w:after="0" w:line="240" w:lineRule="auto"/>
        <w:ind w:left="426"/>
        <w:rPr>
          <w:sz w:val="22"/>
        </w:rPr>
      </w:pPr>
    </w:p>
    <w:p w14:paraId="54CB5D76" w14:textId="5D8873D7" w:rsidR="00D92EBC" w:rsidRPr="009B4A73" w:rsidRDefault="0078763F" w:rsidP="00316679">
      <w:pPr>
        <w:pStyle w:val="Heading4"/>
        <w:spacing w:after="0" w:line="240" w:lineRule="auto"/>
        <w:ind w:left="426"/>
        <w:rPr>
          <w:sz w:val="22"/>
        </w:rPr>
      </w:pPr>
      <w:r w:rsidRPr="009B4A73">
        <w:rPr>
          <w:sz w:val="22"/>
        </w:rPr>
        <w:t xml:space="preserve">Monotherapy– Study H0649g </w:t>
      </w:r>
    </w:p>
    <w:p w14:paraId="56D0F0EC" w14:textId="77777777" w:rsidR="00B15354" w:rsidRPr="009B4A73" w:rsidRDefault="00B15354" w:rsidP="00316679">
      <w:pPr>
        <w:spacing w:after="0" w:line="240" w:lineRule="auto"/>
        <w:ind w:left="426"/>
        <w:rPr>
          <w:sz w:val="22"/>
        </w:rPr>
      </w:pPr>
    </w:p>
    <w:p w14:paraId="18CD4E90" w14:textId="1349E8FC" w:rsidR="00D92EBC" w:rsidRPr="009B4A73" w:rsidRDefault="0078763F" w:rsidP="00316679">
      <w:pPr>
        <w:spacing w:after="0" w:line="240" w:lineRule="auto"/>
        <w:ind w:left="426" w:right="8"/>
        <w:rPr>
          <w:sz w:val="22"/>
        </w:rPr>
      </w:pPr>
      <w:r w:rsidRPr="009B4A73">
        <w:rPr>
          <w:sz w:val="22"/>
        </w:rPr>
        <w:t>Haematological toxicity is infrequent following the administration of</w:t>
      </w:r>
      <w:r w:rsidR="00CE0B5E" w:rsidRPr="009B4A73">
        <w:rPr>
          <w:sz w:val="22"/>
        </w:rPr>
        <w:t xml:space="preserve"> </w:t>
      </w:r>
      <w:r w:rsidR="002150C6" w:rsidRPr="009B4A73">
        <w:rPr>
          <w:sz w:val="22"/>
        </w:rPr>
        <w:t>trastuzumab</w:t>
      </w:r>
      <w:r w:rsidRPr="009B4A73">
        <w:rPr>
          <w:sz w:val="22"/>
        </w:rPr>
        <w:t xml:space="preserve"> as monotherapy in the metastatic setting, WHO Grade 3 </w:t>
      </w:r>
      <w:proofErr w:type="spellStart"/>
      <w:r w:rsidRPr="009B4A73">
        <w:rPr>
          <w:sz w:val="22"/>
        </w:rPr>
        <w:t>leucopenia</w:t>
      </w:r>
      <w:proofErr w:type="spellEnd"/>
      <w:r w:rsidRPr="009B4A73">
        <w:rPr>
          <w:sz w:val="22"/>
        </w:rPr>
        <w:t>, thrombocytopenia and anaemia occurring in &lt;1% of patients.</w:t>
      </w:r>
      <w:r w:rsidR="008805AA" w:rsidRPr="009B4A73">
        <w:rPr>
          <w:sz w:val="22"/>
        </w:rPr>
        <w:t xml:space="preserve"> </w:t>
      </w:r>
      <w:r w:rsidRPr="009B4A73">
        <w:rPr>
          <w:sz w:val="22"/>
        </w:rPr>
        <w:t>No WHO Grade 4 toxicities were observed.</w:t>
      </w:r>
    </w:p>
    <w:p w14:paraId="6684C5E2" w14:textId="77777777" w:rsidR="005D4C6E" w:rsidRPr="009B4A73" w:rsidRDefault="005D4C6E" w:rsidP="00316679">
      <w:pPr>
        <w:spacing w:after="0" w:line="240" w:lineRule="auto"/>
        <w:ind w:left="426" w:right="8"/>
        <w:rPr>
          <w:sz w:val="22"/>
        </w:rPr>
      </w:pPr>
    </w:p>
    <w:p w14:paraId="174BA3DC" w14:textId="48399E39" w:rsidR="00D92EBC" w:rsidRPr="009B4A73" w:rsidRDefault="0078763F" w:rsidP="00316679">
      <w:pPr>
        <w:pStyle w:val="Heading4"/>
        <w:spacing w:after="0" w:line="240" w:lineRule="auto"/>
        <w:ind w:left="426"/>
        <w:rPr>
          <w:sz w:val="22"/>
        </w:rPr>
      </w:pPr>
      <w:r w:rsidRPr="009B4A73">
        <w:rPr>
          <w:sz w:val="22"/>
        </w:rPr>
        <w:t xml:space="preserve">Combination </w:t>
      </w:r>
      <w:r w:rsidR="00FD2C62" w:rsidRPr="009B4A73">
        <w:rPr>
          <w:sz w:val="22"/>
        </w:rPr>
        <w:t>t</w:t>
      </w:r>
      <w:r w:rsidRPr="009B4A73">
        <w:rPr>
          <w:sz w:val="22"/>
        </w:rPr>
        <w:t>herapy – Studies H0648g and M77001</w:t>
      </w:r>
    </w:p>
    <w:p w14:paraId="1E8BE9E5" w14:textId="77777777" w:rsidR="00B15354" w:rsidRPr="009B4A73" w:rsidRDefault="00B15354" w:rsidP="00316679">
      <w:pPr>
        <w:spacing w:after="0" w:line="240" w:lineRule="auto"/>
        <w:ind w:left="426" w:firstLine="0"/>
        <w:rPr>
          <w:sz w:val="22"/>
        </w:rPr>
      </w:pPr>
    </w:p>
    <w:p w14:paraId="4BD9F594" w14:textId="3F3CA03B" w:rsidR="00D92EBC" w:rsidRPr="009B4A73" w:rsidRDefault="0078763F" w:rsidP="00316679">
      <w:pPr>
        <w:spacing w:after="0" w:line="240" w:lineRule="auto"/>
        <w:ind w:left="426" w:right="8"/>
        <w:rPr>
          <w:b/>
          <w:sz w:val="22"/>
        </w:rPr>
      </w:pPr>
      <w:r w:rsidRPr="009B4A73">
        <w:rPr>
          <w:sz w:val="22"/>
        </w:rPr>
        <w:t>WHO Grade 3 or 4 haematological toxicity was observed in 63% of patients treated with</w:t>
      </w:r>
      <w:r w:rsidR="00CE0B5E" w:rsidRPr="009B4A73">
        <w:rPr>
          <w:sz w:val="22"/>
        </w:rPr>
        <w:t xml:space="preserve"> </w:t>
      </w:r>
      <w:r w:rsidR="002150C6" w:rsidRPr="009B4A73">
        <w:rPr>
          <w:sz w:val="22"/>
        </w:rPr>
        <w:t>trastuzumab</w:t>
      </w:r>
      <w:r w:rsidRPr="009B4A73">
        <w:rPr>
          <w:sz w:val="22"/>
        </w:rPr>
        <w:t xml:space="preserve"> and an anthracycline/cyclophosphamide compared to an incidence of 62% in patients treated with the anthracycline/cyclophosphamide combination without</w:t>
      </w:r>
      <w:r w:rsidR="00CE0B5E" w:rsidRPr="009B4A73">
        <w:rPr>
          <w:sz w:val="22"/>
        </w:rPr>
        <w:t xml:space="preserve"> </w:t>
      </w:r>
      <w:proofErr w:type="gramStart"/>
      <w:r w:rsidR="002150C6" w:rsidRPr="009B4A73">
        <w:rPr>
          <w:sz w:val="22"/>
        </w:rPr>
        <w:t>trastuzumab</w:t>
      </w:r>
      <w:r w:rsidRPr="009B4A73">
        <w:rPr>
          <w:sz w:val="22"/>
        </w:rPr>
        <w:t>.</w:t>
      </w:r>
      <w:proofErr w:type="gramEnd"/>
    </w:p>
    <w:p w14:paraId="6CF129F5" w14:textId="77777777" w:rsidR="005D4C6E" w:rsidRPr="009B4A73" w:rsidRDefault="005D4C6E" w:rsidP="00316679">
      <w:pPr>
        <w:spacing w:after="0" w:line="240" w:lineRule="auto"/>
        <w:ind w:left="426" w:right="8"/>
        <w:rPr>
          <w:sz w:val="22"/>
        </w:rPr>
      </w:pPr>
    </w:p>
    <w:p w14:paraId="03AF13A0" w14:textId="707FD88D" w:rsidR="00D92EBC" w:rsidRPr="009B4A73" w:rsidRDefault="0078763F" w:rsidP="00316679">
      <w:pPr>
        <w:spacing w:after="8" w:line="240" w:lineRule="auto"/>
        <w:ind w:left="426" w:right="8"/>
        <w:rPr>
          <w:sz w:val="22"/>
        </w:rPr>
      </w:pPr>
      <w:r w:rsidRPr="009B4A73">
        <w:rPr>
          <w:sz w:val="22"/>
        </w:rPr>
        <w:t>There was an increase in WHO Grade 3 or 4 haematological toxicity in patients treated with the combination of</w:t>
      </w:r>
      <w:r w:rsidR="00CE0B5E" w:rsidRPr="009B4A73">
        <w:rPr>
          <w:sz w:val="22"/>
        </w:rPr>
        <w:t xml:space="preserve"> </w:t>
      </w:r>
      <w:r w:rsidR="002150C6" w:rsidRPr="009B4A73">
        <w:rPr>
          <w:sz w:val="22"/>
        </w:rPr>
        <w:t>trastuzumab</w:t>
      </w:r>
      <w:r w:rsidRPr="009B4A73">
        <w:rPr>
          <w:sz w:val="22"/>
        </w:rPr>
        <w:t xml:space="preserve"> and paclitaxel compared with patients receiving paclitaxel-alone (34% vs. 21%).</w:t>
      </w:r>
    </w:p>
    <w:p w14:paraId="7D13BC3C" w14:textId="77777777" w:rsidR="001D3187" w:rsidRPr="009B4A73" w:rsidRDefault="001D3187" w:rsidP="00316679">
      <w:pPr>
        <w:spacing w:after="8" w:line="240" w:lineRule="auto"/>
        <w:ind w:left="426" w:right="8"/>
        <w:rPr>
          <w:sz w:val="22"/>
        </w:rPr>
      </w:pPr>
    </w:p>
    <w:p w14:paraId="38B08B80" w14:textId="6787E527" w:rsidR="00D92EBC" w:rsidRPr="009B4A73" w:rsidRDefault="0078763F" w:rsidP="00FD2C62">
      <w:pPr>
        <w:spacing w:after="8" w:line="240" w:lineRule="auto"/>
        <w:ind w:left="426" w:right="8"/>
        <w:rPr>
          <w:sz w:val="22"/>
        </w:rPr>
      </w:pPr>
      <w:r w:rsidRPr="009B4A73">
        <w:rPr>
          <w:sz w:val="22"/>
        </w:rPr>
        <w:t>Haematological toxicity was also increased in patients receiving</w:t>
      </w:r>
      <w:r w:rsidR="00CE0B5E" w:rsidRPr="009B4A73">
        <w:rPr>
          <w:sz w:val="22"/>
        </w:rPr>
        <w:t xml:space="preserve"> </w:t>
      </w:r>
      <w:r w:rsidR="002150C6" w:rsidRPr="009B4A73">
        <w:rPr>
          <w:sz w:val="22"/>
        </w:rPr>
        <w:t>trastuzumab</w:t>
      </w:r>
      <w:r w:rsidRPr="009B4A73">
        <w:rPr>
          <w:sz w:val="22"/>
        </w:rPr>
        <w:t xml:space="preserve"> and docetaxel, compared with docetaxel-alone (32% grade 3/4 neutropenia vs. 22%, using NCI-CTC criteria). The incidence of febrile neutropenia/neutropenic sepsis was also increased in patients treated with</w:t>
      </w:r>
      <w:r w:rsidR="00CE0B5E" w:rsidRPr="009B4A73">
        <w:rPr>
          <w:sz w:val="22"/>
        </w:rPr>
        <w:t xml:space="preserve"> </w:t>
      </w:r>
      <w:r w:rsidR="002150C6" w:rsidRPr="009B4A73">
        <w:rPr>
          <w:sz w:val="22"/>
        </w:rPr>
        <w:t>trastuzumab</w:t>
      </w:r>
      <w:r w:rsidRPr="009B4A73">
        <w:rPr>
          <w:sz w:val="22"/>
        </w:rPr>
        <w:t xml:space="preserve"> + docetaxel (23% vs. 17% for patients treated with docetaxel-alone).</w:t>
      </w:r>
    </w:p>
    <w:p w14:paraId="056B975B" w14:textId="77777777" w:rsidR="005D4C6E" w:rsidRPr="009B4A73" w:rsidRDefault="005D4C6E" w:rsidP="00316679">
      <w:pPr>
        <w:spacing w:after="0" w:line="240" w:lineRule="auto"/>
        <w:ind w:left="426" w:right="8"/>
        <w:rPr>
          <w:sz w:val="22"/>
        </w:rPr>
      </w:pPr>
    </w:p>
    <w:p w14:paraId="67E48C6F" w14:textId="5D346019" w:rsidR="00D92EBC" w:rsidRPr="009B4A73" w:rsidRDefault="0078763F" w:rsidP="001D3187">
      <w:pPr>
        <w:pStyle w:val="Heading4"/>
        <w:keepLines w:val="0"/>
        <w:spacing w:after="0" w:line="240" w:lineRule="auto"/>
        <w:ind w:left="425" w:hanging="11"/>
        <w:rPr>
          <w:sz w:val="22"/>
        </w:rPr>
      </w:pPr>
      <w:r w:rsidRPr="009B4A73">
        <w:rPr>
          <w:sz w:val="22"/>
        </w:rPr>
        <w:lastRenderedPageBreak/>
        <w:t xml:space="preserve">Early </w:t>
      </w:r>
      <w:r w:rsidR="00FD2C62" w:rsidRPr="009B4A73">
        <w:rPr>
          <w:sz w:val="22"/>
        </w:rPr>
        <w:t>s</w:t>
      </w:r>
      <w:r w:rsidRPr="009B4A73">
        <w:rPr>
          <w:sz w:val="22"/>
        </w:rPr>
        <w:t xml:space="preserve">etting – HERA Trial </w:t>
      </w:r>
    </w:p>
    <w:p w14:paraId="339F3B22" w14:textId="77777777" w:rsidR="005D4C6E" w:rsidRPr="009B4A73" w:rsidRDefault="005D4C6E" w:rsidP="001D3187">
      <w:pPr>
        <w:keepNext/>
        <w:spacing w:after="0" w:line="240" w:lineRule="auto"/>
        <w:ind w:left="425" w:hanging="11"/>
        <w:rPr>
          <w:sz w:val="22"/>
        </w:rPr>
      </w:pPr>
    </w:p>
    <w:p w14:paraId="45EC5D7C" w14:textId="32017EA3" w:rsidR="00D92EBC" w:rsidRPr="009B4A73" w:rsidRDefault="0078763F" w:rsidP="00316679">
      <w:pPr>
        <w:spacing w:after="0" w:line="240" w:lineRule="auto"/>
        <w:ind w:left="426" w:right="8"/>
        <w:rPr>
          <w:sz w:val="22"/>
        </w:rPr>
      </w:pPr>
      <w:r w:rsidRPr="009B4A73">
        <w:rPr>
          <w:sz w:val="22"/>
        </w:rPr>
        <w:t>Using NCI-CTC criteria, in the BO16348 (HERA) trial, 0.4% of</w:t>
      </w:r>
      <w:r w:rsidR="00CE0B5E" w:rsidRPr="009B4A73">
        <w:rPr>
          <w:sz w:val="22"/>
        </w:rPr>
        <w:t xml:space="preserve"> </w:t>
      </w:r>
      <w:r w:rsidR="002150C6" w:rsidRPr="009B4A73">
        <w:rPr>
          <w:sz w:val="22"/>
        </w:rPr>
        <w:t>trastuzumab</w:t>
      </w:r>
      <w:r w:rsidRPr="009B4A73">
        <w:rPr>
          <w:sz w:val="22"/>
        </w:rPr>
        <w:t xml:space="preserve"> treated patients experienced a shift of 3 or 4 grades from baseline, compared with 0.6% in the observation arm.</w:t>
      </w:r>
    </w:p>
    <w:p w14:paraId="371C1AD6" w14:textId="77777777" w:rsidR="005D4C6E" w:rsidRPr="009B4A73" w:rsidRDefault="005D4C6E" w:rsidP="00316679">
      <w:pPr>
        <w:spacing w:after="0" w:line="240" w:lineRule="auto"/>
        <w:ind w:left="426" w:right="8"/>
        <w:rPr>
          <w:sz w:val="22"/>
        </w:rPr>
      </w:pPr>
    </w:p>
    <w:p w14:paraId="17CB2BC0" w14:textId="4C3E4381" w:rsidR="00D92EBC" w:rsidRPr="009B4A73" w:rsidRDefault="0078763F" w:rsidP="00316679">
      <w:pPr>
        <w:pStyle w:val="Heading3"/>
        <w:spacing w:after="0" w:line="240" w:lineRule="auto"/>
        <w:ind w:left="426" w:right="1296"/>
        <w:rPr>
          <w:i/>
          <w:iCs/>
          <w:sz w:val="22"/>
          <w:u w:val="none"/>
        </w:rPr>
      </w:pPr>
      <w:r w:rsidRPr="009B4A73">
        <w:rPr>
          <w:i/>
          <w:iCs/>
          <w:sz w:val="22"/>
        </w:rPr>
        <w:t>Advanced Gastric Cancer</w:t>
      </w:r>
      <w:r w:rsidRPr="009B4A73">
        <w:rPr>
          <w:i/>
          <w:iCs/>
          <w:sz w:val="22"/>
          <w:u w:val="none"/>
        </w:rPr>
        <w:t xml:space="preserve"> </w:t>
      </w:r>
    </w:p>
    <w:p w14:paraId="0BB09BCF" w14:textId="77777777" w:rsidR="005D4C6E" w:rsidRPr="009B4A73" w:rsidRDefault="005D4C6E" w:rsidP="00316679">
      <w:pPr>
        <w:spacing w:after="0" w:line="240" w:lineRule="auto"/>
        <w:ind w:left="426"/>
        <w:rPr>
          <w:sz w:val="22"/>
        </w:rPr>
      </w:pPr>
    </w:p>
    <w:p w14:paraId="1A5A0BF9" w14:textId="77777777" w:rsidR="007F4AA3" w:rsidRPr="009B4A73" w:rsidRDefault="0078763F" w:rsidP="00316679">
      <w:pPr>
        <w:spacing w:after="0" w:line="240" w:lineRule="auto"/>
        <w:ind w:left="426" w:right="8"/>
        <w:rPr>
          <w:sz w:val="22"/>
        </w:rPr>
      </w:pPr>
      <w:r w:rsidRPr="009B4A73">
        <w:rPr>
          <w:sz w:val="22"/>
        </w:rPr>
        <w:t>The most frequently reported adverse events categorized under the Blood and Lymphatic System Disorders SOC (Grade ≥3) are shown below by trial treatment.</w:t>
      </w:r>
    </w:p>
    <w:p w14:paraId="685A2616" w14:textId="0C6BB060" w:rsidR="00D92EBC" w:rsidRPr="009B4A73" w:rsidRDefault="0078763F" w:rsidP="00316679">
      <w:pPr>
        <w:spacing w:after="0" w:line="240" w:lineRule="auto"/>
        <w:ind w:left="426" w:right="8"/>
        <w:rPr>
          <w:sz w:val="22"/>
        </w:rPr>
      </w:pPr>
      <w:r w:rsidRPr="009B4A73">
        <w:rPr>
          <w:sz w:val="22"/>
        </w:rPr>
        <w:t xml:space="preserve"> </w:t>
      </w:r>
    </w:p>
    <w:p w14:paraId="657402D1" w14:textId="3DBED5A3" w:rsidR="00D92EBC" w:rsidRPr="009B4A73" w:rsidRDefault="0078763F" w:rsidP="00FD2C62">
      <w:pPr>
        <w:pStyle w:val="Heading2"/>
        <w:spacing w:after="0" w:line="240" w:lineRule="auto"/>
        <w:ind w:left="426" w:firstLine="0"/>
        <w:rPr>
          <w:sz w:val="22"/>
        </w:rPr>
      </w:pPr>
      <w:r w:rsidRPr="009B4A73">
        <w:rPr>
          <w:sz w:val="22"/>
        </w:rPr>
        <w:t>Table 4: Frequently reported adverse events grade &gt; 3 in blood and lymphatic System Disorders (SOC)</w:t>
      </w:r>
    </w:p>
    <w:p w14:paraId="5D1695FF" w14:textId="77777777" w:rsidR="002B2B60" w:rsidRPr="009B4A73" w:rsidRDefault="002B2B60" w:rsidP="00FD2C62">
      <w:pPr>
        <w:spacing w:after="0" w:line="240" w:lineRule="auto"/>
        <w:ind w:left="426" w:firstLine="0"/>
      </w:pPr>
    </w:p>
    <w:tbl>
      <w:tblPr>
        <w:tblStyle w:val="TableGrid"/>
        <w:tblW w:w="4799" w:type="pct"/>
        <w:tblInd w:w="421" w:type="dxa"/>
        <w:tblCellMar>
          <w:left w:w="57" w:type="dxa"/>
          <w:right w:w="57" w:type="dxa"/>
        </w:tblCellMar>
        <w:tblLook w:val="04A0" w:firstRow="1" w:lastRow="0" w:firstColumn="1" w:lastColumn="0" w:noHBand="0" w:noVBand="1"/>
      </w:tblPr>
      <w:tblGrid>
        <w:gridCol w:w="2000"/>
        <w:gridCol w:w="3930"/>
        <w:gridCol w:w="4110"/>
      </w:tblGrid>
      <w:tr w:rsidR="00D92EBC" w:rsidRPr="009B4A73" w14:paraId="2D9FAD27" w14:textId="77777777" w:rsidTr="00FD2C62">
        <w:trPr>
          <w:trHeight w:val="283"/>
        </w:trPr>
        <w:tc>
          <w:tcPr>
            <w:tcW w:w="996" w:type="pct"/>
            <w:tcBorders>
              <w:top w:val="single" w:sz="4" w:space="0" w:color="000000"/>
              <w:left w:val="single" w:sz="4" w:space="0" w:color="000000"/>
              <w:bottom w:val="single" w:sz="4" w:space="0" w:color="000000"/>
              <w:right w:val="single" w:sz="4" w:space="0" w:color="000000"/>
            </w:tcBorders>
          </w:tcPr>
          <w:p w14:paraId="2E9CEA30" w14:textId="77777777" w:rsidR="00D92EBC" w:rsidRPr="009B4A73" w:rsidRDefault="0078763F" w:rsidP="00FD2C62">
            <w:pPr>
              <w:spacing w:after="0" w:line="240" w:lineRule="auto"/>
              <w:ind w:left="0" w:firstLine="0"/>
              <w:rPr>
                <w:sz w:val="22"/>
              </w:rPr>
            </w:pPr>
            <w:r w:rsidRPr="009B4A73">
              <w:rPr>
                <w:sz w:val="22"/>
              </w:rPr>
              <w:t xml:space="preserve"> </w:t>
            </w:r>
          </w:p>
        </w:tc>
        <w:tc>
          <w:tcPr>
            <w:tcW w:w="1957" w:type="pct"/>
            <w:tcBorders>
              <w:top w:val="single" w:sz="4" w:space="0" w:color="000000"/>
              <w:left w:val="single" w:sz="4" w:space="0" w:color="000000"/>
              <w:bottom w:val="single" w:sz="4" w:space="0" w:color="000000"/>
              <w:right w:val="single" w:sz="4" w:space="0" w:color="000000"/>
            </w:tcBorders>
          </w:tcPr>
          <w:p w14:paraId="54D0FA3E" w14:textId="77777777" w:rsidR="00D92EBC" w:rsidRPr="009B4A73" w:rsidRDefault="0078763F" w:rsidP="00FD2C62">
            <w:pPr>
              <w:spacing w:after="0" w:line="240" w:lineRule="auto"/>
              <w:ind w:left="0" w:firstLine="0"/>
              <w:jc w:val="center"/>
              <w:rPr>
                <w:sz w:val="22"/>
              </w:rPr>
            </w:pPr>
            <w:r w:rsidRPr="009B4A73">
              <w:rPr>
                <w:b/>
                <w:sz w:val="22"/>
              </w:rPr>
              <w:t xml:space="preserve">FP </w:t>
            </w:r>
          </w:p>
          <w:p w14:paraId="701D0F50" w14:textId="77777777" w:rsidR="00D92EBC" w:rsidRPr="009B4A73" w:rsidRDefault="0078763F" w:rsidP="00FD2C62">
            <w:pPr>
              <w:spacing w:after="0" w:line="240" w:lineRule="auto"/>
              <w:ind w:left="0" w:firstLine="0"/>
              <w:jc w:val="center"/>
              <w:rPr>
                <w:sz w:val="22"/>
              </w:rPr>
            </w:pPr>
            <w:r w:rsidRPr="009B4A73">
              <w:rPr>
                <w:b/>
                <w:sz w:val="22"/>
              </w:rPr>
              <w:t>(</w:t>
            </w:r>
            <w:r w:rsidRPr="009B4A73">
              <w:rPr>
                <w:b/>
                <w:i/>
                <w:sz w:val="22"/>
              </w:rPr>
              <w:t>n</w:t>
            </w:r>
            <w:r w:rsidRPr="009B4A73">
              <w:rPr>
                <w:b/>
                <w:sz w:val="22"/>
              </w:rPr>
              <w:t xml:space="preserve"> = 290) </w:t>
            </w:r>
          </w:p>
          <w:p w14:paraId="25E15465" w14:textId="77777777" w:rsidR="00D92EBC" w:rsidRPr="009B4A73" w:rsidRDefault="0078763F" w:rsidP="00FD2C62">
            <w:pPr>
              <w:spacing w:after="0" w:line="240" w:lineRule="auto"/>
              <w:ind w:left="0" w:firstLine="0"/>
              <w:jc w:val="center"/>
              <w:rPr>
                <w:sz w:val="22"/>
              </w:rPr>
            </w:pPr>
            <w:r w:rsidRPr="009B4A73">
              <w:rPr>
                <w:b/>
                <w:sz w:val="22"/>
              </w:rPr>
              <w:t>(% patients in each treatment arm)</w:t>
            </w:r>
            <w:r w:rsidRPr="009B4A73">
              <w:rPr>
                <w:sz w:val="22"/>
              </w:rPr>
              <w:t xml:space="preserve"> </w:t>
            </w:r>
          </w:p>
        </w:tc>
        <w:tc>
          <w:tcPr>
            <w:tcW w:w="2047" w:type="pct"/>
            <w:tcBorders>
              <w:top w:val="single" w:sz="4" w:space="0" w:color="000000"/>
              <w:left w:val="single" w:sz="4" w:space="0" w:color="000000"/>
              <w:bottom w:val="single" w:sz="4" w:space="0" w:color="000000"/>
              <w:right w:val="single" w:sz="4" w:space="0" w:color="000000"/>
            </w:tcBorders>
          </w:tcPr>
          <w:p w14:paraId="506F628F" w14:textId="77777777" w:rsidR="00D92EBC" w:rsidRPr="009B4A73" w:rsidRDefault="0078763F" w:rsidP="00FD2C62">
            <w:pPr>
              <w:spacing w:after="0" w:line="240" w:lineRule="auto"/>
              <w:ind w:left="0" w:firstLine="0"/>
              <w:jc w:val="center"/>
              <w:rPr>
                <w:sz w:val="22"/>
              </w:rPr>
            </w:pPr>
            <w:r w:rsidRPr="009B4A73">
              <w:rPr>
                <w:b/>
                <w:sz w:val="22"/>
              </w:rPr>
              <w:t xml:space="preserve">FP + H </w:t>
            </w:r>
          </w:p>
          <w:p w14:paraId="5C24E6CF" w14:textId="77777777" w:rsidR="00D92EBC" w:rsidRPr="009B4A73" w:rsidRDefault="0078763F" w:rsidP="00FD2C62">
            <w:pPr>
              <w:spacing w:after="0" w:line="240" w:lineRule="auto"/>
              <w:ind w:left="0" w:firstLine="0"/>
              <w:jc w:val="center"/>
              <w:rPr>
                <w:sz w:val="22"/>
              </w:rPr>
            </w:pPr>
            <w:r w:rsidRPr="009B4A73">
              <w:rPr>
                <w:b/>
                <w:sz w:val="22"/>
              </w:rPr>
              <w:t xml:space="preserve"> (</w:t>
            </w:r>
            <w:r w:rsidRPr="009B4A73">
              <w:rPr>
                <w:b/>
                <w:i/>
                <w:sz w:val="22"/>
              </w:rPr>
              <w:t>n</w:t>
            </w:r>
            <w:r w:rsidRPr="009B4A73">
              <w:rPr>
                <w:b/>
                <w:sz w:val="22"/>
              </w:rPr>
              <w:t xml:space="preserve"> = 294) </w:t>
            </w:r>
          </w:p>
          <w:p w14:paraId="0EB76B65" w14:textId="77777777" w:rsidR="00D92EBC" w:rsidRPr="009B4A73" w:rsidRDefault="0078763F" w:rsidP="00FD2C62">
            <w:pPr>
              <w:spacing w:after="0" w:line="240" w:lineRule="auto"/>
              <w:ind w:left="0" w:firstLine="0"/>
              <w:jc w:val="center"/>
              <w:rPr>
                <w:sz w:val="22"/>
              </w:rPr>
            </w:pPr>
            <w:r w:rsidRPr="009B4A73">
              <w:rPr>
                <w:b/>
                <w:sz w:val="22"/>
              </w:rPr>
              <w:t>(% patients in each treatment arm)</w:t>
            </w:r>
            <w:r w:rsidRPr="009B4A73">
              <w:rPr>
                <w:sz w:val="22"/>
              </w:rPr>
              <w:t xml:space="preserve"> </w:t>
            </w:r>
          </w:p>
        </w:tc>
      </w:tr>
      <w:tr w:rsidR="00D92EBC" w:rsidRPr="009B4A73" w14:paraId="1F417F66" w14:textId="77777777" w:rsidTr="00FD2C62">
        <w:trPr>
          <w:trHeight w:val="283"/>
        </w:trPr>
        <w:tc>
          <w:tcPr>
            <w:tcW w:w="996" w:type="pct"/>
            <w:tcBorders>
              <w:top w:val="single" w:sz="4" w:space="0" w:color="000000"/>
              <w:left w:val="single" w:sz="4" w:space="0" w:color="000000"/>
              <w:bottom w:val="single" w:sz="4" w:space="0" w:color="000000"/>
              <w:right w:val="single" w:sz="4" w:space="0" w:color="000000"/>
            </w:tcBorders>
          </w:tcPr>
          <w:p w14:paraId="61C27221" w14:textId="77777777" w:rsidR="00D92EBC" w:rsidRPr="009B4A73" w:rsidRDefault="0078763F" w:rsidP="00FD2C62">
            <w:pPr>
              <w:spacing w:after="0" w:line="240" w:lineRule="auto"/>
              <w:ind w:left="0" w:firstLine="0"/>
              <w:rPr>
                <w:sz w:val="22"/>
              </w:rPr>
            </w:pPr>
            <w:r w:rsidRPr="009B4A73">
              <w:rPr>
                <w:sz w:val="22"/>
              </w:rPr>
              <w:t xml:space="preserve">Neutropenia </w:t>
            </w:r>
          </w:p>
        </w:tc>
        <w:tc>
          <w:tcPr>
            <w:tcW w:w="1957" w:type="pct"/>
            <w:tcBorders>
              <w:top w:val="single" w:sz="4" w:space="0" w:color="000000"/>
              <w:left w:val="single" w:sz="4" w:space="0" w:color="000000"/>
              <w:bottom w:val="single" w:sz="4" w:space="0" w:color="000000"/>
              <w:right w:val="single" w:sz="4" w:space="0" w:color="000000"/>
            </w:tcBorders>
          </w:tcPr>
          <w:p w14:paraId="7BA14855" w14:textId="77777777" w:rsidR="00D92EBC" w:rsidRPr="009B4A73" w:rsidRDefault="0078763F" w:rsidP="00FD2C62">
            <w:pPr>
              <w:spacing w:after="0" w:line="240" w:lineRule="auto"/>
              <w:ind w:left="0" w:firstLine="0"/>
              <w:jc w:val="center"/>
              <w:rPr>
                <w:sz w:val="22"/>
              </w:rPr>
            </w:pPr>
            <w:r w:rsidRPr="009B4A73">
              <w:rPr>
                <w:sz w:val="22"/>
              </w:rPr>
              <w:t xml:space="preserve">30% </w:t>
            </w:r>
          </w:p>
        </w:tc>
        <w:tc>
          <w:tcPr>
            <w:tcW w:w="2047" w:type="pct"/>
            <w:tcBorders>
              <w:top w:val="single" w:sz="4" w:space="0" w:color="000000"/>
              <w:left w:val="single" w:sz="4" w:space="0" w:color="000000"/>
              <w:bottom w:val="single" w:sz="4" w:space="0" w:color="000000"/>
              <w:right w:val="single" w:sz="4" w:space="0" w:color="000000"/>
            </w:tcBorders>
          </w:tcPr>
          <w:p w14:paraId="7560D7BE" w14:textId="77777777" w:rsidR="00D92EBC" w:rsidRPr="009B4A73" w:rsidRDefault="0078763F" w:rsidP="00FD2C62">
            <w:pPr>
              <w:spacing w:after="0" w:line="240" w:lineRule="auto"/>
              <w:ind w:left="0" w:firstLine="0"/>
              <w:jc w:val="center"/>
              <w:rPr>
                <w:sz w:val="22"/>
              </w:rPr>
            </w:pPr>
            <w:r w:rsidRPr="009B4A73">
              <w:rPr>
                <w:sz w:val="22"/>
              </w:rPr>
              <w:t xml:space="preserve">27% </w:t>
            </w:r>
          </w:p>
        </w:tc>
      </w:tr>
      <w:tr w:rsidR="00D92EBC" w:rsidRPr="009B4A73" w14:paraId="6C6417AB" w14:textId="77777777" w:rsidTr="00FD2C62">
        <w:trPr>
          <w:trHeight w:val="283"/>
        </w:trPr>
        <w:tc>
          <w:tcPr>
            <w:tcW w:w="996" w:type="pct"/>
            <w:tcBorders>
              <w:top w:val="single" w:sz="4" w:space="0" w:color="000000"/>
              <w:left w:val="single" w:sz="4" w:space="0" w:color="000000"/>
              <w:bottom w:val="single" w:sz="4" w:space="0" w:color="000000"/>
              <w:right w:val="single" w:sz="4" w:space="0" w:color="000000"/>
            </w:tcBorders>
          </w:tcPr>
          <w:p w14:paraId="2EC12AC5" w14:textId="77777777" w:rsidR="00D92EBC" w:rsidRPr="009B4A73" w:rsidRDefault="0078763F" w:rsidP="00FD2C62">
            <w:pPr>
              <w:spacing w:after="0" w:line="240" w:lineRule="auto"/>
              <w:ind w:left="0" w:firstLine="0"/>
              <w:rPr>
                <w:sz w:val="22"/>
              </w:rPr>
            </w:pPr>
            <w:r w:rsidRPr="009B4A73">
              <w:rPr>
                <w:sz w:val="22"/>
              </w:rPr>
              <w:t xml:space="preserve">Anaemia </w:t>
            </w:r>
          </w:p>
        </w:tc>
        <w:tc>
          <w:tcPr>
            <w:tcW w:w="1957" w:type="pct"/>
            <w:tcBorders>
              <w:top w:val="single" w:sz="4" w:space="0" w:color="000000"/>
              <w:left w:val="single" w:sz="4" w:space="0" w:color="000000"/>
              <w:bottom w:val="single" w:sz="4" w:space="0" w:color="000000"/>
              <w:right w:val="single" w:sz="4" w:space="0" w:color="000000"/>
            </w:tcBorders>
          </w:tcPr>
          <w:p w14:paraId="4392A2AE" w14:textId="77777777" w:rsidR="00D92EBC" w:rsidRPr="009B4A73" w:rsidRDefault="0078763F" w:rsidP="00FD2C62">
            <w:pPr>
              <w:spacing w:after="0" w:line="240" w:lineRule="auto"/>
              <w:ind w:left="0" w:firstLine="0"/>
              <w:jc w:val="center"/>
              <w:rPr>
                <w:sz w:val="22"/>
              </w:rPr>
            </w:pPr>
            <w:r w:rsidRPr="009B4A73">
              <w:rPr>
                <w:sz w:val="22"/>
              </w:rPr>
              <w:t xml:space="preserve">10% </w:t>
            </w:r>
          </w:p>
        </w:tc>
        <w:tc>
          <w:tcPr>
            <w:tcW w:w="2047" w:type="pct"/>
            <w:tcBorders>
              <w:top w:val="single" w:sz="4" w:space="0" w:color="000000"/>
              <w:left w:val="single" w:sz="4" w:space="0" w:color="000000"/>
              <w:bottom w:val="single" w:sz="4" w:space="0" w:color="000000"/>
              <w:right w:val="single" w:sz="4" w:space="0" w:color="000000"/>
            </w:tcBorders>
          </w:tcPr>
          <w:p w14:paraId="6B77C241" w14:textId="77777777" w:rsidR="00D92EBC" w:rsidRPr="009B4A73" w:rsidRDefault="0078763F" w:rsidP="00FD2C62">
            <w:pPr>
              <w:spacing w:after="0" w:line="240" w:lineRule="auto"/>
              <w:ind w:left="0" w:firstLine="0"/>
              <w:jc w:val="center"/>
              <w:rPr>
                <w:sz w:val="22"/>
              </w:rPr>
            </w:pPr>
            <w:r w:rsidRPr="009B4A73">
              <w:rPr>
                <w:sz w:val="22"/>
              </w:rPr>
              <w:t xml:space="preserve">12% </w:t>
            </w:r>
          </w:p>
        </w:tc>
      </w:tr>
      <w:tr w:rsidR="00D92EBC" w:rsidRPr="009B4A73" w14:paraId="44911853" w14:textId="77777777" w:rsidTr="00FD2C62">
        <w:trPr>
          <w:trHeight w:val="283"/>
        </w:trPr>
        <w:tc>
          <w:tcPr>
            <w:tcW w:w="996" w:type="pct"/>
            <w:tcBorders>
              <w:top w:val="single" w:sz="4" w:space="0" w:color="000000"/>
              <w:left w:val="single" w:sz="4" w:space="0" w:color="000000"/>
              <w:bottom w:val="single" w:sz="4" w:space="0" w:color="000000"/>
              <w:right w:val="single" w:sz="4" w:space="0" w:color="000000"/>
            </w:tcBorders>
          </w:tcPr>
          <w:p w14:paraId="56ECF63A" w14:textId="77777777" w:rsidR="00D92EBC" w:rsidRPr="009B4A73" w:rsidRDefault="0078763F" w:rsidP="00FD2C62">
            <w:pPr>
              <w:spacing w:after="0" w:line="240" w:lineRule="auto"/>
              <w:ind w:left="0" w:firstLine="0"/>
              <w:rPr>
                <w:sz w:val="22"/>
              </w:rPr>
            </w:pPr>
            <w:r w:rsidRPr="009B4A73">
              <w:rPr>
                <w:sz w:val="22"/>
              </w:rPr>
              <w:t xml:space="preserve">Febrile neutropenia </w:t>
            </w:r>
          </w:p>
        </w:tc>
        <w:tc>
          <w:tcPr>
            <w:tcW w:w="1957" w:type="pct"/>
            <w:tcBorders>
              <w:top w:val="single" w:sz="4" w:space="0" w:color="000000"/>
              <w:left w:val="single" w:sz="4" w:space="0" w:color="000000"/>
              <w:bottom w:val="single" w:sz="4" w:space="0" w:color="000000"/>
              <w:right w:val="single" w:sz="4" w:space="0" w:color="000000"/>
            </w:tcBorders>
          </w:tcPr>
          <w:p w14:paraId="5BAEF9B1" w14:textId="77777777" w:rsidR="00D92EBC" w:rsidRPr="009B4A73" w:rsidRDefault="0078763F" w:rsidP="00FD2C62">
            <w:pPr>
              <w:spacing w:after="0" w:line="240" w:lineRule="auto"/>
              <w:ind w:left="0" w:firstLine="0"/>
              <w:jc w:val="center"/>
              <w:rPr>
                <w:sz w:val="22"/>
              </w:rPr>
            </w:pPr>
            <w:r w:rsidRPr="009B4A73">
              <w:rPr>
                <w:sz w:val="22"/>
              </w:rPr>
              <w:t xml:space="preserve">3% </w:t>
            </w:r>
          </w:p>
        </w:tc>
        <w:tc>
          <w:tcPr>
            <w:tcW w:w="2047" w:type="pct"/>
            <w:tcBorders>
              <w:top w:val="single" w:sz="4" w:space="0" w:color="000000"/>
              <w:left w:val="single" w:sz="4" w:space="0" w:color="000000"/>
              <w:bottom w:val="single" w:sz="4" w:space="0" w:color="000000"/>
              <w:right w:val="single" w:sz="4" w:space="0" w:color="000000"/>
            </w:tcBorders>
          </w:tcPr>
          <w:p w14:paraId="62ADE758" w14:textId="77777777" w:rsidR="00D92EBC" w:rsidRPr="009B4A73" w:rsidRDefault="0078763F" w:rsidP="00FD2C62">
            <w:pPr>
              <w:spacing w:after="0" w:line="240" w:lineRule="auto"/>
              <w:ind w:left="0" w:firstLine="0"/>
              <w:jc w:val="center"/>
              <w:rPr>
                <w:sz w:val="22"/>
              </w:rPr>
            </w:pPr>
            <w:r w:rsidRPr="009B4A73">
              <w:rPr>
                <w:sz w:val="22"/>
              </w:rPr>
              <w:t xml:space="preserve">5% </w:t>
            </w:r>
          </w:p>
        </w:tc>
      </w:tr>
      <w:tr w:rsidR="00D92EBC" w:rsidRPr="009B4A73" w14:paraId="1C5A399A" w14:textId="77777777" w:rsidTr="00FD2C62">
        <w:trPr>
          <w:trHeight w:val="283"/>
        </w:trPr>
        <w:tc>
          <w:tcPr>
            <w:tcW w:w="996" w:type="pct"/>
            <w:tcBorders>
              <w:top w:val="single" w:sz="4" w:space="0" w:color="000000"/>
              <w:left w:val="single" w:sz="4" w:space="0" w:color="000000"/>
              <w:bottom w:val="single" w:sz="4" w:space="0" w:color="000000"/>
              <w:right w:val="single" w:sz="4" w:space="0" w:color="000000"/>
            </w:tcBorders>
          </w:tcPr>
          <w:p w14:paraId="0D5EFD93" w14:textId="77777777" w:rsidR="00D92EBC" w:rsidRPr="009B4A73" w:rsidRDefault="0078763F" w:rsidP="00FD2C62">
            <w:pPr>
              <w:spacing w:after="0" w:line="240" w:lineRule="auto"/>
              <w:ind w:left="0" w:firstLine="0"/>
              <w:rPr>
                <w:sz w:val="22"/>
              </w:rPr>
            </w:pPr>
            <w:r w:rsidRPr="009B4A73">
              <w:rPr>
                <w:sz w:val="22"/>
              </w:rPr>
              <w:t xml:space="preserve">Thrombocytopenia </w:t>
            </w:r>
          </w:p>
        </w:tc>
        <w:tc>
          <w:tcPr>
            <w:tcW w:w="1957" w:type="pct"/>
            <w:tcBorders>
              <w:top w:val="single" w:sz="4" w:space="0" w:color="000000"/>
              <w:left w:val="single" w:sz="4" w:space="0" w:color="000000"/>
              <w:bottom w:val="single" w:sz="4" w:space="0" w:color="000000"/>
              <w:right w:val="single" w:sz="4" w:space="0" w:color="000000"/>
            </w:tcBorders>
          </w:tcPr>
          <w:p w14:paraId="1032A694" w14:textId="77777777" w:rsidR="00D92EBC" w:rsidRPr="009B4A73" w:rsidRDefault="0078763F" w:rsidP="00FD2C62">
            <w:pPr>
              <w:spacing w:after="0" w:line="240" w:lineRule="auto"/>
              <w:ind w:left="0" w:firstLine="0"/>
              <w:jc w:val="center"/>
              <w:rPr>
                <w:sz w:val="22"/>
              </w:rPr>
            </w:pPr>
            <w:r w:rsidRPr="009B4A73">
              <w:rPr>
                <w:sz w:val="22"/>
              </w:rPr>
              <w:t xml:space="preserve">3% </w:t>
            </w:r>
          </w:p>
        </w:tc>
        <w:tc>
          <w:tcPr>
            <w:tcW w:w="2047" w:type="pct"/>
            <w:tcBorders>
              <w:top w:val="single" w:sz="4" w:space="0" w:color="000000"/>
              <w:left w:val="single" w:sz="4" w:space="0" w:color="000000"/>
              <w:bottom w:val="single" w:sz="4" w:space="0" w:color="000000"/>
              <w:right w:val="single" w:sz="4" w:space="0" w:color="000000"/>
            </w:tcBorders>
          </w:tcPr>
          <w:p w14:paraId="022D3BC2" w14:textId="77777777" w:rsidR="00D92EBC" w:rsidRPr="009B4A73" w:rsidRDefault="0078763F" w:rsidP="00FD2C62">
            <w:pPr>
              <w:spacing w:after="0" w:line="240" w:lineRule="auto"/>
              <w:ind w:left="0" w:firstLine="0"/>
              <w:jc w:val="center"/>
              <w:rPr>
                <w:sz w:val="22"/>
              </w:rPr>
            </w:pPr>
            <w:r w:rsidRPr="009B4A73">
              <w:rPr>
                <w:sz w:val="22"/>
              </w:rPr>
              <w:t xml:space="preserve">5% </w:t>
            </w:r>
          </w:p>
        </w:tc>
      </w:tr>
    </w:tbl>
    <w:p w14:paraId="4C607E4C" w14:textId="615EF50A" w:rsidR="00D92EBC" w:rsidRPr="009B4A73" w:rsidRDefault="0078763F" w:rsidP="00316679">
      <w:pPr>
        <w:spacing w:after="40" w:line="240" w:lineRule="auto"/>
        <w:ind w:left="426"/>
        <w:rPr>
          <w:sz w:val="20"/>
          <w:szCs w:val="20"/>
        </w:rPr>
      </w:pPr>
      <w:r w:rsidRPr="009B4A73">
        <w:rPr>
          <w:sz w:val="20"/>
          <w:szCs w:val="20"/>
        </w:rPr>
        <w:t xml:space="preserve">FP: fluoropyrimidine/cisplatin; FP+H: fluoropyrimidine/cisplatin + </w:t>
      </w:r>
      <w:r w:rsidR="00FD2C62" w:rsidRPr="009B4A73">
        <w:rPr>
          <w:sz w:val="20"/>
          <w:szCs w:val="20"/>
        </w:rPr>
        <w:t>Trastuzumab</w:t>
      </w:r>
      <w:r w:rsidRPr="009B4A73">
        <w:rPr>
          <w:sz w:val="20"/>
          <w:szCs w:val="20"/>
        </w:rPr>
        <w:t xml:space="preserve"> </w:t>
      </w:r>
    </w:p>
    <w:p w14:paraId="2CDA00AD" w14:textId="77777777" w:rsidR="00D92EBC" w:rsidRPr="009B4A73" w:rsidRDefault="0078763F" w:rsidP="00316679">
      <w:pPr>
        <w:spacing w:after="36" w:line="240" w:lineRule="auto"/>
        <w:ind w:left="426" w:firstLine="0"/>
        <w:rPr>
          <w:sz w:val="22"/>
        </w:rPr>
      </w:pPr>
      <w:r w:rsidRPr="009B4A73">
        <w:rPr>
          <w:sz w:val="22"/>
        </w:rPr>
        <w:t xml:space="preserve"> </w:t>
      </w:r>
    </w:p>
    <w:p w14:paraId="4258C93C" w14:textId="650040F3" w:rsidR="00D92EBC" w:rsidRPr="009B4A73" w:rsidRDefault="0078763F" w:rsidP="00316679">
      <w:pPr>
        <w:spacing w:after="0" w:line="240" w:lineRule="auto"/>
        <w:ind w:left="426" w:right="8"/>
        <w:rPr>
          <w:sz w:val="22"/>
        </w:rPr>
      </w:pPr>
      <w:r w:rsidRPr="009B4A73">
        <w:rPr>
          <w:sz w:val="22"/>
        </w:rPr>
        <w:t xml:space="preserve">The total percentage of patients who experienced an adverse event of </w:t>
      </w:r>
      <w:r w:rsidR="006951C0" w:rsidRPr="009B4A73">
        <w:rPr>
          <w:sz w:val="22"/>
        </w:rPr>
        <w:t>≥</w:t>
      </w:r>
      <w:r w:rsidRPr="009B4A73">
        <w:rPr>
          <w:sz w:val="22"/>
        </w:rPr>
        <w:t xml:space="preserve"> Grade 3 NCI CTCAE v3.0 categorized under this SOC were 38% in the FP arm and 40% in the FP + H arm.</w:t>
      </w:r>
    </w:p>
    <w:p w14:paraId="632CDB36" w14:textId="04C37923" w:rsidR="00D92EBC" w:rsidRPr="009B4A73" w:rsidRDefault="0078763F" w:rsidP="00316679">
      <w:pPr>
        <w:spacing w:after="0" w:line="240" w:lineRule="auto"/>
        <w:ind w:left="426" w:firstLine="0"/>
        <w:rPr>
          <w:sz w:val="22"/>
        </w:rPr>
      </w:pPr>
      <w:r w:rsidRPr="009B4A73">
        <w:rPr>
          <w:sz w:val="22"/>
        </w:rPr>
        <w:t xml:space="preserve"> </w:t>
      </w:r>
    </w:p>
    <w:p w14:paraId="4AE28D58" w14:textId="0DF43981" w:rsidR="00D92EBC" w:rsidRPr="009B4A73" w:rsidRDefault="0078763F" w:rsidP="00316679">
      <w:pPr>
        <w:spacing w:after="0" w:line="240" w:lineRule="auto"/>
        <w:ind w:left="426" w:right="8"/>
        <w:rPr>
          <w:sz w:val="22"/>
        </w:rPr>
      </w:pPr>
      <w:r w:rsidRPr="009B4A73">
        <w:rPr>
          <w:sz w:val="22"/>
        </w:rPr>
        <w:t xml:space="preserve">Overall, there were no significant differences in </w:t>
      </w:r>
      <w:proofErr w:type="spellStart"/>
      <w:r w:rsidRPr="009B4A73">
        <w:rPr>
          <w:sz w:val="22"/>
        </w:rPr>
        <w:t>haematotoxicity</w:t>
      </w:r>
      <w:proofErr w:type="spellEnd"/>
      <w:r w:rsidRPr="009B4A73">
        <w:rPr>
          <w:sz w:val="22"/>
        </w:rPr>
        <w:t xml:space="preserve"> between the treatment arm and the comparator arm.</w:t>
      </w:r>
    </w:p>
    <w:p w14:paraId="779D129E" w14:textId="77777777" w:rsidR="007F4AA3" w:rsidRPr="009B4A73" w:rsidRDefault="007F4AA3" w:rsidP="00316679">
      <w:pPr>
        <w:spacing w:after="0" w:line="240" w:lineRule="auto"/>
        <w:ind w:left="426" w:right="8"/>
        <w:rPr>
          <w:sz w:val="22"/>
        </w:rPr>
      </w:pPr>
    </w:p>
    <w:p w14:paraId="705543EE" w14:textId="6E337500" w:rsidR="00D92EBC" w:rsidRPr="009B4A73" w:rsidRDefault="0078763F" w:rsidP="00316679">
      <w:pPr>
        <w:pStyle w:val="Heading2"/>
        <w:spacing w:after="0" w:line="240" w:lineRule="auto"/>
        <w:ind w:left="426"/>
        <w:rPr>
          <w:b w:val="0"/>
          <w:bCs/>
          <w:sz w:val="22"/>
          <w:u w:val="single"/>
        </w:rPr>
      </w:pPr>
      <w:r w:rsidRPr="009B4A73">
        <w:rPr>
          <w:b w:val="0"/>
          <w:bCs/>
          <w:sz w:val="22"/>
          <w:u w:val="single"/>
        </w:rPr>
        <w:t xml:space="preserve">Hepatic and </w:t>
      </w:r>
      <w:r w:rsidR="00E70C82" w:rsidRPr="009B4A73">
        <w:rPr>
          <w:b w:val="0"/>
          <w:bCs/>
          <w:sz w:val="22"/>
          <w:u w:val="single"/>
        </w:rPr>
        <w:t>r</w:t>
      </w:r>
      <w:r w:rsidRPr="009B4A73">
        <w:rPr>
          <w:b w:val="0"/>
          <w:bCs/>
          <w:sz w:val="22"/>
          <w:u w:val="single"/>
        </w:rPr>
        <w:t xml:space="preserve">enal </w:t>
      </w:r>
      <w:r w:rsidR="00E70C82" w:rsidRPr="009B4A73">
        <w:rPr>
          <w:b w:val="0"/>
          <w:bCs/>
          <w:sz w:val="22"/>
          <w:u w:val="single"/>
        </w:rPr>
        <w:t>t</w:t>
      </w:r>
      <w:r w:rsidRPr="009B4A73">
        <w:rPr>
          <w:b w:val="0"/>
          <w:bCs/>
          <w:sz w:val="22"/>
          <w:u w:val="single"/>
        </w:rPr>
        <w:t>oxicity</w:t>
      </w:r>
    </w:p>
    <w:p w14:paraId="348605F0" w14:textId="77777777" w:rsidR="007F4AA3" w:rsidRPr="009B4A73" w:rsidRDefault="007F4AA3" w:rsidP="00316679">
      <w:pPr>
        <w:spacing w:after="0" w:line="240" w:lineRule="auto"/>
        <w:ind w:left="426" w:hanging="11"/>
        <w:rPr>
          <w:sz w:val="22"/>
        </w:rPr>
      </w:pPr>
    </w:p>
    <w:p w14:paraId="121BEEEF" w14:textId="471C71C4" w:rsidR="00D92EBC" w:rsidRPr="009B4A73" w:rsidRDefault="0078763F" w:rsidP="00316679">
      <w:pPr>
        <w:pStyle w:val="Heading3"/>
        <w:spacing w:after="0" w:line="240" w:lineRule="auto"/>
        <w:ind w:left="426" w:right="1296"/>
        <w:rPr>
          <w:i/>
          <w:iCs/>
          <w:sz w:val="22"/>
          <w:u w:val="none"/>
        </w:rPr>
      </w:pPr>
      <w:r w:rsidRPr="009B4A73">
        <w:rPr>
          <w:i/>
          <w:iCs/>
          <w:sz w:val="22"/>
        </w:rPr>
        <w:t xml:space="preserve">Breast </w:t>
      </w:r>
      <w:r w:rsidR="00E70C82" w:rsidRPr="009B4A73">
        <w:rPr>
          <w:i/>
          <w:iCs/>
          <w:sz w:val="22"/>
        </w:rPr>
        <w:t>c</w:t>
      </w:r>
      <w:r w:rsidRPr="009B4A73">
        <w:rPr>
          <w:i/>
          <w:iCs/>
          <w:sz w:val="22"/>
        </w:rPr>
        <w:t>ancer</w:t>
      </w:r>
      <w:r w:rsidRPr="009B4A73">
        <w:rPr>
          <w:i/>
          <w:iCs/>
          <w:sz w:val="22"/>
          <w:u w:val="none"/>
        </w:rPr>
        <w:t xml:space="preserve"> </w:t>
      </w:r>
    </w:p>
    <w:p w14:paraId="2558D11B" w14:textId="77777777" w:rsidR="007F4AA3" w:rsidRPr="009B4A73" w:rsidRDefault="007F4AA3" w:rsidP="00316679">
      <w:pPr>
        <w:spacing w:after="0" w:line="240" w:lineRule="auto"/>
        <w:ind w:left="426"/>
        <w:rPr>
          <w:sz w:val="22"/>
        </w:rPr>
      </w:pPr>
    </w:p>
    <w:p w14:paraId="410618E4" w14:textId="37588FB3" w:rsidR="007F4AA3" w:rsidRPr="009B4A73" w:rsidRDefault="0078763F" w:rsidP="00316679">
      <w:pPr>
        <w:pStyle w:val="Heading4"/>
        <w:spacing w:after="0" w:line="240" w:lineRule="auto"/>
        <w:ind w:left="426"/>
        <w:rPr>
          <w:sz w:val="22"/>
        </w:rPr>
      </w:pPr>
      <w:r w:rsidRPr="009B4A73">
        <w:rPr>
          <w:sz w:val="22"/>
        </w:rPr>
        <w:t xml:space="preserve">Monotherapy– Study H0649g </w:t>
      </w:r>
    </w:p>
    <w:p w14:paraId="5B8D86B0" w14:textId="77777777" w:rsidR="006951C0" w:rsidRPr="009B4A73" w:rsidRDefault="006951C0" w:rsidP="00316679">
      <w:pPr>
        <w:spacing w:after="0" w:line="240" w:lineRule="auto"/>
        <w:ind w:left="426"/>
      </w:pPr>
    </w:p>
    <w:p w14:paraId="1A21D48F" w14:textId="5FCE5E53" w:rsidR="00D92EBC" w:rsidRPr="009B4A73" w:rsidRDefault="0078763F" w:rsidP="00316679">
      <w:pPr>
        <w:spacing w:after="0" w:line="240" w:lineRule="auto"/>
        <w:ind w:left="426" w:right="8"/>
        <w:rPr>
          <w:sz w:val="22"/>
        </w:rPr>
      </w:pPr>
      <w:r w:rsidRPr="009B4A73">
        <w:rPr>
          <w:sz w:val="22"/>
        </w:rPr>
        <w:t>WHO Grade 3 or 4 hepatic toxicity was observed in 12% of patients following administration of</w:t>
      </w:r>
      <w:r w:rsidR="00CE0B5E" w:rsidRPr="009B4A73">
        <w:rPr>
          <w:sz w:val="22"/>
        </w:rPr>
        <w:t xml:space="preserve"> </w:t>
      </w:r>
      <w:r w:rsidR="002150C6" w:rsidRPr="009B4A73">
        <w:rPr>
          <w:sz w:val="22"/>
        </w:rPr>
        <w:t>trastuzumab</w:t>
      </w:r>
      <w:r w:rsidRPr="009B4A73">
        <w:rPr>
          <w:sz w:val="22"/>
        </w:rPr>
        <w:t xml:space="preserve"> as monotherapy in the metastatic </w:t>
      </w:r>
      <w:proofErr w:type="gramStart"/>
      <w:r w:rsidRPr="009B4A73">
        <w:rPr>
          <w:sz w:val="22"/>
        </w:rPr>
        <w:t>setting.</w:t>
      </w:r>
      <w:proofErr w:type="gramEnd"/>
      <w:r w:rsidR="00E70C82" w:rsidRPr="009B4A73">
        <w:rPr>
          <w:sz w:val="22"/>
        </w:rPr>
        <w:t xml:space="preserve"> </w:t>
      </w:r>
      <w:r w:rsidRPr="009B4A73">
        <w:rPr>
          <w:sz w:val="22"/>
        </w:rPr>
        <w:t>This toxicity was associated with progression of disease in the liver in 60% of these patients.</w:t>
      </w:r>
      <w:r w:rsidR="008805AA" w:rsidRPr="009B4A73">
        <w:rPr>
          <w:sz w:val="22"/>
        </w:rPr>
        <w:t xml:space="preserve"> </w:t>
      </w:r>
      <w:r w:rsidRPr="009B4A73">
        <w:rPr>
          <w:sz w:val="22"/>
        </w:rPr>
        <w:t>No WHO Grade 3 or 4 renal toxicity was observed.</w:t>
      </w:r>
    </w:p>
    <w:p w14:paraId="68EF7956" w14:textId="77777777" w:rsidR="007F4AA3" w:rsidRPr="009B4A73" w:rsidRDefault="007F4AA3" w:rsidP="00316679">
      <w:pPr>
        <w:spacing w:after="0" w:line="240" w:lineRule="auto"/>
        <w:ind w:left="426" w:right="8"/>
        <w:rPr>
          <w:sz w:val="22"/>
        </w:rPr>
      </w:pPr>
    </w:p>
    <w:p w14:paraId="1EE42B1F" w14:textId="63BF0D18" w:rsidR="00D92EBC" w:rsidRPr="009B4A73" w:rsidRDefault="0078763F" w:rsidP="00316679">
      <w:pPr>
        <w:pStyle w:val="Heading4"/>
        <w:spacing w:after="0" w:line="240" w:lineRule="auto"/>
        <w:ind w:left="426"/>
        <w:rPr>
          <w:sz w:val="22"/>
        </w:rPr>
      </w:pPr>
      <w:r w:rsidRPr="009B4A73">
        <w:rPr>
          <w:sz w:val="22"/>
        </w:rPr>
        <w:t xml:space="preserve">Combination </w:t>
      </w:r>
      <w:r w:rsidR="00E70C82" w:rsidRPr="009B4A73">
        <w:rPr>
          <w:sz w:val="22"/>
        </w:rPr>
        <w:t>t</w:t>
      </w:r>
      <w:r w:rsidRPr="009B4A73">
        <w:rPr>
          <w:sz w:val="22"/>
        </w:rPr>
        <w:t xml:space="preserve">herapy – Study H0648g </w:t>
      </w:r>
    </w:p>
    <w:p w14:paraId="27E8F1B6" w14:textId="77777777" w:rsidR="007F4AA3" w:rsidRPr="009B4A73" w:rsidRDefault="007F4AA3" w:rsidP="00316679">
      <w:pPr>
        <w:spacing w:after="0" w:line="240" w:lineRule="auto"/>
        <w:ind w:left="426"/>
        <w:rPr>
          <w:sz w:val="22"/>
        </w:rPr>
      </w:pPr>
    </w:p>
    <w:p w14:paraId="32570E71" w14:textId="27DD4D1D" w:rsidR="00D92EBC" w:rsidRPr="009B4A73" w:rsidRDefault="0078763F" w:rsidP="00316679">
      <w:pPr>
        <w:spacing w:after="0" w:line="240" w:lineRule="auto"/>
        <w:ind w:left="426" w:right="8"/>
        <w:rPr>
          <w:sz w:val="22"/>
        </w:rPr>
      </w:pPr>
      <w:r w:rsidRPr="009B4A73">
        <w:rPr>
          <w:sz w:val="22"/>
        </w:rPr>
        <w:t>WHO Grade 3 or 4 hepatic toxicity was observed in 6% of patients treated with</w:t>
      </w:r>
      <w:r w:rsidR="00CE0B5E" w:rsidRPr="009B4A73">
        <w:rPr>
          <w:sz w:val="22"/>
        </w:rPr>
        <w:t xml:space="preserve"> </w:t>
      </w:r>
      <w:r w:rsidR="002150C6" w:rsidRPr="009B4A73">
        <w:rPr>
          <w:sz w:val="22"/>
        </w:rPr>
        <w:t>trastuzumab</w:t>
      </w:r>
      <w:r w:rsidRPr="009B4A73">
        <w:rPr>
          <w:sz w:val="22"/>
        </w:rPr>
        <w:t xml:space="preserve"> and an anthracycline/cyclophosphamide compared with an incidence of 8% in patients treated with the anthracycline/cyclophosphamide combination without</w:t>
      </w:r>
      <w:r w:rsidR="00CE0B5E" w:rsidRPr="009B4A73">
        <w:rPr>
          <w:sz w:val="22"/>
        </w:rPr>
        <w:t xml:space="preserve"> </w:t>
      </w:r>
      <w:proofErr w:type="gramStart"/>
      <w:r w:rsidR="002150C6" w:rsidRPr="009B4A73">
        <w:rPr>
          <w:sz w:val="22"/>
        </w:rPr>
        <w:t>trastuzumab</w:t>
      </w:r>
      <w:r w:rsidRPr="009B4A73">
        <w:rPr>
          <w:sz w:val="22"/>
        </w:rPr>
        <w:t>.</w:t>
      </w:r>
      <w:proofErr w:type="gramEnd"/>
      <w:r w:rsidR="008805AA" w:rsidRPr="009B4A73">
        <w:rPr>
          <w:sz w:val="22"/>
        </w:rPr>
        <w:t xml:space="preserve"> </w:t>
      </w:r>
      <w:r w:rsidRPr="009B4A73">
        <w:rPr>
          <w:sz w:val="22"/>
        </w:rPr>
        <w:t xml:space="preserve">No WHO Grade 3 or 4 renal toxicity was observed. </w:t>
      </w:r>
    </w:p>
    <w:p w14:paraId="2744FCEB" w14:textId="77777777" w:rsidR="006951C0" w:rsidRPr="009B4A73" w:rsidRDefault="006951C0" w:rsidP="00316679">
      <w:pPr>
        <w:spacing w:after="0" w:line="240" w:lineRule="auto"/>
        <w:ind w:left="426" w:right="8"/>
        <w:rPr>
          <w:sz w:val="22"/>
        </w:rPr>
      </w:pPr>
    </w:p>
    <w:p w14:paraId="50D1D825" w14:textId="1C055A38" w:rsidR="00D92EBC" w:rsidRPr="009B4A73" w:rsidRDefault="0078763F" w:rsidP="00316679">
      <w:pPr>
        <w:spacing w:after="0" w:line="240" w:lineRule="auto"/>
        <w:ind w:left="426" w:right="8"/>
        <w:rPr>
          <w:sz w:val="22"/>
        </w:rPr>
      </w:pPr>
      <w:r w:rsidRPr="009B4A73">
        <w:rPr>
          <w:sz w:val="22"/>
        </w:rPr>
        <w:t>WHO Grade 3 or 4 hepatic toxicity was less frequently observed among patients receiving</w:t>
      </w:r>
      <w:r w:rsidR="00CE0B5E" w:rsidRPr="009B4A73">
        <w:rPr>
          <w:sz w:val="22"/>
        </w:rPr>
        <w:t xml:space="preserve"> </w:t>
      </w:r>
      <w:r w:rsidR="002150C6" w:rsidRPr="009B4A73">
        <w:rPr>
          <w:sz w:val="22"/>
        </w:rPr>
        <w:t>trastuzumab</w:t>
      </w:r>
      <w:r w:rsidRPr="009B4A73">
        <w:rPr>
          <w:sz w:val="22"/>
        </w:rPr>
        <w:t xml:space="preserve"> and paclitaxel than among patients receiving paclitaxel-alone (7% vs.</w:t>
      </w:r>
      <w:proofErr w:type="gramStart"/>
      <w:r w:rsidRPr="009B4A73">
        <w:rPr>
          <w:sz w:val="22"/>
        </w:rPr>
        <w:t>15%).</w:t>
      </w:r>
      <w:proofErr w:type="gramEnd"/>
      <w:r w:rsidR="00E70C82" w:rsidRPr="009B4A73">
        <w:rPr>
          <w:sz w:val="22"/>
        </w:rPr>
        <w:t xml:space="preserve"> </w:t>
      </w:r>
      <w:r w:rsidRPr="009B4A73">
        <w:rPr>
          <w:sz w:val="22"/>
        </w:rPr>
        <w:t>No WHO Grade 3 or 4 renal toxicity was observed</w:t>
      </w:r>
      <w:r w:rsidR="00D23280" w:rsidRPr="009B4A73">
        <w:rPr>
          <w:sz w:val="22"/>
        </w:rPr>
        <w:t>.</w:t>
      </w:r>
    </w:p>
    <w:p w14:paraId="06B0840D" w14:textId="77777777" w:rsidR="007F4AA3" w:rsidRPr="009B4A73" w:rsidRDefault="007F4AA3" w:rsidP="00316679">
      <w:pPr>
        <w:spacing w:after="0" w:line="240" w:lineRule="auto"/>
        <w:ind w:left="426" w:right="8"/>
        <w:rPr>
          <w:sz w:val="22"/>
        </w:rPr>
      </w:pPr>
    </w:p>
    <w:p w14:paraId="1D5DEE24" w14:textId="3CC68BD0" w:rsidR="00D92EBC" w:rsidRPr="009B4A73" w:rsidRDefault="0078763F" w:rsidP="00316679">
      <w:pPr>
        <w:pStyle w:val="Heading3"/>
        <w:spacing w:after="0" w:line="240" w:lineRule="auto"/>
        <w:ind w:left="426" w:right="1296"/>
        <w:rPr>
          <w:i/>
          <w:iCs/>
          <w:sz w:val="22"/>
          <w:u w:val="none"/>
        </w:rPr>
      </w:pPr>
      <w:r w:rsidRPr="009B4A73">
        <w:rPr>
          <w:i/>
          <w:iCs/>
          <w:sz w:val="22"/>
        </w:rPr>
        <w:t>Advanced Gastric Cancer</w:t>
      </w:r>
      <w:r w:rsidRPr="009B4A73">
        <w:rPr>
          <w:i/>
          <w:iCs/>
          <w:sz w:val="22"/>
          <w:u w:val="none"/>
        </w:rPr>
        <w:t xml:space="preserve"> </w:t>
      </w:r>
    </w:p>
    <w:p w14:paraId="27EE8108" w14:textId="77777777" w:rsidR="007F4AA3" w:rsidRPr="009B4A73" w:rsidRDefault="007F4AA3" w:rsidP="00316679">
      <w:pPr>
        <w:spacing w:after="0" w:line="240" w:lineRule="auto"/>
        <w:ind w:left="426"/>
        <w:rPr>
          <w:sz w:val="22"/>
        </w:rPr>
      </w:pPr>
    </w:p>
    <w:p w14:paraId="3785A7BB" w14:textId="0A45CADE" w:rsidR="00D92EBC" w:rsidRPr="009B4A73" w:rsidRDefault="0078763F" w:rsidP="00316679">
      <w:pPr>
        <w:spacing w:after="0" w:line="240" w:lineRule="auto"/>
        <w:ind w:left="426" w:right="8"/>
        <w:rPr>
          <w:sz w:val="22"/>
        </w:rPr>
      </w:pPr>
      <w:r w:rsidRPr="009B4A73">
        <w:rPr>
          <w:sz w:val="22"/>
        </w:rPr>
        <w:t>In Study BO18255</w:t>
      </w:r>
      <w:r w:rsidRPr="009B4A73">
        <w:rPr>
          <w:b/>
          <w:sz w:val="22"/>
        </w:rPr>
        <w:t xml:space="preserve"> (</w:t>
      </w:r>
      <w:proofErr w:type="spellStart"/>
      <w:r w:rsidRPr="009B4A73">
        <w:rPr>
          <w:sz w:val="22"/>
        </w:rPr>
        <w:t>ToGA</w:t>
      </w:r>
      <w:proofErr w:type="spellEnd"/>
      <w:r w:rsidRPr="009B4A73">
        <w:rPr>
          <w:sz w:val="22"/>
        </w:rPr>
        <w:t>) no significant differences in hepatic and renal toxicity were observed between the two treatment arms.</w:t>
      </w:r>
    </w:p>
    <w:p w14:paraId="3152EFAB" w14:textId="77777777" w:rsidR="007F4AA3" w:rsidRPr="009B4A73" w:rsidRDefault="007F4AA3" w:rsidP="00316679">
      <w:pPr>
        <w:spacing w:after="0" w:line="240" w:lineRule="auto"/>
        <w:ind w:left="426" w:right="8"/>
        <w:rPr>
          <w:sz w:val="22"/>
        </w:rPr>
      </w:pPr>
    </w:p>
    <w:p w14:paraId="1D8083CF" w14:textId="2D8647B8" w:rsidR="00D92EBC" w:rsidRPr="009B4A73" w:rsidRDefault="0078763F" w:rsidP="00316679">
      <w:pPr>
        <w:spacing w:after="0" w:line="240" w:lineRule="auto"/>
        <w:ind w:left="426" w:right="8"/>
        <w:rPr>
          <w:sz w:val="22"/>
        </w:rPr>
      </w:pPr>
      <w:r w:rsidRPr="009B4A73">
        <w:rPr>
          <w:sz w:val="22"/>
        </w:rPr>
        <w:lastRenderedPageBreak/>
        <w:t>NCI-CTCAE (v3.0) grade ≥ 3 renal toxicity was not significantly higher in patients receiving</w:t>
      </w:r>
      <w:r w:rsidR="00CE0B5E" w:rsidRPr="009B4A73">
        <w:rPr>
          <w:sz w:val="22"/>
        </w:rPr>
        <w:t xml:space="preserve"> </w:t>
      </w:r>
      <w:r w:rsidR="002150C6" w:rsidRPr="009B4A73">
        <w:rPr>
          <w:sz w:val="22"/>
        </w:rPr>
        <w:t>trastuzumab</w:t>
      </w:r>
      <w:r w:rsidRPr="009B4A73">
        <w:rPr>
          <w:sz w:val="22"/>
        </w:rPr>
        <w:t xml:space="preserve"> than those in the fluoropyrimidine/cisplatin arm (3% and 2% respectively)</w:t>
      </w:r>
    </w:p>
    <w:p w14:paraId="6F6DFC2E" w14:textId="77777777" w:rsidR="007F4AA3" w:rsidRPr="009B4A73" w:rsidRDefault="007F4AA3" w:rsidP="00316679">
      <w:pPr>
        <w:spacing w:after="0" w:line="240" w:lineRule="auto"/>
        <w:ind w:left="426" w:right="8"/>
        <w:rPr>
          <w:sz w:val="22"/>
        </w:rPr>
      </w:pPr>
    </w:p>
    <w:p w14:paraId="664D4BA0" w14:textId="528EC80E" w:rsidR="00D92EBC" w:rsidRPr="009B4A73" w:rsidRDefault="0078763F" w:rsidP="00316679">
      <w:pPr>
        <w:spacing w:after="0" w:line="240" w:lineRule="auto"/>
        <w:ind w:left="426" w:right="8"/>
        <w:rPr>
          <w:sz w:val="22"/>
        </w:rPr>
      </w:pPr>
      <w:r w:rsidRPr="009B4A73">
        <w:rPr>
          <w:sz w:val="22"/>
        </w:rPr>
        <w:t xml:space="preserve">NCI-CTCAE (v3.0) grade ≥ 3 adverse events in the Hepatobiliary Disorders SOC: </w:t>
      </w:r>
      <w:proofErr w:type="spellStart"/>
      <w:r w:rsidRPr="009B4A73">
        <w:rPr>
          <w:sz w:val="22"/>
        </w:rPr>
        <w:t>Hyperbilirubinaemia</w:t>
      </w:r>
      <w:proofErr w:type="spellEnd"/>
      <w:r w:rsidRPr="009B4A73">
        <w:rPr>
          <w:sz w:val="22"/>
        </w:rPr>
        <w:t xml:space="preserve"> was the only reported adverse event and was not significantly higher in patients receiving</w:t>
      </w:r>
      <w:r w:rsidR="00CE0B5E" w:rsidRPr="009B4A73">
        <w:rPr>
          <w:sz w:val="22"/>
        </w:rPr>
        <w:t xml:space="preserve"> </w:t>
      </w:r>
      <w:r w:rsidR="002150C6" w:rsidRPr="009B4A73">
        <w:rPr>
          <w:sz w:val="22"/>
        </w:rPr>
        <w:t>trastuzumab</w:t>
      </w:r>
      <w:r w:rsidRPr="009B4A73">
        <w:rPr>
          <w:sz w:val="22"/>
        </w:rPr>
        <w:t xml:space="preserve"> than those in the fluoropyrimidine/cisplatin arm (1% and &lt;1% respectively)</w:t>
      </w:r>
    </w:p>
    <w:p w14:paraId="188EDF6E" w14:textId="77777777" w:rsidR="007F4AA3" w:rsidRPr="009B4A73" w:rsidRDefault="007F4AA3" w:rsidP="00316679">
      <w:pPr>
        <w:spacing w:after="0" w:line="240" w:lineRule="auto"/>
        <w:ind w:left="426" w:right="8"/>
        <w:rPr>
          <w:sz w:val="22"/>
        </w:rPr>
      </w:pPr>
    </w:p>
    <w:p w14:paraId="3E5B3881" w14:textId="3C1E4D30" w:rsidR="00D92EBC" w:rsidRPr="009B4A73" w:rsidRDefault="0078763F" w:rsidP="00316679">
      <w:pPr>
        <w:pStyle w:val="Heading2"/>
        <w:spacing w:after="0" w:line="240" w:lineRule="auto"/>
        <w:ind w:left="426"/>
        <w:rPr>
          <w:b w:val="0"/>
          <w:bCs/>
          <w:sz w:val="22"/>
          <w:u w:val="single"/>
        </w:rPr>
      </w:pPr>
      <w:r w:rsidRPr="009B4A73">
        <w:rPr>
          <w:b w:val="0"/>
          <w:bCs/>
          <w:sz w:val="22"/>
          <w:u w:val="single"/>
        </w:rPr>
        <w:t xml:space="preserve">Diarrhoea </w:t>
      </w:r>
    </w:p>
    <w:p w14:paraId="7183F630" w14:textId="77777777" w:rsidR="007F4AA3" w:rsidRPr="009B4A73" w:rsidRDefault="007F4AA3" w:rsidP="00316679">
      <w:pPr>
        <w:spacing w:after="0" w:line="240" w:lineRule="auto"/>
        <w:ind w:left="426" w:hanging="11"/>
        <w:rPr>
          <w:sz w:val="22"/>
        </w:rPr>
      </w:pPr>
    </w:p>
    <w:p w14:paraId="4C937E9C" w14:textId="09A7F276" w:rsidR="00D92EBC" w:rsidRPr="009B4A73" w:rsidRDefault="0078763F" w:rsidP="00316679">
      <w:pPr>
        <w:pStyle w:val="Heading3"/>
        <w:spacing w:after="0" w:line="240" w:lineRule="auto"/>
        <w:ind w:left="426" w:right="1296"/>
        <w:rPr>
          <w:i/>
          <w:iCs/>
          <w:sz w:val="22"/>
          <w:u w:val="none"/>
        </w:rPr>
      </w:pPr>
      <w:r w:rsidRPr="009B4A73">
        <w:rPr>
          <w:i/>
          <w:iCs/>
          <w:sz w:val="22"/>
        </w:rPr>
        <w:t xml:space="preserve">Breast </w:t>
      </w:r>
      <w:r w:rsidR="00E70C82" w:rsidRPr="009B4A73">
        <w:rPr>
          <w:i/>
          <w:iCs/>
          <w:sz w:val="22"/>
        </w:rPr>
        <w:t>c</w:t>
      </w:r>
      <w:r w:rsidRPr="009B4A73">
        <w:rPr>
          <w:i/>
          <w:iCs/>
          <w:sz w:val="22"/>
        </w:rPr>
        <w:t>ancer</w:t>
      </w:r>
      <w:r w:rsidRPr="009B4A73">
        <w:rPr>
          <w:i/>
          <w:iCs/>
          <w:sz w:val="22"/>
          <w:u w:val="none"/>
        </w:rPr>
        <w:t xml:space="preserve"> </w:t>
      </w:r>
    </w:p>
    <w:p w14:paraId="05E79054" w14:textId="77777777" w:rsidR="007F4AA3" w:rsidRPr="009B4A73" w:rsidRDefault="007F4AA3" w:rsidP="00316679">
      <w:pPr>
        <w:spacing w:after="0" w:line="240" w:lineRule="auto"/>
        <w:ind w:left="426"/>
        <w:rPr>
          <w:sz w:val="22"/>
        </w:rPr>
      </w:pPr>
    </w:p>
    <w:p w14:paraId="516D0707" w14:textId="77777777" w:rsidR="00D92EBC" w:rsidRPr="009B4A73" w:rsidRDefault="0078763F" w:rsidP="00316679">
      <w:pPr>
        <w:spacing w:after="0" w:line="240" w:lineRule="auto"/>
        <w:ind w:left="426"/>
        <w:rPr>
          <w:sz w:val="22"/>
        </w:rPr>
      </w:pPr>
      <w:r w:rsidRPr="009B4A73">
        <w:rPr>
          <w:i/>
          <w:sz w:val="22"/>
        </w:rPr>
        <w:t xml:space="preserve">Monotherapy– Study H0649g </w:t>
      </w:r>
    </w:p>
    <w:p w14:paraId="721B56FE" w14:textId="77777777" w:rsidR="00E70C82" w:rsidRPr="009B4A73" w:rsidRDefault="00E70C82" w:rsidP="00316679">
      <w:pPr>
        <w:spacing w:after="0" w:line="240" w:lineRule="auto"/>
        <w:ind w:left="426" w:right="8"/>
        <w:rPr>
          <w:sz w:val="22"/>
        </w:rPr>
      </w:pPr>
    </w:p>
    <w:p w14:paraId="3DA5E7F2" w14:textId="1E21A72F" w:rsidR="007F4AA3" w:rsidRPr="009B4A73" w:rsidRDefault="0078763F" w:rsidP="00316679">
      <w:pPr>
        <w:spacing w:after="0" w:line="240" w:lineRule="auto"/>
        <w:ind w:left="426" w:right="8"/>
        <w:rPr>
          <w:sz w:val="22"/>
        </w:rPr>
      </w:pPr>
      <w:r w:rsidRPr="009B4A73">
        <w:rPr>
          <w:sz w:val="22"/>
        </w:rPr>
        <w:t>Of patients treated with</w:t>
      </w:r>
      <w:r w:rsidR="00CE0B5E" w:rsidRPr="009B4A73">
        <w:rPr>
          <w:sz w:val="22"/>
        </w:rPr>
        <w:t xml:space="preserve"> </w:t>
      </w:r>
      <w:r w:rsidR="002150C6" w:rsidRPr="009B4A73">
        <w:rPr>
          <w:sz w:val="22"/>
        </w:rPr>
        <w:t>trastuzumab</w:t>
      </w:r>
      <w:r w:rsidRPr="009B4A73">
        <w:rPr>
          <w:sz w:val="22"/>
        </w:rPr>
        <w:t xml:space="preserve"> monotherapy in the metastatic setting, 27% experienced diarrhoea.</w:t>
      </w:r>
    </w:p>
    <w:p w14:paraId="5EB38802" w14:textId="1F98A2AF" w:rsidR="00D92EBC" w:rsidRPr="009B4A73" w:rsidRDefault="0078763F" w:rsidP="00316679">
      <w:pPr>
        <w:spacing w:after="0" w:line="240" w:lineRule="auto"/>
        <w:ind w:left="426" w:right="6" w:hanging="11"/>
        <w:rPr>
          <w:sz w:val="22"/>
        </w:rPr>
      </w:pPr>
      <w:r w:rsidRPr="009B4A73">
        <w:rPr>
          <w:sz w:val="22"/>
        </w:rPr>
        <w:t xml:space="preserve"> </w:t>
      </w:r>
    </w:p>
    <w:p w14:paraId="7F650514" w14:textId="1B4FF9F3" w:rsidR="007F4AA3" w:rsidRPr="009B4A73" w:rsidRDefault="0078763F" w:rsidP="00316679">
      <w:pPr>
        <w:pStyle w:val="Heading4"/>
        <w:spacing w:after="0" w:line="240" w:lineRule="auto"/>
        <w:ind w:left="426"/>
        <w:rPr>
          <w:sz w:val="22"/>
        </w:rPr>
      </w:pPr>
      <w:r w:rsidRPr="009B4A73">
        <w:rPr>
          <w:sz w:val="22"/>
        </w:rPr>
        <w:t xml:space="preserve">Combination </w:t>
      </w:r>
      <w:r w:rsidR="00E70C82" w:rsidRPr="009B4A73">
        <w:rPr>
          <w:sz w:val="22"/>
        </w:rPr>
        <w:t>t</w:t>
      </w:r>
      <w:r w:rsidRPr="009B4A73">
        <w:rPr>
          <w:sz w:val="22"/>
        </w:rPr>
        <w:t xml:space="preserve">herapy – Studies H0648g and M77001 </w:t>
      </w:r>
    </w:p>
    <w:p w14:paraId="7C68C508" w14:textId="77777777" w:rsidR="00E70C82" w:rsidRPr="009B4A73" w:rsidRDefault="00E70C82" w:rsidP="00316679">
      <w:pPr>
        <w:spacing w:after="0" w:line="240" w:lineRule="auto"/>
        <w:ind w:left="426" w:right="8"/>
        <w:rPr>
          <w:sz w:val="22"/>
        </w:rPr>
      </w:pPr>
    </w:p>
    <w:p w14:paraId="449CD7CD" w14:textId="6DCA4AE9" w:rsidR="00D92EBC" w:rsidRPr="009B4A73" w:rsidRDefault="0078763F" w:rsidP="00316679">
      <w:pPr>
        <w:spacing w:after="0" w:line="240" w:lineRule="auto"/>
        <w:ind w:left="426" w:right="8"/>
        <w:rPr>
          <w:sz w:val="22"/>
        </w:rPr>
      </w:pPr>
      <w:r w:rsidRPr="009B4A73">
        <w:rPr>
          <w:sz w:val="22"/>
        </w:rPr>
        <w:t>An increase in the incidence of diarrhoea, primarily mild to moderate in severity, has been observed in patients receiving</w:t>
      </w:r>
      <w:r w:rsidR="00CE0B5E" w:rsidRPr="009B4A73">
        <w:rPr>
          <w:sz w:val="22"/>
        </w:rPr>
        <w:t xml:space="preserve"> </w:t>
      </w:r>
      <w:r w:rsidR="002150C6" w:rsidRPr="009B4A73">
        <w:rPr>
          <w:sz w:val="22"/>
        </w:rPr>
        <w:t>trastuzumab</w:t>
      </w:r>
      <w:r w:rsidRPr="009B4A73">
        <w:rPr>
          <w:sz w:val="22"/>
        </w:rPr>
        <w:t xml:space="preserve"> in combination with chemotherapy compared with patients receiving chemotherapy-alone or</w:t>
      </w:r>
      <w:r w:rsidR="00CE0B5E" w:rsidRPr="009B4A73">
        <w:rPr>
          <w:sz w:val="22"/>
        </w:rPr>
        <w:t xml:space="preserve"> </w:t>
      </w:r>
      <w:r w:rsidR="002150C6" w:rsidRPr="009B4A73">
        <w:rPr>
          <w:sz w:val="22"/>
        </w:rPr>
        <w:t xml:space="preserve">trastuzumab </w:t>
      </w:r>
      <w:r w:rsidRPr="009B4A73">
        <w:rPr>
          <w:sz w:val="22"/>
        </w:rPr>
        <w:t xml:space="preserve">alone. </w:t>
      </w:r>
    </w:p>
    <w:p w14:paraId="3853791B" w14:textId="77777777" w:rsidR="00FE5ECF" w:rsidRPr="009B4A73" w:rsidRDefault="00FE5ECF" w:rsidP="00316679">
      <w:pPr>
        <w:spacing w:after="0" w:line="240" w:lineRule="auto"/>
        <w:ind w:left="426" w:right="8" w:firstLine="0"/>
        <w:rPr>
          <w:sz w:val="22"/>
        </w:rPr>
      </w:pPr>
    </w:p>
    <w:p w14:paraId="500F9FC0" w14:textId="1C4F3C63" w:rsidR="00D92EBC" w:rsidRPr="009B4A73" w:rsidRDefault="0078763F" w:rsidP="00316679">
      <w:pPr>
        <w:spacing w:after="13" w:line="240" w:lineRule="auto"/>
        <w:ind w:left="426"/>
        <w:rPr>
          <w:sz w:val="22"/>
        </w:rPr>
      </w:pPr>
      <w:r w:rsidRPr="009B4A73">
        <w:rPr>
          <w:i/>
          <w:sz w:val="22"/>
        </w:rPr>
        <w:t xml:space="preserve">Early </w:t>
      </w:r>
      <w:r w:rsidR="00E70C82" w:rsidRPr="009B4A73">
        <w:rPr>
          <w:i/>
          <w:sz w:val="22"/>
        </w:rPr>
        <w:t>s</w:t>
      </w:r>
      <w:r w:rsidRPr="009B4A73">
        <w:rPr>
          <w:i/>
          <w:sz w:val="22"/>
        </w:rPr>
        <w:t xml:space="preserve">etting – HERA Study </w:t>
      </w:r>
    </w:p>
    <w:p w14:paraId="0F25C4FC" w14:textId="77777777" w:rsidR="00E70C82" w:rsidRPr="009B4A73" w:rsidRDefault="00E70C82" w:rsidP="00316679">
      <w:pPr>
        <w:spacing w:after="0" w:line="240" w:lineRule="auto"/>
        <w:ind w:left="426" w:right="8"/>
        <w:rPr>
          <w:sz w:val="22"/>
        </w:rPr>
      </w:pPr>
    </w:p>
    <w:p w14:paraId="02705F25" w14:textId="58E1A882" w:rsidR="00D92EBC" w:rsidRPr="009B4A73" w:rsidRDefault="0078763F" w:rsidP="00316679">
      <w:pPr>
        <w:spacing w:after="0" w:line="240" w:lineRule="auto"/>
        <w:ind w:left="426" w:right="8"/>
        <w:rPr>
          <w:sz w:val="22"/>
        </w:rPr>
      </w:pPr>
      <w:r w:rsidRPr="009B4A73">
        <w:rPr>
          <w:sz w:val="22"/>
        </w:rPr>
        <w:t>In the HERA trial, 8% of</w:t>
      </w:r>
      <w:r w:rsidR="00CE0B5E" w:rsidRPr="009B4A73">
        <w:rPr>
          <w:sz w:val="22"/>
        </w:rPr>
        <w:t xml:space="preserve"> </w:t>
      </w:r>
      <w:r w:rsidR="002150C6" w:rsidRPr="009B4A73">
        <w:rPr>
          <w:sz w:val="22"/>
        </w:rPr>
        <w:t>trastuzumab</w:t>
      </w:r>
      <w:r w:rsidRPr="009B4A73">
        <w:rPr>
          <w:sz w:val="22"/>
        </w:rPr>
        <w:t xml:space="preserve"> treated patients experienced diarrhoea during the first year of treatment.</w:t>
      </w:r>
    </w:p>
    <w:p w14:paraId="52FD1A5F" w14:textId="77777777" w:rsidR="00FE5ECF" w:rsidRPr="009B4A73" w:rsidRDefault="00FE5ECF" w:rsidP="00316679">
      <w:pPr>
        <w:spacing w:after="0" w:line="240" w:lineRule="auto"/>
        <w:ind w:left="426" w:right="6" w:hanging="11"/>
        <w:rPr>
          <w:sz w:val="22"/>
        </w:rPr>
      </w:pPr>
    </w:p>
    <w:p w14:paraId="2BFED27A" w14:textId="0D7D0768" w:rsidR="00D92EBC" w:rsidRPr="009B4A73" w:rsidRDefault="0078763F" w:rsidP="007F61DE">
      <w:pPr>
        <w:pStyle w:val="Heading3"/>
        <w:keepLines w:val="0"/>
        <w:spacing w:after="0" w:line="240" w:lineRule="auto"/>
        <w:ind w:left="425" w:right="1296" w:hanging="11"/>
        <w:rPr>
          <w:i/>
          <w:iCs/>
          <w:sz w:val="22"/>
          <w:u w:val="none"/>
        </w:rPr>
      </w:pPr>
      <w:r w:rsidRPr="009B4A73">
        <w:rPr>
          <w:i/>
          <w:iCs/>
          <w:sz w:val="22"/>
        </w:rPr>
        <w:t xml:space="preserve">Advanced </w:t>
      </w:r>
      <w:r w:rsidR="00E70C82" w:rsidRPr="009B4A73">
        <w:rPr>
          <w:i/>
          <w:iCs/>
          <w:sz w:val="22"/>
        </w:rPr>
        <w:t>g</w:t>
      </w:r>
      <w:r w:rsidRPr="009B4A73">
        <w:rPr>
          <w:i/>
          <w:iCs/>
          <w:sz w:val="22"/>
        </w:rPr>
        <w:t xml:space="preserve">astric </w:t>
      </w:r>
      <w:r w:rsidR="00E70C82" w:rsidRPr="009B4A73">
        <w:rPr>
          <w:i/>
          <w:iCs/>
          <w:sz w:val="22"/>
        </w:rPr>
        <w:t>c</w:t>
      </w:r>
      <w:r w:rsidRPr="009B4A73">
        <w:rPr>
          <w:i/>
          <w:iCs/>
          <w:sz w:val="22"/>
        </w:rPr>
        <w:t>ancer</w:t>
      </w:r>
      <w:r w:rsidRPr="009B4A73">
        <w:rPr>
          <w:i/>
          <w:iCs/>
          <w:sz w:val="22"/>
          <w:u w:val="none"/>
        </w:rPr>
        <w:t xml:space="preserve"> </w:t>
      </w:r>
    </w:p>
    <w:p w14:paraId="6420B65E" w14:textId="77777777" w:rsidR="00FE5ECF" w:rsidRPr="009B4A73" w:rsidRDefault="00FE5ECF" w:rsidP="007F61DE">
      <w:pPr>
        <w:keepNext/>
        <w:spacing w:after="0" w:line="240" w:lineRule="auto"/>
        <w:ind w:left="425" w:hanging="11"/>
        <w:rPr>
          <w:sz w:val="22"/>
        </w:rPr>
      </w:pPr>
    </w:p>
    <w:p w14:paraId="69DD6976" w14:textId="3A4E7973" w:rsidR="00D92EBC" w:rsidRPr="009B4A73" w:rsidRDefault="0078763F" w:rsidP="00316679">
      <w:pPr>
        <w:spacing w:after="0" w:line="240" w:lineRule="auto"/>
        <w:ind w:left="426" w:right="8"/>
        <w:rPr>
          <w:sz w:val="22"/>
        </w:rPr>
      </w:pPr>
      <w:r w:rsidRPr="009B4A73">
        <w:rPr>
          <w:sz w:val="22"/>
        </w:rPr>
        <w:t>In Study BO18255</w:t>
      </w:r>
      <w:r w:rsidRPr="009B4A73">
        <w:rPr>
          <w:b/>
          <w:sz w:val="22"/>
        </w:rPr>
        <w:t xml:space="preserve"> </w:t>
      </w:r>
      <w:r w:rsidRPr="009B4A73">
        <w:rPr>
          <w:sz w:val="22"/>
        </w:rPr>
        <w:t>(</w:t>
      </w:r>
      <w:proofErr w:type="spellStart"/>
      <w:r w:rsidRPr="009B4A73">
        <w:rPr>
          <w:sz w:val="22"/>
        </w:rPr>
        <w:t>ToGA</w:t>
      </w:r>
      <w:proofErr w:type="spellEnd"/>
      <w:r w:rsidRPr="009B4A73">
        <w:rPr>
          <w:sz w:val="22"/>
        </w:rPr>
        <w:t>), 109 patients (37%) in the</w:t>
      </w:r>
      <w:r w:rsidR="00CE0B5E" w:rsidRPr="009B4A73">
        <w:rPr>
          <w:sz w:val="22"/>
        </w:rPr>
        <w:t xml:space="preserve"> </w:t>
      </w:r>
      <w:r w:rsidR="002150C6" w:rsidRPr="009B4A73">
        <w:rPr>
          <w:sz w:val="22"/>
        </w:rPr>
        <w:t>trastuzumab</w:t>
      </w:r>
      <w:r w:rsidRPr="009B4A73">
        <w:rPr>
          <w:sz w:val="22"/>
        </w:rPr>
        <w:t xml:space="preserve"> treatment arm versus 80 patients (28%) in the comparator arm experienced any grade diarrhoea. Four percent (4%) of patients in the fluoropyrimidine/cisplatin arm experienced Grade </w:t>
      </w:r>
      <w:r w:rsidR="00C01A82" w:rsidRPr="009B4A73">
        <w:rPr>
          <w:sz w:val="22"/>
        </w:rPr>
        <w:t>≥</w:t>
      </w:r>
      <w:r w:rsidRPr="009B4A73">
        <w:rPr>
          <w:sz w:val="22"/>
        </w:rPr>
        <w:t xml:space="preserve"> 3 diarrhoea vs. 9% in the</w:t>
      </w:r>
      <w:r w:rsidR="00CE0B5E" w:rsidRPr="009B4A73">
        <w:rPr>
          <w:sz w:val="22"/>
        </w:rPr>
        <w:t xml:space="preserve"> </w:t>
      </w:r>
      <w:r w:rsidR="002150C6" w:rsidRPr="009B4A73">
        <w:rPr>
          <w:sz w:val="22"/>
        </w:rPr>
        <w:t>trastuzumab</w:t>
      </w:r>
      <w:r w:rsidRPr="009B4A73">
        <w:rPr>
          <w:sz w:val="22"/>
        </w:rPr>
        <w:t xml:space="preserve"> arm. </w:t>
      </w:r>
    </w:p>
    <w:p w14:paraId="11887898" w14:textId="77777777" w:rsidR="00206B5E" w:rsidRPr="009B4A73" w:rsidRDefault="00206B5E" w:rsidP="00316679">
      <w:pPr>
        <w:spacing w:after="0" w:line="240" w:lineRule="auto"/>
        <w:ind w:left="426" w:right="8"/>
        <w:rPr>
          <w:sz w:val="22"/>
        </w:rPr>
      </w:pPr>
    </w:p>
    <w:p w14:paraId="6E23CE39" w14:textId="3B8724E7" w:rsidR="00D92EBC" w:rsidRPr="009B4A73" w:rsidRDefault="0078763F" w:rsidP="00316679">
      <w:pPr>
        <w:pStyle w:val="Heading2"/>
        <w:spacing w:after="0" w:line="240" w:lineRule="auto"/>
        <w:ind w:left="426"/>
        <w:rPr>
          <w:b w:val="0"/>
          <w:bCs/>
          <w:sz w:val="22"/>
          <w:u w:val="single"/>
        </w:rPr>
      </w:pPr>
      <w:r w:rsidRPr="009B4A73">
        <w:rPr>
          <w:b w:val="0"/>
          <w:bCs/>
          <w:sz w:val="22"/>
          <w:u w:val="single"/>
        </w:rPr>
        <w:t xml:space="preserve">Infection </w:t>
      </w:r>
    </w:p>
    <w:p w14:paraId="4A9F88E9" w14:textId="77777777" w:rsidR="00206B5E" w:rsidRPr="009B4A73" w:rsidRDefault="00206B5E" w:rsidP="00316679">
      <w:pPr>
        <w:spacing w:after="0" w:line="240" w:lineRule="auto"/>
        <w:ind w:left="426" w:hanging="11"/>
        <w:rPr>
          <w:sz w:val="22"/>
        </w:rPr>
      </w:pPr>
    </w:p>
    <w:p w14:paraId="6EAB524C" w14:textId="73E0E1C1" w:rsidR="00D92EBC" w:rsidRPr="009B4A73" w:rsidRDefault="0078763F" w:rsidP="00316679">
      <w:pPr>
        <w:spacing w:after="0" w:line="240" w:lineRule="auto"/>
        <w:ind w:left="426" w:right="8"/>
        <w:rPr>
          <w:sz w:val="22"/>
        </w:rPr>
      </w:pPr>
      <w:r w:rsidRPr="009B4A73">
        <w:rPr>
          <w:sz w:val="22"/>
        </w:rPr>
        <w:t>An increased incidence of infections, primarily mild upper respiratory infections of minor clinical significance or catheter infections, has been observed primarily in patients treated with</w:t>
      </w:r>
      <w:r w:rsidR="00CE0B5E" w:rsidRPr="009B4A73">
        <w:rPr>
          <w:sz w:val="22"/>
        </w:rPr>
        <w:t xml:space="preserve"> </w:t>
      </w:r>
      <w:r w:rsidR="002150C6" w:rsidRPr="009B4A73">
        <w:rPr>
          <w:sz w:val="22"/>
        </w:rPr>
        <w:t>trastuzumab</w:t>
      </w:r>
      <w:r w:rsidRPr="009B4A73">
        <w:rPr>
          <w:sz w:val="22"/>
        </w:rPr>
        <w:t xml:space="preserve"> + chemotherapy compared with patients receiving chemotherapy-alone or</w:t>
      </w:r>
      <w:r w:rsidR="00CE0B5E" w:rsidRPr="009B4A73">
        <w:rPr>
          <w:sz w:val="22"/>
        </w:rPr>
        <w:t xml:space="preserve"> </w:t>
      </w:r>
      <w:r w:rsidR="002150C6" w:rsidRPr="009B4A73">
        <w:rPr>
          <w:sz w:val="22"/>
        </w:rPr>
        <w:t xml:space="preserve">trastuzumab </w:t>
      </w:r>
      <w:r w:rsidRPr="009B4A73">
        <w:rPr>
          <w:sz w:val="22"/>
        </w:rPr>
        <w:t>alone.</w:t>
      </w:r>
    </w:p>
    <w:p w14:paraId="6891CA59" w14:textId="77777777" w:rsidR="00206B5E" w:rsidRPr="009B4A73" w:rsidRDefault="00206B5E" w:rsidP="00316679">
      <w:pPr>
        <w:spacing w:after="0" w:line="240" w:lineRule="auto"/>
        <w:ind w:left="426" w:right="6" w:hanging="11"/>
        <w:rPr>
          <w:sz w:val="22"/>
        </w:rPr>
      </w:pPr>
    </w:p>
    <w:p w14:paraId="4B307E0F" w14:textId="6DFF2E10" w:rsidR="00206B5E" w:rsidRPr="009B4A73" w:rsidRDefault="0078763F" w:rsidP="00316679">
      <w:pPr>
        <w:pStyle w:val="Heading2"/>
        <w:spacing w:after="0" w:line="240" w:lineRule="auto"/>
        <w:ind w:left="426"/>
        <w:rPr>
          <w:b w:val="0"/>
          <w:bCs/>
          <w:sz w:val="22"/>
          <w:u w:val="single"/>
        </w:rPr>
      </w:pPr>
      <w:r w:rsidRPr="009B4A73">
        <w:rPr>
          <w:b w:val="0"/>
          <w:bCs/>
          <w:sz w:val="22"/>
          <w:u w:val="single"/>
        </w:rPr>
        <w:t xml:space="preserve">Laboratory </w:t>
      </w:r>
      <w:r w:rsidR="00E70C82" w:rsidRPr="009B4A73">
        <w:rPr>
          <w:b w:val="0"/>
          <w:bCs/>
          <w:sz w:val="22"/>
          <w:u w:val="single"/>
        </w:rPr>
        <w:t>a</w:t>
      </w:r>
      <w:r w:rsidRPr="009B4A73">
        <w:rPr>
          <w:b w:val="0"/>
          <w:bCs/>
          <w:sz w:val="22"/>
          <w:u w:val="single"/>
        </w:rPr>
        <w:t>bnormalities</w:t>
      </w:r>
    </w:p>
    <w:p w14:paraId="3D811589" w14:textId="3C0C9EAF" w:rsidR="00D92EBC" w:rsidRPr="009B4A73" w:rsidRDefault="0078763F" w:rsidP="00316679">
      <w:pPr>
        <w:pStyle w:val="Heading2"/>
        <w:spacing w:after="0" w:line="240" w:lineRule="auto"/>
        <w:ind w:left="426"/>
        <w:rPr>
          <w:sz w:val="22"/>
        </w:rPr>
      </w:pPr>
      <w:r w:rsidRPr="009B4A73">
        <w:rPr>
          <w:sz w:val="22"/>
        </w:rPr>
        <w:t xml:space="preserve"> </w:t>
      </w:r>
    </w:p>
    <w:p w14:paraId="1C240037" w14:textId="37E0E6FB" w:rsidR="00D92EBC" w:rsidRPr="009B4A73" w:rsidRDefault="0078763F" w:rsidP="00316679">
      <w:pPr>
        <w:spacing w:after="0" w:line="240" w:lineRule="auto"/>
        <w:ind w:left="426" w:right="8"/>
        <w:rPr>
          <w:sz w:val="22"/>
        </w:rPr>
      </w:pPr>
      <w:r w:rsidRPr="009B4A73">
        <w:rPr>
          <w:sz w:val="22"/>
        </w:rPr>
        <w:t xml:space="preserve">Febrile neutropenia occurs very commonly. Commonly occurring adverse reactions include anaemia, leukopenia, </w:t>
      </w:r>
      <w:proofErr w:type="gramStart"/>
      <w:r w:rsidRPr="009B4A73">
        <w:rPr>
          <w:sz w:val="22"/>
        </w:rPr>
        <w:t>thrombocytopenia</w:t>
      </w:r>
      <w:proofErr w:type="gramEnd"/>
      <w:r w:rsidRPr="009B4A73">
        <w:rPr>
          <w:sz w:val="22"/>
        </w:rPr>
        <w:t xml:space="preserve"> and neutropenia. The frequency of occurrence of </w:t>
      </w:r>
      <w:proofErr w:type="spellStart"/>
      <w:r w:rsidRPr="009B4A73">
        <w:rPr>
          <w:sz w:val="22"/>
        </w:rPr>
        <w:t>hypoprothrombinemia</w:t>
      </w:r>
      <w:proofErr w:type="spellEnd"/>
      <w:r w:rsidRPr="009B4A73">
        <w:rPr>
          <w:sz w:val="22"/>
        </w:rPr>
        <w:t xml:space="preserve"> is not known.</w:t>
      </w:r>
    </w:p>
    <w:p w14:paraId="05AAC853" w14:textId="77777777" w:rsidR="00206B5E" w:rsidRPr="009B4A73" w:rsidRDefault="00206B5E" w:rsidP="00316679">
      <w:pPr>
        <w:spacing w:after="0" w:line="240" w:lineRule="auto"/>
        <w:ind w:left="426" w:right="8"/>
        <w:rPr>
          <w:sz w:val="22"/>
        </w:rPr>
      </w:pPr>
    </w:p>
    <w:p w14:paraId="2C28F07C" w14:textId="03D3D73F" w:rsidR="00D92EBC" w:rsidRPr="009B4A73" w:rsidRDefault="0078763F" w:rsidP="00316679">
      <w:pPr>
        <w:pStyle w:val="Heading2"/>
        <w:spacing w:after="0" w:line="240" w:lineRule="auto"/>
        <w:ind w:left="426"/>
        <w:rPr>
          <w:b w:val="0"/>
          <w:bCs/>
          <w:sz w:val="22"/>
          <w:u w:val="single"/>
        </w:rPr>
      </w:pPr>
      <w:r w:rsidRPr="009B4A73">
        <w:rPr>
          <w:b w:val="0"/>
          <w:bCs/>
          <w:sz w:val="22"/>
          <w:u w:val="single"/>
        </w:rPr>
        <w:t xml:space="preserve">Immunogenicity </w:t>
      </w:r>
    </w:p>
    <w:p w14:paraId="70F53D1D" w14:textId="77777777" w:rsidR="00206B5E" w:rsidRPr="009B4A73" w:rsidRDefault="00206B5E" w:rsidP="00316679">
      <w:pPr>
        <w:spacing w:after="0" w:line="240" w:lineRule="auto"/>
        <w:ind w:left="426"/>
        <w:rPr>
          <w:sz w:val="22"/>
        </w:rPr>
      </w:pPr>
    </w:p>
    <w:p w14:paraId="399E88DC" w14:textId="5BE852CE" w:rsidR="00D92EBC" w:rsidRPr="009B4A73" w:rsidRDefault="0078763F" w:rsidP="00316679">
      <w:pPr>
        <w:spacing w:after="0" w:line="240" w:lineRule="auto"/>
        <w:ind w:left="426" w:right="8"/>
        <w:rPr>
          <w:sz w:val="22"/>
        </w:rPr>
      </w:pPr>
      <w:r w:rsidRPr="009B4A73">
        <w:rPr>
          <w:sz w:val="22"/>
        </w:rPr>
        <w:t>In a neoadjuvant-adjuvant EBC trial (BO22227) at a median follow-up exceeding 70 months, 10.1% (30/296) of patients treated with</w:t>
      </w:r>
      <w:r w:rsidR="00CE0B5E" w:rsidRPr="009B4A73">
        <w:rPr>
          <w:sz w:val="22"/>
        </w:rPr>
        <w:t xml:space="preserve"> </w:t>
      </w:r>
      <w:r w:rsidR="002150C6" w:rsidRPr="009B4A73">
        <w:rPr>
          <w:sz w:val="22"/>
        </w:rPr>
        <w:t>trastuzumab</w:t>
      </w:r>
      <w:r w:rsidRPr="009B4A73">
        <w:rPr>
          <w:sz w:val="22"/>
        </w:rPr>
        <w:t xml:space="preserve"> IV and 15.9% (47/295) of patients receiving</w:t>
      </w:r>
      <w:r w:rsidR="00CE0B5E" w:rsidRPr="009B4A73">
        <w:rPr>
          <w:sz w:val="22"/>
        </w:rPr>
        <w:t xml:space="preserve"> </w:t>
      </w:r>
      <w:r w:rsidR="002150C6" w:rsidRPr="009B4A73">
        <w:rPr>
          <w:sz w:val="22"/>
        </w:rPr>
        <w:t>trastuzumab</w:t>
      </w:r>
      <w:r w:rsidRPr="009B4A73">
        <w:rPr>
          <w:sz w:val="22"/>
        </w:rPr>
        <w:t xml:space="preserve"> SC developed antibodies against trastuzumab. Neutralizing anti-trastuzumab antibodies were detected in post</w:t>
      </w:r>
      <w:r w:rsidR="00E70C82" w:rsidRPr="009B4A73">
        <w:rPr>
          <w:sz w:val="22"/>
        </w:rPr>
        <w:t>-</w:t>
      </w:r>
      <w:r w:rsidRPr="009B4A73">
        <w:rPr>
          <w:sz w:val="22"/>
        </w:rPr>
        <w:t>baseline samples in 2 of 30 patients in the</w:t>
      </w:r>
      <w:r w:rsidR="00CE0B5E" w:rsidRPr="009B4A73">
        <w:rPr>
          <w:sz w:val="22"/>
        </w:rPr>
        <w:t xml:space="preserve"> </w:t>
      </w:r>
      <w:r w:rsidR="002150C6" w:rsidRPr="009B4A73">
        <w:rPr>
          <w:sz w:val="22"/>
        </w:rPr>
        <w:t>trastuzumab</w:t>
      </w:r>
      <w:r w:rsidRPr="009B4A73">
        <w:rPr>
          <w:sz w:val="22"/>
        </w:rPr>
        <w:t xml:space="preserve"> IV arm and 3 of 47 patients in the</w:t>
      </w:r>
      <w:r w:rsidR="00CE0B5E" w:rsidRPr="009B4A73">
        <w:rPr>
          <w:sz w:val="22"/>
        </w:rPr>
        <w:t xml:space="preserve"> </w:t>
      </w:r>
      <w:r w:rsidR="002150C6" w:rsidRPr="009B4A73">
        <w:rPr>
          <w:sz w:val="22"/>
        </w:rPr>
        <w:t>trastuzumab</w:t>
      </w:r>
      <w:r w:rsidRPr="009B4A73">
        <w:rPr>
          <w:sz w:val="22"/>
        </w:rPr>
        <w:t xml:space="preserve"> SC arm.</w:t>
      </w:r>
    </w:p>
    <w:p w14:paraId="515017C0" w14:textId="77777777" w:rsidR="00384CB8" w:rsidRPr="009B4A73" w:rsidRDefault="00384CB8" w:rsidP="00316679">
      <w:pPr>
        <w:spacing w:after="0" w:line="240" w:lineRule="auto"/>
        <w:ind w:left="426" w:right="8"/>
        <w:rPr>
          <w:sz w:val="22"/>
        </w:rPr>
      </w:pPr>
    </w:p>
    <w:p w14:paraId="11F52229" w14:textId="19D0C80B" w:rsidR="00D92EBC" w:rsidRPr="009B4A73" w:rsidRDefault="0078763F" w:rsidP="00316679">
      <w:pPr>
        <w:spacing w:after="0" w:line="240" w:lineRule="auto"/>
        <w:ind w:left="426" w:right="8"/>
        <w:rPr>
          <w:sz w:val="22"/>
        </w:rPr>
      </w:pPr>
      <w:r w:rsidRPr="009B4A73">
        <w:rPr>
          <w:sz w:val="22"/>
        </w:rPr>
        <w:t>The clinical relevance of these antibodies is not known. The presence of anti-trastuzumab antibodies had no impact on pharmacokinetics, efficacy [determined by pathological complete response (</w:t>
      </w:r>
      <w:proofErr w:type="spellStart"/>
      <w:r w:rsidRPr="009B4A73">
        <w:rPr>
          <w:sz w:val="22"/>
        </w:rPr>
        <w:t>pCR</w:t>
      </w:r>
      <w:proofErr w:type="spellEnd"/>
      <w:r w:rsidRPr="009B4A73">
        <w:rPr>
          <w:sz w:val="22"/>
        </w:rPr>
        <w:t>)] and event free survival (EFS) and safety [determined by the occurrence of administration related reaction (ARRs)] of</w:t>
      </w:r>
      <w:r w:rsidR="00CE0B5E" w:rsidRPr="009B4A73">
        <w:rPr>
          <w:sz w:val="22"/>
        </w:rPr>
        <w:t xml:space="preserve"> </w:t>
      </w:r>
      <w:r w:rsidR="00E849F1" w:rsidRPr="009B4A73">
        <w:rPr>
          <w:sz w:val="22"/>
        </w:rPr>
        <w:t>trastuzumab</w:t>
      </w:r>
      <w:r w:rsidRPr="009B4A73">
        <w:rPr>
          <w:sz w:val="22"/>
        </w:rPr>
        <w:t xml:space="preserve"> IV and</w:t>
      </w:r>
      <w:r w:rsidR="00CE0B5E" w:rsidRPr="009B4A73">
        <w:rPr>
          <w:sz w:val="22"/>
        </w:rPr>
        <w:t xml:space="preserve"> </w:t>
      </w:r>
      <w:r w:rsidR="00E849F1" w:rsidRPr="009B4A73">
        <w:rPr>
          <w:sz w:val="22"/>
        </w:rPr>
        <w:t>trastuzumab</w:t>
      </w:r>
      <w:r w:rsidRPr="009B4A73">
        <w:rPr>
          <w:sz w:val="22"/>
        </w:rPr>
        <w:t xml:space="preserve"> SC.</w:t>
      </w:r>
    </w:p>
    <w:p w14:paraId="68B20FDD" w14:textId="77777777" w:rsidR="00863308" w:rsidRPr="009B4A73" w:rsidRDefault="00863308" w:rsidP="00316679">
      <w:pPr>
        <w:spacing w:after="0" w:line="240" w:lineRule="auto"/>
        <w:ind w:left="426" w:right="8"/>
        <w:rPr>
          <w:sz w:val="22"/>
        </w:rPr>
      </w:pPr>
    </w:p>
    <w:p w14:paraId="70F01494" w14:textId="4BCE4D36" w:rsidR="000D622A" w:rsidRPr="009B4A73" w:rsidRDefault="0078763F" w:rsidP="00316679">
      <w:pPr>
        <w:pStyle w:val="Heading2"/>
        <w:spacing w:after="0" w:line="240" w:lineRule="auto"/>
        <w:ind w:left="426"/>
        <w:rPr>
          <w:b w:val="0"/>
          <w:bCs/>
          <w:sz w:val="22"/>
          <w:u w:val="single"/>
        </w:rPr>
      </w:pPr>
      <w:r w:rsidRPr="009B4A73">
        <w:rPr>
          <w:b w:val="0"/>
          <w:bCs/>
          <w:sz w:val="22"/>
          <w:u w:val="single"/>
        </w:rPr>
        <w:lastRenderedPageBreak/>
        <w:t>Switching treatment from</w:t>
      </w:r>
      <w:r w:rsidR="00CE0B5E" w:rsidRPr="009B4A73">
        <w:rPr>
          <w:b w:val="0"/>
          <w:bCs/>
          <w:sz w:val="22"/>
          <w:u w:val="single"/>
        </w:rPr>
        <w:t xml:space="preserve"> </w:t>
      </w:r>
      <w:r w:rsidR="002150C6" w:rsidRPr="009B4A73">
        <w:rPr>
          <w:b w:val="0"/>
          <w:bCs/>
          <w:sz w:val="22"/>
          <w:u w:val="single"/>
        </w:rPr>
        <w:t>trastuzumab</w:t>
      </w:r>
      <w:r w:rsidRPr="009B4A73">
        <w:rPr>
          <w:b w:val="0"/>
          <w:bCs/>
          <w:sz w:val="22"/>
          <w:u w:val="single"/>
        </w:rPr>
        <w:t xml:space="preserve"> IV to</w:t>
      </w:r>
      <w:r w:rsidR="00CE0B5E" w:rsidRPr="009B4A73">
        <w:rPr>
          <w:b w:val="0"/>
          <w:bCs/>
          <w:sz w:val="22"/>
          <w:u w:val="single"/>
        </w:rPr>
        <w:t xml:space="preserve"> </w:t>
      </w:r>
      <w:r w:rsidR="002150C6" w:rsidRPr="009B4A73">
        <w:rPr>
          <w:b w:val="0"/>
          <w:bCs/>
          <w:sz w:val="22"/>
          <w:u w:val="single"/>
        </w:rPr>
        <w:t>trastuzumab</w:t>
      </w:r>
      <w:r w:rsidRPr="009B4A73">
        <w:rPr>
          <w:b w:val="0"/>
          <w:bCs/>
          <w:sz w:val="22"/>
          <w:u w:val="single"/>
        </w:rPr>
        <w:t xml:space="preserve"> SC and vice versa </w:t>
      </w:r>
    </w:p>
    <w:p w14:paraId="042C4841" w14:textId="2B0EC6DF" w:rsidR="00D92EBC" w:rsidRPr="009B4A73" w:rsidRDefault="0078763F" w:rsidP="00E70C82">
      <w:pPr>
        <w:pStyle w:val="Heading2"/>
        <w:spacing w:after="0" w:line="240" w:lineRule="auto"/>
        <w:ind w:left="426" w:hanging="11"/>
        <w:rPr>
          <w:sz w:val="22"/>
        </w:rPr>
      </w:pPr>
      <w:r w:rsidRPr="009B4A73">
        <w:rPr>
          <w:sz w:val="22"/>
        </w:rPr>
        <w:t xml:space="preserve"> </w:t>
      </w:r>
    </w:p>
    <w:p w14:paraId="31DC926C" w14:textId="525752C6" w:rsidR="00D92EBC" w:rsidRPr="009B4A73" w:rsidRDefault="0078763F" w:rsidP="00316679">
      <w:pPr>
        <w:spacing w:after="0" w:line="240" w:lineRule="auto"/>
        <w:ind w:left="426"/>
        <w:jc w:val="both"/>
        <w:rPr>
          <w:sz w:val="22"/>
        </w:rPr>
      </w:pPr>
      <w:r w:rsidRPr="009B4A73">
        <w:rPr>
          <w:sz w:val="22"/>
        </w:rPr>
        <w:t>Study MO22982 (</w:t>
      </w:r>
      <w:proofErr w:type="spellStart"/>
      <w:r w:rsidRPr="009B4A73">
        <w:rPr>
          <w:sz w:val="22"/>
        </w:rPr>
        <w:t>PrefHER</w:t>
      </w:r>
      <w:proofErr w:type="spellEnd"/>
      <w:r w:rsidRPr="009B4A73">
        <w:rPr>
          <w:sz w:val="22"/>
        </w:rPr>
        <w:t>) investigated switching from</w:t>
      </w:r>
      <w:r w:rsidR="00CE0B5E" w:rsidRPr="009B4A73">
        <w:rPr>
          <w:sz w:val="22"/>
        </w:rPr>
        <w:t xml:space="preserve"> </w:t>
      </w:r>
      <w:r w:rsidR="002150C6" w:rsidRPr="009B4A73">
        <w:rPr>
          <w:sz w:val="22"/>
        </w:rPr>
        <w:t>trastuzumab</w:t>
      </w:r>
      <w:r w:rsidRPr="009B4A73">
        <w:rPr>
          <w:sz w:val="22"/>
        </w:rPr>
        <w:t xml:space="preserve"> IV to</w:t>
      </w:r>
      <w:r w:rsidR="00CE0B5E" w:rsidRPr="009B4A73">
        <w:rPr>
          <w:sz w:val="22"/>
        </w:rPr>
        <w:t xml:space="preserve"> </w:t>
      </w:r>
      <w:r w:rsidR="002150C6" w:rsidRPr="009B4A73">
        <w:rPr>
          <w:sz w:val="22"/>
        </w:rPr>
        <w:t>trastuzumab</w:t>
      </w:r>
      <w:r w:rsidRPr="009B4A73">
        <w:rPr>
          <w:sz w:val="22"/>
        </w:rPr>
        <w:t xml:space="preserve"> SC, and vice versa, in patients with HER2 positive EBC, with a primary objective to evaluate patient preference for either</w:t>
      </w:r>
      <w:r w:rsidR="00CE0B5E" w:rsidRPr="009B4A73">
        <w:rPr>
          <w:sz w:val="22"/>
        </w:rPr>
        <w:t xml:space="preserve"> </w:t>
      </w:r>
      <w:r w:rsidR="002150C6" w:rsidRPr="009B4A73">
        <w:rPr>
          <w:sz w:val="22"/>
        </w:rPr>
        <w:t>trastuzumab</w:t>
      </w:r>
      <w:r w:rsidRPr="009B4A73">
        <w:rPr>
          <w:sz w:val="22"/>
        </w:rPr>
        <w:t xml:space="preserve"> IV infusion or</w:t>
      </w:r>
      <w:r w:rsidR="00CE0B5E" w:rsidRPr="009B4A73">
        <w:rPr>
          <w:sz w:val="22"/>
        </w:rPr>
        <w:t xml:space="preserve"> </w:t>
      </w:r>
      <w:r w:rsidR="002150C6" w:rsidRPr="009B4A73">
        <w:rPr>
          <w:sz w:val="22"/>
        </w:rPr>
        <w:t>trastuzumab</w:t>
      </w:r>
      <w:r w:rsidRPr="009B4A73">
        <w:rPr>
          <w:sz w:val="22"/>
        </w:rPr>
        <w:t xml:space="preserve"> SC injection. This trial investigated using a 2-arm, cross-over design with patients being randomized to one of two different q3w</w:t>
      </w:r>
      <w:r w:rsidR="00CE0B5E" w:rsidRPr="009B4A73">
        <w:rPr>
          <w:sz w:val="22"/>
        </w:rPr>
        <w:t xml:space="preserve"> </w:t>
      </w:r>
      <w:r w:rsidR="00C73600" w:rsidRPr="009B4A73">
        <w:rPr>
          <w:sz w:val="22"/>
        </w:rPr>
        <w:t>trastuzumab</w:t>
      </w:r>
      <w:r w:rsidRPr="009B4A73">
        <w:rPr>
          <w:sz w:val="22"/>
        </w:rPr>
        <w:t xml:space="preserve"> treatment sequences (</w:t>
      </w:r>
      <w:r w:rsidR="00C73600" w:rsidRPr="009B4A73">
        <w:rPr>
          <w:sz w:val="22"/>
        </w:rPr>
        <w:t xml:space="preserve"> trastuzumab</w:t>
      </w:r>
      <w:r w:rsidRPr="009B4A73">
        <w:rPr>
          <w:sz w:val="22"/>
        </w:rPr>
        <w:t xml:space="preserve"> IV (Cycles 1-4) → </w:t>
      </w:r>
      <w:r w:rsidR="00C73600" w:rsidRPr="009B4A73">
        <w:rPr>
          <w:sz w:val="22"/>
        </w:rPr>
        <w:t>trastuzumab</w:t>
      </w:r>
      <w:r w:rsidRPr="009B4A73">
        <w:rPr>
          <w:sz w:val="22"/>
        </w:rPr>
        <w:t xml:space="preserve"> SC (Cycles 5-8), or</w:t>
      </w:r>
      <w:r w:rsidR="00CE0B5E" w:rsidRPr="009B4A73">
        <w:rPr>
          <w:sz w:val="22"/>
        </w:rPr>
        <w:t xml:space="preserve"> </w:t>
      </w:r>
      <w:r w:rsidR="00C73600" w:rsidRPr="009B4A73">
        <w:rPr>
          <w:sz w:val="22"/>
        </w:rPr>
        <w:t>trastuzumab</w:t>
      </w:r>
      <w:r w:rsidRPr="009B4A73">
        <w:rPr>
          <w:sz w:val="22"/>
        </w:rPr>
        <w:t xml:space="preserve"> SC (Cycles 1-4) →</w:t>
      </w:r>
      <w:r w:rsidR="00CE0B5E" w:rsidRPr="009B4A73">
        <w:rPr>
          <w:sz w:val="22"/>
        </w:rPr>
        <w:t xml:space="preserve"> </w:t>
      </w:r>
      <w:r w:rsidR="00C73600" w:rsidRPr="009B4A73">
        <w:rPr>
          <w:sz w:val="22"/>
        </w:rPr>
        <w:t>trastuzumab</w:t>
      </w:r>
      <w:r w:rsidRPr="009B4A73">
        <w:rPr>
          <w:sz w:val="22"/>
        </w:rPr>
        <w:t xml:space="preserve"> IV (Cycles 5-8)). Patients participating in this trial could be enrolled at any time </w:t>
      </w:r>
      <w:proofErr w:type="gramStart"/>
      <w:r w:rsidRPr="009B4A73">
        <w:rPr>
          <w:sz w:val="22"/>
        </w:rPr>
        <w:t>as long as</w:t>
      </w:r>
      <w:proofErr w:type="gramEnd"/>
      <w:r w:rsidRPr="009B4A73">
        <w:rPr>
          <w:sz w:val="22"/>
        </w:rPr>
        <w:t xml:space="preserve"> there were at least 10 remaining cycles of</w:t>
      </w:r>
      <w:r w:rsidR="00CE0B5E" w:rsidRPr="009B4A73">
        <w:rPr>
          <w:sz w:val="22"/>
        </w:rPr>
        <w:t xml:space="preserve"> </w:t>
      </w:r>
      <w:r w:rsidR="00C73600" w:rsidRPr="009B4A73">
        <w:rPr>
          <w:sz w:val="22"/>
        </w:rPr>
        <w:t>trastuzumab</w:t>
      </w:r>
      <w:r w:rsidRPr="009B4A73">
        <w:rPr>
          <w:sz w:val="22"/>
        </w:rPr>
        <w:t xml:space="preserve"> in their planned treatment regimen, therefore patients were either naïve to </w:t>
      </w:r>
      <w:r w:rsidR="00C73600" w:rsidRPr="009B4A73">
        <w:rPr>
          <w:sz w:val="22"/>
        </w:rPr>
        <w:t>trastuzumab</w:t>
      </w:r>
      <w:r w:rsidRPr="009B4A73">
        <w:rPr>
          <w:sz w:val="22"/>
        </w:rPr>
        <w:t xml:space="preserve"> IV treatment (20.3%) or pre-exposed to </w:t>
      </w:r>
      <w:r w:rsidR="00C73600" w:rsidRPr="009B4A73">
        <w:rPr>
          <w:sz w:val="22"/>
        </w:rPr>
        <w:t>trastuzumab</w:t>
      </w:r>
      <w:r w:rsidRPr="009B4A73">
        <w:rPr>
          <w:sz w:val="22"/>
        </w:rPr>
        <w:t xml:space="preserve"> IV (79.7%) as part of ongoing adjuvant treatment for HER2 positive EBC. Overall, switches from</w:t>
      </w:r>
      <w:r w:rsidR="00CE0B5E" w:rsidRPr="009B4A73">
        <w:rPr>
          <w:sz w:val="22"/>
        </w:rPr>
        <w:t xml:space="preserve"> </w:t>
      </w:r>
      <w:r w:rsidR="00C73600" w:rsidRPr="009B4A73">
        <w:rPr>
          <w:sz w:val="22"/>
        </w:rPr>
        <w:t>trastuzumab</w:t>
      </w:r>
      <w:r w:rsidRPr="009B4A73">
        <w:rPr>
          <w:sz w:val="22"/>
        </w:rPr>
        <w:t xml:space="preserve"> IV to</w:t>
      </w:r>
      <w:r w:rsidR="00CE0B5E" w:rsidRPr="009B4A73">
        <w:rPr>
          <w:sz w:val="22"/>
        </w:rPr>
        <w:t xml:space="preserve"> </w:t>
      </w:r>
      <w:r w:rsidR="00C73600" w:rsidRPr="009B4A73">
        <w:rPr>
          <w:sz w:val="22"/>
        </w:rPr>
        <w:t>trastuzumab</w:t>
      </w:r>
      <w:r w:rsidRPr="009B4A73">
        <w:rPr>
          <w:sz w:val="22"/>
        </w:rPr>
        <w:t xml:space="preserve"> SC and vice versa were well tolerated. Pre-switch rates (Cycles 1-4) for SAEs, Grade 3 </w:t>
      </w:r>
      <w:proofErr w:type="gramStart"/>
      <w:r w:rsidRPr="009B4A73">
        <w:rPr>
          <w:sz w:val="22"/>
        </w:rPr>
        <w:t>AEs</w:t>
      </w:r>
      <w:proofErr w:type="gramEnd"/>
      <w:r w:rsidRPr="009B4A73">
        <w:rPr>
          <w:sz w:val="22"/>
        </w:rPr>
        <w:t xml:space="preserve"> and treatment discontinuations due to AEs were low (&lt;5%) and similar to post-switch rates (Cycles 5-8). No Grade 4 or Grade 5 AEs were reported. The effect of multiple switches back and forth was not investigated (see also section 5 Pharmacological </w:t>
      </w:r>
      <w:r w:rsidR="00F94AD5" w:rsidRPr="009B4A73">
        <w:rPr>
          <w:sz w:val="22"/>
        </w:rPr>
        <w:t>p</w:t>
      </w:r>
      <w:r w:rsidRPr="009B4A73">
        <w:rPr>
          <w:sz w:val="22"/>
        </w:rPr>
        <w:t xml:space="preserve">roperties, Clinical </w:t>
      </w:r>
      <w:r w:rsidR="00F94AD5" w:rsidRPr="009B4A73">
        <w:rPr>
          <w:sz w:val="22"/>
        </w:rPr>
        <w:t>t</w:t>
      </w:r>
      <w:r w:rsidRPr="009B4A73">
        <w:rPr>
          <w:sz w:val="22"/>
        </w:rPr>
        <w:t>rials).</w:t>
      </w:r>
    </w:p>
    <w:p w14:paraId="305A1757" w14:textId="77777777" w:rsidR="00E5632E" w:rsidRPr="009B4A73" w:rsidRDefault="00E5632E" w:rsidP="00E70C82">
      <w:pPr>
        <w:spacing w:after="0" w:line="240" w:lineRule="auto"/>
        <w:ind w:left="426"/>
        <w:jc w:val="both"/>
        <w:rPr>
          <w:sz w:val="22"/>
        </w:rPr>
      </w:pPr>
    </w:p>
    <w:p w14:paraId="75EA0489" w14:textId="0B3E2F3D" w:rsidR="00D92EBC" w:rsidRPr="009B4A73" w:rsidRDefault="0078763F" w:rsidP="00E70C82">
      <w:pPr>
        <w:pStyle w:val="Heading2"/>
        <w:spacing w:after="0" w:line="240" w:lineRule="auto"/>
        <w:ind w:left="426"/>
        <w:rPr>
          <w:b w:val="0"/>
          <w:bCs/>
          <w:sz w:val="22"/>
          <w:u w:val="single"/>
        </w:rPr>
      </w:pPr>
      <w:r w:rsidRPr="009B4A73">
        <w:rPr>
          <w:b w:val="0"/>
          <w:bCs/>
          <w:sz w:val="22"/>
          <w:u w:val="single"/>
        </w:rPr>
        <w:t xml:space="preserve">Reporting of suspected adverse reactions </w:t>
      </w:r>
    </w:p>
    <w:p w14:paraId="6BA6E756" w14:textId="77777777" w:rsidR="00E5632E" w:rsidRPr="009B4A73" w:rsidRDefault="00E5632E" w:rsidP="00E70C82">
      <w:pPr>
        <w:spacing w:after="0" w:line="240" w:lineRule="auto"/>
        <w:ind w:left="426"/>
        <w:rPr>
          <w:sz w:val="22"/>
        </w:rPr>
      </w:pPr>
    </w:p>
    <w:p w14:paraId="2DBCEAAA" w14:textId="7D05C693" w:rsidR="00D92EBC" w:rsidRPr="009B4A73" w:rsidRDefault="0078763F" w:rsidP="00E70C82">
      <w:pPr>
        <w:spacing w:after="0" w:line="240" w:lineRule="auto"/>
        <w:ind w:left="426" w:right="8"/>
        <w:rPr>
          <w:sz w:val="22"/>
        </w:rPr>
      </w:pPr>
      <w:r w:rsidRPr="009B4A73">
        <w:rPr>
          <w:sz w:val="22"/>
        </w:rPr>
        <w:t>Reporting suspected adverse reactions after registration of the medicinal product is important. It allows continued monitoring of the benefit-risk balance of the medicinal product. Healthcare professionals are asked to report any suspected adverse reactions at</w:t>
      </w:r>
      <w:hyperlink r:id="rId8">
        <w:r w:rsidRPr="009B4A73">
          <w:rPr>
            <w:sz w:val="22"/>
          </w:rPr>
          <w:t xml:space="preserve"> </w:t>
        </w:r>
      </w:hyperlink>
      <w:hyperlink r:id="rId9">
        <w:r w:rsidRPr="009B4A73">
          <w:rPr>
            <w:sz w:val="22"/>
            <w:u w:val="single" w:color="000000"/>
          </w:rPr>
          <w:t>www.tga.gov.au/reporting</w:t>
        </w:r>
      </w:hyperlink>
      <w:hyperlink r:id="rId10">
        <w:r w:rsidRPr="009B4A73">
          <w:rPr>
            <w:sz w:val="22"/>
            <w:u w:val="single" w:color="000000"/>
          </w:rPr>
          <w:t>-</w:t>
        </w:r>
      </w:hyperlink>
      <w:hyperlink r:id="rId11">
        <w:r w:rsidRPr="009B4A73">
          <w:rPr>
            <w:sz w:val="22"/>
            <w:u w:val="single" w:color="000000"/>
          </w:rPr>
          <w:t>problems</w:t>
        </w:r>
      </w:hyperlink>
      <w:hyperlink r:id="rId12">
        <w:r w:rsidRPr="009B4A73">
          <w:rPr>
            <w:sz w:val="22"/>
          </w:rPr>
          <w:t>.</w:t>
        </w:r>
      </w:hyperlink>
      <w:r w:rsidRPr="009B4A73">
        <w:rPr>
          <w:sz w:val="22"/>
        </w:rPr>
        <w:t xml:space="preserve"> </w:t>
      </w:r>
    </w:p>
    <w:p w14:paraId="619FEAD0" w14:textId="77777777" w:rsidR="00E5632E" w:rsidRPr="009B4A73" w:rsidRDefault="00E5632E" w:rsidP="00E70C82">
      <w:pPr>
        <w:spacing w:after="0" w:line="240" w:lineRule="auto"/>
        <w:ind w:left="426" w:right="8"/>
        <w:rPr>
          <w:sz w:val="22"/>
        </w:rPr>
      </w:pPr>
    </w:p>
    <w:p w14:paraId="43834F01" w14:textId="51E9AD1A" w:rsidR="00D92EBC" w:rsidRPr="009B4A73" w:rsidRDefault="0078763F" w:rsidP="00E70C82">
      <w:pPr>
        <w:pStyle w:val="Heading1"/>
        <w:tabs>
          <w:tab w:val="left" w:pos="426"/>
        </w:tabs>
        <w:spacing w:after="0" w:line="240" w:lineRule="auto"/>
        <w:ind w:left="426" w:hanging="426"/>
        <w:rPr>
          <w:sz w:val="22"/>
        </w:rPr>
      </w:pPr>
      <w:r w:rsidRPr="009B4A73">
        <w:rPr>
          <w:sz w:val="22"/>
        </w:rPr>
        <w:t xml:space="preserve">4.9 </w:t>
      </w:r>
      <w:r w:rsidR="00C01A82" w:rsidRPr="009B4A73">
        <w:rPr>
          <w:sz w:val="22"/>
        </w:rPr>
        <w:t>Overdose</w:t>
      </w:r>
    </w:p>
    <w:p w14:paraId="52CC2230" w14:textId="77777777" w:rsidR="00E5632E" w:rsidRPr="009B4A73" w:rsidRDefault="00E5632E" w:rsidP="00E70C82">
      <w:pPr>
        <w:spacing w:after="0" w:line="240" w:lineRule="auto"/>
        <w:ind w:left="426"/>
        <w:rPr>
          <w:sz w:val="22"/>
        </w:rPr>
      </w:pPr>
    </w:p>
    <w:p w14:paraId="01705A50" w14:textId="0CA29CDC" w:rsidR="00E5632E" w:rsidRPr="009B4A73" w:rsidRDefault="0078763F" w:rsidP="00316679">
      <w:pPr>
        <w:spacing w:after="0" w:line="240" w:lineRule="auto"/>
        <w:ind w:left="426" w:right="8"/>
        <w:rPr>
          <w:sz w:val="22"/>
        </w:rPr>
      </w:pPr>
      <w:r w:rsidRPr="009B4A73">
        <w:rPr>
          <w:sz w:val="22"/>
        </w:rPr>
        <w:t>There is no experience with overdosage in human clinical trials.</w:t>
      </w:r>
      <w:r w:rsidR="008805AA" w:rsidRPr="009B4A73">
        <w:rPr>
          <w:sz w:val="22"/>
        </w:rPr>
        <w:t xml:space="preserve"> </w:t>
      </w:r>
      <w:r w:rsidRPr="009B4A73">
        <w:rPr>
          <w:sz w:val="22"/>
        </w:rPr>
        <w:t xml:space="preserve">Single doses higher than 10 mg/kg have not been tested. </w:t>
      </w:r>
    </w:p>
    <w:p w14:paraId="0AD3F5B3" w14:textId="77777777" w:rsidR="00F73EC2" w:rsidRPr="009B4A73" w:rsidRDefault="00F73EC2" w:rsidP="00316679">
      <w:pPr>
        <w:spacing w:after="0" w:line="240" w:lineRule="auto"/>
        <w:ind w:left="426" w:right="8"/>
        <w:rPr>
          <w:sz w:val="22"/>
        </w:rPr>
      </w:pPr>
    </w:p>
    <w:p w14:paraId="5641210C" w14:textId="5880EAB0" w:rsidR="00E5632E" w:rsidRPr="009B4A73" w:rsidRDefault="0078763F" w:rsidP="00316679">
      <w:pPr>
        <w:spacing w:after="0" w:line="240" w:lineRule="auto"/>
        <w:ind w:left="426" w:right="8"/>
        <w:rPr>
          <w:sz w:val="22"/>
        </w:rPr>
      </w:pPr>
      <w:r w:rsidRPr="009B4A73">
        <w:rPr>
          <w:sz w:val="22"/>
        </w:rPr>
        <w:t>Treatment of overdose should consist of general supportive measures.</w:t>
      </w:r>
    </w:p>
    <w:p w14:paraId="1CCBFBA0" w14:textId="77777777" w:rsidR="00F73EC2" w:rsidRPr="009B4A73" w:rsidRDefault="00F73EC2" w:rsidP="00316679">
      <w:pPr>
        <w:spacing w:after="0" w:line="240" w:lineRule="auto"/>
        <w:ind w:left="426" w:right="8"/>
        <w:rPr>
          <w:sz w:val="22"/>
        </w:rPr>
      </w:pPr>
    </w:p>
    <w:p w14:paraId="73D7D985" w14:textId="764B52CD" w:rsidR="003B5999" w:rsidRPr="009B4A73" w:rsidRDefault="0078763F" w:rsidP="0081124E">
      <w:pPr>
        <w:spacing w:after="0" w:line="240" w:lineRule="auto"/>
        <w:ind w:left="426" w:right="8"/>
        <w:rPr>
          <w:sz w:val="22"/>
        </w:rPr>
      </w:pPr>
      <w:r w:rsidRPr="009B4A73">
        <w:rPr>
          <w:sz w:val="22"/>
        </w:rPr>
        <w:t xml:space="preserve">For information on the management of overdose, contact the Poisons Information Centre </w:t>
      </w:r>
      <w:r w:rsidR="00C01A82" w:rsidRPr="009B4A73">
        <w:rPr>
          <w:sz w:val="22"/>
        </w:rPr>
        <w:t xml:space="preserve">on </w:t>
      </w:r>
      <w:r w:rsidRPr="009B4A73">
        <w:rPr>
          <w:sz w:val="22"/>
        </w:rPr>
        <w:t>13 11 26</w:t>
      </w:r>
      <w:r w:rsidR="00F73EC2" w:rsidRPr="009B4A73">
        <w:rPr>
          <w:sz w:val="22"/>
        </w:rPr>
        <w:t xml:space="preserve"> (Australia)</w:t>
      </w:r>
    </w:p>
    <w:p w14:paraId="47331DDB" w14:textId="4E79659D" w:rsidR="00E5632E" w:rsidRPr="009B4A73" w:rsidRDefault="00E5632E" w:rsidP="00316679">
      <w:pPr>
        <w:spacing w:after="0" w:line="240" w:lineRule="auto"/>
        <w:ind w:left="426" w:right="8"/>
        <w:rPr>
          <w:sz w:val="22"/>
        </w:rPr>
      </w:pPr>
    </w:p>
    <w:p w14:paraId="223C225C" w14:textId="77777777" w:rsidR="00F73EC2" w:rsidRPr="009B4A73" w:rsidRDefault="00F73EC2" w:rsidP="00316679">
      <w:pPr>
        <w:spacing w:after="0" w:line="240" w:lineRule="auto"/>
        <w:ind w:left="426" w:right="8"/>
        <w:rPr>
          <w:sz w:val="22"/>
        </w:rPr>
      </w:pPr>
    </w:p>
    <w:p w14:paraId="2653B723" w14:textId="6BC769F9" w:rsidR="00D92EBC" w:rsidRPr="009B4A73" w:rsidRDefault="0078763F" w:rsidP="00391329">
      <w:pPr>
        <w:pStyle w:val="Heading1"/>
        <w:tabs>
          <w:tab w:val="left" w:pos="426"/>
        </w:tabs>
        <w:spacing w:after="0" w:line="240" w:lineRule="auto"/>
        <w:ind w:left="426" w:hanging="426"/>
        <w:rPr>
          <w:sz w:val="22"/>
        </w:rPr>
      </w:pPr>
      <w:r w:rsidRPr="009B4A73">
        <w:rPr>
          <w:sz w:val="22"/>
        </w:rPr>
        <w:t>5.</w:t>
      </w:r>
      <w:r w:rsidR="00F73EC2" w:rsidRPr="009B4A73">
        <w:rPr>
          <w:sz w:val="22"/>
        </w:rPr>
        <w:tab/>
      </w:r>
      <w:r w:rsidRPr="009B4A73">
        <w:rPr>
          <w:sz w:val="22"/>
        </w:rPr>
        <w:t>PHARMACOLOGICAL PROPERTIES</w:t>
      </w:r>
    </w:p>
    <w:p w14:paraId="6DFED306" w14:textId="77777777" w:rsidR="00E5632E" w:rsidRPr="009B4A73" w:rsidRDefault="00E5632E" w:rsidP="00316679">
      <w:pPr>
        <w:spacing w:after="0" w:line="240" w:lineRule="auto"/>
        <w:ind w:left="426"/>
        <w:rPr>
          <w:sz w:val="22"/>
        </w:rPr>
      </w:pPr>
    </w:p>
    <w:p w14:paraId="74A58FE1" w14:textId="537694D3" w:rsidR="00D92EBC" w:rsidRPr="009B4A73" w:rsidRDefault="0078763F" w:rsidP="00391329">
      <w:pPr>
        <w:pStyle w:val="Heading1"/>
        <w:tabs>
          <w:tab w:val="left" w:pos="426"/>
        </w:tabs>
        <w:spacing w:after="0" w:line="240" w:lineRule="auto"/>
        <w:ind w:left="426" w:hanging="426"/>
        <w:rPr>
          <w:bCs/>
          <w:sz w:val="22"/>
        </w:rPr>
      </w:pPr>
      <w:r w:rsidRPr="009B4A73">
        <w:rPr>
          <w:bCs/>
          <w:sz w:val="22"/>
        </w:rPr>
        <w:t>5.1</w:t>
      </w:r>
      <w:r w:rsidR="00F73EC2" w:rsidRPr="009B4A73">
        <w:rPr>
          <w:bCs/>
          <w:sz w:val="22"/>
        </w:rPr>
        <w:tab/>
        <w:t xml:space="preserve">Pharmacodynamic </w:t>
      </w:r>
      <w:r w:rsidR="006165EA" w:rsidRPr="009B4A73">
        <w:rPr>
          <w:bCs/>
          <w:sz w:val="22"/>
        </w:rPr>
        <w:t>p</w:t>
      </w:r>
      <w:r w:rsidR="00F73EC2" w:rsidRPr="009B4A73">
        <w:rPr>
          <w:bCs/>
          <w:sz w:val="22"/>
        </w:rPr>
        <w:t>roperties</w:t>
      </w:r>
    </w:p>
    <w:p w14:paraId="01C8B9BD" w14:textId="77777777" w:rsidR="00E5632E" w:rsidRPr="009B4A73" w:rsidRDefault="00E5632E" w:rsidP="00316679">
      <w:pPr>
        <w:tabs>
          <w:tab w:val="center" w:pos="2897"/>
        </w:tabs>
        <w:spacing w:after="0" w:line="240" w:lineRule="auto"/>
        <w:ind w:left="426" w:firstLine="0"/>
        <w:rPr>
          <w:sz w:val="22"/>
        </w:rPr>
      </w:pPr>
    </w:p>
    <w:p w14:paraId="0E8DA699" w14:textId="7724FA8C" w:rsidR="00D92EBC" w:rsidRPr="009B4A73" w:rsidRDefault="0078763F" w:rsidP="00316679">
      <w:pPr>
        <w:spacing w:after="0" w:line="240" w:lineRule="auto"/>
        <w:ind w:left="426" w:right="8"/>
        <w:rPr>
          <w:i/>
          <w:sz w:val="22"/>
        </w:rPr>
      </w:pPr>
      <w:r w:rsidRPr="009B4A73">
        <w:rPr>
          <w:sz w:val="22"/>
        </w:rPr>
        <w:t>Pharmacotherapeutic group: Antineoplastic agents, monoclonal antibodies, ATC code: L01XC03</w:t>
      </w:r>
    </w:p>
    <w:p w14:paraId="2D0E8AC5" w14:textId="77777777" w:rsidR="00E5632E" w:rsidRPr="009B4A73" w:rsidRDefault="00E5632E" w:rsidP="00316679">
      <w:pPr>
        <w:spacing w:after="0" w:line="240" w:lineRule="auto"/>
        <w:ind w:left="426" w:right="8"/>
        <w:rPr>
          <w:sz w:val="22"/>
        </w:rPr>
      </w:pPr>
    </w:p>
    <w:p w14:paraId="6B3CF8CC" w14:textId="16D6B885" w:rsidR="00D92EBC" w:rsidRPr="009B4A73" w:rsidRDefault="0078763F" w:rsidP="00316679">
      <w:pPr>
        <w:pStyle w:val="Heading2"/>
        <w:spacing w:after="0" w:line="240" w:lineRule="auto"/>
        <w:ind w:left="426"/>
        <w:rPr>
          <w:b w:val="0"/>
          <w:bCs/>
          <w:sz w:val="22"/>
          <w:u w:val="single"/>
        </w:rPr>
      </w:pPr>
      <w:r w:rsidRPr="009B4A73">
        <w:rPr>
          <w:b w:val="0"/>
          <w:bCs/>
          <w:sz w:val="22"/>
          <w:u w:val="single"/>
        </w:rPr>
        <w:t xml:space="preserve">Mechanism of </w:t>
      </w:r>
      <w:r w:rsidR="006165EA" w:rsidRPr="009B4A73">
        <w:rPr>
          <w:b w:val="0"/>
          <w:bCs/>
          <w:sz w:val="22"/>
          <w:u w:val="single"/>
        </w:rPr>
        <w:t>a</w:t>
      </w:r>
      <w:r w:rsidRPr="009B4A73">
        <w:rPr>
          <w:b w:val="0"/>
          <w:bCs/>
          <w:sz w:val="22"/>
          <w:u w:val="single"/>
        </w:rPr>
        <w:t>ction</w:t>
      </w:r>
    </w:p>
    <w:p w14:paraId="562345C3" w14:textId="77777777" w:rsidR="00E5632E" w:rsidRPr="009B4A73" w:rsidRDefault="00E5632E" w:rsidP="00316679">
      <w:pPr>
        <w:spacing w:after="0" w:line="240" w:lineRule="auto"/>
        <w:ind w:left="426"/>
        <w:rPr>
          <w:sz w:val="22"/>
        </w:rPr>
      </w:pPr>
    </w:p>
    <w:p w14:paraId="1D219350" w14:textId="084007C6" w:rsidR="00D92EBC" w:rsidRPr="009B4A73" w:rsidRDefault="0078763F" w:rsidP="00316679">
      <w:pPr>
        <w:spacing w:after="0" w:line="240" w:lineRule="auto"/>
        <w:ind w:left="426" w:right="6" w:hanging="11"/>
        <w:rPr>
          <w:sz w:val="22"/>
        </w:rPr>
      </w:pPr>
      <w:r w:rsidRPr="009B4A73">
        <w:rPr>
          <w:sz w:val="22"/>
        </w:rPr>
        <w:t xml:space="preserve">The HER2 (or c erbB2) </w:t>
      </w:r>
      <w:proofErr w:type="gramStart"/>
      <w:r w:rsidRPr="009B4A73">
        <w:rPr>
          <w:sz w:val="22"/>
        </w:rPr>
        <w:t>proto oncogene</w:t>
      </w:r>
      <w:proofErr w:type="gramEnd"/>
      <w:r w:rsidRPr="009B4A73">
        <w:rPr>
          <w:sz w:val="22"/>
        </w:rPr>
        <w:t xml:space="preserve"> encodes for a single transmembrane spanning, receptor like protein of 185 </w:t>
      </w:r>
      <w:proofErr w:type="spellStart"/>
      <w:r w:rsidRPr="009B4A73">
        <w:rPr>
          <w:sz w:val="22"/>
        </w:rPr>
        <w:t>kDa</w:t>
      </w:r>
      <w:proofErr w:type="spellEnd"/>
      <w:r w:rsidRPr="009B4A73">
        <w:rPr>
          <w:sz w:val="22"/>
        </w:rPr>
        <w:t>, which is structurally related to the epidermal growth factor receptor.</w:t>
      </w:r>
    </w:p>
    <w:p w14:paraId="1B76FD71" w14:textId="77777777" w:rsidR="00D23280" w:rsidRPr="009B4A73" w:rsidRDefault="00D23280" w:rsidP="00316679">
      <w:pPr>
        <w:spacing w:after="0" w:line="240" w:lineRule="auto"/>
        <w:ind w:left="426" w:right="6" w:hanging="11"/>
        <w:rPr>
          <w:sz w:val="22"/>
        </w:rPr>
      </w:pPr>
    </w:p>
    <w:p w14:paraId="7F038DAE" w14:textId="6B4BF0C4" w:rsidR="00E5632E" w:rsidRPr="009B4A73" w:rsidRDefault="0078763F" w:rsidP="00316679">
      <w:pPr>
        <w:spacing w:after="0" w:line="240" w:lineRule="auto"/>
        <w:ind w:left="426" w:right="8"/>
        <w:rPr>
          <w:sz w:val="22"/>
        </w:rPr>
      </w:pPr>
      <w:r w:rsidRPr="009B4A73">
        <w:rPr>
          <w:sz w:val="22"/>
        </w:rPr>
        <w:t xml:space="preserve">Trastuzumab has been shown, both in </w:t>
      </w:r>
      <w:r w:rsidRPr="009B4A73">
        <w:rPr>
          <w:i/>
          <w:iCs/>
          <w:sz w:val="22"/>
        </w:rPr>
        <w:t>in-vitro</w:t>
      </w:r>
      <w:r w:rsidRPr="009B4A73">
        <w:rPr>
          <w:sz w:val="22"/>
        </w:rPr>
        <w:t xml:space="preserve"> assays and in animals, to inhibit the proliferation of human tumour cells that overexpress HER2. </w:t>
      </w:r>
      <w:r w:rsidRPr="009B4A73">
        <w:rPr>
          <w:i/>
          <w:iCs/>
          <w:sz w:val="22"/>
        </w:rPr>
        <w:t>In vitro</w:t>
      </w:r>
      <w:r w:rsidRPr="009B4A73">
        <w:rPr>
          <w:sz w:val="22"/>
        </w:rPr>
        <w:t>, trastuzumab-mediated antibody dependent cell mediated cytotoxicity (ADCC) has been shown to be preferentially exerted on HER2 overexpressing cancer cells compared with cancer cells that do not overexpress HER2.</w:t>
      </w:r>
      <w:r w:rsidR="008805AA" w:rsidRPr="009B4A73">
        <w:rPr>
          <w:sz w:val="22"/>
        </w:rPr>
        <w:t xml:space="preserve"> </w:t>
      </w:r>
      <w:r w:rsidRPr="009B4A73">
        <w:rPr>
          <w:sz w:val="22"/>
        </w:rPr>
        <w:t xml:space="preserve">In animal models </w:t>
      </w:r>
      <w:r w:rsidRPr="009B4A73">
        <w:rPr>
          <w:i/>
          <w:iCs/>
          <w:sz w:val="22"/>
        </w:rPr>
        <w:t>in vivo</w:t>
      </w:r>
      <w:r w:rsidRPr="009B4A73">
        <w:rPr>
          <w:sz w:val="22"/>
        </w:rPr>
        <w:t xml:space="preserve">, murine anti-HER2 antibody inhibited the growth of human tumours overexpressing HER2, indicating that the humanized antibody (trastuzumab) is likely also to have anti-proliferative activity in vivo against human breast tumours expressing high levels of HER2. </w:t>
      </w:r>
    </w:p>
    <w:p w14:paraId="32648A81" w14:textId="77777777" w:rsidR="005E652F" w:rsidRPr="009B4A73" w:rsidRDefault="005E652F" w:rsidP="00316679">
      <w:pPr>
        <w:spacing w:after="0" w:line="240" w:lineRule="auto"/>
        <w:ind w:left="426" w:right="8"/>
        <w:rPr>
          <w:sz w:val="22"/>
        </w:rPr>
      </w:pPr>
    </w:p>
    <w:p w14:paraId="2A3026D3" w14:textId="144E4718" w:rsidR="00E5632E" w:rsidRPr="009B4A73" w:rsidRDefault="0078763F" w:rsidP="00316679">
      <w:pPr>
        <w:pStyle w:val="Heading3"/>
        <w:spacing w:after="0" w:line="240" w:lineRule="auto"/>
        <w:ind w:left="426" w:right="8498"/>
        <w:rPr>
          <w:bCs/>
          <w:sz w:val="22"/>
        </w:rPr>
      </w:pPr>
      <w:r w:rsidRPr="009B4A73">
        <w:rPr>
          <w:bCs/>
          <w:sz w:val="22"/>
        </w:rPr>
        <w:t xml:space="preserve">Clinical trials </w:t>
      </w:r>
    </w:p>
    <w:p w14:paraId="1A0A206A" w14:textId="77777777" w:rsidR="00E5632E" w:rsidRPr="009B4A73" w:rsidRDefault="00E5632E" w:rsidP="00316679">
      <w:pPr>
        <w:spacing w:after="0" w:line="240" w:lineRule="auto"/>
        <w:ind w:left="426"/>
        <w:rPr>
          <w:sz w:val="22"/>
        </w:rPr>
      </w:pPr>
    </w:p>
    <w:p w14:paraId="733F5940" w14:textId="214E00E0" w:rsidR="00D92EBC" w:rsidRPr="009B4A73" w:rsidRDefault="0078763F" w:rsidP="00316679">
      <w:pPr>
        <w:pStyle w:val="Heading3"/>
        <w:spacing w:after="0" w:line="240" w:lineRule="auto"/>
        <w:ind w:left="426" w:right="7636"/>
        <w:rPr>
          <w:i/>
          <w:iCs/>
          <w:sz w:val="22"/>
          <w:u w:val="none"/>
        </w:rPr>
      </w:pPr>
      <w:r w:rsidRPr="009B4A73">
        <w:rPr>
          <w:i/>
          <w:iCs/>
          <w:sz w:val="22"/>
        </w:rPr>
        <w:t xml:space="preserve">Early </w:t>
      </w:r>
      <w:r w:rsidR="00947287" w:rsidRPr="009B4A73">
        <w:rPr>
          <w:i/>
          <w:iCs/>
          <w:sz w:val="22"/>
        </w:rPr>
        <w:t>b</w:t>
      </w:r>
      <w:r w:rsidRPr="009B4A73">
        <w:rPr>
          <w:i/>
          <w:iCs/>
          <w:sz w:val="22"/>
        </w:rPr>
        <w:t xml:space="preserve">reast </w:t>
      </w:r>
      <w:r w:rsidR="00947287" w:rsidRPr="009B4A73">
        <w:rPr>
          <w:i/>
          <w:iCs/>
          <w:sz w:val="22"/>
        </w:rPr>
        <w:t>c</w:t>
      </w:r>
      <w:r w:rsidRPr="009B4A73">
        <w:rPr>
          <w:i/>
          <w:iCs/>
          <w:sz w:val="22"/>
        </w:rPr>
        <w:t>ancer</w:t>
      </w:r>
      <w:r w:rsidRPr="009B4A73">
        <w:rPr>
          <w:i/>
          <w:iCs/>
          <w:sz w:val="22"/>
          <w:u w:val="none"/>
        </w:rPr>
        <w:t xml:space="preserve"> </w:t>
      </w:r>
    </w:p>
    <w:p w14:paraId="506DD6FB" w14:textId="77777777" w:rsidR="00E5632E" w:rsidRPr="009B4A73" w:rsidRDefault="00E5632E" w:rsidP="00316679">
      <w:pPr>
        <w:spacing w:after="0" w:line="240" w:lineRule="auto"/>
        <w:ind w:left="426"/>
        <w:rPr>
          <w:sz w:val="22"/>
        </w:rPr>
      </w:pPr>
    </w:p>
    <w:p w14:paraId="604FE0E9" w14:textId="20DD2BA9" w:rsidR="00D92EBC" w:rsidRPr="009B4A73" w:rsidRDefault="0078763F" w:rsidP="00316679">
      <w:pPr>
        <w:spacing w:after="0" w:line="240" w:lineRule="auto"/>
        <w:ind w:left="426" w:right="8"/>
        <w:rPr>
          <w:sz w:val="22"/>
        </w:rPr>
      </w:pPr>
      <w:r w:rsidRPr="009B4A73">
        <w:rPr>
          <w:sz w:val="22"/>
        </w:rPr>
        <w:t xml:space="preserve">Early breast cancer is defined as non-metastatic, primary, invasive carcinoma of the breast. </w:t>
      </w:r>
    </w:p>
    <w:p w14:paraId="5FE0A904" w14:textId="77777777" w:rsidR="00E5632E" w:rsidRPr="009B4A73" w:rsidRDefault="00E5632E" w:rsidP="00316679">
      <w:pPr>
        <w:spacing w:after="0" w:line="240" w:lineRule="auto"/>
        <w:ind w:left="426" w:right="8"/>
        <w:rPr>
          <w:sz w:val="22"/>
        </w:rPr>
      </w:pPr>
    </w:p>
    <w:p w14:paraId="737443CD" w14:textId="5A161885" w:rsidR="00D92EBC" w:rsidRPr="009B4A73" w:rsidRDefault="00BB518A" w:rsidP="00316679">
      <w:pPr>
        <w:pStyle w:val="Heading4"/>
        <w:spacing w:line="240" w:lineRule="auto"/>
        <w:ind w:left="426"/>
        <w:rPr>
          <w:b/>
          <w:sz w:val="22"/>
        </w:rPr>
      </w:pPr>
      <w:r w:rsidRPr="009B4A73">
        <w:rPr>
          <w:sz w:val="22"/>
        </w:rPr>
        <w:t>Trastuzumab</w:t>
      </w:r>
      <w:r w:rsidR="0078763F" w:rsidRPr="009B4A73">
        <w:rPr>
          <w:sz w:val="22"/>
        </w:rPr>
        <w:t xml:space="preserve"> in </w:t>
      </w:r>
      <w:r w:rsidR="00947287" w:rsidRPr="009B4A73">
        <w:rPr>
          <w:sz w:val="22"/>
        </w:rPr>
        <w:t>c</w:t>
      </w:r>
      <w:r w:rsidR="0078763F" w:rsidRPr="009B4A73">
        <w:rPr>
          <w:sz w:val="22"/>
        </w:rPr>
        <w:t xml:space="preserve">ombination with </w:t>
      </w:r>
      <w:r w:rsidR="00947287" w:rsidRPr="009B4A73">
        <w:rPr>
          <w:sz w:val="22"/>
        </w:rPr>
        <w:t>a</w:t>
      </w:r>
      <w:r w:rsidR="0078763F" w:rsidRPr="009B4A73">
        <w:rPr>
          <w:sz w:val="22"/>
        </w:rPr>
        <w:t xml:space="preserve">djuvant </w:t>
      </w:r>
      <w:r w:rsidR="00947287" w:rsidRPr="009B4A73">
        <w:rPr>
          <w:sz w:val="22"/>
        </w:rPr>
        <w:t>c</w:t>
      </w:r>
      <w:r w:rsidR="0078763F" w:rsidRPr="009B4A73">
        <w:rPr>
          <w:sz w:val="22"/>
        </w:rPr>
        <w:t>hemotherapy</w:t>
      </w:r>
    </w:p>
    <w:p w14:paraId="2E66A4C3" w14:textId="77777777" w:rsidR="000B1BE8" w:rsidRPr="009B4A73" w:rsidRDefault="000B1BE8" w:rsidP="00316679">
      <w:pPr>
        <w:spacing w:after="0" w:line="240" w:lineRule="auto"/>
        <w:ind w:left="426"/>
        <w:rPr>
          <w:sz w:val="22"/>
        </w:rPr>
      </w:pPr>
    </w:p>
    <w:p w14:paraId="4E5A04A9" w14:textId="174ED034" w:rsidR="00D92EBC" w:rsidRPr="009B4A73" w:rsidRDefault="0078763F" w:rsidP="00316679">
      <w:pPr>
        <w:spacing w:after="0" w:line="240" w:lineRule="auto"/>
        <w:ind w:left="426" w:right="8"/>
        <w:rPr>
          <w:sz w:val="22"/>
        </w:rPr>
      </w:pPr>
      <w:r w:rsidRPr="009B4A73">
        <w:rPr>
          <w:sz w:val="22"/>
        </w:rPr>
        <w:t>The use of</w:t>
      </w:r>
      <w:r w:rsidR="00CE0B5E" w:rsidRPr="009B4A73">
        <w:rPr>
          <w:sz w:val="22"/>
        </w:rPr>
        <w:t xml:space="preserve"> </w:t>
      </w:r>
      <w:r w:rsidR="00BB518A" w:rsidRPr="009B4A73">
        <w:rPr>
          <w:sz w:val="22"/>
        </w:rPr>
        <w:t>trastuzumab</w:t>
      </w:r>
      <w:r w:rsidRPr="009B4A73">
        <w:rPr>
          <w:sz w:val="22"/>
        </w:rPr>
        <w:t xml:space="preserve"> in the setting of early breast cancer (after surgery and in association with chemotherapy and, if applicable, radiotherapy) has been studied in four multicentre randomized phase III trials of patients with HER2 positive breast cancer who have completed surgery.</w:t>
      </w:r>
      <w:r w:rsidR="008805AA" w:rsidRPr="009B4A73">
        <w:rPr>
          <w:sz w:val="22"/>
        </w:rPr>
        <w:t xml:space="preserve"> </w:t>
      </w:r>
      <w:r w:rsidRPr="009B4A73">
        <w:rPr>
          <w:sz w:val="22"/>
        </w:rPr>
        <w:t>In these clinical trials, early breast cancer was limited to operable, primary adenocarcinoma of the breast with positive axillary nodes or node negative disease with additional indicators of a higher degree of risk.</w:t>
      </w:r>
      <w:r w:rsidR="008805AA" w:rsidRPr="009B4A73">
        <w:rPr>
          <w:sz w:val="22"/>
        </w:rPr>
        <w:t xml:space="preserve"> </w:t>
      </w:r>
      <w:r w:rsidRPr="009B4A73">
        <w:rPr>
          <w:sz w:val="22"/>
        </w:rPr>
        <w:t>The design of these studies is summarized in Table 5 and efficacy results are presented in Tables 6-10.</w:t>
      </w:r>
      <w:r w:rsidR="00CE0B5E" w:rsidRPr="009B4A73">
        <w:rPr>
          <w:sz w:val="22"/>
        </w:rPr>
        <w:t xml:space="preserve"> </w:t>
      </w:r>
    </w:p>
    <w:p w14:paraId="453A0742" w14:textId="77777777" w:rsidR="000B1BE8" w:rsidRPr="009B4A73" w:rsidRDefault="000B1BE8" w:rsidP="00316679">
      <w:pPr>
        <w:spacing w:after="0" w:line="240" w:lineRule="auto"/>
        <w:ind w:left="426" w:right="8"/>
        <w:rPr>
          <w:sz w:val="22"/>
        </w:rPr>
      </w:pPr>
    </w:p>
    <w:p w14:paraId="6E71A487" w14:textId="30157E3F" w:rsidR="00D92EBC" w:rsidRPr="009B4A73" w:rsidRDefault="0078763F" w:rsidP="001D3187">
      <w:pPr>
        <w:pStyle w:val="Heading2"/>
        <w:keepLines w:val="0"/>
        <w:spacing w:after="0" w:line="240" w:lineRule="auto"/>
        <w:ind w:left="425"/>
        <w:rPr>
          <w:sz w:val="22"/>
        </w:rPr>
      </w:pPr>
      <w:r w:rsidRPr="009B4A73">
        <w:rPr>
          <w:sz w:val="22"/>
        </w:rPr>
        <w:t xml:space="preserve">Table 5: Clinical </w:t>
      </w:r>
      <w:r w:rsidR="00E260BA" w:rsidRPr="009B4A73">
        <w:rPr>
          <w:sz w:val="22"/>
        </w:rPr>
        <w:t>t</w:t>
      </w:r>
      <w:r w:rsidRPr="009B4A73">
        <w:rPr>
          <w:sz w:val="22"/>
        </w:rPr>
        <w:t xml:space="preserve">rials in </w:t>
      </w:r>
      <w:r w:rsidR="00E260BA" w:rsidRPr="009B4A73">
        <w:rPr>
          <w:sz w:val="22"/>
        </w:rPr>
        <w:t>e</w:t>
      </w:r>
      <w:r w:rsidRPr="009B4A73">
        <w:rPr>
          <w:sz w:val="22"/>
        </w:rPr>
        <w:t xml:space="preserve">arly </w:t>
      </w:r>
      <w:r w:rsidR="00E260BA" w:rsidRPr="009B4A73">
        <w:rPr>
          <w:sz w:val="22"/>
        </w:rPr>
        <w:t>b</w:t>
      </w:r>
      <w:r w:rsidRPr="009B4A73">
        <w:rPr>
          <w:sz w:val="22"/>
        </w:rPr>
        <w:t xml:space="preserve">reast </w:t>
      </w:r>
      <w:r w:rsidR="00E260BA" w:rsidRPr="009B4A73">
        <w:rPr>
          <w:sz w:val="22"/>
        </w:rPr>
        <w:t>c</w:t>
      </w:r>
      <w:r w:rsidRPr="009B4A73">
        <w:rPr>
          <w:sz w:val="22"/>
        </w:rPr>
        <w:t>ancer</w:t>
      </w:r>
    </w:p>
    <w:p w14:paraId="7BB00FE1" w14:textId="77777777" w:rsidR="005E652F" w:rsidRPr="009B4A73" w:rsidRDefault="005E652F" w:rsidP="001D3187">
      <w:pPr>
        <w:keepNext/>
        <w:spacing w:after="0" w:line="240" w:lineRule="auto"/>
        <w:ind w:left="425" w:hanging="11"/>
      </w:pPr>
    </w:p>
    <w:tbl>
      <w:tblPr>
        <w:tblStyle w:val="TableGrid"/>
        <w:tblW w:w="4810" w:type="pct"/>
        <w:tblInd w:w="421" w:type="dxa"/>
        <w:tblCellMar>
          <w:left w:w="85" w:type="dxa"/>
          <w:right w:w="85" w:type="dxa"/>
        </w:tblCellMar>
        <w:tblLook w:val="04A0" w:firstRow="1" w:lastRow="0" w:firstColumn="1" w:lastColumn="0" w:noHBand="0" w:noVBand="1"/>
      </w:tblPr>
      <w:tblGrid>
        <w:gridCol w:w="1845"/>
        <w:gridCol w:w="2834"/>
        <w:gridCol w:w="2834"/>
        <w:gridCol w:w="2550"/>
      </w:tblGrid>
      <w:tr w:rsidR="00D92EBC" w:rsidRPr="009B4A73" w14:paraId="12777851" w14:textId="77777777" w:rsidTr="00947287">
        <w:trPr>
          <w:trHeight w:val="794"/>
        </w:trPr>
        <w:tc>
          <w:tcPr>
            <w:tcW w:w="916" w:type="pct"/>
            <w:tcBorders>
              <w:top w:val="single" w:sz="4" w:space="0" w:color="000000"/>
              <w:left w:val="single" w:sz="4" w:space="0" w:color="000000"/>
              <w:bottom w:val="single" w:sz="4" w:space="0" w:color="000000"/>
              <w:right w:val="single" w:sz="4" w:space="0" w:color="000000"/>
            </w:tcBorders>
          </w:tcPr>
          <w:p w14:paraId="18C1C6C8" w14:textId="77777777" w:rsidR="00D92EBC" w:rsidRPr="009B4A73" w:rsidRDefault="0078763F" w:rsidP="00947287">
            <w:pPr>
              <w:spacing w:after="0" w:line="240" w:lineRule="auto"/>
              <w:ind w:left="0" w:firstLine="0"/>
              <w:rPr>
                <w:sz w:val="22"/>
              </w:rPr>
            </w:pPr>
            <w:r w:rsidRPr="009B4A73">
              <w:rPr>
                <w:b/>
                <w:sz w:val="22"/>
              </w:rPr>
              <w:t xml:space="preserve"> </w:t>
            </w:r>
          </w:p>
        </w:tc>
        <w:tc>
          <w:tcPr>
            <w:tcW w:w="1408" w:type="pct"/>
            <w:tcBorders>
              <w:top w:val="single" w:sz="4" w:space="0" w:color="000000"/>
              <w:left w:val="single" w:sz="4" w:space="0" w:color="000000"/>
              <w:bottom w:val="single" w:sz="4" w:space="0" w:color="000000"/>
              <w:right w:val="single" w:sz="4" w:space="0" w:color="000000"/>
            </w:tcBorders>
            <w:vAlign w:val="center"/>
          </w:tcPr>
          <w:p w14:paraId="67BAB9A4" w14:textId="77777777" w:rsidR="00947287" w:rsidRPr="009B4A73" w:rsidRDefault="0078763F" w:rsidP="00947287">
            <w:pPr>
              <w:spacing w:after="0" w:line="240" w:lineRule="auto"/>
              <w:ind w:left="0" w:firstLine="0"/>
              <w:jc w:val="center"/>
              <w:rPr>
                <w:b/>
                <w:sz w:val="22"/>
              </w:rPr>
            </w:pPr>
            <w:r w:rsidRPr="009B4A73">
              <w:rPr>
                <w:b/>
                <w:sz w:val="22"/>
              </w:rPr>
              <w:t>HERA trial</w:t>
            </w:r>
            <w:r w:rsidR="00F11C61" w:rsidRPr="009B4A73">
              <w:rPr>
                <w:b/>
                <w:sz w:val="22"/>
              </w:rPr>
              <w:t xml:space="preserve"> </w:t>
            </w:r>
          </w:p>
          <w:p w14:paraId="68A9ECB2" w14:textId="4965F6D2" w:rsidR="00D92EBC" w:rsidRPr="009B4A73" w:rsidRDefault="0078763F" w:rsidP="00947287">
            <w:pPr>
              <w:spacing w:after="0" w:line="240" w:lineRule="auto"/>
              <w:ind w:left="0" w:firstLine="0"/>
              <w:jc w:val="center"/>
              <w:rPr>
                <w:sz w:val="22"/>
              </w:rPr>
            </w:pPr>
            <w:r w:rsidRPr="009B4A73">
              <w:rPr>
                <w:b/>
                <w:i/>
                <w:sz w:val="22"/>
              </w:rPr>
              <w:t xml:space="preserve">n </w:t>
            </w:r>
            <w:r w:rsidRPr="009B4A73">
              <w:rPr>
                <w:b/>
                <w:sz w:val="22"/>
              </w:rPr>
              <w:t>= 3386</w:t>
            </w:r>
          </w:p>
        </w:tc>
        <w:tc>
          <w:tcPr>
            <w:tcW w:w="1408" w:type="pct"/>
            <w:tcBorders>
              <w:top w:val="single" w:sz="4" w:space="0" w:color="000000"/>
              <w:left w:val="single" w:sz="4" w:space="0" w:color="000000"/>
              <w:bottom w:val="single" w:sz="4" w:space="0" w:color="000000"/>
              <w:right w:val="single" w:sz="4" w:space="0" w:color="000000"/>
            </w:tcBorders>
            <w:vAlign w:val="center"/>
          </w:tcPr>
          <w:p w14:paraId="10EB3CA4" w14:textId="026A3CE4" w:rsidR="00D92EBC" w:rsidRPr="009B4A73" w:rsidRDefault="0078763F" w:rsidP="00947287">
            <w:pPr>
              <w:spacing w:after="0" w:line="240" w:lineRule="auto"/>
              <w:ind w:left="0" w:firstLine="0"/>
              <w:jc w:val="center"/>
              <w:rPr>
                <w:sz w:val="22"/>
              </w:rPr>
            </w:pPr>
            <w:r w:rsidRPr="009B4A73">
              <w:rPr>
                <w:b/>
                <w:sz w:val="22"/>
              </w:rPr>
              <w:t>NSABP B-31 and NCCTG</w:t>
            </w:r>
            <w:r w:rsidR="00947287" w:rsidRPr="009B4A73">
              <w:rPr>
                <w:b/>
                <w:sz w:val="22"/>
              </w:rPr>
              <w:t xml:space="preserve"> </w:t>
            </w:r>
            <w:r w:rsidRPr="009B4A73">
              <w:rPr>
                <w:b/>
                <w:sz w:val="22"/>
              </w:rPr>
              <w:t xml:space="preserve">N9831 trials (joint analysis) </w:t>
            </w:r>
            <w:r w:rsidRPr="009B4A73">
              <w:rPr>
                <w:b/>
                <w:i/>
                <w:sz w:val="22"/>
              </w:rPr>
              <w:t xml:space="preserve">n </w:t>
            </w:r>
            <w:r w:rsidRPr="009B4A73">
              <w:rPr>
                <w:b/>
                <w:sz w:val="22"/>
              </w:rPr>
              <w:t>= 3763</w:t>
            </w:r>
          </w:p>
        </w:tc>
        <w:tc>
          <w:tcPr>
            <w:tcW w:w="1267" w:type="pct"/>
            <w:tcBorders>
              <w:top w:val="single" w:sz="4" w:space="0" w:color="000000"/>
              <w:left w:val="single" w:sz="4" w:space="0" w:color="000000"/>
              <w:bottom w:val="single" w:sz="4" w:space="0" w:color="000000"/>
              <w:right w:val="single" w:sz="4" w:space="0" w:color="000000"/>
            </w:tcBorders>
            <w:vAlign w:val="center"/>
          </w:tcPr>
          <w:p w14:paraId="630643F7" w14:textId="77777777" w:rsidR="00947287" w:rsidRPr="009B4A73" w:rsidRDefault="0078763F" w:rsidP="00947287">
            <w:pPr>
              <w:spacing w:after="0" w:line="240" w:lineRule="auto"/>
              <w:ind w:left="0" w:firstLine="0"/>
              <w:jc w:val="center"/>
              <w:rPr>
                <w:b/>
                <w:sz w:val="22"/>
              </w:rPr>
            </w:pPr>
            <w:r w:rsidRPr="009B4A73">
              <w:rPr>
                <w:b/>
                <w:sz w:val="22"/>
              </w:rPr>
              <w:t xml:space="preserve">BCIRG 006 </w:t>
            </w:r>
          </w:p>
          <w:p w14:paraId="09D02DBE" w14:textId="107B3E00" w:rsidR="00D92EBC" w:rsidRPr="009B4A73" w:rsidRDefault="0078763F" w:rsidP="00947287">
            <w:pPr>
              <w:spacing w:after="0" w:line="240" w:lineRule="auto"/>
              <w:ind w:left="0" w:firstLine="0"/>
              <w:jc w:val="center"/>
              <w:rPr>
                <w:sz w:val="22"/>
              </w:rPr>
            </w:pPr>
            <w:r w:rsidRPr="009B4A73">
              <w:rPr>
                <w:b/>
                <w:i/>
                <w:sz w:val="22"/>
              </w:rPr>
              <w:t xml:space="preserve">n </w:t>
            </w:r>
            <w:r w:rsidRPr="009B4A73">
              <w:rPr>
                <w:b/>
                <w:sz w:val="22"/>
              </w:rPr>
              <w:t>= 3222</w:t>
            </w:r>
          </w:p>
        </w:tc>
      </w:tr>
      <w:tr w:rsidR="00D92EBC" w:rsidRPr="009B4A73" w14:paraId="36A4E8EE" w14:textId="77777777" w:rsidTr="00947287">
        <w:trPr>
          <w:trHeight w:val="794"/>
        </w:trPr>
        <w:tc>
          <w:tcPr>
            <w:tcW w:w="916" w:type="pct"/>
            <w:tcBorders>
              <w:top w:val="single" w:sz="4" w:space="0" w:color="000000"/>
              <w:left w:val="single" w:sz="4" w:space="0" w:color="000000"/>
              <w:bottom w:val="single" w:sz="4" w:space="0" w:color="000000"/>
              <w:right w:val="single" w:sz="4" w:space="0" w:color="000000"/>
            </w:tcBorders>
          </w:tcPr>
          <w:p w14:paraId="0C4F67F0" w14:textId="77777777" w:rsidR="00D92EBC" w:rsidRPr="009B4A73" w:rsidRDefault="0078763F" w:rsidP="00947287">
            <w:pPr>
              <w:spacing w:after="0" w:line="240" w:lineRule="auto"/>
              <w:ind w:left="0" w:firstLine="0"/>
              <w:rPr>
                <w:sz w:val="22"/>
              </w:rPr>
            </w:pPr>
            <w:r w:rsidRPr="009B4A73">
              <w:rPr>
                <w:b/>
                <w:sz w:val="22"/>
              </w:rPr>
              <w:t xml:space="preserve">Eligible patients </w:t>
            </w:r>
          </w:p>
        </w:tc>
        <w:tc>
          <w:tcPr>
            <w:tcW w:w="1408" w:type="pct"/>
            <w:tcBorders>
              <w:top w:val="single" w:sz="4" w:space="0" w:color="000000"/>
              <w:left w:val="single" w:sz="4" w:space="0" w:color="000000"/>
              <w:bottom w:val="single" w:sz="4" w:space="0" w:color="000000"/>
              <w:right w:val="single" w:sz="4" w:space="0" w:color="000000"/>
            </w:tcBorders>
          </w:tcPr>
          <w:p w14:paraId="56D7B36A" w14:textId="66221D95" w:rsidR="00D92EBC" w:rsidRPr="009B4A73" w:rsidRDefault="0078763F" w:rsidP="00947287">
            <w:pPr>
              <w:spacing w:after="0" w:line="240" w:lineRule="auto"/>
              <w:ind w:left="0" w:firstLine="0"/>
              <w:rPr>
                <w:sz w:val="22"/>
              </w:rPr>
            </w:pPr>
            <w:r w:rsidRPr="009B4A73">
              <w:rPr>
                <w:sz w:val="22"/>
              </w:rPr>
              <w:t>Node positive or node negative [</w:t>
            </w:r>
            <w:r w:rsidRPr="009B4A73">
              <w:rPr>
                <w:i/>
                <w:sz w:val="22"/>
              </w:rPr>
              <w:t xml:space="preserve">n </w:t>
            </w:r>
            <w:r w:rsidRPr="009B4A73">
              <w:rPr>
                <w:sz w:val="22"/>
              </w:rPr>
              <w:t xml:space="preserve">= 1098] and tumour size &gt;1 </w:t>
            </w:r>
            <w:proofErr w:type="gramStart"/>
            <w:r w:rsidRPr="009B4A73">
              <w:rPr>
                <w:sz w:val="22"/>
              </w:rPr>
              <w:t>cm;</w:t>
            </w:r>
            <w:proofErr w:type="gramEnd"/>
            <w:r w:rsidRPr="009B4A73">
              <w:rPr>
                <w:sz w:val="22"/>
              </w:rPr>
              <w:t xml:space="preserve">  </w:t>
            </w:r>
          </w:p>
          <w:p w14:paraId="2C0ABB42" w14:textId="77777777" w:rsidR="00D92EBC" w:rsidRPr="009B4A73" w:rsidRDefault="0078763F" w:rsidP="00947287">
            <w:pPr>
              <w:spacing w:after="0" w:line="240" w:lineRule="auto"/>
              <w:ind w:left="0" w:firstLine="0"/>
              <w:rPr>
                <w:sz w:val="22"/>
              </w:rPr>
            </w:pPr>
            <w:r w:rsidRPr="009B4A73">
              <w:rPr>
                <w:sz w:val="22"/>
              </w:rPr>
              <w:t xml:space="preserve"> </w:t>
            </w:r>
          </w:p>
          <w:p w14:paraId="32BE8CF9" w14:textId="45D5CD85" w:rsidR="00D92EBC" w:rsidRPr="009B4A73" w:rsidRDefault="0078763F" w:rsidP="00947287">
            <w:pPr>
              <w:spacing w:after="0" w:line="240" w:lineRule="auto"/>
              <w:ind w:left="0" w:firstLine="0"/>
              <w:rPr>
                <w:sz w:val="22"/>
              </w:rPr>
            </w:pPr>
            <w:r w:rsidRPr="009B4A73">
              <w:rPr>
                <w:i/>
                <w:sz w:val="22"/>
              </w:rPr>
              <w:t xml:space="preserve">Protocol initially unrestricted but amended and node negative patients with tumours ≤1 cm [n =93, 8.5%] and node negative patients with tumours &gt;1 and ≤2 cm [n = 509,46.4%] were included </w:t>
            </w:r>
          </w:p>
        </w:tc>
        <w:tc>
          <w:tcPr>
            <w:tcW w:w="1408" w:type="pct"/>
            <w:tcBorders>
              <w:top w:val="single" w:sz="4" w:space="0" w:color="000000"/>
              <w:left w:val="single" w:sz="4" w:space="0" w:color="000000"/>
              <w:bottom w:val="single" w:sz="4" w:space="0" w:color="000000"/>
              <w:right w:val="single" w:sz="4" w:space="0" w:color="000000"/>
            </w:tcBorders>
          </w:tcPr>
          <w:p w14:paraId="5332F68F" w14:textId="77777777" w:rsidR="00D92EBC" w:rsidRPr="009B4A73" w:rsidRDefault="0078763F" w:rsidP="00947287">
            <w:pPr>
              <w:spacing w:after="0" w:line="240" w:lineRule="auto"/>
              <w:ind w:left="0" w:firstLine="0"/>
              <w:rPr>
                <w:sz w:val="22"/>
              </w:rPr>
            </w:pPr>
            <w:r w:rsidRPr="009B4A73">
              <w:rPr>
                <w:sz w:val="22"/>
              </w:rPr>
              <w:t>Node positive or node negative [</w:t>
            </w:r>
            <w:r w:rsidRPr="009B4A73">
              <w:rPr>
                <w:i/>
                <w:sz w:val="22"/>
              </w:rPr>
              <w:t>n</w:t>
            </w:r>
            <w:r w:rsidRPr="009B4A73">
              <w:rPr>
                <w:sz w:val="22"/>
              </w:rPr>
              <w:t xml:space="preserve"> = 190] and tumour size  </w:t>
            </w:r>
          </w:p>
          <w:p w14:paraId="6529BE70" w14:textId="77777777" w:rsidR="00D92EBC" w:rsidRPr="009B4A73" w:rsidRDefault="0078763F" w:rsidP="00947287">
            <w:pPr>
              <w:spacing w:after="0" w:line="240" w:lineRule="auto"/>
              <w:ind w:left="0" w:firstLine="0"/>
              <w:rPr>
                <w:sz w:val="22"/>
              </w:rPr>
            </w:pPr>
            <w:r w:rsidRPr="009B4A73">
              <w:rPr>
                <w:sz w:val="22"/>
              </w:rPr>
              <w:t xml:space="preserve"> </w:t>
            </w:r>
          </w:p>
          <w:p w14:paraId="0D7BBD83" w14:textId="77777777" w:rsidR="00D92EBC" w:rsidRPr="009B4A73" w:rsidRDefault="0078763F" w:rsidP="00947287">
            <w:pPr>
              <w:numPr>
                <w:ilvl w:val="0"/>
                <w:numId w:val="6"/>
              </w:numPr>
              <w:spacing w:after="0" w:line="240" w:lineRule="auto"/>
              <w:ind w:left="191" w:hanging="113"/>
              <w:rPr>
                <w:sz w:val="22"/>
              </w:rPr>
            </w:pPr>
            <w:r w:rsidRPr="009B4A73">
              <w:rPr>
                <w:sz w:val="22"/>
              </w:rPr>
              <w:t xml:space="preserve">&gt;2 cm regardless of hormonal status; or </w:t>
            </w:r>
          </w:p>
          <w:p w14:paraId="5F21F081" w14:textId="77777777" w:rsidR="00D92EBC" w:rsidRPr="009B4A73" w:rsidRDefault="0078763F" w:rsidP="00947287">
            <w:pPr>
              <w:numPr>
                <w:ilvl w:val="0"/>
                <w:numId w:val="6"/>
              </w:numPr>
              <w:spacing w:after="0" w:line="240" w:lineRule="auto"/>
              <w:ind w:left="191" w:hanging="113"/>
              <w:rPr>
                <w:sz w:val="22"/>
              </w:rPr>
            </w:pPr>
            <w:r w:rsidRPr="009B4A73">
              <w:rPr>
                <w:sz w:val="22"/>
              </w:rPr>
              <w:t>&gt;1 cm and ER–</w:t>
            </w:r>
            <w:proofErr w:type="spellStart"/>
            <w:r w:rsidRPr="009B4A73">
              <w:rPr>
                <w:sz w:val="22"/>
              </w:rPr>
              <w:t>ve</w:t>
            </w:r>
            <w:proofErr w:type="spellEnd"/>
            <w:r w:rsidRPr="009B4A73">
              <w:rPr>
                <w:sz w:val="22"/>
              </w:rPr>
              <w:t xml:space="preserve"> </w:t>
            </w:r>
          </w:p>
          <w:p w14:paraId="34145B42" w14:textId="77777777" w:rsidR="00D92EBC" w:rsidRPr="009B4A73" w:rsidRDefault="0078763F" w:rsidP="00947287">
            <w:pPr>
              <w:spacing w:after="0" w:line="240" w:lineRule="auto"/>
              <w:ind w:left="191" w:firstLine="0"/>
              <w:rPr>
                <w:sz w:val="22"/>
              </w:rPr>
            </w:pPr>
            <w:r w:rsidRPr="009B4A73">
              <w:rPr>
                <w:sz w:val="22"/>
              </w:rPr>
              <w:t xml:space="preserve"> </w:t>
            </w:r>
          </w:p>
          <w:p w14:paraId="0BFDB704" w14:textId="77777777" w:rsidR="00D92EBC" w:rsidRPr="009B4A73" w:rsidRDefault="0078763F" w:rsidP="00947287">
            <w:pPr>
              <w:spacing w:after="0" w:line="240" w:lineRule="auto"/>
              <w:ind w:left="0" w:firstLine="0"/>
              <w:rPr>
                <w:sz w:val="22"/>
              </w:rPr>
            </w:pPr>
            <w:r w:rsidRPr="009B4A73">
              <w:rPr>
                <w:sz w:val="22"/>
              </w:rPr>
              <w:t>[</w:t>
            </w:r>
            <w:r w:rsidRPr="009B4A73">
              <w:rPr>
                <w:i/>
                <w:sz w:val="22"/>
              </w:rPr>
              <w:t>n</w:t>
            </w:r>
            <w:r w:rsidRPr="009B4A73">
              <w:rPr>
                <w:sz w:val="22"/>
              </w:rPr>
              <w:t xml:space="preserve"> = 63 node-negative and tumour size ≤2 cm]) </w:t>
            </w:r>
          </w:p>
        </w:tc>
        <w:tc>
          <w:tcPr>
            <w:tcW w:w="1267" w:type="pct"/>
            <w:tcBorders>
              <w:top w:val="single" w:sz="4" w:space="0" w:color="000000"/>
              <w:left w:val="single" w:sz="4" w:space="0" w:color="000000"/>
              <w:bottom w:val="single" w:sz="4" w:space="0" w:color="000000"/>
              <w:right w:val="single" w:sz="4" w:space="0" w:color="000000"/>
            </w:tcBorders>
          </w:tcPr>
          <w:p w14:paraId="1F62C53C" w14:textId="77777777" w:rsidR="00D92EBC" w:rsidRPr="009B4A73" w:rsidRDefault="0078763F" w:rsidP="00947287">
            <w:pPr>
              <w:spacing w:after="0" w:line="240" w:lineRule="auto"/>
              <w:ind w:left="0" w:firstLine="0"/>
              <w:rPr>
                <w:sz w:val="22"/>
              </w:rPr>
            </w:pPr>
            <w:r w:rsidRPr="009B4A73">
              <w:rPr>
                <w:sz w:val="22"/>
              </w:rPr>
              <w:t xml:space="preserve">Node positive or node negative and at least 1 of the following:  </w:t>
            </w:r>
          </w:p>
          <w:p w14:paraId="2B354BCA" w14:textId="77777777" w:rsidR="00D92EBC" w:rsidRPr="009B4A73" w:rsidRDefault="0078763F" w:rsidP="00947287">
            <w:pPr>
              <w:spacing w:after="0" w:line="240" w:lineRule="auto"/>
              <w:ind w:left="0" w:firstLine="0"/>
              <w:rPr>
                <w:sz w:val="22"/>
              </w:rPr>
            </w:pPr>
            <w:r w:rsidRPr="009B4A73">
              <w:rPr>
                <w:sz w:val="22"/>
              </w:rPr>
              <w:t xml:space="preserve"> </w:t>
            </w:r>
          </w:p>
          <w:p w14:paraId="19BBCBF4" w14:textId="568AF97C" w:rsidR="00D92EBC" w:rsidRPr="009B4A73" w:rsidRDefault="0078763F" w:rsidP="000B3455">
            <w:pPr>
              <w:numPr>
                <w:ilvl w:val="0"/>
                <w:numId w:val="7"/>
              </w:numPr>
              <w:spacing w:after="0" w:line="240" w:lineRule="auto"/>
              <w:ind w:left="192" w:hanging="192"/>
              <w:rPr>
                <w:sz w:val="22"/>
              </w:rPr>
            </w:pPr>
            <w:r w:rsidRPr="009B4A73">
              <w:rPr>
                <w:sz w:val="22"/>
              </w:rPr>
              <w:t>tumour size &gt; 2 cm and ER and PR -</w:t>
            </w:r>
            <w:proofErr w:type="spellStart"/>
            <w:r w:rsidRPr="009B4A73">
              <w:rPr>
                <w:sz w:val="22"/>
              </w:rPr>
              <w:t>ve</w:t>
            </w:r>
            <w:proofErr w:type="spellEnd"/>
            <w:r w:rsidRPr="009B4A73">
              <w:rPr>
                <w:sz w:val="22"/>
              </w:rPr>
              <w:t xml:space="preserve">, or </w:t>
            </w:r>
          </w:p>
          <w:p w14:paraId="548C00B8" w14:textId="62715152" w:rsidR="00D92EBC" w:rsidRPr="009B4A73" w:rsidRDefault="0078763F" w:rsidP="000B3455">
            <w:pPr>
              <w:numPr>
                <w:ilvl w:val="0"/>
                <w:numId w:val="7"/>
              </w:numPr>
              <w:spacing w:after="0" w:line="240" w:lineRule="auto"/>
              <w:ind w:left="192" w:hanging="192"/>
              <w:rPr>
                <w:sz w:val="22"/>
              </w:rPr>
            </w:pPr>
            <w:r w:rsidRPr="009B4A73">
              <w:rPr>
                <w:sz w:val="22"/>
              </w:rPr>
              <w:t>histologic and/or nuclear grade 2-3, or</w:t>
            </w:r>
            <w:r w:rsidR="008805AA" w:rsidRPr="009B4A73">
              <w:rPr>
                <w:sz w:val="22"/>
              </w:rPr>
              <w:t xml:space="preserve"> </w:t>
            </w:r>
          </w:p>
          <w:p w14:paraId="1A046BB6" w14:textId="77777777" w:rsidR="00D92EBC" w:rsidRPr="009B4A73" w:rsidRDefault="0078763F" w:rsidP="000B3455">
            <w:pPr>
              <w:numPr>
                <w:ilvl w:val="0"/>
                <w:numId w:val="7"/>
              </w:numPr>
              <w:spacing w:after="0" w:line="240" w:lineRule="auto"/>
              <w:ind w:left="192" w:hanging="218"/>
              <w:rPr>
                <w:sz w:val="22"/>
              </w:rPr>
            </w:pPr>
            <w:r w:rsidRPr="009B4A73">
              <w:rPr>
                <w:sz w:val="22"/>
              </w:rPr>
              <w:t xml:space="preserve">age &lt; 35 years. </w:t>
            </w:r>
          </w:p>
        </w:tc>
      </w:tr>
      <w:tr w:rsidR="00D92EBC" w:rsidRPr="009B4A73" w14:paraId="4A46F27B" w14:textId="77777777" w:rsidTr="00947287">
        <w:trPr>
          <w:trHeight w:val="794"/>
        </w:trPr>
        <w:tc>
          <w:tcPr>
            <w:tcW w:w="916" w:type="pct"/>
            <w:tcBorders>
              <w:top w:val="single" w:sz="4" w:space="0" w:color="000000"/>
              <w:left w:val="single" w:sz="4" w:space="0" w:color="000000"/>
              <w:bottom w:val="single" w:sz="4" w:space="0" w:color="000000"/>
              <w:right w:val="single" w:sz="4" w:space="0" w:color="000000"/>
            </w:tcBorders>
          </w:tcPr>
          <w:p w14:paraId="6F88B4B2" w14:textId="6060358B" w:rsidR="00D92EBC" w:rsidRPr="009B4A73" w:rsidRDefault="008D53AD" w:rsidP="00947287">
            <w:pPr>
              <w:spacing w:after="0" w:line="240" w:lineRule="auto"/>
              <w:ind w:left="0" w:firstLine="0"/>
              <w:rPr>
                <w:sz w:val="22"/>
              </w:rPr>
            </w:pPr>
            <w:r w:rsidRPr="009B4A73">
              <w:rPr>
                <w:sz w:val="22"/>
              </w:rPr>
              <w:t xml:space="preserve"> </w:t>
            </w:r>
            <w:r w:rsidRPr="009B4A73">
              <w:rPr>
                <w:b/>
                <w:bCs/>
                <w:sz w:val="22"/>
              </w:rPr>
              <w:t>Trastuzumab</w:t>
            </w:r>
            <w:r w:rsidR="0078763F" w:rsidRPr="009B4A73">
              <w:rPr>
                <w:b/>
                <w:sz w:val="22"/>
              </w:rPr>
              <w:t xml:space="preserve"> dosage regimen </w:t>
            </w:r>
          </w:p>
        </w:tc>
        <w:tc>
          <w:tcPr>
            <w:tcW w:w="1408" w:type="pct"/>
            <w:tcBorders>
              <w:top w:val="single" w:sz="4" w:space="0" w:color="000000"/>
              <w:left w:val="single" w:sz="4" w:space="0" w:color="000000"/>
              <w:bottom w:val="single" w:sz="4" w:space="0" w:color="000000"/>
              <w:right w:val="single" w:sz="4" w:space="0" w:color="000000"/>
            </w:tcBorders>
          </w:tcPr>
          <w:p w14:paraId="6A890061" w14:textId="77777777" w:rsidR="00D92EBC" w:rsidRPr="009B4A73" w:rsidRDefault="0078763F" w:rsidP="00947287">
            <w:pPr>
              <w:spacing w:after="0" w:line="240" w:lineRule="auto"/>
              <w:ind w:left="0" w:firstLine="0"/>
              <w:jc w:val="both"/>
              <w:rPr>
                <w:sz w:val="22"/>
              </w:rPr>
            </w:pPr>
            <w:r w:rsidRPr="009B4A73">
              <w:rPr>
                <w:sz w:val="22"/>
              </w:rPr>
              <w:t xml:space="preserve">Loading dose 8 mg/kg, followed by 6 mg/kg (q3w) </w:t>
            </w:r>
          </w:p>
        </w:tc>
        <w:tc>
          <w:tcPr>
            <w:tcW w:w="1408" w:type="pct"/>
            <w:tcBorders>
              <w:top w:val="single" w:sz="4" w:space="0" w:color="000000"/>
              <w:left w:val="single" w:sz="4" w:space="0" w:color="000000"/>
              <w:bottom w:val="single" w:sz="4" w:space="0" w:color="000000"/>
              <w:right w:val="single" w:sz="4" w:space="0" w:color="000000"/>
            </w:tcBorders>
          </w:tcPr>
          <w:p w14:paraId="24E082D9" w14:textId="65F31014" w:rsidR="00D92EBC" w:rsidRPr="009B4A73" w:rsidRDefault="0078763F" w:rsidP="00947287">
            <w:pPr>
              <w:spacing w:after="0" w:line="240" w:lineRule="auto"/>
              <w:ind w:left="0" w:firstLine="0"/>
              <w:jc w:val="both"/>
              <w:rPr>
                <w:sz w:val="22"/>
              </w:rPr>
            </w:pPr>
            <w:r w:rsidRPr="009B4A73">
              <w:rPr>
                <w:sz w:val="22"/>
              </w:rPr>
              <w:t xml:space="preserve">Loading dose 4 mg/kg, followed by 2 mg/kg (q1w) </w:t>
            </w:r>
          </w:p>
        </w:tc>
        <w:tc>
          <w:tcPr>
            <w:tcW w:w="1267" w:type="pct"/>
            <w:tcBorders>
              <w:top w:val="single" w:sz="4" w:space="0" w:color="000000"/>
              <w:left w:val="single" w:sz="4" w:space="0" w:color="000000"/>
              <w:bottom w:val="single" w:sz="4" w:space="0" w:color="000000"/>
              <w:right w:val="single" w:sz="4" w:space="0" w:color="000000"/>
            </w:tcBorders>
          </w:tcPr>
          <w:p w14:paraId="5408911A" w14:textId="38BCAF66" w:rsidR="00D92EBC" w:rsidRPr="009B4A73" w:rsidRDefault="0078763F" w:rsidP="00947287">
            <w:pPr>
              <w:spacing w:after="0" w:line="240" w:lineRule="auto"/>
              <w:ind w:left="0" w:firstLine="0"/>
              <w:rPr>
                <w:sz w:val="22"/>
              </w:rPr>
            </w:pPr>
            <w:r w:rsidRPr="009B4A73">
              <w:rPr>
                <w:sz w:val="22"/>
              </w:rPr>
              <w:t xml:space="preserve">Loading dose 4 mg/kg, followed by 2 mg/kg (q1w). </w:t>
            </w:r>
          </w:p>
          <w:p w14:paraId="6BD7A0F6" w14:textId="1EA6715A" w:rsidR="00D92EBC" w:rsidRPr="009B4A73" w:rsidRDefault="0078763F" w:rsidP="008D53AD">
            <w:pPr>
              <w:spacing w:after="0" w:line="240" w:lineRule="auto"/>
              <w:ind w:left="0" w:firstLine="0"/>
              <w:rPr>
                <w:sz w:val="22"/>
              </w:rPr>
            </w:pPr>
            <w:r w:rsidRPr="009B4A73">
              <w:rPr>
                <w:sz w:val="22"/>
              </w:rPr>
              <w:t xml:space="preserve">After chemo, 6 mg/kg (q3w)  </w:t>
            </w:r>
          </w:p>
        </w:tc>
      </w:tr>
      <w:tr w:rsidR="00D92EBC" w:rsidRPr="009B4A73" w14:paraId="15C04018" w14:textId="77777777" w:rsidTr="00947287">
        <w:trPr>
          <w:trHeight w:val="794"/>
        </w:trPr>
        <w:tc>
          <w:tcPr>
            <w:tcW w:w="916" w:type="pct"/>
            <w:tcBorders>
              <w:top w:val="single" w:sz="4" w:space="0" w:color="000000"/>
              <w:left w:val="single" w:sz="4" w:space="0" w:color="000000"/>
              <w:bottom w:val="single" w:sz="4" w:space="0" w:color="000000"/>
              <w:right w:val="single" w:sz="4" w:space="0" w:color="000000"/>
            </w:tcBorders>
          </w:tcPr>
          <w:p w14:paraId="1ED12EEE" w14:textId="27BAC8F2" w:rsidR="00D92EBC" w:rsidRPr="009B4A73" w:rsidRDefault="0078763F" w:rsidP="00947287">
            <w:pPr>
              <w:spacing w:after="0" w:line="240" w:lineRule="auto"/>
              <w:ind w:left="0" w:firstLine="0"/>
              <w:rPr>
                <w:sz w:val="22"/>
              </w:rPr>
            </w:pPr>
            <w:r w:rsidRPr="009B4A73">
              <w:rPr>
                <w:b/>
                <w:sz w:val="22"/>
              </w:rPr>
              <w:t>Duration of</w:t>
            </w:r>
            <w:r w:rsidR="00CE0B5E" w:rsidRPr="009B4A73">
              <w:rPr>
                <w:b/>
                <w:sz w:val="22"/>
              </w:rPr>
              <w:t xml:space="preserve"> </w:t>
            </w:r>
            <w:r w:rsidR="008D53AD" w:rsidRPr="009B4A73">
              <w:rPr>
                <w:b/>
                <w:bCs/>
                <w:sz w:val="22"/>
              </w:rPr>
              <w:t>trastuzumab</w:t>
            </w:r>
            <w:r w:rsidRPr="009B4A73">
              <w:rPr>
                <w:b/>
                <w:sz w:val="22"/>
              </w:rPr>
              <w:t xml:space="preserve"> treatment </w:t>
            </w:r>
          </w:p>
        </w:tc>
        <w:tc>
          <w:tcPr>
            <w:tcW w:w="1408" w:type="pct"/>
            <w:tcBorders>
              <w:top w:val="single" w:sz="4" w:space="0" w:color="000000"/>
              <w:left w:val="single" w:sz="4" w:space="0" w:color="000000"/>
              <w:bottom w:val="single" w:sz="4" w:space="0" w:color="000000"/>
              <w:right w:val="single" w:sz="4" w:space="0" w:color="000000"/>
            </w:tcBorders>
          </w:tcPr>
          <w:p w14:paraId="5A02168F" w14:textId="77777777" w:rsidR="00D92EBC" w:rsidRPr="009B4A73" w:rsidRDefault="0078763F" w:rsidP="00947287">
            <w:pPr>
              <w:spacing w:after="0" w:line="240" w:lineRule="auto"/>
              <w:ind w:left="0" w:firstLine="0"/>
              <w:rPr>
                <w:sz w:val="22"/>
              </w:rPr>
            </w:pPr>
            <w:r w:rsidRPr="009B4A73">
              <w:rPr>
                <w:sz w:val="22"/>
              </w:rPr>
              <w:t xml:space="preserve"> </w:t>
            </w:r>
          </w:p>
          <w:p w14:paraId="1D284B56" w14:textId="77777777" w:rsidR="00D92EBC" w:rsidRPr="009B4A73" w:rsidRDefault="0078763F" w:rsidP="00947287">
            <w:pPr>
              <w:spacing w:after="0" w:line="240" w:lineRule="auto"/>
              <w:ind w:left="0" w:firstLine="0"/>
              <w:rPr>
                <w:sz w:val="22"/>
              </w:rPr>
            </w:pPr>
            <w:r w:rsidRPr="009B4A73">
              <w:rPr>
                <w:sz w:val="22"/>
              </w:rPr>
              <w:t xml:space="preserve">1 </w:t>
            </w:r>
            <w:proofErr w:type="spellStart"/>
            <w:r w:rsidRPr="009B4A73">
              <w:rPr>
                <w:sz w:val="22"/>
              </w:rPr>
              <w:t>yr</w:t>
            </w:r>
            <w:proofErr w:type="spellEnd"/>
            <w:r w:rsidRPr="009B4A73">
              <w:rPr>
                <w:sz w:val="22"/>
              </w:rPr>
              <w:t xml:space="preserve"> or 2 </w:t>
            </w:r>
            <w:proofErr w:type="spellStart"/>
            <w:r w:rsidRPr="009B4A73">
              <w:rPr>
                <w:sz w:val="22"/>
              </w:rPr>
              <w:t>yrs</w:t>
            </w:r>
            <w:proofErr w:type="spellEnd"/>
            <w:r w:rsidRPr="009B4A73">
              <w:rPr>
                <w:sz w:val="22"/>
              </w:rPr>
              <w:t xml:space="preserve"> </w:t>
            </w:r>
          </w:p>
        </w:tc>
        <w:tc>
          <w:tcPr>
            <w:tcW w:w="1408" w:type="pct"/>
            <w:tcBorders>
              <w:top w:val="single" w:sz="4" w:space="0" w:color="000000"/>
              <w:left w:val="single" w:sz="4" w:space="0" w:color="000000"/>
              <w:bottom w:val="single" w:sz="4" w:space="0" w:color="000000"/>
              <w:right w:val="single" w:sz="4" w:space="0" w:color="000000"/>
            </w:tcBorders>
          </w:tcPr>
          <w:p w14:paraId="2DDEDE7C" w14:textId="77777777" w:rsidR="00D92EBC" w:rsidRPr="009B4A73" w:rsidRDefault="0078763F" w:rsidP="00947287">
            <w:pPr>
              <w:spacing w:after="0" w:line="240" w:lineRule="auto"/>
              <w:ind w:left="0" w:firstLine="0"/>
              <w:rPr>
                <w:sz w:val="22"/>
              </w:rPr>
            </w:pPr>
            <w:r w:rsidRPr="009B4A73">
              <w:rPr>
                <w:sz w:val="22"/>
              </w:rPr>
              <w:t xml:space="preserve"> </w:t>
            </w:r>
          </w:p>
          <w:p w14:paraId="5A0A1662" w14:textId="77777777" w:rsidR="00D92EBC" w:rsidRPr="009B4A73" w:rsidRDefault="0078763F" w:rsidP="00947287">
            <w:pPr>
              <w:spacing w:after="0" w:line="240" w:lineRule="auto"/>
              <w:ind w:left="0" w:firstLine="0"/>
              <w:rPr>
                <w:sz w:val="22"/>
              </w:rPr>
            </w:pPr>
            <w:r w:rsidRPr="009B4A73">
              <w:rPr>
                <w:sz w:val="22"/>
              </w:rPr>
              <w:t xml:space="preserve">52 weeks </w:t>
            </w:r>
          </w:p>
        </w:tc>
        <w:tc>
          <w:tcPr>
            <w:tcW w:w="1267" w:type="pct"/>
            <w:tcBorders>
              <w:top w:val="single" w:sz="4" w:space="0" w:color="000000"/>
              <w:left w:val="single" w:sz="4" w:space="0" w:color="000000"/>
              <w:bottom w:val="single" w:sz="4" w:space="0" w:color="000000"/>
              <w:right w:val="single" w:sz="4" w:space="0" w:color="000000"/>
            </w:tcBorders>
          </w:tcPr>
          <w:p w14:paraId="5009978D" w14:textId="77777777" w:rsidR="00D92EBC" w:rsidRPr="009B4A73" w:rsidRDefault="0078763F" w:rsidP="00947287">
            <w:pPr>
              <w:spacing w:after="0" w:line="240" w:lineRule="auto"/>
              <w:ind w:left="0" w:firstLine="0"/>
              <w:rPr>
                <w:sz w:val="22"/>
              </w:rPr>
            </w:pPr>
            <w:r w:rsidRPr="009B4A73">
              <w:rPr>
                <w:sz w:val="22"/>
              </w:rPr>
              <w:t xml:space="preserve"> </w:t>
            </w:r>
          </w:p>
          <w:p w14:paraId="1B07CFEC" w14:textId="77777777" w:rsidR="00D92EBC" w:rsidRPr="009B4A73" w:rsidRDefault="0078763F" w:rsidP="00947287">
            <w:pPr>
              <w:spacing w:after="0" w:line="240" w:lineRule="auto"/>
              <w:ind w:left="0" w:firstLine="0"/>
              <w:rPr>
                <w:sz w:val="22"/>
              </w:rPr>
            </w:pPr>
            <w:r w:rsidRPr="009B4A73">
              <w:rPr>
                <w:sz w:val="22"/>
              </w:rPr>
              <w:t xml:space="preserve">52 weeks </w:t>
            </w:r>
          </w:p>
        </w:tc>
      </w:tr>
      <w:tr w:rsidR="00D92EBC" w:rsidRPr="009B4A73" w14:paraId="1CCAEAD6" w14:textId="77777777" w:rsidTr="00947287">
        <w:trPr>
          <w:trHeight w:val="794"/>
        </w:trPr>
        <w:tc>
          <w:tcPr>
            <w:tcW w:w="916" w:type="pct"/>
            <w:tcBorders>
              <w:top w:val="single" w:sz="4" w:space="0" w:color="000000"/>
              <w:left w:val="single" w:sz="4" w:space="0" w:color="000000"/>
              <w:bottom w:val="single" w:sz="4" w:space="0" w:color="000000"/>
              <w:right w:val="single" w:sz="4" w:space="0" w:color="000000"/>
            </w:tcBorders>
          </w:tcPr>
          <w:p w14:paraId="0B678468" w14:textId="77777777" w:rsidR="00D92EBC" w:rsidRPr="009B4A73" w:rsidRDefault="0078763F" w:rsidP="00947287">
            <w:pPr>
              <w:spacing w:after="0" w:line="240" w:lineRule="auto"/>
              <w:ind w:left="0" w:firstLine="0"/>
              <w:rPr>
                <w:sz w:val="22"/>
              </w:rPr>
            </w:pPr>
            <w:r w:rsidRPr="009B4A73">
              <w:rPr>
                <w:b/>
                <w:sz w:val="22"/>
              </w:rPr>
              <w:t xml:space="preserve">Chemotherapy regimen(s) </w:t>
            </w:r>
          </w:p>
        </w:tc>
        <w:tc>
          <w:tcPr>
            <w:tcW w:w="1408" w:type="pct"/>
            <w:tcBorders>
              <w:top w:val="single" w:sz="4" w:space="0" w:color="000000"/>
              <w:left w:val="single" w:sz="4" w:space="0" w:color="000000"/>
              <w:bottom w:val="single" w:sz="4" w:space="0" w:color="000000"/>
              <w:right w:val="single" w:sz="4" w:space="0" w:color="000000"/>
            </w:tcBorders>
          </w:tcPr>
          <w:p w14:paraId="1D4F394A" w14:textId="77777777" w:rsidR="00D92EBC" w:rsidRPr="009B4A73" w:rsidRDefault="0078763F" w:rsidP="00947287">
            <w:pPr>
              <w:spacing w:after="0" w:line="240" w:lineRule="auto"/>
              <w:ind w:left="0" w:firstLine="0"/>
              <w:rPr>
                <w:sz w:val="22"/>
              </w:rPr>
            </w:pPr>
            <w:r w:rsidRPr="009B4A73">
              <w:rPr>
                <w:sz w:val="22"/>
              </w:rPr>
              <w:t xml:space="preserve">Various </w:t>
            </w:r>
          </w:p>
          <w:p w14:paraId="03558582" w14:textId="77777777" w:rsidR="00D92EBC" w:rsidRPr="009B4A73" w:rsidRDefault="0078763F" w:rsidP="00947287">
            <w:pPr>
              <w:spacing w:after="0" w:line="240" w:lineRule="auto"/>
              <w:ind w:left="0" w:firstLine="0"/>
              <w:rPr>
                <w:sz w:val="22"/>
              </w:rPr>
            </w:pPr>
            <w:r w:rsidRPr="009B4A73">
              <w:rPr>
                <w:sz w:val="22"/>
              </w:rPr>
              <w:t xml:space="preserve"> </w:t>
            </w:r>
          </w:p>
          <w:p w14:paraId="02EF737E" w14:textId="77777777" w:rsidR="00D92EBC" w:rsidRPr="009B4A73" w:rsidRDefault="0078763F" w:rsidP="00947287">
            <w:pPr>
              <w:spacing w:after="0" w:line="240" w:lineRule="auto"/>
              <w:ind w:left="0" w:firstLine="0"/>
              <w:rPr>
                <w:sz w:val="22"/>
              </w:rPr>
            </w:pPr>
            <w:r w:rsidRPr="009B4A73">
              <w:rPr>
                <w:sz w:val="22"/>
              </w:rPr>
              <w:t xml:space="preserve"> </w:t>
            </w:r>
          </w:p>
          <w:p w14:paraId="372E6325" w14:textId="77777777" w:rsidR="00D92EBC" w:rsidRPr="009B4A73" w:rsidRDefault="0078763F" w:rsidP="00947287">
            <w:pPr>
              <w:spacing w:after="0" w:line="240" w:lineRule="auto"/>
              <w:ind w:left="0" w:firstLine="0"/>
              <w:rPr>
                <w:sz w:val="22"/>
              </w:rPr>
            </w:pPr>
            <w:r w:rsidRPr="009B4A73">
              <w:rPr>
                <w:sz w:val="22"/>
              </w:rPr>
              <w:t xml:space="preserve"> </w:t>
            </w:r>
          </w:p>
          <w:p w14:paraId="099E4908" w14:textId="77777777" w:rsidR="00D92EBC" w:rsidRPr="009B4A73" w:rsidRDefault="0078763F" w:rsidP="00947287">
            <w:pPr>
              <w:spacing w:after="0" w:line="240" w:lineRule="auto"/>
              <w:ind w:left="0" w:firstLine="0"/>
              <w:rPr>
                <w:sz w:val="22"/>
              </w:rPr>
            </w:pPr>
            <w:r w:rsidRPr="009B4A73">
              <w:rPr>
                <w:sz w:val="22"/>
              </w:rPr>
              <w:t xml:space="preserve"> </w:t>
            </w:r>
          </w:p>
          <w:p w14:paraId="18646012" w14:textId="77777777" w:rsidR="00D92EBC" w:rsidRPr="009B4A73" w:rsidRDefault="0078763F" w:rsidP="00947287">
            <w:pPr>
              <w:spacing w:after="0" w:line="240" w:lineRule="auto"/>
              <w:ind w:left="0" w:firstLine="0"/>
              <w:rPr>
                <w:sz w:val="22"/>
              </w:rPr>
            </w:pPr>
            <w:r w:rsidRPr="009B4A73">
              <w:rPr>
                <w:sz w:val="22"/>
              </w:rPr>
              <w:t xml:space="preserve"> </w:t>
            </w:r>
          </w:p>
          <w:p w14:paraId="5DC653CD" w14:textId="77777777" w:rsidR="00D92EBC" w:rsidRPr="009B4A73" w:rsidRDefault="0078763F" w:rsidP="00947287">
            <w:pPr>
              <w:spacing w:after="0" w:line="240" w:lineRule="auto"/>
              <w:ind w:left="0" w:firstLine="0"/>
              <w:rPr>
                <w:sz w:val="22"/>
              </w:rPr>
            </w:pPr>
            <w:r w:rsidRPr="009B4A73">
              <w:rPr>
                <w:sz w:val="22"/>
              </w:rPr>
              <w:t xml:space="preserve"> </w:t>
            </w:r>
          </w:p>
        </w:tc>
        <w:tc>
          <w:tcPr>
            <w:tcW w:w="1408" w:type="pct"/>
            <w:tcBorders>
              <w:top w:val="single" w:sz="4" w:space="0" w:color="000000"/>
              <w:left w:val="single" w:sz="4" w:space="0" w:color="000000"/>
              <w:bottom w:val="single" w:sz="4" w:space="0" w:color="000000"/>
              <w:right w:val="single" w:sz="4" w:space="0" w:color="000000"/>
            </w:tcBorders>
          </w:tcPr>
          <w:p w14:paraId="1C89C155" w14:textId="77777777" w:rsidR="00D92EBC" w:rsidRPr="009B4A73" w:rsidRDefault="0078763F" w:rsidP="00947287">
            <w:pPr>
              <w:spacing w:after="0" w:line="240" w:lineRule="auto"/>
              <w:ind w:left="0" w:firstLine="0"/>
              <w:rPr>
                <w:sz w:val="22"/>
              </w:rPr>
            </w:pPr>
            <w:r w:rsidRPr="009B4A73">
              <w:rPr>
                <w:sz w:val="22"/>
              </w:rPr>
              <w:t>AC (q3w) followed by IV paclitaxel as a continuous IV infusion (</w:t>
            </w:r>
            <w:r w:rsidRPr="009B4A73">
              <w:rPr>
                <w:b/>
                <w:sz w:val="22"/>
              </w:rPr>
              <w:t>AC→P)</w:t>
            </w:r>
            <w:r w:rsidRPr="009B4A73">
              <w:rPr>
                <w:sz w:val="22"/>
              </w:rPr>
              <w:t xml:space="preserve">. </w:t>
            </w:r>
          </w:p>
          <w:p w14:paraId="6BCA95E5" w14:textId="77777777" w:rsidR="00D92EBC" w:rsidRPr="009B4A73" w:rsidRDefault="0078763F" w:rsidP="00947287">
            <w:pPr>
              <w:spacing w:after="0" w:line="240" w:lineRule="auto"/>
              <w:ind w:left="0" w:firstLine="0"/>
              <w:rPr>
                <w:sz w:val="22"/>
              </w:rPr>
            </w:pPr>
            <w:r w:rsidRPr="009B4A73">
              <w:rPr>
                <w:sz w:val="22"/>
              </w:rPr>
              <w:t xml:space="preserve"> </w:t>
            </w:r>
          </w:p>
          <w:p w14:paraId="55E55EFC" w14:textId="29C066D2" w:rsidR="00D92EBC" w:rsidRPr="009B4A73" w:rsidRDefault="0078763F" w:rsidP="00947287">
            <w:pPr>
              <w:spacing w:after="0" w:line="240" w:lineRule="auto"/>
              <w:ind w:left="0" w:firstLine="0"/>
              <w:rPr>
                <w:sz w:val="22"/>
              </w:rPr>
            </w:pPr>
            <w:r w:rsidRPr="009B4A73">
              <w:rPr>
                <w:sz w:val="22"/>
              </w:rPr>
              <w:t>Paclitaxel:</w:t>
            </w:r>
            <w:r w:rsidR="008805AA" w:rsidRPr="009B4A73">
              <w:rPr>
                <w:sz w:val="22"/>
              </w:rPr>
              <w:t xml:space="preserve"> </w:t>
            </w:r>
            <w:r w:rsidRPr="009B4A73">
              <w:rPr>
                <w:sz w:val="22"/>
              </w:rPr>
              <w:t>80 mg/m</w:t>
            </w:r>
            <w:r w:rsidRPr="009B4A73">
              <w:rPr>
                <w:sz w:val="22"/>
                <w:vertAlign w:val="superscript"/>
              </w:rPr>
              <w:t>2</w:t>
            </w:r>
            <w:r w:rsidRPr="009B4A73">
              <w:rPr>
                <w:sz w:val="22"/>
              </w:rPr>
              <w:t xml:space="preserve"> q1w for 12 weeks or 175 mg/m</w:t>
            </w:r>
            <w:r w:rsidRPr="009B4A73">
              <w:rPr>
                <w:sz w:val="22"/>
                <w:vertAlign w:val="superscript"/>
              </w:rPr>
              <w:t>2</w:t>
            </w:r>
            <w:r w:rsidRPr="009B4A73">
              <w:rPr>
                <w:sz w:val="22"/>
              </w:rPr>
              <w:t xml:space="preserve"> q3w for 4 cycles (day 1 of each cycle) </w:t>
            </w:r>
          </w:p>
          <w:p w14:paraId="5B79DFDB" w14:textId="77777777" w:rsidR="00D92EBC" w:rsidRPr="009B4A73" w:rsidRDefault="0078763F" w:rsidP="00947287">
            <w:pPr>
              <w:spacing w:after="0" w:line="240" w:lineRule="auto"/>
              <w:ind w:left="0" w:firstLine="0"/>
              <w:rPr>
                <w:sz w:val="22"/>
              </w:rPr>
            </w:pPr>
            <w:r w:rsidRPr="009B4A73">
              <w:rPr>
                <w:sz w:val="22"/>
              </w:rPr>
              <w:t xml:space="preserve"> </w:t>
            </w:r>
          </w:p>
        </w:tc>
        <w:tc>
          <w:tcPr>
            <w:tcW w:w="1267" w:type="pct"/>
            <w:tcBorders>
              <w:top w:val="single" w:sz="4" w:space="0" w:color="000000"/>
              <w:left w:val="single" w:sz="4" w:space="0" w:color="000000"/>
              <w:bottom w:val="single" w:sz="4" w:space="0" w:color="000000"/>
              <w:right w:val="single" w:sz="4" w:space="0" w:color="000000"/>
            </w:tcBorders>
          </w:tcPr>
          <w:p w14:paraId="6D8DCD7E" w14:textId="77777777" w:rsidR="00D92EBC" w:rsidRPr="009B4A73" w:rsidRDefault="0078763F" w:rsidP="00947287">
            <w:pPr>
              <w:spacing w:after="0" w:line="240" w:lineRule="auto"/>
              <w:ind w:left="0" w:firstLine="0"/>
              <w:rPr>
                <w:sz w:val="22"/>
              </w:rPr>
            </w:pPr>
            <w:r w:rsidRPr="009B4A73">
              <w:rPr>
                <w:sz w:val="22"/>
              </w:rPr>
              <w:t xml:space="preserve">AC followed by docetaxel </w:t>
            </w:r>
          </w:p>
          <w:p w14:paraId="74113B0E" w14:textId="77777777" w:rsidR="00D92EBC" w:rsidRPr="009B4A73" w:rsidRDefault="0078763F" w:rsidP="00947287">
            <w:pPr>
              <w:spacing w:after="0" w:line="240" w:lineRule="auto"/>
              <w:ind w:left="0" w:firstLine="0"/>
              <w:rPr>
                <w:sz w:val="22"/>
              </w:rPr>
            </w:pPr>
            <w:r w:rsidRPr="009B4A73">
              <w:rPr>
                <w:b/>
                <w:sz w:val="22"/>
              </w:rPr>
              <w:t>(AC→D)</w:t>
            </w:r>
            <w:r w:rsidRPr="009B4A73">
              <w:rPr>
                <w:sz w:val="22"/>
              </w:rPr>
              <w:t xml:space="preserve"> or docetaxel and carboplatin (</w:t>
            </w:r>
            <w:proofErr w:type="spellStart"/>
            <w:r w:rsidRPr="009B4A73">
              <w:rPr>
                <w:b/>
                <w:sz w:val="22"/>
              </w:rPr>
              <w:t>DCarb</w:t>
            </w:r>
            <w:proofErr w:type="spellEnd"/>
            <w:r w:rsidRPr="009B4A73">
              <w:rPr>
                <w:b/>
                <w:sz w:val="22"/>
              </w:rPr>
              <w:t>)</w:t>
            </w:r>
            <w:r w:rsidRPr="009B4A73">
              <w:rPr>
                <w:sz w:val="22"/>
              </w:rPr>
              <w:t xml:space="preserve"> </w:t>
            </w:r>
          </w:p>
          <w:p w14:paraId="541371A9" w14:textId="77777777" w:rsidR="00D92EBC" w:rsidRPr="009B4A73" w:rsidRDefault="0078763F" w:rsidP="00947287">
            <w:pPr>
              <w:spacing w:after="0" w:line="240" w:lineRule="auto"/>
              <w:ind w:left="0" w:firstLine="0"/>
              <w:rPr>
                <w:sz w:val="22"/>
              </w:rPr>
            </w:pPr>
            <w:r w:rsidRPr="009B4A73">
              <w:rPr>
                <w:sz w:val="22"/>
              </w:rPr>
              <w:t xml:space="preserve"> </w:t>
            </w:r>
          </w:p>
          <w:p w14:paraId="08FC37B1" w14:textId="140A01F6" w:rsidR="00D92EBC" w:rsidRPr="009B4A73" w:rsidRDefault="0078763F" w:rsidP="00947287">
            <w:pPr>
              <w:spacing w:after="0" w:line="240" w:lineRule="auto"/>
              <w:ind w:left="0" w:firstLine="0"/>
              <w:jc w:val="both"/>
              <w:rPr>
                <w:sz w:val="22"/>
              </w:rPr>
            </w:pPr>
            <w:r w:rsidRPr="009B4A73">
              <w:rPr>
                <w:sz w:val="22"/>
              </w:rPr>
              <w:t>Docetaxel (IV infusion over 60 min):</w:t>
            </w:r>
            <w:r w:rsidR="008805AA" w:rsidRPr="009B4A73">
              <w:rPr>
                <w:sz w:val="22"/>
              </w:rPr>
              <w:t xml:space="preserve"> </w:t>
            </w:r>
          </w:p>
          <w:p w14:paraId="4EF125DD" w14:textId="77777777" w:rsidR="00D92EBC" w:rsidRPr="009B4A73" w:rsidRDefault="0078763F" w:rsidP="00947287">
            <w:pPr>
              <w:spacing w:after="0" w:line="240" w:lineRule="auto"/>
              <w:ind w:left="0" w:firstLine="0"/>
              <w:jc w:val="both"/>
              <w:rPr>
                <w:sz w:val="22"/>
              </w:rPr>
            </w:pPr>
            <w:r w:rsidRPr="009B4A73">
              <w:rPr>
                <w:b/>
                <w:sz w:val="22"/>
              </w:rPr>
              <w:t>(AC→D):</w:t>
            </w:r>
            <w:r w:rsidRPr="009B4A73">
              <w:rPr>
                <w:sz w:val="22"/>
              </w:rPr>
              <w:t xml:space="preserve"> 100 mg/m</w:t>
            </w:r>
            <w:r w:rsidRPr="009B4A73">
              <w:rPr>
                <w:sz w:val="22"/>
                <w:vertAlign w:val="superscript"/>
              </w:rPr>
              <w:t>2</w:t>
            </w:r>
            <w:r w:rsidRPr="009B4A73">
              <w:rPr>
                <w:sz w:val="22"/>
              </w:rPr>
              <w:t xml:space="preserve"> q3w </w:t>
            </w:r>
          </w:p>
          <w:p w14:paraId="144681B4" w14:textId="3687D93C" w:rsidR="00D92EBC" w:rsidRPr="009B4A73" w:rsidRDefault="0078763F" w:rsidP="00947287">
            <w:pPr>
              <w:spacing w:after="0" w:line="240" w:lineRule="auto"/>
              <w:ind w:left="0" w:firstLine="0"/>
              <w:rPr>
                <w:sz w:val="22"/>
              </w:rPr>
            </w:pPr>
            <w:r w:rsidRPr="009B4A73">
              <w:rPr>
                <w:sz w:val="22"/>
              </w:rPr>
              <w:t>for 4 cycles or</w:t>
            </w:r>
            <w:r w:rsidR="008805AA" w:rsidRPr="009B4A73">
              <w:rPr>
                <w:sz w:val="22"/>
              </w:rPr>
              <w:t xml:space="preserve"> </w:t>
            </w:r>
          </w:p>
          <w:p w14:paraId="6FEA97E0" w14:textId="77777777" w:rsidR="00D92EBC" w:rsidRPr="009B4A73" w:rsidRDefault="0078763F" w:rsidP="00947287">
            <w:pPr>
              <w:spacing w:after="0" w:line="240" w:lineRule="auto"/>
              <w:ind w:left="0" w:firstLine="0"/>
              <w:rPr>
                <w:sz w:val="22"/>
              </w:rPr>
            </w:pPr>
            <w:r w:rsidRPr="009B4A73">
              <w:rPr>
                <w:b/>
                <w:sz w:val="22"/>
              </w:rPr>
              <w:t>(</w:t>
            </w:r>
            <w:proofErr w:type="spellStart"/>
            <w:r w:rsidRPr="009B4A73">
              <w:rPr>
                <w:b/>
                <w:sz w:val="22"/>
              </w:rPr>
              <w:t>DCarb</w:t>
            </w:r>
            <w:proofErr w:type="spellEnd"/>
            <w:r w:rsidRPr="009B4A73">
              <w:rPr>
                <w:b/>
                <w:sz w:val="22"/>
              </w:rPr>
              <w:t>):</w:t>
            </w:r>
            <w:r w:rsidRPr="009B4A73">
              <w:rPr>
                <w:sz w:val="22"/>
              </w:rPr>
              <w:t xml:space="preserve"> 75 mg/m</w:t>
            </w:r>
            <w:r w:rsidRPr="009B4A73">
              <w:rPr>
                <w:sz w:val="22"/>
                <w:vertAlign w:val="superscript"/>
              </w:rPr>
              <w:t>2</w:t>
            </w:r>
            <w:r w:rsidRPr="009B4A73">
              <w:rPr>
                <w:sz w:val="22"/>
              </w:rPr>
              <w:t xml:space="preserve"> q3w </w:t>
            </w:r>
          </w:p>
          <w:p w14:paraId="15D16324" w14:textId="342D18D6" w:rsidR="00D92EBC" w:rsidRPr="009B4A73" w:rsidRDefault="0078763F" w:rsidP="00947287">
            <w:pPr>
              <w:spacing w:after="0" w:line="240" w:lineRule="auto"/>
              <w:ind w:left="0" w:firstLine="0"/>
              <w:rPr>
                <w:sz w:val="22"/>
              </w:rPr>
            </w:pPr>
            <w:r w:rsidRPr="009B4A73">
              <w:rPr>
                <w:sz w:val="22"/>
              </w:rPr>
              <w:t>for 6 cycles</w:t>
            </w:r>
            <w:r w:rsidR="008805AA" w:rsidRPr="009B4A73">
              <w:rPr>
                <w:sz w:val="22"/>
              </w:rPr>
              <w:t xml:space="preserve"> </w:t>
            </w:r>
          </w:p>
          <w:p w14:paraId="1CD50BCF" w14:textId="319229C3" w:rsidR="00D92EBC" w:rsidRPr="009B4A73" w:rsidRDefault="0078763F" w:rsidP="00947287">
            <w:pPr>
              <w:spacing w:after="0" w:line="240" w:lineRule="auto"/>
              <w:ind w:left="0" w:firstLine="0"/>
              <w:rPr>
                <w:sz w:val="22"/>
              </w:rPr>
            </w:pPr>
            <w:r w:rsidRPr="009B4A73">
              <w:rPr>
                <w:sz w:val="22"/>
              </w:rPr>
              <w:t>Carboplatin (at target AUC):</w:t>
            </w:r>
            <w:r w:rsidR="008805AA" w:rsidRPr="009B4A73">
              <w:rPr>
                <w:sz w:val="22"/>
              </w:rPr>
              <w:t xml:space="preserve"> </w:t>
            </w:r>
          </w:p>
          <w:p w14:paraId="3432D2BA" w14:textId="77777777" w:rsidR="00D92EBC" w:rsidRPr="009B4A73" w:rsidRDefault="0078763F" w:rsidP="00947287">
            <w:pPr>
              <w:spacing w:after="0" w:line="240" w:lineRule="auto"/>
              <w:ind w:left="0" w:firstLine="0"/>
              <w:rPr>
                <w:sz w:val="22"/>
              </w:rPr>
            </w:pPr>
            <w:r w:rsidRPr="009B4A73">
              <w:rPr>
                <w:sz w:val="22"/>
              </w:rPr>
              <w:t xml:space="preserve">6 mg/mL/min (IV infusion over 30 - 60 min) q3w for a total of 6 cycles. </w:t>
            </w:r>
          </w:p>
        </w:tc>
      </w:tr>
      <w:tr w:rsidR="00D92EBC" w:rsidRPr="009B4A73" w14:paraId="53277FE7" w14:textId="77777777" w:rsidTr="00947287">
        <w:trPr>
          <w:trHeight w:val="794"/>
        </w:trPr>
        <w:tc>
          <w:tcPr>
            <w:tcW w:w="916" w:type="pct"/>
            <w:tcBorders>
              <w:top w:val="single" w:sz="4" w:space="0" w:color="000000"/>
              <w:left w:val="single" w:sz="4" w:space="0" w:color="000000"/>
              <w:bottom w:val="single" w:sz="4" w:space="0" w:color="000000"/>
              <w:right w:val="single" w:sz="4" w:space="0" w:color="000000"/>
            </w:tcBorders>
          </w:tcPr>
          <w:p w14:paraId="2F9FCF3D" w14:textId="112C0200" w:rsidR="00D92EBC" w:rsidRPr="009B4A73" w:rsidRDefault="0078763F" w:rsidP="00947287">
            <w:pPr>
              <w:spacing w:after="0" w:line="240" w:lineRule="auto"/>
              <w:ind w:left="0" w:firstLine="0"/>
              <w:rPr>
                <w:sz w:val="22"/>
              </w:rPr>
            </w:pPr>
            <w:r w:rsidRPr="009B4A73">
              <w:rPr>
                <w:b/>
                <w:sz w:val="22"/>
              </w:rPr>
              <w:t>Timing of</w:t>
            </w:r>
            <w:r w:rsidR="00CE0B5E" w:rsidRPr="009B4A73">
              <w:rPr>
                <w:b/>
                <w:sz w:val="22"/>
              </w:rPr>
              <w:t xml:space="preserve"> </w:t>
            </w:r>
            <w:r w:rsidR="00646800" w:rsidRPr="009B4A73">
              <w:rPr>
                <w:b/>
                <w:bCs/>
                <w:sz w:val="22"/>
              </w:rPr>
              <w:t>trastuzumab</w:t>
            </w:r>
            <w:r w:rsidRPr="009B4A73">
              <w:rPr>
                <w:b/>
                <w:sz w:val="22"/>
              </w:rPr>
              <w:t xml:space="preserve"> in relation to chemotherapy </w:t>
            </w:r>
          </w:p>
        </w:tc>
        <w:tc>
          <w:tcPr>
            <w:tcW w:w="1408" w:type="pct"/>
            <w:tcBorders>
              <w:top w:val="single" w:sz="4" w:space="0" w:color="000000"/>
              <w:left w:val="single" w:sz="4" w:space="0" w:color="000000"/>
              <w:bottom w:val="single" w:sz="4" w:space="0" w:color="000000"/>
              <w:right w:val="single" w:sz="4" w:space="0" w:color="000000"/>
            </w:tcBorders>
          </w:tcPr>
          <w:p w14:paraId="20DE132E" w14:textId="77777777" w:rsidR="00D92EBC" w:rsidRPr="009B4A73" w:rsidRDefault="0078763F" w:rsidP="00947287">
            <w:pPr>
              <w:spacing w:after="0" w:line="240" w:lineRule="auto"/>
              <w:ind w:left="0" w:firstLine="0"/>
              <w:rPr>
                <w:sz w:val="22"/>
              </w:rPr>
            </w:pPr>
            <w:r w:rsidRPr="009B4A73">
              <w:rPr>
                <w:sz w:val="22"/>
              </w:rPr>
              <w:t xml:space="preserve">After completion of (neo)adjuvant </w:t>
            </w:r>
            <w:r w:rsidRPr="009B4A73">
              <w:rPr>
                <w:sz w:val="22"/>
                <w:vertAlign w:val="superscript"/>
              </w:rPr>
              <w:t>a</w:t>
            </w:r>
            <w:r w:rsidRPr="009B4A73">
              <w:rPr>
                <w:sz w:val="22"/>
              </w:rPr>
              <w:t xml:space="preserve"> </w:t>
            </w:r>
          </w:p>
        </w:tc>
        <w:tc>
          <w:tcPr>
            <w:tcW w:w="1408" w:type="pct"/>
            <w:tcBorders>
              <w:top w:val="single" w:sz="4" w:space="0" w:color="000000"/>
              <w:left w:val="single" w:sz="4" w:space="0" w:color="000000"/>
              <w:bottom w:val="single" w:sz="4" w:space="0" w:color="000000"/>
              <w:right w:val="single" w:sz="4" w:space="0" w:color="000000"/>
            </w:tcBorders>
          </w:tcPr>
          <w:p w14:paraId="02929226" w14:textId="1F59EB78" w:rsidR="00D92EBC" w:rsidRPr="009B4A73" w:rsidRDefault="0078763F" w:rsidP="00947287">
            <w:pPr>
              <w:spacing w:after="0" w:line="240" w:lineRule="auto"/>
              <w:ind w:left="0" w:firstLine="0"/>
              <w:jc w:val="both"/>
              <w:rPr>
                <w:sz w:val="22"/>
              </w:rPr>
            </w:pPr>
            <w:r w:rsidRPr="009B4A73">
              <w:rPr>
                <w:sz w:val="22"/>
              </w:rPr>
              <w:t xml:space="preserve">Concurrent </w:t>
            </w:r>
            <w:r w:rsidRPr="009B4A73">
              <w:rPr>
                <w:b/>
                <w:sz w:val="22"/>
              </w:rPr>
              <w:t xml:space="preserve">(AC→PH) </w:t>
            </w:r>
            <w:r w:rsidRPr="009B4A73">
              <w:rPr>
                <w:sz w:val="22"/>
              </w:rPr>
              <w:t>or sequential (</w:t>
            </w:r>
            <w:r w:rsidRPr="009B4A73">
              <w:rPr>
                <w:b/>
                <w:sz w:val="22"/>
              </w:rPr>
              <w:t>AC→P→H)</w:t>
            </w:r>
            <w:r w:rsidR="008805AA" w:rsidRPr="009B4A73">
              <w:rPr>
                <w:sz w:val="22"/>
              </w:rPr>
              <w:t xml:space="preserve"> </w:t>
            </w:r>
          </w:p>
        </w:tc>
        <w:tc>
          <w:tcPr>
            <w:tcW w:w="1267" w:type="pct"/>
            <w:tcBorders>
              <w:top w:val="single" w:sz="4" w:space="0" w:color="000000"/>
              <w:left w:val="single" w:sz="4" w:space="0" w:color="000000"/>
              <w:bottom w:val="single" w:sz="4" w:space="0" w:color="000000"/>
              <w:right w:val="single" w:sz="4" w:space="0" w:color="000000"/>
            </w:tcBorders>
          </w:tcPr>
          <w:p w14:paraId="4BFD6564" w14:textId="595E6DAA" w:rsidR="00D92EBC" w:rsidRPr="009B4A73" w:rsidRDefault="0078763F" w:rsidP="00947287">
            <w:pPr>
              <w:spacing w:after="0" w:line="240" w:lineRule="auto"/>
              <w:ind w:left="0" w:firstLine="0"/>
              <w:rPr>
                <w:sz w:val="22"/>
              </w:rPr>
            </w:pPr>
            <w:r w:rsidRPr="009B4A73">
              <w:rPr>
                <w:sz w:val="22"/>
              </w:rPr>
              <w:t xml:space="preserve">Concurrent </w:t>
            </w:r>
            <w:r w:rsidRPr="009B4A73">
              <w:rPr>
                <w:b/>
                <w:sz w:val="22"/>
              </w:rPr>
              <w:t>(AC→DH</w:t>
            </w:r>
            <w:r w:rsidRPr="009B4A73">
              <w:rPr>
                <w:sz w:val="22"/>
              </w:rPr>
              <w:t xml:space="preserve"> and </w:t>
            </w:r>
            <w:proofErr w:type="spellStart"/>
            <w:r w:rsidRPr="009B4A73">
              <w:rPr>
                <w:b/>
                <w:sz w:val="22"/>
              </w:rPr>
              <w:t>DCarbH</w:t>
            </w:r>
            <w:proofErr w:type="spellEnd"/>
            <w:r w:rsidRPr="009B4A73">
              <w:rPr>
                <w:b/>
                <w:sz w:val="22"/>
              </w:rPr>
              <w:t>)</w:t>
            </w:r>
            <w:r w:rsidR="008805AA" w:rsidRPr="009B4A73">
              <w:rPr>
                <w:sz w:val="22"/>
              </w:rPr>
              <w:t xml:space="preserve"> </w:t>
            </w:r>
          </w:p>
        </w:tc>
      </w:tr>
      <w:tr w:rsidR="00D92EBC" w:rsidRPr="009B4A73" w14:paraId="005672D1" w14:textId="77777777" w:rsidTr="008D53AD">
        <w:trPr>
          <w:trHeight w:val="578"/>
        </w:trPr>
        <w:tc>
          <w:tcPr>
            <w:tcW w:w="916" w:type="pct"/>
            <w:tcBorders>
              <w:top w:val="single" w:sz="4" w:space="0" w:color="000000"/>
              <w:left w:val="single" w:sz="4" w:space="0" w:color="000000"/>
              <w:bottom w:val="single" w:sz="4" w:space="0" w:color="000000"/>
              <w:right w:val="single" w:sz="4" w:space="0" w:color="000000"/>
            </w:tcBorders>
          </w:tcPr>
          <w:p w14:paraId="2D6291D8" w14:textId="77777777" w:rsidR="00D92EBC" w:rsidRPr="009B4A73" w:rsidRDefault="0078763F" w:rsidP="00947287">
            <w:pPr>
              <w:spacing w:after="0" w:line="240" w:lineRule="auto"/>
              <w:ind w:left="0" w:firstLine="0"/>
              <w:rPr>
                <w:sz w:val="22"/>
              </w:rPr>
            </w:pPr>
            <w:r w:rsidRPr="009B4A73">
              <w:rPr>
                <w:b/>
                <w:sz w:val="22"/>
              </w:rPr>
              <w:lastRenderedPageBreak/>
              <w:t xml:space="preserve">Median follow-up </w:t>
            </w:r>
          </w:p>
        </w:tc>
        <w:tc>
          <w:tcPr>
            <w:tcW w:w="1408" w:type="pct"/>
            <w:tcBorders>
              <w:top w:val="single" w:sz="4" w:space="0" w:color="000000"/>
              <w:left w:val="single" w:sz="4" w:space="0" w:color="000000"/>
              <w:bottom w:val="single" w:sz="4" w:space="0" w:color="000000"/>
              <w:right w:val="single" w:sz="4" w:space="0" w:color="000000"/>
            </w:tcBorders>
          </w:tcPr>
          <w:p w14:paraId="3981C58A" w14:textId="77777777" w:rsidR="00D92EBC" w:rsidRPr="009B4A73" w:rsidRDefault="0078763F" w:rsidP="00947287">
            <w:pPr>
              <w:spacing w:after="0" w:line="240" w:lineRule="auto"/>
              <w:ind w:left="0" w:firstLine="0"/>
              <w:rPr>
                <w:sz w:val="22"/>
              </w:rPr>
            </w:pPr>
            <w:r w:rsidRPr="009B4A73">
              <w:rPr>
                <w:sz w:val="22"/>
              </w:rPr>
              <w:t xml:space="preserve">1 year (initial evaluation) [8 years (follow-up evaluation)] </w:t>
            </w:r>
          </w:p>
        </w:tc>
        <w:tc>
          <w:tcPr>
            <w:tcW w:w="1408" w:type="pct"/>
            <w:tcBorders>
              <w:top w:val="single" w:sz="4" w:space="0" w:color="000000"/>
              <w:left w:val="single" w:sz="4" w:space="0" w:color="000000"/>
              <w:bottom w:val="single" w:sz="4" w:space="0" w:color="000000"/>
              <w:right w:val="single" w:sz="4" w:space="0" w:color="000000"/>
            </w:tcBorders>
          </w:tcPr>
          <w:p w14:paraId="5F6E8942" w14:textId="4E89BE61" w:rsidR="00D92EBC" w:rsidRPr="009B4A73" w:rsidRDefault="0078763F" w:rsidP="00947287">
            <w:pPr>
              <w:spacing w:after="0" w:line="240" w:lineRule="auto"/>
              <w:ind w:left="0" w:firstLine="0"/>
              <w:rPr>
                <w:sz w:val="22"/>
              </w:rPr>
            </w:pPr>
            <w:r w:rsidRPr="009B4A73">
              <w:rPr>
                <w:sz w:val="22"/>
              </w:rPr>
              <w:t xml:space="preserve"> 2 years </w:t>
            </w:r>
          </w:p>
          <w:p w14:paraId="2E94982C" w14:textId="77777777" w:rsidR="00D92EBC" w:rsidRPr="009B4A73" w:rsidRDefault="0078763F" w:rsidP="00947287">
            <w:pPr>
              <w:spacing w:after="0" w:line="240" w:lineRule="auto"/>
              <w:ind w:left="0" w:firstLine="0"/>
              <w:rPr>
                <w:sz w:val="22"/>
              </w:rPr>
            </w:pPr>
            <w:r w:rsidRPr="009B4A73">
              <w:rPr>
                <w:sz w:val="22"/>
              </w:rPr>
              <w:t xml:space="preserve"> </w:t>
            </w:r>
          </w:p>
        </w:tc>
        <w:tc>
          <w:tcPr>
            <w:tcW w:w="1267" w:type="pct"/>
            <w:tcBorders>
              <w:top w:val="single" w:sz="4" w:space="0" w:color="000000"/>
              <w:left w:val="single" w:sz="4" w:space="0" w:color="000000"/>
              <w:bottom w:val="single" w:sz="4" w:space="0" w:color="000000"/>
              <w:right w:val="single" w:sz="4" w:space="0" w:color="000000"/>
            </w:tcBorders>
          </w:tcPr>
          <w:p w14:paraId="159E98BE" w14:textId="77777777" w:rsidR="00D92EBC" w:rsidRPr="009B4A73" w:rsidRDefault="0078763F" w:rsidP="008D53AD">
            <w:pPr>
              <w:spacing w:after="0" w:line="240" w:lineRule="auto"/>
              <w:ind w:left="0" w:firstLine="0"/>
              <w:rPr>
                <w:sz w:val="22"/>
              </w:rPr>
            </w:pPr>
            <w:r w:rsidRPr="009B4A73">
              <w:rPr>
                <w:sz w:val="22"/>
              </w:rPr>
              <w:t xml:space="preserve">3 years </w:t>
            </w:r>
          </w:p>
        </w:tc>
      </w:tr>
    </w:tbl>
    <w:p w14:paraId="0F7F5B79" w14:textId="1DE2DEB4" w:rsidR="00D92EBC" w:rsidRPr="009B4A73" w:rsidRDefault="0078763F" w:rsidP="00316679">
      <w:pPr>
        <w:spacing w:after="0" w:line="240" w:lineRule="auto"/>
        <w:ind w:left="426"/>
        <w:rPr>
          <w:sz w:val="20"/>
          <w:szCs w:val="20"/>
        </w:rPr>
      </w:pPr>
      <w:r w:rsidRPr="009B4A73">
        <w:rPr>
          <w:sz w:val="20"/>
          <w:szCs w:val="20"/>
        </w:rPr>
        <w:t xml:space="preserve">AC = doxorubicin + cyclophosphamide; q3w = every 3 weeks; q1w = weekly chemo = chemotherapy; </w:t>
      </w:r>
      <w:proofErr w:type="gramStart"/>
      <w:r w:rsidRPr="009B4A73">
        <w:rPr>
          <w:sz w:val="20"/>
          <w:szCs w:val="20"/>
          <w:vertAlign w:val="superscript"/>
        </w:rPr>
        <w:t>a</w:t>
      </w:r>
      <w:proofErr w:type="gramEnd"/>
      <w:r w:rsidRPr="009B4A73">
        <w:rPr>
          <w:sz w:val="20"/>
          <w:szCs w:val="20"/>
          <w:vertAlign w:val="superscript"/>
        </w:rPr>
        <w:t xml:space="preserve"> </w:t>
      </w:r>
      <w:r w:rsidRPr="009B4A73">
        <w:rPr>
          <w:sz w:val="20"/>
          <w:szCs w:val="20"/>
        </w:rPr>
        <w:t>89% of subjects received adjuvant chemotherapy; 5% received neoadjuvant chemotherapy and 6% received a combination of neoadjuvant and adjuvant chemotherapy.</w:t>
      </w:r>
    </w:p>
    <w:p w14:paraId="23E4F67E" w14:textId="77777777" w:rsidR="00D92EBC" w:rsidRPr="009B4A73" w:rsidRDefault="0078763F" w:rsidP="00316679">
      <w:pPr>
        <w:spacing w:after="0" w:line="240" w:lineRule="auto"/>
        <w:ind w:left="426" w:firstLine="0"/>
        <w:rPr>
          <w:sz w:val="22"/>
        </w:rPr>
      </w:pPr>
      <w:r w:rsidRPr="009B4A73">
        <w:rPr>
          <w:sz w:val="22"/>
        </w:rPr>
        <w:t xml:space="preserve"> </w:t>
      </w:r>
    </w:p>
    <w:p w14:paraId="21D11733" w14:textId="0F432FA8" w:rsidR="00D92EBC" w:rsidRPr="009B4A73" w:rsidRDefault="0078763F" w:rsidP="00316679">
      <w:pPr>
        <w:spacing w:after="0" w:line="240" w:lineRule="auto"/>
        <w:ind w:left="426" w:right="8"/>
        <w:rPr>
          <w:sz w:val="22"/>
        </w:rPr>
      </w:pPr>
      <w:r w:rsidRPr="009B4A73">
        <w:rPr>
          <w:sz w:val="22"/>
        </w:rPr>
        <w:t>The HERA trial was designed to compare 1 and 2 years of 3-weekly</w:t>
      </w:r>
      <w:r w:rsidR="00CE0B5E" w:rsidRPr="009B4A73">
        <w:rPr>
          <w:sz w:val="22"/>
        </w:rPr>
        <w:t xml:space="preserve"> </w:t>
      </w:r>
      <w:r w:rsidR="00BB518A" w:rsidRPr="009B4A73">
        <w:rPr>
          <w:sz w:val="22"/>
        </w:rPr>
        <w:t>trastuzumab</w:t>
      </w:r>
      <w:r w:rsidRPr="009B4A73">
        <w:rPr>
          <w:sz w:val="22"/>
        </w:rPr>
        <w:t xml:space="preserve"> treatment vs. observation in patients with HER2 positive breast cancer following surgery, established chemotherapy and radiotherapy (if applicable). In addition, a comparison of 2 years</w:t>
      </w:r>
      <w:r w:rsidR="00CE0B5E" w:rsidRPr="009B4A73">
        <w:rPr>
          <w:sz w:val="22"/>
        </w:rPr>
        <w:t xml:space="preserve"> </w:t>
      </w:r>
      <w:r w:rsidR="00BB518A" w:rsidRPr="009B4A73">
        <w:rPr>
          <w:sz w:val="22"/>
        </w:rPr>
        <w:t>trastuzumab</w:t>
      </w:r>
      <w:r w:rsidRPr="009B4A73">
        <w:rPr>
          <w:sz w:val="22"/>
        </w:rPr>
        <w:t xml:space="preserve"> treatment vs. </w:t>
      </w:r>
      <w:proofErr w:type="gramStart"/>
      <w:r w:rsidRPr="009B4A73">
        <w:rPr>
          <w:sz w:val="22"/>
        </w:rPr>
        <w:t>1 year</w:t>
      </w:r>
      <w:proofErr w:type="gramEnd"/>
      <w:r w:rsidR="00CE0B5E" w:rsidRPr="009B4A73">
        <w:rPr>
          <w:sz w:val="22"/>
        </w:rPr>
        <w:t xml:space="preserve"> </w:t>
      </w:r>
      <w:r w:rsidR="00BB518A" w:rsidRPr="009B4A73">
        <w:rPr>
          <w:sz w:val="22"/>
        </w:rPr>
        <w:t>trastuzumab</w:t>
      </w:r>
      <w:r w:rsidRPr="009B4A73">
        <w:rPr>
          <w:sz w:val="22"/>
        </w:rPr>
        <w:t xml:space="preserve"> treatment was </w:t>
      </w:r>
      <w:r w:rsidRPr="009B4A73">
        <w:rPr>
          <w:spacing w:val="2"/>
          <w:sz w:val="22"/>
        </w:rPr>
        <w:t>performed. Patients assigned to receive</w:t>
      </w:r>
      <w:r w:rsidR="00CE0B5E" w:rsidRPr="009B4A73">
        <w:rPr>
          <w:spacing w:val="2"/>
          <w:sz w:val="22"/>
        </w:rPr>
        <w:t xml:space="preserve"> </w:t>
      </w:r>
      <w:r w:rsidR="00BB518A" w:rsidRPr="009B4A73">
        <w:rPr>
          <w:spacing w:val="2"/>
          <w:sz w:val="22"/>
        </w:rPr>
        <w:t>trastuzumab</w:t>
      </w:r>
      <w:r w:rsidRPr="009B4A73">
        <w:rPr>
          <w:spacing w:val="2"/>
          <w:sz w:val="22"/>
        </w:rPr>
        <w:t xml:space="preserve"> were given an initial loading dose of 8 mg/kg, followed by 6</w:t>
      </w:r>
      <w:r w:rsidRPr="009B4A73">
        <w:rPr>
          <w:sz w:val="22"/>
        </w:rPr>
        <w:t xml:space="preserve"> mg/kg every 3 weeks for either 1 or 2 years. The efficacy results from the HERA trial are summarized in the following table: </w:t>
      </w:r>
    </w:p>
    <w:p w14:paraId="6D73B9E5" w14:textId="77777777" w:rsidR="00D92EBC" w:rsidRPr="009B4A73" w:rsidRDefault="0078763F" w:rsidP="00316679">
      <w:pPr>
        <w:spacing w:after="0" w:line="240" w:lineRule="auto"/>
        <w:ind w:left="426" w:firstLine="0"/>
        <w:rPr>
          <w:sz w:val="22"/>
        </w:rPr>
      </w:pPr>
      <w:r w:rsidRPr="009B4A73">
        <w:rPr>
          <w:sz w:val="22"/>
        </w:rPr>
        <w:t xml:space="preserve"> </w:t>
      </w:r>
    </w:p>
    <w:p w14:paraId="0BAF7324" w14:textId="59412D4B" w:rsidR="00D92EBC" w:rsidRPr="009B4A73" w:rsidRDefault="0078763F" w:rsidP="001D3187">
      <w:pPr>
        <w:pStyle w:val="Heading2"/>
        <w:keepLines w:val="0"/>
        <w:spacing w:line="240" w:lineRule="auto"/>
        <w:ind w:left="425"/>
        <w:rPr>
          <w:sz w:val="22"/>
        </w:rPr>
      </w:pPr>
      <w:r w:rsidRPr="009B4A73">
        <w:rPr>
          <w:sz w:val="22"/>
        </w:rPr>
        <w:t>Table 6:</w:t>
      </w:r>
      <w:r w:rsidR="008805AA" w:rsidRPr="009B4A73">
        <w:rPr>
          <w:sz w:val="22"/>
        </w:rPr>
        <w:t xml:space="preserve"> </w:t>
      </w:r>
      <w:r w:rsidRPr="009B4A73">
        <w:rPr>
          <w:sz w:val="22"/>
        </w:rPr>
        <w:t xml:space="preserve">Efficacy </w:t>
      </w:r>
      <w:r w:rsidR="00E260BA" w:rsidRPr="009B4A73">
        <w:rPr>
          <w:sz w:val="22"/>
        </w:rPr>
        <w:t>r</w:t>
      </w:r>
      <w:r w:rsidRPr="009B4A73">
        <w:rPr>
          <w:sz w:val="22"/>
        </w:rPr>
        <w:t xml:space="preserve">esults from the HERA </w:t>
      </w:r>
      <w:r w:rsidR="00E260BA" w:rsidRPr="009B4A73">
        <w:rPr>
          <w:sz w:val="22"/>
        </w:rPr>
        <w:t>t</w:t>
      </w:r>
      <w:r w:rsidRPr="009B4A73">
        <w:rPr>
          <w:sz w:val="22"/>
        </w:rPr>
        <w:t>rial at 12 months</w:t>
      </w:r>
      <w:r w:rsidRPr="009B4A73">
        <w:rPr>
          <w:sz w:val="22"/>
          <w:vertAlign w:val="superscript"/>
        </w:rPr>
        <w:t>1</w:t>
      </w:r>
      <w:r w:rsidRPr="009B4A73">
        <w:rPr>
          <w:sz w:val="22"/>
        </w:rPr>
        <w:t xml:space="preserve"> and 8 years</w:t>
      </w:r>
      <w:r w:rsidRPr="009B4A73">
        <w:rPr>
          <w:sz w:val="22"/>
          <w:vertAlign w:val="superscript"/>
        </w:rPr>
        <w:t>2</w:t>
      </w:r>
      <w:r w:rsidRPr="009B4A73">
        <w:rPr>
          <w:sz w:val="22"/>
        </w:rPr>
        <w:t xml:space="preserve"> of median follow up </w:t>
      </w:r>
    </w:p>
    <w:p w14:paraId="1E1D42B2" w14:textId="77777777" w:rsidR="00537FB3" w:rsidRPr="009B4A73" w:rsidRDefault="00537FB3" w:rsidP="001D3187">
      <w:pPr>
        <w:keepNext/>
        <w:spacing w:after="0" w:line="240" w:lineRule="auto"/>
        <w:ind w:left="425" w:hanging="11"/>
      </w:pPr>
    </w:p>
    <w:tbl>
      <w:tblPr>
        <w:tblStyle w:val="TableGrid"/>
        <w:tblW w:w="4799" w:type="pct"/>
        <w:tblInd w:w="421" w:type="dxa"/>
        <w:tblCellMar>
          <w:top w:w="5" w:type="dxa"/>
          <w:left w:w="57" w:type="dxa"/>
          <w:right w:w="57" w:type="dxa"/>
        </w:tblCellMar>
        <w:tblLook w:val="04A0" w:firstRow="1" w:lastRow="0" w:firstColumn="1" w:lastColumn="0" w:noHBand="0" w:noVBand="1"/>
      </w:tblPr>
      <w:tblGrid>
        <w:gridCol w:w="3827"/>
        <w:gridCol w:w="1277"/>
        <w:gridCol w:w="1703"/>
        <w:gridCol w:w="1281"/>
        <w:gridCol w:w="1952"/>
      </w:tblGrid>
      <w:tr w:rsidR="00D92EBC" w:rsidRPr="009B4A73" w14:paraId="75D2E97D" w14:textId="77777777" w:rsidTr="00A21765">
        <w:trPr>
          <w:trHeight w:val="20"/>
        </w:trPr>
        <w:tc>
          <w:tcPr>
            <w:tcW w:w="1906" w:type="pct"/>
            <w:tcBorders>
              <w:top w:val="single" w:sz="4" w:space="0" w:color="000000"/>
              <w:left w:val="single" w:sz="4" w:space="0" w:color="000000"/>
              <w:bottom w:val="single" w:sz="4" w:space="0" w:color="000000"/>
              <w:right w:val="single" w:sz="4" w:space="0" w:color="000000"/>
            </w:tcBorders>
            <w:vAlign w:val="center"/>
          </w:tcPr>
          <w:p w14:paraId="64E0E3BF" w14:textId="070B7833" w:rsidR="00D92EBC" w:rsidRPr="009B4A73" w:rsidRDefault="0078763F" w:rsidP="00A21765">
            <w:pPr>
              <w:spacing w:after="0" w:line="240" w:lineRule="auto"/>
              <w:ind w:left="0" w:firstLine="0"/>
              <w:jc w:val="center"/>
              <w:rPr>
                <w:sz w:val="22"/>
              </w:rPr>
            </w:pPr>
            <w:r w:rsidRPr="009B4A73">
              <w:rPr>
                <w:b/>
                <w:sz w:val="22"/>
              </w:rPr>
              <w:t>Parameter</w:t>
            </w:r>
          </w:p>
        </w:tc>
        <w:tc>
          <w:tcPr>
            <w:tcW w:w="636" w:type="pct"/>
            <w:tcBorders>
              <w:top w:val="single" w:sz="4" w:space="0" w:color="000000"/>
              <w:left w:val="single" w:sz="4" w:space="0" w:color="000000"/>
              <w:bottom w:val="single" w:sz="4" w:space="0" w:color="000000"/>
              <w:right w:val="single" w:sz="4" w:space="0" w:color="000000"/>
            </w:tcBorders>
            <w:vAlign w:val="center"/>
          </w:tcPr>
          <w:p w14:paraId="228E1505" w14:textId="79F682A9" w:rsidR="00D92EBC" w:rsidRPr="009B4A73" w:rsidRDefault="0078763F" w:rsidP="00A21765">
            <w:pPr>
              <w:spacing w:after="0" w:line="240" w:lineRule="auto"/>
              <w:ind w:left="0" w:firstLine="0"/>
              <w:jc w:val="center"/>
              <w:rPr>
                <w:sz w:val="22"/>
              </w:rPr>
            </w:pPr>
            <w:r w:rsidRPr="009B4A73">
              <w:rPr>
                <w:b/>
                <w:sz w:val="22"/>
              </w:rPr>
              <w:t>Observation</w:t>
            </w:r>
          </w:p>
          <w:p w14:paraId="3FC9133E" w14:textId="00FF94CB" w:rsidR="00D92EBC" w:rsidRPr="009B4A73" w:rsidRDefault="00D92EBC" w:rsidP="00A21765">
            <w:pPr>
              <w:spacing w:after="0" w:line="240" w:lineRule="auto"/>
              <w:ind w:left="0" w:firstLine="0"/>
              <w:jc w:val="center"/>
              <w:rPr>
                <w:sz w:val="22"/>
              </w:rPr>
            </w:pPr>
          </w:p>
        </w:tc>
        <w:tc>
          <w:tcPr>
            <w:tcW w:w="848" w:type="pct"/>
            <w:tcBorders>
              <w:top w:val="single" w:sz="4" w:space="0" w:color="000000"/>
              <w:left w:val="single" w:sz="4" w:space="0" w:color="000000"/>
              <w:bottom w:val="single" w:sz="4" w:space="0" w:color="000000"/>
              <w:right w:val="single" w:sz="4" w:space="0" w:color="000000"/>
            </w:tcBorders>
            <w:vAlign w:val="center"/>
          </w:tcPr>
          <w:p w14:paraId="1FF414BB" w14:textId="347370B0" w:rsidR="00D92EBC" w:rsidRPr="009B4A73" w:rsidRDefault="00A21765" w:rsidP="00A21765">
            <w:pPr>
              <w:spacing w:after="0" w:line="240" w:lineRule="auto"/>
              <w:ind w:left="0" w:firstLine="0"/>
              <w:jc w:val="center"/>
              <w:rPr>
                <w:sz w:val="22"/>
              </w:rPr>
            </w:pPr>
            <w:r w:rsidRPr="009B4A73">
              <w:rPr>
                <w:sz w:val="22"/>
              </w:rPr>
              <w:t xml:space="preserve"> </w:t>
            </w:r>
            <w:r w:rsidRPr="009B4A73">
              <w:rPr>
                <w:b/>
                <w:bCs/>
                <w:sz w:val="22"/>
              </w:rPr>
              <w:t>T</w:t>
            </w:r>
            <w:r w:rsidRPr="009B4A73">
              <w:rPr>
                <w:b/>
                <w:sz w:val="22"/>
              </w:rPr>
              <w:t>rastuzumab</w:t>
            </w:r>
            <w:r w:rsidR="0078763F" w:rsidRPr="009B4A73">
              <w:rPr>
                <w:b/>
                <w:sz w:val="22"/>
              </w:rPr>
              <w:t xml:space="preserve"> 1yr treatment</w:t>
            </w:r>
          </w:p>
        </w:tc>
        <w:tc>
          <w:tcPr>
            <w:tcW w:w="638" w:type="pct"/>
            <w:tcBorders>
              <w:top w:val="single" w:sz="4" w:space="0" w:color="000000"/>
              <w:left w:val="single" w:sz="4" w:space="0" w:color="000000"/>
              <w:bottom w:val="single" w:sz="4" w:space="0" w:color="000000"/>
              <w:right w:val="single" w:sz="4" w:space="0" w:color="000000"/>
            </w:tcBorders>
            <w:vAlign w:val="center"/>
          </w:tcPr>
          <w:p w14:paraId="71CC104A" w14:textId="7B402665" w:rsidR="00D92EBC" w:rsidRPr="009B4A73" w:rsidRDefault="0078763F" w:rsidP="00A21765">
            <w:pPr>
              <w:spacing w:after="0" w:line="240" w:lineRule="auto"/>
              <w:ind w:left="0" w:firstLine="0"/>
              <w:jc w:val="center"/>
              <w:rPr>
                <w:sz w:val="22"/>
              </w:rPr>
            </w:pPr>
            <w:r w:rsidRPr="009B4A73">
              <w:rPr>
                <w:b/>
                <w:sz w:val="22"/>
              </w:rPr>
              <w:t>p-value</w:t>
            </w:r>
          </w:p>
        </w:tc>
        <w:tc>
          <w:tcPr>
            <w:tcW w:w="972" w:type="pct"/>
            <w:tcBorders>
              <w:top w:val="single" w:sz="4" w:space="0" w:color="000000"/>
              <w:left w:val="single" w:sz="4" w:space="0" w:color="000000"/>
              <w:bottom w:val="single" w:sz="4" w:space="0" w:color="000000"/>
              <w:right w:val="single" w:sz="4" w:space="0" w:color="000000"/>
            </w:tcBorders>
            <w:vAlign w:val="center"/>
          </w:tcPr>
          <w:p w14:paraId="3C99D63A" w14:textId="74B84E36" w:rsidR="00D92EBC" w:rsidRPr="009B4A73" w:rsidRDefault="0078763F" w:rsidP="00A21765">
            <w:pPr>
              <w:spacing w:after="0" w:line="240" w:lineRule="auto"/>
              <w:ind w:left="0" w:firstLine="0"/>
              <w:jc w:val="center"/>
              <w:rPr>
                <w:sz w:val="22"/>
              </w:rPr>
            </w:pPr>
            <w:r w:rsidRPr="009B4A73">
              <w:rPr>
                <w:b/>
                <w:sz w:val="22"/>
              </w:rPr>
              <w:t>HR</w:t>
            </w:r>
          </w:p>
          <w:p w14:paraId="74BC45E9" w14:textId="46964461" w:rsidR="00D92EBC" w:rsidRPr="009B4A73" w:rsidRDefault="0078763F" w:rsidP="00A21765">
            <w:pPr>
              <w:spacing w:after="0" w:line="240" w:lineRule="auto"/>
              <w:ind w:left="0" w:firstLine="0"/>
              <w:jc w:val="center"/>
              <w:rPr>
                <w:sz w:val="22"/>
              </w:rPr>
            </w:pPr>
            <w:r w:rsidRPr="009B4A73">
              <w:rPr>
                <w:b/>
                <w:sz w:val="22"/>
              </w:rPr>
              <w:t>(95% CI)</w:t>
            </w:r>
          </w:p>
        </w:tc>
      </w:tr>
      <w:tr w:rsidR="00D92EBC" w:rsidRPr="009B4A73" w14:paraId="1E31077D" w14:textId="77777777" w:rsidTr="00A21765">
        <w:trPr>
          <w:trHeight w:val="20"/>
        </w:trPr>
        <w:tc>
          <w:tcPr>
            <w:tcW w:w="1906" w:type="pct"/>
            <w:tcBorders>
              <w:top w:val="single" w:sz="4" w:space="0" w:color="000000"/>
              <w:left w:val="single" w:sz="4" w:space="0" w:color="000000"/>
              <w:bottom w:val="nil"/>
              <w:right w:val="single" w:sz="4" w:space="0" w:color="000000"/>
            </w:tcBorders>
          </w:tcPr>
          <w:p w14:paraId="37544557" w14:textId="77777777" w:rsidR="00D92EBC" w:rsidRPr="009B4A73" w:rsidRDefault="0078763F" w:rsidP="00A21765">
            <w:pPr>
              <w:spacing w:after="0" w:line="240" w:lineRule="auto"/>
              <w:ind w:left="0" w:firstLine="0"/>
              <w:rPr>
                <w:sz w:val="22"/>
              </w:rPr>
            </w:pPr>
            <w:r w:rsidRPr="009B4A73">
              <w:rPr>
                <w:b/>
                <w:sz w:val="22"/>
                <w:u w:val="single" w:color="000000"/>
              </w:rPr>
              <w:t>Disease free survival</w:t>
            </w:r>
            <w:r w:rsidRPr="009B4A73">
              <w:rPr>
                <w:b/>
                <w:sz w:val="22"/>
              </w:rPr>
              <w:t xml:space="preserve"> </w:t>
            </w:r>
          </w:p>
          <w:p w14:paraId="36F4E7DB" w14:textId="5862333B" w:rsidR="00D92EBC" w:rsidRPr="009B4A73" w:rsidRDefault="0078763F" w:rsidP="00A21765">
            <w:pPr>
              <w:spacing w:after="0" w:line="240" w:lineRule="auto"/>
              <w:ind w:left="0" w:firstLine="0"/>
              <w:rPr>
                <w:sz w:val="22"/>
              </w:rPr>
            </w:pPr>
            <w:r w:rsidRPr="009B4A73">
              <w:rPr>
                <w:sz w:val="22"/>
              </w:rPr>
              <w:t>No. of patients with event (1 year</w:t>
            </w:r>
            <w:r w:rsidRPr="009B4A73">
              <w:rPr>
                <w:sz w:val="22"/>
                <w:vertAlign w:val="superscript"/>
              </w:rPr>
              <w:t>1</w:t>
            </w:r>
            <w:r w:rsidRPr="009B4A73">
              <w:rPr>
                <w:sz w:val="22"/>
              </w:rPr>
              <w:t xml:space="preserve">) </w:t>
            </w:r>
          </w:p>
        </w:tc>
        <w:tc>
          <w:tcPr>
            <w:tcW w:w="636" w:type="pct"/>
            <w:tcBorders>
              <w:top w:val="single" w:sz="4" w:space="0" w:color="000000"/>
              <w:left w:val="single" w:sz="4" w:space="0" w:color="000000"/>
              <w:bottom w:val="nil"/>
              <w:right w:val="single" w:sz="4" w:space="0" w:color="000000"/>
            </w:tcBorders>
            <w:vAlign w:val="center"/>
          </w:tcPr>
          <w:p w14:paraId="6C6FA0CF" w14:textId="0DCA1069" w:rsidR="00D92EBC" w:rsidRPr="009B4A73" w:rsidRDefault="00D92EBC" w:rsidP="00A21765">
            <w:pPr>
              <w:spacing w:after="0" w:line="240" w:lineRule="auto"/>
              <w:ind w:left="0" w:firstLine="0"/>
              <w:jc w:val="center"/>
              <w:rPr>
                <w:sz w:val="22"/>
              </w:rPr>
            </w:pPr>
          </w:p>
          <w:p w14:paraId="117926C1" w14:textId="1BE45773" w:rsidR="00D92EBC" w:rsidRPr="009B4A73" w:rsidRDefault="0078763F" w:rsidP="00A21765">
            <w:pPr>
              <w:spacing w:after="0" w:line="240" w:lineRule="auto"/>
              <w:ind w:left="0" w:firstLine="0"/>
              <w:jc w:val="center"/>
              <w:rPr>
                <w:sz w:val="22"/>
              </w:rPr>
            </w:pPr>
            <w:r w:rsidRPr="009B4A73">
              <w:rPr>
                <w:sz w:val="22"/>
              </w:rPr>
              <w:t>12.9%</w:t>
            </w:r>
          </w:p>
        </w:tc>
        <w:tc>
          <w:tcPr>
            <w:tcW w:w="848" w:type="pct"/>
            <w:tcBorders>
              <w:top w:val="single" w:sz="4" w:space="0" w:color="000000"/>
              <w:left w:val="single" w:sz="4" w:space="0" w:color="000000"/>
              <w:bottom w:val="nil"/>
              <w:right w:val="single" w:sz="4" w:space="0" w:color="000000"/>
            </w:tcBorders>
            <w:vAlign w:val="center"/>
          </w:tcPr>
          <w:p w14:paraId="6FD06FD6" w14:textId="21FB9F4F" w:rsidR="00D92EBC" w:rsidRPr="009B4A73" w:rsidRDefault="00D92EBC" w:rsidP="00A21765">
            <w:pPr>
              <w:spacing w:after="0" w:line="240" w:lineRule="auto"/>
              <w:ind w:left="0" w:firstLine="0"/>
              <w:jc w:val="center"/>
              <w:rPr>
                <w:sz w:val="22"/>
              </w:rPr>
            </w:pPr>
          </w:p>
          <w:p w14:paraId="2A5F47A6" w14:textId="4D1B6CF2" w:rsidR="00D92EBC" w:rsidRPr="009B4A73" w:rsidRDefault="0078763F" w:rsidP="00A21765">
            <w:pPr>
              <w:spacing w:after="0" w:line="240" w:lineRule="auto"/>
              <w:ind w:left="0" w:firstLine="0"/>
              <w:jc w:val="center"/>
              <w:rPr>
                <w:sz w:val="22"/>
              </w:rPr>
            </w:pPr>
            <w:r w:rsidRPr="009B4A73">
              <w:rPr>
                <w:sz w:val="22"/>
              </w:rPr>
              <w:t>7.5%</w:t>
            </w:r>
          </w:p>
        </w:tc>
        <w:tc>
          <w:tcPr>
            <w:tcW w:w="638" w:type="pct"/>
            <w:tcBorders>
              <w:top w:val="single" w:sz="4" w:space="0" w:color="000000"/>
              <w:left w:val="single" w:sz="4" w:space="0" w:color="000000"/>
              <w:bottom w:val="nil"/>
              <w:right w:val="single" w:sz="4" w:space="0" w:color="000000"/>
            </w:tcBorders>
            <w:vAlign w:val="center"/>
          </w:tcPr>
          <w:p w14:paraId="244C7C28" w14:textId="302F5230" w:rsidR="00D92EBC" w:rsidRPr="009B4A73" w:rsidRDefault="00D92EBC" w:rsidP="00A21765">
            <w:pPr>
              <w:spacing w:after="0" w:line="240" w:lineRule="auto"/>
              <w:ind w:left="0" w:firstLine="0"/>
              <w:jc w:val="center"/>
              <w:rPr>
                <w:sz w:val="22"/>
              </w:rPr>
            </w:pPr>
          </w:p>
          <w:p w14:paraId="2543BDA2" w14:textId="2270BFD9" w:rsidR="00D92EBC" w:rsidRPr="009B4A73" w:rsidRDefault="0078763F" w:rsidP="00A21765">
            <w:pPr>
              <w:spacing w:after="0" w:line="240" w:lineRule="auto"/>
              <w:ind w:left="0" w:firstLine="0"/>
              <w:jc w:val="center"/>
              <w:rPr>
                <w:sz w:val="22"/>
              </w:rPr>
            </w:pPr>
            <w:r w:rsidRPr="009B4A73">
              <w:rPr>
                <w:sz w:val="22"/>
              </w:rPr>
              <w:t>&lt;0.0001</w:t>
            </w:r>
          </w:p>
        </w:tc>
        <w:tc>
          <w:tcPr>
            <w:tcW w:w="972" w:type="pct"/>
            <w:tcBorders>
              <w:top w:val="single" w:sz="4" w:space="0" w:color="000000"/>
              <w:left w:val="single" w:sz="4" w:space="0" w:color="000000"/>
              <w:bottom w:val="nil"/>
              <w:right w:val="single" w:sz="4" w:space="0" w:color="000000"/>
            </w:tcBorders>
            <w:vAlign w:val="center"/>
          </w:tcPr>
          <w:p w14:paraId="32CEC50C" w14:textId="5A7CBB73" w:rsidR="00D92EBC" w:rsidRPr="009B4A73" w:rsidRDefault="00D92EBC" w:rsidP="00A21765">
            <w:pPr>
              <w:spacing w:after="0" w:line="240" w:lineRule="auto"/>
              <w:ind w:left="0" w:firstLine="0"/>
              <w:jc w:val="center"/>
              <w:rPr>
                <w:sz w:val="22"/>
              </w:rPr>
            </w:pPr>
          </w:p>
          <w:p w14:paraId="2019F0A1" w14:textId="0CC5AD65" w:rsidR="00D92EBC" w:rsidRPr="009B4A73" w:rsidRDefault="0078763F" w:rsidP="00A21765">
            <w:pPr>
              <w:spacing w:after="0" w:line="240" w:lineRule="auto"/>
              <w:ind w:left="0" w:firstLine="0"/>
              <w:jc w:val="center"/>
              <w:rPr>
                <w:sz w:val="22"/>
              </w:rPr>
            </w:pPr>
            <w:r w:rsidRPr="009B4A73">
              <w:rPr>
                <w:sz w:val="22"/>
              </w:rPr>
              <w:t>0.54 (0.44,</w:t>
            </w:r>
            <w:r w:rsidR="00A21765" w:rsidRPr="009B4A73">
              <w:rPr>
                <w:sz w:val="22"/>
              </w:rPr>
              <w:t xml:space="preserve"> </w:t>
            </w:r>
            <w:r w:rsidRPr="009B4A73">
              <w:rPr>
                <w:sz w:val="22"/>
              </w:rPr>
              <w:t>0.67)</w:t>
            </w:r>
          </w:p>
        </w:tc>
      </w:tr>
      <w:tr w:rsidR="00D92EBC" w:rsidRPr="009B4A73" w14:paraId="468F790E" w14:textId="77777777" w:rsidTr="00A21765">
        <w:trPr>
          <w:trHeight w:val="20"/>
        </w:trPr>
        <w:tc>
          <w:tcPr>
            <w:tcW w:w="1906" w:type="pct"/>
            <w:tcBorders>
              <w:top w:val="nil"/>
              <w:left w:val="single" w:sz="4" w:space="0" w:color="000000"/>
              <w:bottom w:val="single" w:sz="4" w:space="0" w:color="000000"/>
              <w:right w:val="single" w:sz="4" w:space="0" w:color="000000"/>
            </w:tcBorders>
          </w:tcPr>
          <w:p w14:paraId="59F90653" w14:textId="77777777" w:rsidR="00D92EBC" w:rsidRPr="009B4A73" w:rsidRDefault="0078763F" w:rsidP="00A21765">
            <w:pPr>
              <w:spacing w:after="0" w:line="240" w:lineRule="auto"/>
              <w:ind w:left="0" w:firstLine="0"/>
              <w:rPr>
                <w:sz w:val="22"/>
              </w:rPr>
            </w:pPr>
            <w:r w:rsidRPr="009B4A73">
              <w:rPr>
                <w:sz w:val="22"/>
              </w:rPr>
              <w:t xml:space="preserve"> No. of patients with event (8 year</w:t>
            </w:r>
            <w:r w:rsidRPr="009B4A73">
              <w:rPr>
                <w:sz w:val="22"/>
                <w:vertAlign w:val="superscript"/>
              </w:rPr>
              <w:t>2</w:t>
            </w:r>
            <w:r w:rsidRPr="009B4A73">
              <w:rPr>
                <w:sz w:val="22"/>
              </w:rPr>
              <w:t xml:space="preserve">) </w:t>
            </w:r>
          </w:p>
        </w:tc>
        <w:tc>
          <w:tcPr>
            <w:tcW w:w="636" w:type="pct"/>
            <w:tcBorders>
              <w:top w:val="nil"/>
              <w:left w:val="single" w:sz="4" w:space="0" w:color="000000"/>
              <w:bottom w:val="single" w:sz="4" w:space="0" w:color="000000"/>
              <w:right w:val="single" w:sz="4" w:space="0" w:color="000000"/>
            </w:tcBorders>
            <w:vAlign w:val="center"/>
          </w:tcPr>
          <w:p w14:paraId="417475AB" w14:textId="30F16348" w:rsidR="00D92EBC" w:rsidRPr="009B4A73" w:rsidRDefault="0078763F" w:rsidP="00A21765">
            <w:pPr>
              <w:spacing w:after="0" w:line="240" w:lineRule="auto"/>
              <w:ind w:left="0" w:firstLine="0"/>
              <w:jc w:val="center"/>
              <w:rPr>
                <w:sz w:val="22"/>
              </w:rPr>
            </w:pPr>
            <w:r w:rsidRPr="009B4A73">
              <w:rPr>
                <w:sz w:val="22"/>
              </w:rPr>
              <w:t>33.6%</w:t>
            </w:r>
          </w:p>
        </w:tc>
        <w:tc>
          <w:tcPr>
            <w:tcW w:w="848" w:type="pct"/>
            <w:tcBorders>
              <w:top w:val="nil"/>
              <w:left w:val="single" w:sz="4" w:space="0" w:color="000000"/>
              <w:bottom w:val="single" w:sz="4" w:space="0" w:color="000000"/>
              <w:right w:val="single" w:sz="4" w:space="0" w:color="000000"/>
            </w:tcBorders>
            <w:vAlign w:val="center"/>
          </w:tcPr>
          <w:p w14:paraId="2BD300F5" w14:textId="377A8C3C" w:rsidR="00D92EBC" w:rsidRPr="009B4A73" w:rsidRDefault="0078763F" w:rsidP="00A21765">
            <w:pPr>
              <w:spacing w:after="0" w:line="240" w:lineRule="auto"/>
              <w:ind w:left="0" w:firstLine="0"/>
              <w:jc w:val="center"/>
              <w:rPr>
                <w:sz w:val="22"/>
              </w:rPr>
            </w:pPr>
            <w:r w:rsidRPr="009B4A73">
              <w:rPr>
                <w:sz w:val="22"/>
              </w:rPr>
              <w:t>27.7%</w:t>
            </w:r>
          </w:p>
        </w:tc>
        <w:tc>
          <w:tcPr>
            <w:tcW w:w="638" w:type="pct"/>
            <w:tcBorders>
              <w:top w:val="nil"/>
              <w:left w:val="single" w:sz="4" w:space="0" w:color="000000"/>
              <w:bottom w:val="single" w:sz="4" w:space="0" w:color="000000"/>
              <w:right w:val="single" w:sz="4" w:space="0" w:color="000000"/>
            </w:tcBorders>
            <w:vAlign w:val="center"/>
          </w:tcPr>
          <w:p w14:paraId="58D876B1" w14:textId="7362B3C8" w:rsidR="00D92EBC" w:rsidRPr="009B4A73" w:rsidRDefault="0078763F" w:rsidP="00A21765">
            <w:pPr>
              <w:spacing w:after="0" w:line="240" w:lineRule="auto"/>
              <w:ind w:left="0" w:firstLine="0"/>
              <w:jc w:val="center"/>
              <w:rPr>
                <w:sz w:val="22"/>
              </w:rPr>
            </w:pPr>
            <w:r w:rsidRPr="009B4A73">
              <w:rPr>
                <w:sz w:val="22"/>
              </w:rPr>
              <w:t>&lt;0.0001</w:t>
            </w:r>
          </w:p>
        </w:tc>
        <w:tc>
          <w:tcPr>
            <w:tcW w:w="972" w:type="pct"/>
            <w:tcBorders>
              <w:top w:val="nil"/>
              <w:left w:val="single" w:sz="4" w:space="0" w:color="000000"/>
              <w:bottom w:val="single" w:sz="4" w:space="0" w:color="000000"/>
              <w:right w:val="single" w:sz="4" w:space="0" w:color="000000"/>
            </w:tcBorders>
            <w:vAlign w:val="center"/>
          </w:tcPr>
          <w:p w14:paraId="6DF762A0" w14:textId="1699BFA7" w:rsidR="00D92EBC" w:rsidRPr="009B4A73" w:rsidRDefault="0078763F" w:rsidP="00A21765">
            <w:pPr>
              <w:spacing w:after="0" w:line="240" w:lineRule="auto"/>
              <w:ind w:left="0" w:firstLine="0"/>
              <w:jc w:val="center"/>
              <w:rPr>
                <w:sz w:val="22"/>
              </w:rPr>
            </w:pPr>
            <w:r w:rsidRPr="009B4A73">
              <w:rPr>
                <w:sz w:val="22"/>
              </w:rPr>
              <w:t>0.76 (0.67,</w:t>
            </w:r>
            <w:r w:rsidR="00A21765" w:rsidRPr="009B4A73">
              <w:rPr>
                <w:sz w:val="22"/>
              </w:rPr>
              <w:t xml:space="preserve"> </w:t>
            </w:r>
            <w:r w:rsidRPr="009B4A73">
              <w:rPr>
                <w:sz w:val="22"/>
              </w:rPr>
              <w:t>0.86)</w:t>
            </w:r>
          </w:p>
        </w:tc>
      </w:tr>
      <w:tr w:rsidR="00D92EBC" w:rsidRPr="009B4A73" w14:paraId="043BD59D" w14:textId="77777777" w:rsidTr="00A21765">
        <w:trPr>
          <w:trHeight w:val="20"/>
        </w:trPr>
        <w:tc>
          <w:tcPr>
            <w:tcW w:w="1906" w:type="pct"/>
            <w:tcBorders>
              <w:top w:val="single" w:sz="4" w:space="0" w:color="000000"/>
              <w:left w:val="single" w:sz="4" w:space="0" w:color="000000"/>
              <w:bottom w:val="nil"/>
              <w:right w:val="single" w:sz="4" w:space="0" w:color="000000"/>
            </w:tcBorders>
          </w:tcPr>
          <w:p w14:paraId="0923F245" w14:textId="77777777" w:rsidR="00D92EBC" w:rsidRPr="009B4A73" w:rsidRDefault="0078763F" w:rsidP="00A21765">
            <w:pPr>
              <w:spacing w:after="0" w:line="240" w:lineRule="auto"/>
              <w:ind w:left="0" w:firstLine="0"/>
              <w:rPr>
                <w:sz w:val="22"/>
              </w:rPr>
            </w:pPr>
            <w:r w:rsidRPr="009B4A73">
              <w:rPr>
                <w:b/>
                <w:sz w:val="22"/>
                <w:u w:val="single" w:color="000000"/>
              </w:rPr>
              <w:t>Overall Survival</w:t>
            </w:r>
            <w:r w:rsidRPr="009B4A73">
              <w:rPr>
                <w:sz w:val="22"/>
              </w:rPr>
              <w:t xml:space="preserve"> </w:t>
            </w:r>
          </w:p>
          <w:p w14:paraId="4311EEEC" w14:textId="4A54356D" w:rsidR="00D92EBC" w:rsidRPr="009B4A73" w:rsidRDefault="0078763F" w:rsidP="00A21765">
            <w:pPr>
              <w:spacing w:after="0" w:line="240" w:lineRule="auto"/>
              <w:ind w:left="0" w:firstLine="0"/>
              <w:rPr>
                <w:sz w:val="22"/>
              </w:rPr>
            </w:pPr>
            <w:r w:rsidRPr="009B4A73">
              <w:rPr>
                <w:sz w:val="22"/>
              </w:rPr>
              <w:t>No. of patients with event (1 year</w:t>
            </w:r>
            <w:r w:rsidRPr="009B4A73">
              <w:rPr>
                <w:sz w:val="22"/>
                <w:vertAlign w:val="superscript"/>
              </w:rPr>
              <w:t>1</w:t>
            </w:r>
            <w:r w:rsidRPr="009B4A73">
              <w:rPr>
                <w:sz w:val="22"/>
              </w:rPr>
              <w:t xml:space="preserve">) </w:t>
            </w:r>
          </w:p>
        </w:tc>
        <w:tc>
          <w:tcPr>
            <w:tcW w:w="636" w:type="pct"/>
            <w:tcBorders>
              <w:top w:val="single" w:sz="4" w:space="0" w:color="000000"/>
              <w:left w:val="single" w:sz="4" w:space="0" w:color="000000"/>
              <w:bottom w:val="nil"/>
              <w:right w:val="single" w:sz="4" w:space="0" w:color="000000"/>
            </w:tcBorders>
            <w:vAlign w:val="center"/>
          </w:tcPr>
          <w:p w14:paraId="2207B3DF" w14:textId="6D63B630" w:rsidR="00D92EBC" w:rsidRPr="009B4A73" w:rsidRDefault="00D92EBC" w:rsidP="00A21765">
            <w:pPr>
              <w:spacing w:after="0" w:line="240" w:lineRule="auto"/>
              <w:ind w:left="0" w:firstLine="0"/>
              <w:jc w:val="center"/>
              <w:rPr>
                <w:sz w:val="22"/>
              </w:rPr>
            </w:pPr>
          </w:p>
          <w:p w14:paraId="1C8C2737" w14:textId="25513A83" w:rsidR="00D92EBC" w:rsidRPr="009B4A73" w:rsidRDefault="0078763F" w:rsidP="00A21765">
            <w:pPr>
              <w:spacing w:after="0" w:line="240" w:lineRule="auto"/>
              <w:ind w:left="0" w:firstLine="0"/>
              <w:jc w:val="center"/>
              <w:rPr>
                <w:sz w:val="22"/>
              </w:rPr>
            </w:pPr>
            <w:r w:rsidRPr="009B4A73">
              <w:rPr>
                <w:sz w:val="22"/>
              </w:rPr>
              <w:t>2.4%</w:t>
            </w:r>
          </w:p>
        </w:tc>
        <w:tc>
          <w:tcPr>
            <w:tcW w:w="848" w:type="pct"/>
            <w:tcBorders>
              <w:top w:val="single" w:sz="4" w:space="0" w:color="000000"/>
              <w:left w:val="single" w:sz="4" w:space="0" w:color="000000"/>
              <w:bottom w:val="nil"/>
              <w:right w:val="single" w:sz="4" w:space="0" w:color="000000"/>
            </w:tcBorders>
            <w:vAlign w:val="center"/>
          </w:tcPr>
          <w:p w14:paraId="47C91B1B" w14:textId="383E7CCC" w:rsidR="00D92EBC" w:rsidRPr="009B4A73" w:rsidRDefault="00D92EBC" w:rsidP="00A21765">
            <w:pPr>
              <w:spacing w:after="0" w:line="240" w:lineRule="auto"/>
              <w:ind w:left="0" w:firstLine="0"/>
              <w:jc w:val="center"/>
              <w:rPr>
                <w:sz w:val="22"/>
              </w:rPr>
            </w:pPr>
          </w:p>
          <w:p w14:paraId="0921C882" w14:textId="50466358" w:rsidR="00D92EBC" w:rsidRPr="009B4A73" w:rsidRDefault="0078763F" w:rsidP="00A21765">
            <w:pPr>
              <w:spacing w:after="0" w:line="240" w:lineRule="auto"/>
              <w:ind w:left="0" w:firstLine="0"/>
              <w:jc w:val="center"/>
              <w:rPr>
                <w:sz w:val="22"/>
              </w:rPr>
            </w:pPr>
            <w:r w:rsidRPr="009B4A73">
              <w:rPr>
                <w:sz w:val="22"/>
              </w:rPr>
              <w:t>1.8%</w:t>
            </w:r>
          </w:p>
        </w:tc>
        <w:tc>
          <w:tcPr>
            <w:tcW w:w="638" w:type="pct"/>
            <w:tcBorders>
              <w:top w:val="single" w:sz="4" w:space="0" w:color="000000"/>
              <w:left w:val="single" w:sz="4" w:space="0" w:color="000000"/>
              <w:bottom w:val="nil"/>
              <w:right w:val="single" w:sz="4" w:space="0" w:color="000000"/>
            </w:tcBorders>
            <w:vAlign w:val="center"/>
          </w:tcPr>
          <w:p w14:paraId="7015D3B4" w14:textId="375DFA84" w:rsidR="00D92EBC" w:rsidRPr="009B4A73" w:rsidRDefault="00D92EBC" w:rsidP="00A21765">
            <w:pPr>
              <w:spacing w:after="0" w:line="240" w:lineRule="auto"/>
              <w:ind w:left="0" w:firstLine="0"/>
              <w:jc w:val="center"/>
              <w:rPr>
                <w:sz w:val="22"/>
              </w:rPr>
            </w:pPr>
          </w:p>
          <w:p w14:paraId="10678E3D" w14:textId="2B6061BC" w:rsidR="00D92EBC" w:rsidRPr="009B4A73" w:rsidRDefault="0078763F" w:rsidP="00A21765">
            <w:pPr>
              <w:spacing w:after="0" w:line="240" w:lineRule="auto"/>
              <w:ind w:left="0" w:firstLine="0"/>
              <w:jc w:val="center"/>
              <w:rPr>
                <w:sz w:val="22"/>
              </w:rPr>
            </w:pPr>
            <w:r w:rsidRPr="009B4A73">
              <w:rPr>
                <w:sz w:val="22"/>
              </w:rPr>
              <w:t>0.24</w:t>
            </w:r>
          </w:p>
        </w:tc>
        <w:tc>
          <w:tcPr>
            <w:tcW w:w="972" w:type="pct"/>
            <w:tcBorders>
              <w:top w:val="single" w:sz="4" w:space="0" w:color="000000"/>
              <w:left w:val="single" w:sz="4" w:space="0" w:color="000000"/>
              <w:bottom w:val="nil"/>
              <w:right w:val="single" w:sz="4" w:space="0" w:color="000000"/>
            </w:tcBorders>
            <w:vAlign w:val="center"/>
          </w:tcPr>
          <w:p w14:paraId="6FC878B9" w14:textId="2B924396" w:rsidR="00D92EBC" w:rsidRPr="009B4A73" w:rsidRDefault="00D92EBC" w:rsidP="00A21765">
            <w:pPr>
              <w:spacing w:after="0" w:line="240" w:lineRule="auto"/>
              <w:ind w:left="0" w:firstLine="0"/>
              <w:jc w:val="center"/>
              <w:rPr>
                <w:sz w:val="22"/>
              </w:rPr>
            </w:pPr>
          </w:p>
          <w:p w14:paraId="4F7630D2" w14:textId="5769D495" w:rsidR="00D92EBC" w:rsidRPr="009B4A73" w:rsidRDefault="0078763F" w:rsidP="00A21765">
            <w:pPr>
              <w:spacing w:after="0" w:line="240" w:lineRule="auto"/>
              <w:ind w:left="0" w:firstLine="0"/>
              <w:jc w:val="center"/>
              <w:rPr>
                <w:sz w:val="22"/>
              </w:rPr>
            </w:pPr>
            <w:r w:rsidRPr="009B4A73">
              <w:rPr>
                <w:sz w:val="22"/>
              </w:rPr>
              <w:t>0.75 (0.47,</w:t>
            </w:r>
            <w:r w:rsidR="00A21765" w:rsidRPr="009B4A73">
              <w:rPr>
                <w:sz w:val="22"/>
              </w:rPr>
              <w:t xml:space="preserve"> </w:t>
            </w:r>
            <w:r w:rsidRPr="009B4A73">
              <w:rPr>
                <w:sz w:val="22"/>
              </w:rPr>
              <w:t>1.21)</w:t>
            </w:r>
          </w:p>
        </w:tc>
      </w:tr>
      <w:tr w:rsidR="00D92EBC" w:rsidRPr="009B4A73" w14:paraId="3C9D616B" w14:textId="77777777" w:rsidTr="00A21765">
        <w:trPr>
          <w:trHeight w:val="20"/>
        </w:trPr>
        <w:tc>
          <w:tcPr>
            <w:tcW w:w="1906" w:type="pct"/>
            <w:tcBorders>
              <w:top w:val="nil"/>
              <w:left w:val="single" w:sz="4" w:space="0" w:color="000000"/>
              <w:bottom w:val="single" w:sz="4" w:space="0" w:color="000000"/>
              <w:right w:val="single" w:sz="4" w:space="0" w:color="000000"/>
            </w:tcBorders>
          </w:tcPr>
          <w:p w14:paraId="067E9C0A" w14:textId="77777777" w:rsidR="00D92EBC" w:rsidRPr="009B4A73" w:rsidRDefault="0078763F" w:rsidP="00A21765">
            <w:pPr>
              <w:spacing w:after="0" w:line="240" w:lineRule="auto"/>
              <w:ind w:left="0" w:firstLine="0"/>
              <w:rPr>
                <w:sz w:val="22"/>
              </w:rPr>
            </w:pPr>
            <w:r w:rsidRPr="009B4A73">
              <w:rPr>
                <w:sz w:val="22"/>
              </w:rPr>
              <w:t>No. of patients with event (8 year</w:t>
            </w:r>
            <w:r w:rsidRPr="009B4A73">
              <w:rPr>
                <w:sz w:val="22"/>
                <w:vertAlign w:val="superscript"/>
              </w:rPr>
              <w:t>2</w:t>
            </w:r>
            <w:r w:rsidRPr="009B4A73">
              <w:rPr>
                <w:sz w:val="22"/>
              </w:rPr>
              <w:t xml:space="preserve">) </w:t>
            </w:r>
          </w:p>
        </w:tc>
        <w:tc>
          <w:tcPr>
            <w:tcW w:w="636" w:type="pct"/>
            <w:tcBorders>
              <w:top w:val="nil"/>
              <w:left w:val="single" w:sz="4" w:space="0" w:color="000000"/>
              <w:bottom w:val="single" w:sz="4" w:space="0" w:color="000000"/>
              <w:right w:val="single" w:sz="4" w:space="0" w:color="000000"/>
            </w:tcBorders>
            <w:vAlign w:val="center"/>
          </w:tcPr>
          <w:p w14:paraId="4234E15B" w14:textId="021EC481" w:rsidR="00D92EBC" w:rsidRPr="009B4A73" w:rsidRDefault="0078763F" w:rsidP="00A21765">
            <w:pPr>
              <w:spacing w:after="0" w:line="240" w:lineRule="auto"/>
              <w:ind w:left="0" w:firstLine="0"/>
              <w:jc w:val="center"/>
              <w:rPr>
                <w:sz w:val="22"/>
              </w:rPr>
            </w:pPr>
            <w:r w:rsidRPr="009B4A73">
              <w:rPr>
                <w:sz w:val="22"/>
              </w:rPr>
              <w:t>20.6%</w:t>
            </w:r>
          </w:p>
        </w:tc>
        <w:tc>
          <w:tcPr>
            <w:tcW w:w="848" w:type="pct"/>
            <w:tcBorders>
              <w:top w:val="nil"/>
              <w:left w:val="single" w:sz="4" w:space="0" w:color="000000"/>
              <w:bottom w:val="single" w:sz="4" w:space="0" w:color="000000"/>
              <w:right w:val="single" w:sz="4" w:space="0" w:color="000000"/>
            </w:tcBorders>
            <w:vAlign w:val="center"/>
          </w:tcPr>
          <w:p w14:paraId="01B642F8" w14:textId="71653F7C" w:rsidR="00D92EBC" w:rsidRPr="009B4A73" w:rsidRDefault="0078763F" w:rsidP="00A21765">
            <w:pPr>
              <w:spacing w:after="0" w:line="240" w:lineRule="auto"/>
              <w:ind w:left="0" w:firstLine="0"/>
              <w:jc w:val="center"/>
              <w:rPr>
                <w:sz w:val="22"/>
              </w:rPr>
            </w:pPr>
            <w:r w:rsidRPr="009B4A73">
              <w:rPr>
                <w:sz w:val="22"/>
              </w:rPr>
              <w:t>16.3%</w:t>
            </w:r>
          </w:p>
        </w:tc>
        <w:tc>
          <w:tcPr>
            <w:tcW w:w="638" w:type="pct"/>
            <w:tcBorders>
              <w:top w:val="nil"/>
              <w:left w:val="single" w:sz="4" w:space="0" w:color="000000"/>
              <w:bottom w:val="single" w:sz="4" w:space="0" w:color="000000"/>
              <w:right w:val="single" w:sz="4" w:space="0" w:color="000000"/>
            </w:tcBorders>
            <w:vAlign w:val="center"/>
          </w:tcPr>
          <w:p w14:paraId="4833CE94" w14:textId="544161D9" w:rsidR="00D92EBC" w:rsidRPr="009B4A73" w:rsidRDefault="0078763F" w:rsidP="00A21765">
            <w:pPr>
              <w:spacing w:after="0" w:line="240" w:lineRule="auto"/>
              <w:ind w:left="0" w:firstLine="0"/>
              <w:jc w:val="center"/>
              <w:rPr>
                <w:sz w:val="22"/>
              </w:rPr>
            </w:pPr>
            <w:r w:rsidRPr="009B4A73">
              <w:rPr>
                <w:sz w:val="22"/>
              </w:rPr>
              <w:t>0.0005</w:t>
            </w:r>
          </w:p>
        </w:tc>
        <w:tc>
          <w:tcPr>
            <w:tcW w:w="972" w:type="pct"/>
            <w:tcBorders>
              <w:top w:val="nil"/>
              <w:left w:val="single" w:sz="4" w:space="0" w:color="000000"/>
              <w:bottom w:val="single" w:sz="4" w:space="0" w:color="000000"/>
              <w:right w:val="single" w:sz="4" w:space="0" w:color="000000"/>
            </w:tcBorders>
            <w:vAlign w:val="center"/>
          </w:tcPr>
          <w:p w14:paraId="4B9C0CA1" w14:textId="1E5FB2FC" w:rsidR="00D92EBC" w:rsidRPr="009B4A73" w:rsidRDefault="0078763F" w:rsidP="00A21765">
            <w:pPr>
              <w:spacing w:after="0" w:line="240" w:lineRule="auto"/>
              <w:ind w:left="0" w:firstLine="0"/>
              <w:jc w:val="center"/>
              <w:rPr>
                <w:sz w:val="22"/>
              </w:rPr>
            </w:pPr>
            <w:r w:rsidRPr="009B4A73">
              <w:rPr>
                <w:sz w:val="22"/>
              </w:rPr>
              <w:t>0.76 (0.65,</w:t>
            </w:r>
            <w:r w:rsidR="00A21765" w:rsidRPr="009B4A73">
              <w:rPr>
                <w:sz w:val="22"/>
              </w:rPr>
              <w:t xml:space="preserve"> </w:t>
            </w:r>
            <w:r w:rsidRPr="009B4A73">
              <w:rPr>
                <w:sz w:val="22"/>
              </w:rPr>
              <w:t>0.88)</w:t>
            </w:r>
          </w:p>
        </w:tc>
      </w:tr>
    </w:tbl>
    <w:p w14:paraId="7CAF130B" w14:textId="3C64E19C" w:rsidR="00D92EBC" w:rsidRPr="009B4A73" w:rsidRDefault="0078763F" w:rsidP="00316679">
      <w:pPr>
        <w:spacing w:after="0" w:line="240" w:lineRule="auto"/>
        <w:ind w:left="426"/>
        <w:rPr>
          <w:sz w:val="20"/>
          <w:szCs w:val="20"/>
        </w:rPr>
      </w:pPr>
      <w:r w:rsidRPr="009B4A73">
        <w:rPr>
          <w:sz w:val="20"/>
          <w:szCs w:val="20"/>
        </w:rPr>
        <w:t>HR: Hazard ratio;</w:t>
      </w:r>
      <w:r w:rsidRPr="009B4A73">
        <w:rPr>
          <w:sz w:val="20"/>
          <w:szCs w:val="20"/>
          <w:vertAlign w:val="superscript"/>
        </w:rPr>
        <w:t xml:space="preserve"> 1 </w:t>
      </w:r>
      <w:r w:rsidRPr="009B4A73">
        <w:rPr>
          <w:sz w:val="20"/>
          <w:szCs w:val="20"/>
        </w:rPr>
        <w:t xml:space="preserve">co-primary endpoint of DFS of 1 year vs. observation met the pre-defined statistical boundary; </w:t>
      </w:r>
      <w:r w:rsidRPr="009B4A73">
        <w:rPr>
          <w:sz w:val="20"/>
          <w:szCs w:val="20"/>
          <w:vertAlign w:val="superscript"/>
        </w:rPr>
        <w:t xml:space="preserve">2 </w:t>
      </w:r>
      <w:r w:rsidRPr="009B4A73">
        <w:rPr>
          <w:sz w:val="20"/>
          <w:szCs w:val="20"/>
        </w:rPr>
        <w:t xml:space="preserve">final </w:t>
      </w:r>
      <w:proofErr w:type="gramStart"/>
      <w:r w:rsidRPr="009B4A73">
        <w:rPr>
          <w:sz w:val="20"/>
          <w:szCs w:val="20"/>
        </w:rPr>
        <w:t>analysis</w:t>
      </w:r>
      <w:proofErr w:type="gramEnd"/>
      <w:r w:rsidRPr="009B4A73">
        <w:rPr>
          <w:sz w:val="20"/>
          <w:szCs w:val="20"/>
        </w:rPr>
        <w:t xml:space="preserve"> (includes crossover of 52% of patients from the observation arm to</w:t>
      </w:r>
      <w:r w:rsidR="00CE0B5E" w:rsidRPr="009B4A73">
        <w:rPr>
          <w:sz w:val="20"/>
          <w:szCs w:val="20"/>
        </w:rPr>
        <w:t xml:space="preserve"> </w:t>
      </w:r>
      <w:r w:rsidR="00124E0F" w:rsidRPr="009B4A73">
        <w:rPr>
          <w:sz w:val="20"/>
          <w:szCs w:val="20"/>
        </w:rPr>
        <w:t>trastuzumab</w:t>
      </w:r>
      <w:r w:rsidRPr="009B4A73">
        <w:rPr>
          <w:sz w:val="20"/>
          <w:szCs w:val="20"/>
        </w:rPr>
        <w:t>)</w:t>
      </w:r>
    </w:p>
    <w:p w14:paraId="637A90A5" w14:textId="77777777" w:rsidR="00D92EBC" w:rsidRPr="009B4A73" w:rsidRDefault="0078763F" w:rsidP="00316679">
      <w:pPr>
        <w:spacing w:after="0" w:line="240" w:lineRule="auto"/>
        <w:ind w:left="426" w:firstLine="0"/>
        <w:rPr>
          <w:sz w:val="22"/>
        </w:rPr>
      </w:pPr>
      <w:r w:rsidRPr="009B4A73">
        <w:rPr>
          <w:sz w:val="22"/>
        </w:rPr>
        <w:t xml:space="preserve"> </w:t>
      </w:r>
    </w:p>
    <w:p w14:paraId="700BE953" w14:textId="189F57A6" w:rsidR="00D92EBC" w:rsidRPr="009B4A73" w:rsidRDefault="0078763F" w:rsidP="00316679">
      <w:pPr>
        <w:spacing w:after="0" w:line="240" w:lineRule="auto"/>
        <w:ind w:left="426" w:right="8"/>
        <w:rPr>
          <w:sz w:val="22"/>
        </w:rPr>
      </w:pPr>
      <w:r w:rsidRPr="009B4A73">
        <w:rPr>
          <w:sz w:val="22"/>
        </w:rPr>
        <w:t>The HERA trial included a subgroup of patients (</w:t>
      </w:r>
      <w:r w:rsidRPr="009B4A73">
        <w:rPr>
          <w:i/>
          <w:sz w:val="22"/>
        </w:rPr>
        <w:t>n</w:t>
      </w:r>
      <w:r w:rsidRPr="009B4A73">
        <w:rPr>
          <w:sz w:val="22"/>
        </w:rPr>
        <w:t xml:space="preserve"> = 602) with small tumours (&lt;2 cm) and node-negative disease.</w:t>
      </w:r>
      <w:r w:rsidR="008805AA" w:rsidRPr="009B4A73">
        <w:rPr>
          <w:sz w:val="22"/>
        </w:rPr>
        <w:t xml:space="preserve"> </w:t>
      </w:r>
      <w:r w:rsidRPr="009B4A73">
        <w:rPr>
          <w:sz w:val="22"/>
        </w:rPr>
        <w:t xml:space="preserve">In this subgroup, the relative risk reduction was </w:t>
      </w:r>
      <w:proofErr w:type="gramStart"/>
      <w:r w:rsidRPr="009B4A73">
        <w:rPr>
          <w:sz w:val="22"/>
        </w:rPr>
        <w:t>similar to</w:t>
      </w:r>
      <w:proofErr w:type="gramEnd"/>
      <w:r w:rsidRPr="009B4A73">
        <w:rPr>
          <w:sz w:val="22"/>
        </w:rPr>
        <w:t xml:space="preserve"> the overall trial population (HR = 0.50; 95% CI 0.21 - 1.15).</w:t>
      </w:r>
      <w:r w:rsidR="008805AA" w:rsidRPr="009B4A73">
        <w:rPr>
          <w:sz w:val="22"/>
        </w:rPr>
        <w:t xml:space="preserve"> </w:t>
      </w:r>
      <w:r w:rsidRPr="009B4A73">
        <w:rPr>
          <w:sz w:val="22"/>
        </w:rPr>
        <w:t>However, the benefit in terms of absolute difference in rate of recurrence after 1 year of follow-up was smaller (2.7% recurrence rate with</w:t>
      </w:r>
      <w:r w:rsidR="00CE0B5E" w:rsidRPr="009B4A73">
        <w:rPr>
          <w:sz w:val="22"/>
        </w:rPr>
        <w:t xml:space="preserve"> </w:t>
      </w:r>
      <w:r w:rsidR="00124E0F" w:rsidRPr="009B4A73">
        <w:rPr>
          <w:sz w:val="22"/>
        </w:rPr>
        <w:t>trastuzumab</w:t>
      </w:r>
      <w:r w:rsidRPr="009B4A73">
        <w:rPr>
          <w:sz w:val="22"/>
        </w:rPr>
        <w:t xml:space="preserve"> vs. 5.5% with observation).</w:t>
      </w:r>
    </w:p>
    <w:p w14:paraId="1402F7C3" w14:textId="77777777" w:rsidR="00D92EBC" w:rsidRPr="009B4A73" w:rsidRDefault="0078763F" w:rsidP="00316679">
      <w:pPr>
        <w:spacing w:after="0" w:line="240" w:lineRule="auto"/>
        <w:ind w:left="426" w:firstLine="0"/>
        <w:rPr>
          <w:sz w:val="22"/>
        </w:rPr>
      </w:pPr>
      <w:r w:rsidRPr="009B4A73">
        <w:rPr>
          <w:sz w:val="22"/>
        </w:rPr>
        <w:t xml:space="preserve"> </w:t>
      </w:r>
    </w:p>
    <w:p w14:paraId="62441D82" w14:textId="6F102845" w:rsidR="00D92EBC" w:rsidRPr="009B4A73" w:rsidRDefault="0078763F" w:rsidP="00316679">
      <w:pPr>
        <w:spacing w:after="0" w:line="240" w:lineRule="auto"/>
        <w:ind w:left="426" w:right="279"/>
        <w:rPr>
          <w:sz w:val="22"/>
        </w:rPr>
      </w:pPr>
      <w:r w:rsidRPr="009B4A73">
        <w:rPr>
          <w:sz w:val="22"/>
        </w:rPr>
        <w:t>In the final analysis (8-year median follow up) extending</w:t>
      </w:r>
      <w:r w:rsidR="00CE0B5E" w:rsidRPr="009B4A73">
        <w:rPr>
          <w:sz w:val="22"/>
        </w:rPr>
        <w:t xml:space="preserve"> </w:t>
      </w:r>
      <w:r w:rsidR="00124E0F" w:rsidRPr="009B4A73">
        <w:rPr>
          <w:sz w:val="22"/>
        </w:rPr>
        <w:t>trastuzumab</w:t>
      </w:r>
      <w:r w:rsidRPr="009B4A73">
        <w:rPr>
          <w:sz w:val="22"/>
        </w:rPr>
        <w:t xml:space="preserve"> treatment for a duration of 2 years did not show additional benefit over treatment for 1 year [DFS HR in the intent to treat (ITT) population of 2 years vs. 1 year = 0.99 (95% CI: 0.87, 1.13); p-value = 0.90 and OS HR = 0.98 (0.83, 1.15); p-value = 0.78]. The rate of asymptomatic cardiac dysfunction was increased in the 2-year treatment arm (8.1% vs.4.6% in the 1-year treatment arm). More patients experienced at least one grade 3 or 4 adverse event in the 2-year treatment arm (20.4%) compared with the 1-year treatment arm (16.3%).</w:t>
      </w:r>
    </w:p>
    <w:p w14:paraId="6A2CFE48" w14:textId="77777777" w:rsidR="00D92EBC" w:rsidRPr="009B4A73" w:rsidRDefault="0078763F" w:rsidP="00316679">
      <w:pPr>
        <w:spacing w:after="0" w:line="240" w:lineRule="auto"/>
        <w:ind w:left="426" w:firstLine="0"/>
        <w:rPr>
          <w:sz w:val="22"/>
        </w:rPr>
      </w:pPr>
      <w:r w:rsidRPr="009B4A73">
        <w:rPr>
          <w:sz w:val="22"/>
        </w:rPr>
        <w:t xml:space="preserve"> </w:t>
      </w:r>
    </w:p>
    <w:p w14:paraId="3822784A" w14:textId="36C8F171" w:rsidR="0043610B" w:rsidRPr="009B4A73" w:rsidRDefault="0078763F" w:rsidP="00316679">
      <w:pPr>
        <w:spacing w:after="0" w:line="240" w:lineRule="auto"/>
        <w:ind w:left="426" w:right="8"/>
        <w:rPr>
          <w:sz w:val="22"/>
        </w:rPr>
      </w:pPr>
      <w:r w:rsidRPr="009B4A73">
        <w:rPr>
          <w:sz w:val="22"/>
        </w:rPr>
        <w:t>The efficacy results from the joint analysis of the NCCTG 9831 and NSABP B-31 trials are summarized in the following tables:</w:t>
      </w:r>
    </w:p>
    <w:p w14:paraId="101B3B63" w14:textId="77777777" w:rsidR="005E652F" w:rsidRPr="009B4A73" w:rsidRDefault="005E652F" w:rsidP="00316679">
      <w:pPr>
        <w:spacing w:after="0" w:line="240" w:lineRule="auto"/>
        <w:ind w:left="426" w:right="8"/>
        <w:rPr>
          <w:sz w:val="22"/>
        </w:rPr>
      </w:pPr>
    </w:p>
    <w:p w14:paraId="10F65236" w14:textId="3AB0F8A0" w:rsidR="00D92EBC" w:rsidRPr="009B4A73" w:rsidRDefault="0078763F" w:rsidP="00316679">
      <w:pPr>
        <w:pStyle w:val="Heading2"/>
        <w:spacing w:after="0" w:line="240" w:lineRule="auto"/>
        <w:ind w:left="426"/>
        <w:rPr>
          <w:sz w:val="22"/>
        </w:rPr>
      </w:pPr>
      <w:r w:rsidRPr="009B4A73">
        <w:rPr>
          <w:sz w:val="22"/>
        </w:rPr>
        <w:t xml:space="preserve">Table 7: Summary of </w:t>
      </w:r>
      <w:r w:rsidR="00E260BA" w:rsidRPr="009B4A73">
        <w:rPr>
          <w:sz w:val="22"/>
        </w:rPr>
        <w:t>e</w:t>
      </w:r>
      <w:r w:rsidRPr="009B4A73">
        <w:rPr>
          <w:sz w:val="22"/>
        </w:rPr>
        <w:t xml:space="preserve">fficacy </w:t>
      </w:r>
      <w:r w:rsidR="00E260BA" w:rsidRPr="009B4A73">
        <w:rPr>
          <w:sz w:val="22"/>
        </w:rPr>
        <w:t>r</w:t>
      </w:r>
      <w:r w:rsidRPr="009B4A73">
        <w:rPr>
          <w:sz w:val="22"/>
        </w:rPr>
        <w:t>esults from NSABP B-31 and NCCTG N9831 trials (joint analysis) at the time of the definitive DFS analysis*</w:t>
      </w:r>
    </w:p>
    <w:p w14:paraId="25903B97" w14:textId="77777777" w:rsidR="0043610B" w:rsidRPr="009B4A73" w:rsidRDefault="0043610B" w:rsidP="00316679">
      <w:pPr>
        <w:spacing w:after="0" w:line="240" w:lineRule="auto"/>
        <w:ind w:left="426"/>
        <w:rPr>
          <w:sz w:val="22"/>
        </w:rPr>
      </w:pPr>
    </w:p>
    <w:tbl>
      <w:tblPr>
        <w:tblStyle w:val="TableGrid"/>
        <w:tblW w:w="4799" w:type="pct"/>
        <w:tblInd w:w="421" w:type="dxa"/>
        <w:tblCellMar>
          <w:left w:w="57" w:type="dxa"/>
          <w:right w:w="57" w:type="dxa"/>
        </w:tblCellMar>
        <w:tblLook w:val="04A0" w:firstRow="1" w:lastRow="0" w:firstColumn="1" w:lastColumn="0" w:noHBand="0" w:noVBand="1"/>
      </w:tblPr>
      <w:tblGrid>
        <w:gridCol w:w="3969"/>
        <w:gridCol w:w="1436"/>
        <w:gridCol w:w="1436"/>
        <w:gridCol w:w="1436"/>
        <w:gridCol w:w="1763"/>
      </w:tblGrid>
      <w:tr w:rsidR="00D92EBC" w:rsidRPr="009B4A73" w14:paraId="2B358C83" w14:textId="77777777" w:rsidTr="00100070">
        <w:trPr>
          <w:trHeight w:val="20"/>
        </w:trPr>
        <w:tc>
          <w:tcPr>
            <w:tcW w:w="1977" w:type="pct"/>
            <w:tcBorders>
              <w:top w:val="single" w:sz="4" w:space="0" w:color="000000"/>
              <w:left w:val="single" w:sz="4" w:space="0" w:color="000000"/>
              <w:bottom w:val="single" w:sz="4" w:space="0" w:color="000000"/>
              <w:right w:val="single" w:sz="4" w:space="0" w:color="000000"/>
            </w:tcBorders>
            <w:vAlign w:val="center"/>
          </w:tcPr>
          <w:p w14:paraId="6118323E" w14:textId="1B2648EE" w:rsidR="00D92EBC" w:rsidRPr="009B4A73" w:rsidRDefault="0078763F" w:rsidP="00100070">
            <w:pPr>
              <w:spacing w:after="0" w:line="240" w:lineRule="auto"/>
              <w:ind w:left="0" w:firstLine="0"/>
              <w:jc w:val="center"/>
              <w:rPr>
                <w:sz w:val="22"/>
              </w:rPr>
            </w:pPr>
            <w:r w:rsidRPr="009B4A73">
              <w:rPr>
                <w:b/>
                <w:sz w:val="22"/>
              </w:rPr>
              <w:t>Parameter</w:t>
            </w:r>
          </w:p>
        </w:tc>
        <w:tc>
          <w:tcPr>
            <w:tcW w:w="715" w:type="pct"/>
            <w:tcBorders>
              <w:top w:val="single" w:sz="4" w:space="0" w:color="000000"/>
              <w:left w:val="single" w:sz="4" w:space="0" w:color="000000"/>
              <w:bottom w:val="single" w:sz="4" w:space="0" w:color="000000"/>
              <w:right w:val="single" w:sz="4" w:space="0" w:color="000000"/>
            </w:tcBorders>
            <w:vAlign w:val="center"/>
          </w:tcPr>
          <w:p w14:paraId="26524A53" w14:textId="0E067164" w:rsidR="00D92EBC" w:rsidRPr="009B4A73" w:rsidRDefault="0078763F" w:rsidP="00100070">
            <w:pPr>
              <w:spacing w:after="0" w:line="240" w:lineRule="auto"/>
              <w:ind w:left="0" w:firstLine="0"/>
              <w:jc w:val="center"/>
              <w:rPr>
                <w:sz w:val="22"/>
              </w:rPr>
            </w:pPr>
            <w:r w:rsidRPr="009B4A73">
              <w:rPr>
                <w:b/>
                <w:sz w:val="22"/>
              </w:rPr>
              <w:t>AC→P</w:t>
            </w:r>
          </w:p>
        </w:tc>
        <w:tc>
          <w:tcPr>
            <w:tcW w:w="715" w:type="pct"/>
            <w:tcBorders>
              <w:top w:val="single" w:sz="4" w:space="0" w:color="000000"/>
              <w:left w:val="single" w:sz="4" w:space="0" w:color="000000"/>
              <w:bottom w:val="single" w:sz="4" w:space="0" w:color="000000"/>
              <w:right w:val="single" w:sz="4" w:space="0" w:color="000000"/>
            </w:tcBorders>
            <w:vAlign w:val="center"/>
          </w:tcPr>
          <w:p w14:paraId="3E96A20E" w14:textId="2838CD24" w:rsidR="00D92EBC" w:rsidRPr="009B4A73" w:rsidRDefault="0078763F" w:rsidP="00100070">
            <w:pPr>
              <w:spacing w:after="0" w:line="240" w:lineRule="auto"/>
              <w:ind w:left="0" w:firstLine="0"/>
              <w:jc w:val="center"/>
              <w:rPr>
                <w:sz w:val="22"/>
              </w:rPr>
            </w:pPr>
            <w:r w:rsidRPr="009B4A73">
              <w:rPr>
                <w:b/>
                <w:sz w:val="22"/>
              </w:rPr>
              <w:t>AC→PH</w:t>
            </w:r>
          </w:p>
        </w:tc>
        <w:tc>
          <w:tcPr>
            <w:tcW w:w="715" w:type="pct"/>
            <w:tcBorders>
              <w:top w:val="single" w:sz="4" w:space="0" w:color="000000"/>
              <w:left w:val="single" w:sz="4" w:space="0" w:color="000000"/>
              <w:bottom w:val="single" w:sz="4" w:space="0" w:color="000000"/>
              <w:right w:val="single" w:sz="4" w:space="0" w:color="000000"/>
            </w:tcBorders>
            <w:vAlign w:val="center"/>
          </w:tcPr>
          <w:p w14:paraId="5C7853A7" w14:textId="2622ABD1" w:rsidR="00D92EBC" w:rsidRPr="009B4A73" w:rsidRDefault="0078763F" w:rsidP="00100070">
            <w:pPr>
              <w:spacing w:after="0" w:line="240" w:lineRule="auto"/>
              <w:ind w:left="0" w:firstLine="0"/>
              <w:jc w:val="center"/>
              <w:rPr>
                <w:sz w:val="22"/>
              </w:rPr>
            </w:pPr>
            <w:r w:rsidRPr="009B4A73">
              <w:rPr>
                <w:b/>
                <w:sz w:val="22"/>
              </w:rPr>
              <w:t>p-value</w:t>
            </w:r>
          </w:p>
        </w:tc>
        <w:tc>
          <w:tcPr>
            <w:tcW w:w="879" w:type="pct"/>
            <w:tcBorders>
              <w:top w:val="single" w:sz="4" w:space="0" w:color="000000"/>
              <w:left w:val="single" w:sz="4" w:space="0" w:color="000000"/>
              <w:bottom w:val="single" w:sz="4" w:space="0" w:color="000000"/>
              <w:right w:val="single" w:sz="4" w:space="0" w:color="000000"/>
            </w:tcBorders>
            <w:vAlign w:val="center"/>
          </w:tcPr>
          <w:p w14:paraId="0F2E0C9B" w14:textId="2198E331" w:rsidR="00D92EBC" w:rsidRPr="009B4A73" w:rsidRDefault="0078763F" w:rsidP="00100070">
            <w:pPr>
              <w:spacing w:after="0" w:line="240" w:lineRule="auto"/>
              <w:ind w:left="0" w:firstLine="0"/>
              <w:jc w:val="center"/>
              <w:rPr>
                <w:sz w:val="22"/>
              </w:rPr>
            </w:pPr>
            <w:r w:rsidRPr="009B4A73">
              <w:rPr>
                <w:b/>
                <w:sz w:val="22"/>
              </w:rPr>
              <w:t>HR</w:t>
            </w:r>
          </w:p>
          <w:p w14:paraId="74A64F1A" w14:textId="0150A63F" w:rsidR="00D92EBC" w:rsidRPr="009B4A73" w:rsidRDefault="0078763F" w:rsidP="00100070">
            <w:pPr>
              <w:spacing w:after="0" w:line="240" w:lineRule="auto"/>
              <w:ind w:left="0" w:firstLine="0"/>
              <w:jc w:val="center"/>
              <w:rPr>
                <w:sz w:val="22"/>
              </w:rPr>
            </w:pPr>
            <w:r w:rsidRPr="009B4A73">
              <w:rPr>
                <w:b/>
                <w:sz w:val="22"/>
              </w:rPr>
              <w:t>(95% CI)</w:t>
            </w:r>
          </w:p>
        </w:tc>
      </w:tr>
      <w:tr w:rsidR="00D92EBC" w:rsidRPr="009B4A73" w14:paraId="02E30978" w14:textId="77777777" w:rsidTr="00100070">
        <w:trPr>
          <w:trHeight w:val="20"/>
        </w:trPr>
        <w:tc>
          <w:tcPr>
            <w:tcW w:w="1977" w:type="pct"/>
            <w:tcBorders>
              <w:top w:val="single" w:sz="4" w:space="0" w:color="000000"/>
              <w:left w:val="single" w:sz="4" w:space="0" w:color="000000"/>
              <w:bottom w:val="single" w:sz="4" w:space="0" w:color="000000"/>
              <w:right w:val="single" w:sz="4" w:space="0" w:color="000000"/>
            </w:tcBorders>
          </w:tcPr>
          <w:p w14:paraId="405C3F01" w14:textId="77777777" w:rsidR="00D92EBC" w:rsidRPr="009B4A73" w:rsidRDefault="0078763F" w:rsidP="00100070">
            <w:pPr>
              <w:spacing w:after="0" w:line="240" w:lineRule="auto"/>
              <w:ind w:left="0" w:firstLine="0"/>
              <w:rPr>
                <w:sz w:val="22"/>
              </w:rPr>
            </w:pPr>
            <w:r w:rsidRPr="009B4A73">
              <w:rPr>
                <w:b/>
                <w:sz w:val="22"/>
                <w:u w:val="single" w:color="000000"/>
              </w:rPr>
              <w:t>Disease recurrence</w:t>
            </w:r>
            <w:r w:rsidRPr="009B4A73">
              <w:rPr>
                <w:b/>
                <w:sz w:val="22"/>
              </w:rPr>
              <w:t xml:space="preserve"> </w:t>
            </w:r>
          </w:p>
          <w:p w14:paraId="2DE9D2CB" w14:textId="045CCDB0" w:rsidR="00D92EBC" w:rsidRPr="009B4A73" w:rsidRDefault="0078763F" w:rsidP="00100070">
            <w:pPr>
              <w:spacing w:after="0" w:line="240" w:lineRule="auto"/>
              <w:ind w:left="0" w:firstLine="0"/>
              <w:rPr>
                <w:sz w:val="22"/>
              </w:rPr>
            </w:pPr>
            <w:r w:rsidRPr="009B4A73">
              <w:rPr>
                <w:sz w:val="22"/>
              </w:rPr>
              <w:t>Rate (</w:t>
            </w:r>
            <w:r w:rsidR="00124E0F" w:rsidRPr="009B4A73">
              <w:rPr>
                <w:sz w:val="22"/>
              </w:rPr>
              <w:t>trastuzumab</w:t>
            </w:r>
            <w:r w:rsidRPr="009B4A73">
              <w:rPr>
                <w:sz w:val="22"/>
              </w:rPr>
              <w:t xml:space="preserve"> vs. observation) </w:t>
            </w:r>
          </w:p>
        </w:tc>
        <w:tc>
          <w:tcPr>
            <w:tcW w:w="715" w:type="pct"/>
            <w:tcBorders>
              <w:top w:val="single" w:sz="4" w:space="0" w:color="000000"/>
              <w:left w:val="single" w:sz="4" w:space="0" w:color="000000"/>
              <w:bottom w:val="single" w:sz="4" w:space="0" w:color="000000"/>
              <w:right w:val="single" w:sz="4" w:space="0" w:color="000000"/>
            </w:tcBorders>
            <w:vAlign w:val="center"/>
          </w:tcPr>
          <w:p w14:paraId="7E488FE2" w14:textId="26C8A60C" w:rsidR="00D92EBC" w:rsidRPr="009B4A73" w:rsidRDefault="00D92EBC" w:rsidP="00100070">
            <w:pPr>
              <w:spacing w:after="0" w:line="240" w:lineRule="auto"/>
              <w:ind w:left="0" w:firstLine="0"/>
              <w:jc w:val="center"/>
              <w:rPr>
                <w:sz w:val="22"/>
              </w:rPr>
            </w:pPr>
          </w:p>
          <w:p w14:paraId="40C4BEA6" w14:textId="7A96D271" w:rsidR="00D92EBC" w:rsidRPr="009B4A73" w:rsidRDefault="0078763F" w:rsidP="00100070">
            <w:pPr>
              <w:spacing w:after="0" w:line="240" w:lineRule="auto"/>
              <w:ind w:left="0" w:firstLine="0"/>
              <w:jc w:val="center"/>
              <w:rPr>
                <w:sz w:val="22"/>
              </w:rPr>
            </w:pPr>
            <w:r w:rsidRPr="009B4A73">
              <w:rPr>
                <w:sz w:val="22"/>
              </w:rPr>
              <w:t>15.5%</w:t>
            </w:r>
          </w:p>
        </w:tc>
        <w:tc>
          <w:tcPr>
            <w:tcW w:w="715" w:type="pct"/>
            <w:tcBorders>
              <w:top w:val="single" w:sz="4" w:space="0" w:color="000000"/>
              <w:left w:val="single" w:sz="4" w:space="0" w:color="000000"/>
              <w:bottom w:val="single" w:sz="4" w:space="0" w:color="000000"/>
              <w:right w:val="single" w:sz="4" w:space="0" w:color="000000"/>
            </w:tcBorders>
            <w:vAlign w:val="center"/>
          </w:tcPr>
          <w:p w14:paraId="56D2AF5C" w14:textId="07142477" w:rsidR="00D92EBC" w:rsidRPr="009B4A73" w:rsidRDefault="00D92EBC" w:rsidP="00100070">
            <w:pPr>
              <w:spacing w:after="0" w:line="240" w:lineRule="auto"/>
              <w:ind w:left="0" w:firstLine="0"/>
              <w:jc w:val="center"/>
              <w:rPr>
                <w:sz w:val="22"/>
              </w:rPr>
            </w:pPr>
          </w:p>
          <w:p w14:paraId="6B9E3A14" w14:textId="2AC79836" w:rsidR="00D92EBC" w:rsidRPr="009B4A73" w:rsidRDefault="0078763F" w:rsidP="00100070">
            <w:pPr>
              <w:spacing w:after="0" w:line="240" w:lineRule="auto"/>
              <w:ind w:left="0" w:firstLine="0"/>
              <w:jc w:val="center"/>
              <w:rPr>
                <w:sz w:val="22"/>
              </w:rPr>
            </w:pPr>
            <w:r w:rsidRPr="009B4A73">
              <w:rPr>
                <w:sz w:val="22"/>
              </w:rPr>
              <w:t>8.0%</w:t>
            </w:r>
          </w:p>
        </w:tc>
        <w:tc>
          <w:tcPr>
            <w:tcW w:w="715" w:type="pct"/>
            <w:tcBorders>
              <w:top w:val="single" w:sz="4" w:space="0" w:color="000000"/>
              <w:left w:val="single" w:sz="4" w:space="0" w:color="000000"/>
              <w:bottom w:val="single" w:sz="4" w:space="0" w:color="000000"/>
              <w:right w:val="single" w:sz="4" w:space="0" w:color="000000"/>
            </w:tcBorders>
            <w:vAlign w:val="center"/>
          </w:tcPr>
          <w:p w14:paraId="3027136B" w14:textId="4627252F" w:rsidR="00D92EBC" w:rsidRPr="009B4A73" w:rsidRDefault="00D92EBC" w:rsidP="00100070">
            <w:pPr>
              <w:spacing w:after="0" w:line="240" w:lineRule="auto"/>
              <w:ind w:left="0" w:firstLine="0"/>
              <w:jc w:val="center"/>
              <w:rPr>
                <w:sz w:val="22"/>
              </w:rPr>
            </w:pPr>
          </w:p>
          <w:p w14:paraId="6620B6FA" w14:textId="66CA668C" w:rsidR="00D92EBC" w:rsidRPr="009B4A73" w:rsidRDefault="0078763F" w:rsidP="00100070">
            <w:pPr>
              <w:spacing w:after="0" w:line="240" w:lineRule="auto"/>
              <w:ind w:left="0" w:firstLine="0"/>
              <w:jc w:val="center"/>
              <w:rPr>
                <w:sz w:val="22"/>
              </w:rPr>
            </w:pPr>
            <w:r w:rsidRPr="009B4A73">
              <w:rPr>
                <w:sz w:val="22"/>
              </w:rPr>
              <w:t>&lt; 0.0001</w:t>
            </w:r>
          </w:p>
        </w:tc>
        <w:tc>
          <w:tcPr>
            <w:tcW w:w="879" w:type="pct"/>
            <w:tcBorders>
              <w:top w:val="single" w:sz="4" w:space="0" w:color="000000"/>
              <w:left w:val="single" w:sz="4" w:space="0" w:color="000000"/>
              <w:bottom w:val="single" w:sz="4" w:space="0" w:color="000000"/>
              <w:right w:val="single" w:sz="4" w:space="0" w:color="000000"/>
            </w:tcBorders>
            <w:vAlign w:val="center"/>
          </w:tcPr>
          <w:p w14:paraId="10187D20" w14:textId="7DCCE6F7" w:rsidR="00D92EBC" w:rsidRPr="009B4A73" w:rsidRDefault="00D92EBC" w:rsidP="00100070">
            <w:pPr>
              <w:spacing w:after="0" w:line="240" w:lineRule="auto"/>
              <w:ind w:left="0" w:firstLine="0"/>
              <w:jc w:val="center"/>
              <w:rPr>
                <w:sz w:val="22"/>
              </w:rPr>
            </w:pPr>
          </w:p>
          <w:p w14:paraId="1684E21C" w14:textId="38C59754" w:rsidR="00D92EBC" w:rsidRPr="009B4A73" w:rsidRDefault="0078763F" w:rsidP="00100070">
            <w:pPr>
              <w:spacing w:after="0" w:line="240" w:lineRule="auto"/>
              <w:ind w:left="0" w:firstLine="0"/>
              <w:jc w:val="center"/>
              <w:rPr>
                <w:sz w:val="22"/>
              </w:rPr>
            </w:pPr>
            <w:r w:rsidRPr="009B4A73">
              <w:rPr>
                <w:sz w:val="22"/>
              </w:rPr>
              <w:t>0.48 (0.39, 0.59)</w:t>
            </w:r>
          </w:p>
        </w:tc>
      </w:tr>
      <w:tr w:rsidR="00D92EBC" w:rsidRPr="009B4A73" w14:paraId="3F6AD07C" w14:textId="77777777" w:rsidTr="00100070">
        <w:trPr>
          <w:trHeight w:val="20"/>
        </w:trPr>
        <w:tc>
          <w:tcPr>
            <w:tcW w:w="1977" w:type="pct"/>
            <w:tcBorders>
              <w:top w:val="single" w:sz="4" w:space="0" w:color="000000"/>
              <w:left w:val="single" w:sz="4" w:space="0" w:color="000000"/>
              <w:bottom w:val="single" w:sz="4" w:space="0" w:color="000000"/>
              <w:right w:val="single" w:sz="4" w:space="0" w:color="000000"/>
            </w:tcBorders>
          </w:tcPr>
          <w:p w14:paraId="5AEEE409" w14:textId="6042F59E" w:rsidR="00D92EBC" w:rsidRPr="009B4A73" w:rsidRDefault="0078763F" w:rsidP="00100070">
            <w:pPr>
              <w:spacing w:after="0" w:line="240" w:lineRule="auto"/>
              <w:ind w:left="0" w:firstLine="0"/>
              <w:rPr>
                <w:sz w:val="22"/>
              </w:rPr>
            </w:pPr>
            <w:r w:rsidRPr="009B4A73">
              <w:rPr>
                <w:b/>
                <w:sz w:val="22"/>
                <w:u w:val="single" w:color="000000"/>
              </w:rPr>
              <w:t>Survival</w:t>
            </w:r>
            <w:r w:rsidR="008805AA" w:rsidRPr="009B4A73">
              <w:rPr>
                <w:sz w:val="22"/>
              </w:rPr>
              <w:t xml:space="preserve"> </w:t>
            </w:r>
          </w:p>
          <w:p w14:paraId="19AF03E4" w14:textId="774B7D46" w:rsidR="00D92EBC" w:rsidRPr="009B4A73" w:rsidRDefault="0078763F" w:rsidP="00100070">
            <w:pPr>
              <w:spacing w:after="0" w:line="240" w:lineRule="auto"/>
              <w:ind w:left="0" w:firstLine="0"/>
              <w:rPr>
                <w:sz w:val="22"/>
              </w:rPr>
            </w:pPr>
            <w:r w:rsidRPr="009B4A73">
              <w:rPr>
                <w:sz w:val="22"/>
              </w:rPr>
              <w:t>Deaths (</w:t>
            </w:r>
            <w:r w:rsidR="00124E0F" w:rsidRPr="009B4A73">
              <w:rPr>
                <w:sz w:val="22"/>
              </w:rPr>
              <w:t>trastuzumab</w:t>
            </w:r>
            <w:r w:rsidRPr="009B4A73">
              <w:rPr>
                <w:sz w:val="22"/>
              </w:rPr>
              <w:t xml:space="preserve"> vs. observation) </w:t>
            </w:r>
          </w:p>
        </w:tc>
        <w:tc>
          <w:tcPr>
            <w:tcW w:w="715" w:type="pct"/>
            <w:tcBorders>
              <w:top w:val="single" w:sz="4" w:space="0" w:color="000000"/>
              <w:left w:val="single" w:sz="4" w:space="0" w:color="000000"/>
              <w:bottom w:val="single" w:sz="4" w:space="0" w:color="000000"/>
              <w:right w:val="single" w:sz="4" w:space="0" w:color="000000"/>
            </w:tcBorders>
            <w:vAlign w:val="center"/>
          </w:tcPr>
          <w:p w14:paraId="6A350B68" w14:textId="0F4B4643" w:rsidR="00D92EBC" w:rsidRPr="009B4A73" w:rsidRDefault="00D92EBC" w:rsidP="00100070">
            <w:pPr>
              <w:spacing w:after="0" w:line="240" w:lineRule="auto"/>
              <w:ind w:left="0" w:firstLine="0"/>
              <w:jc w:val="center"/>
              <w:rPr>
                <w:sz w:val="22"/>
              </w:rPr>
            </w:pPr>
          </w:p>
          <w:p w14:paraId="10037CDC" w14:textId="55D33C86" w:rsidR="00D92EBC" w:rsidRPr="009B4A73" w:rsidRDefault="0078763F" w:rsidP="00100070">
            <w:pPr>
              <w:spacing w:after="0" w:line="240" w:lineRule="auto"/>
              <w:ind w:left="0" w:firstLine="0"/>
              <w:jc w:val="center"/>
              <w:rPr>
                <w:sz w:val="22"/>
              </w:rPr>
            </w:pPr>
            <w:r w:rsidRPr="009B4A73">
              <w:rPr>
                <w:sz w:val="22"/>
              </w:rPr>
              <w:t>5.5%</w:t>
            </w:r>
          </w:p>
        </w:tc>
        <w:tc>
          <w:tcPr>
            <w:tcW w:w="715" w:type="pct"/>
            <w:tcBorders>
              <w:top w:val="single" w:sz="4" w:space="0" w:color="000000"/>
              <w:left w:val="single" w:sz="4" w:space="0" w:color="000000"/>
              <w:bottom w:val="single" w:sz="4" w:space="0" w:color="000000"/>
              <w:right w:val="single" w:sz="4" w:space="0" w:color="000000"/>
            </w:tcBorders>
            <w:vAlign w:val="center"/>
          </w:tcPr>
          <w:p w14:paraId="70D9C2DC" w14:textId="23C5C5C3" w:rsidR="00D92EBC" w:rsidRPr="009B4A73" w:rsidRDefault="00D92EBC" w:rsidP="00100070">
            <w:pPr>
              <w:spacing w:after="0" w:line="240" w:lineRule="auto"/>
              <w:ind w:left="0" w:firstLine="0"/>
              <w:jc w:val="center"/>
              <w:rPr>
                <w:sz w:val="22"/>
              </w:rPr>
            </w:pPr>
          </w:p>
          <w:p w14:paraId="6D1561F0" w14:textId="75407E96" w:rsidR="00D92EBC" w:rsidRPr="009B4A73" w:rsidRDefault="0078763F" w:rsidP="00100070">
            <w:pPr>
              <w:spacing w:after="0" w:line="240" w:lineRule="auto"/>
              <w:ind w:left="0" w:firstLine="0"/>
              <w:jc w:val="center"/>
              <w:rPr>
                <w:sz w:val="22"/>
              </w:rPr>
            </w:pPr>
            <w:r w:rsidRPr="009B4A73">
              <w:rPr>
                <w:sz w:val="22"/>
              </w:rPr>
              <w:t>3.7%</w:t>
            </w:r>
          </w:p>
        </w:tc>
        <w:tc>
          <w:tcPr>
            <w:tcW w:w="715" w:type="pct"/>
            <w:tcBorders>
              <w:top w:val="single" w:sz="4" w:space="0" w:color="000000"/>
              <w:left w:val="single" w:sz="4" w:space="0" w:color="000000"/>
              <w:bottom w:val="single" w:sz="4" w:space="0" w:color="000000"/>
              <w:right w:val="single" w:sz="4" w:space="0" w:color="000000"/>
            </w:tcBorders>
            <w:vAlign w:val="center"/>
          </w:tcPr>
          <w:p w14:paraId="685B234E" w14:textId="46453BE6" w:rsidR="00D92EBC" w:rsidRPr="009B4A73" w:rsidRDefault="00D92EBC" w:rsidP="00100070">
            <w:pPr>
              <w:spacing w:after="0" w:line="240" w:lineRule="auto"/>
              <w:ind w:left="0" w:firstLine="0"/>
              <w:jc w:val="center"/>
              <w:rPr>
                <w:sz w:val="22"/>
              </w:rPr>
            </w:pPr>
          </w:p>
          <w:p w14:paraId="0B664F91" w14:textId="6917C6AF" w:rsidR="00D92EBC" w:rsidRPr="009B4A73" w:rsidRDefault="0078763F" w:rsidP="00100070">
            <w:pPr>
              <w:spacing w:after="0" w:line="240" w:lineRule="auto"/>
              <w:ind w:left="0" w:firstLine="0"/>
              <w:jc w:val="center"/>
              <w:rPr>
                <w:sz w:val="22"/>
              </w:rPr>
            </w:pPr>
            <w:r w:rsidRPr="009B4A73">
              <w:rPr>
                <w:sz w:val="22"/>
              </w:rPr>
              <w:t>0.014**</w:t>
            </w:r>
          </w:p>
        </w:tc>
        <w:tc>
          <w:tcPr>
            <w:tcW w:w="879" w:type="pct"/>
            <w:tcBorders>
              <w:top w:val="single" w:sz="4" w:space="0" w:color="000000"/>
              <w:left w:val="single" w:sz="4" w:space="0" w:color="000000"/>
              <w:bottom w:val="single" w:sz="4" w:space="0" w:color="000000"/>
              <w:right w:val="single" w:sz="4" w:space="0" w:color="000000"/>
            </w:tcBorders>
            <w:vAlign w:val="center"/>
          </w:tcPr>
          <w:p w14:paraId="6F071430" w14:textId="502E2980" w:rsidR="00D92EBC" w:rsidRPr="009B4A73" w:rsidRDefault="00D92EBC" w:rsidP="00100070">
            <w:pPr>
              <w:spacing w:after="0" w:line="240" w:lineRule="auto"/>
              <w:ind w:left="0" w:firstLine="0"/>
              <w:jc w:val="center"/>
              <w:rPr>
                <w:sz w:val="22"/>
              </w:rPr>
            </w:pPr>
          </w:p>
          <w:p w14:paraId="7D9E5D36" w14:textId="15FAEBFE" w:rsidR="00D92EBC" w:rsidRPr="009B4A73" w:rsidRDefault="0078763F" w:rsidP="00100070">
            <w:pPr>
              <w:spacing w:after="0" w:line="240" w:lineRule="auto"/>
              <w:ind w:left="0" w:firstLine="0"/>
              <w:jc w:val="center"/>
              <w:rPr>
                <w:sz w:val="22"/>
              </w:rPr>
            </w:pPr>
            <w:r w:rsidRPr="009B4A73">
              <w:rPr>
                <w:sz w:val="22"/>
              </w:rPr>
              <w:t>0.67 (0.48, 0.92)</w:t>
            </w:r>
          </w:p>
        </w:tc>
      </w:tr>
    </w:tbl>
    <w:p w14:paraId="1B25A881" w14:textId="62BEAB4B" w:rsidR="00100070" w:rsidRPr="009B4A73" w:rsidRDefault="0078763F" w:rsidP="00316679">
      <w:pPr>
        <w:spacing w:after="10" w:line="240" w:lineRule="auto"/>
        <w:ind w:left="426" w:right="201"/>
        <w:rPr>
          <w:sz w:val="20"/>
          <w:szCs w:val="20"/>
        </w:rPr>
      </w:pPr>
      <w:r w:rsidRPr="009B4A73">
        <w:rPr>
          <w:sz w:val="20"/>
          <w:szCs w:val="20"/>
        </w:rPr>
        <w:t>A: doxorubicin; C: cyclophosphamide; P: paclitaxel; H:</w:t>
      </w:r>
      <w:r w:rsidR="00CE0B5E" w:rsidRPr="009B4A73">
        <w:rPr>
          <w:sz w:val="20"/>
          <w:szCs w:val="20"/>
        </w:rPr>
        <w:t xml:space="preserve"> </w:t>
      </w:r>
      <w:r w:rsidR="00124E0F" w:rsidRPr="009B4A73">
        <w:rPr>
          <w:sz w:val="20"/>
          <w:szCs w:val="20"/>
        </w:rPr>
        <w:t>trastuzumab</w:t>
      </w:r>
      <w:r w:rsidRPr="009B4A73">
        <w:rPr>
          <w:sz w:val="20"/>
          <w:szCs w:val="20"/>
        </w:rPr>
        <w:t xml:space="preserve">; HR: Hazard ratio </w:t>
      </w:r>
    </w:p>
    <w:p w14:paraId="7FCD063A" w14:textId="206699C4" w:rsidR="00D92EBC" w:rsidRPr="009B4A73" w:rsidRDefault="0078763F" w:rsidP="00316679">
      <w:pPr>
        <w:spacing w:after="10" w:line="240" w:lineRule="auto"/>
        <w:ind w:left="426" w:right="201"/>
        <w:rPr>
          <w:sz w:val="20"/>
          <w:szCs w:val="20"/>
        </w:rPr>
      </w:pPr>
      <w:r w:rsidRPr="009B4A73">
        <w:rPr>
          <w:sz w:val="20"/>
          <w:szCs w:val="20"/>
        </w:rPr>
        <w:t xml:space="preserve">* </w:t>
      </w:r>
      <w:proofErr w:type="gramStart"/>
      <w:r w:rsidRPr="009B4A73">
        <w:rPr>
          <w:sz w:val="20"/>
          <w:szCs w:val="20"/>
        </w:rPr>
        <w:t>at</w:t>
      </w:r>
      <w:proofErr w:type="gramEnd"/>
      <w:r w:rsidRPr="009B4A73">
        <w:rPr>
          <w:sz w:val="20"/>
          <w:szCs w:val="20"/>
        </w:rPr>
        <w:t xml:space="preserve"> median duration of follow up of 1.8 years for the patients in the AC→P arm and 2.0 years for patients in the AC→PH arm </w:t>
      </w:r>
    </w:p>
    <w:p w14:paraId="7774CF76" w14:textId="1D6D7159" w:rsidR="00D92EBC" w:rsidRPr="009B4A73" w:rsidRDefault="0078763F" w:rsidP="00316679">
      <w:pPr>
        <w:spacing w:after="0" w:line="240" w:lineRule="auto"/>
        <w:ind w:left="426"/>
        <w:rPr>
          <w:sz w:val="20"/>
          <w:szCs w:val="20"/>
        </w:rPr>
      </w:pPr>
      <w:r w:rsidRPr="009B4A73">
        <w:rPr>
          <w:sz w:val="20"/>
          <w:szCs w:val="20"/>
        </w:rPr>
        <w:t xml:space="preserve">** p value for OS did not cross the pre-specified statistical boundary for comparison of AC→PH vs. AC→P </w:t>
      </w:r>
    </w:p>
    <w:p w14:paraId="0AA21B3B" w14:textId="77777777" w:rsidR="0043610B" w:rsidRPr="009B4A73" w:rsidRDefault="0043610B" w:rsidP="00316679">
      <w:pPr>
        <w:spacing w:after="0" w:line="240" w:lineRule="auto"/>
        <w:ind w:left="426"/>
        <w:rPr>
          <w:sz w:val="22"/>
        </w:rPr>
      </w:pPr>
    </w:p>
    <w:p w14:paraId="539AAFF3" w14:textId="00E4BE02" w:rsidR="00B62CCE" w:rsidRPr="009B4A73" w:rsidRDefault="0078763F" w:rsidP="00316679">
      <w:pPr>
        <w:spacing w:after="0" w:line="240" w:lineRule="auto"/>
        <w:ind w:left="426" w:right="8"/>
        <w:rPr>
          <w:sz w:val="22"/>
        </w:rPr>
      </w:pPr>
      <w:r w:rsidRPr="009B4A73">
        <w:rPr>
          <w:sz w:val="22"/>
        </w:rPr>
        <w:t>The pre-planned final analysis of OS from the joint analysis of studies NSABP B-31 and NCCTG N9831 was performed when 707 deaths had occurred (median follow-up 8.3 years in the AC→P H group). At 8 years, the survival rate was estimated to be 86.9% in the AC</w:t>
      </w:r>
      <w:r w:rsidRPr="009B4A73">
        <w:rPr>
          <w:rFonts w:eastAsia="Segoe UI Symbol"/>
          <w:sz w:val="22"/>
        </w:rPr>
        <w:t>→</w:t>
      </w:r>
      <w:r w:rsidRPr="009B4A73">
        <w:rPr>
          <w:sz w:val="22"/>
        </w:rPr>
        <w:t>P H arm and 79.4% in the AC</w:t>
      </w:r>
      <w:r w:rsidRPr="009B4A73">
        <w:rPr>
          <w:rFonts w:eastAsia="Segoe UI Symbol"/>
          <w:sz w:val="22"/>
        </w:rPr>
        <w:t>→</w:t>
      </w:r>
      <w:r w:rsidRPr="009B4A73">
        <w:rPr>
          <w:sz w:val="22"/>
        </w:rPr>
        <w:t>P arm, an absolute benefit of 7.4% (95% CI 4.9%, 10.0%. The final OS results from the joint analysis of studies NSABP B-31 and NCCTG N9831 are summarized in the following table:</w:t>
      </w:r>
    </w:p>
    <w:p w14:paraId="52290E63" w14:textId="77777777" w:rsidR="0043610B" w:rsidRPr="009B4A73" w:rsidRDefault="0043610B" w:rsidP="00316679">
      <w:pPr>
        <w:spacing w:after="0" w:line="240" w:lineRule="auto"/>
        <w:ind w:left="426" w:right="8"/>
        <w:rPr>
          <w:sz w:val="22"/>
        </w:rPr>
      </w:pPr>
    </w:p>
    <w:p w14:paraId="789F41FA" w14:textId="08B2D312" w:rsidR="00D92EBC" w:rsidRPr="009B4A73" w:rsidRDefault="0078763F" w:rsidP="00316679">
      <w:pPr>
        <w:pStyle w:val="Heading2"/>
        <w:spacing w:after="0" w:line="240" w:lineRule="auto"/>
        <w:ind w:left="426"/>
        <w:rPr>
          <w:sz w:val="22"/>
        </w:rPr>
      </w:pPr>
      <w:r w:rsidRPr="009B4A73">
        <w:rPr>
          <w:sz w:val="22"/>
        </w:rPr>
        <w:t xml:space="preserve">Table 8: Final </w:t>
      </w:r>
      <w:r w:rsidR="00E260BA" w:rsidRPr="009B4A73">
        <w:rPr>
          <w:sz w:val="22"/>
        </w:rPr>
        <w:t>o</w:t>
      </w:r>
      <w:r w:rsidRPr="009B4A73">
        <w:rPr>
          <w:sz w:val="22"/>
        </w:rPr>
        <w:t xml:space="preserve">verall </w:t>
      </w:r>
      <w:r w:rsidR="00E260BA" w:rsidRPr="009B4A73">
        <w:rPr>
          <w:sz w:val="22"/>
        </w:rPr>
        <w:t>s</w:t>
      </w:r>
      <w:r w:rsidRPr="009B4A73">
        <w:rPr>
          <w:sz w:val="22"/>
        </w:rPr>
        <w:t xml:space="preserve">urvival </w:t>
      </w:r>
      <w:r w:rsidR="00E260BA" w:rsidRPr="009B4A73">
        <w:rPr>
          <w:sz w:val="22"/>
        </w:rPr>
        <w:t>a</w:t>
      </w:r>
      <w:r w:rsidRPr="009B4A73">
        <w:rPr>
          <w:sz w:val="22"/>
        </w:rPr>
        <w:t xml:space="preserve">nalysis from the joint analysis of trials NSABP B-31 and NCCTG N9831 </w:t>
      </w:r>
    </w:p>
    <w:p w14:paraId="3647D977" w14:textId="0EBE2E77" w:rsidR="0043610B" w:rsidRPr="009B4A73" w:rsidRDefault="0043610B" w:rsidP="00316679">
      <w:pPr>
        <w:spacing w:after="0" w:line="240" w:lineRule="auto"/>
        <w:ind w:left="426"/>
        <w:rPr>
          <w:sz w:val="22"/>
        </w:rPr>
      </w:pPr>
    </w:p>
    <w:tbl>
      <w:tblPr>
        <w:tblStyle w:val="TableGrid"/>
        <w:tblW w:w="4799" w:type="pct"/>
        <w:tblInd w:w="421" w:type="dxa"/>
        <w:tblCellMar>
          <w:top w:w="14" w:type="dxa"/>
          <w:left w:w="67" w:type="dxa"/>
          <w:right w:w="55" w:type="dxa"/>
        </w:tblCellMar>
        <w:tblLook w:val="04A0" w:firstRow="1" w:lastRow="0" w:firstColumn="1" w:lastColumn="0" w:noHBand="0" w:noVBand="1"/>
      </w:tblPr>
      <w:tblGrid>
        <w:gridCol w:w="3119"/>
        <w:gridCol w:w="1764"/>
        <w:gridCol w:w="1764"/>
        <w:gridCol w:w="1765"/>
        <w:gridCol w:w="1628"/>
      </w:tblGrid>
      <w:tr w:rsidR="00D92EBC" w:rsidRPr="009B4A73" w14:paraId="625465B3" w14:textId="77777777" w:rsidTr="00100070">
        <w:trPr>
          <w:trHeight w:val="680"/>
        </w:trPr>
        <w:tc>
          <w:tcPr>
            <w:tcW w:w="1553" w:type="pct"/>
            <w:tcBorders>
              <w:top w:val="single" w:sz="4" w:space="0" w:color="000000"/>
              <w:left w:val="single" w:sz="4" w:space="0" w:color="000000"/>
              <w:bottom w:val="single" w:sz="4" w:space="0" w:color="000000"/>
              <w:right w:val="single" w:sz="4" w:space="0" w:color="000000"/>
            </w:tcBorders>
          </w:tcPr>
          <w:p w14:paraId="10B30D0F" w14:textId="77777777" w:rsidR="00D92EBC" w:rsidRPr="009B4A73" w:rsidRDefault="0078763F" w:rsidP="00100070">
            <w:pPr>
              <w:spacing w:after="0" w:line="240" w:lineRule="auto"/>
              <w:ind w:left="0" w:firstLine="0"/>
              <w:rPr>
                <w:sz w:val="22"/>
              </w:rPr>
            </w:pPr>
            <w:r w:rsidRPr="009B4A73">
              <w:rPr>
                <w:sz w:val="22"/>
              </w:rPr>
              <w:t xml:space="preserve">Parameter </w:t>
            </w:r>
          </w:p>
          <w:p w14:paraId="4008A807" w14:textId="77777777" w:rsidR="00D92EBC" w:rsidRPr="009B4A73" w:rsidRDefault="0078763F" w:rsidP="00100070">
            <w:pPr>
              <w:spacing w:after="0" w:line="240" w:lineRule="auto"/>
              <w:ind w:left="0" w:firstLine="0"/>
              <w:rPr>
                <w:sz w:val="22"/>
              </w:rPr>
            </w:pPr>
            <w:r w:rsidRPr="009B4A73">
              <w:rPr>
                <w:sz w:val="22"/>
              </w:rPr>
              <w:t xml:space="preserve"> </w:t>
            </w:r>
          </w:p>
        </w:tc>
        <w:tc>
          <w:tcPr>
            <w:tcW w:w="878" w:type="pct"/>
            <w:tcBorders>
              <w:top w:val="single" w:sz="4" w:space="0" w:color="000000"/>
              <w:left w:val="single" w:sz="4" w:space="0" w:color="000000"/>
              <w:bottom w:val="single" w:sz="4" w:space="0" w:color="000000"/>
              <w:right w:val="single" w:sz="4" w:space="0" w:color="000000"/>
            </w:tcBorders>
            <w:vAlign w:val="center"/>
          </w:tcPr>
          <w:p w14:paraId="2722FB7F" w14:textId="65196497" w:rsidR="00D92EBC" w:rsidRPr="009B4A73" w:rsidRDefault="0078763F" w:rsidP="00100070">
            <w:pPr>
              <w:spacing w:after="0" w:line="240" w:lineRule="auto"/>
              <w:ind w:left="0" w:firstLine="0"/>
              <w:jc w:val="center"/>
              <w:rPr>
                <w:sz w:val="22"/>
              </w:rPr>
            </w:pPr>
            <w:r w:rsidRPr="009B4A73">
              <w:rPr>
                <w:sz w:val="22"/>
              </w:rPr>
              <w:t>AC→P</w:t>
            </w:r>
          </w:p>
          <w:p w14:paraId="041700A5" w14:textId="1A34F210" w:rsidR="00D92EBC" w:rsidRPr="009B4A73" w:rsidRDefault="0078763F" w:rsidP="00100070">
            <w:pPr>
              <w:spacing w:after="0" w:line="240" w:lineRule="auto"/>
              <w:ind w:left="0" w:firstLine="0"/>
              <w:jc w:val="center"/>
              <w:rPr>
                <w:sz w:val="22"/>
              </w:rPr>
            </w:pPr>
            <w:r w:rsidRPr="009B4A73">
              <w:rPr>
                <w:sz w:val="22"/>
              </w:rPr>
              <w:t>(N=2032)</w:t>
            </w:r>
          </w:p>
        </w:tc>
        <w:tc>
          <w:tcPr>
            <w:tcW w:w="878" w:type="pct"/>
            <w:tcBorders>
              <w:top w:val="single" w:sz="4" w:space="0" w:color="000000"/>
              <w:left w:val="single" w:sz="4" w:space="0" w:color="000000"/>
              <w:bottom w:val="single" w:sz="4" w:space="0" w:color="000000"/>
              <w:right w:val="single" w:sz="4" w:space="0" w:color="000000"/>
            </w:tcBorders>
            <w:vAlign w:val="center"/>
          </w:tcPr>
          <w:p w14:paraId="018074B0" w14:textId="7C37174A" w:rsidR="00D92EBC" w:rsidRPr="009B4A73" w:rsidRDefault="0078763F" w:rsidP="00100070">
            <w:pPr>
              <w:spacing w:after="0" w:line="240" w:lineRule="auto"/>
              <w:ind w:left="0" w:firstLine="0"/>
              <w:jc w:val="center"/>
              <w:rPr>
                <w:sz w:val="22"/>
              </w:rPr>
            </w:pPr>
            <w:r w:rsidRPr="009B4A73">
              <w:rPr>
                <w:sz w:val="22"/>
              </w:rPr>
              <w:t>AC→PH</w:t>
            </w:r>
          </w:p>
          <w:p w14:paraId="38094700" w14:textId="68857D06" w:rsidR="00D92EBC" w:rsidRPr="009B4A73" w:rsidRDefault="0078763F" w:rsidP="00100070">
            <w:pPr>
              <w:spacing w:after="0" w:line="240" w:lineRule="auto"/>
              <w:ind w:left="0" w:firstLine="0"/>
              <w:jc w:val="center"/>
              <w:rPr>
                <w:sz w:val="22"/>
              </w:rPr>
            </w:pPr>
            <w:r w:rsidRPr="009B4A73">
              <w:rPr>
                <w:sz w:val="22"/>
              </w:rPr>
              <w:t>(N=2031)</w:t>
            </w:r>
          </w:p>
        </w:tc>
        <w:tc>
          <w:tcPr>
            <w:tcW w:w="879" w:type="pct"/>
            <w:tcBorders>
              <w:top w:val="single" w:sz="4" w:space="0" w:color="000000"/>
              <w:left w:val="single" w:sz="4" w:space="0" w:color="000000"/>
              <w:bottom w:val="single" w:sz="4" w:space="0" w:color="000000"/>
              <w:right w:val="single" w:sz="4" w:space="0" w:color="000000"/>
            </w:tcBorders>
            <w:vAlign w:val="center"/>
          </w:tcPr>
          <w:p w14:paraId="56F59448" w14:textId="641A34DB" w:rsidR="00D92EBC" w:rsidRPr="009B4A73" w:rsidRDefault="0078763F" w:rsidP="00100070">
            <w:pPr>
              <w:spacing w:after="0" w:line="240" w:lineRule="auto"/>
              <w:ind w:left="0" w:firstLine="0"/>
              <w:jc w:val="center"/>
              <w:rPr>
                <w:sz w:val="22"/>
              </w:rPr>
            </w:pPr>
            <w:r w:rsidRPr="009B4A73">
              <w:rPr>
                <w:sz w:val="22"/>
              </w:rPr>
              <w:t>p-value versus</w:t>
            </w:r>
          </w:p>
          <w:p w14:paraId="75BD170E" w14:textId="4F99FBA9" w:rsidR="00D92EBC" w:rsidRPr="009B4A73" w:rsidRDefault="0078763F" w:rsidP="00100070">
            <w:pPr>
              <w:spacing w:after="0" w:line="240" w:lineRule="auto"/>
              <w:ind w:left="0" w:firstLine="0"/>
              <w:jc w:val="center"/>
              <w:rPr>
                <w:sz w:val="22"/>
              </w:rPr>
            </w:pPr>
            <w:r w:rsidRPr="009B4A73">
              <w:rPr>
                <w:sz w:val="22"/>
              </w:rPr>
              <w:t>AC→P</w:t>
            </w:r>
          </w:p>
        </w:tc>
        <w:tc>
          <w:tcPr>
            <w:tcW w:w="811" w:type="pct"/>
            <w:tcBorders>
              <w:top w:val="single" w:sz="4" w:space="0" w:color="000000"/>
              <w:left w:val="single" w:sz="4" w:space="0" w:color="000000"/>
              <w:bottom w:val="single" w:sz="4" w:space="0" w:color="000000"/>
              <w:right w:val="single" w:sz="4" w:space="0" w:color="000000"/>
            </w:tcBorders>
            <w:vAlign w:val="center"/>
          </w:tcPr>
          <w:p w14:paraId="722A7842" w14:textId="4EF470BC" w:rsidR="00D92EBC" w:rsidRPr="009B4A73" w:rsidRDefault="0078763F" w:rsidP="00100070">
            <w:pPr>
              <w:spacing w:after="0" w:line="240" w:lineRule="auto"/>
              <w:ind w:left="0" w:firstLine="0"/>
              <w:jc w:val="center"/>
              <w:rPr>
                <w:sz w:val="22"/>
              </w:rPr>
            </w:pPr>
            <w:r w:rsidRPr="009B4A73">
              <w:rPr>
                <w:sz w:val="22"/>
              </w:rPr>
              <w:t>Hazard Ratio versus AC→P (95% CI)</w:t>
            </w:r>
          </w:p>
        </w:tc>
      </w:tr>
      <w:tr w:rsidR="00D92EBC" w:rsidRPr="009B4A73" w14:paraId="665246A9" w14:textId="77777777" w:rsidTr="00100070">
        <w:trPr>
          <w:trHeight w:val="613"/>
        </w:trPr>
        <w:tc>
          <w:tcPr>
            <w:tcW w:w="1553" w:type="pct"/>
            <w:tcBorders>
              <w:top w:val="single" w:sz="4" w:space="0" w:color="000000"/>
              <w:left w:val="single" w:sz="4" w:space="0" w:color="000000"/>
              <w:bottom w:val="single" w:sz="4" w:space="0" w:color="000000"/>
              <w:right w:val="single" w:sz="4" w:space="0" w:color="000000"/>
            </w:tcBorders>
          </w:tcPr>
          <w:p w14:paraId="5ACE6941" w14:textId="77777777" w:rsidR="00D92EBC" w:rsidRPr="009B4A73" w:rsidRDefault="0078763F" w:rsidP="00100070">
            <w:pPr>
              <w:spacing w:after="0" w:line="240" w:lineRule="auto"/>
              <w:ind w:left="0" w:firstLine="0"/>
              <w:rPr>
                <w:sz w:val="22"/>
              </w:rPr>
            </w:pPr>
            <w:r w:rsidRPr="009B4A73">
              <w:rPr>
                <w:sz w:val="22"/>
              </w:rPr>
              <w:t xml:space="preserve">Death (OS event): </w:t>
            </w:r>
          </w:p>
          <w:p w14:paraId="3BA8CBAA" w14:textId="77777777" w:rsidR="00D92EBC" w:rsidRPr="009B4A73" w:rsidRDefault="0078763F" w:rsidP="00100070">
            <w:pPr>
              <w:spacing w:after="0" w:line="240" w:lineRule="auto"/>
              <w:ind w:left="0" w:firstLine="0"/>
              <w:rPr>
                <w:sz w:val="22"/>
              </w:rPr>
            </w:pPr>
            <w:r w:rsidRPr="009B4A73">
              <w:rPr>
                <w:sz w:val="22"/>
              </w:rPr>
              <w:t xml:space="preserve">No. patients with event (%) </w:t>
            </w:r>
          </w:p>
        </w:tc>
        <w:tc>
          <w:tcPr>
            <w:tcW w:w="878" w:type="pct"/>
            <w:tcBorders>
              <w:top w:val="single" w:sz="4" w:space="0" w:color="000000"/>
              <w:left w:val="single" w:sz="4" w:space="0" w:color="000000"/>
              <w:bottom w:val="single" w:sz="4" w:space="0" w:color="000000"/>
              <w:right w:val="single" w:sz="4" w:space="0" w:color="000000"/>
            </w:tcBorders>
            <w:vAlign w:val="center"/>
          </w:tcPr>
          <w:p w14:paraId="10D41FC3" w14:textId="1536FCDB" w:rsidR="00D92EBC" w:rsidRPr="009B4A73" w:rsidRDefault="0078763F" w:rsidP="00100070">
            <w:pPr>
              <w:spacing w:after="0" w:line="240" w:lineRule="auto"/>
              <w:ind w:left="0" w:firstLine="0"/>
              <w:jc w:val="center"/>
              <w:rPr>
                <w:sz w:val="22"/>
              </w:rPr>
            </w:pPr>
            <w:r w:rsidRPr="009B4A73">
              <w:rPr>
                <w:sz w:val="22"/>
              </w:rPr>
              <w:t>418 (20.6%)</w:t>
            </w:r>
          </w:p>
        </w:tc>
        <w:tc>
          <w:tcPr>
            <w:tcW w:w="878" w:type="pct"/>
            <w:tcBorders>
              <w:top w:val="single" w:sz="4" w:space="0" w:color="000000"/>
              <w:left w:val="single" w:sz="4" w:space="0" w:color="000000"/>
              <w:bottom w:val="single" w:sz="4" w:space="0" w:color="000000"/>
              <w:right w:val="single" w:sz="4" w:space="0" w:color="000000"/>
            </w:tcBorders>
            <w:vAlign w:val="center"/>
          </w:tcPr>
          <w:p w14:paraId="22F39D4F" w14:textId="045BCC1B" w:rsidR="00D92EBC" w:rsidRPr="009B4A73" w:rsidRDefault="0078763F" w:rsidP="00100070">
            <w:pPr>
              <w:spacing w:after="0" w:line="240" w:lineRule="auto"/>
              <w:ind w:left="0" w:firstLine="0"/>
              <w:jc w:val="center"/>
              <w:rPr>
                <w:sz w:val="22"/>
              </w:rPr>
            </w:pPr>
            <w:r w:rsidRPr="009B4A73">
              <w:rPr>
                <w:sz w:val="22"/>
              </w:rPr>
              <w:t>289 (14.2%)</w:t>
            </w:r>
          </w:p>
        </w:tc>
        <w:tc>
          <w:tcPr>
            <w:tcW w:w="879" w:type="pct"/>
            <w:tcBorders>
              <w:top w:val="single" w:sz="4" w:space="0" w:color="000000"/>
              <w:left w:val="single" w:sz="4" w:space="0" w:color="000000"/>
              <w:bottom w:val="single" w:sz="4" w:space="0" w:color="000000"/>
              <w:right w:val="single" w:sz="4" w:space="0" w:color="000000"/>
            </w:tcBorders>
            <w:vAlign w:val="center"/>
          </w:tcPr>
          <w:p w14:paraId="0A240EEF" w14:textId="4FC3AD62" w:rsidR="00D92EBC" w:rsidRPr="009B4A73" w:rsidRDefault="0078763F" w:rsidP="00100070">
            <w:pPr>
              <w:spacing w:after="0" w:line="240" w:lineRule="auto"/>
              <w:ind w:left="0" w:firstLine="0"/>
              <w:jc w:val="center"/>
              <w:rPr>
                <w:sz w:val="22"/>
              </w:rPr>
            </w:pPr>
            <w:r w:rsidRPr="009B4A73">
              <w:rPr>
                <w:sz w:val="22"/>
              </w:rPr>
              <w:t>&lt; 0.0001</w:t>
            </w:r>
          </w:p>
        </w:tc>
        <w:tc>
          <w:tcPr>
            <w:tcW w:w="811" w:type="pct"/>
            <w:tcBorders>
              <w:top w:val="single" w:sz="4" w:space="0" w:color="000000"/>
              <w:left w:val="single" w:sz="4" w:space="0" w:color="000000"/>
              <w:bottom w:val="single" w:sz="4" w:space="0" w:color="000000"/>
              <w:right w:val="single" w:sz="4" w:space="0" w:color="000000"/>
            </w:tcBorders>
            <w:vAlign w:val="center"/>
          </w:tcPr>
          <w:p w14:paraId="34296256" w14:textId="37263FD3" w:rsidR="00D92EBC" w:rsidRPr="009B4A73" w:rsidRDefault="0078763F" w:rsidP="00100070">
            <w:pPr>
              <w:spacing w:after="0" w:line="240" w:lineRule="auto"/>
              <w:ind w:left="0" w:firstLine="0"/>
              <w:jc w:val="center"/>
              <w:rPr>
                <w:sz w:val="22"/>
              </w:rPr>
            </w:pPr>
            <w:r w:rsidRPr="009B4A73">
              <w:rPr>
                <w:sz w:val="22"/>
              </w:rPr>
              <w:t>0.64</w:t>
            </w:r>
          </w:p>
          <w:p w14:paraId="32AE5DD3" w14:textId="516B4DDB" w:rsidR="00D92EBC" w:rsidRPr="009B4A73" w:rsidRDefault="0078763F" w:rsidP="00100070">
            <w:pPr>
              <w:spacing w:after="0" w:line="240" w:lineRule="auto"/>
              <w:ind w:left="0" w:firstLine="0"/>
              <w:jc w:val="center"/>
              <w:rPr>
                <w:sz w:val="22"/>
              </w:rPr>
            </w:pPr>
            <w:r w:rsidRPr="009B4A73">
              <w:rPr>
                <w:sz w:val="22"/>
              </w:rPr>
              <w:t>(0.55, 0.74)</w:t>
            </w:r>
          </w:p>
        </w:tc>
      </w:tr>
    </w:tbl>
    <w:p w14:paraId="7D6DA785" w14:textId="5DF044E3" w:rsidR="00D92EBC" w:rsidRPr="009B4A73" w:rsidRDefault="0078763F" w:rsidP="00316679">
      <w:pPr>
        <w:spacing w:after="0" w:line="240" w:lineRule="auto"/>
        <w:ind w:left="426"/>
        <w:rPr>
          <w:sz w:val="20"/>
          <w:szCs w:val="20"/>
        </w:rPr>
      </w:pPr>
      <w:r w:rsidRPr="009B4A73">
        <w:rPr>
          <w:sz w:val="20"/>
          <w:szCs w:val="20"/>
        </w:rPr>
        <w:t xml:space="preserve">A: doxorubicin; C: cyclophosphamide; P: paclitaxel; H: trastuzumab </w:t>
      </w:r>
    </w:p>
    <w:p w14:paraId="658FB225" w14:textId="77777777" w:rsidR="00515904" w:rsidRPr="009B4A73" w:rsidRDefault="00515904" w:rsidP="00316679">
      <w:pPr>
        <w:spacing w:after="0" w:line="240" w:lineRule="auto"/>
        <w:ind w:left="426"/>
        <w:rPr>
          <w:sz w:val="22"/>
        </w:rPr>
      </w:pPr>
    </w:p>
    <w:p w14:paraId="72C08942" w14:textId="09BF8768" w:rsidR="00D92EBC" w:rsidRPr="009B4A73" w:rsidRDefault="0078763F" w:rsidP="00316679">
      <w:pPr>
        <w:spacing w:after="0" w:line="240" w:lineRule="auto"/>
        <w:ind w:left="426" w:right="8"/>
        <w:rPr>
          <w:sz w:val="22"/>
        </w:rPr>
      </w:pPr>
      <w:r w:rsidRPr="009B4A73">
        <w:rPr>
          <w:sz w:val="22"/>
        </w:rPr>
        <w:t>The efficacy results from the BCIRG 006 are summarized in the following tables:</w:t>
      </w:r>
    </w:p>
    <w:p w14:paraId="13887B51" w14:textId="77777777" w:rsidR="0043610B" w:rsidRPr="009B4A73" w:rsidRDefault="0043610B" w:rsidP="00316679">
      <w:pPr>
        <w:spacing w:after="0" w:line="240" w:lineRule="auto"/>
        <w:ind w:left="426" w:right="8"/>
        <w:rPr>
          <w:sz w:val="22"/>
        </w:rPr>
      </w:pPr>
    </w:p>
    <w:p w14:paraId="04381AD5" w14:textId="0311806F" w:rsidR="0043610B" w:rsidRPr="009B4A73" w:rsidRDefault="0078763F" w:rsidP="00316679">
      <w:pPr>
        <w:pStyle w:val="Heading2"/>
        <w:spacing w:after="0" w:line="240" w:lineRule="auto"/>
        <w:ind w:left="426"/>
        <w:rPr>
          <w:sz w:val="22"/>
        </w:rPr>
      </w:pPr>
      <w:r w:rsidRPr="009B4A73">
        <w:rPr>
          <w:sz w:val="22"/>
        </w:rPr>
        <w:t>Table 9:</w:t>
      </w:r>
      <w:r w:rsidR="008805AA" w:rsidRPr="009B4A73">
        <w:rPr>
          <w:sz w:val="22"/>
        </w:rPr>
        <w:t xml:space="preserve"> </w:t>
      </w:r>
      <w:r w:rsidRPr="009B4A73">
        <w:rPr>
          <w:sz w:val="22"/>
        </w:rPr>
        <w:t xml:space="preserve">Overview of </w:t>
      </w:r>
      <w:r w:rsidR="00E260BA" w:rsidRPr="009B4A73">
        <w:rPr>
          <w:sz w:val="22"/>
        </w:rPr>
        <w:t>e</w:t>
      </w:r>
      <w:r w:rsidRPr="009B4A73">
        <w:rPr>
          <w:sz w:val="22"/>
        </w:rPr>
        <w:t xml:space="preserve">fficacy </w:t>
      </w:r>
      <w:r w:rsidR="00E260BA" w:rsidRPr="009B4A73">
        <w:rPr>
          <w:sz w:val="22"/>
        </w:rPr>
        <w:t>a</w:t>
      </w:r>
      <w:r w:rsidRPr="009B4A73">
        <w:rPr>
          <w:sz w:val="22"/>
        </w:rPr>
        <w:t>nalyses BCIRG 006 AC→D versus AC→DH</w:t>
      </w:r>
    </w:p>
    <w:p w14:paraId="5F5E9133" w14:textId="75EF9BC7" w:rsidR="00D92EBC" w:rsidRPr="009B4A73" w:rsidRDefault="0078763F" w:rsidP="00316679">
      <w:pPr>
        <w:pStyle w:val="Heading2"/>
        <w:spacing w:after="0" w:line="240" w:lineRule="auto"/>
        <w:ind w:left="426"/>
        <w:rPr>
          <w:sz w:val="22"/>
        </w:rPr>
      </w:pPr>
      <w:r w:rsidRPr="009B4A73">
        <w:rPr>
          <w:sz w:val="22"/>
        </w:rPr>
        <w:t xml:space="preserve"> </w:t>
      </w:r>
    </w:p>
    <w:tbl>
      <w:tblPr>
        <w:tblStyle w:val="TableGrid"/>
        <w:tblW w:w="4799" w:type="pct"/>
        <w:tblInd w:w="421" w:type="dxa"/>
        <w:tblCellMar>
          <w:left w:w="57" w:type="dxa"/>
          <w:right w:w="57" w:type="dxa"/>
        </w:tblCellMar>
        <w:tblLook w:val="04A0" w:firstRow="1" w:lastRow="0" w:firstColumn="1" w:lastColumn="0" w:noHBand="0" w:noVBand="1"/>
      </w:tblPr>
      <w:tblGrid>
        <w:gridCol w:w="2977"/>
        <w:gridCol w:w="1634"/>
        <w:gridCol w:w="1635"/>
        <w:gridCol w:w="1635"/>
        <w:gridCol w:w="2159"/>
      </w:tblGrid>
      <w:tr w:rsidR="00D92EBC" w:rsidRPr="009B4A73" w14:paraId="4E09E337" w14:textId="77777777" w:rsidTr="00972EA3">
        <w:trPr>
          <w:trHeight w:val="20"/>
        </w:trPr>
        <w:tc>
          <w:tcPr>
            <w:tcW w:w="1483" w:type="pct"/>
            <w:tcBorders>
              <w:top w:val="single" w:sz="4" w:space="0" w:color="000000"/>
              <w:left w:val="single" w:sz="4" w:space="0" w:color="000000"/>
              <w:bottom w:val="single" w:sz="4" w:space="0" w:color="000000"/>
              <w:right w:val="single" w:sz="4" w:space="0" w:color="000000"/>
            </w:tcBorders>
          </w:tcPr>
          <w:p w14:paraId="49F544D7" w14:textId="77777777" w:rsidR="00D92EBC" w:rsidRPr="009B4A73" w:rsidRDefault="0078763F" w:rsidP="00972EA3">
            <w:pPr>
              <w:spacing w:after="0" w:line="240" w:lineRule="auto"/>
              <w:ind w:left="0" w:firstLine="0"/>
              <w:rPr>
                <w:sz w:val="22"/>
              </w:rPr>
            </w:pPr>
            <w:r w:rsidRPr="009B4A73">
              <w:rPr>
                <w:b/>
                <w:sz w:val="22"/>
              </w:rPr>
              <w:t xml:space="preserve">Parameter </w:t>
            </w:r>
          </w:p>
          <w:p w14:paraId="615EDAD9" w14:textId="77777777" w:rsidR="00D92EBC" w:rsidRPr="009B4A73" w:rsidRDefault="0078763F" w:rsidP="00972EA3">
            <w:pPr>
              <w:spacing w:after="0" w:line="240" w:lineRule="auto"/>
              <w:ind w:left="0" w:firstLine="0"/>
              <w:rPr>
                <w:sz w:val="22"/>
              </w:rPr>
            </w:pPr>
            <w:r w:rsidRPr="009B4A73">
              <w:rPr>
                <w:b/>
                <w:sz w:val="22"/>
              </w:rPr>
              <w:t xml:space="preserve"> </w:t>
            </w:r>
          </w:p>
        </w:tc>
        <w:tc>
          <w:tcPr>
            <w:tcW w:w="814" w:type="pct"/>
            <w:tcBorders>
              <w:top w:val="single" w:sz="4" w:space="0" w:color="000000"/>
              <w:left w:val="single" w:sz="4" w:space="0" w:color="000000"/>
              <w:bottom w:val="single" w:sz="4" w:space="0" w:color="000000"/>
              <w:right w:val="single" w:sz="4" w:space="0" w:color="000000"/>
            </w:tcBorders>
            <w:vAlign w:val="center"/>
          </w:tcPr>
          <w:p w14:paraId="0EFEA282" w14:textId="71FA1E72" w:rsidR="00D92EBC" w:rsidRPr="009B4A73" w:rsidRDefault="0078763F" w:rsidP="00972EA3">
            <w:pPr>
              <w:spacing w:after="0" w:line="240" w:lineRule="auto"/>
              <w:ind w:left="0" w:firstLine="0"/>
              <w:jc w:val="center"/>
              <w:rPr>
                <w:sz w:val="22"/>
              </w:rPr>
            </w:pPr>
            <w:r w:rsidRPr="009B4A73">
              <w:rPr>
                <w:b/>
                <w:sz w:val="22"/>
              </w:rPr>
              <w:t>AC→D</w:t>
            </w:r>
          </w:p>
          <w:p w14:paraId="59AD0960" w14:textId="236EEBA9" w:rsidR="00D92EBC" w:rsidRPr="009B4A73" w:rsidRDefault="0078763F" w:rsidP="00972EA3">
            <w:pPr>
              <w:spacing w:after="0" w:line="240" w:lineRule="auto"/>
              <w:ind w:left="0" w:firstLine="0"/>
              <w:jc w:val="center"/>
              <w:rPr>
                <w:sz w:val="22"/>
              </w:rPr>
            </w:pPr>
            <w:r w:rsidRPr="009B4A73">
              <w:rPr>
                <w:b/>
                <w:i/>
                <w:sz w:val="22"/>
              </w:rPr>
              <w:t xml:space="preserve">n </w:t>
            </w:r>
            <w:r w:rsidRPr="009B4A73">
              <w:rPr>
                <w:b/>
                <w:sz w:val="22"/>
              </w:rPr>
              <w:t>= 1073</w:t>
            </w:r>
          </w:p>
        </w:tc>
        <w:tc>
          <w:tcPr>
            <w:tcW w:w="814" w:type="pct"/>
            <w:tcBorders>
              <w:top w:val="single" w:sz="4" w:space="0" w:color="000000"/>
              <w:left w:val="single" w:sz="4" w:space="0" w:color="000000"/>
              <w:bottom w:val="single" w:sz="4" w:space="0" w:color="000000"/>
              <w:right w:val="single" w:sz="4" w:space="0" w:color="000000"/>
            </w:tcBorders>
            <w:vAlign w:val="center"/>
          </w:tcPr>
          <w:p w14:paraId="5E4D91E6" w14:textId="715369C4" w:rsidR="00D92EBC" w:rsidRPr="009B4A73" w:rsidRDefault="0078763F" w:rsidP="00972EA3">
            <w:pPr>
              <w:spacing w:after="0" w:line="240" w:lineRule="auto"/>
              <w:ind w:left="0" w:firstLine="0"/>
              <w:jc w:val="center"/>
              <w:rPr>
                <w:sz w:val="22"/>
              </w:rPr>
            </w:pPr>
            <w:r w:rsidRPr="009B4A73">
              <w:rPr>
                <w:b/>
                <w:sz w:val="22"/>
              </w:rPr>
              <w:t>AC→DH</w:t>
            </w:r>
          </w:p>
          <w:p w14:paraId="60E2FF37" w14:textId="280D66F6" w:rsidR="00D92EBC" w:rsidRPr="009B4A73" w:rsidRDefault="0078763F" w:rsidP="00972EA3">
            <w:pPr>
              <w:spacing w:after="0" w:line="240" w:lineRule="auto"/>
              <w:ind w:left="0" w:firstLine="0"/>
              <w:jc w:val="center"/>
              <w:rPr>
                <w:sz w:val="22"/>
              </w:rPr>
            </w:pPr>
            <w:r w:rsidRPr="009B4A73">
              <w:rPr>
                <w:b/>
                <w:i/>
                <w:sz w:val="22"/>
              </w:rPr>
              <w:t xml:space="preserve">n </w:t>
            </w:r>
            <w:r w:rsidRPr="009B4A73">
              <w:rPr>
                <w:b/>
                <w:sz w:val="22"/>
              </w:rPr>
              <w:t>= 1074</w:t>
            </w:r>
          </w:p>
        </w:tc>
        <w:tc>
          <w:tcPr>
            <w:tcW w:w="814" w:type="pct"/>
            <w:tcBorders>
              <w:top w:val="single" w:sz="4" w:space="0" w:color="000000"/>
              <w:left w:val="single" w:sz="4" w:space="0" w:color="000000"/>
              <w:bottom w:val="single" w:sz="4" w:space="0" w:color="000000"/>
              <w:right w:val="single" w:sz="4" w:space="0" w:color="000000"/>
            </w:tcBorders>
            <w:vAlign w:val="center"/>
          </w:tcPr>
          <w:p w14:paraId="7F65D8F0" w14:textId="2533AE6E" w:rsidR="00D92EBC" w:rsidRPr="009B4A73" w:rsidRDefault="0078763F" w:rsidP="00972EA3">
            <w:pPr>
              <w:spacing w:after="0" w:line="240" w:lineRule="auto"/>
              <w:ind w:left="0" w:firstLine="0"/>
              <w:jc w:val="center"/>
              <w:rPr>
                <w:sz w:val="22"/>
              </w:rPr>
            </w:pPr>
            <w:r w:rsidRPr="009B4A73">
              <w:rPr>
                <w:b/>
                <w:sz w:val="22"/>
              </w:rPr>
              <w:t>p-value</w:t>
            </w:r>
          </w:p>
        </w:tc>
        <w:tc>
          <w:tcPr>
            <w:tcW w:w="1075" w:type="pct"/>
            <w:tcBorders>
              <w:top w:val="single" w:sz="4" w:space="0" w:color="000000"/>
              <w:left w:val="single" w:sz="4" w:space="0" w:color="000000"/>
              <w:bottom w:val="single" w:sz="4" w:space="0" w:color="000000"/>
              <w:right w:val="single" w:sz="4" w:space="0" w:color="000000"/>
            </w:tcBorders>
            <w:vAlign w:val="center"/>
          </w:tcPr>
          <w:p w14:paraId="014067FA" w14:textId="4AB77B3E" w:rsidR="00D92EBC" w:rsidRPr="009B4A73" w:rsidRDefault="0078763F" w:rsidP="00972EA3">
            <w:pPr>
              <w:spacing w:after="0" w:line="240" w:lineRule="auto"/>
              <w:ind w:left="0" w:firstLine="0"/>
              <w:jc w:val="center"/>
              <w:rPr>
                <w:sz w:val="22"/>
              </w:rPr>
            </w:pPr>
            <w:r w:rsidRPr="009B4A73">
              <w:rPr>
                <w:b/>
                <w:sz w:val="22"/>
              </w:rPr>
              <w:t>HR</w:t>
            </w:r>
          </w:p>
          <w:p w14:paraId="1EE18DCE" w14:textId="7BFFC5B9" w:rsidR="00D92EBC" w:rsidRPr="009B4A73" w:rsidRDefault="0078763F" w:rsidP="00972EA3">
            <w:pPr>
              <w:spacing w:after="0" w:line="240" w:lineRule="auto"/>
              <w:ind w:left="0" w:firstLine="0"/>
              <w:jc w:val="center"/>
              <w:rPr>
                <w:sz w:val="22"/>
              </w:rPr>
            </w:pPr>
            <w:r w:rsidRPr="009B4A73">
              <w:rPr>
                <w:b/>
                <w:sz w:val="22"/>
              </w:rPr>
              <w:t>(95% CI)</w:t>
            </w:r>
          </w:p>
        </w:tc>
      </w:tr>
      <w:tr w:rsidR="00D92EBC" w:rsidRPr="009B4A73" w14:paraId="66CC057C" w14:textId="77777777" w:rsidTr="00972EA3">
        <w:trPr>
          <w:trHeight w:val="20"/>
        </w:trPr>
        <w:tc>
          <w:tcPr>
            <w:tcW w:w="1483" w:type="pct"/>
            <w:tcBorders>
              <w:top w:val="single" w:sz="4" w:space="0" w:color="000000"/>
              <w:left w:val="single" w:sz="4" w:space="0" w:color="000000"/>
              <w:bottom w:val="single" w:sz="4" w:space="0" w:color="000000"/>
              <w:right w:val="single" w:sz="4" w:space="0" w:color="000000"/>
            </w:tcBorders>
          </w:tcPr>
          <w:p w14:paraId="6C5E8FFA" w14:textId="77777777" w:rsidR="00D92EBC" w:rsidRPr="009B4A73" w:rsidRDefault="0078763F" w:rsidP="00972EA3">
            <w:pPr>
              <w:spacing w:after="0" w:line="240" w:lineRule="auto"/>
              <w:ind w:left="0" w:firstLine="0"/>
              <w:rPr>
                <w:sz w:val="22"/>
              </w:rPr>
            </w:pPr>
            <w:r w:rsidRPr="009B4A73">
              <w:rPr>
                <w:b/>
                <w:sz w:val="22"/>
                <w:u w:val="single" w:color="000000"/>
              </w:rPr>
              <w:t>Disease-free survival (DFS)</w:t>
            </w:r>
            <w:r w:rsidRPr="009B4A73">
              <w:rPr>
                <w:b/>
                <w:sz w:val="22"/>
              </w:rPr>
              <w:t xml:space="preserve"> </w:t>
            </w:r>
            <w:r w:rsidRPr="009B4A73">
              <w:rPr>
                <w:sz w:val="22"/>
              </w:rPr>
              <w:t xml:space="preserve">No. patients with event </w:t>
            </w:r>
          </w:p>
        </w:tc>
        <w:tc>
          <w:tcPr>
            <w:tcW w:w="814" w:type="pct"/>
            <w:tcBorders>
              <w:top w:val="single" w:sz="4" w:space="0" w:color="000000"/>
              <w:left w:val="single" w:sz="4" w:space="0" w:color="000000"/>
              <w:bottom w:val="single" w:sz="4" w:space="0" w:color="000000"/>
              <w:right w:val="single" w:sz="4" w:space="0" w:color="000000"/>
            </w:tcBorders>
            <w:vAlign w:val="center"/>
          </w:tcPr>
          <w:p w14:paraId="02C66DFF" w14:textId="1E513FFF" w:rsidR="00D92EBC" w:rsidRPr="009B4A73" w:rsidRDefault="00D92EBC" w:rsidP="00972EA3">
            <w:pPr>
              <w:spacing w:after="0" w:line="240" w:lineRule="auto"/>
              <w:ind w:left="0" w:firstLine="0"/>
              <w:jc w:val="center"/>
              <w:rPr>
                <w:sz w:val="22"/>
              </w:rPr>
            </w:pPr>
          </w:p>
          <w:p w14:paraId="11769300" w14:textId="2E10E1CB" w:rsidR="00D92EBC" w:rsidRPr="009B4A73" w:rsidRDefault="0078763F" w:rsidP="00972EA3">
            <w:pPr>
              <w:spacing w:after="0" w:line="240" w:lineRule="auto"/>
              <w:ind w:left="0" w:firstLine="0"/>
              <w:jc w:val="center"/>
              <w:rPr>
                <w:sz w:val="22"/>
              </w:rPr>
            </w:pPr>
            <w:r w:rsidRPr="009B4A73">
              <w:rPr>
                <w:sz w:val="22"/>
              </w:rPr>
              <w:t>195</w:t>
            </w:r>
          </w:p>
        </w:tc>
        <w:tc>
          <w:tcPr>
            <w:tcW w:w="814" w:type="pct"/>
            <w:tcBorders>
              <w:top w:val="single" w:sz="4" w:space="0" w:color="000000"/>
              <w:left w:val="single" w:sz="4" w:space="0" w:color="000000"/>
              <w:bottom w:val="single" w:sz="4" w:space="0" w:color="000000"/>
              <w:right w:val="single" w:sz="4" w:space="0" w:color="000000"/>
            </w:tcBorders>
            <w:vAlign w:val="center"/>
          </w:tcPr>
          <w:p w14:paraId="0CF225CC" w14:textId="58B2FF83" w:rsidR="00D92EBC" w:rsidRPr="009B4A73" w:rsidRDefault="00D92EBC" w:rsidP="00972EA3">
            <w:pPr>
              <w:spacing w:after="0" w:line="240" w:lineRule="auto"/>
              <w:ind w:left="0" w:firstLine="0"/>
              <w:jc w:val="center"/>
              <w:rPr>
                <w:sz w:val="22"/>
              </w:rPr>
            </w:pPr>
          </w:p>
          <w:p w14:paraId="40A0AF78" w14:textId="66012B77" w:rsidR="00D92EBC" w:rsidRPr="009B4A73" w:rsidRDefault="0078763F" w:rsidP="00972EA3">
            <w:pPr>
              <w:spacing w:after="0" w:line="240" w:lineRule="auto"/>
              <w:ind w:left="0" w:firstLine="0"/>
              <w:jc w:val="center"/>
              <w:rPr>
                <w:sz w:val="22"/>
              </w:rPr>
            </w:pPr>
            <w:r w:rsidRPr="009B4A73">
              <w:rPr>
                <w:sz w:val="22"/>
              </w:rPr>
              <w:t>134</w:t>
            </w:r>
          </w:p>
        </w:tc>
        <w:tc>
          <w:tcPr>
            <w:tcW w:w="814" w:type="pct"/>
            <w:tcBorders>
              <w:top w:val="single" w:sz="4" w:space="0" w:color="000000"/>
              <w:left w:val="single" w:sz="4" w:space="0" w:color="000000"/>
              <w:bottom w:val="single" w:sz="4" w:space="0" w:color="000000"/>
              <w:right w:val="single" w:sz="4" w:space="0" w:color="000000"/>
            </w:tcBorders>
            <w:vAlign w:val="center"/>
          </w:tcPr>
          <w:p w14:paraId="6F785673" w14:textId="55ED5D21" w:rsidR="00D92EBC" w:rsidRPr="009B4A73" w:rsidRDefault="00D92EBC" w:rsidP="00972EA3">
            <w:pPr>
              <w:spacing w:after="0" w:line="240" w:lineRule="auto"/>
              <w:ind w:left="0" w:firstLine="0"/>
              <w:jc w:val="center"/>
              <w:rPr>
                <w:sz w:val="22"/>
              </w:rPr>
            </w:pPr>
          </w:p>
          <w:p w14:paraId="76995B08" w14:textId="0E1AA038" w:rsidR="00D92EBC" w:rsidRPr="009B4A73" w:rsidRDefault="0078763F" w:rsidP="00972EA3">
            <w:pPr>
              <w:spacing w:after="0" w:line="240" w:lineRule="auto"/>
              <w:ind w:left="0" w:firstLine="0"/>
              <w:jc w:val="center"/>
              <w:rPr>
                <w:sz w:val="22"/>
              </w:rPr>
            </w:pPr>
            <w:r w:rsidRPr="009B4A73">
              <w:rPr>
                <w:sz w:val="22"/>
              </w:rPr>
              <w:t>&lt;0.0001</w:t>
            </w:r>
          </w:p>
        </w:tc>
        <w:tc>
          <w:tcPr>
            <w:tcW w:w="1075" w:type="pct"/>
            <w:tcBorders>
              <w:top w:val="single" w:sz="4" w:space="0" w:color="000000"/>
              <w:left w:val="single" w:sz="4" w:space="0" w:color="000000"/>
              <w:bottom w:val="single" w:sz="4" w:space="0" w:color="000000"/>
              <w:right w:val="single" w:sz="4" w:space="0" w:color="000000"/>
            </w:tcBorders>
            <w:vAlign w:val="center"/>
          </w:tcPr>
          <w:p w14:paraId="7446396A" w14:textId="2E814708" w:rsidR="00D92EBC" w:rsidRPr="009B4A73" w:rsidRDefault="00D92EBC" w:rsidP="00972EA3">
            <w:pPr>
              <w:spacing w:after="0" w:line="240" w:lineRule="auto"/>
              <w:ind w:left="0" w:firstLine="0"/>
              <w:jc w:val="center"/>
              <w:rPr>
                <w:sz w:val="22"/>
              </w:rPr>
            </w:pPr>
          </w:p>
          <w:p w14:paraId="45158CEC" w14:textId="308ECAB6" w:rsidR="00D92EBC" w:rsidRPr="009B4A73" w:rsidRDefault="0078763F" w:rsidP="00972EA3">
            <w:pPr>
              <w:spacing w:after="0" w:line="240" w:lineRule="auto"/>
              <w:ind w:left="0" w:firstLine="0"/>
              <w:jc w:val="center"/>
              <w:rPr>
                <w:sz w:val="22"/>
              </w:rPr>
            </w:pPr>
            <w:r w:rsidRPr="009B4A73">
              <w:rPr>
                <w:sz w:val="22"/>
              </w:rPr>
              <w:t>0.61 (0.49, 0.77)</w:t>
            </w:r>
          </w:p>
        </w:tc>
      </w:tr>
      <w:tr w:rsidR="00D92EBC" w:rsidRPr="009B4A73" w14:paraId="28FCF2CA" w14:textId="77777777" w:rsidTr="00972EA3">
        <w:trPr>
          <w:trHeight w:val="393"/>
        </w:trPr>
        <w:tc>
          <w:tcPr>
            <w:tcW w:w="1483" w:type="pct"/>
            <w:tcBorders>
              <w:top w:val="single" w:sz="4" w:space="0" w:color="000000"/>
              <w:left w:val="single" w:sz="4" w:space="0" w:color="000000"/>
              <w:bottom w:val="single" w:sz="4" w:space="0" w:color="000000"/>
              <w:right w:val="single" w:sz="4" w:space="0" w:color="000000"/>
            </w:tcBorders>
          </w:tcPr>
          <w:p w14:paraId="3BFB5863" w14:textId="77777777" w:rsidR="00D92EBC" w:rsidRPr="009B4A73" w:rsidRDefault="0078763F" w:rsidP="00972EA3">
            <w:pPr>
              <w:spacing w:after="0" w:line="240" w:lineRule="auto"/>
              <w:ind w:left="0" w:firstLine="0"/>
              <w:rPr>
                <w:sz w:val="22"/>
              </w:rPr>
            </w:pPr>
            <w:r w:rsidRPr="009B4A73">
              <w:rPr>
                <w:b/>
                <w:sz w:val="22"/>
                <w:u w:val="single" w:color="000000"/>
              </w:rPr>
              <w:t>Death (OS event)</w:t>
            </w:r>
            <w:r w:rsidRPr="009B4A73">
              <w:rPr>
                <w:sz w:val="22"/>
              </w:rPr>
              <w:t xml:space="preserve"> </w:t>
            </w:r>
          </w:p>
          <w:p w14:paraId="347AAED9" w14:textId="5400FDAF" w:rsidR="00124E0F" w:rsidRPr="009B4A73" w:rsidRDefault="0078763F" w:rsidP="00972EA3">
            <w:pPr>
              <w:spacing w:after="0" w:line="240" w:lineRule="auto"/>
              <w:ind w:left="0" w:firstLine="0"/>
              <w:rPr>
                <w:sz w:val="22"/>
              </w:rPr>
            </w:pPr>
            <w:r w:rsidRPr="009B4A73">
              <w:rPr>
                <w:sz w:val="22"/>
              </w:rPr>
              <w:t>No. patients with event</w:t>
            </w:r>
            <w:r w:rsidRPr="009B4A73">
              <w:rPr>
                <w:b/>
                <w:sz w:val="22"/>
              </w:rPr>
              <w:t xml:space="preserve"> </w:t>
            </w:r>
          </w:p>
        </w:tc>
        <w:tc>
          <w:tcPr>
            <w:tcW w:w="814" w:type="pct"/>
            <w:tcBorders>
              <w:top w:val="single" w:sz="4" w:space="0" w:color="000000"/>
              <w:left w:val="single" w:sz="4" w:space="0" w:color="000000"/>
              <w:bottom w:val="single" w:sz="4" w:space="0" w:color="000000"/>
              <w:right w:val="single" w:sz="4" w:space="0" w:color="000000"/>
            </w:tcBorders>
            <w:vAlign w:val="center"/>
          </w:tcPr>
          <w:p w14:paraId="61928F59" w14:textId="7103628F" w:rsidR="00D92EBC" w:rsidRPr="009B4A73" w:rsidRDefault="00D92EBC" w:rsidP="00972EA3">
            <w:pPr>
              <w:spacing w:after="0" w:line="240" w:lineRule="auto"/>
              <w:ind w:left="0" w:firstLine="0"/>
              <w:jc w:val="center"/>
              <w:rPr>
                <w:sz w:val="22"/>
              </w:rPr>
            </w:pPr>
          </w:p>
          <w:p w14:paraId="4E924556" w14:textId="29E8FBDD" w:rsidR="00D92EBC" w:rsidRPr="009B4A73" w:rsidRDefault="0078763F" w:rsidP="00972EA3">
            <w:pPr>
              <w:spacing w:after="0" w:line="240" w:lineRule="auto"/>
              <w:ind w:left="0" w:firstLine="0"/>
              <w:jc w:val="center"/>
              <w:rPr>
                <w:sz w:val="22"/>
              </w:rPr>
            </w:pPr>
            <w:r w:rsidRPr="009B4A73">
              <w:rPr>
                <w:sz w:val="22"/>
              </w:rPr>
              <w:t>80</w:t>
            </w:r>
          </w:p>
        </w:tc>
        <w:tc>
          <w:tcPr>
            <w:tcW w:w="814" w:type="pct"/>
            <w:tcBorders>
              <w:top w:val="single" w:sz="4" w:space="0" w:color="000000"/>
              <w:left w:val="single" w:sz="4" w:space="0" w:color="000000"/>
              <w:bottom w:val="single" w:sz="4" w:space="0" w:color="000000"/>
              <w:right w:val="single" w:sz="4" w:space="0" w:color="000000"/>
            </w:tcBorders>
            <w:vAlign w:val="center"/>
          </w:tcPr>
          <w:p w14:paraId="5C7AE5AF" w14:textId="6A13271F" w:rsidR="00D92EBC" w:rsidRPr="009B4A73" w:rsidRDefault="00D92EBC" w:rsidP="00972EA3">
            <w:pPr>
              <w:spacing w:after="0" w:line="240" w:lineRule="auto"/>
              <w:ind w:left="0" w:firstLine="0"/>
              <w:jc w:val="center"/>
              <w:rPr>
                <w:sz w:val="22"/>
              </w:rPr>
            </w:pPr>
          </w:p>
          <w:p w14:paraId="71CA448F" w14:textId="7BD0C84B" w:rsidR="00D92EBC" w:rsidRPr="009B4A73" w:rsidRDefault="0078763F" w:rsidP="00972EA3">
            <w:pPr>
              <w:spacing w:after="0" w:line="240" w:lineRule="auto"/>
              <w:ind w:left="0" w:firstLine="0"/>
              <w:jc w:val="center"/>
              <w:rPr>
                <w:sz w:val="22"/>
              </w:rPr>
            </w:pPr>
            <w:r w:rsidRPr="009B4A73">
              <w:rPr>
                <w:sz w:val="22"/>
              </w:rPr>
              <w:t>49</w:t>
            </w:r>
          </w:p>
        </w:tc>
        <w:tc>
          <w:tcPr>
            <w:tcW w:w="814" w:type="pct"/>
            <w:tcBorders>
              <w:top w:val="single" w:sz="4" w:space="0" w:color="000000"/>
              <w:left w:val="single" w:sz="4" w:space="0" w:color="000000"/>
              <w:bottom w:val="single" w:sz="4" w:space="0" w:color="000000"/>
              <w:right w:val="single" w:sz="4" w:space="0" w:color="000000"/>
            </w:tcBorders>
            <w:vAlign w:val="center"/>
          </w:tcPr>
          <w:p w14:paraId="77B527EB" w14:textId="13A0E500" w:rsidR="00D92EBC" w:rsidRPr="009B4A73" w:rsidRDefault="00D92EBC" w:rsidP="00972EA3">
            <w:pPr>
              <w:spacing w:after="0" w:line="240" w:lineRule="auto"/>
              <w:ind w:left="0" w:firstLine="0"/>
              <w:jc w:val="center"/>
              <w:rPr>
                <w:sz w:val="22"/>
              </w:rPr>
            </w:pPr>
          </w:p>
          <w:p w14:paraId="7BC959E1" w14:textId="1E7DFF4D" w:rsidR="00D92EBC" w:rsidRPr="009B4A73" w:rsidRDefault="0078763F" w:rsidP="00972EA3">
            <w:pPr>
              <w:spacing w:after="0" w:line="240" w:lineRule="auto"/>
              <w:ind w:left="0" w:firstLine="0"/>
              <w:jc w:val="center"/>
              <w:rPr>
                <w:sz w:val="22"/>
              </w:rPr>
            </w:pPr>
            <w:r w:rsidRPr="009B4A73">
              <w:rPr>
                <w:sz w:val="22"/>
              </w:rPr>
              <w:t>0.0024</w:t>
            </w:r>
          </w:p>
        </w:tc>
        <w:tc>
          <w:tcPr>
            <w:tcW w:w="1075" w:type="pct"/>
            <w:tcBorders>
              <w:top w:val="single" w:sz="4" w:space="0" w:color="000000"/>
              <w:left w:val="single" w:sz="4" w:space="0" w:color="000000"/>
              <w:bottom w:val="single" w:sz="4" w:space="0" w:color="000000"/>
              <w:right w:val="single" w:sz="4" w:space="0" w:color="000000"/>
            </w:tcBorders>
            <w:vAlign w:val="center"/>
          </w:tcPr>
          <w:p w14:paraId="768A0226" w14:textId="62B7FFB1" w:rsidR="00D92EBC" w:rsidRPr="009B4A73" w:rsidRDefault="00D92EBC" w:rsidP="00972EA3">
            <w:pPr>
              <w:spacing w:after="0" w:line="240" w:lineRule="auto"/>
              <w:ind w:left="0" w:firstLine="0"/>
              <w:jc w:val="center"/>
              <w:rPr>
                <w:sz w:val="22"/>
              </w:rPr>
            </w:pPr>
          </w:p>
          <w:p w14:paraId="27815DEC" w14:textId="47D91785" w:rsidR="00D92EBC" w:rsidRPr="009B4A73" w:rsidRDefault="0078763F" w:rsidP="00972EA3">
            <w:pPr>
              <w:spacing w:after="0" w:line="240" w:lineRule="auto"/>
              <w:ind w:left="0" w:firstLine="0"/>
              <w:jc w:val="center"/>
              <w:rPr>
                <w:sz w:val="22"/>
              </w:rPr>
            </w:pPr>
            <w:r w:rsidRPr="009B4A73">
              <w:rPr>
                <w:sz w:val="22"/>
              </w:rPr>
              <w:t>0.58 (0.40,0.83)</w:t>
            </w:r>
          </w:p>
        </w:tc>
      </w:tr>
    </w:tbl>
    <w:p w14:paraId="7D4238F8" w14:textId="6480AF5D" w:rsidR="008D5C74" w:rsidRPr="009B4A73" w:rsidRDefault="0078763F" w:rsidP="00316679">
      <w:pPr>
        <w:spacing w:after="0" w:line="240" w:lineRule="auto"/>
        <w:ind w:left="426"/>
        <w:rPr>
          <w:sz w:val="20"/>
          <w:szCs w:val="20"/>
        </w:rPr>
      </w:pPr>
      <w:r w:rsidRPr="009B4A73">
        <w:rPr>
          <w:sz w:val="20"/>
          <w:szCs w:val="20"/>
        </w:rPr>
        <w:t xml:space="preserve">AC→D = doxorubicin plus cyclophosphamide, followed by docetaxel; AC→DH = doxorubicin plus cyclophosphamide, followed by docetaxel plus trastuzumab; CI = confidence interval </w:t>
      </w:r>
    </w:p>
    <w:p w14:paraId="37B540B0" w14:textId="6C4D4D0D" w:rsidR="0043610B" w:rsidRPr="009B4A73" w:rsidRDefault="0043610B" w:rsidP="00316679">
      <w:pPr>
        <w:spacing w:after="0" w:line="240" w:lineRule="auto"/>
        <w:ind w:left="426" w:firstLine="0"/>
        <w:rPr>
          <w:sz w:val="22"/>
        </w:rPr>
      </w:pPr>
    </w:p>
    <w:p w14:paraId="49E07129" w14:textId="25A314A5" w:rsidR="00D92EBC" w:rsidRPr="009B4A73" w:rsidRDefault="0078763F" w:rsidP="00316679">
      <w:pPr>
        <w:pStyle w:val="Heading2"/>
        <w:spacing w:after="0" w:line="240" w:lineRule="auto"/>
        <w:ind w:left="426"/>
        <w:rPr>
          <w:sz w:val="22"/>
        </w:rPr>
      </w:pPr>
      <w:r w:rsidRPr="009B4A73">
        <w:rPr>
          <w:sz w:val="22"/>
        </w:rPr>
        <w:t xml:space="preserve">Table 10: Overview of </w:t>
      </w:r>
      <w:r w:rsidR="00E260BA" w:rsidRPr="009B4A73">
        <w:rPr>
          <w:sz w:val="22"/>
        </w:rPr>
        <w:t>e</w:t>
      </w:r>
      <w:r w:rsidRPr="009B4A73">
        <w:rPr>
          <w:sz w:val="22"/>
        </w:rPr>
        <w:t xml:space="preserve">fficacy </w:t>
      </w:r>
      <w:r w:rsidR="00E260BA" w:rsidRPr="009B4A73">
        <w:rPr>
          <w:sz w:val="22"/>
        </w:rPr>
        <w:t>a</w:t>
      </w:r>
      <w:r w:rsidRPr="009B4A73">
        <w:rPr>
          <w:sz w:val="22"/>
        </w:rPr>
        <w:t xml:space="preserve">nalyses BCIRG 006 AC→D versus </w:t>
      </w:r>
      <w:proofErr w:type="spellStart"/>
      <w:r w:rsidRPr="009B4A73">
        <w:rPr>
          <w:sz w:val="22"/>
        </w:rPr>
        <w:t>DCarbH</w:t>
      </w:r>
      <w:proofErr w:type="spellEnd"/>
    </w:p>
    <w:p w14:paraId="18AED61F" w14:textId="77777777" w:rsidR="0043610B" w:rsidRPr="009B4A73" w:rsidRDefault="0043610B" w:rsidP="00316679">
      <w:pPr>
        <w:spacing w:after="0" w:line="240" w:lineRule="auto"/>
        <w:ind w:left="426"/>
        <w:rPr>
          <w:sz w:val="22"/>
        </w:rPr>
      </w:pPr>
    </w:p>
    <w:tbl>
      <w:tblPr>
        <w:tblStyle w:val="TableGrid"/>
        <w:tblW w:w="4799" w:type="pct"/>
        <w:tblInd w:w="421" w:type="dxa"/>
        <w:tblCellMar>
          <w:left w:w="57" w:type="dxa"/>
          <w:right w:w="57" w:type="dxa"/>
        </w:tblCellMar>
        <w:tblLook w:val="04A0" w:firstRow="1" w:lastRow="0" w:firstColumn="1" w:lastColumn="0" w:noHBand="0" w:noVBand="1"/>
      </w:tblPr>
      <w:tblGrid>
        <w:gridCol w:w="3403"/>
        <w:gridCol w:w="1559"/>
        <w:gridCol w:w="1771"/>
        <w:gridCol w:w="1482"/>
        <w:gridCol w:w="1825"/>
      </w:tblGrid>
      <w:tr w:rsidR="00D92EBC" w:rsidRPr="009B4A73" w14:paraId="0D5EBC98" w14:textId="77777777" w:rsidTr="003F080B">
        <w:trPr>
          <w:trHeight w:val="397"/>
        </w:trPr>
        <w:tc>
          <w:tcPr>
            <w:tcW w:w="1694" w:type="pct"/>
            <w:tcBorders>
              <w:top w:val="single" w:sz="4" w:space="0" w:color="000000"/>
              <w:left w:val="single" w:sz="4" w:space="0" w:color="000000"/>
              <w:bottom w:val="single" w:sz="4" w:space="0" w:color="000000"/>
              <w:right w:val="single" w:sz="4" w:space="0" w:color="000000"/>
            </w:tcBorders>
          </w:tcPr>
          <w:p w14:paraId="42621FD1" w14:textId="77777777" w:rsidR="00D92EBC" w:rsidRPr="009B4A73" w:rsidRDefault="0078763F" w:rsidP="003F080B">
            <w:pPr>
              <w:spacing w:after="0" w:line="240" w:lineRule="auto"/>
              <w:ind w:left="0" w:firstLine="0"/>
              <w:rPr>
                <w:sz w:val="22"/>
              </w:rPr>
            </w:pPr>
            <w:r w:rsidRPr="009B4A73">
              <w:rPr>
                <w:b/>
                <w:sz w:val="22"/>
              </w:rPr>
              <w:t xml:space="preserve">Parameter </w:t>
            </w:r>
          </w:p>
          <w:p w14:paraId="496B5A4F" w14:textId="77777777" w:rsidR="00D92EBC" w:rsidRPr="009B4A73" w:rsidRDefault="0078763F" w:rsidP="003F080B">
            <w:pPr>
              <w:spacing w:after="0" w:line="240" w:lineRule="auto"/>
              <w:ind w:left="0" w:firstLine="0"/>
              <w:rPr>
                <w:sz w:val="22"/>
              </w:rPr>
            </w:pPr>
            <w:r w:rsidRPr="009B4A73">
              <w:rPr>
                <w:b/>
                <w:sz w:val="22"/>
              </w:rPr>
              <w:t xml:space="preserve"> </w:t>
            </w:r>
          </w:p>
        </w:tc>
        <w:tc>
          <w:tcPr>
            <w:tcW w:w="776" w:type="pct"/>
            <w:tcBorders>
              <w:top w:val="single" w:sz="4" w:space="0" w:color="000000"/>
              <w:left w:val="single" w:sz="4" w:space="0" w:color="000000"/>
              <w:bottom w:val="single" w:sz="4" w:space="0" w:color="000000"/>
              <w:right w:val="single" w:sz="4" w:space="0" w:color="000000"/>
            </w:tcBorders>
            <w:vAlign w:val="center"/>
          </w:tcPr>
          <w:p w14:paraId="36746A2F" w14:textId="748D097F" w:rsidR="00D92EBC" w:rsidRPr="009B4A73" w:rsidRDefault="0078763F" w:rsidP="003F080B">
            <w:pPr>
              <w:spacing w:after="0" w:line="240" w:lineRule="auto"/>
              <w:ind w:left="0" w:firstLine="0"/>
              <w:jc w:val="center"/>
              <w:rPr>
                <w:sz w:val="22"/>
              </w:rPr>
            </w:pPr>
            <w:r w:rsidRPr="009B4A73">
              <w:rPr>
                <w:b/>
                <w:sz w:val="22"/>
              </w:rPr>
              <w:t>AC→D</w:t>
            </w:r>
          </w:p>
          <w:p w14:paraId="2B1A4C9D" w14:textId="61B23BCE" w:rsidR="00D92EBC" w:rsidRPr="009B4A73" w:rsidRDefault="0078763F" w:rsidP="003F080B">
            <w:pPr>
              <w:spacing w:after="0" w:line="240" w:lineRule="auto"/>
              <w:ind w:left="0" w:firstLine="0"/>
              <w:jc w:val="center"/>
              <w:rPr>
                <w:sz w:val="22"/>
              </w:rPr>
            </w:pPr>
            <w:r w:rsidRPr="009B4A73">
              <w:rPr>
                <w:b/>
                <w:i/>
                <w:sz w:val="22"/>
              </w:rPr>
              <w:t xml:space="preserve">n </w:t>
            </w:r>
            <w:r w:rsidRPr="009B4A73">
              <w:rPr>
                <w:b/>
                <w:sz w:val="22"/>
              </w:rPr>
              <w:t>= 1073</w:t>
            </w:r>
          </w:p>
        </w:tc>
        <w:tc>
          <w:tcPr>
            <w:tcW w:w="882" w:type="pct"/>
            <w:tcBorders>
              <w:top w:val="single" w:sz="4" w:space="0" w:color="000000"/>
              <w:left w:val="single" w:sz="4" w:space="0" w:color="000000"/>
              <w:bottom w:val="single" w:sz="4" w:space="0" w:color="000000"/>
              <w:right w:val="single" w:sz="4" w:space="0" w:color="000000"/>
            </w:tcBorders>
            <w:vAlign w:val="center"/>
          </w:tcPr>
          <w:p w14:paraId="2AF9FE13" w14:textId="0DAD329E" w:rsidR="00D92EBC" w:rsidRPr="009B4A73" w:rsidRDefault="0078763F" w:rsidP="003F080B">
            <w:pPr>
              <w:spacing w:after="0" w:line="240" w:lineRule="auto"/>
              <w:ind w:left="0" w:firstLine="0"/>
              <w:jc w:val="center"/>
              <w:rPr>
                <w:sz w:val="22"/>
              </w:rPr>
            </w:pPr>
            <w:proofErr w:type="spellStart"/>
            <w:r w:rsidRPr="009B4A73">
              <w:rPr>
                <w:b/>
                <w:sz w:val="22"/>
              </w:rPr>
              <w:t>DCarbH</w:t>
            </w:r>
            <w:proofErr w:type="spellEnd"/>
          </w:p>
          <w:p w14:paraId="5394ECFA" w14:textId="487B96A3" w:rsidR="00D92EBC" w:rsidRPr="009B4A73" w:rsidRDefault="0078763F" w:rsidP="003F080B">
            <w:pPr>
              <w:spacing w:after="0" w:line="240" w:lineRule="auto"/>
              <w:ind w:left="0" w:firstLine="0"/>
              <w:jc w:val="center"/>
              <w:rPr>
                <w:sz w:val="22"/>
              </w:rPr>
            </w:pPr>
            <w:r w:rsidRPr="009B4A73">
              <w:rPr>
                <w:b/>
                <w:i/>
                <w:sz w:val="22"/>
              </w:rPr>
              <w:t xml:space="preserve">n </w:t>
            </w:r>
            <w:r w:rsidRPr="009B4A73">
              <w:rPr>
                <w:b/>
                <w:sz w:val="22"/>
              </w:rPr>
              <w:t>= 1075</w:t>
            </w:r>
          </w:p>
        </w:tc>
        <w:tc>
          <w:tcPr>
            <w:tcW w:w="738" w:type="pct"/>
            <w:tcBorders>
              <w:top w:val="single" w:sz="4" w:space="0" w:color="000000"/>
              <w:left w:val="single" w:sz="4" w:space="0" w:color="000000"/>
              <w:bottom w:val="single" w:sz="4" w:space="0" w:color="000000"/>
              <w:right w:val="single" w:sz="4" w:space="0" w:color="000000"/>
            </w:tcBorders>
            <w:vAlign w:val="center"/>
          </w:tcPr>
          <w:p w14:paraId="1C032F39" w14:textId="22CD6B61" w:rsidR="00D92EBC" w:rsidRPr="009B4A73" w:rsidRDefault="0078763F" w:rsidP="003F080B">
            <w:pPr>
              <w:spacing w:after="0" w:line="240" w:lineRule="auto"/>
              <w:ind w:left="0" w:firstLine="0"/>
              <w:jc w:val="center"/>
              <w:rPr>
                <w:sz w:val="22"/>
              </w:rPr>
            </w:pPr>
            <w:r w:rsidRPr="009B4A73">
              <w:rPr>
                <w:b/>
                <w:sz w:val="22"/>
              </w:rPr>
              <w:t>p-value</w:t>
            </w:r>
          </w:p>
        </w:tc>
        <w:tc>
          <w:tcPr>
            <w:tcW w:w="909" w:type="pct"/>
            <w:tcBorders>
              <w:top w:val="single" w:sz="4" w:space="0" w:color="000000"/>
              <w:left w:val="single" w:sz="4" w:space="0" w:color="000000"/>
              <w:bottom w:val="single" w:sz="4" w:space="0" w:color="000000"/>
              <w:right w:val="single" w:sz="4" w:space="0" w:color="000000"/>
            </w:tcBorders>
            <w:vAlign w:val="center"/>
          </w:tcPr>
          <w:p w14:paraId="4137577A" w14:textId="418321CF" w:rsidR="00D92EBC" w:rsidRPr="009B4A73" w:rsidRDefault="0078763F" w:rsidP="003F080B">
            <w:pPr>
              <w:spacing w:after="0" w:line="240" w:lineRule="auto"/>
              <w:ind w:left="0" w:firstLine="0"/>
              <w:jc w:val="center"/>
              <w:rPr>
                <w:sz w:val="22"/>
              </w:rPr>
            </w:pPr>
            <w:r w:rsidRPr="009B4A73">
              <w:rPr>
                <w:b/>
                <w:sz w:val="22"/>
              </w:rPr>
              <w:t>HR</w:t>
            </w:r>
          </w:p>
          <w:p w14:paraId="0323BEE3" w14:textId="5EB4E481" w:rsidR="00D92EBC" w:rsidRPr="009B4A73" w:rsidRDefault="0078763F" w:rsidP="003F080B">
            <w:pPr>
              <w:spacing w:after="0" w:line="240" w:lineRule="auto"/>
              <w:ind w:left="0" w:firstLine="0"/>
              <w:jc w:val="center"/>
              <w:rPr>
                <w:sz w:val="22"/>
              </w:rPr>
            </w:pPr>
            <w:r w:rsidRPr="009B4A73">
              <w:rPr>
                <w:b/>
                <w:sz w:val="22"/>
              </w:rPr>
              <w:t>(95% CI)</w:t>
            </w:r>
          </w:p>
        </w:tc>
      </w:tr>
      <w:tr w:rsidR="00D92EBC" w:rsidRPr="009B4A73" w14:paraId="490F57DD" w14:textId="77777777" w:rsidTr="003F080B">
        <w:trPr>
          <w:trHeight w:val="397"/>
        </w:trPr>
        <w:tc>
          <w:tcPr>
            <w:tcW w:w="1694" w:type="pct"/>
            <w:tcBorders>
              <w:top w:val="single" w:sz="4" w:space="0" w:color="000000"/>
              <w:left w:val="single" w:sz="4" w:space="0" w:color="000000"/>
              <w:bottom w:val="single" w:sz="4" w:space="0" w:color="000000"/>
              <w:right w:val="single" w:sz="4" w:space="0" w:color="000000"/>
            </w:tcBorders>
          </w:tcPr>
          <w:p w14:paraId="0892491E" w14:textId="77777777" w:rsidR="003F080B" w:rsidRPr="009B4A73" w:rsidRDefault="0078763F" w:rsidP="003F080B">
            <w:pPr>
              <w:spacing w:after="0" w:line="240" w:lineRule="auto"/>
              <w:ind w:left="0" w:firstLine="0"/>
              <w:rPr>
                <w:sz w:val="22"/>
              </w:rPr>
            </w:pPr>
            <w:r w:rsidRPr="009B4A73">
              <w:rPr>
                <w:b/>
                <w:sz w:val="22"/>
                <w:u w:val="single" w:color="000000"/>
              </w:rPr>
              <w:t>Disease-free survival (DFS)</w:t>
            </w:r>
            <w:r w:rsidRPr="009B4A73">
              <w:rPr>
                <w:sz w:val="22"/>
              </w:rPr>
              <w:t xml:space="preserve"> </w:t>
            </w:r>
          </w:p>
          <w:p w14:paraId="0675DA8F" w14:textId="4C378265" w:rsidR="00D92EBC" w:rsidRPr="009B4A73" w:rsidRDefault="0078763F" w:rsidP="003F080B">
            <w:pPr>
              <w:spacing w:after="0" w:line="240" w:lineRule="auto"/>
              <w:ind w:left="0" w:firstLine="0"/>
              <w:rPr>
                <w:sz w:val="22"/>
              </w:rPr>
            </w:pPr>
            <w:r w:rsidRPr="009B4A73">
              <w:rPr>
                <w:sz w:val="22"/>
              </w:rPr>
              <w:t xml:space="preserve">No. patients with event </w:t>
            </w:r>
          </w:p>
        </w:tc>
        <w:tc>
          <w:tcPr>
            <w:tcW w:w="776" w:type="pct"/>
            <w:tcBorders>
              <w:top w:val="single" w:sz="4" w:space="0" w:color="000000"/>
              <w:left w:val="single" w:sz="4" w:space="0" w:color="000000"/>
              <w:bottom w:val="single" w:sz="4" w:space="0" w:color="000000"/>
              <w:right w:val="single" w:sz="4" w:space="0" w:color="000000"/>
            </w:tcBorders>
            <w:vAlign w:val="center"/>
          </w:tcPr>
          <w:p w14:paraId="724E4111" w14:textId="5CAF0EB0" w:rsidR="00D92EBC" w:rsidRPr="009B4A73" w:rsidRDefault="00D92EBC" w:rsidP="003F080B">
            <w:pPr>
              <w:spacing w:after="0" w:line="240" w:lineRule="auto"/>
              <w:ind w:left="0" w:firstLine="0"/>
              <w:jc w:val="center"/>
              <w:rPr>
                <w:sz w:val="22"/>
              </w:rPr>
            </w:pPr>
          </w:p>
          <w:p w14:paraId="3F230DF4" w14:textId="42D3705F" w:rsidR="00D92EBC" w:rsidRPr="009B4A73" w:rsidRDefault="0078763F" w:rsidP="003F080B">
            <w:pPr>
              <w:spacing w:after="0" w:line="240" w:lineRule="auto"/>
              <w:ind w:left="0" w:firstLine="0"/>
              <w:jc w:val="center"/>
              <w:rPr>
                <w:sz w:val="22"/>
              </w:rPr>
            </w:pPr>
            <w:r w:rsidRPr="009B4A73">
              <w:rPr>
                <w:sz w:val="22"/>
              </w:rPr>
              <w:t>195</w:t>
            </w:r>
          </w:p>
        </w:tc>
        <w:tc>
          <w:tcPr>
            <w:tcW w:w="882" w:type="pct"/>
            <w:tcBorders>
              <w:top w:val="single" w:sz="4" w:space="0" w:color="000000"/>
              <w:left w:val="single" w:sz="4" w:space="0" w:color="000000"/>
              <w:bottom w:val="single" w:sz="4" w:space="0" w:color="000000"/>
              <w:right w:val="single" w:sz="4" w:space="0" w:color="000000"/>
            </w:tcBorders>
            <w:vAlign w:val="center"/>
          </w:tcPr>
          <w:p w14:paraId="3EDB2F52" w14:textId="448ABEB5" w:rsidR="00D92EBC" w:rsidRPr="009B4A73" w:rsidRDefault="00D92EBC" w:rsidP="003F080B">
            <w:pPr>
              <w:spacing w:after="0" w:line="240" w:lineRule="auto"/>
              <w:ind w:left="0" w:firstLine="0"/>
              <w:jc w:val="center"/>
              <w:rPr>
                <w:sz w:val="22"/>
              </w:rPr>
            </w:pPr>
          </w:p>
          <w:p w14:paraId="79B322EB" w14:textId="19C30990" w:rsidR="00D92EBC" w:rsidRPr="009B4A73" w:rsidRDefault="0078763F" w:rsidP="003F080B">
            <w:pPr>
              <w:spacing w:after="0" w:line="240" w:lineRule="auto"/>
              <w:ind w:left="0" w:firstLine="0"/>
              <w:jc w:val="center"/>
              <w:rPr>
                <w:sz w:val="22"/>
              </w:rPr>
            </w:pPr>
            <w:r w:rsidRPr="009B4A73">
              <w:rPr>
                <w:sz w:val="22"/>
              </w:rPr>
              <w:t>145</w:t>
            </w:r>
          </w:p>
        </w:tc>
        <w:tc>
          <w:tcPr>
            <w:tcW w:w="738" w:type="pct"/>
            <w:tcBorders>
              <w:top w:val="single" w:sz="4" w:space="0" w:color="000000"/>
              <w:left w:val="single" w:sz="4" w:space="0" w:color="000000"/>
              <w:bottom w:val="single" w:sz="4" w:space="0" w:color="000000"/>
              <w:right w:val="single" w:sz="4" w:space="0" w:color="000000"/>
            </w:tcBorders>
            <w:vAlign w:val="center"/>
          </w:tcPr>
          <w:p w14:paraId="684F922C" w14:textId="6A528AB0" w:rsidR="00D92EBC" w:rsidRPr="009B4A73" w:rsidRDefault="00D92EBC" w:rsidP="003F080B">
            <w:pPr>
              <w:spacing w:after="0" w:line="240" w:lineRule="auto"/>
              <w:ind w:left="0" w:firstLine="0"/>
              <w:jc w:val="center"/>
              <w:rPr>
                <w:sz w:val="22"/>
              </w:rPr>
            </w:pPr>
          </w:p>
          <w:p w14:paraId="4FA7851D" w14:textId="7B9F76AC" w:rsidR="00D92EBC" w:rsidRPr="009B4A73" w:rsidRDefault="0078763F" w:rsidP="003F080B">
            <w:pPr>
              <w:spacing w:after="0" w:line="240" w:lineRule="auto"/>
              <w:ind w:left="0" w:firstLine="0"/>
              <w:jc w:val="center"/>
              <w:rPr>
                <w:sz w:val="22"/>
              </w:rPr>
            </w:pPr>
            <w:r w:rsidRPr="009B4A73">
              <w:rPr>
                <w:sz w:val="22"/>
              </w:rPr>
              <w:t>0.0003</w:t>
            </w:r>
          </w:p>
        </w:tc>
        <w:tc>
          <w:tcPr>
            <w:tcW w:w="909" w:type="pct"/>
            <w:tcBorders>
              <w:top w:val="single" w:sz="4" w:space="0" w:color="000000"/>
              <w:left w:val="single" w:sz="4" w:space="0" w:color="000000"/>
              <w:bottom w:val="single" w:sz="4" w:space="0" w:color="000000"/>
              <w:right w:val="single" w:sz="4" w:space="0" w:color="000000"/>
            </w:tcBorders>
            <w:vAlign w:val="center"/>
          </w:tcPr>
          <w:p w14:paraId="68AA8F49" w14:textId="2F98A48A" w:rsidR="00D92EBC" w:rsidRPr="009B4A73" w:rsidRDefault="00D92EBC" w:rsidP="003F080B">
            <w:pPr>
              <w:spacing w:after="0" w:line="240" w:lineRule="auto"/>
              <w:ind w:left="0" w:firstLine="0"/>
              <w:jc w:val="center"/>
              <w:rPr>
                <w:sz w:val="22"/>
              </w:rPr>
            </w:pPr>
          </w:p>
          <w:p w14:paraId="7247D6FB" w14:textId="0DED05F2" w:rsidR="00D92EBC" w:rsidRPr="009B4A73" w:rsidRDefault="0078763F" w:rsidP="003F080B">
            <w:pPr>
              <w:spacing w:after="0" w:line="240" w:lineRule="auto"/>
              <w:ind w:left="0" w:firstLine="0"/>
              <w:jc w:val="center"/>
              <w:rPr>
                <w:sz w:val="22"/>
              </w:rPr>
            </w:pPr>
            <w:r w:rsidRPr="009B4A73">
              <w:rPr>
                <w:sz w:val="22"/>
              </w:rPr>
              <w:t>0.67 (0.54, 0.83)</w:t>
            </w:r>
          </w:p>
        </w:tc>
      </w:tr>
      <w:tr w:rsidR="00D92EBC" w:rsidRPr="009B4A73" w14:paraId="5DA74F58" w14:textId="77777777" w:rsidTr="003F080B">
        <w:trPr>
          <w:trHeight w:val="397"/>
        </w:trPr>
        <w:tc>
          <w:tcPr>
            <w:tcW w:w="1694" w:type="pct"/>
            <w:tcBorders>
              <w:top w:val="single" w:sz="4" w:space="0" w:color="000000"/>
              <w:left w:val="single" w:sz="4" w:space="0" w:color="000000"/>
              <w:bottom w:val="single" w:sz="4" w:space="0" w:color="000000"/>
              <w:right w:val="single" w:sz="4" w:space="0" w:color="000000"/>
            </w:tcBorders>
          </w:tcPr>
          <w:p w14:paraId="6CAA9CB6" w14:textId="77777777" w:rsidR="00D92EBC" w:rsidRPr="009B4A73" w:rsidRDefault="0078763F" w:rsidP="003F080B">
            <w:pPr>
              <w:spacing w:after="0" w:line="240" w:lineRule="auto"/>
              <w:ind w:left="0" w:firstLine="0"/>
              <w:rPr>
                <w:sz w:val="22"/>
              </w:rPr>
            </w:pPr>
            <w:r w:rsidRPr="009B4A73">
              <w:rPr>
                <w:b/>
                <w:sz w:val="22"/>
                <w:u w:val="single" w:color="000000"/>
              </w:rPr>
              <w:t>Death (OS event)</w:t>
            </w:r>
            <w:r w:rsidRPr="009B4A73">
              <w:rPr>
                <w:sz w:val="22"/>
              </w:rPr>
              <w:t xml:space="preserve"> </w:t>
            </w:r>
          </w:p>
          <w:p w14:paraId="684AF3BE" w14:textId="77777777" w:rsidR="00D92EBC" w:rsidRPr="009B4A73" w:rsidRDefault="0078763F" w:rsidP="003F080B">
            <w:pPr>
              <w:spacing w:after="0" w:line="240" w:lineRule="auto"/>
              <w:ind w:left="0" w:firstLine="0"/>
              <w:rPr>
                <w:sz w:val="22"/>
              </w:rPr>
            </w:pPr>
            <w:r w:rsidRPr="009B4A73">
              <w:rPr>
                <w:sz w:val="22"/>
              </w:rPr>
              <w:t xml:space="preserve">No. patients with event </w:t>
            </w:r>
          </w:p>
        </w:tc>
        <w:tc>
          <w:tcPr>
            <w:tcW w:w="776" w:type="pct"/>
            <w:tcBorders>
              <w:top w:val="single" w:sz="4" w:space="0" w:color="000000"/>
              <w:left w:val="single" w:sz="4" w:space="0" w:color="000000"/>
              <w:bottom w:val="single" w:sz="4" w:space="0" w:color="000000"/>
              <w:right w:val="single" w:sz="4" w:space="0" w:color="000000"/>
            </w:tcBorders>
            <w:vAlign w:val="center"/>
          </w:tcPr>
          <w:p w14:paraId="1E75A328" w14:textId="5909D726" w:rsidR="00D92EBC" w:rsidRPr="009B4A73" w:rsidRDefault="00D92EBC" w:rsidP="003F080B">
            <w:pPr>
              <w:spacing w:after="0" w:line="240" w:lineRule="auto"/>
              <w:ind w:left="0" w:firstLine="0"/>
              <w:jc w:val="center"/>
              <w:rPr>
                <w:sz w:val="22"/>
              </w:rPr>
            </w:pPr>
          </w:p>
          <w:p w14:paraId="2200F4EC" w14:textId="698FBC85" w:rsidR="00D92EBC" w:rsidRPr="009B4A73" w:rsidRDefault="0078763F" w:rsidP="003F080B">
            <w:pPr>
              <w:spacing w:after="0" w:line="240" w:lineRule="auto"/>
              <w:ind w:left="0" w:firstLine="0"/>
              <w:jc w:val="center"/>
              <w:rPr>
                <w:sz w:val="22"/>
              </w:rPr>
            </w:pPr>
            <w:r w:rsidRPr="009B4A73">
              <w:rPr>
                <w:sz w:val="22"/>
              </w:rPr>
              <w:t>80</w:t>
            </w:r>
          </w:p>
        </w:tc>
        <w:tc>
          <w:tcPr>
            <w:tcW w:w="882" w:type="pct"/>
            <w:tcBorders>
              <w:top w:val="single" w:sz="4" w:space="0" w:color="000000"/>
              <w:left w:val="single" w:sz="4" w:space="0" w:color="000000"/>
              <w:bottom w:val="single" w:sz="4" w:space="0" w:color="000000"/>
              <w:right w:val="single" w:sz="4" w:space="0" w:color="000000"/>
            </w:tcBorders>
            <w:vAlign w:val="center"/>
          </w:tcPr>
          <w:p w14:paraId="19C0CED7" w14:textId="4A4033DA" w:rsidR="00D92EBC" w:rsidRPr="009B4A73" w:rsidRDefault="00D92EBC" w:rsidP="003F080B">
            <w:pPr>
              <w:spacing w:after="0" w:line="240" w:lineRule="auto"/>
              <w:ind w:left="0" w:firstLine="0"/>
              <w:jc w:val="center"/>
              <w:rPr>
                <w:sz w:val="22"/>
              </w:rPr>
            </w:pPr>
          </w:p>
          <w:p w14:paraId="14CBBE10" w14:textId="1C11FD80" w:rsidR="00D92EBC" w:rsidRPr="009B4A73" w:rsidRDefault="0078763F" w:rsidP="003F080B">
            <w:pPr>
              <w:spacing w:after="0" w:line="240" w:lineRule="auto"/>
              <w:ind w:left="0" w:firstLine="0"/>
              <w:jc w:val="center"/>
              <w:rPr>
                <w:sz w:val="22"/>
              </w:rPr>
            </w:pPr>
            <w:r w:rsidRPr="009B4A73">
              <w:rPr>
                <w:sz w:val="22"/>
              </w:rPr>
              <w:t>56</w:t>
            </w:r>
          </w:p>
        </w:tc>
        <w:tc>
          <w:tcPr>
            <w:tcW w:w="738" w:type="pct"/>
            <w:tcBorders>
              <w:top w:val="single" w:sz="4" w:space="0" w:color="000000"/>
              <w:left w:val="single" w:sz="4" w:space="0" w:color="000000"/>
              <w:bottom w:val="single" w:sz="4" w:space="0" w:color="000000"/>
              <w:right w:val="single" w:sz="4" w:space="0" w:color="000000"/>
            </w:tcBorders>
            <w:vAlign w:val="center"/>
          </w:tcPr>
          <w:p w14:paraId="674728E1" w14:textId="7936E007" w:rsidR="00D92EBC" w:rsidRPr="009B4A73" w:rsidRDefault="00D92EBC" w:rsidP="003F080B">
            <w:pPr>
              <w:spacing w:after="0" w:line="240" w:lineRule="auto"/>
              <w:ind w:left="0" w:firstLine="0"/>
              <w:jc w:val="center"/>
              <w:rPr>
                <w:sz w:val="22"/>
              </w:rPr>
            </w:pPr>
          </w:p>
          <w:p w14:paraId="2FF81B01" w14:textId="493D6627" w:rsidR="00D92EBC" w:rsidRPr="009B4A73" w:rsidRDefault="0078763F" w:rsidP="003F080B">
            <w:pPr>
              <w:spacing w:after="0" w:line="240" w:lineRule="auto"/>
              <w:ind w:left="0" w:firstLine="0"/>
              <w:jc w:val="center"/>
              <w:rPr>
                <w:sz w:val="22"/>
              </w:rPr>
            </w:pPr>
            <w:r w:rsidRPr="009B4A73">
              <w:rPr>
                <w:sz w:val="22"/>
              </w:rPr>
              <w:t>0.00182</w:t>
            </w:r>
          </w:p>
        </w:tc>
        <w:tc>
          <w:tcPr>
            <w:tcW w:w="909" w:type="pct"/>
            <w:tcBorders>
              <w:top w:val="single" w:sz="4" w:space="0" w:color="000000"/>
              <w:left w:val="single" w:sz="4" w:space="0" w:color="000000"/>
              <w:bottom w:val="single" w:sz="4" w:space="0" w:color="000000"/>
              <w:right w:val="single" w:sz="4" w:space="0" w:color="000000"/>
            </w:tcBorders>
            <w:vAlign w:val="center"/>
          </w:tcPr>
          <w:p w14:paraId="5C30B1FB" w14:textId="5384B883" w:rsidR="00D92EBC" w:rsidRPr="009B4A73" w:rsidRDefault="00D92EBC" w:rsidP="003F080B">
            <w:pPr>
              <w:spacing w:after="0" w:line="240" w:lineRule="auto"/>
              <w:ind w:left="0" w:firstLine="0"/>
              <w:jc w:val="center"/>
              <w:rPr>
                <w:sz w:val="22"/>
              </w:rPr>
            </w:pPr>
          </w:p>
          <w:p w14:paraId="5328C200" w14:textId="25A76B55" w:rsidR="00D92EBC" w:rsidRPr="009B4A73" w:rsidRDefault="0078763F" w:rsidP="003F080B">
            <w:pPr>
              <w:spacing w:after="0" w:line="240" w:lineRule="auto"/>
              <w:ind w:left="0" w:firstLine="0"/>
              <w:jc w:val="center"/>
              <w:rPr>
                <w:sz w:val="22"/>
              </w:rPr>
            </w:pPr>
            <w:r w:rsidRPr="009B4A73">
              <w:rPr>
                <w:sz w:val="22"/>
              </w:rPr>
              <w:t>0.66 (0.47,0.93)</w:t>
            </w:r>
          </w:p>
        </w:tc>
      </w:tr>
    </w:tbl>
    <w:p w14:paraId="769BB889" w14:textId="0C9F9C08" w:rsidR="00D92EBC" w:rsidRPr="009B4A73" w:rsidRDefault="0078763F" w:rsidP="00316679">
      <w:pPr>
        <w:spacing w:after="40" w:line="240" w:lineRule="auto"/>
        <w:ind w:left="426"/>
        <w:rPr>
          <w:sz w:val="20"/>
          <w:szCs w:val="20"/>
        </w:rPr>
      </w:pPr>
      <w:r w:rsidRPr="009B4A73">
        <w:rPr>
          <w:sz w:val="20"/>
          <w:szCs w:val="20"/>
        </w:rPr>
        <w:t xml:space="preserve">AC→D = doxorubicin plus cyclophosphamide, followed by docetaxel; </w:t>
      </w:r>
      <w:proofErr w:type="spellStart"/>
      <w:r w:rsidRPr="009B4A73">
        <w:rPr>
          <w:sz w:val="20"/>
          <w:szCs w:val="20"/>
        </w:rPr>
        <w:t>DCarbH</w:t>
      </w:r>
      <w:proofErr w:type="spellEnd"/>
      <w:r w:rsidRPr="009B4A73">
        <w:rPr>
          <w:sz w:val="20"/>
          <w:szCs w:val="20"/>
        </w:rPr>
        <w:t xml:space="preserve"> = docetaxel, carboplatin and trastuzumab; CI = confidence interval</w:t>
      </w:r>
    </w:p>
    <w:p w14:paraId="4F034A3E" w14:textId="77777777" w:rsidR="00D92EBC" w:rsidRPr="009B4A73" w:rsidRDefault="0078763F" w:rsidP="00316679">
      <w:pPr>
        <w:spacing w:after="0" w:line="240" w:lineRule="auto"/>
        <w:ind w:left="426" w:firstLine="0"/>
        <w:rPr>
          <w:sz w:val="22"/>
        </w:rPr>
      </w:pPr>
      <w:r w:rsidRPr="009B4A73">
        <w:rPr>
          <w:sz w:val="22"/>
        </w:rPr>
        <w:t xml:space="preserve"> </w:t>
      </w:r>
    </w:p>
    <w:p w14:paraId="4C440AB5" w14:textId="69D98C2E" w:rsidR="00D92EBC" w:rsidRPr="009B4A73" w:rsidRDefault="0078763F" w:rsidP="00316679">
      <w:pPr>
        <w:spacing w:after="0" w:line="240" w:lineRule="auto"/>
        <w:ind w:left="426" w:right="8"/>
        <w:rPr>
          <w:i/>
          <w:sz w:val="22"/>
        </w:rPr>
      </w:pPr>
      <w:r w:rsidRPr="009B4A73">
        <w:rPr>
          <w:sz w:val="22"/>
        </w:rPr>
        <w:t>Based on studies to date, the optimal duration of adjuvant trastuzumab therapy is 1 year and may be clarified in further randomized trials.</w:t>
      </w:r>
      <w:r w:rsidR="008805AA" w:rsidRPr="009B4A73">
        <w:rPr>
          <w:sz w:val="22"/>
        </w:rPr>
        <w:t xml:space="preserve"> </w:t>
      </w:r>
      <w:r w:rsidRPr="009B4A73">
        <w:rPr>
          <w:sz w:val="22"/>
        </w:rPr>
        <w:t xml:space="preserve">However, extending adjuvant treatment beyond 1 year is not recommended (see section 4.2 Dose and </w:t>
      </w:r>
      <w:r w:rsidR="00F94AD5" w:rsidRPr="009B4A73">
        <w:rPr>
          <w:sz w:val="22"/>
        </w:rPr>
        <w:t>m</w:t>
      </w:r>
      <w:r w:rsidRPr="009B4A73">
        <w:rPr>
          <w:sz w:val="22"/>
        </w:rPr>
        <w:t xml:space="preserve">ethod of </w:t>
      </w:r>
      <w:r w:rsidR="00F94AD5" w:rsidRPr="009B4A73">
        <w:rPr>
          <w:sz w:val="22"/>
        </w:rPr>
        <w:t>a</w:t>
      </w:r>
      <w:r w:rsidRPr="009B4A73">
        <w:rPr>
          <w:sz w:val="22"/>
        </w:rPr>
        <w:t>dministration).</w:t>
      </w:r>
    </w:p>
    <w:p w14:paraId="4BE15C82" w14:textId="77777777" w:rsidR="00B36AE9" w:rsidRPr="009B4A73" w:rsidRDefault="00B36AE9" w:rsidP="00316679">
      <w:pPr>
        <w:spacing w:after="0" w:line="240" w:lineRule="auto"/>
        <w:ind w:left="426" w:right="8"/>
        <w:rPr>
          <w:sz w:val="22"/>
        </w:rPr>
      </w:pPr>
    </w:p>
    <w:p w14:paraId="695BA7F4" w14:textId="554236E1" w:rsidR="00D92EBC" w:rsidRPr="009B4A73" w:rsidRDefault="0078763F" w:rsidP="00316679">
      <w:pPr>
        <w:pStyle w:val="Heading3"/>
        <w:spacing w:after="13" w:line="240" w:lineRule="auto"/>
        <w:ind w:left="426"/>
        <w:rPr>
          <w:sz w:val="22"/>
        </w:rPr>
      </w:pPr>
      <w:r w:rsidRPr="009B4A73">
        <w:rPr>
          <w:i/>
          <w:sz w:val="22"/>
          <w:u w:val="none"/>
        </w:rPr>
        <w:t>Switching treatment from</w:t>
      </w:r>
      <w:r w:rsidR="00CE0B5E" w:rsidRPr="009B4A73">
        <w:rPr>
          <w:i/>
          <w:sz w:val="22"/>
          <w:u w:val="none"/>
        </w:rPr>
        <w:t xml:space="preserve"> </w:t>
      </w:r>
      <w:r w:rsidR="00124E0F" w:rsidRPr="009B4A73">
        <w:rPr>
          <w:i/>
          <w:iCs/>
          <w:sz w:val="22"/>
          <w:u w:val="none"/>
        </w:rPr>
        <w:t>trastuzumab</w:t>
      </w:r>
      <w:r w:rsidRPr="009B4A73">
        <w:rPr>
          <w:i/>
          <w:sz w:val="22"/>
          <w:u w:val="none"/>
        </w:rPr>
        <w:t xml:space="preserve"> IV to</w:t>
      </w:r>
      <w:r w:rsidR="00CE0B5E" w:rsidRPr="009B4A73">
        <w:rPr>
          <w:i/>
          <w:sz w:val="22"/>
          <w:u w:val="none"/>
        </w:rPr>
        <w:t xml:space="preserve"> </w:t>
      </w:r>
      <w:r w:rsidR="00124E0F" w:rsidRPr="009B4A73">
        <w:rPr>
          <w:i/>
          <w:iCs/>
          <w:sz w:val="22"/>
          <w:u w:val="none"/>
        </w:rPr>
        <w:t>trastuzumab</w:t>
      </w:r>
      <w:r w:rsidRPr="009B4A73">
        <w:rPr>
          <w:i/>
          <w:sz w:val="22"/>
          <w:u w:val="none"/>
        </w:rPr>
        <w:t xml:space="preserve"> SC and vice versa</w:t>
      </w:r>
    </w:p>
    <w:p w14:paraId="309C6771" w14:textId="77777777" w:rsidR="00E260BA" w:rsidRPr="009B4A73" w:rsidRDefault="00E260BA" w:rsidP="00316679">
      <w:pPr>
        <w:spacing w:after="9" w:line="240" w:lineRule="auto"/>
        <w:ind w:left="426" w:right="8"/>
        <w:rPr>
          <w:sz w:val="22"/>
        </w:rPr>
      </w:pPr>
    </w:p>
    <w:p w14:paraId="526B2F2D" w14:textId="63065E19" w:rsidR="00D92EBC" w:rsidRPr="009B4A73" w:rsidRDefault="0078763F" w:rsidP="00316679">
      <w:pPr>
        <w:spacing w:after="9" w:line="240" w:lineRule="auto"/>
        <w:ind w:left="426" w:right="8"/>
        <w:rPr>
          <w:sz w:val="22"/>
        </w:rPr>
      </w:pPr>
      <w:r w:rsidRPr="009B4A73">
        <w:rPr>
          <w:sz w:val="22"/>
        </w:rPr>
        <w:t>Study MO22982 (</w:t>
      </w:r>
      <w:proofErr w:type="spellStart"/>
      <w:r w:rsidRPr="009B4A73">
        <w:rPr>
          <w:sz w:val="22"/>
        </w:rPr>
        <w:t>PrefHER</w:t>
      </w:r>
      <w:proofErr w:type="spellEnd"/>
      <w:r w:rsidRPr="009B4A73">
        <w:rPr>
          <w:sz w:val="22"/>
        </w:rPr>
        <w:t>) investigated switching from</w:t>
      </w:r>
      <w:r w:rsidR="00CE0B5E" w:rsidRPr="009B4A73">
        <w:rPr>
          <w:sz w:val="22"/>
        </w:rPr>
        <w:t xml:space="preserve"> </w:t>
      </w:r>
      <w:r w:rsidR="00124E0F" w:rsidRPr="009B4A73">
        <w:rPr>
          <w:sz w:val="22"/>
        </w:rPr>
        <w:t>trastuzumab</w:t>
      </w:r>
      <w:r w:rsidRPr="009B4A73">
        <w:rPr>
          <w:sz w:val="22"/>
        </w:rPr>
        <w:t xml:space="preserve"> IV to</w:t>
      </w:r>
      <w:r w:rsidR="00CE0B5E" w:rsidRPr="009B4A73">
        <w:rPr>
          <w:sz w:val="22"/>
        </w:rPr>
        <w:t xml:space="preserve"> </w:t>
      </w:r>
      <w:r w:rsidR="00124E0F" w:rsidRPr="009B4A73">
        <w:rPr>
          <w:sz w:val="22"/>
        </w:rPr>
        <w:t>trastuzumab</w:t>
      </w:r>
      <w:r w:rsidRPr="009B4A73">
        <w:rPr>
          <w:sz w:val="22"/>
        </w:rPr>
        <w:t xml:space="preserve"> SC, and vice versa, in patients with HER2 positive EBC, with a primary objective to evaluate patient preference for either</w:t>
      </w:r>
      <w:r w:rsidR="00CE0B5E" w:rsidRPr="009B4A73">
        <w:rPr>
          <w:sz w:val="22"/>
        </w:rPr>
        <w:t xml:space="preserve"> </w:t>
      </w:r>
      <w:r w:rsidR="00124E0F" w:rsidRPr="009B4A73">
        <w:rPr>
          <w:sz w:val="22"/>
        </w:rPr>
        <w:t>trastuzumab</w:t>
      </w:r>
      <w:r w:rsidRPr="009B4A73">
        <w:rPr>
          <w:sz w:val="22"/>
        </w:rPr>
        <w:t xml:space="preserve"> IV infusion or</w:t>
      </w:r>
      <w:r w:rsidR="00CE0B5E" w:rsidRPr="009B4A73">
        <w:rPr>
          <w:sz w:val="22"/>
        </w:rPr>
        <w:t xml:space="preserve"> </w:t>
      </w:r>
      <w:r w:rsidR="00124E0F" w:rsidRPr="009B4A73">
        <w:rPr>
          <w:sz w:val="22"/>
        </w:rPr>
        <w:t>trastuzumab</w:t>
      </w:r>
      <w:r w:rsidRPr="009B4A73">
        <w:rPr>
          <w:sz w:val="22"/>
        </w:rPr>
        <w:t xml:space="preserve"> SC injection. This trial investigated using a 2-arm, cross-over design with patients being randomized to one of two different q3w</w:t>
      </w:r>
      <w:r w:rsidR="00CE0B5E" w:rsidRPr="009B4A73">
        <w:rPr>
          <w:sz w:val="22"/>
        </w:rPr>
        <w:t xml:space="preserve"> </w:t>
      </w:r>
      <w:r w:rsidR="00025A04" w:rsidRPr="009B4A73">
        <w:rPr>
          <w:sz w:val="22"/>
        </w:rPr>
        <w:t>trastuzumab</w:t>
      </w:r>
      <w:r w:rsidRPr="009B4A73">
        <w:rPr>
          <w:sz w:val="22"/>
        </w:rPr>
        <w:t xml:space="preserve"> treatment sequences (</w:t>
      </w:r>
      <w:r w:rsidR="00025A04" w:rsidRPr="009B4A73">
        <w:rPr>
          <w:sz w:val="22"/>
        </w:rPr>
        <w:t xml:space="preserve"> trastuzumab</w:t>
      </w:r>
      <w:r w:rsidRPr="009B4A73">
        <w:rPr>
          <w:sz w:val="22"/>
        </w:rPr>
        <w:t xml:space="preserve"> IV</w:t>
      </w:r>
      <w:r w:rsidR="005E652F" w:rsidRPr="009B4A73">
        <w:rPr>
          <w:sz w:val="22"/>
        </w:rPr>
        <w:t xml:space="preserve"> </w:t>
      </w:r>
      <w:r w:rsidRPr="009B4A73">
        <w:rPr>
          <w:sz w:val="22"/>
        </w:rPr>
        <w:t>(Cycles 1-4) →</w:t>
      </w:r>
      <w:r w:rsidR="00CE0B5E" w:rsidRPr="009B4A73">
        <w:rPr>
          <w:sz w:val="22"/>
        </w:rPr>
        <w:t xml:space="preserve"> </w:t>
      </w:r>
      <w:r w:rsidR="00025A04" w:rsidRPr="009B4A73">
        <w:rPr>
          <w:sz w:val="22"/>
        </w:rPr>
        <w:t>trastuzumab</w:t>
      </w:r>
      <w:r w:rsidRPr="009B4A73">
        <w:rPr>
          <w:sz w:val="22"/>
        </w:rPr>
        <w:t xml:space="preserve"> SC (Cycles 5-8), or</w:t>
      </w:r>
      <w:r w:rsidR="00CE0B5E" w:rsidRPr="009B4A73">
        <w:rPr>
          <w:sz w:val="22"/>
        </w:rPr>
        <w:t xml:space="preserve"> </w:t>
      </w:r>
      <w:r w:rsidR="00025A04" w:rsidRPr="009B4A73">
        <w:rPr>
          <w:sz w:val="22"/>
        </w:rPr>
        <w:t>trastuzumab</w:t>
      </w:r>
      <w:r w:rsidRPr="009B4A73">
        <w:rPr>
          <w:sz w:val="22"/>
        </w:rPr>
        <w:t xml:space="preserve"> SC (Cycles 1-4) →</w:t>
      </w:r>
      <w:r w:rsidR="00CE0B5E" w:rsidRPr="009B4A73">
        <w:rPr>
          <w:sz w:val="22"/>
        </w:rPr>
        <w:t xml:space="preserve"> </w:t>
      </w:r>
      <w:r w:rsidR="00025A04" w:rsidRPr="009B4A73">
        <w:rPr>
          <w:sz w:val="22"/>
        </w:rPr>
        <w:t>trastuzumab</w:t>
      </w:r>
      <w:r w:rsidRPr="009B4A73">
        <w:rPr>
          <w:sz w:val="22"/>
        </w:rPr>
        <w:t xml:space="preserve"> IV (Cycles 5-8)). Patients participating in this trial could be enrolled at any time </w:t>
      </w:r>
      <w:proofErr w:type="gramStart"/>
      <w:r w:rsidRPr="009B4A73">
        <w:rPr>
          <w:sz w:val="22"/>
        </w:rPr>
        <w:t>as long as</w:t>
      </w:r>
      <w:proofErr w:type="gramEnd"/>
      <w:r w:rsidRPr="009B4A73">
        <w:rPr>
          <w:sz w:val="22"/>
        </w:rPr>
        <w:t xml:space="preserve"> there were at least 10 remaining cycles of</w:t>
      </w:r>
      <w:r w:rsidR="00CE0B5E" w:rsidRPr="009B4A73">
        <w:rPr>
          <w:sz w:val="22"/>
        </w:rPr>
        <w:t xml:space="preserve"> </w:t>
      </w:r>
      <w:r w:rsidR="00025A04" w:rsidRPr="009B4A73">
        <w:rPr>
          <w:sz w:val="22"/>
        </w:rPr>
        <w:t>trastuzumab</w:t>
      </w:r>
      <w:r w:rsidRPr="009B4A73">
        <w:rPr>
          <w:sz w:val="22"/>
        </w:rPr>
        <w:t xml:space="preserve"> in their planned treatment regimen, therefore patients were either naïve to</w:t>
      </w:r>
      <w:r w:rsidR="00CE0B5E" w:rsidRPr="009B4A73">
        <w:rPr>
          <w:sz w:val="22"/>
        </w:rPr>
        <w:t xml:space="preserve"> </w:t>
      </w:r>
      <w:r w:rsidR="00025A04" w:rsidRPr="009B4A73">
        <w:rPr>
          <w:sz w:val="22"/>
        </w:rPr>
        <w:t>trastuzumab</w:t>
      </w:r>
      <w:r w:rsidRPr="009B4A73">
        <w:rPr>
          <w:sz w:val="22"/>
        </w:rPr>
        <w:t xml:space="preserve"> IV treatment (20.3%) or pre-exposed to</w:t>
      </w:r>
      <w:r w:rsidR="00CE0B5E" w:rsidRPr="009B4A73">
        <w:rPr>
          <w:sz w:val="22"/>
        </w:rPr>
        <w:t xml:space="preserve"> </w:t>
      </w:r>
      <w:r w:rsidR="00025A04" w:rsidRPr="009B4A73">
        <w:rPr>
          <w:sz w:val="22"/>
        </w:rPr>
        <w:t>trastuzumab</w:t>
      </w:r>
      <w:r w:rsidRPr="009B4A73">
        <w:rPr>
          <w:sz w:val="22"/>
        </w:rPr>
        <w:t xml:space="preserve"> IV (79.7%) as part of ongoing adjuvant treatment for HER2 positive </w:t>
      </w:r>
      <w:r w:rsidRPr="009B4A73">
        <w:rPr>
          <w:sz w:val="22"/>
        </w:rPr>
        <w:lastRenderedPageBreak/>
        <w:t xml:space="preserve">EBC. Overall, switches from </w:t>
      </w:r>
      <w:r w:rsidR="00025A04" w:rsidRPr="009B4A73">
        <w:rPr>
          <w:sz w:val="22"/>
        </w:rPr>
        <w:t>trastuzumab</w:t>
      </w:r>
      <w:r w:rsidRPr="009B4A73">
        <w:rPr>
          <w:sz w:val="22"/>
        </w:rPr>
        <w:t xml:space="preserve"> IV to </w:t>
      </w:r>
      <w:r w:rsidR="00025A04" w:rsidRPr="009B4A73">
        <w:rPr>
          <w:sz w:val="22"/>
        </w:rPr>
        <w:t>trastuzumab</w:t>
      </w:r>
      <w:r w:rsidRPr="009B4A73">
        <w:rPr>
          <w:sz w:val="22"/>
        </w:rPr>
        <w:t xml:space="preserve"> SC and vice versa were well tolerated. Pre</w:t>
      </w:r>
      <w:r w:rsidR="00E260BA" w:rsidRPr="009B4A73">
        <w:rPr>
          <w:sz w:val="22"/>
        </w:rPr>
        <w:t>-</w:t>
      </w:r>
      <w:r w:rsidRPr="009B4A73">
        <w:rPr>
          <w:sz w:val="22"/>
        </w:rPr>
        <w:t xml:space="preserve">switch rates (Cycles 1-4) for SAEs, Grade 3 </w:t>
      </w:r>
      <w:proofErr w:type="gramStart"/>
      <w:r w:rsidRPr="009B4A73">
        <w:rPr>
          <w:sz w:val="22"/>
        </w:rPr>
        <w:t>AEs</w:t>
      </w:r>
      <w:proofErr w:type="gramEnd"/>
      <w:r w:rsidRPr="009B4A73">
        <w:rPr>
          <w:sz w:val="22"/>
        </w:rPr>
        <w:t xml:space="preserve"> and treatment discontinuations due to AEs were low (&lt;5%) and similar to post-switch rates (Cycles 5-8). No Grade 4 or Grade 5 AEs were reported. The effect of multiple switches back and forth was not investigated (see section 4.8 Adverse </w:t>
      </w:r>
      <w:r w:rsidR="00F94AD5" w:rsidRPr="009B4A73">
        <w:rPr>
          <w:sz w:val="22"/>
        </w:rPr>
        <w:t>e</w:t>
      </w:r>
      <w:r w:rsidRPr="009B4A73">
        <w:rPr>
          <w:sz w:val="22"/>
        </w:rPr>
        <w:t xml:space="preserve">ffects (Undesirable </w:t>
      </w:r>
      <w:r w:rsidR="00F94AD5" w:rsidRPr="009B4A73">
        <w:rPr>
          <w:sz w:val="22"/>
        </w:rPr>
        <w:t>e</w:t>
      </w:r>
      <w:r w:rsidRPr="009B4A73">
        <w:rPr>
          <w:sz w:val="22"/>
        </w:rPr>
        <w:t>ffects)).</w:t>
      </w:r>
    </w:p>
    <w:p w14:paraId="04BC8C8A" w14:textId="77777777" w:rsidR="00B36AE9" w:rsidRPr="009B4A73" w:rsidRDefault="00B36AE9" w:rsidP="00316679">
      <w:pPr>
        <w:spacing w:after="0" w:line="240" w:lineRule="auto"/>
        <w:ind w:left="426" w:right="8"/>
        <w:rPr>
          <w:sz w:val="22"/>
        </w:rPr>
      </w:pPr>
    </w:p>
    <w:p w14:paraId="74FDB72C" w14:textId="498F6B31" w:rsidR="00D92EBC" w:rsidRPr="009B4A73" w:rsidRDefault="0078763F" w:rsidP="00316679">
      <w:pPr>
        <w:pStyle w:val="Heading3"/>
        <w:spacing w:after="0" w:line="240" w:lineRule="auto"/>
        <w:ind w:left="426" w:right="1296"/>
        <w:rPr>
          <w:i/>
          <w:iCs/>
          <w:sz w:val="22"/>
          <w:u w:val="none"/>
        </w:rPr>
      </w:pPr>
      <w:r w:rsidRPr="009B4A73">
        <w:rPr>
          <w:i/>
          <w:iCs/>
          <w:sz w:val="22"/>
        </w:rPr>
        <w:t xml:space="preserve">Locally </w:t>
      </w:r>
      <w:r w:rsidR="00E260BA" w:rsidRPr="009B4A73">
        <w:rPr>
          <w:i/>
          <w:iCs/>
          <w:sz w:val="22"/>
        </w:rPr>
        <w:t>a</w:t>
      </w:r>
      <w:r w:rsidRPr="009B4A73">
        <w:rPr>
          <w:i/>
          <w:iCs/>
          <w:sz w:val="22"/>
        </w:rPr>
        <w:t xml:space="preserve">dvanced </w:t>
      </w:r>
      <w:r w:rsidR="00E260BA" w:rsidRPr="009B4A73">
        <w:rPr>
          <w:i/>
          <w:iCs/>
          <w:sz w:val="22"/>
        </w:rPr>
        <w:t>b</w:t>
      </w:r>
      <w:r w:rsidRPr="009B4A73">
        <w:rPr>
          <w:i/>
          <w:iCs/>
          <w:sz w:val="22"/>
        </w:rPr>
        <w:t xml:space="preserve">reast </w:t>
      </w:r>
      <w:r w:rsidR="00E260BA" w:rsidRPr="009B4A73">
        <w:rPr>
          <w:i/>
          <w:iCs/>
          <w:sz w:val="22"/>
        </w:rPr>
        <w:t>c</w:t>
      </w:r>
      <w:r w:rsidRPr="009B4A73">
        <w:rPr>
          <w:i/>
          <w:iCs/>
          <w:sz w:val="22"/>
        </w:rPr>
        <w:t>ancer</w:t>
      </w:r>
      <w:r w:rsidRPr="009B4A73">
        <w:rPr>
          <w:i/>
          <w:iCs/>
          <w:sz w:val="22"/>
          <w:u w:val="none"/>
        </w:rPr>
        <w:t xml:space="preserve"> </w:t>
      </w:r>
    </w:p>
    <w:p w14:paraId="2CD408F4" w14:textId="77777777" w:rsidR="00B36AE9" w:rsidRPr="009B4A73" w:rsidRDefault="00B36AE9" w:rsidP="00316679">
      <w:pPr>
        <w:spacing w:after="0" w:line="240" w:lineRule="auto"/>
        <w:ind w:left="426"/>
        <w:rPr>
          <w:sz w:val="22"/>
        </w:rPr>
      </w:pPr>
    </w:p>
    <w:p w14:paraId="44690D6B" w14:textId="37F1517C" w:rsidR="00D92EBC" w:rsidRPr="009B4A73" w:rsidRDefault="0078763F" w:rsidP="00316679">
      <w:pPr>
        <w:spacing w:after="0" w:line="240" w:lineRule="auto"/>
        <w:ind w:left="426" w:right="8"/>
        <w:rPr>
          <w:sz w:val="22"/>
        </w:rPr>
      </w:pPr>
      <w:r w:rsidRPr="009B4A73">
        <w:rPr>
          <w:sz w:val="22"/>
        </w:rPr>
        <w:t>Locally advanced breast cancer is defined as the absence of metastatic disease and meeting one or more of the following criteria: inflammatory breast cancer, a primary tumour that extends to the chest wall or skin, tumour &gt; 5 cm with any positive lymph node(s), any tumour with disease in supraclavicular nodes, infraclavicular nodes or internal mammary nodes, any tumour with axillary lymph nodes fixed to one another or other structures.</w:t>
      </w:r>
    </w:p>
    <w:p w14:paraId="02A1D35B" w14:textId="77777777" w:rsidR="00B36AE9" w:rsidRPr="009B4A73" w:rsidRDefault="00B36AE9" w:rsidP="00316679">
      <w:pPr>
        <w:spacing w:after="0" w:line="240" w:lineRule="auto"/>
        <w:ind w:left="426" w:right="8"/>
        <w:rPr>
          <w:sz w:val="22"/>
        </w:rPr>
      </w:pPr>
    </w:p>
    <w:p w14:paraId="53889FBA" w14:textId="14B2A98B" w:rsidR="00B36AE9" w:rsidRPr="009B4A73" w:rsidRDefault="007D5B09" w:rsidP="00316679">
      <w:pPr>
        <w:pStyle w:val="Heading4"/>
        <w:spacing w:after="0" w:line="240" w:lineRule="auto"/>
        <w:ind w:left="426"/>
        <w:rPr>
          <w:b/>
          <w:sz w:val="22"/>
        </w:rPr>
      </w:pPr>
      <w:r w:rsidRPr="009B4A73">
        <w:rPr>
          <w:sz w:val="22"/>
        </w:rPr>
        <w:t>Trastuzumab</w:t>
      </w:r>
      <w:r w:rsidR="0078763F" w:rsidRPr="009B4A73">
        <w:rPr>
          <w:sz w:val="22"/>
        </w:rPr>
        <w:t xml:space="preserve"> in </w:t>
      </w:r>
      <w:r w:rsidR="00E260BA" w:rsidRPr="009B4A73">
        <w:rPr>
          <w:sz w:val="22"/>
        </w:rPr>
        <w:t>c</w:t>
      </w:r>
      <w:r w:rsidR="0078763F" w:rsidRPr="009B4A73">
        <w:rPr>
          <w:sz w:val="22"/>
        </w:rPr>
        <w:t xml:space="preserve">ombination with </w:t>
      </w:r>
      <w:r w:rsidR="00E260BA" w:rsidRPr="009B4A73">
        <w:rPr>
          <w:sz w:val="22"/>
        </w:rPr>
        <w:t>n</w:t>
      </w:r>
      <w:r w:rsidR="0078763F" w:rsidRPr="009B4A73">
        <w:rPr>
          <w:sz w:val="22"/>
        </w:rPr>
        <w:t>eoadjuvant-</w:t>
      </w:r>
      <w:r w:rsidR="00E260BA" w:rsidRPr="009B4A73">
        <w:rPr>
          <w:sz w:val="22"/>
        </w:rPr>
        <w:t>a</w:t>
      </w:r>
      <w:r w:rsidR="0078763F" w:rsidRPr="009B4A73">
        <w:rPr>
          <w:sz w:val="22"/>
        </w:rPr>
        <w:t xml:space="preserve">djuvant </w:t>
      </w:r>
      <w:r w:rsidR="00E260BA" w:rsidRPr="009B4A73">
        <w:rPr>
          <w:sz w:val="22"/>
        </w:rPr>
        <w:t>c</w:t>
      </w:r>
      <w:r w:rsidR="0078763F" w:rsidRPr="009B4A73">
        <w:rPr>
          <w:sz w:val="22"/>
        </w:rPr>
        <w:t>hemotherapy</w:t>
      </w:r>
      <w:r w:rsidR="0078763F" w:rsidRPr="009B4A73">
        <w:rPr>
          <w:b/>
          <w:sz w:val="22"/>
        </w:rPr>
        <w:t xml:space="preserve"> </w:t>
      </w:r>
    </w:p>
    <w:p w14:paraId="0D349439" w14:textId="1535FF1C" w:rsidR="00D92EBC" w:rsidRPr="009B4A73" w:rsidRDefault="0078763F" w:rsidP="00316679">
      <w:pPr>
        <w:pStyle w:val="Heading4"/>
        <w:spacing w:after="0" w:line="240" w:lineRule="auto"/>
        <w:ind w:left="426"/>
        <w:rPr>
          <w:sz w:val="22"/>
        </w:rPr>
      </w:pPr>
      <w:r w:rsidRPr="009B4A73">
        <w:rPr>
          <w:b/>
          <w:sz w:val="22"/>
        </w:rPr>
        <w:t xml:space="preserve"> </w:t>
      </w:r>
    </w:p>
    <w:p w14:paraId="3526F3B9" w14:textId="29F2B225" w:rsidR="00D92EBC" w:rsidRPr="009B4A73" w:rsidRDefault="0078763F" w:rsidP="00316679">
      <w:pPr>
        <w:spacing w:after="0" w:line="240" w:lineRule="auto"/>
        <w:ind w:left="426" w:right="8"/>
        <w:rPr>
          <w:sz w:val="22"/>
        </w:rPr>
      </w:pPr>
      <w:r w:rsidRPr="009B4A73">
        <w:rPr>
          <w:sz w:val="22"/>
        </w:rPr>
        <w:t>The use of</w:t>
      </w:r>
      <w:r w:rsidR="00CE0B5E" w:rsidRPr="009B4A73">
        <w:rPr>
          <w:sz w:val="22"/>
        </w:rPr>
        <w:t xml:space="preserve"> </w:t>
      </w:r>
      <w:r w:rsidR="007D5B09" w:rsidRPr="009B4A73">
        <w:rPr>
          <w:sz w:val="22"/>
        </w:rPr>
        <w:t>trastuzumab</w:t>
      </w:r>
      <w:r w:rsidRPr="009B4A73">
        <w:rPr>
          <w:sz w:val="22"/>
        </w:rPr>
        <w:t xml:space="preserve"> for the neoadjuvant-adjuvant treatment of locally advanced breast cancer has been studied in Study MO16432 (NOAH), a multicentre randomized trial, designed to investigate the concurrent administration of</w:t>
      </w:r>
      <w:r w:rsidR="00CE0B5E" w:rsidRPr="009B4A73">
        <w:rPr>
          <w:sz w:val="22"/>
        </w:rPr>
        <w:t xml:space="preserve"> </w:t>
      </w:r>
      <w:r w:rsidR="007D5B09" w:rsidRPr="009B4A73">
        <w:rPr>
          <w:sz w:val="22"/>
        </w:rPr>
        <w:t>trastuzumab</w:t>
      </w:r>
      <w:r w:rsidRPr="009B4A73">
        <w:rPr>
          <w:sz w:val="22"/>
        </w:rPr>
        <w:t xml:space="preserve"> with neoadjuvant chemotherapy, including both an anthracycline and a </w:t>
      </w:r>
      <w:proofErr w:type="spellStart"/>
      <w:r w:rsidRPr="009B4A73">
        <w:rPr>
          <w:sz w:val="22"/>
        </w:rPr>
        <w:t>taxane</w:t>
      </w:r>
      <w:proofErr w:type="spellEnd"/>
      <w:r w:rsidRPr="009B4A73">
        <w:rPr>
          <w:sz w:val="22"/>
        </w:rPr>
        <w:t>, followed by adjuvant</w:t>
      </w:r>
      <w:r w:rsidR="00CE0B5E" w:rsidRPr="009B4A73">
        <w:rPr>
          <w:sz w:val="22"/>
        </w:rPr>
        <w:t xml:space="preserve"> </w:t>
      </w:r>
      <w:r w:rsidR="007D5B09" w:rsidRPr="009B4A73">
        <w:rPr>
          <w:sz w:val="22"/>
        </w:rPr>
        <w:t>trastuzumab</w:t>
      </w:r>
      <w:r w:rsidRPr="009B4A73">
        <w:rPr>
          <w:sz w:val="22"/>
        </w:rPr>
        <w:t>, up to a total treatment duration of 1 year. The trial recruited patients with newly diagnosed locally advanced (Stage III) or inflammatory breast cancer. Patients with HER2+ tumours were randomized to receive either neoadjuvant chemotherapy concurrently with neoadjuvant-</w:t>
      </w:r>
      <w:r w:rsidR="00285CB6" w:rsidRPr="009B4A73">
        <w:rPr>
          <w:sz w:val="22"/>
        </w:rPr>
        <w:t xml:space="preserve"> </w:t>
      </w:r>
      <w:r w:rsidRPr="009B4A73">
        <w:rPr>
          <w:sz w:val="22"/>
        </w:rPr>
        <w:t>adjuvant</w:t>
      </w:r>
      <w:r w:rsidR="00CE0B5E" w:rsidRPr="009B4A73">
        <w:rPr>
          <w:sz w:val="22"/>
        </w:rPr>
        <w:t xml:space="preserve"> </w:t>
      </w:r>
      <w:r w:rsidR="007D5B09" w:rsidRPr="009B4A73">
        <w:rPr>
          <w:sz w:val="22"/>
        </w:rPr>
        <w:t>trastuzumab</w:t>
      </w:r>
      <w:r w:rsidRPr="009B4A73">
        <w:rPr>
          <w:sz w:val="22"/>
        </w:rPr>
        <w:t xml:space="preserve"> (</w:t>
      </w:r>
      <w:r w:rsidRPr="009B4A73">
        <w:rPr>
          <w:i/>
          <w:sz w:val="22"/>
        </w:rPr>
        <w:t>n</w:t>
      </w:r>
      <w:r w:rsidRPr="009B4A73">
        <w:rPr>
          <w:sz w:val="22"/>
        </w:rPr>
        <w:t xml:space="preserve"> = 116), or neoadjuvant chemotherapy alone (n = 118).</w:t>
      </w:r>
    </w:p>
    <w:p w14:paraId="1AEE43D5" w14:textId="77777777" w:rsidR="00B36AE9" w:rsidRPr="009B4A73" w:rsidRDefault="00B36AE9" w:rsidP="00316679">
      <w:pPr>
        <w:spacing w:after="0" w:line="240" w:lineRule="auto"/>
        <w:ind w:left="426" w:right="8"/>
        <w:rPr>
          <w:sz w:val="22"/>
        </w:rPr>
      </w:pPr>
    </w:p>
    <w:p w14:paraId="3260CFB5" w14:textId="6C23437D" w:rsidR="00D92EBC" w:rsidRPr="009B4A73" w:rsidRDefault="00E260BA" w:rsidP="00316679">
      <w:pPr>
        <w:spacing w:after="0" w:line="240" w:lineRule="auto"/>
        <w:ind w:left="426" w:right="8"/>
        <w:rPr>
          <w:sz w:val="22"/>
        </w:rPr>
      </w:pPr>
      <w:r w:rsidRPr="009B4A73">
        <w:rPr>
          <w:sz w:val="22"/>
        </w:rPr>
        <w:t>Trastuzumab</w:t>
      </w:r>
      <w:r w:rsidR="0078763F" w:rsidRPr="009B4A73">
        <w:rPr>
          <w:sz w:val="22"/>
        </w:rPr>
        <w:t xml:space="preserve"> was administered concurrently with 10 cycles of neoadjuvant chemotherapy as </w:t>
      </w:r>
      <w:proofErr w:type="gramStart"/>
      <w:r w:rsidR="0078763F" w:rsidRPr="009B4A73">
        <w:rPr>
          <w:sz w:val="22"/>
        </w:rPr>
        <w:t>follows</w:t>
      </w:r>
      <w:r w:rsidRPr="009B4A73">
        <w:rPr>
          <w:sz w:val="22"/>
        </w:rPr>
        <w:t>;</w:t>
      </w:r>
      <w:proofErr w:type="gramEnd"/>
    </w:p>
    <w:p w14:paraId="278DF41F" w14:textId="77777777" w:rsidR="00B36AE9" w:rsidRPr="009B4A73" w:rsidRDefault="00B36AE9" w:rsidP="00316679">
      <w:pPr>
        <w:spacing w:after="0" w:line="240" w:lineRule="auto"/>
        <w:ind w:left="426" w:right="8"/>
        <w:rPr>
          <w:sz w:val="22"/>
        </w:rPr>
      </w:pPr>
    </w:p>
    <w:p w14:paraId="470D21E1" w14:textId="12A2DE09" w:rsidR="00D92EBC" w:rsidRPr="009B4A73" w:rsidRDefault="0078763F" w:rsidP="00E260BA">
      <w:pPr>
        <w:numPr>
          <w:ilvl w:val="0"/>
          <w:numId w:val="5"/>
        </w:numPr>
        <w:spacing w:after="16" w:line="240" w:lineRule="auto"/>
        <w:ind w:left="709" w:right="8" w:hanging="360"/>
        <w:rPr>
          <w:sz w:val="22"/>
        </w:rPr>
      </w:pPr>
      <w:r w:rsidRPr="009B4A73">
        <w:rPr>
          <w:sz w:val="22"/>
        </w:rPr>
        <w:t>Doxorubicin (60 mg/m</w:t>
      </w:r>
      <w:r w:rsidRPr="009B4A73">
        <w:rPr>
          <w:sz w:val="22"/>
          <w:vertAlign w:val="superscript"/>
        </w:rPr>
        <w:t>2</w:t>
      </w:r>
      <w:r w:rsidRPr="009B4A73">
        <w:rPr>
          <w:sz w:val="22"/>
        </w:rPr>
        <w:t>) and paclitaxel (150 mg/m</w:t>
      </w:r>
      <w:r w:rsidRPr="009B4A73">
        <w:rPr>
          <w:sz w:val="22"/>
          <w:vertAlign w:val="superscript"/>
        </w:rPr>
        <w:t>2</w:t>
      </w:r>
      <w:r w:rsidRPr="009B4A73">
        <w:rPr>
          <w:sz w:val="22"/>
        </w:rPr>
        <w:t>) in combination with</w:t>
      </w:r>
      <w:r w:rsidR="00CE0B5E" w:rsidRPr="009B4A73">
        <w:rPr>
          <w:sz w:val="22"/>
        </w:rPr>
        <w:t xml:space="preserve"> </w:t>
      </w:r>
      <w:r w:rsidR="007D5B09" w:rsidRPr="009B4A73">
        <w:rPr>
          <w:sz w:val="22"/>
        </w:rPr>
        <w:t>trastuzumab</w:t>
      </w:r>
      <w:r w:rsidRPr="009B4A73">
        <w:rPr>
          <w:sz w:val="22"/>
        </w:rPr>
        <w:t xml:space="preserve"> (8 mg/kg loading dose, followed by 6 mg/kg maintenance, administered 3-weekly) for 3 cycles, followed by </w:t>
      </w:r>
    </w:p>
    <w:p w14:paraId="5DD98762" w14:textId="07F46E00" w:rsidR="00D92EBC" w:rsidRPr="009B4A73" w:rsidRDefault="0078763F" w:rsidP="00E260BA">
      <w:pPr>
        <w:numPr>
          <w:ilvl w:val="0"/>
          <w:numId w:val="5"/>
        </w:numPr>
        <w:spacing w:after="0" w:line="240" w:lineRule="auto"/>
        <w:ind w:left="709" w:right="8" w:hanging="360"/>
        <w:rPr>
          <w:sz w:val="22"/>
        </w:rPr>
      </w:pPr>
      <w:r w:rsidRPr="009B4A73">
        <w:rPr>
          <w:sz w:val="22"/>
        </w:rPr>
        <w:t>Paclitaxel (175 mg/m</w:t>
      </w:r>
      <w:r w:rsidRPr="009B4A73">
        <w:rPr>
          <w:sz w:val="22"/>
          <w:vertAlign w:val="superscript"/>
        </w:rPr>
        <w:t>2</w:t>
      </w:r>
      <w:r w:rsidRPr="009B4A73">
        <w:rPr>
          <w:sz w:val="22"/>
        </w:rPr>
        <w:t>) and</w:t>
      </w:r>
      <w:r w:rsidR="00CE0B5E" w:rsidRPr="009B4A73">
        <w:rPr>
          <w:sz w:val="22"/>
        </w:rPr>
        <w:t xml:space="preserve"> </w:t>
      </w:r>
      <w:r w:rsidR="007D5B09" w:rsidRPr="009B4A73">
        <w:rPr>
          <w:sz w:val="22"/>
        </w:rPr>
        <w:t>trastuzumab</w:t>
      </w:r>
      <w:r w:rsidRPr="009B4A73">
        <w:rPr>
          <w:sz w:val="22"/>
        </w:rPr>
        <w:t xml:space="preserve"> (6mg/kg, administered 3-weekly) for 4 cycles, followed by </w:t>
      </w:r>
    </w:p>
    <w:p w14:paraId="7D2BA1D9" w14:textId="720DA3FE" w:rsidR="00D92EBC" w:rsidRPr="009B4A73" w:rsidRDefault="0078763F" w:rsidP="00E260BA">
      <w:pPr>
        <w:numPr>
          <w:ilvl w:val="0"/>
          <w:numId w:val="5"/>
        </w:numPr>
        <w:spacing w:after="10" w:line="240" w:lineRule="auto"/>
        <w:ind w:left="709" w:right="8" w:hanging="360"/>
        <w:rPr>
          <w:sz w:val="22"/>
        </w:rPr>
      </w:pPr>
      <w:r w:rsidRPr="009B4A73">
        <w:rPr>
          <w:sz w:val="22"/>
        </w:rPr>
        <w:t xml:space="preserve">CMF on day 1 and 8 every 4 weeks for 3 cycles, in combination with 4 cycles of </w:t>
      </w:r>
      <w:r w:rsidR="007D5B09" w:rsidRPr="009B4A73">
        <w:rPr>
          <w:sz w:val="22"/>
        </w:rPr>
        <w:t>trastuzumab</w:t>
      </w:r>
      <w:r w:rsidRPr="009B4A73">
        <w:rPr>
          <w:sz w:val="22"/>
        </w:rPr>
        <w:t xml:space="preserve">(6mg/kg administered 3-weekly), followed by </w:t>
      </w:r>
    </w:p>
    <w:p w14:paraId="0DED0D94" w14:textId="67AF76BB" w:rsidR="00D92EBC" w:rsidRPr="009B4A73" w:rsidRDefault="0078763F" w:rsidP="00E260BA">
      <w:pPr>
        <w:numPr>
          <w:ilvl w:val="0"/>
          <w:numId w:val="5"/>
        </w:numPr>
        <w:spacing w:after="0" w:line="240" w:lineRule="auto"/>
        <w:ind w:left="709" w:right="8" w:hanging="360"/>
        <w:rPr>
          <w:sz w:val="22"/>
        </w:rPr>
      </w:pPr>
      <w:r w:rsidRPr="009B4A73">
        <w:rPr>
          <w:sz w:val="22"/>
        </w:rPr>
        <w:t xml:space="preserve">up to 7 additional cycles of </w:t>
      </w:r>
      <w:r w:rsidR="007E3CC1" w:rsidRPr="009B4A73">
        <w:rPr>
          <w:sz w:val="22"/>
        </w:rPr>
        <w:t>trastuzumab</w:t>
      </w:r>
      <w:r w:rsidRPr="009B4A73">
        <w:rPr>
          <w:sz w:val="22"/>
        </w:rPr>
        <w:t xml:space="preserve"> (6mg/kg, administered 3-weekly) alone to complete 1 year after starting </w:t>
      </w:r>
      <w:r w:rsidR="00432C00" w:rsidRPr="009B4A73">
        <w:rPr>
          <w:sz w:val="22"/>
        </w:rPr>
        <w:t>trastuzumab</w:t>
      </w:r>
    </w:p>
    <w:p w14:paraId="7106AC4E" w14:textId="77777777" w:rsidR="00B36AE9" w:rsidRPr="009B4A73" w:rsidRDefault="00B36AE9" w:rsidP="00316679">
      <w:pPr>
        <w:spacing w:after="0" w:line="240" w:lineRule="auto"/>
        <w:ind w:left="426" w:right="8" w:firstLine="0"/>
        <w:rPr>
          <w:sz w:val="22"/>
        </w:rPr>
      </w:pPr>
    </w:p>
    <w:p w14:paraId="5A2E9119" w14:textId="183A95D0" w:rsidR="00D92EBC" w:rsidRPr="009B4A73" w:rsidRDefault="0078763F" w:rsidP="00E260BA">
      <w:pPr>
        <w:spacing w:after="0" w:line="240" w:lineRule="auto"/>
        <w:ind w:left="425" w:right="8"/>
        <w:rPr>
          <w:sz w:val="22"/>
        </w:rPr>
      </w:pPr>
      <w:r w:rsidRPr="009B4A73">
        <w:rPr>
          <w:sz w:val="22"/>
        </w:rPr>
        <w:t xml:space="preserve">The primary endpoint for the trial, event-free survival (EFS), was defined as the time from randomization to disease recurrence or progression (local, regional, </w:t>
      </w:r>
      <w:proofErr w:type="gramStart"/>
      <w:r w:rsidRPr="009B4A73">
        <w:rPr>
          <w:sz w:val="22"/>
        </w:rPr>
        <w:t>distant</w:t>
      </w:r>
      <w:proofErr w:type="gramEnd"/>
      <w:r w:rsidRPr="009B4A73">
        <w:rPr>
          <w:sz w:val="22"/>
        </w:rPr>
        <w:t xml:space="preserve"> or contralateral), or death of any cause. The efficacy results from NOAH (full analysis population, defined as all patients who were randomized in the trial following the intent-to-treat principle, </w:t>
      </w:r>
      <w:proofErr w:type="gramStart"/>
      <w:r w:rsidRPr="009B4A73">
        <w:rPr>
          <w:sz w:val="22"/>
        </w:rPr>
        <w:t>with the exception of</w:t>
      </w:r>
      <w:proofErr w:type="gramEnd"/>
      <w:r w:rsidRPr="009B4A73">
        <w:rPr>
          <w:sz w:val="22"/>
        </w:rPr>
        <w:t xml:space="preserve"> 3 patients whose data could not be evaluated) are summarized in the table below. The median duration of follow-up in the</w:t>
      </w:r>
      <w:r w:rsidR="00CE0B5E" w:rsidRPr="009B4A73">
        <w:rPr>
          <w:sz w:val="22"/>
        </w:rPr>
        <w:t xml:space="preserve"> </w:t>
      </w:r>
      <w:r w:rsidR="00432C00" w:rsidRPr="009B4A73">
        <w:rPr>
          <w:sz w:val="22"/>
        </w:rPr>
        <w:t>trastuzumab</w:t>
      </w:r>
      <w:r w:rsidRPr="009B4A73">
        <w:rPr>
          <w:sz w:val="22"/>
        </w:rPr>
        <w:t xml:space="preserve"> arm was 3.8 years.</w:t>
      </w:r>
    </w:p>
    <w:p w14:paraId="3BB26AFA" w14:textId="77777777" w:rsidR="00A35016" w:rsidRPr="009B4A73" w:rsidRDefault="00A35016" w:rsidP="00E260BA">
      <w:pPr>
        <w:spacing w:after="0" w:line="240" w:lineRule="auto"/>
        <w:ind w:left="425" w:right="8"/>
        <w:rPr>
          <w:sz w:val="22"/>
        </w:rPr>
      </w:pPr>
    </w:p>
    <w:p w14:paraId="47815DF9" w14:textId="6D96162E" w:rsidR="00D92EBC" w:rsidRPr="009B4A73" w:rsidRDefault="0078763F" w:rsidP="00E260BA">
      <w:pPr>
        <w:pStyle w:val="Heading2"/>
        <w:spacing w:after="0" w:line="240" w:lineRule="auto"/>
        <w:ind w:left="425"/>
        <w:rPr>
          <w:sz w:val="22"/>
        </w:rPr>
      </w:pPr>
      <w:r w:rsidRPr="009B4A73">
        <w:rPr>
          <w:sz w:val="22"/>
        </w:rPr>
        <w:t>Table 11:</w:t>
      </w:r>
      <w:r w:rsidR="008805AA" w:rsidRPr="009B4A73">
        <w:rPr>
          <w:sz w:val="22"/>
        </w:rPr>
        <w:t xml:space="preserve"> </w:t>
      </w:r>
      <w:r w:rsidRPr="009B4A73">
        <w:rPr>
          <w:sz w:val="22"/>
        </w:rPr>
        <w:t>Overview of Efficacy Analyses MO16432 (NOAH)</w:t>
      </w:r>
    </w:p>
    <w:p w14:paraId="23FDB4BC" w14:textId="77777777" w:rsidR="0059278B" w:rsidRPr="009B4A73" w:rsidRDefault="0059278B" w:rsidP="00E260BA">
      <w:pPr>
        <w:spacing w:after="0" w:line="240" w:lineRule="auto"/>
        <w:ind w:left="425" w:hanging="11"/>
        <w:rPr>
          <w:sz w:val="22"/>
          <w:szCs w:val="20"/>
        </w:rPr>
      </w:pPr>
    </w:p>
    <w:tbl>
      <w:tblPr>
        <w:tblStyle w:val="TableGrid"/>
        <w:tblW w:w="4742" w:type="pct"/>
        <w:tblInd w:w="421" w:type="dxa"/>
        <w:tblCellMar>
          <w:left w:w="57" w:type="dxa"/>
          <w:right w:w="57" w:type="dxa"/>
        </w:tblCellMar>
        <w:tblLook w:val="04A0" w:firstRow="1" w:lastRow="0" w:firstColumn="1" w:lastColumn="0" w:noHBand="0" w:noVBand="1"/>
      </w:tblPr>
      <w:tblGrid>
        <w:gridCol w:w="3383"/>
        <w:gridCol w:w="2327"/>
        <w:gridCol w:w="1292"/>
        <w:gridCol w:w="1248"/>
        <w:gridCol w:w="1671"/>
      </w:tblGrid>
      <w:tr w:rsidR="008353CB" w:rsidRPr="009B4A73" w14:paraId="0012E24A" w14:textId="77777777" w:rsidTr="008353CB">
        <w:trPr>
          <w:trHeight w:val="20"/>
        </w:trPr>
        <w:tc>
          <w:tcPr>
            <w:tcW w:w="1705" w:type="pct"/>
            <w:tcBorders>
              <w:top w:val="single" w:sz="4" w:space="0" w:color="000000"/>
              <w:left w:val="single" w:sz="4" w:space="0" w:color="000000"/>
              <w:bottom w:val="single" w:sz="6" w:space="0" w:color="000000"/>
              <w:right w:val="single" w:sz="6" w:space="0" w:color="000000"/>
            </w:tcBorders>
            <w:vAlign w:val="center"/>
          </w:tcPr>
          <w:p w14:paraId="48FEF6E4" w14:textId="450DE67C" w:rsidR="00D92EBC" w:rsidRPr="009B4A73" w:rsidRDefault="0078763F" w:rsidP="00E260BA">
            <w:pPr>
              <w:spacing w:after="0" w:line="240" w:lineRule="auto"/>
              <w:ind w:left="0" w:firstLine="0"/>
              <w:jc w:val="center"/>
              <w:rPr>
                <w:sz w:val="22"/>
              </w:rPr>
            </w:pPr>
            <w:r w:rsidRPr="009B4A73">
              <w:rPr>
                <w:b/>
                <w:sz w:val="22"/>
              </w:rPr>
              <w:t>Parameter</w:t>
            </w:r>
          </w:p>
        </w:tc>
        <w:tc>
          <w:tcPr>
            <w:tcW w:w="1173" w:type="pct"/>
            <w:tcBorders>
              <w:top w:val="single" w:sz="4" w:space="0" w:color="000000"/>
              <w:left w:val="single" w:sz="6" w:space="0" w:color="000000"/>
              <w:bottom w:val="single" w:sz="6" w:space="0" w:color="000000"/>
              <w:right w:val="single" w:sz="6" w:space="0" w:color="000000"/>
            </w:tcBorders>
            <w:vAlign w:val="center"/>
          </w:tcPr>
          <w:p w14:paraId="0553E436" w14:textId="0AA83C72" w:rsidR="00E260BA" w:rsidRPr="009B4A73" w:rsidRDefault="0078763F" w:rsidP="00E260BA">
            <w:pPr>
              <w:spacing w:after="0" w:line="240" w:lineRule="auto"/>
              <w:ind w:left="0" w:firstLine="0"/>
              <w:jc w:val="center"/>
              <w:rPr>
                <w:b/>
                <w:bCs/>
                <w:sz w:val="22"/>
              </w:rPr>
            </w:pPr>
            <w:r w:rsidRPr="009B4A73">
              <w:rPr>
                <w:b/>
                <w:sz w:val="22"/>
              </w:rPr>
              <w:t xml:space="preserve">Chemo + </w:t>
            </w:r>
            <w:r w:rsidR="00E260BA" w:rsidRPr="009B4A73">
              <w:rPr>
                <w:b/>
                <w:sz w:val="22"/>
              </w:rPr>
              <w:t>Trastuzumab</w:t>
            </w:r>
            <w:r w:rsidRPr="009B4A73">
              <w:rPr>
                <w:b/>
                <w:bCs/>
                <w:sz w:val="22"/>
              </w:rPr>
              <w:t xml:space="preserve"> </w:t>
            </w:r>
          </w:p>
          <w:p w14:paraId="78527612" w14:textId="3E05F34F" w:rsidR="00D92EBC" w:rsidRPr="009B4A73" w:rsidRDefault="0078763F" w:rsidP="00E260BA">
            <w:pPr>
              <w:spacing w:after="0" w:line="240" w:lineRule="auto"/>
              <w:ind w:left="0" w:firstLine="0"/>
              <w:jc w:val="center"/>
              <w:rPr>
                <w:sz w:val="22"/>
              </w:rPr>
            </w:pPr>
            <w:r w:rsidRPr="009B4A73">
              <w:rPr>
                <w:b/>
                <w:i/>
                <w:sz w:val="22"/>
              </w:rPr>
              <w:t>n</w:t>
            </w:r>
            <w:r w:rsidRPr="009B4A73">
              <w:rPr>
                <w:b/>
                <w:sz w:val="22"/>
              </w:rPr>
              <w:t xml:space="preserve"> = 115</w:t>
            </w:r>
          </w:p>
        </w:tc>
        <w:tc>
          <w:tcPr>
            <w:tcW w:w="651" w:type="pct"/>
            <w:tcBorders>
              <w:top w:val="single" w:sz="4" w:space="0" w:color="000000"/>
              <w:left w:val="single" w:sz="6" w:space="0" w:color="000000"/>
              <w:bottom w:val="single" w:sz="6" w:space="0" w:color="000000"/>
              <w:right w:val="single" w:sz="6" w:space="0" w:color="000000"/>
            </w:tcBorders>
            <w:vAlign w:val="center"/>
          </w:tcPr>
          <w:p w14:paraId="36E9C0A3" w14:textId="77777777" w:rsidR="00E260BA" w:rsidRPr="009B4A73" w:rsidRDefault="0078763F" w:rsidP="00E260BA">
            <w:pPr>
              <w:spacing w:after="0" w:line="240" w:lineRule="auto"/>
              <w:ind w:left="0" w:firstLine="0"/>
              <w:jc w:val="center"/>
              <w:rPr>
                <w:b/>
                <w:sz w:val="22"/>
              </w:rPr>
            </w:pPr>
            <w:r w:rsidRPr="009B4A73">
              <w:rPr>
                <w:b/>
                <w:sz w:val="22"/>
              </w:rPr>
              <w:t xml:space="preserve">Chemo only </w:t>
            </w:r>
          </w:p>
          <w:p w14:paraId="0E888A4D" w14:textId="71467454" w:rsidR="00D92EBC" w:rsidRPr="009B4A73" w:rsidRDefault="0078763F" w:rsidP="00E260BA">
            <w:pPr>
              <w:spacing w:after="0" w:line="240" w:lineRule="auto"/>
              <w:ind w:left="0" w:firstLine="0"/>
              <w:jc w:val="center"/>
              <w:rPr>
                <w:sz w:val="22"/>
              </w:rPr>
            </w:pPr>
            <w:r w:rsidRPr="009B4A73">
              <w:rPr>
                <w:b/>
                <w:i/>
                <w:sz w:val="22"/>
              </w:rPr>
              <w:t xml:space="preserve">n </w:t>
            </w:r>
            <w:r w:rsidRPr="009B4A73">
              <w:rPr>
                <w:b/>
                <w:sz w:val="22"/>
              </w:rPr>
              <w:t>= 116</w:t>
            </w:r>
          </w:p>
        </w:tc>
        <w:tc>
          <w:tcPr>
            <w:tcW w:w="629" w:type="pct"/>
            <w:tcBorders>
              <w:top w:val="single" w:sz="4" w:space="0" w:color="000000"/>
              <w:left w:val="single" w:sz="6" w:space="0" w:color="000000"/>
              <w:bottom w:val="single" w:sz="6" w:space="0" w:color="000000"/>
              <w:right w:val="single" w:sz="6" w:space="0" w:color="000000"/>
            </w:tcBorders>
            <w:vAlign w:val="center"/>
          </w:tcPr>
          <w:p w14:paraId="272E65E5" w14:textId="1BE946FE" w:rsidR="00D92EBC" w:rsidRPr="009B4A73" w:rsidRDefault="0078763F" w:rsidP="00E260BA">
            <w:pPr>
              <w:spacing w:after="0" w:line="240" w:lineRule="auto"/>
              <w:ind w:left="0" w:firstLine="0"/>
              <w:jc w:val="center"/>
              <w:rPr>
                <w:sz w:val="22"/>
              </w:rPr>
            </w:pPr>
            <w:r w:rsidRPr="009B4A73">
              <w:rPr>
                <w:b/>
                <w:sz w:val="22"/>
              </w:rPr>
              <w:t>p-value</w:t>
            </w:r>
          </w:p>
        </w:tc>
        <w:tc>
          <w:tcPr>
            <w:tcW w:w="842" w:type="pct"/>
            <w:tcBorders>
              <w:top w:val="single" w:sz="4" w:space="0" w:color="000000"/>
              <w:left w:val="single" w:sz="6" w:space="0" w:color="000000"/>
              <w:bottom w:val="single" w:sz="6" w:space="0" w:color="000000"/>
              <w:right w:val="single" w:sz="4" w:space="0" w:color="000000"/>
            </w:tcBorders>
            <w:vAlign w:val="center"/>
          </w:tcPr>
          <w:p w14:paraId="3A07C554" w14:textId="5F553651" w:rsidR="00D92EBC" w:rsidRPr="009B4A73" w:rsidRDefault="0078763F" w:rsidP="00E260BA">
            <w:pPr>
              <w:spacing w:after="0" w:line="240" w:lineRule="auto"/>
              <w:ind w:left="0" w:firstLine="0"/>
              <w:jc w:val="center"/>
              <w:rPr>
                <w:sz w:val="22"/>
              </w:rPr>
            </w:pPr>
            <w:r w:rsidRPr="009B4A73">
              <w:rPr>
                <w:b/>
                <w:sz w:val="22"/>
              </w:rPr>
              <w:t>HR</w:t>
            </w:r>
          </w:p>
          <w:p w14:paraId="5729F7C3" w14:textId="6311BC88" w:rsidR="00D92EBC" w:rsidRPr="009B4A73" w:rsidRDefault="0078763F" w:rsidP="00E260BA">
            <w:pPr>
              <w:spacing w:after="0" w:line="240" w:lineRule="auto"/>
              <w:ind w:left="0" w:firstLine="0"/>
              <w:jc w:val="center"/>
              <w:rPr>
                <w:sz w:val="22"/>
              </w:rPr>
            </w:pPr>
            <w:r w:rsidRPr="009B4A73">
              <w:rPr>
                <w:b/>
                <w:sz w:val="22"/>
              </w:rPr>
              <w:t>(95% CI)</w:t>
            </w:r>
          </w:p>
        </w:tc>
      </w:tr>
      <w:tr w:rsidR="008353CB" w:rsidRPr="009B4A73" w14:paraId="4E52B7BE" w14:textId="77777777" w:rsidTr="008353CB">
        <w:trPr>
          <w:trHeight w:val="20"/>
        </w:trPr>
        <w:tc>
          <w:tcPr>
            <w:tcW w:w="1705" w:type="pct"/>
            <w:tcBorders>
              <w:top w:val="single" w:sz="6" w:space="0" w:color="000000"/>
              <w:left w:val="single" w:sz="4" w:space="0" w:color="000000"/>
              <w:bottom w:val="single" w:sz="6" w:space="0" w:color="000000"/>
              <w:right w:val="single" w:sz="6" w:space="0" w:color="000000"/>
            </w:tcBorders>
            <w:vAlign w:val="center"/>
          </w:tcPr>
          <w:p w14:paraId="1BE81214" w14:textId="77777777" w:rsidR="00E260BA" w:rsidRPr="009B4A73" w:rsidRDefault="0078763F" w:rsidP="00E260BA">
            <w:pPr>
              <w:spacing w:after="0" w:line="240" w:lineRule="auto"/>
              <w:ind w:left="0" w:firstLine="0"/>
              <w:rPr>
                <w:b/>
                <w:sz w:val="22"/>
              </w:rPr>
            </w:pPr>
            <w:r w:rsidRPr="009B4A73">
              <w:rPr>
                <w:b/>
                <w:sz w:val="22"/>
                <w:u w:val="single" w:color="000000"/>
              </w:rPr>
              <w:t>Event-free survival (EFS)</w:t>
            </w:r>
            <w:r w:rsidRPr="009B4A73">
              <w:rPr>
                <w:b/>
                <w:sz w:val="22"/>
              </w:rPr>
              <w:t xml:space="preserve"> </w:t>
            </w:r>
          </w:p>
          <w:p w14:paraId="6F7FDA51" w14:textId="7B919AAE" w:rsidR="00D92EBC" w:rsidRPr="009B4A73" w:rsidRDefault="0078763F" w:rsidP="00E260BA">
            <w:pPr>
              <w:spacing w:after="0" w:line="240" w:lineRule="auto"/>
              <w:ind w:left="0" w:firstLine="0"/>
              <w:rPr>
                <w:sz w:val="22"/>
              </w:rPr>
            </w:pPr>
            <w:r w:rsidRPr="009B4A73">
              <w:rPr>
                <w:sz w:val="22"/>
              </w:rPr>
              <w:t>No. patients with event</w:t>
            </w:r>
          </w:p>
        </w:tc>
        <w:tc>
          <w:tcPr>
            <w:tcW w:w="1173" w:type="pct"/>
            <w:tcBorders>
              <w:top w:val="single" w:sz="6" w:space="0" w:color="000000"/>
              <w:left w:val="single" w:sz="6" w:space="0" w:color="000000"/>
              <w:bottom w:val="single" w:sz="6" w:space="0" w:color="000000"/>
              <w:right w:val="single" w:sz="6" w:space="0" w:color="000000"/>
            </w:tcBorders>
            <w:vAlign w:val="center"/>
          </w:tcPr>
          <w:p w14:paraId="409F658C" w14:textId="68397DF4" w:rsidR="00D92EBC" w:rsidRPr="009B4A73" w:rsidRDefault="0078763F" w:rsidP="00E260BA">
            <w:pPr>
              <w:spacing w:after="0" w:line="240" w:lineRule="auto"/>
              <w:ind w:left="0" w:firstLine="0"/>
              <w:jc w:val="center"/>
              <w:rPr>
                <w:sz w:val="22"/>
              </w:rPr>
            </w:pPr>
            <w:r w:rsidRPr="009B4A73">
              <w:rPr>
                <w:sz w:val="22"/>
              </w:rPr>
              <w:t>46</w:t>
            </w:r>
          </w:p>
        </w:tc>
        <w:tc>
          <w:tcPr>
            <w:tcW w:w="651" w:type="pct"/>
            <w:tcBorders>
              <w:top w:val="single" w:sz="6" w:space="0" w:color="000000"/>
              <w:left w:val="single" w:sz="6" w:space="0" w:color="000000"/>
              <w:bottom w:val="single" w:sz="6" w:space="0" w:color="000000"/>
              <w:right w:val="single" w:sz="6" w:space="0" w:color="000000"/>
            </w:tcBorders>
            <w:vAlign w:val="center"/>
          </w:tcPr>
          <w:p w14:paraId="408A223E" w14:textId="6042AD6A" w:rsidR="00D92EBC" w:rsidRPr="009B4A73" w:rsidRDefault="0078763F" w:rsidP="00E260BA">
            <w:pPr>
              <w:spacing w:after="0" w:line="240" w:lineRule="auto"/>
              <w:ind w:left="0" w:firstLine="0"/>
              <w:jc w:val="center"/>
              <w:rPr>
                <w:sz w:val="22"/>
              </w:rPr>
            </w:pPr>
            <w:r w:rsidRPr="009B4A73">
              <w:rPr>
                <w:sz w:val="22"/>
              </w:rPr>
              <w:t>59</w:t>
            </w:r>
          </w:p>
        </w:tc>
        <w:tc>
          <w:tcPr>
            <w:tcW w:w="629" w:type="pct"/>
            <w:tcBorders>
              <w:top w:val="single" w:sz="6" w:space="0" w:color="000000"/>
              <w:left w:val="single" w:sz="6" w:space="0" w:color="000000"/>
              <w:bottom w:val="single" w:sz="6" w:space="0" w:color="000000"/>
              <w:right w:val="single" w:sz="6" w:space="0" w:color="000000"/>
            </w:tcBorders>
            <w:vAlign w:val="center"/>
          </w:tcPr>
          <w:p w14:paraId="43654C6E" w14:textId="1E7BDB4F" w:rsidR="00D92EBC" w:rsidRPr="009B4A73" w:rsidRDefault="0078763F" w:rsidP="00E260BA">
            <w:pPr>
              <w:spacing w:after="0" w:line="240" w:lineRule="auto"/>
              <w:ind w:left="0" w:firstLine="0"/>
              <w:jc w:val="center"/>
              <w:rPr>
                <w:sz w:val="22"/>
              </w:rPr>
            </w:pPr>
            <w:r w:rsidRPr="009B4A73">
              <w:rPr>
                <w:sz w:val="22"/>
              </w:rPr>
              <w:t>p = 0.0275</w:t>
            </w:r>
          </w:p>
        </w:tc>
        <w:tc>
          <w:tcPr>
            <w:tcW w:w="842" w:type="pct"/>
            <w:tcBorders>
              <w:top w:val="single" w:sz="6" w:space="0" w:color="000000"/>
              <w:left w:val="single" w:sz="6" w:space="0" w:color="000000"/>
              <w:bottom w:val="single" w:sz="6" w:space="0" w:color="000000"/>
              <w:right w:val="single" w:sz="4" w:space="0" w:color="000000"/>
            </w:tcBorders>
            <w:vAlign w:val="center"/>
          </w:tcPr>
          <w:p w14:paraId="346CD5CC" w14:textId="5E22511A" w:rsidR="00D92EBC" w:rsidRPr="009B4A73" w:rsidRDefault="0078763F" w:rsidP="00E260BA">
            <w:pPr>
              <w:spacing w:after="0" w:line="240" w:lineRule="auto"/>
              <w:ind w:left="0" w:firstLine="0"/>
              <w:jc w:val="center"/>
              <w:rPr>
                <w:sz w:val="22"/>
              </w:rPr>
            </w:pPr>
            <w:r w:rsidRPr="009B4A73">
              <w:rPr>
                <w:sz w:val="22"/>
              </w:rPr>
              <w:t>0.65 (0.44, 0.96)</w:t>
            </w:r>
          </w:p>
        </w:tc>
      </w:tr>
      <w:tr w:rsidR="008353CB" w:rsidRPr="009B4A73" w14:paraId="153EF4FE" w14:textId="77777777" w:rsidTr="008353CB">
        <w:trPr>
          <w:trHeight w:val="20"/>
        </w:trPr>
        <w:tc>
          <w:tcPr>
            <w:tcW w:w="1705" w:type="pct"/>
            <w:tcBorders>
              <w:top w:val="single" w:sz="6" w:space="0" w:color="000000"/>
              <w:left w:val="single" w:sz="4" w:space="0" w:color="000000"/>
              <w:bottom w:val="single" w:sz="4" w:space="0" w:color="000000"/>
              <w:right w:val="single" w:sz="6" w:space="0" w:color="000000"/>
            </w:tcBorders>
            <w:vAlign w:val="center"/>
          </w:tcPr>
          <w:p w14:paraId="565FDC8C" w14:textId="658E3D5E" w:rsidR="00D92EBC" w:rsidRPr="009B4A73" w:rsidRDefault="0078763F" w:rsidP="00E260BA">
            <w:pPr>
              <w:spacing w:after="0" w:line="240" w:lineRule="auto"/>
              <w:ind w:left="0" w:firstLine="0"/>
              <w:rPr>
                <w:sz w:val="22"/>
              </w:rPr>
            </w:pPr>
            <w:r w:rsidRPr="009B4A73">
              <w:rPr>
                <w:b/>
                <w:sz w:val="22"/>
                <w:u w:val="single" w:color="000000"/>
              </w:rPr>
              <w:t>Total pathological complete</w:t>
            </w:r>
            <w:r w:rsidRPr="009B4A73">
              <w:rPr>
                <w:b/>
                <w:sz w:val="22"/>
              </w:rPr>
              <w:t xml:space="preserve"> </w:t>
            </w:r>
            <w:r w:rsidRPr="009B4A73">
              <w:rPr>
                <w:b/>
                <w:sz w:val="22"/>
                <w:u w:val="single" w:color="000000"/>
              </w:rPr>
              <w:t>response^</w:t>
            </w:r>
            <w:r w:rsidRPr="009B4A73">
              <w:rPr>
                <w:sz w:val="22"/>
              </w:rPr>
              <w:t xml:space="preserve"> (95% CI)</w:t>
            </w:r>
          </w:p>
        </w:tc>
        <w:tc>
          <w:tcPr>
            <w:tcW w:w="1173" w:type="pct"/>
            <w:tcBorders>
              <w:top w:val="single" w:sz="6" w:space="0" w:color="000000"/>
              <w:left w:val="single" w:sz="6" w:space="0" w:color="000000"/>
              <w:bottom w:val="single" w:sz="4" w:space="0" w:color="000000"/>
              <w:right w:val="single" w:sz="6" w:space="0" w:color="000000"/>
            </w:tcBorders>
            <w:vAlign w:val="center"/>
          </w:tcPr>
          <w:p w14:paraId="369CCF9C" w14:textId="1CD520B5" w:rsidR="00D92EBC" w:rsidRPr="009B4A73" w:rsidRDefault="0078763F" w:rsidP="00E260BA">
            <w:pPr>
              <w:spacing w:after="0" w:line="240" w:lineRule="auto"/>
              <w:ind w:left="0" w:firstLine="0"/>
              <w:jc w:val="center"/>
              <w:rPr>
                <w:sz w:val="22"/>
              </w:rPr>
            </w:pPr>
            <w:r w:rsidRPr="009B4A73">
              <w:rPr>
                <w:sz w:val="22"/>
              </w:rPr>
              <w:t>40%</w:t>
            </w:r>
          </w:p>
          <w:p w14:paraId="38D56AF7" w14:textId="37548643" w:rsidR="00D92EBC" w:rsidRPr="009B4A73" w:rsidRDefault="0078763F" w:rsidP="00E260BA">
            <w:pPr>
              <w:spacing w:after="0" w:line="240" w:lineRule="auto"/>
              <w:ind w:left="0" w:firstLine="0"/>
              <w:jc w:val="center"/>
              <w:rPr>
                <w:sz w:val="22"/>
              </w:rPr>
            </w:pPr>
            <w:r w:rsidRPr="009B4A73">
              <w:rPr>
                <w:sz w:val="22"/>
              </w:rPr>
              <w:t>(31.0, 49.6)</w:t>
            </w:r>
          </w:p>
        </w:tc>
        <w:tc>
          <w:tcPr>
            <w:tcW w:w="651" w:type="pct"/>
            <w:tcBorders>
              <w:top w:val="single" w:sz="6" w:space="0" w:color="000000"/>
              <w:left w:val="single" w:sz="6" w:space="0" w:color="000000"/>
              <w:bottom w:val="single" w:sz="4" w:space="0" w:color="000000"/>
              <w:right w:val="single" w:sz="6" w:space="0" w:color="000000"/>
            </w:tcBorders>
            <w:vAlign w:val="center"/>
          </w:tcPr>
          <w:p w14:paraId="6E7550A8" w14:textId="40AF8F42" w:rsidR="00D92EBC" w:rsidRPr="009B4A73" w:rsidRDefault="0078763F" w:rsidP="00E260BA">
            <w:pPr>
              <w:spacing w:after="0" w:line="240" w:lineRule="auto"/>
              <w:ind w:left="0" w:firstLine="0"/>
              <w:jc w:val="center"/>
              <w:rPr>
                <w:sz w:val="22"/>
              </w:rPr>
            </w:pPr>
            <w:r w:rsidRPr="009B4A73">
              <w:rPr>
                <w:sz w:val="22"/>
              </w:rPr>
              <w:t>20.7%</w:t>
            </w:r>
          </w:p>
          <w:p w14:paraId="25A42F73" w14:textId="2A17A56E" w:rsidR="00D92EBC" w:rsidRPr="009B4A73" w:rsidRDefault="0078763F" w:rsidP="00E260BA">
            <w:pPr>
              <w:spacing w:after="0" w:line="240" w:lineRule="auto"/>
              <w:ind w:left="0" w:firstLine="0"/>
              <w:jc w:val="center"/>
              <w:rPr>
                <w:sz w:val="22"/>
              </w:rPr>
            </w:pPr>
            <w:r w:rsidRPr="009B4A73">
              <w:rPr>
                <w:sz w:val="22"/>
              </w:rPr>
              <w:t>(13.7, 29.2)</w:t>
            </w:r>
          </w:p>
        </w:tc>
        <w:tc>
          <w:tcPr>
            <w:tcW w:w="629" w:type="pct"/>
            <w:tcBorders>
              <w:top w:val="single" w:sz="6" w:space="0" w:color="000000"/>
              <w:left w:val="single" w:sz="6" w:space="0" w:color="000000"/>
              <w:bottom w:val="single" w:sz="4" w:space="0" w:color="000000"/>
              <w:right w:val="single" w:sz="6" w:space="0" w:color="000000"/>
            </w:tcBorders>
            <w:vAlign w:val="center"/>
          </w:tcPr>
          <w:p w14:paraId="3E28B0F9" w14:textId="6718CE97" w:rsidR="00D92EBC" w:rsidRPr="009B4A73" w:rsidRDefault="0078763F" w:rsidP="00E260BA">
            <w:pPr>
              <w:spacing w:after="0" w:line="240" w:lineRule="auto"/>
              <w:ind w:left="0" w:firstLine="0"/>
              <w:jc w:val="center"/>
              <w:rPr>
                <w:sz w:val="22"/>
              </w:rPr>
            </w:pPr>
            <w:r w:rsidRPr="009B4A73">
              <w:rPr>
                <w:sz w:val="22"/>
              </w:rPr>
              <w:t>p = 0.0014</w:t>
            </w:r>
          </w:p>
        </w:tc>
        <w:tc>
          <w:tcPr>
            <w:tcW w:w="842" w:type="pct"/>
            <w:tcBorders>
              <w:top w:val="single" w:sz="6" w:space="0" w:color="000000"/>
              <w:left w:val="single" w:sz="6" w:space="0" w:color="000000"/>
              <w:bottom w:val="single" w:sz="4" w:space="0" w:color="000000"/>
              <w:right w:val="single" w:sz="4" w:space="0" w:color="000000"/>
            </w:tcBorders>
            <w:vAlign w:val="center"/>
          </w:tcPr>
          <w:p w14:paraId="3A1A125B" w14:textId="3DBA58DD" w:rsidR="00D92EBC" w:rsidRPr="009B4A73" w:rsidRDefault="00D92EBC" w:rsidP="00E260BA">
            <w:pPr>
              <w:spacing w:after="0" w:line="240" w:lineRule="auto"/>
              <w:ind w:left="0" w:firstLine="0"/>
              <w:jc w:val="center"/>
              <w:rPr>
                <w:sz w:val="22"/>
              </w:rPr>
            </w:pPr>
          </w:p>
        </w:tc>
      </w:tr>
    </w:tbl>
    <w:p w14:paraId="2B497623" w14:textId="46BED44F" w:rsidR="00D92EBC" w:rsidRPr="009B4A73" w:rsidRDefault="0078763F" w:rsidP="008353CB">
      <w:pPr>
        <w:spacing w:after="0" w:line="240" w:lineRule="auto"/>
        <w:ind w:left="426"/>
        <w:rPr>
          <w:sz w:val="20"/>
          <w:szCs w:val="20"/>
        </w:rPr>
      </w:pPr>
      <w:r w:rsidRPr="009B4A73">
        <w:rPr>
          <w:sz w:val="20"/>
          <w:szCs w:val="20"/>
        </w:rPr>
        <w:t xml:space="preserve">^ defined as absence of any invasive cancer both in the breast and axillary nodes; HR: hazard ratio </w:t>
      </w:r>
    </w:p>
    <w:p w14:paraId="21E3AC39" w14:textId="77777777" w:rsidR="00A35016" w:rsidRPr="009B4A73" w:rsidRDefault="00A35016" w:rsidP="00316679">
      <w:pPr>
        <w:spacing w:after="0" w:line="240" w:lineRule="auto"/>
        <w:ind w:left="426"/>
        <w:rPr>
          <w:sz w:val="22"/>
        </w:rPr>
      </w:pPr>
    </w:p>
    <w:p w14:paraId="3C45E998" w14:textId="6DCC83BC" w:rsidR="00D92EBC" w:rsidRPr="009B4A73" w:rsidRDefault="0078763F" w:rsidP="00316679">
      <w:pPr>
        <w:spacing w:after="0" w:line="240" w:lineRule="auto"/>
        <w:ind w:left="426" w:right="8"/>
        <w:rPr>
          <w:sz w:val="22"/>
        </w:rPr>
      </w:pPr>
      <w:r w:rsidRPr="009B4A73">
        <w:rPr>
          <w:sz w:val="22"/>
        </w:rPr>
        <w:t>The addition of</w:t>
      </w:r>
      <w:r w:rsidR="00CE0B5E" w:rsidRPr="009B4A73">
        <w:rPr>
          <w:sz w:val="22"/>
        </w:rPr>
        <w:t xml:space="preserve"> </w:t>
      </w:r>
      <w:r w:rsidR="00CF3A6F" w:rsidRPr="009B4A73">
        <w:rPr>
          <w:sz w:val="22"/>
        </w:rPr>
        <w:t>trastuzumab</w:t>
      </w:r>
      <w:r w:rsidRPr="009B4A73">
        <w:rPr>
          <w:sz w:val="22"/>
        </w:rPr>
        <w:t xml:space="preserve"> to neoadjuvant chemotherapy, followed by adjuvant</w:t>
      </w:r>
      <w:r w:rsidR="00CE0B5E" w:rsidRPr="009B4A73">
        <w:rPr>
          <w:sz w:val="22"/>
        </w:rPr>
        <w:t xml:space="preserve"> </w:t>
      </w:r>
      <w:r w:rsidR="00CF3A6F" w:rsidRPr="009B4A73">
        <w:rPr>
          <w:sz w:val="22"/>
        </w:rPr>
        <w:t>trastuzumab</w:t>
      </w:r>
      <w:r w:rsidRPr="009B4A73">
        <w:rPr>
          <w:sz w:val="22"/>
        </w:rPr>
        <w:t xml:space="preserve"> for a total duration of 52 weeks, resulted in a 35% reduction in the risk of disease recurrence/progression. The hazard ratio translates into an absolute benefit, in terms of 3-year event-free survival rate estimates of 13 percentage points (65 % vs. 52 %) in favour of the</w:t>
      </w:r>
      <w:r w:rsidR="00CE0B5E" w:rsidRPr="009B4A73">
        <w:rPr>
          <w:sz w:val="22"/>
        </w:rPr>
        <w:t xml:space="preserve"> </w:t>
      </w:r>
      <w:r w:rsidR="00CF3A6F" w:rsidRPr="009B4A73">
        <w:rPr>
          <w:sz w:val="22"/>
        </w:rPr>
        <w:t>trastuzumab</w:t>
      </w:r>
      <w:r w:rsidRPr="009B4A73">
        <w:rPr>
          <w:sz w:val="22"/>
        </w:rPr>
        <w:t xml:space="preserve"> arm.</w:t>
      </w:r>
    </w:p>
    <w:p w14:paraId="2255455D" w14:textId="77777777" w:rsidR="00A35016" w:rsidRPr="009B4A73" w:rsidRDefault="00A35016" w:rsidP="00316679">
      <w:pPr>
        <w:spacing w:after="0" w:line="240" w:lineRule="auto"/>
        <w:ind w:left="426" w:right="8"/>
        <w:rPr>
          <w:sz w:val="22"/>
        </w:rPr>
      </w:pPr>
    </w:p>
    <w:p w14:paraId="4F60D767" w14:textId="0082E9BE" w:rsidR="00A35016" w:rsidRPr="009B4A73" w:rsidRDefault="0078763F" w:rsidP="00316679">
      <w:pPr>
        <w:spacing w:after="0" w:line="240" w:lineRule="auto"/>
        <w:ind w:left="426" w:right="8"/>
        <w:rPr>
          <w:sz w:val="22"/>
        </w:rPr>
      </w:pPr>
      <w:r w:rsidRPr="009B4A73">
        <w:rPr>
          <w:sz w:val="22"/>
        </w:rPr>
        <w:lastRenderedPageBreak/>
        <w:t>To date, results are not available comparing the efficacy of</w:t>
      </w:r>
      <w:r w:rsidR="00CE0B5E" w:rsidRPr="009B4A73">
        <w:rPr>
          <w:sz w:val="22"/>
        </w:rPr>
        <w:t xml:space="preserve"> </w:t>
      </w:r>
      <w:r w:rsidR="00CF3A6F" w:rsidRPr="009B4A73">
        <w:rPr>
          <w:sz w:val="22"/>
        </w:rPr>
        <w:t>trastuzumab</w:t>
      </w:r>
      <w:r w:rsidRPr="009B4A73">
        <w:rPr>
          <w:sz w:val="22"/>
        </w:rPr>
        <w:t xml:space="preserve"> administered with chemotherapy in the adjuvant setting with that obtained in the neoadjuvant/adjuvant setting</w:t>
      </w:r>
    </w:p>
    <w:p w14:paraId="611F2DA1" w14:textId="3C52CBCA" w:rsidR="00D92EBC" w:rsidRPr="009B4A73" w:rsidRDefault="0078763F" w:rsidP="00316679">
      <w:pPr>
        <w:spacing w:after="0" w:line="240" w:lineRule="auto"/>
        <w:ind w:left="426" w:right="8"/>
        <w:rPr>
          <w:sz w:val="22"/>
        </w:rPr>
      </w:pPr>
      <w:r w:rsidRPr="009B4A73">
        <w:rPr>
          <w:sz w:val="22"/>
        </w:rPr>
        <w:t xml:space="preserve"> </w:t>
      </w:r>
    </w:p>
    <w:p w14:paraId="04266949" w14:textId="2DD0ADFD" w:rsidR="00D92EBC" w:rsidRPr="009B4A73" w:rsidRDefault="0078763F" w:rsidP="00316679">
      <w:pPr>
        <w:pStyle w:val="Heading3"/>
        <w:spacing w:after="0" w:line="240" w:lineRule="auto"/>
        <w:ind w:left="426" w:right="1296"/>
        <w:rPr>
          <w:i/>
          <w:iCs/>
          <w:sz w:val="22"/>
          <w:u w:val="none"/>
        </w:rPr>
      </w:pPr>
      <w:r w:rsidRPr="009B4A73">
        <w:rPr>
          <w:i/>
          <w:iCs/>
          <w:sz w:val="22"/>
        </w:rPr>
        <w:t xml:space="preserve">Metastatic </w:t>
      </w:r>
      <w:r w:rsidR="008353CB" w:rsidRPr="009B4A73">
        <w:rPr>
          <w:i/>
          <w:iCs/>
          <w:sz w:val="22"/>
        </w:rPr>
        <w:t>b</w:t>
      </w:r>
      <w:r w:rsidRPr="009B4A73">
        <w:rPr>
          <w:i/>
          <w:iCs/>
          <w:sz w:val="22"/>
        </w:rPr>
        <w:t xml:space="preserve">reast </w:t>
      </w:r>
      <w:r w:rsidR="008353CB" w:rsidRPr="009B4A73">
        <w:rPr>
          <w:i/>
          <w:iCs/>
          <w:sz w:val="22"/>
        </w:rPr>
        <w:t>c</w:t>
      </w:r>
      <w:r w:rsidRPr="009B4A73">
        <w:rPr>
          <w:i/>
          <w:iCs/>
          <w:sz w:val="22"/>
        </w:rPr>
        <w:t>ancer</w:t>
      </w:r>
      <w:r w:rsidRPr="009B4A73">
        <w:rPr>
          <w:i/>
          <w:iCs/>
          <w:sz w:val="22"/>
          <w:u w:val="none"/>
        </w:rPr>
        <w:t xml:space="preserve"> </w:t>
      </w:r>
    </w:p>
    <w:p w14:paraId="63727893" w14:textId="77777777" w:rsidR="00A35016" w:rsidRPr="009B4A73" w:rsidRDefault="00A35016" w:rsidP="00316679">
      <w:pPr>
        <w:spacing w:after="0" w:line="240" w:lineRule="auto"/>
        <w:ind w:left="426"/>
        <w:rPr>
          <w:sz w:val="22"/>
        </w:rPr>
      </w:pPr>
    </w:p>
    <w:p w14:paraId="50A1C94B" w14:textId="795C8DD1" w:rsidR="00D92EBC" w:rsidRPr="009B4A73" w:rsidRDefault="0078763F" w:rsidP="00316679">
      <w:pPr>
        <w:spacing w:after="0" w:line="240" w:lineRule="auto"/>
        <w:ind w:left="426" w:right="8"/>
        <w:rPr>
          <w:sz w:val="22"/>
        </w:rPr>
      </w:pPr>
      <w:r w:rsidRPr="009B4A73">
        <w:rPr>
          <w:sz w:val="22"/>
        </w:rPr>
        <w:t>There are no data available to establish the efficacy of</w:t>
      </w:r>
      <w:r w:rsidR="00CE0B5E" w:rsidRPr="009B4A73">
        <w:rPr>
          <w:sz w:val="22"/>
        </w:rPr>
        <w:t xml:space="preserve"> </w:t>
      </w:r>
      <w:r w:rsidR="00CF3A6F" w:rsidRPr="009B4A73">
        <w:rPr>
          <w:sz w:val="22"/>
        </w:rPr>
        <w:t>trastuzumab</w:t>
      </w:r>
      <w:r w:rsidRPr="009B4A73">
        <w:rPr>
          <w:sz w:val="22"/>
        </w:rPr>
        <w:t xml:space="preserve"> for the treatment of metastatic disease in patients who have previously received the medicine for the treatment of early disease</w:t>
      </w:r>
      <w:r w:rsidR="0006311F" w:rsidRPr="009B4A73">
        <w:rPr>
          <w:sz w:val="22"/>
        </w:rPr>
        <w:t>.</w:t>
      </w:r>
    </w:p>
    <w:p w14:paraId="25CB82BC" w14:textId="77777777" w:rsidR="008353CB" w:rsidRPr="009B4A73" w:rsidRDefault="008353CB" w:rsidP="00316679">
      <w:pPr>
        <w:spacing w:after="0" w:line="240" w:lineRule="auto"/>
        <w:ind w:left="426" w:right="8"/>
        <w:rPr>
          <w:sz w:val="22"/>
        </w:rPr>
      </w:pPr>
    </w:p>
    <w:p w14:paraId="69B42FCA" w14:textId="5E188E5F" w:rsidR="00D92EBC" w:rsidRPr="009B4A73" w:rsidRDefault="0078763F" w:rsidP="00316679">
      <w:pPr>
        <w:spacing w:after="0" w:line="240" w:lineRule="auto"/>
        <w:ind w:left="426" w:right="8"/>
        <w:rPr>
          <w:sz w:val="22"/>
        </w:rPr>
      </w:pPr>
      <w:r w:rsidRPr="009B4A73">
        <w:rPr>
          <w:sz w:val="22"/>
        </w:rPr>
        <w:t>The safety and efficacy of</w:t>
      </w:r>
      <w:r w:rsidR="00CE0B5E" w:rsidRPr="009B4A73">
        <w:rPr>
          <w:sz w:val="22"/>
        </w:rPr>
        <w:t xml:space="preserve"> </w:t>
      </w:r>
      <w:r w:rsidR="00CF3A6F" w:rsidRPr="009B4A73">
        <w:rPr>
          <w:sz w:val="22"/>
        </w:rPr>
        <w:t>trastuzumab</w:t>
      </w:r>
      <w:r w:rsidRPr="009B4A73">
        <w:rPr>
          <w:sz w:val="22"/>
        </w:rPr>
        <w:t xml:space="preserve"> has been studied in randomized, controlled clinical trials in combination with chemotherapy (Studies H0648g, M77001 and </w:t>
      </w:r>
      <w:proofErr w:type="spellStart"/>
      <w:r w:rsidRPr="009B4A73">
        <w:rPr>
          <w:sz w:val="22"/>
        </w:rPr>
        <w:t>TaNDEM</w:t>
      </w:r>
      <w:proofErr w:type="spellEnd"/>
      <w:r w:rsidRPr="009B4A73">
        <w:rPr>
          <w:sz w:val="22"/>
        </w:rPr>
        <w:t>) and in an open-label monotherapy clinical trial (Study H0649g) for the treatment of metastatic breast cancer.</w:t>
      </w:r>
      <w:r w:rsidR="008805AA" w:rsidRPr="009B4A73">
        <w:rPr>
          <w:sz w:val="22"/>
        </w:rPr>
        <w:t xml:space="preserve"> </w:t>
      </w:r>
      <w:r w:rsidRPr="009B4A73">
        <w:rPr>
          <w:sz w:val="22"/>
        </w:rPr>
        <w:t>All trials studied patients with metastatic breast cancer whose tumours overexpress HER2.</w:t>
      </w:r>
      <w:r w:rsidR="008805AA" w:rsidRPr="009B4A73">
        <w:rPr>
          <w:sz w:val="22"/>
        </w:rPr>
        <w:t xml:space="preserve"> </w:t>
      </w:r>
      <w:r w:rsidRPr="009B4A73">
        <w:rPr>
          <w:sz w:val="22"/>
        </w:rPr>
        <w:t xml:space="preserve">Patients were eligible if they had 2+ or 3+ levels of overexpression based on a 0 - 3+ scale by immunohistochemical (IHC) assessment of tumour tissue or whose tumours have HER2 gene amplification as determined by Fluorescence </w:t>
      </w:r>
      <w:proofErr w:type="gramStart"/>
      <w:r w:rsidRPr="009B4A73">
        <w:rPr>
          <w:sz w:val="22"/>
        </w:rPr>
        <w:t>In</w:t>
      </w:r>
      <w:proofErr w:type="gramEnd"/>
      <w:r w:rsidRPr="009B4A73">
        <w:rPr>
          <w:sz w:val="22"/>
        </w:rPr>
        <w:t xml:space="preserve"> Situ Hybridization (FISH) test (see section 4.2 Dose and </w:t>
      </w:r>
      <w:r w:rsidR="00F94AD5" w:rsidRPr="009B4A73">
        <w:rPr>
          <w:sz w:val="22"/>
        </w:rPr>
        <w:t>m</w:t>
      </w:r>
      <w:r w:rsidRPr="009B4A73">
        <w:rPr>
          <w:sz w:val="22"/>
        </w:rPr>
        <w:t xml:space="preserve">ethod of </w:t>
      </w:r>
      <w:r w:rsidR="00F94AD5" w:rsidRPr="009B4A73">
        <w:rPr>
          <w:sz w:val="22"/>
        </w:rPr>
        <w:t>a</w:t>
      </w:r>
      <w:r w:rsidRPr="009B4A73">
        <w:rPr>
          <w:sz w:val="22"/>
        </w:rPr>
        <w:t xml:space="preserve">dministration). </w:t>
      </w:r>
    </w:p>
    <w:p w14:paraId="48461BA7" w14:textId="77777777" w:rsidR="00A35016" w:rsidRPr="009B4A73" w:rsidRDefault="00A35016" w:rsidP="00316679">
      <w:pPr>
        <w:spacing w:after="0" w:line="240" w:lineRule="auto"/>
        <w:ind w:left="426" w:right="8"/>
        <w:rPr>
          <w:sz w:val="22"/>
        </w:rPr>
      </w:pPr>
    </w:p>
    <w:p w14:paraId="409A47A7" w14:textId="1CA9195D" w:rsidR="00D92EBC" w:rsidRPr="009B4A73" w:rsidRDefault="008353CB" w:rsidP="00316679">
      <w:pPr>
        <w:pStyle w:val="Heading4"/>
        <w:spacing w:after="0" w:line="240" w:lineRule="auto"/>
        <w:ind w:left="426"/>
        <w:rPr>
          <w:sz w:val="22"/>
        </w:rPr>
      </w:pPr>
      <w:r w:rsidRPr="009B4A73">
        <w:rPr>
          <w:iCs/>
          <w:sz w:val="22"/>
        </w:rPr>
        <w:t>T</w:t>
      </w:r>
      <w:r w:rsidRPr="009B4A73">
        <w:rPr>
          <w:sz w:val="22"/>
        </w:rPr>
        <w:t>rastuzumab</w:t>
      </w:r>
      <w:r w:rsidR="0078763F" w:rsidRPr="009B4A73">
        <w:rPr>
          <w:sz w:val="22"/>
        </w:rPr>
        <w:t xml:space="preserve"> in </w:t>
      </w:r>
      <w:r w:rsidRPr="009B4A73">
        <w:rPr>
          <w:sz w:val="22"/>
        </w:rPr>
        <w:t>c</w:t>
      </w:r>
      <w:r w:rsidR="0078763F" w:rsidRPr="009B4A73">
        <w:rPr>
          <w:sz w:val="22"/>
        </w:rPr>
        <w:t xml:space="preserve">ombination with </w:t>
      </w:r>
      <w:r w:rsidRPr="009B4A73">
        <w:rPr>
          <w:sz w:val="22"/>
        </w:rPr>
        <w:t>c</w:t>
      </w:r>
      <w:r w:rsidR="0078763F" w:rsidRPr="009B4A73">
        <w:rPr>
          <w:sz w:val="22"/>
        </w:rPr>
        <w:t>hemotherapy</w:t>
      </w:r>
    </w:p>
    <w:p w14:paraId="4013BDC2" w14:textId="77777777" w:rsidR="00A35016" w:rsidRPr="009B4A73" w:rsidRDefault="00A35016" w:rsidP="00316679">
      <w:pPr>
        <w:spacing w:after="0" w:line="240" w:lineRule="auto"/>
        <w:ind w:left="426"/>
        <w:rPr>
          <w:sz w:val="22"/>
        </w:rPr>
      </w:pPr>
    </w:p>
    <w:p w14:paraId="79BBA163" w14:textId="567B71DE" w:rsidR="00D92EBC" w:rsidRPr="009B4A73" w:rsidRDefault="0078763F" w:rsidP="00316679">
      <w:pPr>
        <w:spacing w:after="0" w:line="240" w:lineRule="auto"/>
        <w:ind w:left="426" w:right="8"/>
        <w:rPr>
          <w:sz w:val="22"/>
        </w:rPr>
      </w:pPr>
      <w:r w:rsidRPr="009B4A73">
        <w:rPr>
          <w:sz w:val="22"/>
        </w:rPr>
        <w:t xml:space="preserve">Study H0648g was an open-label, randomized controlled, multinational trial of chemotherapy-alone and in combination with </w:t>
      </w:r>
      <w:r w:rsidR="00CF3A6F" w:rsidRPr="009B4A73">
        <w:rPr>
          <w:sz w:val="22"/>
        </w:rPr>
        <w:t>trastuzumab</w:t>
      </w:r>
      <w:r w:rsidRPr="009B4A73">
        <w:rPr>
          <w:sz w:val="22"/>
        </w:rPr>
        <w:t>.</w:t>
      </w:r>
      <w:r w:rsidR="008805AA" w:rsidRPr="009B4A73">
        <w:rPr>
          <w:sz w:val="22"/>
        </w:rPr>
        <w:t xml:space="preserve"> </w:t>
      </w:r>
      <w:r w:rsidRPr="009B4A73">
        <w:rPr>
          <w:sz w:val="22"/>
        </w:rPr>
        <w:t>Patients with previously untreated metastatic breast cancer were treated with either an anthracycline (doxorubicin 60 mg/m</w:t>
      </w:r>
      <w:r w:rsidRPr="009B4A73">
        <w:rPr>
          <w:sz w:val="22"/>
          <w:vertAlign w:val="superscript"/>
        </w:rPr>
        <w:t>2</w:t>
      </w:r>
      <w:r w:rsidRPr="009B4A73">
        <w:rPr>
          <w:sz w:val="22"/>
        </w:rPr>
        <w:t xml:space="preserve"> or </w:t>
      </w:r>
      <w:proofErr w:type="spellStart"/>
      <w:r w:rsidRPr="009B4A73">
        <w:rPr>
          <w:sz w:val="22"/>
        </w:rPr>
        <w:t>epirubicin</w:t>
      </w:r>
      <w:proofErr w:type="spellEnd"/>
      <w:r w:rsidRPr="009B4A73">
        <w:rPr>
          <w:sz w:val="22"/>
        </w:rPr>
        <w:t xml:space="preserve"> 75 mg/m</w:t>
      </w:r>
      <w:r w:rsidRPr="009B4A73">
        <w:rPr>
          <w:sz w:val="22"/>
          <w:vertAlign w:val="superscript"/>
        </w:rPr>
        <w:t>2</w:t>
      </w:r>
      <w:r w:rsidRPr="009B4A73">
        <w:rPr>
          <w:sz w:val="22"/>
        </w:rPr>
        <w:t>) plus cyclophosphamide (600 mg/m</w:t>
      </w:r>
      <w:r w:rsidRPr="009B4A73">
        <w:rPr>
          <w:sz w:val="22"/>
          <w:vertAlign w:val="superscript"/>
        </w:rPr>
        <w:t>2</w:t>
      </w:r>
      <w:r w:rsidRPr="009B4A73">
        <w:rPr>
          <w:sz w:val="22"/>
        </w:rPr>
        <w:t xml:space="preserve">) with or without </w:t>
      </w:r>
      <w:r w:rsidR="00CF3A6F" w:rsidRPr="009B4A73">
        <w:rPr>
          <w:sz w:val="22"/>
        </w:rPr>
        <w:t>trastuzumab</w:t>
      </w:r>
      <w:r w:rsidRPr="009B4A73">
        <w:rPr>
          <w:sz w:val="22"/>
        </w:rPr>
        <w:t xml:space="preserve"> or paclitaxel (175 mg/m</w:t>
      </w:r>
      <w:r w:rsidRPr="009B4A73">
        <w:rPr>
          <w:sz w:val="22"/>
          <w:vertAlign w:val="superscript"/>
        </w:rPr>
        <w:t>2</w:t>
      </w:r>
      <w:r w:rsidRPr="009B4A73">
        <w:rPr>
          <w:sz w:val="22"/>
        </w:rPr>
        <w:t xml:space="preserve"> infused over 3 hours) with or without </w:t>
      </w:r>
      <w:r w:rsidR="00CF3A6F" w:rsidRPr="009B4A73">
        <w:rPr>
          <w:sz w:val="22"/>
        </w:rPr>
        <w:t>trastuzumab</w:t>
      </w:r>
      <w:r w:rsidRPr="009B4A73">
        <w:rPr>
          <w:sz w:val="22"/>
        </w:rPr>
        <w:t>.</w:t>
      </w:r>
      <w:r w:rsidR="008805AA" w:rsidRPr="009B4A73">
        <w:rPr>
          <w:sz w:val="22"/>
        </w:rPr>
        <w:t xml:space="preserve"> </w:t>
      </w:r>
      <w:r w:rsidRPr="009B4A73">
        <w:rPr>
          <w:sz w:val="22"/>
        </w:rPr>
        <w:t xml:space="preserve">Patients on </w:t>
      </w:r>
      <w:r w:rsidR="00CF3A6F" w:rsidRPr="009B4A73">
        <w:rPr>
          <w:sz w:val="22"/>
        </w:rPr>
        <w:t>trastuzumab</w:t>
      </w:r>
      <w:r w:rsidRPr="009B4A73">
        <w:rPr>
          <w:sz w:val="22"/>
        </w:rPr>
        <w:t xml:space="preserve"> treatment received 4 mg/kg intravenous loading dose on Day 0, followed by weekly infusions of 2 mg/kg from Day 7, which they could continue to receive until evidence of disease progression.</w:t>
      </w:r>
      <w:r w:rsidR="008805AA" w:rsidRPr="009B4A73">
        <w:rPr>
          <w:sz w:val="22"/>
        </w:rPr>
        <w:t xml:space="preserve"> </w:t>
      </w:r>
      <w:r w:rsidRPr="009B4A73">
        <w:rPr>
          <w:sz w:val="22"/>
        </w:rPr>
        <w:t xml:space="preserve">Patients who had previously received anthracycline based adjuvant therapy were treated with paclitaxel whereas those who were anthracycline naïve were treated with an anthracycline + cyclophosphamide. </w:t>
      </w:r>
    </w:p>
    <w:p w14:paraId="1FE5E7A9" w14:textId="77777777" w:rsidR="00A35016" w:rsidRPr="009B4A73" w:rsidRDefault="00A35016" w:rsidP="00316679">
      <w:pPr>
        <w:spacing w:after="0" w:line="240" w:lineRule="auto"/>
        <w:ind w:left="426" w:right="8"/>
        <w:rPr>
          <w:sz w:val="22"/>
        </w:rPr>
      </w:pPr>
    </w:p>
    <w:p w14:paraId="2E2B5D5C" w14:textId="28B5A0A0" w:rsidR="00D92EBC" w:rsidRPr="009B4A73" w:rsidRDefault="0078763F" w:rsidP="00316679">
      <w:pPr>
        <w:spacing w:after="0" w:line="240" w:lineRule="auto"/>
        <w:ind w:left="426" w:right="8"/>
        <w:rPr>
          <w:sz w:val="22"/>
        </w:rPr>
      </w:pPr>
      <w:r w:rsidRPr="009B4A73">
        <w:rPr>
          <w:sz w:val="22"/>
        </w:rPr>
        <w:t>The prospectively defined, primary intent-to-treat analysis indicated that the combination of</w:t>
      </w:r>
      <w:r w:rsidR="00CE0B5E" w:rsidRPr="009B4A73">
        <w:rPr>
          <w:sz w:val="22"/>
        </w:rPr>
        <w:t xml:space="preserve"> </w:t>
      </w:r>
      <w:r w:rsidR="00831465" w:rsidRPr="009B4A73">
        <w:rPr>
          <w:sz w:val="22"/>
        </w:rPr>
        <w:t>trastuzumab</w:t>
      </w:r>
      <w:r w:rsidRPr="009B4A73">
        <w:rPr>
          <w:sz w:val="22"/>
        </w:rPr>
        <w:t xml:space="preserve"> and chemotherapy significantly prolonged time to disease progression (progression-free survival) compared with chemotherapy-alone as first-line treatment of women with metastatic breast cancer who had tumours that overexpressed HER2.</w:t>
      </w:r>
      <w:r w:rsidR="008805AA" w:rsidRPr="009B4A73">
        <w:rPr>
          <w:sz w:val="22"/>
        </w:rPr>
        <w:t xml:space="preserve"> </w:t>
      </w:r>
      <w:r w:rsidRPr="009B4A73">
        <w:rPr>
          <w:sz w:val="22"/>
        </w:rPr>
        <w:t>The addition of</w:t>
      </w:r>
      <w:r w:rsidR="00CE0B5E" w:rsidRPr="009B4A73">
        <w:rPr>
          <w:sz w:val="22"/>
        </w:rPr>
        <w:t xml:space="preserve"> </w:t>
      </w:r>
      <w:r w:rsidR="00815EE9" w:rsidRPr="009B4A73">
        <w:rPr>
          <w:sz w:val="22"/>
        </w:rPr>
        <w:t>trastuzumab</w:t>
      </w:r>
      <w:r w:rsidRPr="009B4A73">
        <w:rPr>
          <w:sz w:val="22"/>
        </w:rPr>
        <w:t xml:space="preserve"> to chemotherapy extended the median time to disease progression by 2.8 months representing a 61% increase (</w:t>
      </w:r>
      <w:r w:rsidRPr="009B4A73">
        <w:rPr>
          <w:i/>
          <w:sz w:val="22"/>
        </w:rPr>
        <w:t>p</w:t>
      </w:r>
      <w:r w:rsidRPr="009B4A73">
        <w:rPr>
          <w:sz w:val="22"/>
        </w:rPr>
        <w:t>=0.0001).</w:t>
      </w:r>
    </w:p>
    <w:p w14:paraId="3D5D04C5" w14:textId="77777777" w:rsidR="00A35016" w:rsidRPr="009B4A73" w:rsidRDefault="00A35016" w:rsidP="00316679">
      <w:pPr>
        <w:spacing w:after="0" w:line="240" w:lineRule="auto"/>
        <w:ind w:left="426" w:right="8"/>
        <w:rPr>
          <w:sz w:val="22"/>
        </w:rPr>
      </w:pPr>
    </w:p>
    <w:p w14:paraId="50A958C7" w14:textId="64456317" w:rsidR="00D92EBC" w:rsidRPr="009B4A73" w:rsidRDefault="0078763F" w:rsidP="00316679">
      <w:pPr>
        <w:spacing w:after="0" w:line="240" w:lineRule="auto"/>
        <w:ind w:left="426" w:right="8"/>
        <w:rPr>
          <w:sz w:val="22"/>
        </w:rPr>
      </w:pPr>
      <w:r w:rsidRPr="009B4A73">
        <w:rPr>
          <w:sz w:val="22"/>
        </w:rPr>
        <w:t>Both anthracycline-treated and paclitaxel-treated patients benefited from</w:t>
      </w:r>
      <w:r w:rsidR="00CE0B5E" w:rsidRPr="009B4A73">
        <w:rPr>
          <w:sz w:val="22"/>
        </w:rPr>
        <w:t xml:space="preserve"> </w:t>
      </w:r>
      <w:r w:rsidR="00815EE9" w:rsidRPr="009B4A73">
        <w:rPr>
          <w:sz w:val="22"/>
        </w:rPr>
        <w:t>trastuzumab</w:t>
      </w:r>
      <w:r w:rsidRPr="009B4A73">
        <w:rPr>
          <w:sz w:val="22"/>
        </w:rPr>
        <w:t xml:space="preserve"> treatment, although the effect appeared to be greater in the paclitaxel stratum.</w:t>
      </w:r>
      <w:r w:rsidR="008805AA" w:rsidRPr="009B4A73">
        <w:rPr>
          <w:sz w:val="22"/>
        </w:rPr>
        <w:t xml:space="preserve"> </w:t>
      </w:r>
      <w:r w:rsidRPr="009B4A73">
        <w:rPr>
          <w:sz w:val="22"/>
        </w:rPr>
        <w:t>The efficacy of</w:t>
      </w:r>
      <w:r w:rsidR="00CE0B5E" w:rsidRPr="009B4A73">
        <w:rPr>
          <w:sz w:val="22"/>
        </w:rPr>
        <w:t xml:space="preserve"> </w:t>
      </w:r>
      <w:r w:rsidR="00815EE9" w:rsidRPr="009B4A73">
        <w:rPr>
          <w:sz w:val="22"/>
        </w:rPr>
        <w:t>trastuzumab</w:t>
      </w:r>
      <w:r w:rsidRPr="009B4A73">
        <w:rPr>
          <w:sz w:val="22"/>
        </w:rPr>
        <w:t xml:space="preserve"> treatment was further supported by the secondary endpoints of response rate, duration of response and one-year survival (see Table 12 below).</w:t>
      </w:r>
    </w:p>
    <w:p w14:paraId="190D14AA" w14:textId="77777777" w:rsidR="00A35016" w:rsidRPr="009B4A73" w:rsidRDefault="00A35016" w:rsidP="00316679">
      <w:pPr>
        <w:spacing w:after="0" w:line="240" w:lineRule="auto"/>
        <w:ind w:left="426" w:right="8"/>
        <w:rPr>
          <w:sz w:val="22"/>
        </w:rPr>
      </w:pPr>
    </w:p>
    <w:p w14:paraId="0BBFB9A4" w14:textId="301E2134" w:rsidR="00D92EBC" w:rsidRPr="009B4A73" w:rsidRDefault="0078763F" w:rsidP="00316679">
      <w:pPr>
        <w:spacing w:after="0" w:line="240" w:lineRule="auto"/>
        <w:ind w:left="426" w:right="8"/>
        <w:rPr>
          <w:sz w:val="22"/>
        </w:rPr>
      </w:pPr>
      <w:r w:rsidRPr="009B4A73">
        <w:rPr>
          <w:sz w:val="22"/>
        </w:rPr>
        <w:t>One-year survival rates (the prospectively defined survival endpoint) were significantly better for the</w:t>
      </w:r>
      <w:r w:rsidR="00815EE9" w:rsidRPr="009B4A73">
        <w:rPr>
          <w:sz w:val="22"/>
        </w:rPr>
        <w:t xml:space="preserve"> trastuzumab</w:t>
      </w:r>
      <w:r w:rsidRPr="009B4A73">
        <w:rPr>
          <w:sz w:val="22"/>
        </w:rPr>
        <w:t xml:space="preserve"> + chemotherapy versus chemotherapy-alone (79% vs. 68%; </w:t>
      </w:r>
      <w:r w:rsidRPr="009B4A73">
        <w:rPr>
          <w:i/>
          <w:sz w:val="22"/>
        </w:rPr>
        <w:t>p</w:t>
      </w:r>
      <w:r w:rsidRPr="009B4A73">
        <w:rPr>
          <w:sz w:val="22"/>
        </w:rPr>
        <w:t>=0.008).</w:t>
      </w:r>
      <w:r w:rsidR="008805AA" w:rsidRPr="009B4A73">
        <w:rPr>
          <w:sz w:val="22"/>
        </w:rPr>
        <w:t xml:space="preserve"> </w:t>
      </w:r>
      <w:r w:rsidRPr="009B4A73">
        <w:rPr>
          <w:sz w:val="22"/>
        </w:rPr>
        <w:t>With a median follow-up of approximately two years, overall survival is improved for patients initially treated with</w:t>
      </w:r>
      <w:r w:rsidR="00CE0B5E" w:rsidRPr="009B4A73">
        <w:rPr>
          <w:sz w:val="22"/>
        </w:rPr>
        <w:t xml:space="preserve"> </w:t>
      </w:r>
      <w:r w:rsidR="00815EE9" w:rsidRPr="009B4A73">
        <w:rPr>
          <w:sz w:val="22"/>
        </w:rPr>
        <w:t>trastuzumab</w:t>
      </w:r>
      <w:r w:rsidRPr="009B4A73">
        <w:rPr>
          <w:sz w:val="22"/>
        </w:rPr>
        <w:t xml:space="preserve"> + chemotherapy compared with those receiving chemotherapy-alone (25.4 vs. 20.3 months; </w:t>
      </w:r>
      <w:r w:rsidRPr="009B4A73">
        <w:rPr>
          <w:i/>
          <w:sz w:val="22"/>
        </w:rPr>
        <w:t>p</w:t>
      </w:r>
      <w:r w:rsidRPr="009B4A73">
        <w:rPr>
          <w:sz w:val="22"/>
        </w:rPr>
        <w:t xml:space="preserve">=0.025) with a relative risk of death of 0.769 (95% CI 0.607 - 0.973; </w:t>
      </w:r>
      <w:r w:rsidRPr="009B4A73">
        <w:rPr>
          <w:i/>
          <w:sz w:val="22"/>
        </w:rPr>
        <w:t>p</w:t>
      </w:r>
      <w:r w:rsidRPr="009B4A73">
        <w:rPr>
          <w:sz w:val="22"/>
        </w:rPr>
        <w:t>=0.028).</w:t>
      </w:r>
    </w:p>
    <w:p w14:paraId="627F92E6" w14:textId="77777777" w:rsidR="00A35016" w:rsidRPr="009B4A73" w:rsidRDefault="00A35016" w:rsidP="00316679">
      <w:pPr>
        <w:spacing w:after="0" w:line="240" w:lineRule="auto"/>
        <w:ind w:left="426" w:right="8"/>
        <w:rPr>
          <w:sz w:val="22"/>
        </w:rPr>
      </w:pPr>
    </w:p>
    <w:p w14:paraId="554178E8" w14:textId="02711858" w:rsidR="00D92EBC" w:rsidRPr="009B4A73" w:rsidRDefault="0078763F" w:rsidP="007F61DE">
      <w:pPr>
        <w:pStyle w:val="Heading2"/>
        <w:keepLines w:val="0"/>
        <w:spacing w:after="0" w:line="240" w:lineRule="auto"/>
        <w:ind w:left="425" w:right="4" w:hanging="11"/>
        <w:rPr>
          <w:sz w:val="22"/>
        </w:rPr>
      </w:pPr>
      <w:r w:rsidRPr="009B4A73">
        <w:rPr>
          <w:sz w:val="22"/>
        </w:rPr>
        <w:lastRenderedPageBreak/>
        <w:t xml:space="preserve">Figure 1 Survival </w:t>
      </w:r>
      <w:r w:rsidR="008353CB" w:rsidRPr="009B4A73">
        <w:rPr>
          <w:sz w:val="22"/>
        </w:rPr>
        <w:t>t</w:t>
      </w:r>
      <w:r w:rsidRPr="009B4A73">
        <w:rPr>
          <w:sz w:val="22"/>
        </w:rPr>
        <w:t xml:space="preserve">ime: Anthracycline ± </w:t>
      </w:r>
      <w:r w:rsidR="008353CB" w:rsidRPr="009B4A73">
        <w:rPr>
          <w:sz w:val="22"/>
        </w:rPr>
        <w:t>T</w:t>
      </w:r>
      <w:r w:rsidR="00815EE9" w:rsidRPr="009B4A73">
        <w:rPr>
          <w:sz w:val="22"/>
        </w:rPr>
        <w:t>rastuzumab</w:t>
      </w:r>
      <w:r w:rsidRPr="009B4A73">
        <w:rPr>
          <w:sz w:val="22"/>
        </w:rPr>
        <w:t xml:space="preserve"> (Study H0648g) </w:t>
      </w:r>
    </w:p>
    <w:p w14:paraId="6D958582" w14:textId="77777777" w:rsidR="009E2856" w:rsidRPr="009B4A73" w:rsidRDefault="009E2856" w:rsidP="007F61DE">
      <w:pPr>
        <w:keepNext/>
        <w:spacing w:after="0" w:line="240" w:lineRule="auto"/>
        <w:ind w:left="425" w:hanging="11"/>
      </w:pPr>
    </w:p>
    <w:p w14:paraId="3C1B57AA" w14:textId="47BF9646" w:rsidR="00332FC9" w:rsidRPr="009B4A73" w:rsidRDefault="00332FC9" w:rsidP="00332FC9">
      <w:pPr>
        <w:spacing w:line="240" w:lineRule="auto"/>
        <w:ind w:left="425" w:firstLine="0"/>
        <w:rPr>
          <w:sz w:val="22"/>
        </w:rPr>
      </w:pPr>
      <w:r w:rsidRPr="009B4A73">
        <w:rPr>
          <w:rFonts w:ascii="Calibri" w:hAnsi="Calibri" w:cs="Calibri"/>
          <w:color w:val="auto"/>
          <w:sz w:val="22"/>
        </w:rPr>
        <w:t xml:space="preserve"> </w:t>
      </w:r>
      <w:r w:rsidRPr="009B4A73">
        <w:rPr>
          <w:noProof/>
          <w:sz w:val="22"/>
        </w:rPr>
        <w:drawing>
          <wp:inline distT="0" distB="0" distL="0" distR="0" wp14:anchorId="2BE64615" wp14:editId="7A58AE83">
            <wp:extent cx="4468483" cy="2449109"/>
            <wp:effectExtent l="0" t="0" r="8890" b="8890"/>
            <wp:docPr id="6" name="Picture 6" descr="Machine generated alternative text:&#10;Estimated &#10;Survival probability &#10;Drug: &#10;12 &#10;15 &#10;18 &#10;21 &#10;24 &#10;27 &#10;42 &#10;45 &#10;Time in months &#10;Trastuzumab + AC &#10;AC alo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achine generated alternative text:&#10;Estimated &#10;Survival probability &#10;Drug: &#10;12 &#10;15 &#10;18 &#10;21 &#10;24 &#10;27 &#10;42 &#10;45 &#10;Time in months &#10;Trastuzumab + AC &#10;AC alone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96558" cy="2464496"/>
                    </a:xfrm>
                    <a:prstGeom prst="rect">
                      <a:avLst/>
                    </a:prstGeom>
                    <a:noFill/>
                    <a:ln>
                      <a:noFill/>
                    </a:ln>
                  </pic:spPr>
                </pic:pic>
              </a:graphicData>
            </a:graphic>
          </wp:inline>
        </w:drawing>
      </w:r>
    </w:p>
    <w:p w14:paraId="4BCAAB8C" w14:textId="3C5A5201" w:rsidR="00D92EBC" w:rsidRPr="009B4A73" w:rsidRDefault="0078763F" w:rsidP="0060424C">
      <w:pPr>
        <w:pStyle w:val="Heading2"/>
        <w:keepLines w:val="0"/>
        <w:spacing w:after="0" w:line="240" w:lineRule="auto"/>
        <w:ind w:left="425" w:right="4"/>
        <w:rPr>
          <w:sz w:val="22"/>
        </w:rPr>
      </w:pPr>
      <w:r w:rsidRPr="009B4A73">
        <w:rPr>
          <w:sz w:val="22"/>
        </w:rPr>
        <w:t>Figure 2</w:t>
      </w:r>
      <w:r w:rsidR="00E37AF5" w:rsidRPr="009B4A73">
        <w:rPr>
          <w:sz w:val="22"/>
        </w:rPr>
        <w:t xml:space="preserve"> </w:t>
      </w:r>
      <w:r w:rsidRPr="009B4A73">
        <w:rPr>
          <w:sz w:val="22"/>
        </w:rPr>
        <w:t xml:space="preserve">Survival </w:t>
      </w:r>
      <w:r w:rsidR="000643BE" w:rsidRPr="009B4A73">
        <w:rPr>
          <w:sz w:val="22"/>
        </w:rPr>
        <w:t>t</w:t>
      </w:r>
      <w:r w:rsidRPr="009B4A73">
        <w:rPr>
          <w:sz w:val="22"/>
        </w:rPr>
        <w:t xml:space="preserve">ime: Paclitaxel ± </w:t>
      </w:r>
      <w:r w:rsidR="000643BE" w:rsidRPr="009B4A73">
        <w:rPr>
          <w:sz w:val="22"/>
        </w:rPr>
        <w:t>T</w:t>
      </w:r>
      <w:r w:rsidR="00367B2F" w:rsidRPr="009B4A73">
        <w:rPr>
          <w:sz w:val="22"/>
        </w:rPr>
        <w:t>rastuzumab</w:t>
      </w:r>
      <w:r w:rsidRPr="009B4A73">
        <w:rPr>
          <w:sz w:val="22"/>
        </w:rPr>
        <w:t xml:space="preserve"> (Study H0648g) </w:t>
      </w:r>
    </w:p>
    <w:p w14:paraId="3923F353" w14:textId="641CBCEA" w:rsidR="00D92EBC" w:rsidRPr="009B4A73" w:rsidRDefault="00D92EBC" w:rsidP="0060424C">
      <w:pPr>
        <w:keepNext/>
        <w:spacing w:after="0" w:line="240" w:lineRule="auto"/>
        <w:ind w:left="425" w:firstLine="0"/>
        <w:rPr>
          <w:noProof/>
          <w:sz w:val="22"/>
        </w:rPr>
      </w:pPr>
    </w:p>
    <w:p w14:paraId="4BA28267" w14:textId="17DD747A" w:rsidR="00332FC9" w:rsidRPr="009B4A73" w:rsidRDefault="00332FC9" w:rsidP="00332FC9">
      <w:pPr>
        <w:spacing w:after="0" w:line="240" w:lineRule="auto"/>
        <w:ind w:left="426" w:firstLine="0"/>
        <w:rPr>
          <w:sz w:val="22"/>
        </w:rPr>
      </w:pPr>
      <w:r w:rsidRPr="009B4A73">
        <w:rPr>
          <w:noProof/>
          <w:sz w:val="22"/>
        </w:rPr>
        <w:drawing>
          <wp:inline distT="0" distB="0" distL="0" distR="0" wp14:anchorId="436D1A9B" wp14:editId="18ADFCE9">
            <wp:extent cx="4977130" cy="2527540"/>
            <wp:effectExtent l="0" t="0" r="0" b="6350"/>
            <wp:docPr id="8" name="Picture 8" descr="Machine generated alternative text:&#10;Estimated &#10;Survival probability &#10;Drug: &#10;15 &#10;18 &#10;21 &#10;24 &#10;n &#10;30 &#10;42 &#10;45 &#10;Time in months &#10;Trastuzumab + Paclitaxel &#10;Poclitaxel Alo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achine generated alternative text:&#10;Estimated &#10;Survival probability &#10;Drug: &#10;15 &#10;18 &#10;21 &#10;24 &#10;n &#10;30 &#10;42 &#10;45 &#10;Time in months &#10;Trastuzumab + Paclitaxel &#10;Poclitaxel Alone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98797" cy="2538543"/>
                    </a:xfrm>
                    <a:prstGeom prst="rect">
                      <a:avLst/>
                    </a:prstGeom>
                    <a:noFill/>
                    <a:ln>
                      <a:noFill/>
                    </a:ln>
                  </pic:spPr>
                </pic:pic>
              </a:graphicData>
            </a:graphic>
          </wp:inline>
        </w:drawing>
      </w:r>
    </w:p>
    <w:p w14:paraId="432389AF" w14:textId="77777777" w:rsidR="00332FC9" w:rsidRPr="009B4A73" w:rsidRDefault="00332FC9" w:rsidP="00332FC9">
      <w:pPr>
        <w:spacing w:after="0" w:line="240" w:lineRule="auto"/>
        <w:ind w:left="426" w:firstLine="0"/>
        <w:rPr>
          <w:sz w:val="22"/>
        </w:rPr>
      </w:pPr>
    </w:p>
    <w:p w14:paraId="6826F9F6" w14:textId="230471A6" w:rsidR="00D92EBC" w:rsidRPr="009B4A73" w:rsidRDefault="0078763F" w:rsidP="00332FC9">
      <w:pPr>
        <w:spacing w:after="0" w:line="240" w:lineRule="auto"/>
        <w:ind w:left="426" w:firstLine="0"/>
        <w:rPr>
          <w:sz w:val="22"/>
        </w:rPr>
      </w:pPr>
      <w:r w:rsidRPr="009B4A73">
        <w:rPr>
          <w:spacing w:val="2"/>
          <w:sz w:val="22"/>
        </w:rPr>
        <w:t xml:space="preserve">The relative overall survival advantage with the addition of </w:t>
      </w:r>
      <w:r w:rsidR="00367B2F" w:rsidRPr="009B4A73">
        <w:rPr>
          <w:spacing w:val="2"/>
          <w:sz w:val="22"/>
        </w:rPr>
        <w:t>trastuzumab</w:t>
      </w:r>
      <w:r w:rsidRPr="009B4A73">
        <w:rPr>
          <w:spacing w:val="2"/>
          <w:sz w:val="22"/>
        </w:rPr>
        <w:t xml:space="preserve"> was observed in both subgroups: AC [26.8 months (H + AC) vs. 22.8 months (AC-alone); </w:t>
      </w:r>
      <w:r w:rsidRPr="009B4A73">
        <w:rPr>
          <w:i/>
          <w:spacing w:val="2"/>
          <w:sz w:val="22"/>
        </w:rPr>
        <w:t>p</w:t>
      </w:r>
      <w:r w:rsidRPr="009B4A73">
        <w:rPr>
          <w:spacing w:val="2"/>
          <w:sz w:val="22"/>
        </w:rPr>
        <w:t xml:space="preserve">=0.052] and paclitaxel [22.1 months (H + P) vs. 18.4 months (P-alone); </w:t>
      </w:r>
      <w:r w:rsidRPr="009B4A73">
        <w:rPr>
          <w:i/>
          <w:spacing w:val="2"/>
          <w:sz w:val="22"/>
        </w:rPr>
        <w:t>p</w:t>
      </w:r>
      <w:r w:rsidRPr="009B4A73">
        <w:rPr>
          <w:spacing w:val="2"/>
          <w:sz w:val="22"/>
        </w:rPr>
        <w:t>=0.273] (see also Figures 1 and 2).</w:t>
      </w:r>
      <w:r w:rsidR="008805AA" w:rsidRPr="009B4A73">
        <w:rPr>
          <w:spacing w:val="2"/>
          <w:sz w:val="22"/>
        </w:rPr>
        <w:t xml:space="preserve"> </w:t>
      </w:r>
      <w:r w:rsidRPr="009B4A73">
        <w:rPr>
          <w:spacing w:val="2"/>
          <w:sz w:val="22"/>
        </w:rPr>
        <w:t>The analysis of overall survival was, however, greatly</w:t>
      </w:r>
      <w:r w:rsidRPr="009B4A73">
        <w:rPr>
          <w:sz w:val="22"/>
        </w:rPr>
        <w:t xml:space="preserve"> confounded by subsequent</w:t>
      </w:r>
      <w:r w:rsidR="00367B2F" w:rsidRPr="009B4A73">
        <w:rPr>
          <w:sz w:val="22"/>
        </w:rPr>
        <w:t xml:space="preserve"> trastuzumab</w:t>
      </w:r>
      <w:r w:rsidRPr="009B4A73">
        <w:rPr>
          <w:sz w:val="22"/>
        </w:rPr>
        <w:t xml:space="preserve"> treatment of each of control arms’ patients, following disease progression, in the open-label extension study, H0659g (59% of patients in the AC-alone group, and 75% of patients in the paclitaxel-alone group subsequently received </w:t>
      </w:r>
      <w:r w:rsidR="00367B2F" w:rsidRPr="009B4A73">
        <w:rPr>
          <w:sz w:val="22"/>
        </w:rPr>
        <w:t>trastuzumab</w:t>
      </w:r>
      <w:r w:rsidRPr="009B4A73">
        <w:rPr>
          <w:sz w:val="22"/>
        </w:rPr>
        <w:t>.</w:t>
      </w:r>
      <w:r w:rsidR="008805AA" w:rsidRPr="009B4A73">
        <w:rPr>
          <w:sz w:val="22"/>
        </w:rPr>
        <w:t xml:space="preserve"> </w:t>
      </w:r>
      <w:r w:rsidRPr="009B4A73">
        <w:rPr>
          <w:sz w:val="22"/>
        </w:rPr>
        <w:t xml:space="preserve">Hence, the survival advantage seen above, for </w:t>
      </w:r>
      <w:r w:rsidR="00367B2F" w:rsidRPr="009B4A73">
        <w:rPr>
          <w:sz w:val="22"/>
        </w:rPr>
        <w:t>trastuzumab</w:t>
      </w:r>
      <w:r w:rsidRPr="009B4A73">
        <w:rPr>
          <w:sz w:val="22"/>
        </w:rPr>
        <w:t xml:space="preserve"> + chemotherapy treatment versus chemotherapy-alone (which includes patients who subsequently received </w:t>
      </w:r>
      <w:r w:rsidR="00367B2F" w:rsidRPr="009B4A73">
        <w:rPr>
          <w:sz w:val="22"/>
        </w:rPr>
        <w:t>trastuzumab</w:t>
      </w:r>
      <w:r w:rsidRPr="009B4A73">
        <w:rPr>
          <w:sz w:val="22"/>
        </w:rPr>
        <w:t>) may underestimate the benefit to patients.</w:t>
      </w:r>
    </w:p>
    <w:p w14:paraId="510CCE87" w14:textId="77777777" w:rsidR="000643BE" w:rsidRPr="009B4A73" w:rsidRDefault="000643BE" w:rsidP="00316679">
      <w:pPr>
        <w:spacing w:after="0" w:line="240" w:lineRule="auto"/>
        <w:ind w:left="426" w:right="8"/>
        <w:rPr>
          <w:sz w:val="22"/>
        </w:rPr>
      </w:pPr>
    </w:p>
    <w:p w14:paraId="3A504515" w14:textId="24473F65" w:rsidR="00D92EBC" w:rsidRPr="009B4A73" w:rsidRDefault="0078763F" w:rsidP="0001700F">
      <w:pPr>
        <w:spacing w:after="0" w:line="240" w:lineRule="auto"/>
        <w:ind w:left="425" w:right="8"/>
        <w:rPr>
          <w:b/>
          <w:sz w:val="22"/>
        </w:rPr>
      </w:pPr>
      <w:r w:rsidRPr="009B4A73">
        <w:rPr>
          <w:sz w:val="22"/>
        </w:rPr>
        <w:t>Importantly, the efficacy described above was obtained without a significant negative impact on the quality of life.</w:t>
      </w:r>
      <w:r w:rsidR="008805AA" w:rsidRPr="009B4A73">
        <w:rPr>
          <w:sz w:val="22"/>
        </w:rPr>
        <w:t xml:space="preserve"> </w:t>
      </w:r>
      <w:r w:rsidRPr="009B4A73">
        <w:rPr>
          <w:sz w:val="22"/>
        </w:rPr>
        <w:t xml:space="preserve">Global quality of life decreased equally in both the chemotherapy-alone group and the </w:t>
      </w:r>
      <w:r w:rsidR="00367B2F" w:rsidRPr="009B4A73">
        <w:rPr>
          <w:sz w:val="22"/>
        </w:rPr>
        <w:t>trastuzumab</w:t>
      </w:r>
      <w:r w:rsidRPr="009B4A73">
        <w:rPr>
          <w:sz w:val="22"/>
        </w:rPr>
        <w:t xml:space="preserve"> + chemotherapy group and was most likely related to the effects of cytotoxic chemotherapy.</w:t>
      </w:r>
      <w:r w:rsidR="008805AA" w:rsidRPr="009B4A73">
        <w:rPr>
          <w:sz w:val="22"/>
        </w:rPr>
        <w:t xml:space="preserve"> </w:t>
      </w:r>
      <w:r w:rsidRPr="009B4A73">
        <w:rPr>
          <w:sz w:val="22"/>
        </w:rPr>
        <w:t xml:space="preserve">However, at weeks 20 and 32, the global quality of life score had returned to baseline or better than baseline in the group receiving </w:t>
      </w:r>
      <w:r w:rsidR="00367B2F" w:rsidRPr="009B4A73">
        <w:rPr>
          <w:sz w:val="22"/>
        </w:rPr>
        <w:t>trastuzumab</w:t>
      </w:r>
      <w:r w:rsidRPr="009B4A73">
        <w:rPr>
          <w:sz w:val="22"/>
        </w:rPr>
        <w:t xml:space="preserve"> + chemotherapy, while it remained low in the chemotherapy-alone arm (see Figure 3 below).</w:t>
      </w:r>
      <w:r w:rsidRPr="009B4A73">
        <w:rPr>
          <w:b/>
          <w:sz w:val="22"/>
        </w:rPr>
        <w:t xml:space="preserve"> </w:t>
      </w:r>
    </w:p>
    <w:p w14:paraId="4A1F7F64" w14:textId="77777777" w:rsidR="000643BE" w:rsidRPr="009B4A73" w:rsidRDefault="000643BE" w:rsidP="0001700F">
      <w:pPr>
        <w:spacing w:after="0" w:line="240" w:lineRule="auto"/>
        <w:ind w:left="425" w:right="8"/>
        <w:rPr>
          <w:sz w:val="22"/>
        </w:rPr>
      </w:pPr>
    </w:p>
    <w:p w14:paraId="347713FE" w14:textId="08EF0899" w:rsidR="00D92EBC" w:rsidRPr="009B4A73" w:rsidRDefault="0078763F" w:rsidP="00051ADE">
      <w:pPr>
        <w:pStyle w:val="Heading2"/>
        <w:keepLines w:val="0"/>
        <w:tabs>
          <w:tab w:val="center" w:pos="742"/>
          <w:tab w:val="center" w:pos="5953"/>
        </w:tabs>
        <w:spacing w:after="0" w:line="240" w:lineRule="auto"/>
        <w:ind w:left="425" w:firstLine="0"/>
        <w:rPr>
          <w:sz w:val="22"/>
        </w:rPr>
      </w:pPr>
      <w:r w:rsidRPr="009B4A73">
        <w:rPr>
          <w:rFonts w:eastAsia="Calibri"/>
          <w:b w:val="0"/>
          <w:sz w:val="22"/>
        </w:rPr>
        <w:lastRenderedPageBreak/>
        <w:tab/>
      </w:r>
      <w:r w:rsidRPr="009B4A73">
        <w:rPr>
          <w:sz w:val="22"/>
        </w:rPr>
        <w:t>Figure 3</w:t>
      </w:r>
      <w:r w:rsidR="00367B2F" w:rsidRPr="009B4A73">
        <w:rPr>
          <w:sz w:val="22"/>
        </w:rPr>
        <w:t xml:space="preserve"> </w:t>
      </w:r>
      <w:r w:rsidRPr="009B4A73">
        <w:rPr>
          <w:sz w:val="22"/>
        </w:rPr>
        <w:t xml:space="preserve">Changes from </w:t>
      </w:r>
      <w:r w:rsidR="00EB400D" w:rsidRPr="009B4A73">
        <w:rPr>
          <w:sz w:val="22"/>
        </w:rPr>
        <w:t>b</w:t>
      </w:r>
      <w:r w:rsidRPr="009B4A73">
        <w:rPr>
          <w:sz w:val="22"/>
        </w:rPr>
        <w:t xml:space="preserve">aseline in </w:t>
      </w:r>
      <w:r w:rsidR="00EB400D" w:rsidRPr="009B4A73">
        <w:rPr>
          <w:sz w:val="22"/>
        </w:rPr>
        <w:t>h</w:t>
      </w:r>
      <w:r w:rsidRPr="009B4A73">
        <w:rPr>
          <w:sz w:val="22"/>
        </w:rPr>
        <w:t>ealth-</w:t>
      </w:r>
      <w:r w:rsidR="00EB400D" w:rsidRPr="009B4A73">
        <w:rPr>
          <w:sz w:val="22"/>
        </w:rPr>
        <w:t>r</w:t>
      </w:r>
      <w:r w:rsidRPr="009B4A73">
        <w:rPr>
          <w:sz w:val="22"/>
        </w:rPr>
        <w:t xml:space="preserve">elated </w:t>
      </w:r>
      <w:r w:rsidR="00EB400D" w:rsidRPr="009B4A73">
        <w:rPr>
          <w:sz w:val="22"/>
        </w:rPr>
        <w:t>q</w:t>
      </w:r>
      <w:r w:rsidRPr="009B4A73">
        <w:rPr>
          <w:sz w:val="22"/>
        </w:rPr>
        <w:t>uality-of-</w:t>
      </w:r>
      <w:r w:rsidR="00EB400D" w:rsidRPr="009B4A73">
        <w:rPr>
          <w:sz w:val="22"/>
        </w:rPr>
        <w:t>l</w:t>
      </w:r>
      <w:r w:rsidRPr="009B4A73">
        <w:rPr>
          <w:sz w:val="22"/>
        </w:rPr>
        <w:t xml:space="preserve">ife </w:t>
      </w:r>
      <w:r w:rsidR="00EB400D" w:rsidRPr="009B4A73">
        <w:rPr>
          <w:sz w:val="22"/>
        </w:rPr>
        <w:t>s</w:t>
      </w:r>
      <w:r w:rsidRPr="009B4A73">
        <w:rPr>
          <w:sz w:val="22"/>
        </w:rPr>
        <w:t xml:space="preserve">cores in </w:t>
      </w:r>
      <w:r w:rsidR="00EB400D" w:rsidRPr="009B4A73">
        <w:rPr>
          <w:sz w:val="22"/>
        </w:rPr>
        <w:t>s</w:t>
      </w:r>
      <w:r w:rsidRPr="009B4A73">
        <w:rPr>
          <w:sz w:val="22"/>
        </w:rPr>
        <w:t xml:space="preserve">tudy H0648g </w:t>
      </w:r>
    </w:p>
    <w:p w14:paraId="454DD8C9" w14:textId="77777777" w:rsidR="00BB7B72" w:rsidRPr="009B4A73" w:rsidRDefault="00BB7B72" w:rsidP="00051ADE">
      <w:pPr>
        <w:keepNext/>
        <w:spacing w:after="0" w:line="240" w:lineRule="auto"/>
        <w:ind w:left="425"/>
        <w:rPr>
          <w:sz w:val="22"/>
          <w:szCs w:val="20"/>
        </w:rPr>
      </w:pPr>
    </w:p>
    <w:p w14:paraId="59F8D28C" w14:textId="55299E1D" w:rsidR="00332FC9" w:rsidRPr="009B4A73" w:rsidRDefault="00332FC9" w:rsidP="0001700F">
      <w:pPr>
        <w:spacing w:after="0" w:line="240" w:lineRule="auto"/>
        <w:ind w:left="426" w:firstLine="0"/>
        <w:rPr>
          <w:sz w:val="22"/>
        </w:rPr>
      </w:pPr>
      <w:r w:rsidRPr="009B4A73">
        <w:rPr>
          <w:noProof/>
          <w:sz w:val="22"/>
        </w:rPr>
        <w:drawing>
          <wp:inline distT="0" distB="0" distL="0" distR="0" wp14:anchorId="39219FB6" wp14:editId="1BBEFBDA">
            <wp:extent cx="4624070" cy="2234242"/>
            <wp:effectExtent l="0" t="0" r="5080" b="0"/>
            <wp:docPr id="10" name="Picture 10" descr="Machine generated alternative text:&#10;H + CT CT &#10;Wk 8 &#10;H + CT CT &#10;Wk 20 &#10;H + CT CT &#10;Wk 32 &#10;H = Trastuzumab; CT = Chemotherap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achine generated alternative text:&#10;H + CT CT &#10;Wk 8 &#10;H + CT CT &#10;Wk 20 &#10;H + CT CT &#10;Wk 32 &#10;H = Trastuzumab; CT = Chemotherapy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58824" cy="2251034"/>
                    </a:xfrm>
                    <a:prstGeom prst="rect">
                      <a:avLst/>
                    </a:prstGeom>
                    <a:noFill/>
                    <a:ln>
                      <a:noFill/>
                    </a:ln>
                  </pic:spPr>
                </pic:pic>
              </a:graphicData>
            </a:graphic>
          </wp:inline>
        </w:drawing>
      </w:r>
    </w:p>
    <w:p w14:paraId="4F647862" w14:textId="77777777" w:rsidR="0001700F" w:rsidRPr="009B4A73" w:rsidRDefault="0001700F" w:rsidP="0001700F">
      <w:pPr>
        <w:spacing w:after="0" w:line="240" w:lineRule="auto"/>
        <w:ind w:left="426" w:firstLine="0"/>
        <w:rPr>
          <w:sz w:val="22"/>
        </w:rPr>
      </w:pPr>
    </w:p>
    <w:p w14:paraId="2F49077A" w14:textId="35678ED7" w:rsidR="00D92EBC" w:rsidRPr="009B4A73" w:rsidRDefault="0078763F" w:rsidP="0001700F">
      <w:pPr>
        <w:spacing w:after="0" w:line="240" w:lineRule="auto"/>
        <w:ind w:left="426" w:firstLine="0"/>
        <w:rPr>
          <w:sz w:val="22"/>
        </w:rPr>
      </w:pPr>
      <w:r w:rsidRPr="009B4A73">
        <w:rPr>
          <w:sz w:val="22"/>
        </w:rPr>
        <w:t xml:space="preserve">Study M77001 was a multinational, multi-centre, randomized, controlled trial investigating the safety and efficacy of </w:t>
      </w:r>
      <w:r w:rsidR="004B0890" w:rsidRPr="009B4A73">
        <w:rPr>
          <w:sz w:val="22"/>
        </w:rPr>
        <w:t xml:space="preserve">trastuzumab </w:t>
      </w:r>
      <w:r w:rsidRPr="009B4A73">
        <w:rPr>
          <w:sz w:val="22"/>
        </w:rPr>
        <w:t>in combination with docetaxel, as first-line treatment in HER2 positive metastatic breast cancer patients.</w:t>
      </w:r>
      <w:r w:rsidR="008805AA" w:rsidRPr="009B4A73">
        <w:rPr>
          <w:sz w:val="22"/>
        </w:rPr>
        <w:t xml:space="preserve"> </w:t>
      </w:r>
      <w:r w:rsidRPr="009B4A73">
        <w:rPr>
          <w:sz w:val="22"/>
        </w:rPr>
        <w:t xml:space="preserve">One hundred and </w:t>
      </w:r>
      <w:proofErr w:type="gramStart"/>
      <w:r w:rsidRPr="009B4A73">
        <w:rPr>
          <w:sz w:val="22"/>
        </w:rPr>
        <w:t>eighty six</w:t>
      </w:r>
      <w:proofErr w:type="gramEnd"/>
      <w:r w:rsidRPr="009B4A73">
        <w:rPr>
          <w:sz w:val="22"/>
        </w:rPr>
        <w:t xml:space="preserve"> patients received docetaxel (100 mg/m</w:t>
      </w:r>
      <w:r w:rsidRPr="009B4A73">
        <w:rPr>
          <w:sz w:val="22"/>
          <w:vertAlign w:val="superscript"/>
        </w:rPr>
        <w:t>2</w:t>
      </w:r>
      <w:r w:rsidRPr="009B4A73">
        <w:rPr>
          <w:sz w:val="22"/>
        </w:rPr>
        <w:t xml:space="preserve"> infused over 1 hour on Day 2) with or without </w:t>
      </w:r>
      <w:r w:rsidR="004B0890" w:rsidRPr="009B4A73">
        <w:rPr>
          <w:sz w:val="22"/>
        </w:rPr>
        <w:t xml:space="preserve">trastuzumab </w:t>
      </w:r>
      <w:r w:rsidRPr="009B4A73">
        <w:rPr>
          <w:sz w:val="22"/>
        </w:rPr>
        <w:t>(4 mg/kg loading dose, followed by 2 mg/kg weekly). Sixty percent of patients had received prior anthracycline based adjuvant chemotherapy.</w:t>
      </w:r>
      <w:r w:rsidR="008805AA" w:rsidRPr="009B4A73">
        <w:rPr>
          <w:sz w:val="22"/>
        </w:rPr>
        <w:t xml:space="preserve"> </w:t>
      </w:r>
      <w:r w:rsidR="004B0890" w:rsidRPr="009B4A73">
        <w:rPr>
          <w:sz w:val="22"/>
        </w:rPr>
        <w:t xml:space="preserve">Trastuzumab </w:t>
      </w:r>
      <w:r w:rsidRPr="009B4A73">
        <w:rPr>
          <w:sz w:val="22"/>
        </w:rPr>
        <w:t xml:space="preserve">with docetaxel was shown to be efficacious in patients </w:t>
      </w:r>
      <w:proofErr w:type="gramStart"/>
      <w:r w:rsidRPr="009B4A73">
        <w:rPr>
          <w:sz w:val="22"/>
        </w:rPr>
        <w:t>whether or not</w:t>
      </w:r>
      <w:proofErr w:type="gramEnd"/>
      <w:r w:rsidRPr="009B4A73">
        <w:rPr>
          <w:sz w:val="22"/>
        </w:rPr>
        <w:t xml:space="preserve"> they had received prior adjuvant anthracyclines and regardless of their oestrogen and/or progesterone receptor status.</w:t>
      </w:r>
    </w:p>
    <w:p w14:paraId="18EC610F" w14:textId="77777777" w:rsidR="003C7341" w:rsidRPr="009B4A73" w:rsidRDefault="003C7341" w:rsidP="00316679">
      <w:pPr>
        <w:spacing w:after="0" w:line="240" w:lineRule="auto"/>
        <w:ind w:left="426" w:right="8"/>
        <w:rPr>
          <w:sz w:val="22"/>
        </w:rPr>
      </w:pPr>
    </w:p>
    <w:p w14:paraId="3600BF26" w14:textId="7B834B64" w:rsidR="00AF7DF4" w:rsidRPr="009B4A73" w:rsidRDefault="0078763F" w:rsidP="0001700F">
      <w:pPr>
        <w:spacing w:after="0" w:line="240" w:lineRule="auto"/>
        <w:ind w:left="426" w:right="8"/>
        <w:rPr>
          <w:spacing w:val="-2"/>
          <w:sz w:val="22"/>
        </w:rPr>
      </w:pPr>
      <w:r w:rsidRPr="009B4A73">
        <w:rPr>
          <w:spacing w:val="-2"/>
          <w:sz w:val="22"/>
        </w:rPr>
        <w:t xml:space="preserve">The combination of </w:t>
      </w:r>
      <w:r w:rsidR="004B0890" w:rsidRPr="009B4A73">
        <w:rPr>
          <w:spacing w:val="-2"/>
          <w:sz w:val="22"/>
        </w:rPr>
        <w:t xml:space="preserve">trastuzumab </w:t>
      </w:r>
      <w:r w:rsidRPr="009B4A73">
        <w:rPr>
          <w:spacing w:val="-2"/>
          <w:sz w:val="22"/>
        </w:rPr>
        <w:t>+ docetaxel significantly increased response rate (61% vs. 34%) and prolonged the median time to disease progression by 4.9 months compared with patients treated with docetaxel-alone (see Table 12). Median survival was also significantly increased in patients receiving the combination therapy compared with those receiving docetaxel-alone (30.5 months vs. 22.1 months) (see Figure 4).</w:t>
      </w:r>
    </w:p>
    <w:p w14:paraId="4EFF8997" w14:textId="77777777" w:rsidR="0006311F" w:rsidRPr="009B4A73" w:rsidRDefault="0006311F" w:rsidP="0001700F">
      <w:pPr>
        <w:spacing w:after="0" w:line="240" w:lineRule="auto"/>
        <w:ind w:left="426" w:right="8"/>
        <w:rPr>
          <w:sz w:val="22"/>
        </w:rPr>
      </w:pPr>
    </w:p>
    <w:p w14:paraId="54049CB3" w14:textId="40A808E4" w:rsidR="00D92EBC" w:rsidRPr="009B4A73" w:rsidRDefault="0078763F" w:rsidP="0001700F">
      <w:pPr>
        <w:pStyle w:val="Heading2"/>
        <w:spacing w:after="0" w:line="240" w:lineRule="auto"/>
        <w:ind w:left="426" w:right="8"/>
        <w:rPr>
          <w:sz w:val="22"/>
        </w:rPr>
      </w:pPr>
      <w:r w:rsidRPr="009B4A73">
        <w:rPr>
          <w:sz w:val="22"/>
        </w:rPr>
        <w:t xml:space="preserve">Figure 4 Survival </w:t>
      </w:r>
      <w:r w:rsidR="00EB400D" w:rsidRPr="009B4A73">
        <w:rPr>
          <w:sz w:val="22"/>
        </w:rPr>
        <w:t>t</w:t>
      </w:r>
      <w:r w:rsidRPr="009B4A73">
        <w:rPr>
          <w:sz w:val="22"/>
        </w:rPr>
        <w:t xml:space="preserve">ime: Docetaxel ± </w:t>
      </w:r>
      <w:r w:rsidR="00EB400D" w:rsidRPr="009B4A73">
        <w:rPr>
          <w:sz w:val="22"/>
        </w:rPr>
        <w:t>T</w:t>
      </w:r>
      <w:r w:rsidR="003A3CFA" w:rsidRPr="009B4A73">
        <w:rPr>
          <w:sz w:val="22"/>
        </w:rPr>
        <w:t>rastuzumab</w:t>
      </w:r>
      <w:r w:rsidRPr="009B4A73">
        <w:rPr>
          <w:sz w:val="22"/>
        </w:rPr>
        <w:t xml:space="preserve"> (Study M77001) </w:t>
      </w:r>
    </w:p>
    <w:p w14:paraId="4710CD32" w14:textId="3DAAC579" w:rsidR="0001700F" w:rsidRPr="009B4A73" w:rsidRDefault="0001700F" w:rsidP="00EB400D">
      <w:pPr>
        <w:spacing w:after="0" w:line="240" w:lineRule="auto"/>
        <w:ind w:left="425" w:firstLine="0"/>
        <w:rPr>
          <w:sz w:val="22"/>
        </w:rPr>
      </w:pPr>
    </w:p>
    <w:p w14:paraId="46519428" w14:textId="0969EA0C" w:rsidR="00EB400D" w:rsidRPr="009B4A73" w:rsidRDefault="00EB400D" w:rsidP="00EB400D">
      <w:pPr>
        <w:spacing w:after="0" w:line="240" w:lineRule="auto"/>
        <w:ind w:left="425" w:firstLine="0"/>
        <w:rPr>
          <w:sz w:val="22"/>
        </w:rPr>
      </w:pPr>
      <w:r w:rsidRPr="009B4A73">
        <w:rPr>
          <w:noProof/>
          <w:sz w:val="22"/>
        </w:rPr>
        <w:drawing>
          <wp:inline distT="0" distB="0" distL="0" distR="0" wp14:anchorId="2F2F580C" wp14:editId="3AE7FB95">
            <wp:extent cx="4037162" cy="3066695"/>
            <wp:effectExtent l="0" t="0" r="1905" b="635"/>
            <wp:docPr id="14" name="Picture 14" descr="Machine generated alternative text:&#10;Estimated &#10;probability &#10;06 &#10;02 &#10;Trastuzumab + docetaxel &#10;Months &#10;— docetaxel-alo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Machine generated alternative text:&#10;Estimated &#10;probability &#10;06 &#10;02 &#10;Trastuzumab + docetaxel &#10;Months &#10;— docetaxel-alone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60855" cy="3084692"/>
                    </a:xfrm>
                    <a:prstGeom prst="rect">
                      <a:avLst/>
                    </a:prstGeom>
                    <a:noFill/>
                    <a:ln>
                      <a:noFill/>
                    </a:ln>
                  </pic:spPr>
                </pic:pic>
              </a:graphicData>
            </a:graphic>
          </wp:inline>
        </w:drawing>
      </w:r>
    </w:p>
    <w:p w14:paraId="50710011" w14:textId="77777777" w:rsidR="0001700F" w:rsidRPr="009B4A73" w:rsidRDefault="0001700F" w:rsidP="00EB400D">
      <w:pPr>
        <w:spacing w:after="0" w:line="240" w:lineRule="auto"/>
        <w:ind w:left="426" w:firstLine="0"/>
        <w:rPr>
          <w:sz w:val="22"/>
        </w:rPr>
      </w:pPr>
    </w:p>
    <w:p w14:paraId="3ECFE483" w14:textId="31DF5A21" w:rsidR="00D92EBC" w:rsidRPr="009B4A73" w:rsidRDefault="0078763F" w:rsidP="00EB400D">
      <w:pPr>
        <w:pStyle w:val="Heading2"/>
        <w:spacing w:line="240" w:lineRule="auto"/>
        <w:ind w:left="426"/>
        <w:rPr>
          <w:sz w:val="22"/>
        </w:rPr>
      </w:pPr>
      <w:r w:rsidRPr="009B4A73">
        <w:rPr>
          <w:sz w:val="22"/>
        </w:rPr>
        <w:t xml:space="preserve">Table 12: Efficacy </w:t>
      </w:r>
      <w:r w:rsidR="000C097D" w:rsidRPr="009B4A73">
        <w:rPr>
          <w:sz w:val="22"/>
        </w:rPr>
        <w:t>o</w:t>
      </w:r>
      <w:r w:rsidRPr="009B4A73">
        <w:rPr>
          <w:sz w:val="22"/>
        </w:rPr>
        <w:t xml:space="preserve">utcomes with </w:t>
      </w:r>
      <w:r w:rsidR="000C097D" w:rsidRPr="009B4A73">
        <w:rPr>
          <w:sz w:val="22"/>
        </w:rPr>
        <w:t>c</w:t>
      </w:r>
      <w:r w:rsidRPr="009B4A73">
        <w:rPr>
          <w:sz w:val="22"/>
        </w:rPr>
        <w:t xml:space="preserve">ombination </w:t>
      </w:r>
      <w:r w:rsidR="000C097D" w:rsidRPr="009B4A73">
        <w:rPr>
          <w:sz w:val="22"/>
        </w:rPr>
        <w:t>t</w:t>
      </w:r>
      <w:r w:rsidRPr="009B4A73">
        <w:rPr>
          <w:sz w:val="22"/>
        </w:rPr>
        <w:t xml:space="preserve">herapy for </w:t>
      </w:r>
      <w:r w:rsidR="000C097D" w:rsidRPr="009B4A73">
        <w:rPr>
          <w:sz w:val="22"/>
        </w:rPr>
        <w:t>m</w:t>
      </w:r>
      <w:r w:rsidRPr="009B4A73">
        <w:rPr>
          <w:sz w:val="22"/>
        </w:rPr>
        <w:t xml:space="preserve">etastatic </w:t>
      </w:r>
      <w:r w:rsidR="000C097D" w:rsidRPr="009B4A73">
        <w:rPr>
          <w:sz w:val="22"/>
        </w:rPr>
        <w:t>b</w:t>
      </w:r>
      <w:r w:rsidRPr="009B4A73">
        <w:rPr>
          <w:sz w:val="22"/>
        </w:rPr>
        <w:t xml:space="preserve">reast </w:t>
      </w:r>
      <w:r w:rsidR="000C097D" w:rsidRPr="009B4A73">
        <w:rPr>
          <w:sz w:val="22"/>
        </w:rPr>
        <w:t>c</w:t>
      </w:r>
      <w:r w:rsidRPr="009B4A73">
        <w:rPr>
          <w:sz w:val="22"/>
        </w:rPr>
        <w:t>ancer</w:t>
      </w:r>
    </w:p>
    <w:p w14:paraId="46709E4C" w14:textId="77777777" w:rsidR="00EB400D" w:rsidRPr="009B4A73" w:rsidRDefault="00EB400D" w:rsidP="00EB400D">
      <w:pPr>
        <w:spacing w:after="0" w:line="240" w:lineRule="auto"/>
        <w:ind w:left="426" w:firstLine="0"/>
      </w:pPr>
    </w:p>
    <w:tbl>
      <w:tblPr>
        <w:tblStyle w:val="TableGrid"/>
        <w:tblW w:w="4946" w:type="pct"/>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213"/>
        <w:gridCol w:w="1298"/>
        <w:gridCol w:w="1401"/>
        <w:gridCol w:w="1041"/>
        <w:gridCol w:w="1122"/>
        <w:gridCol w:w="1080"/>
        <w:gridCol w:w="1070"/>
        <w:gridCol w:w="1012"/>
        <w:gridCol w:w="1111"/>
      </w:tblGrid>
      <w:tr w:rsidR="00805B6E" w:rsidRPr="009B4A73" w14:paraId="692CFCE2" w14:textId="77777777" w:rsidTr="00805B6E">
        <w:trPr>
          <w:trHeight w:val="57"/>
        </w:trPr>
        <w:tc>
          <w:tcPr>
            <w:tcW w:w="586" w:type="pct"/>
            <w:vMerge w:val="restart"/>
          </w:tcPr>
          <w:p w14:paraId="487E398D" w14:textId="77777777" w:rsidR="00805B6E" w:rsidRPr="009B4A73" w:rsidRDefault="00805B6E" w:rsidP="000C097D">
            <w:pPr>
              <w:spacing w:after="0" w:line="240" w:lineRule="auto"/>
              <w:ind w:left="0" w:right="57" w:firstLine="0"/>
              <w:rPr>
                <w:sz w:val="21"/>
                <w:szCs w:val="21"/>
              </w:rPr>
            </w:pPr>
            <w:r w:rsidRPr="009B4A73">
              <w:rPr>
                <w:b/>
                <w:sz w:val="21"/>
                <w:szCs w:val="21"/>
              </w:rPr>
              <w:lastRenderedPageBreak/>
              <w:t xml:space="preserve"> </w:t>
            </w:r>
          </w:p>
        </w:tc>
        <w:tc>
          <w:tcPr>
            <w:tcW w:w="3387" w:type="pct"/>
            <w:gridSpan w:val="6"/>
          </w:tcPr>
          <w:p w14:paraId="06B2C1C2" w14:textId="3C866F9D" w:rsidR="00805B6E" w:rsidRPr="009B4A73" w:rsidRDefault="00805B6E" w:rsidP="000C097D">
            <w:pPr>
              <w:spacing w:after="0" w:line="240" w:lineRule="auto"/>
              <w:ind w:left="0" w:right="57" w:firstLine="0"/>
              <w:jc w:val="center"/>
              <w:rPr>
                <w:sz w:val="21"/>
                <w:szCs w:val="21"/>
              </w:rPr>
            </w:pPr>
            <w:r w:rsidRPr="009B4A73">
              <w:rPr>
                <w:b/>
                <w:sz w:val="21"/>
                <w:szCs w:val="21"/>
              </w:rPr>
              <w:t>H0648g</w:t>
            </w:r>
          </w:p>
        </w:tc>
        <w:tc>
          <w:tcPr>
            <w:tcW w:w="1027" w:type="pct"/>
            <w:gridSpan w:val="2"/>
          </w:tcPr>
          <w:p w14:paraId="12BFF52A" w14:textId="5A30BD26" w:rsidR="00805B6E" w:rsidRPr="009B4A73" w:rsidRDefault="00805B6E" w:rsidP="000C097D">
            <w:pPr>
              <w:spacing w:after="0" w:line="240" w:lineRule="auto"/>
              <w:ind w:left="0" w:right="57" w:firstLine="0"/>
              <w:jc w:val="center"/>
              <w:rPr>
                <w:sz w:val="21"/>
                <w:szCs w:val="21"/>
              </w:rPr>
            </w:pPr>
            <w:r w:rsidRPr="009B4A73">
              <w:rPr>
                <w:b/>
                <w:sz w:val="21"/>
                <w:szCs w:val="21"/>
              </w:rPr>
              <w:t>M77001</w:t>
            </w:r>
          </w:p>
        </w:tc>
      </w:tr>
      <w:tr w:rsidR="00805B6E" w:rsidRPr="009B4A73" w14:paraId="5A2E8386" w14:textId="77777777" w:rsidTr="00805B6E">
        <w:trPr>
          <w:trHeight w:val="483"/>
        </w:trPr>
        <w:tc>
          <w:tcPr>
            <w:tcW w:w="586" w:type="pct"/>
            <w:vMerge/>
            <w:tcBorders>
              <w:bottom w:val="single" w:sz="4" w:space="0" w:color="000000"/>
            </w:tcBorders>
          </w:tcPr>
          <w:p w14:paraId="7DEE65E1" w14:textId="77777777" w:rsidR="00805B6E" w:rsidRPr="009B4A73" w:rsidRDefault="00805B6E" w:rsidP="000C097D">
            <w:pPr>
              <w:spacing w:after="0" w:line="240" w:lineRule="auto"/>
              <w:ind w:left="0" w:right="57" w:firstLine="0"/>
              <w:rPr>
                <w:sz w:val="21"/>
                <w:szCs w:val="21"/>
              </w:rPr>
            </w:pPr>
          </w:p>
        </w:tc>
        <w:tc>
          <w:tcPr>
            <w:tcW w:w="627" w:type="pct"/>
            <w:tcBorders>
              <w:bottom w:val="single" w:sz="4" w:space="0" w:color="000000"/>
            </w:tcBorders>
          </w:tcPr>
          <w:p w14:paraId="594E2B9E" w14:textId="77777777" w:rsidR="00805B6E" w:rsidRPr="009B4A73" w:rsidRDefault="00805B6E" w:rsidP="000C097D">
            <w:pPr>
              <w:spacing w:after="0" w:line="240" w:lineRule="auto"/>
              <w:ind w:left="0" w:right="57" w:firstLine="0"/>
              <w:jc w:val="center"/>
              <w:rPr>
                <w:sz w:val="21"/>
                <w:szCs w:val="21"/>
              </w:rPr>
            </w:pPr>
            <w:r w:rsidRPr="009B4A73">
              <w:rPr>
                <w:b/>
                <w:sz w:val="21"/>
                <w:szCs w:val="21"/>
              </w:rPr>
              <w:t>H + chemo</w:t>
            </w:r>
          </w:p>
          <w:p w14:paraId="3DC76BA3" w14:textId="26EC2EB5" w:rsidR="00805B6E" w:rsidRPr="009B4A73" w:rsidRDefault="00805B6E" w:rsidP="000C097D">
            <w:pPr>
              <w:spacing w:after="0" w:line="240" w:lineRule="auto"/>
              <w:ind w:left="0" w:right="57"/>
              <w:jc w:val="center"/>
              <w:rPr>
                <w:sz w:val="21"/>
                <w:szCs w:val="21"/>
              </w:rPr>
            </w:pPr>
            <w:r w:rsidRPr="009B4A73">
              <w:rPr>
                <w:b/>
                <w:i/>
                <w:sz w:val="21"/>
                <w:szCs w:val="21"/>
              </w:rPr>
              <w:t xml:space="preserve">n </w:t>
            </w:r>
            <w:r w:rsidRPr="009B4A73">
              <w:rPr>
                <w:b/>
                <w:sz w:val="21"/>
                <w:szCs w:val="21"/>
              </w:rPr>
              <w:t>= 235</w:t>
            </w:r>
          </w:p>
        </w:tc>
        <w:tc>
          <w:tcPr>
            <w:tcW w:w="677" w:type="pct"/>
            <w:tcBorders>
              <w:bottom w:val="single" w:sz="4" w:space="0" w:color="000000"/>
            </w:tcBorders>
          </w:tcPr>
          <w:p w14:paraId="064F21D6" w14:textId="77777777" w:rsidR="00805B6E" w:rsidRPr="009B4A73" w:rsidRDefault="00805B6E" w:rsidP="000C097D">
            <w:pPr>
              <w:spacing w:after="0" w:line="240" w:lineRule="auto"/>
              <w:ind w:left="0" w:right="57" w:firstLine="0"/>
              <w:jc w:val="center"/>
              <w:rPr>
                <w:sz w:val="21"/>
                <w:szCs w:val="21"/>
              </w:rPr>
            </w:pPr>
            <w:r w:rsidRPr="009B4A73">
              <w:rPr>
                <w:b/>
                <w:sz w:val="21"/>
                <w:szCs w:val="21"/>
              </w:rPr>
              <w:t>Chemo alone</w:t>
            </w:r>
          </w:p>
          <w:p w14:paraId="267932A5" w14:textId="24D1CA76" w:rsidR="00805B6E" w:rsidRPr="009B4A73" w:rsidRDefault="00805B6E" w:rsidP="000C097D">
            <w:pPr>
              <w:spacing w:after="0" w:line="240" w:lineRule="auto"/>
              <w:ind w:left="0" w:right="57"/>
              <w:jc w:val="center"/>
              <w:rPr>
                <w:sz w:val="21"/>
                <w:szCs w:val="21"/>
              </w:rPr>
            </w:pPr>
            <w:r w:rsidRPr="009B4A73">
              <w:rPr>
                <w:b/>
                <w:i/>
                <w:sz w:val="21"/>
                <w:szCs w:val="21"/>
              </w:rPr>
              <w:t xml:space="preserve">n </w:t>
            </w:r>
            <w:r w:rsidRPr="009B4A73">
              <w:rPr>
                <w:b/>
                <w:sz w:val="21"/>
                <w:szCs w:val="21"/>
              </w:rPr>
              <w:t>= 234</w:t>
            </w:r>
          </w:p>
        </w:tc>
        <w:tc>
          <w:tcPr>
            <w:tcW w:w="503" w:type="pct"/>
            <w:tcBorders>
              <w:bottom w:val="single" w:sz="4" w:space="0" w:color="000000"/>
            </w:tcBorders>
          </w:tcPr>
          <w:p w14:paraId="64799624" w14:textId="77777777" w:rsidR="00805B6E" w:rsidRPr="009B4A73" w:rsidRDefault="00805B6E" w:rsidP="000C097D">
            <w:pPr>
              <w:spacing w:after="0" w:line="240" w:lineRule="auto"/>
              <w:ind w:left="0" w:right="57" w:firstLine="0"/>
              <w:jc w:val="center"/>
              <w:rPr>
                <w:sz w:val="21"/>
                <w:szCs w:val="21"/>
              </w:rPr>
            </w:pPr>
            <w:r w:rsidRPr="009B4A73">
              <w:rPr>
                <w:b/>
                <w:sz w:val="21"/>
                <w:szCs w:val="21"/>
              </w:rPr>
              <w:t>H + AC</w:t>
            </w:r>
          </w:p>
          <w:p w14:paraId="1298A309" w14:textId="2781CC34" w:rsidR="00805B6E" w:rsidRPr="009B4A73" w:rsidRDefault="00805B6E" w:rsidP="000C097D">
            <w:pPr>
              <w:spacing w:after="0" w:line="240" w:lineRule="auto"/>
              <w:ind w:left="0" w:right="57"/>
              <w:jc w:val="center"/>
              <w:rPr>
                <w:sz w:val="21"/>
                <w:szCs w:val="21"/>
              </w:rPr>
            </w:pPr>
            <w:r w:rsidRPr="009B4A73">
              <w:rPr>
                <w:b/>
                <w:i/>
                <w:sz w:val="21"/>
                <w:szCs w:val="21"/>
              </w:rPr>
              <w:t xml:space="preserve">n </w:t>
            </w:r>
            <w:r w:rsidRPr="009B4A73">
              <w:rPr>
                <w:b/>
                <w:sz w:val="21"/>
                <w:szCs w:val="21"/>
              </w:rPr>
              <w:t>= 143</w:t>
            </w:r>
          </w:p>
        </w:tc>
        <w:tc>
          <w:tcPr>
            <w:tcW w:w="542" w:type="pct"/>
            <w:tcBorders>
              <w:bottom w:val="single" w:sz="4" w:space="0" w:color="000000"/>
            </w:tcBorders>
          </w:tcPr>
          <w:p w14:paraId="2752AEB4" w14:textId="77777777" w:rsidR="00805B6E" w:rsidRPr="009B4A73" w:rsidRDefault="00805B6E" w:rsidP="000C097D">
            <w:pPr>
              <w:spacing w:after="0" w:line="240" w:lineRule="auto"/>
              <w:ind w:left="0" w:right="57" w:firstLine="0"/>
              <w:jc w:val="center"/>
              <w:rPr>
                <w:sz w:val="21"/>
                <w:szCs w:val="21"/>
              </w:rPr>
            </w:pPr>
            <w:r w:rsidRPr="009B4A73">
              <w:rPr>
                <w:b/>
                <w:sz w:val="21"/>
                <w:szCs w:val="21"/>
              </w:rPr>
              <w:t>AC alone</w:t>
            </w:r>
          </w:p>
          <w:p w14:paraId="04B34180" w14:textId="2A04F693" w:rsidR="00805B6E" w:rsidRPr="009B4A73" w:rsidRDefault="00805B6E" w:rsidP="000C097D">
            <w:pPr>
              <w:spacing w:after="0" w:line="240" w:lineRule="auto"/>
              <w:ind w:left="0" w:right="57"/>
              <w:jc w:val="center"/>
              <w:rPr>
                <w:sz w:val="21"/>
                <w:szCs w:val="21"/>
              </w:rPr>
            </w:pPr>
            <w:r w:rsidRPr="009B4A73">
              <w:rPr>
                <w:b/>
                <w:i/>
                <w:sz w:val="21"/>
                <w:szCs w:val="21"/>
              </w:rPr>
              <w:t xml:space="preserve">n </w:t>
            </w:r>
            <w:r w:rsidRPr="009B4A73">
              <w:rPr>
                <w:b/>
                <w:sz w:val="21"/>
                <w:szCs w:val="21"/>
              </w:rPr>
              <w:t>= 138</w:t>
            </w:r>
          </w:p>
        </w:tc>
        <w:tc>
          <w:tcPr>
            <w:tcW w:w="522" w:type="pct"/>
            <w:tcBorders>
              <w:bottom w:val="single" w:sz="4" w:space="0" w:color="000000"/>
            </w:tcBorders>
          </w:tcPr>
          <w:p w14:paraId="4326D6F2" w14:textId="77777777" w:rsidR="00805B6E" w:rsidRPr="009B4A73" w:rsidRDefault="00805B6E" w:rsidP="000C097D">
            <w:pPr>
              <w:spacing w:after="0" w:line="240" w:lineRule="auto"/>
              <w:ind w:left="0" w:right="57" w:firstLine="0"/>
              <w:jc w:val="center"/>
              <w:rPr>
                <w:sz w:val="21"/>
                <w:szCs w:val="21"/>
              </w:rPr>
            </w:pPr>
            <w:r w:rsidRPr="009B4A73">
              <w:rPr>
                <w:b/>
                <w:sz w:val="21"/>
                <w:szCs w:val="21"/>
              </w:rPr>
              <w:t>H + P</w:t>
            </w:r>
          </w:p>
          <w:p w14:paraId="6BE48BF0" w14:textId="4410DBFA" w:rsidR="00805B6E" w:rsidRPr="009B4A73" w:rsidRDefault="00805B6E" w:rsidP="000C097D">
            <w:pPr>
              <w:spacing w:after="0" w:line="240" w:lineRule="auto"/>
              <w:ind w:left="0" w:right="57"/>
              <w:jc w:val="center"/>
              <w:rPr>
                <w:sz w:val="21"/>
                <w:szCs w:val="21"/>
              </w:rPr>
            </w:pPr>
            <w:r w:rsidRPr="009B4A73">
              <w:rPr>
                <w:b/>
                <w:i/>
                <w:sz w:val="21"/>
                <w:szCs w:val="21"/>
              </w:rPr>
              <w:t xml:space="preserve">n </w:t>
            </w:r>
            <w:r w:rsidRPr="009B4A73">
              <w:rPr>
                <w:b/>
                <w:sz w:val="21"/>
                <w:szCs w:val="21"/>
              </w:rPr>
              <w:t>= 92</w:t>
            </w:r>
          </w:p>
        </w:tc>
        <w:tc>
          <w:tcPr>
            <w:tcW w:w="517" w:type="pct"/>
            <w:tcBorders>
              <w:bottom w:val="single" w:sz="4" w:space="0" w:color="000000"/>
            </w:tcBorders>
          </w:tcPr>
          <w:p w14:paraId="7288CC08" w14:textId="77777777" w:rsidR="00805B6E" w:rsidRPr="009B4A73" w:rsidRDefault="00805B6E" w:rsidP="000C097D">
            <w:pPr>
              <w:spacing w:after="0" w:line="240" w:lineRule="auto"/>
              <w:ind w:left="0" w:right="57" w:firstLine="0"/>
              <w:jc w:val="center"/>
              <w:rPr>
                <w:sz w:val="21"/>
                <w:szCs w:val="21"/>
              </w:rPr>
            </w:pPr>
            <w:r w:rsidRPr="009B4A73">
              <w:rPr>
                <w:b/>
                <w:sz w:val="21"/>
                <w:szCs w:val="21"/>
              </w:rPr>
              <w:t>P alone</w:t>
            </w:r>
          </w:p>
          <w:p w14:paraId="39D9581F" w14:textId="0508394F" w:rsidR="00805B6E" w:rsidRPr="009B4A73" w:rsidRDefault="00805B6E" w:rsidP="000C097D">
            <w:pPr>
              <w:spacing w:after="0" w:line="240" w:lineRule="auto"/>
              <w:ind w:left="0" w:right="57"/>
              <w:jc w:val="center"/>
              <w:rPr>
                <w:sz w:val="21"/>
                <w:szCs w:val="21"/>
              </w:rPr>
            </w:pPr>
            <w:r w:rsidRPr="009B4A73">
              <w:rPr>
                <w:b/>
                <w:i/>
                <w:sz w:val="21"/>
                <w:szCs w:val="21"/>
              </w:rPr>
              <w:t xml:space="preserve">n </w:t>
            </w:r>
            <w:r w:rsidRPr="009B4A73">
              <w:rPr>
                <w:b/>
                <w:sz w:val="21"/>
                <w:szCs w:val="21"/>
              </w:rPr>
              <w:t>= 96</w:t>
            </w:r>
          </w:p>
        </w:tc>
        <w:tc>
          <w:tcPr>
            <w:tcW w:w="489" w:type="pct"/>
            <w:tcBorders>
              <w:bottom w:val="single" w:sz="4" w:space="0" w:color="000000"/>
            </w:tcBorders>
          </w:tcPr>
          <w:p w14:paraId="4E26EDF1" w14:textId="77777777" w:rsidR="00805B6E" w:rsidRPr="009B4A73" w:rsidRDefault="00805B6E" w:rsidP="000C097D">
            <w:pPr>
              <w:spacing w:after="0" w:line="240" w:lineRule="auto"/>
              <w:ind w:left="0" w:right="57" w:firstLine="0"/>
              <w:jc w:val="center"/>
              <w:rPr>
                <w:sz w:val="21"/>
                <w:szCs w:val="21"/>
              </w:rPr>
            </w:pPr>
            <w:r w:rsidRPr="009B4A73">
              <w:rPr>
                <w:b/>
                <w:sz w:val="21"/>
                <w:szCs w:val="21"/>
              </w:rPr>
              <w:t>H + D</w:t>
            </w:r>
          </w:p>
          <w:p w14:paraId="62166052" w14:textId="468306E0" w:rsidR="00805B6E" w:rsidRPr="009B4A73" w:rsidRDefault="00805B6E" w:rsidP="000C097D">
            <w:pPr>
              <w:spacing w:after="0" w:line="240" w:lineRule="auto"/>
              <w:ind w:left="0" w:right="57"/>
              <w:jc w:val="center"/>
              <w:rPr>
                <w:sz w:val="21"/>
                <w:szCs w:val="21"/>
              </w:rPr>
            </w:pPr>
            <w:r w:rsidRPr="009B4A73">
              <w:rPr>
                <w:b/>
                <w:i/>
                <w:sz w:val="21"/>
                <w:szCs w:val="21"/>
              </w:rPr>
              <w:t xml:space="preserve">n </w:t>
            </w:r>
            <w:r w:rsidRPr="009B4A73">
              <w:rPr>
                <w:b/>
                <w:sz w:val="21"/>
                <w:szCs w:val="21"/>
              </w:rPr>
              <w:t>= 92</w:t>
            </w:r>
          </w:p>
        </w:tc>
        <w:tc>
          <w:tcPr>
            <w:tcW w:w="538" w:type="pct"/>
            <w:tcBorders>
              <w:bottom w:val="single" w:sz="4" w:space="0" w:color="000000"/>
            </w:tcBorders>
          </w:tcPr>
          <w:p w14:paraId="1B9B615D" w14:textId="77777777" w:rsidR="00805B6E" w:rsidRPr="009B4A73" w:rsidRDefault="00805B6E" w:rsidP="000C097D">
            <w:pPr>
              <w:spacing w:after="0" w:line="240" w:lineRule="auto"/>
              <w:ind w:left="0" w:right="57" w:firstLine="0"/>
              <w:jc w:val="center"/>
              <w:rPr>
                <w:sz w:val="21"/>
                <w:szCs w:val="21"/>
              </w:rPr>
            </w:pPr>
            <w:r w:rsidRPr="009B4A73">
              <w:rPr>
                <w:b/>
                <w:sz w:val="21"/>
                <w:szCs w:val="21"/>
              </w:rPr>
              <w:t>D alone</w:t>
            </w:r>
          </w:p>
          <w:p w14:paraId="0F7A196F" w14:textId="32F30055" w:rsidR="00805B6E" w:rsidRPr="009B4A73" w:rsidRDefault="00805B6E" w:rsidP="000C097D">
            <w:pPr>
              <w:spacing w:after="0" w:line="240" w:lineRule="auto"/>
              <w:ind w:left="0" w:right="57"/>
              <w:jc w:val="center"/>
              <w:rPr>
                <w:sz w:val="21"/>
                <w:szCs w:val="21"/>
              </w:rPr>
            </w:pPr>
            <w:r w:rsidRPr="009B4A73">
              <w:rPr>
                <w:b/>
                <w:i/>
                <w:sz w:val="21"/>
                <w:szCs w:val="21"/>
              </w:rPr>
              <w:t xml:space="preserve">n </w:t>
            </w:r>
            <w:r w:rsidRPr="009B4A73">
              <w:rPr>
                <w:b/>
                <w:sz w:val="21"/>
                <w:szCs w:val="21"/>
              </w:rPr>
              <w:t>= 94</w:t>
            </w:r>
          </w:p>
        </w:tc>
      </w:tr>
      <w:tr w:rsidR="00805B6E" w:rsidRPr="009B4A73" w14:paraId="788BABDF" w14:textId="77777777" w:rsidTr="00805B6E">
        <w:trPr>
          <w:trHeight w:val="57"/>
        </w:trPr>
        <w:tc>
          <w:tcPr>
            <w:tcW w:w="586" w:type="pct"/>
          </w:tcPr>
          <w:p w14:paraId="3997FCAE" w14:textId="77777777" w:rsidR="00D92EBC" w:rsidRPr="009B4A73" w:rsidRDefault="0078763F" w:rsidP="000C097D">
            <w:pPr>
              <w:spacing w:after="0" w:line="240" w:lineRule="auto"/>
              <w:ind w:left="0" w:right="57" w:firstLine="0"/>
              <w:rPr>
                <w:sz w:val="21"/>
                <w:szCs w:val="21"/>
              </w:rPr>
            </w:pPr>
            <w:r w:rsidRPr="009B4A73">
              <w:rPr>
                <w:b/>
                <w:sz w:val="21"/>
                <w:szCs w:val="21"/>
              </w:rPr>
              <w:t xml:space="preserve">Median Time to </w:t>
            </w:r>
          </w:p>
          <w:p w14:paraId="16C569EB" w14:textId="77777777" w:rsidR="00D92EBC" w:rsidRPr="009B4A73" w:rsidRDefault="0078763F" w:rsidP="000C097D">
            <w:pPr>
              <w:spacing w:after="0" w:line="240" w:lineRule="auto"/>
              <w:ind w:left="0" w:right="57" w:firstLine="0"/>
              <w:rPr>
                <w:sz w:val="21"/>
                <w:szCs w:val="21"/>
              </w:rPr>
            </w:pPr>
            <w:r w:rsidRPr="009B4A73">
              <w:rPr>
                <w:b/>
                <w:sz w:val="21"/>
                <w:szCs w:val="21"/>
              </w:rPr>
              <w:t xml:space="preserve">Disease </w:t>
            </w:r>
          </w:p>
          <w:p w14:paraId="2E7D1385" w14:textId="77777777" w:rsidR="00D92EBC" w:rsidRPr="009B4A73" w:rsidRDefault="0078763F" w:rsidP="000C097D">
            <w:pPr>
              <w:spacing w:after="0" w:line="240" w:lineRule="auto"/>
              <w:ind w:left="0" w:right="57" w:firstLine="0"/>
              <w:rPr>
                <w:sz w:val="21"/>
                <w:szCs w:val="21"/>
              </w:rPr>
            </w:pPr>
            <w:r w:rsidRPr="009B4A73">
              <w:rPr>
                <w:b/>
                <w:sz w:val="21"/>
                <w:szCs w:val="21"/>
              </w:rPr>
              <w:t xml:space="preserve">Progression </w:t>
            </w:r>
          </w:p>
          <w:p w14:paraId="0F62A32C" w14:textId="77777777" w:rsidR="00D92EBC" w:rsidRPr="009B4A73" w:rsidRDefault="0078763F" w:rsidP="000C097D">
            <w:pPr>
              <w:spacing w:after="0" w:line="240" w:lineRule="auto"/>
              <w:ind w:left="0" w:right="57" w:firstLine="0"/>
              <w:rPr>
                <w:sz w:val="21"/>
                <w:szCs w:val="21"/>
              </w:rPr>
            </w:pPr>
            <w:r w:rsidRPr="009B4A73">
              <w:rPr>
                <w:b/>
                <w:sz w:val="21"/>
                <w:szCs w:val="21"/>
              </w:rPr>
              <w:t>(</w:t>
            </w:r>
            <w:proofErr w:type="gramStart"/>
            <w:r w:rsidRPr="009B4A73">
              <w:rPr>
                <w:b/>
                <w:sz w:val="21"/>
                <w:szCs w:val="21"/>
              </w:rPr>
              <w:t>months</w:t>
            </w:r>
            <w:proofErr w:type="gramEnd"/>
            <w:r w:rsidRPr="009B4A73">
              <w:rPr>
                <w:b/>
                <w:sz w:val="21"/>
                <w:szCs w:val="21"/>
              </w:rPr>
              <w:t xml:space="preserve">, 95% </w:t>
            </w:r>
          </w:p>
          <w:p w14:paraId="561A77E5" w14:textId="77777777" w:rsidR="00D92EBC" w:rsidRPr="009B4A73" w:rsidRDefault="0078763F" w:rsidP="000C097D">
            <w:pPr>
              <w:spacing w:after="0" w:line="240" w:lineRule="auto"/>
              <w:ind w:left="0" w:right="57" w:firstLine="0"/>
              <w:rPr>
                <w:sz w:val="21"/>
                <w:szCs w:val="21"/>
              </w:rPr>
            </w:pPr>
            <w:r w:rsidRPr="009B4A73">
              <w:rPr>
                <w:b/>
                <w:sz w:val="21"/>
                <w:szCs w:val="21"/>
              </w:rPr>
              <w:t xml:space="preserve">CI) </w:t>
            </w:r>
          </w:p>
        </w:tc>
        <w:tc>
          <w:tcPr>
            <w:tcW w:w="627" w:type="pct"/>
            <w:vAlign w:val="center"/>
          </w:tcPr>
          <w:p w14:paraId="50766CC6" w14:textId="6AF8BE97" w:rsidR="00D92EBC" w:rsidRPr="009B4A73" w:rsidRDefault="0078763F" w:rsidP="00805B6E">
            <w:pPr>
              <w:spacing w:after="0" w:line="240" w:lineRule="auto"/>
              <w:ind w:left="0" w:right="57" w:firstLine="0"/>
              <w:jc w:val="center"/>
              <w:rPr>
                <w:sz w:val="21"/>
                <w:szCs w:val="21"/>
              </w:rPr>
            </w:pPr>
            <w:r w:rsidRPr="009B4A73">
              <w:rPr>
                <w:sz w:val="21"/>
                <w:szCs w:val="21"/>
              </w:rPr>
              <w:t>7.4</w:t>
            </w:r>
          </w:p>
          <w:p w14:paraId="6A37C6F0" w14:textId="63B49BF7" w:rsidR="00D92EBC" w:rsidRPr="009B4A73" w:rsidRDefault="0078763F" w:rsidP="00805B6E">
            <w:pPr>
              <w:spacing w:after="0" w:line="240" w:lineRule="auto"/>
              <w:ind w:left="0" w:right="57" w:firstLine="0"/>
              <w:jc w:val="center"/>
              <w:rPr>
                <w:sz w:val="21"/>
                <w:szCs w:val="21"/>
              </w:rPr>
            </w:pPr>
            <w:r w:rsidRPr="009B4A73">
              <w:rPr>
                <w:sz w:val="21"/>
                <w:szCs w:val="21"/>
              </w:rPr>
              <w:t>(7.0, 9.0)</w:t>
            </w:r>
          </w:p>
        </w:tc>
        <w:tc>
          <w:tcPr>
            <w:tcW w:w="677" w:type="pct"/>
            <w:vAlign w:val="center"/>
          </w:tcPr>
          <w:p w14:paraId="78D7CB50" w14:textId="22D04F57" w:rsidR="00D92EBC" w:rsidRPr="009B4A73" w:rsidRDefault="0078763F" w:rsidP="00805B6E">
            <w:pPr>
              <w:spacing w:after="0" w:line="240" w:lineRule="auto"/>
              <w:ind w:left="0" w:right="57" w:firstLine="0"/>
              <w:jc w:val="center"/>
              <w:rPr>
                <w:sz w:val="21"/>
                <w:szCs w:val="21"/>
              </w:rPr>
            </w:pPr>
            <w:r w:rsidRPr="009B4A73">
              <w:rPr>
                <w:sz w:val="21"/>
                <w:szCs w:val="21"/>
              </w:rPr>
              <w:t>4.6</w:t>
            </w:r>
          </w:p>
          <w:p w14:paraId="099FAC02" w14:textId="2C8072B5" w:rsidR="00D92EBC" w:rsidRPr="009B4A73" w:rsidRDefault="0078763F" w:rsidP="00805B6E">
            <w:pPr>
              <w:spacing w:after="0" w:line="240" w:lineRule="auto"/>
              <w:ind w:left="0" w:right="57" w:firstLine="0"/>
              <w:jc w:val="center"/>
              <w:rPr>
                <w:sz w:val="21"/>
                <w:szCs w:val="21"/>
              </w:rPr>
            </w:pPr>
            <w:r w:rsidRPr="009B4A73">
              <w:rPr>
                <w:sz w:val="21"/>
                <w:szCs w:val="21"/>
              </w:rPr>
              <w:t>(4.4, 5.4)</w:t>
            </w:r>
          </w:p>
        </w:tc>
        <w:tc>
          <w:tcPr>
            <w:tcW w:w="503" w:type="pct"/>
            <w:vAlign w:val="center"/>
          </w:tcPr>
          <w:p w14:paraId="4D968A97" w14:textId="56BD42C6" w:rsidR="00D92EBC" w:rsidRPr="009B4A73" w:rsidRDefault="0078763F" w:rsidP="00805B6E">
            <w:pPr>
              <w:spacing w:after="0" w:line="240" w:lineRule="auto"/>
              <w:ind w:left="0" w:right="57" w:firstLine="0"/>
              <w:jc w:val="center"/>
              <w:rPr>
                <w:sz w:val="21"/>
                <w:szCs w:val="21"/>
              </w:rPr>
            </w:pPr>
            <w:r w:rsidRPr="009B4A73">
              <w:rPr>
                <w:sz w:val="21"/>
                <w:szCs w:val="21"/>
              </w:rPr>
              <w:t>7.8</w:t>
            </w:r>
          </w:p>
          <w:p w14:paraId="234F8FBC" w14:textId="35B78889" w:rsidR="00D92EBC" w:rsidRPr="009B4A73" w:rsidRDefault="0078763F" w:rsidP="00805B6E">
            <w:pPr>
              <w:spacing w:after="0" w:line="240" w:lineRule="auto"/>
              <w:ind w:left="0" w:right="57" w:firstLine="0"/>
              <w:jc w:val="center"/>
              <w:rPr>
                <w:sz w:val="21"/>
                <w:szCs w:val="21"/>
              </w:rPr>
            </w:pPr>
            <w:r w:rsidRPr="009B4A73">
              <w:rPr>
                <w:sz w:val="21"/>
                <w:szCs w:val="21"/>
              </w:rPr>
              <w:t>(7.3, 9.4)</w:t>
            </w:r>
          </w:p>
        </w:tc>
        <w:tc>
          <w:tcPr>
            <w:tcW w:w="542" w:type="pct"/>
            <w:vAlign w:val="center"/>
          </w:tcPr>
          <w:p w14:paraId="3E49E0B6" w14:textId="5CFDCB1B" w:rsidR="00D92EBC" w:rsidRPr="009B4A73" w:rsidRDefault="0078763F" w:rsidP="00805B6E">
            <w:pPr>
              <w:spacing w:after="0" w:line="240" w:lineRule="auto"/>
              <w:ind w:left="0" w:right="57" w:firstLine="0"/>
              <w:jc w:val="center"/>
              <w:rPr>
                <w:sz w:val="21"/>
                <w:szCs w:val="21"/>
              </w:rPr>
            </w:pPr>
            <w:r w:rsidRPr="009B4A73">
              <w:rPr>
                <w:sz w:val="21"/>
                <w:szCs w:val="21"/>
              </w:rPr>
              <w:t>6.1</w:t>
            </w:r>
          </w:p>
          <w:p w14:paraId="333E6F8C" w14:textId="0F65B4C3" w:rsidR="00D92EBC" w:rsidRPr="009B4A73" w:rsidRDefault="0078763F" w:rsidP="00805B6E">
            <w:pPr>
              <w:spacing w:after="0" w:line="240" w:lineRule="auto"/>
              <w:ind w:left="0" w:right="57" w:firstLine="0"/>
              <w:jc w:val="center"/>
              <w:rPr>
                <w:sz w:val="21"/>
                <w:szCs w:val="21"/>
              </w:rPr>
            </w:pPr>
            <w:r w:rsidRPr="009B4A73">
              <w:rPr>
                <w:sz w:val="21"/>
                <w:szCs w:val="21"/>
              </w:rPr>
              <w:t>(4.9, 7.1)</w:t>
            </w:r>
          </w:p>
        </w:tc>
        <w:tc>
          <w:tcPr>
            <w:tcW w:w="522" w:type="pct"/>
            <w:vAlign w:val="center"/>
          </w:tcPr>
          <w:p w14:paraId="7D4A27FF" w14:textId="4BD44A2C" w:rsidR="00D92EBC" w:rsidRPr="009B4A73" w:rsidRDefault="0078763F" w:rsidP="00805B6E">
            <w:pPr>
              <w:spacing w:after="0" w:line="240" w:lineRule="auto"/>
              <w:ind w:left="0" w:right="57" w:firstLine="0"/>
              <w:jc w:val="center"/>
              <w:rPr>
                <w:sz w:val="21"/>
                <w:szCs w:val="21"/>
              </w:rPr>
            </w:pPr>
            <w:r w:rsidRPr="009B4A73">
              <w:rPr>
                <w:sz w:val="21"/>
                <w:szCs w:val="21"/>
              </w:rPr>
              <w:t>6.9</w:t>
            </w:r>
          </w:p>
          <w:p w14:paraId="20ED4F2F" w14:textId="2A2E4FB4" w:rsidR="00D92EBC" w:rsidRPr="009B4A73" w:rsidRDefault="0078763F" w:rsidP="00805B6E">
            <w:pPr>
              <w:spacing w:after="0" w:line="240" w:lineRule="auto"/>
              <w:ind w:left="0" w:right="57" w:firstLine="0"/>
              <w:jc w:val="center"/>
              <w:rPr>
                <w:sz w:val="21"/>
                <w:szCs w:val="21"/>
              </w:rPr>
            </w:pPr>
            <w:r w:rsidRPr="009B4A73">
              <w:rPr>
                <w:sz w:val="21"/>
                <w:szCs w:val="21"/>
              </w:rPr>
              <w:t>(5.3, 9.9)</w:t>
            </w:r>
          </w:p>
        </w:tc>
        <w:tc>
          <w:tcPr>
            <w:tcW w:w="517" w:type="pct"/>
            <w:vAlign w:val="center"/>
          </w:tcPr>
          <w:p w14:paraId="4B038721" w14:textId="4DB47E70" w:rsidR="00D92EBC" w:rsidRPr="009B4A73" w:rsidRDefault="0078763F" w:rsidP="00805B6E">
            <w:pPr>
              <w:spacing w:after="0" w:line="240" w:lineRule="auto"/>
              <w:ind w:left="0" w:right="57" w:firstLine="0"/>
              <w:jc w:val="center"/>
              <w:rPr>
                <w:sz w:val="21"/>
                <w:szCs w:val="21"/>
              </w:rPr>
            </w:pPr>
            <w:r w:rsidRPr="009B4A73">
              <w:rPr>
                <w:sz w:val="21"/>
                <w:szCs w:val="21"/>
              </w:rPr>
              <w:t>3.0</w:t>
            </w:r>
          </w:p>
          <w:p w14:paraId="6163DAA6" w14:textId="2063648F" w:rsidR="00D92EBC" w:rsidRPr="009B4A73" w:rsidRDefault="0078763F" w:rsidP="00805B6E">
            <w:pPr>
              <w:spacing w:after="0" w:line="240" w:lineRule="auto"/>
              <w:ind w:left="0" w:right="57" w:firstLine="0"/>
              <w:jc w:val="center"/>
              <w:rPr>
                <w:sz w:val="21"/>
                <w:szCs w:val="21"/>
              </w:rPr>
            </w:pPr>
            <w:r w:rsidRPr="009B4A73">
              <w:rPr>
                <w:sz w:val="21"/>
                <w:szCs w:val="21"/>
              </w:rPr>
              <w:t>(2.1, 4.3)</w:t>
            </w:r>
          </w:p>
        </w:tc>
        <w:tc>
          <w:tcPr>
            <w:tcW w:w="489" w:type="pct"/>
            <w:vAlign w:val="center"/>
          </w:tcPr>
          <w:p w14:paraId="4EC7EE17" w14:textId="1B59FE34" w:rsidR="00D92EBC" w:rsidRPr="009B4A73" w:rsidRDefault="0078763F" w:rsidP="00805B6E">
            <w:pPr>
              <w:spacing w:after="0" w:line="240" w:lineRule="auto"/>
              <w:ind w:left="0" w:right="57" w:firstLine="0"/>
              <w:jc w:val="center"/>
              <w:rPr>
                <w:sz w:val="21"/>
                <w:szCs w:val="21"/>
              </w:rPr>
            </w:pPr>
            <w:r w:rsidRPr="009B4A73">
              <w:rPr>
                <w:sz w:val="21"/>
                <w:szCs w:val="21"/>
              </w:rPr>
              <w:t>10.6</w:t>
            </w:r>
          </w:p>
          <w:p w14:paraId="65E60814" w14:textId="6679D54C" w:rsidR="00D92EBC" w:rsidRPr="009B4A73" w:rsidRDefault="0078763F" w:rsidP="00805B6E">
            <w:pPr>
              <w:spacing w:after="0" w:line="240" w:lineRule="auto"/>
              <w:ind w:left="0" w:right="-8" w:firstLine="0"/>
              <w:jc w:val="center"/>
              <w:rPr>
                <w:sz w:val="21"/>
                <w:szCs w:val="21"/>
              </w:rPr>
            </w:pPr>
            <w:r w:rsidRPr="009B4A73">
              <w:rPr>
                <w:sz w:val="21"/>
                <w:szCs w:val="21"/>
              </w:rPr>
              <w:t>(7.6, 12.9)</w:t>
            </w:r>
          </w:p>
        </w:tc>
        <w:tc>
          <w:tcPr>
            <w:tcW w:w="538" w:type="pct"/>
            <w:vAlign w:val="center"/>
          </w:tcPr>
          <w:p w14:paraId="44D0E598" w14:textId="20157B92" w:rsidR="00D92EBC" w:rsidRPr="009B4A73" w:rsidRDefault="0078763F" w:rsidP="00805B6E">
            <w:pPr>
              <w:spacing w:after="0" w:line="240" w:lineRule="auto"/>
              <w:ind w:left="0" w:right="57" w:firstLine="0"/>
              <w:jc w:val="center"/>
              <w:rPr>
                <w:sz w:val="21"/>
                <w:szCs w:val="21"/>
              </w:rPr>
            </w:pPr>
            <w:r w:rsidRPr="009B4A73">
              <w:rPr>
                <w:sz w:val="21"/>
                <w:szCs w:val="21"/>
              </w:rPr>
              <w:t>5.7</w:t>
            </w:r>
          </w:p>
          <w:p w14:paraId="5E658AD3" w14:textId="73325DA9" w:rsidR="00D92EBC" w:rsidRPr="009B4A73" w:rsidRDefault="0078763F" w:rsidP="00805B6E">
            <w:pPr>
              <w:spacing w:after="0" w:line="240" w:lineRule="auto"/>
              <w:ind w:left="0" w:right="57" w:firstLine="0"/>
              <w:jc w:val="center"/>
              <w:rPr>
                <w:sz w:val="21"/>
                <w:szCs w:val="21"/>
              </w:rPr>
            </w:pPr>
            <w:r w:rsidRPr="009B4A73">
              <w:rPr>
                <w:sz w:val="21"/>
                <w:szCs w:val="21"/>
              </w:rPr>
              <w:t>(5, 6.5)</w:t>
            </w:r>
          </w:p>
        </w:tc>
      </w:tr>
      <w:tr w:rsidR="00805B6E" w:rsidRPr="009B4A73" w14:paraId="1D2B63EA" w14:textId="77777777" w:rsidTr="00805B6E">
        <w:trPr>
          <w:trHeight w:val="57"/>
        </w:trPr>
        <w:tc>
          <w:tcPr>
            <w:tcW w:w="586" w:type="pct"/>
          </w:tcPr>
          <w:p w14:paraId="214D8772" w14:textId="77777777" w:rsidR="00805B6E" w:rsidRPr="009B4A73" w:rsidRDefault="00805B6E" w:rsidP="000C097D">
            <w:pPr>
              <w:spacing w:after="0" w:line="240" w:lineRule="auto"/>
              <w:ind w:left="0" w:right="57" w:firstLine="0"/>
              <w:rPr>
                <w:sz w:val="21"/>
                <w:szCs w:val="21"/>
              </w:rPr>
            </w:pPr>
            <w:r w:rsidRPr="009B4A73">
              <w:rPr>
                <w:b/>
                <w:i/>
                <w:sz w:val="21"/>
                <w:szCs w:val="21"/>
              </w:rPr>
              <w:t>p</w:t>
            </w:r>
            <w:r w:rsidRPr="009B4A73">
              <w:rPr>
                <w:b/>
                <w:sz w:val="21"/>
                <w:szCs w:val="21"/>
              </w:rPr>
              <w:t>-value</w:t>
            </w:r>
            <w:r w:rsidRPr="009B4A73">
              <w:rPr>
                <w:b/>
                <w:i/>
                <w:sz w:val="21"/>
                <w:szCs w:val="21"/>
              </w:rPr>
              <w:t xml:space="preserve"> </w:t>
            </w:r>
            <w:r w:rsidRPr="009B4A73">
              <w:rPr>
                <w:sz w:val="21"/>
                <w:szCs w:val="21"/>
                <w:vertAlign w:val="superscript"/>
              </w:rPr>
              <w:t>a</w:t>
            </w:r>
            <w:r w:rsidRPr="009B4A73">
              <w:rPr>
                <w:b/>
                <w:i/>
                <w:sz w:val="21"/>
                <w:szCs w:val="21"/>
              </w:rPr>
              <w:t xml:space="preserve"> </w:t>
            </w:r>
          </w:p>
        </w:tc>
        <w:tc>
          <w:tcPr>
            <w:tcW w:w="1304" w:type="pct"/>
            <w:gridSpan w:val="2"/>
            <w:vAlign w:val="center"/>
          </w:tcPr>
          <w:p w14:paraId="7CA21ED7" w14:textId="1FBB56BD" w:rsidR="00805B6E" w:rsidRPr="009B4A73" w:rsidRDefault="00805B6E" w:rsidP="00805B6E">
            <w:pPr>
              <w:spacing w:after="0" w:line="240" w:lineRule="auto"/>
              <w:ind w:left="0" w:right="57" w:firstLine="0"/>
              <w:jc w:val="center"/>
              <w:rPr>
                <w:sz w:val="21"/>
                <w:szCs w:val="21"/>
              </w:rPr>
            </w:pPr>
            <w:r w:rsidRPr="009B4A73">
              <w:rPr>
                <w:i/>
                <w:sz w:val="21"/>
                <w:szCs w:val="21"/>
              </w:rPr>
              <w:t>p</w:t>
            </w:r>
            <w:r w:rsidRPr="009B4A73">
              <w:rPr>
                <w:sz w:val="21"/>
                <w:szCs w:val="21"/>
              </w:rPr>
              <w:t>=0.0001</w:t>
            </w:r>
          </w:p>
        </w:tc>
        <w:tc>
          <w:tcPr>
            <w:tcW w:w="1045" w:type="pct"/>
            <w:gridSpan w:val="2"/>
            <w:vAlign w:val="center"/>
          </w:tcPr>
          <w:p w14:paraId="1EF7C66E" w14:textId="122926E3" w:rsidR="00805B6E" w:rsidRPr="009B4A73" w:rsidRDefault="00805B6E" w:rsidP="00805B6E">
            <w:pPr>
              <w:spacing w:after="0" w:line="240" w:lineRule="auto"/>
              <w:ind w:left="0" w:right="57" w:firstLine="0"/>
              <w:jc w:val="center"/>
              <w:rPr>
                <w:sz w:val="21"/>
                <w:szCs w:val="21"/>
              </w:rPr>
            </w:pPr>
            <w:r w:rsidRPr="009B4A73">
              <w:rPr>
                <w:i/>
                <w:sz w:val="21"/>
                <w:szCs w:val="21"/>
              </w:rPr>
              <w:t>p</w:t>
            </w:r>
            <w:r w:rsidRPr="009B4A73">
              <w:rPr>
                <w:sz w:val="21"/>
                <w:szCs w:val="21"/>
              </w:rPr>
              <w:t>=0.0004</w:t>
            </w:r>
          </w:p>
        </w:tc>
        <w:tc>
          <w:tcPr>
            <w:tcW w:w="1039" w:type="pct"/>
            <w:gridSpan w:val="2"/>
            <w:vAlign w:val="center"/>
          </w:tcPr>
          <w:p w14:paraId="445B417A" w14:textId="38908706" w:rsidR="00805B6E" w:rsidRPr="009B4A73" w:rsidRDefault="00805B6E" w:rsidP="00805B6E">
            <w:pPr>
              <w:spacing w:after="0" w:line="240" w:lineRule="auto"/>
              <w:ind w:left="0" w:right="57" w:firstLine="0"/>
              <w:jc w:val="center"/>
              <w:rPr>
                <w:sz w:val="21"/>
                <w:szCs w:val="21"/>
              </w:rPr>
            </w:pPr>
            <w:r w:rsidRPr="009B4A73">
              <w:rPr>
                <w:i/>
                <w:sz w:val="21"/>
                <w:szCs w:val="21"/>
              </w:rPr>
              <w:t>p</w:t>
            </w:r>
            <w:r w:rsidRPr="009B4A73">
              <w:rPr>
                <w:sz w:val="21"/>
                <w:szCs w:val="21"/>
              </w:rPr>
              <w:t>=0.0001</w:t>
            </w:r>
          </w:p>
        </w:tc>
        <w:tc>
          <w:tcPr>
            <w:tcW w:w="1027" w:type="pct"/>
            <w:gridSpan w:val="2"/>
            <w:vAlign w:val="center"/>
          </w:tcPr>
          <w:p w14:paraId="7BEBB929" w14:textId="55CC1ABB" w:rsidR="00805B6E" w:rsidRPr="009B4A73" w:rsidRDefault="00805B6E" w:rsidP="00805B6E">
            <w:pPr>
              <w:spacing w:after="0" w:line="240" w:lineRule="auto"/>
              <w:ind w:left="0" w:right="57" w:firstLine="0"/>
              <w:jc w:val="center"/>
              <w:rPr>
                <w:sz w:val="21"/>
                <w:szCs w:val="21"/>
              </w:rPr>
            </w:pPr>
            <w:r w:rsidRPr="009B4A73">
              <w:rPr>
                <w:i/>
                <w:sz w:val="21"/>
                <w:szCs w:val="21"/>
              </w:rPr>
              <w:t>p=</w:t>
            </w:r>
            <w:r w:rsidRPr="009B4A73">
              <w:rPr>
                <w:sz w:val="21"/>
                <w:szCs w:val="21"/>
              </w:rPr>
              <w:t>0.0001</w:t>
            </w:r>
          </w:p>
        </w:tc>
      </w:tr>
      <w:tr w:rsidR="00805B6E" w:rsidRPr="009B4A73" w14:paraId="3567F637" w14:textId="77777777" w:rsidTr="00805B6E">
        <w:trPr>
          <w:trHeight w:val="552"/>
        </w:trPr>
        <w:tc>
          <w:tcPr>
            <w:tcW w:w="586" w:type="pct"/>
          </w:tcPr>
          <w:p w14:paraId="24A4D1F7" w14:textId="77777777" w:rsidR="00D92EBC" w:rsidRPr="009B4A73" w:rsidRDefault="0078763F" w:rsidP="000C097D">
            <w:pPr>
              <w:spacing w:after="0" w:line="240" w:lineRule="auto"/>
              <w:ind w:left="0" w:right="57" w:firstLine="0"/>
              <w:rPr>
                <w:sz w:val="21"/>
                <w:szCs w:val="21"/>
              </w:rPr>
            </w:pPr>
            <w:r w:rsidRPr="009B4A73">
              <w:rPr>
                <w:b/>
                <w:sz w:val="21"/>
                <w:szCs w:val="21"/>
              </w:rPr>
              <w:t xml:space="preserve">Response Rate (%) </w:t>
            </w:r>
          </w:p>
        </w:tc>
        <w:tc>
          <w:tcPr>
            <w:tcW w:w="627" w:type="pct"/>
            <w:vAlign w:val="center"/>
          </w:tcPr>
          <w:p w14:paraId="6217AEEB" w14:textId="663D6E19" w:rsidR="00D92EBC" w:rsidRPr="009B4A73" w:rsidRDefault="0078763F" w:rsidP="00805B6E">
            <w:pPr>
              <w:spacing w:after="0" w:line="240" w:lineRule="auto"/>
              <w:ind w:left="0" w:right="57" w:firstLine="0"/>
              <w:jc w:val="center"/>
              <w:rPr>
                <w:sz w:val="21"/>
                <w:szCs w:val="21"/>
              </w:rPr>
            </w:pPr>
            <w:r w:rsidRPr="009B4A73">
              <w:rPr>
                <w:sz w:val="21"/>
                <w:szCs w:val="21"/>
              </w:rPr>
              <w:t>50</w:t>
            </w:r>
          </w:p>
        </w:tc>
        <w:tc>
          <w:tcPr>
            <w:tcW w:w="677" w:type="pct"/>
            <w:vAlign w:val="center"/>
          </w:tcPr>
          <w:p w14:paraId="419E646F" w14:textId="5DB5936A" w:rsidR="00D92EBC" w:rsidRPr="009B4A73" w:rsidRDefault="0078763F" w:rsidP="00805B6E">
            <w:pPr>
              <w:spacing w:after="0" w:line="240" w:lineRule="auto"/>
              <w:ind w:left="0" w:right="57" w:firstLine="0"/>
              <w:jc w:val="center"/>
              <w:rPr>
                <w:sz w:val="21"/>
                <w:szCs w:val="21"/>
              </w:rPr>
            </w:pPr>
            <w:r w:rsidRPr="009B4A73">
              <w:rPr>
                <w:sz w:val="21"/>
                <w:szCs w:val="21"/>
              </w:rPr>
              <w:t>32</w:t>
            </w:r>
          </w:p>
        </w:tc>
        <w:tc>
          <w:tcPr>
            <w:tcW w:w="503" w:type="pct"/>
            <w:vAlign w:val="center"/>
          </w:tcPr>
          <w:p w14:paraId="747FC1D9" w14:textId="19E53DA6" w:rsidR="00D92EBC" w:rsidRPr="009B4A73" w:rsidRDefault="0078763F" w:rsidP="00805B6E">
            <w:pPr>
              <w:spacing w:after="0" w:line="240" w:lineRule="auto"/>
              <w:ind w:left="0" w:right="57" w:firstLine="0"/>
              <w:jc w:val="center"/>
              <w:rPr>
                <w:sz w:val="21"/>
                <w:szCs w:val="21"/>
              </w:rPr>
            </w:pPr>
            <w:r w:rsidRPr="009B4A73">
              <w:rPr>
                <w:sz w:val="21"/>
                <w:szCs w:val="21"/>
              </w:rPr>
              <w:t>56</w:t>
            </w:r>
          </w:p>
        </w:tc>
        <w:tc>
          <w:tcPr>
            <w:tcW w:w="542" w:type="pct"/>
            <w:vAlign w:val="center"/>
          </w:tcPr>
          <w:p w14:paraId="643CA5A1" w14:textId="0A7AD19D" w:rsidR="00D92EBC" w:rsidRPr="009B4A73" w:rsidRDefault="0078763F" w:rsidP="00805B6E">
            <w:pPr>
              <w:spacing w:after="0" w:line="240" w:lineRule="auto"/>
              <w:ind w:left="0" w:right="57" w:firstLine="0"/>
              <w:jc w:val="center"/>
              <w:rPr>
                <w:sz w:val="21"/>
                <w:szCs w:val="21"/>
              </w:rPr>
            </w:pPr>
            <w:r w:rsidRPr="009B4A73">
              <w:rPr>
                <w:sz w:val="21"/>
                <w:szCs w:val="21"/>
              </w:rPr>
              <w:t>42</w:t>
            </w:r>
          </w:p>
        </w:tc>
        <w:tc>
          <w:tcPr>
            <w:tcW w:w="522" w:type="pct"/>
            <w:vAlign w:val="center"/>
          </w:tcPr>
          <w:p w14:paraId="05AAFED0" w14:textId="24C83261" w:rsidR="00D92EBC" w:rsidRPr="009B4A73" w:rsidRDefault="0078763F" w:rsidP="00805B6E">
            <w:pPr>
              <w:spacing w:after="0" w:line="240" w:lineRule="auto"/>
              <w:ind w:left="0" w:right="57" w:firstLine="0"/>
              <w:jc w:val="center"/>
              <w:rPr>
                <w:sz w:val="21"/>
                <w:szCs w:val="21"/>
              </w:rPr>
            </w:pPr>
            <w:r w:rsidRPr="009B4A73">
              <w:rPr>
                <w:sz w:val="21"/>
                <w:szCs w:val="21"/>
              </w:rPr>
              <w:t>41</w:t>
            </w:r>
          </w:p>
        </w:tc>
        <w:tc>
          <w:tcPr>
            <w:tcW w:w="517" w:type="pct"/>
            <w:vAlign w:val="center"/>
          </w:tcPr>
          <w:p w14:paraId="0BFE2591" w14:textId="2F416B83" w:rsidR="00D92EBC" w:rsidRPr="009B4A73" w:rsidRDefault="0078763F" w:rsidP="00805B6E">
            <w:pPr>
              <w:spacing w:after="0" w:line="240" w:lineRule="auto"/>
              <w:ind w:left="0" w:right="57" w:firstLine="0"/>
              <w:jc w:val="center"/>
              <w:rPr>
                <w:sz w:val="21"/>
                <w:szCs w:val="21"/>
              </w:rPr>
            </w:pPr>
            <w:r w:rsidRPr="009B4A73">
              <w:rPr>
                <w:sz w:val="21"/>
                <w:szCs w:val="21"/>
              </w:rPr>
              <w:t>17</w:t>
            </w:r>
          </w:p>
        </w:tc>
        <w:tc>
          <w:tcPr>
            <w:tcW w:w="489" w:type="pct"/>
            <w:vAlign w:val="center"/>
          </w:tcPr>
          <w:p w14:paraId="2FF3E167" w14:textId="7BC643DF" w:rsidR="00D92EBC" w:rsidRPr="009B4A73" w:rsidRDefault="0078763F" w:rsidP="00805B6E">
            <w:pPr>
              <w:spacing w:after="0" w:line="240" w:lineRule="auto"/>
              <w:ind w:left="0" w:right="57" w:firstLine="0"/>
              <w:jc w:val="center"/>
              <w:rPr>
                <w:sz w:val="21"/>
                <w:szCs w:val="21"/>
              </w:rPr>
            </w:pPr>
            <w:r w:rsidRPr="009B4A73">
              <w:rPr>
                <w:sz w:val="21"/>
                <w:szCs w:val="21"/>
              </w:rPr>
              <w:t>61</w:t>
            </w:r>
          </w:p>
        </w:tc>
        <w:tc>
          <w:tcPr>
            <w:tcW w:w="538" w:type="pct"/>
            <w:vAlign w:val="center"/>
          </w:tcPr>
          <w:p w14:paraId="3A1AE8F6" w14:textId="0026C690" w:rsidR="00D92EBC" w:rsidRPr="009B4A73" w:rsidRDefault="0078763F" w:rsidP="00805B6E">
            <w:pPr>
              <w:spacing w:after="0" w:line="240" w:lineRule="auto"/>
              <w:ind w:left="0" w:right="57" w:firstLine="0"/>
              <w:jc w:val="center"/>
              <w:rPr>
                <w:sz w:val="21"/>
                <w:szCs w:val="21"/>
              </w:rPr>
            </w:pPr>
            <w:r w:rsidRPr="009B4A73">
              <w:rPr>
                <w:sz w:val="21"/>
                <w:szCs w:val="21"/>
              </w:rPr>
              <w:t>34</w:t>
            </w:r>
          </w:p>
        </w:tc>
      </w:tr>
      <w:tr w:rsidR="00805B6E" w:rsidRPr="009B4A73" w14:paraId="459FB3B5" w14:textId="77777777" w:rsidTr="00805B6E">
        <w:trPr>
          <w:trHeight w:val="57"/>
        </w:trPr>
        <w:tc>
          <w:tcPr>
            <w:tcW w:w="586" w:type="pct"/>
          </w:tcPr>
          <w:p w14:paraId="6FF6A711" w14:textId="77777777" w:rsidR="00D92EBC" w:rsidRPr="009B4A73" w:rsidRDefault="0078763F" w:rsidP="000C097D">
            <w:pPr>
              <w:spacing w:after="0" w:line="240" w:lineRule="auto"/>
              <w:ind w:left="0" w:right="57" w:firstLine="0"/>
              <w:rPr>
                <w:sz w:val="21"/>
                <w:szCs w:val="21"/>
              </w:rPr>
            </w:pPr>
            <w:r w:rsidRPr="009B4A73">
              <w:rPr>
                <w:b/>
                <w:i/>
                <w:sz w:val="21"/>
                <w:szCs w:val="21"/>
              </w:rPr>
              <w:t>p</w:t>
            </w:r>
            <w:r w:rsidRPr="009B4A73">
              <w:rPr>
                <w:b/>
                <w:sz w:val="21"/>
                <w:szCs w:val="21"/>
              </w:rPr>
              <w:t>-value</w:t>
            </w:r>
            <w:r w:rsidRPr="009B4A73">
              <w:rPr>
                <w:b/>
                <w:i/>
                <w:sz w:val="21"/>
                <w:szCs w:val="21"/>
              </w:rPr>
              <w:t xml:space="preserve"> </w:t>
            </w:r>
            <w:r w:rsidRPr="009B4A73">
              <w:rPr>
                <w:sz w:val="21"/>
                <w:szCs w:val="21"/>
                <w:vertAlign w:val="superscript"/>
              </w:rPr>
              <w:t>b</w:t>
            </w:r>
            <w:r w:rsidRPr="009B4A73">
              <w:rPr>
                <w:b/>
                <w:sz w:val="21"/>
                <w:szCs w:val="21"/>
              </w:rPr>
              <w:t xml:space="preserve"> </w:t>
            </w:r>
          </w:p>
        </w:tc>
        <w:tc>
          <w:tcPr>
            <w:tcW w:w="1304" w:type="pct"/>
            <w:gridSpan w:val="2"/>
          </w:tcPr>
          <w:p w14:paraId="64743C2C" w14:textId="644F649D" w:rsidR="00D92EBC" w:rsidRPr="009B4A73" w:rsidRDefault="0078763F" w:rsidP="00805B6E">
            <w:pPr>
              <w:spacing w:after="0" w:line="240" w:lineRule="auto"/>
              <w:ind w:left="0" w:right="57" w:firstLine="0"/>
              <w:jc w:val="center"/>
              <w:rPr>
                <w:sz w:val="21"/>
                <w:szCs w:val="21"/>
              </w:rPr>
            </w:pPr>
            <w:r w:rsidRPr="009B4A73">
              <w:rPr>
                <w:i/>
                <w:sz w:val="21"/>
                <w:szCs w:val="21"/>
              </w:rPr>
              <w:t>p</w:t>
            </w:r>
            <w:r w:rsidRPr="009B4A73">
              <w:rPr>
                <w:sz w:val="21"/>
                <w:szCs w:val="21"/>
              </w:rPr>
              <w:t>&lt;0.0001</w:t>
            </w:r>
          </w:p>
        </w:tc>
        <w:tc>
          <w:tcPr>
            <w:tcW w:w="1045" w:type="pct"/>
            <w:gridSpan w:val="2"/>
          </w:tcPr>
          <w:p w14:paraId="5A354DB5" w14:textId="54D3BA0A" w:rsidR="00D92EBC" w:rsidRPr="009B4A73" w:rsidRDefault="0078763F" w:rsidP="00805B6E">
            <w:pPr>
              <w:spacing w:after="0" w:line="240" w:lineRule="auto"/>
              <w:ind w:left="0" w:right="57" w:firstLine="0"/>
              <w:jc w:val="center"/>
              <w:rPr>
                <w:sz w:val="21"/>
                <w:szCs w:val="21"/>
              </w:rPr>
            </w:pPr>
            <w:r w:rsidRPr="009B4A73">
              <w:rPr>
                <w:i/>
                <w:sz w:val="21"/>
                <w:szCs w:val="21"/>
              </w:rPr>
              <w:t>p</w:t>
            </w:r>
            <w:r w:rsidRPr="009B4A73">
              <w:rPr>
                <w:sz w:val="21"/>
                <w:szCs w:val="21"/>
              </w:rPr>
              <w:t>=0.0197</w:t>
            </w:r>
          </w:p>
        </w:tc>
        <w:tc>
          <w:tcPr>
            <w:tcW w:w="1039" w:type="pct"/>
            <w:gridSpan w:val="2"/>
          </w:tcPr>
          <w:p w14:paraId="49F2FDE8" w14:textId="5994E780" w:rsidR="00D92EBC" w:rsidRPr="009B4A73" w:rsidRDefault="0078763F" w:rsidP="00805B6E">
            <w:pPr>
              <w:spacing w:after="0" w:line="240" w:lineRule="auto"/>
              <w:ind w:left="0" w:right="57" w:firstLine="0"/>
              <w:jc w:val="center"/>
              <w:rPr>
                <w:sz w:val="21"/>
                <w:szCs w:val="21"/>
              </w:rPr>
            </w:pPr>
            <w:r w:rsidRPr="009B4A73">
              <w:rPr>
                <w:i/>
                <w:sz w:val="21"/>
                <w:szCs w:val="21"/>
              </w:rPr>
              <w:t>p</w:t>
            </w:r>
            <w:r w:rsidRPr="009B4A73">
              <w:rPr>
                <w:sz w:val="21"/>
                <w:szCs w:val="21"/>
              </w:rPr>
              <w:t>=0.0002</w:t>
            </w:r>
          </w:p>
        </w:tc>
        <w:tc>
          <w:tcPr>
            <w:tcW w:w="1027" w:type="pct"/>
            <w:gridSpan w:val="2"/>
          </w:tcPr>
          <w:p w14:paraId="0A038F5E" w14:textId="4081F97C" w:rsidR="00D92EBC" w:rsidRPr="009B4A73" w:rsidRDefault="0078763F" w:rsidP="00805B6E">
            <w:pPr>
              <w:spacing w:after="0" w:line="240" w:lineRule="auto"/>
              <w:ind w:left="0" w:right="57" w:firstLine="0"/>
              <w:jc w:val="center"/>
              <w:rPr>
                <w:sz w:val="21"/>
                <w:szCs w:val="21"/>
              </w:rPr>
            </w:pPr>
            <w:r w:rsidRPr="009B4A73">
              <w:rPr>
                <w:i/>
                <w:sz w:val="21"/>
                <w:szCs w:val="21"/>
              </w:rPr>
              <w:t>p</w:t>
            </w:r>
            <w:r w:rsidRPr="009B4A73">
              <w:rPr>
                <w:sz w:val="21"/>
                <w:szCs w:val="21"/>
              </w:rPr>
              <w:t>=0.0002</w:t>
            </w:r>
          </w:p>
        </w:tc>
      </w:tr>
      <w:tr w:rsidR="00805B6E" w:rsidRPr="009B4A73" w14:paraId="36245AF5" w14:textId="77777777" w:rsidTr="00805B6E">
        <w:trPr>
          <w:trHeight w:val="57"/>
        </w:trPr>
        <w:tc>
          <w:tcPr>
            <w:tcW w:w="586" w:type="pct"/>
          </w:tcPr>
          <w:p w14:paraId="1ABE0730" w14:textId="77777777" w:rsidR="00D92EBC" w:rsidRPr="009B4A73" w:rsidRDefault="0078763F" w:rsidP="000C097D">
            <w:pPr>
              <w:spacing w:after="0" w:line="240" w:lineRule="auto"/>
              <w:ind w:left="0" w:right="57" w:firstLine="0"/>
              <w:rPr>
                <w:sz w:val="21"/>
                <w:szCs w:val="21"/>
              </w:rPr>
            </w:pPr>
            <w:r w:rsidRPr="009B4A73">
              <w:rPr>
                <w:b/>
                <w:sz w:val="21"/>
                <w:szCs w:val="21"/>
              </w:rPr>
              <w:t xml:space="preserve">Median </w:t>
            </w:r>
          </w:p>
          <w:p w14:paraId="07268D84" w14:textId="77777777" w:rsidR="00D92EBC" w:rsidRPr="009B4A73" w:rsidRDefault="0078763F" w:rsidP="000C097D">
            <w:pPr>
              <w:spacing w:after="0" w:line="240" w:lineRule="auto"/>
              <w:ind w:left="0" w:right="57" w:firstLine="0"/>
              <w:rPr>
                <w:sz w:val="21"/>
                <w:szCs w:val="21"/>
              </w:rPr>
            </w:pPr>
            <w:r w:rsidRPr="009B4A73">
              <w:rPr>
                <w:b/>
                <w:sz w:val="21"/>
                <w:szCs w:val="21"/>
              </w:rPr>
              <w:t xml:space="preserve">Duration of </w:t>
            </w:r>
          </w:p>
          <w:p w14:paraId="6D0FA298" w14:textId="45D7F011" w:rsidR="00D92EBC" w:rsidRPr="009B4A73" w:rsidRDefault="0078763F" w:rsidP="000C097D">
            <w:pPr>
              <w:spacing w:after="0" w:line="240" w:lineRule="auto"/>
              <w:ind w:left="0" w:right="57" w:firstLine="0"/>
              <w:rPr>
                <w:sz w:val="21"/>
                <w:szCs w:val="21"/>
              </w:rPr>
            </w:pPr>
            <w:r w:rsidRPr="009B4A73">
              <w:rPr>
                <w:b/>
                <w:sz w:val="21"/>
                <w:szCs w:val="21"/>
              </w:rPr>
              <w:t>Response</w:t>
            </w:r>
            <w:r w:rsidR="00CE0B5E" w:rsidRPr="009B4A73">
              <w:rPr>
                <w:b/>
                <w:sz w:val="21"/>
                <w:szCs w:val="21"/>
              </w:rPr>
              <w:t xml:space="preserve">  </w:t>
            </w:r>
          </w:p>
          <w:p w14:paraId="0BDD906A" w14:textId="77777777" w:rsidR="00D92EBC" w:rsidRPr="009B4A73" w:rsidRDefault="0078763F" w:rsidP="000C097D">
            <w:pPr>
              <w:spacing w:after="0" w:line="240" w:lineRule="auto"/>
              <w:ind w:left="0" w:right="57" w:firstLine="0"/>
              <w:rPr>
                <w:sz w:val="21"/>
                <w:szCs w:val="21"/>
              </w:rPr>
            </w:pPr>
            <w:r w:rsidRPr="009B4A73">
              <w:rPr>
                <w:b/>
                <w:sz w:val="21"/>
                <w:szCs w:val="21"/>
              </w:rPr>
              <w:t>(</w:t>
            </w:r>
            <w:proofErr w:type="gramStart"/>
            <w:r w:rsidRPr="009B4A73">
              <w:rPr>
                <w:b/>
                <w:sz w:val="21"/>
                <w:szCs w:val="21"/>
              </w:rPr>
              <w:t>months</w:t>
            </w:r>
            <w:proofErr w:type="gramEnd"/>
            <w:r w:rsidRPr="009B4A73">
              <w:rPr>
                <w:b/>
                <w:sz w:val="21"/>
                <w:szCs w:val="21"/>
              </w:rPr>
              <w:t xml:space="preserve">, 95% </w:t>
            </w:r>
          </w:p>
          <w:p w14:paraId="4DF9FB43" w14:textId="77777777" w:rsidR="00D92EBC" w:rsidRPr="009B4A73" w:rsidRDefault="0078763F" w:rsidP="000C097D">
            <w:pPr>
              <w:spacing w:after="0" w:line="240" w:lineRule="auto"/>
              <w:ind w:left="0" w:right="57" w:firstLine="0"/>
              <w:rPr>
                <w:sz w:val="21"/>
                <w:szCs w:val="21"/>
              </w:rPr>
            </w:pPr>
            <w:r w:rsidRPr="009B4A73">
              <w:rPr>
                <w:b/>
                <w:sz w:val="21"/>
                <w:szCs w:val="21"/>
              </w:rPr>
              <w:t xml:space="preserve">CI) </w:t>
            </w:r>
          </w:p>
        </w:tc>
        <w:tc>
          <w:tcPr>
            <w:tcW w:w="627" w:type="pct"/>
            <w:vAlign w:val="center"/>
          </w:tcPr>
          <w:p w14:paraId="0A29217E" w14:textId="51F9A4ED" w:rsidR="00D92EBC" w:rsidRPr="009B4A73" w:rsidRDefault="0078763F" w:rsidP="00805B6E">
            <w:pPr>
              <w:spacing w:after="0" w:line="240" w:lineRule="auto"/>
              <w:ind w:left="0" w:right="57" w:firstLine="0"/>
              <w:jc w:val="center"/>
              <w:rPr>
                <w:sz w:val="21"/>
                <w:szCs w:val="21"/>
              </w:rPr>
            </w:pPr>
            <w:r w:rsidRPr="009B4A73">
              <w:rPr>
                <w:sz w:val="21"/>
                <w:szCs w:val="21"/>
              </w:rPr>
              <w:t>9.1</w:t>
            </w:r>
          </w:p>
          <w:p w14:paraId="66F6A4AE" w14:textId="7138F621" w:rsidR="00D92EBC" w:rsidRPr="009B4A73" w:rsidRDefault="0078763F" w:rsidP="00805B6E">
            <w:pPr>
              <w:spacing w:after="0" w:line="240" w:lineRule="auto"/>
              <w:ind w:left="0" w:right="57" w:firstLine="0"/>
              <w:jc w:val="center"/>
              <w:rPr>
                <w:sz w:val="21"/>
                <w:szCs w:val="21"/>
              </w:rPr>
            </w:pPr>
            <w:r w:rsidRPr="009B4A73">
              <w:rPr>
                <w:sz w:val="21"/>
                <w:szCs w:val="21"/>
              </w:rPr>
              <w:t>(7.7,11)</w:t>
            </w:r>
          </w:p>
        </w:tc>
        <w:tc>
          <w:tcPr>
            <w:tcW w:w="677" w:type="pct"/>
            <w:vAlign w:val="center"/>
          </w:tcPr>
          <w:p w14:paraId="1F18931C" w14:textId="31474E9E" w:rsidR="00D92EBC" w:rsidRPr="009B4A73" w:rsidRDefault="0078763F" w:rsidP="00805B6E">
            <w:pPr>
              <w:spacing w:after="0" w:line="240" w:lineRule="auto"/>
              <w:ind w:left="0" w:right="57" w:firstLine="0"/>
              <w:jc w:val="center"/>
              <w:rPr>
                <w:sz w:val="21"/>
                <w:szCs w:val="21"/>
              </w:rPr>
            </w:pPr>
            <w:r w:rsidRPr="009B4A73">
              <w:rPr>
                <w:sz w:val="21"/>
                <w:szCs w:val="21"/>
              </w:rPr>
              <w:t>6.1</w:t>
            </w:r>
          </w:p>
          <w:p w14:paraId="0CD0623B" w14:textId="179FDC57" w:rsidR="00D92EBC" w:rsidRPr="009B4A73" w:rsidRDefault="0078763F" w:rsidP="00805B6E">
            <w:pPr>
              <w:spacing w:after="0" w:line="240" w:lineRule="auto"/>
              <w:ind w:left="0" w:right="57" w:firstLine="0"/>
              <w:jc w:val="center"/>
              <w:rPr>
                <w:sz w:val="21"/>
                <w:szCs w:val="21"/>
              </w:rPr>
            </w:pPr>
            <w:r w:rsidRPr="009B4A73">
              <w:rPr>
                <w:sz w:val="21"/>
                <w:szCs w:val="21"/>
              </w:rPr>
              <w:t>(5.5,7.8)</w:t>
            </w:r>
          </w:p>
        </w:tc>
        <w:tc>
          <w:tcPr>
            <w:tcW w:w="503" w:type="pct"/>
            <w:vAlign w:val="center"/>
          </w:tcPr>
          <w:p w14:paraId="315528BB" w14:textId="6AD4C062" w:rsidR="00D92EBC" w:rsidRPr="009B4A73" w:rsidRDefault="0078763F" w:rsidP="00805B6E">
            <w:pPr>
              <w:spacing w:after="0" w:line="240" w:lineRule="auto"/>
              <w:ind w:left="0" w:right="57" w:firstLine="0"/>
              <w:jc w:val="center"/>
              <w:rPr>
                <w:sz w:val="21"/>
                <w:szCs w:val="21"/>
              </w:rPr>
            </w:pPr>
            <w:r w:rsidRPr="009B4A73">
              <w:rPr>
                <w:sz w:val="21"/>
                <w:szCs w:val="21"/>
              </w:rPr>
              <w:t>9.1</w:t>
            </w:r>
          </w:p>
          <w:p w14:paraId="2B0869B9" w14:textId="3ED7736F" w:rsidR="00D92EBC" w:rsidRPr="009B4A73" w:rsidRDefault="0078763F" w:rsidP="00805B6E">
            <w:pPr>
              <w:spacing w:after="0" w:line="240" w:lineRule="auto"/>
              <w:ind w:left="0" w:right="57" w:firstLine="0"/>
              <w:jc w:val="center"/>
              <w:rPr>
                <w:sz w:val="21"/>
                <w:szCs w:val="21"/>
              </w:rPr>
            </w:pPr>
            <w:r w:rsidRPr="009B4A73">
              <w:rPr>
                <w:sz w:val="21"/>
                <w:szCs w:val="21"/>
              </w:rPr>
              <w:t>(7.4,12.2)</w:t>
            </w:r>
          </w:p>
        </w:tc>
        <w:tc>
          <w:tcPr>
            <w:tcW w:w="542" w:type="pct"/>
            <w:vAlign w:val="center"/>
          </w:tcPr>
          <w:p w14:paraId="7CCCA53C" w14:textId="6A744004" w:rsidR="00D92EBC" w:rsidRPr="009B4A73" w:rsidRDefault="0078763F" w:rsidP="00805B6E">
            <w:pPr>
              <w:spacing w:after="0" w:line="240" w:lineRule="auto"/>
              <w:ind w:left="0" w:right="57" w:firstLine="0"/>
              <w:jc w:val="center"/>
              <w:rPr>
                <w:sz w:val="21"/>
                <w:szCs w:val="21"/>
              </w:rPr>
            </w:pPr>
            <w:r w:rsidRPr="009B4A73">
              <w:rPr>
                <w:sz w:val="21"/>
                <w:szCs w:val="21"/>
              </w:rPr>
              <w:t>6.7</w:t>
            </w:r>
          </w:p>
          <w:p w14:paraId="51EBF67E" w14:textId="08C8B95D" w:rsidR="00D92EBC" w:rsidRPr="009B4A73" w:rsidRDefault="0078763F" w:rsidP="00805B6E">
            <w:pPr>
              <w:spacing w:after="0" w:line="240" w:lineRule="auto"/>
              <w:ind w:left="0" w:right="57" w:firstLine="0"/>
              <w:jc w:val="center"/>
              <w:rPr>
                <w:sz w:val="21"/>
                <w:szCs w:val="21"/>
              </w:rPr>
            </w:pPr>
            <w:r w:rsidRPr="009B4A73">
              <w:rPr>
                <w:sz w:val="21"/>
                <w:szCs w:val="21"/>
              </w:rPr>
              <w:t>(5.8, 8.2)</w:t>
            </w:r>
          </w:p>
        </w:tc>
        <w:tc>
          <w:tcPr>
            <w:tcW w:w="522" w:type="pct"/>
            <w:vAlign w:val="center"/>
          </w:tcPr>
          <w:p w14:paraId="645C17D0" w14:textId="177BEB72" w:rsidR="00D92EBC" w:rsidRPr="009B4A73" w:rsidRDefault="0078763F" w:rsidP="00805B6E">
            <w:pPr>
              <w:spacing w:after="0" w:line="240" w:lineRule="auto"/>
              <w:ind w:left="0" w:right="57" w:firstLine="0"/>
              <w:jc w:val="center"/>
              <w:rPr>
                <w:sz w:val="21"/>
                <w:szCs w:val="21"/>
              </w:rPr>
            </w:pPr>
            <w:r w:rsidRPr="009B4A73">
              <w:rPr>
                <w:sz w:val="21"/>
                <w:szCs w:val="21"/>
              </w:rPr>
              <w:t>10.5</w:t>
            </w:r>
          </w:p>
          <w:p w14:paraId="3C0A70D0" w14:textId="080432E8" w:rsidR="00D92EBC" w:rsidRPr="009B4A73" w:rsidRDefault="0078763F" w:rsidP="00805B6E">
            <w:pPr>
              <w:spacing w:after="0" w:line="240" w:lineRule="auto"/>
              <w:ind w:left="0" w:right="57" w:firstLine="0"/>
              <w:jc w:val="center"/>
              <w:rPr>
                <w:sz w:val="21"/>
                <w:szCs w:val="21"/>
              </w:rPr>
            </w:pPr>
            <w:r w:rsidRPr="009B4A73">
              <w:rPr>
                <w:sz w:val="21"/>
                <w:szCs w:val="21"/>
              </w:rPr>
              <w:t>(7.3, 12.5)</w:t>
            </w:r>
          </w:p>
        </w:tc>
        <w:tc>
          <w:tcPr>
            <w:tcW w:w="517" w:type="pct"/>
            <w:vAlign w:val="center"/>
          </w:tcPr>
          <w:p w14:paraId="7796A4C4" w14:textId="2421B47E" w:rsidR="00D92EBC" w:rsidRPr="009B4A73" w:rsidRDefault="0078763F" w:rsidP="00805B6E">
            <w:pPr>
              <w:spacing w:after="0" w:line="240" w:lineRule="auto"/>
              <w:ind w:left="0" w:right="57" w:firstLine="0"/>
              <w:jc w:val="center"/>
              <w:rPr>
                <w:sz w:val="21"/>
                <w:szCs w:val="21"/>
              </w:rPr>
            </w:pPr>
            <w:r w:rsidRPr="009B4A73">
              <w:rPr>
                <w:sz w:val="21"/>
                <w:szCs w:val="21"/>
              </w:rPr>
              <w:t>4.5</w:t>
            </w:r>
          </w:p>
          <w:p w14:paraId="693BDECC" w14:textId="3C1600D1" w:rsidR="00D92EBC" w:rsidRPr="009B4A73" w:rsidRDefault="0078763F" w:rsidP="00805B6E">
            <w:pPr>
              <w:spacing w:after="0" w:line="240" w:lineRule="auto"/>
              <w:ind w:left="0" w:right="57" w:firstLine="0"/>
              <w:jc w:val="center"/>
              <w:rPr>
                <w:sz w:val="21"/>
                <w:szCs w:val="21"/>
              </w:rPr>
            </w:pPr>
            <w:r w:rsidRPr="009B4A73">
              <w:rPr>
                <w:sz w:val="21"/>
                <w:szCs w:val="21"/>
              </w:rPr>
              <w:t>(3.9, 6.4)</w:t>
            </w:r>
          </w:p>
        </w:tc>
        <w:tc>
          <w:tcPr>
            <w:tcW w:w="489" w:type="pct"/>
            <w:vAlign w:val="center"/>
          </w:tcPr>
          <w:p w14:paraId="38DF3205" w14:textId="332A30DC" w:rsidR="00D92EBC" w:rsidRPr="009B4A73" w:rsidRDefault="0078763F" w:rsidP="00805B6E">
            <w:pPr>
              <w:spacing w:after="0" w:line="240" w:lineRule="auto"/>
              <w:ind w:left="0" w:right="57" w:firstLine="0"/>
              <w:jc w:val="center"/>
              <w:rPr>
                <w:sz w:val="21"/>
                <w:szCs w:val="21"/>
              </w:rPr>
            </w:pPr>
            <w:r w:rsidRPr="009B4A73">
              <w:rPr>
                <w:sz w:val="21"/>
                <w:szCs w:val="21"/>
              </w:rPr>
              <w:t>11.4</w:t>
            </w:r>
          </w:p>
          <w:p w14:paraId="2E4014DF" w14:textId="74A14714" w:rsidR="00D92EBC" w:rsidRPr="009B4A73" w:rsidRDefault="0078763F" w:rsidP="00805B6E">
            <w:pPr>
              <w:spacing w:after="0" w:line="240" w:lineRule="auto"/>
              <w:ind w:left="0" w:right="57" w:firstLine="0"/>
              <w:jc w:val="center"/>
              <w:rPr>
                <w:sz w:val="21"/>
                <w:szCs w:val="21"/>
              </w:rPr>
            </w:pPr>
            <w:r w:rsidRPr="009B4A73">
              <w:rPr>
                <w:sz w:val="21"/>
                <w:szCs w:val="21"/>
              </w:rPr>
              <w:t>(8.3, 15.0)</w:t>
            </w:r>
          </w:p>
        </w:tc>
        <w:tc>
          <w:tcPr>
            <w:tcW w:w="538" w:type="pct"/>
            <w:vAlign w:val="center"/>
          </w:tcPr>
          <w:p w14:paraId="6B6D8421" w14:textId="6A30BE54" w:rsidR="00D92EBC" w:rsidRPr="009B4A73" w:rsidRDefault="0078763F" w:rsidP="00805B6E">
            <w:pPr>
              <w:spacing w:after="0" w:line="240" w:lineRule="auto"/>
              <w:ind w:left="0" w:right="57" w:firstLine="0"/>
              <w:jc w:val="center"/>
              <w:rPr>
                <w:sz w:val="21"/>
                <w:szCs w:val="21"/>
              </w:rPr>
            </w:pPr>
            <w:r w:rsidRPr="009B4A73">
              <w:rPr>
                <w:sz w:val="21"/>
                <w:szCs w:val="21"/>
              </w:rPr>
              <w:t>5.5</w:t>
            </w:r>
          </w:p>
          <w:p w14:paraId="462FE300" w14:textId="6B02844A" w:rsidR="00D92EBC" w:rsidRPr="009B4A73" w:rsidRDefault="0078763F" w:rsidP="00805B6E">
            <w:pPr>
              <w:spacing w:after="0" w:line="240" w:lineRule="auto"/>
              <w:ind w:left="0" w:right="57" w:firstLine="0"/>
              <w:jc w:val="center"/>
              <w:rPr>
                <w:sz w:val="21"/>
                <w:szCs w:val="21"/>
              </w:rPr>
            </w:pPr>
            <w:r w:rsidRPr="009B4A73">
              <w:rPr>
                <w:sz w:val="21"/>
                <w:szCs w:val="21"/>
              </w:rPr>
              <w:t>(4.4, 6.2)</w:t>
            </w:r>
          </w:p>
        </w:tc>
      </w:tr>
      <w:tr w:rsidR="00805B6E" w:rsidRPr="009B4A73" w14:paraId="32B1F218" w14:textId="77777777" w:rsidTr="00805B6E">
        <w:trPr>
          <w:trHeight w:val="57"/>
        </w:trPr>
        <w:tc>
          <w:tcPr>
            <w:tcW w:w="586" w:type="pct"/>
          </w:tcPr>
          <w:p w14:paraId="2BC22852" w14:textId="77777777" w:rsidR="00D92EBC" w:rsidRPr="009B4A73" w:rsidRDefault="0078763F" w:rsidP="000C097D">
            <w:pPr>
              <w:spacing w:after="0" w:line="240" w:lineRule="auto"/>
              <w:ind w:left="0" w:right="57" w:firstLine="0"/>
              <w:rPr>
                <w:sz w:val="21"/>
                <w:szCs w:val="21"/>
              </w:rPr>
            </w:pPr>
            <w:r w:rsidRPr="009B4A73">
              <w:rPr>
                <w:b/>
                <w:i/>
                <w:sz w:val="21"/>
                <w:szCs w:val="21"/>
              </w:rPr>
              <w:t>p</w:t>
            </w:r>
            <w:r w:rsidRPr="009B4A73">
              <w:rPr>
                <w:b/>
                <w:sz w:val="21"/>
                <w:szCs w:val="21"/>
              </w:rPr>
              <w:t>-value</w:t>
            </w:r>
            <w:r w:rsidRPr="009B4A73">
              <w:rPr>
                <w:b/>
                <w:i/>
                <w:sz w:val="21"/>
                <w:szCs w:val="21"/>
              </w:rPr>
              <w:t xml:space="preserve"> </w:t>
            </w:r>
            <w:r w:rsidRPr="009B4A73">
              <w:rPr>
                <w:sz w:val="21"/>
                <w:szCs w:val="21"/>
                <w:vertAlign w:val="superscript"/>
              </w:rPr>
              <w:t>a</w:t>
            </w:r>
            <w:r w:rsidRPr="009B4A73">
              <w:rPr>
                <w:b/>
                <w:sz w:val="21"/>
                <w:szCs w:val="21"/>
              </w:rPr>
              <w:t xml:space="preserve"> </w:t>
            </w:r>
          </w:p>
        </w:tc>
        <w:tc>
          <w:tcPr>
            <w:tcW w:w="1304" w:type="pct"/>
            <w:gridSpan w:val="2"/>
          </w:tcPr>
          <w:p w14:paraId="529197EC" w14:textId="77777777" w:rsidR="00D92EBC" w:rsidRPr="009B4A73" w:rsidRDefault="0078763F" w:rsidP="000C097D">
            <w:pPr>
              <w:spacing w:after="0" w:line="240" w:lineRule="auto"/>
              <w:ind w:left="0" w:right="57" w:firstLine="0"/>
              <w:jc w:val="center"/>
              <w:rPr>
                <w:sz w:val="21"/>
                <w:szCs w:val="21"/>
              </w:rPr>
            </w:pPr>
            <w:r w:rsidRPr="009B4A73">
              <w:rPr>
                <w:i/>
                <w:sz w:val="21"/>
                <w:szCs w:val="21"/>
              </w:rPr>
              <w:t>p</w:t>
            </w:r>
            <w:r w:rsidRPr="009B4A73">
              <w:rPr>
                <w:sz w:val="21"/>
                <w:szCs w:val="21"/>
              </w:rPr>
              <w:t xml:space="preserve">=0.0002 </w:t>
            </w:r>
          </w:p>
        </w:tc>
        <w:tc>
          <w:tcPr>
            <w:tcW w:w="1045" w:type="pct"/>
            <w:gridSpan w:val="2"/>
          </w:tcPr>
          <w:p w14:paraId="367E132C" w14:textId="77777777" w:rsidR="00D92EBC" w:rsidRPr="009B4A73" w:rsidRDefault="0078763F" w:rsidP="000C097D">
            <w:pPr>
              <w:spacing w:after="0" w:line="240" w:lineRule="auto"/>
              <w:ind w:left="0" w:right="57" w:firstLine="0"/>
              <w:jc w:val="center"/>
              <w:rPr>
                <w:sz w:val="21"/>
                <w:szCs w:val="21"/>
              </w:rPr>
            </w:pPr>
            <w:r w:rsidRPr="009B4A73">
              <w:rPr>
                <w:i/>
                <w:sz w:val="21"/>
                <w:szCs w:val="21"/>
              </w:rPr>
              <w:t>p</w:t>
            </w:r>
            <w:r w:rsidRPr="009B4A73">
              <w:rPr>
                <w:sz w:val="21"/>
                <w:szCs w:val="21"/>
              </w:rPr>
              <w:t>=0.0047</w:t>
            </w:r>
            <w:r w:rsidRPr="009B4A73">
              <w:rPr>
                <w:i/>
                <w:sz w:val="21"/>
                <w:szCs w:val="21"/>
              </w:rPr>
              <w:t xml:space="preserve"> </w:t>
            </w:r>
          </w:p>
        </w:tc>
        <w:tc>
          <w:tcPr>
            <w:tcW w:w="1039" w:type="pct"/>
            <w:gridSpan w:val="2"/>
          </w:tcPr>
          <w:p w14:paraId="1DB2620B" w14:textId="77777777" w:rsidR="00D92EBC" w:rsidRPr="009B4A73" w:rsidRDefault="0078763F" w:rsidP="000C097D">
            <w:pPr>
              <w:spacing w:after="0" w:line="240" w:lineRule="auto"/>
              <w:ind w:left="0" w:right="57" w:firstLine="0"/>
              <w:jc w:val="center"/>
              <w:rPr>
                <w:sz w:val="21"/>
                <w:szCs w:val="21"/>
              </w:rPr>
            </w:pPr>
            <w:r w:rsidRPr="009B4A73">
              <w:rPr>
                <w:i/>
                <w:sz w:val="21"/>
                <w:szCs w:val="21"/>
              </w:rPr>
              <w:t>p</w:t>
            </w:r>
            <w:r w:rsidRPr="009B4A73">
              <w:rPr>
                <w:sz w:val="21"/>
                <w:szCs w:val="21"/>
              </w:rPr>
              <w:t xml:space="preserve">=0.0124 </w:t>
            </w:r>
          </w:p>
        </w:tc>
        <w:tc>
          <w:tcPr>
            <w:tcW w:w="1027" w:type="pct"/>
            <w:gridSpan w:val="2"/>
          </w:tcPr>
          <w:p w14:paraId="5F67F86A" w14:textId="77777777" w:rsidR="00D92EBC" w:rsidRPr="009B4A73" w:rsidRDefault="0078763F" w:rsidP="000C097D">
            <w:pPr>
              <w:spacing w:after="0" w:line="240" w:lineRule="auto"/>
              <w:ind w:left="0" w:right="57" w:firstLine="0"/>
              <w:jc w:val="center"/>
              <w:rPr>
                <w:sz w:val="21"/>
                <w:szCs w:val="21"/>
              </w:rPr>
            </w:pPr>
            <w:r w:rsidRPr="009B4A73">
              <w:rPr>
                <w:i/>
                <w:sz w:val="21"/>
                <w:szCs w:val="21"/>
              </w:rPr>
              <w:t>p</w:t>
            </w:r>
            <w:r w:rsidRPr="009B4A73">
              <w:rPr>
                <w:sz w:val="21"/>
                <w:szCs w:val="21"/>
              </w:rPr>
              <w:t xml:space="preserve">=0.0002 </w:t>
            </w:r>
          </w:p>
        </w:tc>
      </w:tr>
      <w:tr w:rsidR="00805B6E" w:rsidRPr="009B4A73" w14:paraId="01603532" w14:textId="77777777" w:rsidTr="00805B6E">
        <w:trPr>
          <w:trHeight w:val="57"/>
        </w:trPr>
        <w:tc>
          <w:tcPr>
            <w:tcW w:w="586" w:type="pct"/>
          </w:tcPr>
          <w:p w14:paraId="6FA158A9" w14:textId="77777777" w:rsidR="00D92EBC" w:rsidRPr="009B4A73" w:rsidRDefault="0078763F" w:rsidP="000C097D">
            <w:pPr>
              <w:spacing w:after="0" w:line="240" w:lineRule="auto"/>
              <w:ind w:left="0" w:right="57" w:firstLine="0"/>
              <w:rPr>
                <w:sz w:val="21"/>
                <w:szCs w:val="21"/>
              </w:rPr>
            </w:pPr>
            <w:r w:rsidRPr="009B4A73">
              <w:rPr>
                <w:b/>
                <w:sz w:val="21"/>
                <w:szCs w:val="21"/>
              </w:rPr>
              <w:t xml:space="preserve">Overall </w:t>
            </w:r>
          </w:p>
          <w:p w14:paraId="1BD33259" w14:textId="77777777" w:rsidR="00D92EBC" w:rsidRPr="009B4A73" w:rsidRDefault="0078763F" w:rsidP="000C097D">
            <w:pPr>
              <w:spacing w:after="0" w:line="240" w:lineRule="auto"/>
              <w:ind w:left="0" w:right="57" w:firstLine="0"/>
              <w:rPr>
                <w:sz w:val="21"/>
                <w:szCs w:val="21"/>
              </w:rPr>
            </w:pPr>
            <w:r w:rsidRPr="009B4A73">
              <w:rPr>
                <w:b/>
                <w:sz w:val="21"/>
                <w:szCs w:val="21"/>
              </w:rPr>
              <w:t xml:space="preserve">Survival </w:t>
            </w:r>
          </w:p>
          <w:p w14:paraId="103F49FD" w14:textId="77777777" w:rsidR="00D92EBC" w:rsidRPr="009B4A73" w:rsidRDefault="0078763F" w:rsidP="000C097D">
            <w:pPr>
              <w:spacing w:after="0" w:line="240" w:lineRule="auto"/>
              <w:ind w:left="0" w:right="57" w:firstLine="0"/>
              <w:rPr>
                <w:sz w:val="21"/>
                <w:szCs w:val="21"/>
              </w:rPr>
            </w:pPr>
            <w:r w:rsidRPr="009B4A73">
              <w:rPr>
                <w:b/>
                <w:sz w:val="21"/>
                <w:szCs w:val="21"/>
              </w:rPr>
              <w:t>(</w:t>
            </w:r>
            <w:proofErr w:type="gramStart"/>
            <w:r w:rsidRPr="009B4A73">
              <w:rPr>
                <w:b/>
                <w:sz w:val="21"/>
                <w:szCs w:val="21"/>
              </w:rPr>
              <w:t>months</w:t>
            </w:r>
            <w:proofErr w:type="gramEnd"/>
            <w:r w:rsidRPr="009B4A73">
              <w:rPr>
                <w:b/>
                <w:sz w:val="21"/>
                <w:szCs w:val="21"/>
              </w:rPr>
              <w:t xml:space="preserve">, 95% </w:t>
            </w:r>
          </w:p>
          <w:p w14:paraId="67063797" w14:textId="77777777" w:rsidR="00D92EBC" w:rsidRPr="009B4A73" w:rsidRDefault="0078763F" w:rsidP="000C097D">
            <w:pPr>
              <w:spacing w:after="0" w:line="240" w:lineRule="auto"/>
              <w:ind w:left="0" w:right="57" w:firstLine="0"/>
              <w:rPr>
                <w:sz w:val="21"/>
                <w:szCs w:val="21"/>
              </w:rPr>
            </w:pPr>
            <w:r w:rsidRPr="009B4A73">
              <w:rPr>
                <w:b/>
                <w:sz w:val="21"/>
                <w:szCs w:val="21"/>
              </w:rPr>
              <w:t xml:space="preserve">CI) </w:t>
            </w:r>
          </w:p>
        </w:tc>
        <w:tc>
          <w:tcPr>
            <w:tcW w:w="627" w:type="pct"/>
            <w:vAlign w:val="center"/>
          </w:tcPr>
          <w:p w14:paraId="748F7D09" w14:textId="5A99FAAD" w:rsidR="00D92EBC" w:rsidRPr="009B4A73" w:rsidRDefault="0078763F" w:rsidP="00805B6E">
            <w:pPr>
              <w:spacing w:after="0" w:line="240" w:lineRule="auto"/>
              <w:ind w:left="0" w:right="57" w:firstLine="0"/>
              <w:jc w:val="center"/>
              <w:rPr>
                <w:sz w:val="21"/>
                <w:szCs w:val="21"/>
              </w:rPr>
            </w:pPr>
            <w:r w:rsidRPr="009B4A73">
              <w:rPr>
                <w:sz w:val="21"/>
                <w:szCs w:val="21"/>
              </w:rPr>
              <w:t>24.8</w:t>
            </w:r>
          </w:p>
          <w:p w14:paraId="3FBCB2AA" w14:textId="603298FC" w:rsidR="00D92EBC" w:rsidRPr="009B4A73" w:rsidRDefault="0078763F" w:rsidP="00805B6E">
            <w:pPr>
              <w:spacing w:after="0" w:line="240" w:lineRule="auto"/>
              <w:ind w:left="0" w:right="57" w:firstLine="0"/>
              <w:jc w:val="center"/>
              <w:rPr>
                <w:sz w:val="21"/>
                <w:szCs w:val="21"/>
              </w:rPr>
            </w:pPr>
            <w:r w:rsidRPr="009B4A73">
              <w:rPr>
                <w:sz w:val="21"/>
                <w:szCs w:val="21"/>
              </w:rPr>
              <w:t>(22.3,33.7)</w:t>
            </w:r>
          </w:p>
        </w:tc>
        <w:tc>
          <w:tcPr>
            <w:tcW w:w="677" w:type="pct"/>
            <w:vAlign w:val="center"/>
          </w:tcPr>
          <w:p w14:paraId="451EE8EB" w14:textId="1023E918" w:rsidR="00D92EBC" w:rsidRPr="009B4A73" w:rsidRDefault="0078763F" w:rsidP="00805B6E">
            <w:pPr>
              <w:spacing w:after="0" w:line="240" w:lineRule="auto"/>
              <w:ind w:left="0" w:right="57" w:firstLine="0"/>
              <w:jc w:val="center"/>
              <w:rPr>
                <w:sz w:val="21"/>
                <w:szCs w:val="21"/>
              </w:rPr>
            </w:pPr>
            <w:r w:rsidRPr="009B4A73">
              <w:rPr>
                <w:sz w:val="21"/>
                <w:szCs w:val="21"/>
              </w:rPr>
              <w:t>20.5</w:t>
            </w:r>
          </w:p>
          <w:p w14:paraId="4DDA4BF3" w14:textId="4CB206A0" w:rsidR="00D92EBC" w:rsidRPr="009B4A73" w:rsidRDefault="0078763F" w:rsidP="00805B6E">
            <w:pPr>
              <w:spacing w:after="0" w:line="240" w:lineRule="auto"/>
              <w:ind w:left="0" w:right="57" w:firstLine="0"/>
              <w:jc w:val="center"/>
              <w:rPr>
                <w:sz w:val="21"/>
                <w:szCs w:val="21"/>
              </w:rPr>
            </w:pPr>
            <w:r w:rsidRPr="009B4A73">
              <w:rPr>
                <w:sz w:val="21"/>
                <w:szCs w:val="21"/>
              </w:rPr>
              <w:t>(17.9,25.3)</w:t>
            </w:r>
          </w:p>
        </w:tc>
        <w:tc>
          <w:tcPr>
            <w:tcW w:w="503" w:type="pct"/>
            <w:vAlign w:val="center"/>
          </w:tcPr>
          <w:p w14:paraId="4AA0752E" w14:textId="64B4F7D9" w:rsidR="00D92EBC" w:rsidRPr="009B4A73" w:rsidRDefault="0078763F" w:rsidP="00805B6E">
            <w:pPr>
              <w:spacing w:after="0" w:line="240" w:lineRule="auto"/>
              <w:ind w:left="0" w:right="57" w:firstLine="0"/>
              <w:jc w:val="center"/>
              <w:rPr>
                <w:sz w:val="21"/>
                <w:szCs w:val="21"/>
              </w:rPr>
            </w:pPr>
            <w:r w:rsidRPr="009B4A73">
              <w:rPr>
                <w:sz w:val="21"/>
                <w:szCs w:val="21"/>
              </w:rPr>
              <w:t>33.4</w:t>
            </w:r>
          </w:p>
          <w:p w14:paraId="08BC3FA1" w14:textId="0D9523DD" w:rsidR="00D92EBC" w:rsidRPr="009B4A73" w:rsidRDefault="0078763F" w:rsidP="00805B6E">
            <w:pPr>
              <w:spacing w:after="0" w:line="240" w:lineRule="auto"/>
              <w:ind w:left="0" w:right="57" w:firstLine="0"/>
              <w:jc w:val="center"/>
              <w:rPr>
                <w:sz w:val="21"/>
                <w:szCs w:val="21"/>
              </w:rPr>
            </w:pPr>
            <w:r w:rsidRPr="009B4A73">
              <w:rPr>
                <w:sz w:val="21"/>
                <w:szCs w:val="21"/>
              </w:rPr>
              <w:t>(22.8,38.1)</w:t>
            </w:r>
          </w:p>
        </w:tc>
        <w:tc>
          <w:tcPr>
            <w:tcW w:w="542" w:type="pct"/>
            <w:vAlign w:val="center"/>
          </w:tcPr>
          <w:p w14:paraId="38E1B5C4" w14:textId="2D8D9B92" w:rsidR="00D92EBC" w:rsidRPr="009B4A73" w:rsidRDefault="0078763F" w:rsidP="00805B6E">
            <w:pPr>
              <w:spacing w:after="0" w:line="240" w:lineRule="auto"/>
              <w:ind w:left="0" w:right="57" w:firstLine="0"/>
              <w:jc w:val="center"/>
              <w:rPr>
                <w:sz w:val="21"/>
                <w:szCs w:val="21"/>
              </w:rPr>
            </w:pPr>
            <w:r w:rsidRPr="009B4A73">
              <w:rPr>
                <w:sz w:val="21"/>
                <w:szCs w:val="21"/>
              </w:rPr>
              <w:t>22.8</w:t>
            </w:r>
          </w:p>
          <w:p w14:paraId="4606F579" w14:textId="2C95F20D" w:rsidR="00D92EBC" w:rsidRPr="009B4A73" w:rsidRDefault="0078763F" w:rsidP="00805B6E">
            <w:pPr>
              <w:spacing w:after="0" w:line="240" w:lineRule="auto"/>
              <w:ind w:left="0" w:right="57" w:firstLine="0"/>
              <w:jc w:val="center"/>
              <w:rPr>
                <w:sz w:val="21"/>
                <w:szCs w:val="21"/>
              </w:rPr>
            </w:pPr>
            <w:r w:rsidRPr="009B4A73">
              <w:rPr>
                <w:sz w:val="21"/>
                <w:szCs w:val="21"/>
              </w:rPr>
              <w:t>(18.3,29.8)</w:t>
            </w:r>
          </w:p>
        </w:tc>
        <w:tc>
          <w:tcPr>
            <w:tcW w:w="522" w:type="pct"/>
            <w:vAlign w:val="center"/>
          </w:tcPr>
          <w:p w14:paraId="1403F18F" w14:textId="0F73B78A" w:rsidR="00D92EBC" w:rsidRPr="009B4A73" w:rsidRDefault="0078763F" w:rsidP="00805B6E">
            <w:pPr>
              <w:spacing w:after="0" w:line="240" w:lineRule="auto"/>
              <w:ind w:left="0" w:right="57" w:firstLine="0"/>
              <w:jc w:val="center"/>
              <w:rPr>
                <w:sz w:val="21"/>
                <w:szCs w:val="21"/>
              </w:rPr>
            </w:pPr>
            <w:r w:rsidRPr="009B4A73">
              <w:rPr>
                <w:sz w:val="21"/>
                <w:szCs w:val="21"/>
              </w:rPr>
              <w:t>22.1</w:t>
            </w:r>
          </w:p>
          <w:p w14:paraId="7656C32D" w14:textId="6554E24D" w:rsidR="00D92EBC" w:rsidRPr="009B4A73" w:rsidRDefault="0078763F" w:rsidP="00805B6E">
            <w:pPr>
              <w:spacing w:after="0" w:line="240" w:lineRule="auto"/>
              <w:ind w:left="0" w:right="57" w:firstLine="0"/>
              <w:jc w:val="center"/>
              <w:rPr>
                <w:sz w:val="21"/>
                <w:szCs w:val="21"/>
              </w:rPr>
            </w:pPr>
            <w:r w:rsidRPr="009B4A73">
              <w:rPr>
                <w:sz w:val="21"/>
                <w:szCs w:val="21"/>
              </w:rPr>
              <w:t>(16.9,33.7)</w:t>
            </w:r>
          </w:p>
        </w:tc>
        <w:tc>
          <w:tcPr>
            <w:tcW w:w="517" w:type="pct"/>
            <w:vAlign w:val="center"/>
          </w:tcPr>
          <w:p w14:paraId="798A9971" w14:textId="047A9485" w:rsidR="00D92EBC" w:rsidRPr="009B4A73" w:rsidRDefault="0078763F" w:rsidP="00805B6E">
            <w:pPr>
              <w:spacing w:after="0" w:line="240" w:lineRule="auto"/>
              <w:ind w:left="0" w:right="57" w:firstLine="0"/>
              <w:jc w:val="center"/>
              <w:rPr>
                <w:sz w:val="21"/>
                <w:szCs w:val="21"/>
              </w:rPr>
            </w:pPr>
            <w:r w:rsidRPr="009B4A73">
              <w:rPr>
                <w:sz w:val="21"/>
                <w:szCs w:val="21"/>
              </w:rPr>
              <w:t>18.4</w:t>
            </w:r>
          </w:p>
          <w:p w14:paraId="552D8D3E" w14:textId="6DA05F0C" w:rsidR="00D92EBC" w:rsidRPr="009B4A73" w:rsidRDefault="0078763F" w:rsidP="00805B6E">
            <w:pPr>
              <w:spacing w:after="0" w:line="240" w:lineRule="auto"/>
              <w:ind w:left="0" w:right="57" w:firstLine="0"/>
              <w:jc w:val="center"/>
              <w:rPr>
                <w:sz w:val="21"/>
                <w:szCs w:val="21"/>
              </w:rPr>
            </w:pPr>
            <w:r w:rsidRPr="009B4A73">
              <w:rPr>
                <w:sz w:val="21"/>
                <w:szCs w:val="21"/>
              </w:rPr>
              <w:t>(12.7,23.8)</w:t>
            </w:r>
          </w:p>
        </w:tc>
        <w:tc>
          <w:tcPr>
            <w:tcW w:w="489" w:type="pct"/>
            <w:vAlign w:val="center"/>
          </w:tcPr>
          <w:p w14:paraId="4F9073D7" w14:textId="3C6B3A0F" w:rsidR="00D92EBC" w:rsidRPr="009B4A73" w:rsidRDefault="0078763F" w:rsidP="00805B6E">
            <w:pPr>
              <w:spacing w:after="0" w:line="240" w:lineRule="auto"/>
              <w:ind w:left="0" w:right="57" w:firstLine="0"/>
              <w:jc w:val="center"/>
              <w:rPr>
                <w:sz w:val="21"/>
                <w:szCs w:val="21"/>
              </w:rPr>
            </w:pPr>
            <w:r w:rsidRPr="009B4A73">
              <w:rPr>
                <w:sz w:val="21"/>
                <w:szCs w:val="21"/>
              </w:rPr>
              <w:t>30.5 (26.8, ne)</w:t>
            </w:r>
          </w:p>
        </w:tc>
        <w:tc>
          <w:tcPr>
            <w:tcW w:w="538" w:type="pct"/>
            <w:vAlign w:val="center"/>
          </w:tcPr>
          <w:p w14:paraId="73B8E3A8" w14:textId="789F1E19" w:rsidR="00D92EBC" w:rsidRPr="009B4A73" w:rsidRDefault="0078763F" w:rsidP="00805B6E">
            <w:pPr>
              <w:spacing w:after="0" w:line="240" w:lineRule="auto"/>
              <w:ind w:left="0" w:right="57" w:firstLine="0"/>
              <w:jc w:val="center"/>
              <w:rPr>
                <w:sz w:val="21"/>
                <w:szCs w:val="21"/>
              </w:rPr>
            </w:pPr>
            <w:r w:rsidRPr="009B4A73">
              <w:rPr>
                <w:sz w:val="21"/>
                <w:szCs w:val="21"/>
              </w:rPr>
              <w:t>22.1</w:t>
            </w:r>
          </w:p>
          <w:p w14:paraId="5A04B352" w14:textId="70EA2F19" w:rsidR="00D92EBC" w:rsidRPr="009B4A73" w:rsidRDefault="0078763F" w:rsidP="00805B6E">
            <w:pPr>
              <w:spacing w:after="0" w:line="240" w:lineRule="auto"/>
              <w:ind w:left="0" w:right="57" w:firstLine="0"/>
              <w:jc w:val="center"/>
              <w:rPr>
                <w:sz w:val="21"/>
                <w:szCs w:val="21"/>
              </w:rPr>
            </w:pPr>
            <w:r w:rsidRPr="009B4A73">
              <w:rPr>
                <w:sz w:val="21"/>
                <w:szCs w:val="21"/>
              </w:rPr>
              <w:t>(17.6,</w:t>
            </w:r>
            <w:r w:rsidR="00805B6E" w:rsidRPr="009B4A73">
              <w:rPr>
                <w:sz w:val="21"/>
                <w:szCs w:val="21"/>
              </w:rPr>
              <w:t xml:space="preserve"> </w:t>
            </w:r>
            <w:r w:rsidRPr="009B4A73">
              <w:rPr>
                <w:sz w:val="21"/>
                <w:szCs w:val="21"/>
              </w:rPr>
              <w:t>28.9)</w:t>
            </w:r>
          </w:p>
        </w:tc>
      </w:tr>
      <w:tr w:rsidR="00805B6E" w:rsidRPr="009B4A73" w14:paraId="258BA6A4" w14:textId="77777777" w:rsidTr="00805B6E">
        <w:trPr>
          <w:trHeight w:val="57"/>
        </w:trPr>
        <w:tc>
          <w:tcPr>
            <w:tcW w:w="586" w:type="pct"/>
          </w:tcPr>
          <w:p w14:paraId="62E581EC" w14:textId="77777777" w:rsidR="00D92EBC" w:rsidRPr="009B4A73" w:rsidRDefault="0078763F" w:rsidP="000C097D">
            <w:pPr>
              <w:spacing w:after="0" w:line="240" w:lineRule="auto"/>
              <w:ind w:left="0" w:right="57" w:firstLine="0"/>
              <w:rPr>
                <w:sz w:val="21"/>
                <w:szCs w:val="21"/>
              </w:rPr>
            </w:pPr>
            <w:r w:rsidRPr="009B4A73">
              <w:rPr>
                <w:b/>
                <w:i/>
                <w:sz w:val="21"/>
                <w:szCs w:val="21"/>
              </w:rPr>
              <w:t>p</w:t>
            </w:r>
            <w:r w:rsidRPr="009B4A73">
              <w:rPr>
                <w:b/>
                <w:sz w:val="21"/>
                <w:szCs w:val="21"/>
              </w:rPr>
              <w:t>-value</w:t>
            </w:r>
            <w:r w:rsidRPr="009B4A73">
              <w:rPr>
                <w:b/>
                <w:i/>
                <w:sz w:val="21"/>
                <w:szCs w:val="21"/>
              </w:rPr>
              <w:t xml:space="preserve"> </w:t>
            </w:r>
            <w:r w:rsidRPr="009B4A73">
              <w:rPr>
                <w:sz w:val="21"/>
                <w:szCs w:val="21"/>
                <w:vertAlign w:val="superscript"/>
              </w:rPr>
              <w:t>a</w:t>
            </w:r>
            <w:r w:rsidRPr="009B4A73">
              <w:rPr>
                <w:sz w:val="21"/>
                <w:szCs w:val="21"/>
              </w:rPr>
              <w:t xml:space="preserve"> </w:t>
            </w:r>
          </w:p>
        </w:tc>
        <w:tc>
          <w:tcPr>
            <w:tcW w:w="1304" w:type="pct"/>
            <w:gridSpan w:val="2"/>
            <w:vAlign w:val="center"/>
          </w:tcPr>
          <w:p w14:paraId="19B634DF" w14:textId="1D933439" w:rsidR="00D92EBC" w:rsidRPr="009B4A73" w:rsidRDefault="0078763F" w:rsidP="00805B6E">
            <w:pPr>
              <w:spacing w:after="0" w:line="240" w:lineRule="auto"/>
              <w:ind w:left="0" w:right="57" w:firstLine="0"/>
              <w:jc w:val="center"/>
              <w:rPr>
                <w:sz w:val="21"/>
                <w:szCs w:val="21"/>
              </w:rPr>
            </w:pPr>
            <w:r w:rsidRPr="009B4A73">
              <w:rPr>
                <w:i/>
                <w:sz w:val="21"/>
                <w:szCs w:val="21"/>
              </w:rPr>
              <w:t>p</w:t>
            </w:r>
            <w:r w:rsidRPr="009B4A73">
              <w:rPr>
                <w:sz w:val="21"/>
                <w:szCs w:val="21"/>
              </w:rPr>
              <w:t>=0.0540</w:t>
            </w:r>
          </w:p>
        </w:tc>
        <w:tc>
          <w:tcPr>
            <w:tcW w:w="1045" w:type="pct"/>
            <w:gridSpan w:val="2"/>
            <w:vAlign w:val="center"/>
          </w:tcPr>
          <w:p w14:paraId="7E1710CC" w14:textId="3347428E" w:rsidR="00D92EBC" w:rsidRPr="009B4A73" w:rsidRDefault="0078763F" w:rsidP="00805B6E">
            <w:pPr>
              <w:spacing w:after="0" w:line="240" w:lineRule="auto"/>
              <w:ind w:left="0" w:right="57" w:firstLine="0"/>
              <w:jc w:val="center"/>
              <w:rPr>
                <w:sz w:val="21"/>
                <w:szCs w:val="21"/>
              </w:rPr>
            </w:pPr>
            <w:r w:rsidRPr="009B4A73">
              <w:rPr>
                <w:i/>
                <w:sz w:val="21"/>
                <w:szCs w:val="21"/>
              </w:rPr>
              <w:t>p</w:t>
            </w:r>
            <w:r w:rsidRPr="009B4A73">
              <w:rPr>
                <w:sz w:val="21"/>
                <w:szCs w:val="21"/>
              </w:rPr>
              <w:t>=0.1021</w:t>
            </w:r>
          </w:p>
        </w:tc>
        <w:tc>
          <w:tcPr>
            <w:tcW w:w="1039" w:type="pct"/>
            <w:gridSpan w:val="2"/>
            <w:vAlign w:val="center"/>
          </w:tcPr>
          <w:p w14:paraId="55EC4E61" w14:textId="4FD0FEE0" w:rsidR="00D92EBC" w:rsidRPr="009B4A73" w:rsidRDefault="0078763F" w:rsidP="00805B6E">
            <w:pPr>
              <w:spacing w:after="0" w:line="240" w:lineRule="auto"/>
              <w:ind w:left="0" w:right="57" w:firstLine="0"/>
              <w:jc w:val="center"/>
              <w:rPr>
                <w:sz w:val="21"/>
                <w:szCs w:val="21"/>
              </w:rPr>
            </w:pPr>
            <w:r w:rsidRPr="009B4A73">
              <w:rPr>
                <w:i/>
                <w:sz w:val="21"/>
                <w:szCs w:val="21"/>
              </w:rPr>
              <w:t>p</w:t>
            </w:r>
            <w:r w:rsidRPr="009B4A73">
              <w:rPr>
                <w:sz w:val="21"/>
                <w:szCs w:val="21"/>
              </w:rPr>
              <w:t>=0.2597</w:t>
            </w:r>
          </w:p>
        </w:tc>
        <w:tc>
          <w:tcPr>
            <w:tcW w:w="1027" w:type="pct"/>
            <w:gridSpan w:val="2"/>
            <w:vAlign w:val="center"/>
          </w:tcPr>
          <w:p w14:paraId="6587CB35" w14:textId="1FCEC78C" w:rsidR="00D92EBC" w:rsidRPr="009B4A73" w:rsidRDefault="0078763F" w:rsidP="00805B6E">
            <w:pPr>
              <w:spacing w:after="0" w:line="240" w:lineRule="auto"/>
              <w:ind w:left="0" w:right="57" w:firstLine="0"/>
              <w:jc w:val="center"/>
              <w:rPr>
                <w:sz w:val="21"/>
                <w:szCs w:val="21"/>
              </w:rPr>
            </w:pPr>
            <w:r w:rsidRPr="009B4A73">
              <w:rPr>
                <w:i/>
                <w:sz w:val="21"/>
                <w:szCs w:val="21"/>
              </w:rPr>
              <w:t>p</w:t>
            </w:r>
            <w:r w:rsidRPr="009B4A73">
              <w:rPr>
                <w:sz w:val="21"/>
                <w:szCs w:val="21"/>
              </w:rPr>
              <w:t>=0.0062</w:t>
            </w:r>
          </w:p>
        </w:tc>
      </w:tr>
    </w:tbl>
    <w:p w14:paraId="7984BB1D" w14:textId="60916DDE" w:rsidR="00D92EBC" w:rsidRPr="009B4A73" w:rsidRDefault="0078763F" w:rsidP="00805B6E">
      <w:pPr>
        <w:tabs>
          <w:tab w:val="left" w:pos="8505"/>
        </w:tabs>
        <w:spacing w:after="0" w:line="240" w:lineRule="auto"/>
        <w:ind w:left="426" w:right="-19"/>
        <w:rPr>
          <w:sz w:val="20"/>
          <w:szCs w:val="20"/>
        </w:rPr>
      </w:pPr>
      <w:r w:rsidRPr="009B4A73">
        <w:rPr>
          <w:sz w:val="20"/>
          <w:szCs w:val="20"/>
        </w:rPr>
        <w:t xml:space="preserve">H = </w:t>
      </w:r>
      <w:r w:rsidR="00805B6E" w:rsidRPr="009B4A73">
        <w:rPr>
          <w:sz w:val="20"/>
          <w:szCs w:val="20"/>
        </w:rPr>
        <w:t>T</w:t>
      </w:r>
      <w:r w:rsidR="003A3CFA" w:rsidRPr="009B4A73">
        <w:rPr>
          <w:sz w:val="20"/>
          <w:szCs w:val="20"/>
        </w:rPr>
        <w:t>rastuzumab</w:t>
      </w:r>
      <w:r w:rsidRPr="009B4A73">
        <w:rPr>
          <w:sz w:val="20"/>
          <w:szCs w:val="20"/>
        </w:rPr>
        <w:t>; Chemo = chemotherapy; AC = anthracycline + cyclophosphamide; P = paclitaxel; D = docetaxel</w:t>
      </w:r>
      <w:r w:rsidR="008805AA" w:rsidRPr="009B4A73">
        <w:rPr>
          <w:sz w:val="20"/>
          <w:szCs w:val="20"/>
        </w:rPr>
        <w:t xml:space="preserve"> </w:t>
      </w:r>
      <w:r w:rsidRPr="009B4A73">
        <w:rPr>
          <w:sz w:val="20"/>
          <w:szCs w:val="20"/>
          <w:vertAlign w:val="superscript"/>
        </w:rPr>
        <w:t>a</w:t>
      </w:r>
      <w:r w:rsidRPr="009B4A73">
        <w:rPr>
          <w:i/>
          <w:sz w:val="20"/>
          <w:szCs w:val="20"/>
        </w:rPr>
        <w:t xml:space="preserve"> p</w:t>
      </w:r>
      <w:r w:rsidRPr="009B4A73">
        <w:rPr>
          <w:sz w:val="20"/>
          <w:szCs w:val="20"/>
        </w:rPr>
        <w:t xml:space="preserve"> = log-rank test; </w:t>
      </w:r>
      <w:r w:rsidRPr="009B4A73">
        <w:rPr>
          <w:sz w:val="20"/>
          <w:szCs w:val="20"/>
          <w:vertAlign w:val="superscript"/>
        </w:rPr>
        <w:t>b</w:t>
      </w:r>
      <w:r w:rsidRPr="009B4A73">
        <w:rPr>
          <w:sz w:val="20"/>
          <w:szCs w:val="20"/>
        </w:rPr>
        <w:t xml:space="preserve"> </w:t>
      </w:r>
      <w:r w:rsidRPr="009B4A73">
        <w:rPr>
          <w:i/>
          <w:sz w:val="20"/>
          <w:szCs w:val="20"/>
        </w:rPr>
        <w:t xml:space="preserve">p </w:t>
      </w:r>
      <w:r w:rsidRPr="009B4A73">
        <w:rPr>
          <w:sz w:val="20"/>
          <w:szCs w:val="20"/>
        </w:rPr>
        <w:t xml:space="preserve">= Chi-square test, ne = could not be estimated or not yet reached. </w:t>
      </w:r>
    </w:p>
    <w:p w14:paraId="5B43698D" w14:textId="77777777" w:rsidR="00B33B63" w:rsidRPr="009B4A73" w:rsidRDefault="00B33B63" w:rsidP="00316679">
      <w:pPr>
        <w:spacing w:after="0" w:line="240" w:lineRule="auto"/>
        <w:ind w:left="426" w:right="1316"/>
        <w:rPr>
          <w:sz w:val="22"/>
        </w:rPr>
      </w:pPr>
    </w:p>
    <w:p w14:paraId="740B4A0F" w14:textId="4A8F958D" w:rsidR="00D92EBC" w:rsidRPr="009B4A73" w:rsidRDefault="003C5832" w:rsidP="00316679">
      <w:pPr>
        <w:pStyle w:val="Heading3"/>
        <w:spacing w:after="0" w:line="240" w:lineRule="auto"/>
        <w:ind w:left="426"/>
        <w:rPr>
          <w:i/>
          <w:sz w:val="22"/>
          <w:u w:val="none"/>
        </w:rPr>
      </w:pPr>
      <w:r w:rsidRPr="009B4A73">
        <w:rPr>
          <w:i/>
          <w:sz w:val="22"/>
          <w:u w:val="none"/>
        </w:rPr>
        <w:t>T</w:t>
      </w:r>
      <w:r w:rsidR="003A3CFA" w:rsidRPr="009B4A73">
        <w:rPr>
          <w:i/>
          <w:iCs/>
          <w:sz w:val="22"/>
          <w:u w:val="none"/>
        </w:rPr>
        <w:t>rastuzumab</w:t>
      </w:r>
      <w:r w:rsidR="0078763F" w:rsidRPr="009B4A73">
        <w:rPr>
          <w:i/>
          <w:sz w:val="22"/>
          <w:u w:val="none"/>
        </w:rPr>
        <w:t xml:space="preserve"> in </w:t>
      </w:r>
      <w:r w:rsidRPr="009B4A73">
        <w:rPr>
          <w:i/>
          <w:sz w:val="22"/>
          <w:u w:val="none"/>
        </w:rPr>
        <w:t>c</w:t>
      </w:r>
      <w:r w:rsidR="0078763F" w:rsidRPr="009B4A73">
        <w:rPr>
          <w:i/>
          <w:sz w:val="22"/>
          <w:u w:val="none"/>
        </w:rPr>
        <w:t xml:space="preserve">ombination with </w:t>
      </w:r>
      <w:r w:rsidRPr="009B4A73">
        <w:rPr>
          <w:i/>
          <w:sz w:val="22"/>
          <w:u w:val="none"/>
        </w:rPr>
        <w:t>a</w:t>
      </w:r>
      <w:r w:rsidR="0078763F" w:rsidRPr="009B4A73">
        <w:rPr>
          <w:i/>
          <w:sz w:val="22"/>
          <w:u w:val="none"/>
        </w:rPr>
        <w:t>nastrozole</w:t>
      </w:r>
    </w:p>
    <w:p w14:paraId="022AF931" w14:textId="77777777" w:rsidR="00027D8B" w:rsidRPr="009B4A73" w:rsidRDefault="00027D8B" w:rsidP="00316679">
      <w:pPr>
        <w:spacing w:after="0" w:line="240" w:lineRule="auto"/>
        <w:ind w:left="426"/>
        <w:rPr>
          <w:sz w:val="22"/>
        </w:rPr>
      </w:pPr>
    </w:p>
    <w:p w14:paraId="70250B78" w14:textId="3724B10D" w:rsidR="00D92EBC" w:rsidRPr="009B4A73" w:rsidRDefault="0078763F" w:rsidP="00316679">
      <w:pPr>
        <w:spacing w:after="0" w:line="240" w:lineRule="auto"/>
        <w:ind w:left="426" w:right="8"/>
        <w:rPr>
          <w:sz w:val="22"/>
        </w:rPr>
      </w:pPr>
      <w:r w:rsidRPr="009B4A73">
        <w:rPr>
          <w:sz w:val="22"/>
        </w:rPr>
        <w:t xml:space="preserve">The </w:t>
      </w:r>
      <w:proofErr w:type="spellStart"/>
      <w:r w:rsidRPr="009B4A73">
        <w:rPr>
          <w:sz w:val="22"/>
        </w:rPr>
        <w:t>TAnDEM</w:t>
      </w:r>
      <w:proofErr w:type="spellEnd"/>
      <w:r w:rsidRPr="009B4A73">
        <w:rPr>
          <w:sz w:val="22"/>
        </w:rPr>
        <w:t xml:space="preserve"> trial was a multi-centre, randomized, open-label, phase III trial comparing </w:t>
      </w:r>
      <w:r w:rsidR="003A3CFA" w:rsidRPr="009B4A73">
        <w:rPr>
          <w:sz w:val="22"/>
        </w:rPr>
        <w:t>trastuzumab</w:t>
      </w:r>
      <w:r w:rsidRPr="009B4A73">
        <w:rPr>
          <w:sz w:val="22"/>
        </w:rPr>
        <w:t xml:space="preserve"> + anastrozole with anastrozole-alone for the first-line treatment of metastatic breast cancer in HER2 overexpressing, hormone-receptor (</w:t>
      </w:r>
      <w:proofErr w:type="gramStart"/>
      <w:r w:rsidRPr="009B4A73">
        <w:rPr>
          <w:sz w:val="22"/>
        </w:rPr>
        <w:t>i.e.</w:t>
      </w:r>
      <w:proofErr w:type="gramEnd"/>
      <w:r w:rsidRPr="009B4A73">
        <w:rPr>
          <w:sz w:val="22"/>
        </w:rPr>
        <w:t xml:space="preserve"> oestrogen-receptor (ER) and/or progesterone-receptor (PR)) positive post-menopausal patients. Two hundred and seven patients were randomized to receive oral anastrozole (1 mg/day) with or without </w:t>
      </w:r>
      <w:r w:rsidR="003A3CFA" w:rsidRPr="009B4A73">
        <w:rPr>
          <w:sz w:val="22"/>
        </w:rPr>
        <w:t>trastuzumab</w:t>
      </w:r>
      <w:r w:rsidRPr="009B4A73">
        <w:rPr>
          <w:sz w:val="22"/>
        </w:rPr>
        <w:t xml:space="preserve"> (4 mg/kg loading dose, followed by 2 mg/kg weekly).</w:t>
      </w:r>
      <w:r w:rsidR="008805AA" w:rsidRPr="009B4A73">
        <w:rPr>
          <w:sz w:val="22"/>
        </w:rPr>
        <w:t xml:space="preserve"> </w:t>
      </w:r>
      <w:r w:rsidRPr="009B4A73">
        <w:rPr>
          <w:sz w:val="22"/>
        </w:rPr>
        <w:t xml:space="preserve">Patients who had received </w:t>
      </w:r>
      <w:r w:rsidR="003A3CFA" w:rsidRPr="009B4A73">
        <w:rPr>
          <w:sz w:val="22"/>
        </w:rPr>
        <w:t>trastuzumab</w:t>
      </w:r>
      <w:r w:rsidRPr="009B4A73">
        <w:rPr>
          <w:sz w:val="22"/>
        </w:rPr>
        <w:t xml:space="preserve"> for early disease were excluded from this trial.</w:t>
      </w:r>
    </w:p>
    <w:p w14:paraId="1EC21EE9" w14:textId="77777777" w:rsidR="00027D8B" w:rsidRPr="009B4A73" w:rsidRDefault="00027D8B" w:rsidP="00316679">
      <w:pPr>
        <w:spacing w:after="0" w:line="240" w:lineRule="auto"/>
        <w:ind w:left="426" w:right="8"/>
        <w:rPr>
          <w:sz w:val="22"/>
        </w:rPr>
      </w:pPr>
    </w:p>
    <w:p w14:paraId="2A05B44E" w14:textId="452ECD33" w:rsidR="00D92EBC" w:rsidRPr="009B4A73" w:rsidRDefault="0078763F" w:rsidP="00316679">
      <w:pPr>
        <w:spacing w:after="0" w:line="240" w:lineRule="auto"/>
        <w:ind w:left="426" w:right="8"/>
        <w:rPr>
          <w:sz w:val="22"/>
        </w:rPr>
      </w:pPr>
      <w:r w:rsidRPr="009B4A73">
        <w:rPr>
          <w:sz w:val="22"/>
        </w:rPr>
        <w:t xml:space="preserve">Median progression free survival (PFS) was doubled in the </w:t>
      </w:r>
      <w:r w:rsidR="00DE7079" w:rsidRPr="009B4A73">
        <w:rPr>
          <w:sz w:val="22"/>
        </w:rPr>
        <w:t>trastuzumab</w:t>
      </w:r>
      <w:r w:rsidRPr="009B4A73">
        <w:rPr>
          <w:sz w:val="22"/>
        </w:rPr>
        <w:t xml:space="preserve"> + anastrozole arm compared to the anastrozole-alone arm (4.8 months vs. 2.4 months; </w:t>
      </w:r>
      <w:r w:rsidRPr="009B4A73">
        <w:rPr>
          <w:i/>
          <w:sz w:val="22"/>
        </w:rPr>
        <w:t>p</w:t>
      </w:r>
      <w:r w:rsidRPr="009B4A73">
        <w:rPr>
          <w:sz w:val="22"/>
        </w:rPr>
        <w:t xml:space="preserve"> = 0.0016). For the other parameters the improvements seen for </w:t>
      </w:r>
      <w:r w:rsidR="00DE7079" w:rsidRPr="009B4A73">
        <w:rPr>
          <w:sz w:val="22"/>
        </w:rPr>
        <w:t>trastuzumab</w:t>
      </w:r>
      <w:r w:rsidRPr="009B4A73">
        <w:rPr>
          <w:sz w:val="22"/>
        </w:rPr>
        <w:t xml:space="preserve"> + anastrozole </w:t>
      </w:r>
      <w:proofErr w:type="gramStart"/>
      <w:r w:rsidRPr="009B4A73">
        <w:rPr>
          <w:sz w:val="22"/>
        </w:rPr>
        <w:t>were;</w:t>
      </w:r>
      <w:proofErr w:type="gramEnd"/>
      <w:r w:rsidRPr="009B4A73">
        <w:rPr>
          <w:sz w:val="22"/>
        </w:rPr>
        <w:t xml:space="preserve"> overall response (16.5% vs. 6.7%); clinical benefit rate (42.7% vs. 27.9%); time to progression (4.8 months vs. 2.4 months). For time to response and duration of response no difference could be recorded between the arms.</w:t>
      </w:r>
      <w:r w:rsidR="008805AA" w:rsidRPr="009B4A73">
        <w:rPr>
          <w:sz w:val="22"/>
        </w:rPr>
        <w:t xml:space="preserve"> </w:t>
      </w:r>
      <w:r w:rsidRPr="009B4A73">
        <w:rPr>
          <w:sz w:val="22"/>
        </w:rPr>
        <w:t xml:space="preserve">There was no significant difference in overall survival, however more than half of the patients in the anastrozole-alone arm crossed over to a </w:t>
      </w:r>
      <w:r w:rsidR="00DE7079" w:rsidRPr="009B4A73">
        <w:rPr>
          <w:sz w:val="22"/>
        </w:rPr>
        <w:t>trastuzumab</w:t>
      </w:r>
      <w:r w:rsidRPr="009B4A73">
        <w:rPr>
          <w:sz w:val="22"/>
        </w:rPr>
        <w:t>-containing regimen after progression of disease.</w:t>
      </w:r>
    </w:p>
    <w:p w14:paraId="4A42BEF1" w14:textId="77777777" w:rsidR="000C6DA2" w:rsidRPr="009B4A73" w:rsidRDefault="000C6DA2" w:rsidP="00316679">
      <w:pPr>
        <w:spacing w:after="0" w:line="240" w:lineRule="auto"/>
        <w:ind w:left="426" w:right="8"/>
        <w:rPr>
          <w:sz w:val="22"/>
        </w:rPr>
      </w:pPr>
    </w:p>
    <w:p w14:paraId="37E2E99B" w14:textId="502A4DDE" w:rsidR="00D92EBC" w:rsidRPr="009B4A73" w:rsidRDefault="003C5832" w:rsidP="00316679">
      <w:pPr>
        <w:pStyle w:val="Heading3"/>
        <w:spacing w:after="0" w:line="240" w:lineRule="auto"/>
        <w:ind w:left="426"/>
        <w:rPr>
          <w:i/>
          <w:sz w:val="22"/>
          <w:u w:val="none"/>
        </w:rPr>
      </w:pPr>
      <w:r w:rsidRPr="009B4A73">
        <w:rPr>
          <w:i/>
          <w:sz w:val="22"/>
          <w:u w:val="none"/>
        </w:rPr>
        <w:t>T</w:t>
      </w:r>
      <w:r w:rsidR="00DE7079" w:rsidRPr="009B4A73">
        <w:rPr>
          <w:i/>
          <w:sz w:val="22"/>
          <w:u w:val="none"/>
        </w:rPr>
        <w:t>rastuzumab</w:t>
      </w:r>
      <w:r w:rsidR="0078763F" w:rsidRPr="009B4A73">
        <w:rPr>
          <w:i/>
          <w:sz w:val="22"/>
          <w:u w:val="none"/>
        </w:rPr>
        <w:t xml:space="preserve"> </w:t>
      </w:r>
      <w:r w:rsidRPr="009B4A73">
        <w:rPr>
          <w:i/>
          <w:sz w:val="22"/>
          <w:u w:val="none"/>
        </w:rPr>
        <w:t>m</w:t>
      </w:r>
      <w:r w:rsidR="0078763F" w:rsidRPr="009B4A73">
        <w:rPr>
          <w:i/>
          <w:sz w:val="22"/>
          <w:u w:val="none"/>
        </w:rPr>
        <w:t xml:space="preserve">onotherapy </w:t>
      </w:r>
    </w:p>
    <w:p w14:paraId="06DF0998" w14:textId="77777777" w:rsidR="005C521E" w:rsidRPr="009B4A73" w:rsidRDefault="005C521E" w:rsidP="00316679">
      <w:pPr>
        <w:spacing w:after="0" w:line="240" w:lineRule="auto"/>
        <w:ind w:left="426"/>
        <w:rPr>
          <w:sz w:val="22"/>
        </w:rPr>
      </w:pPr>
    </w:p>
    <w:p w14:paraId="1728ADE9" w14:textId="01FA2DF8" w:rsidR="00D92EBC" w:rsidRPr="009B4A73" w:rsidRDefault="0078763F" w:rsidP="00316679">
      <w:pPr>
        <w:spacing w:after="0" w:line="240" w:lineRule="auto"/>
        <w:ind w:left="426" w:right="8"/>
        <w:rPr>
          <w:sz w:val="22"/>
        </w:rPr>
      </w:pPr>
      <w:r w:rsidRPr="009B4A73">
        <w:rPr>
          <w:sz w:val="22"/>
        </w:rPr>
        <w:t xml:space="preserve">Study H0649g was a multinational, multi-centre, single arm trial of </w:t>
      </w:r>
      <w:r w:rsidR="00DE7079" w:rsidRPr="009B4A73">
        <w:rPr>
          <w:sz w:val="22"/>
        </w:rPr>
        <w:t>trastuzumab</w:t>
      </w:r>
      <w:r w:rsidRPr="009B4A73">
        <w:rPr>
          <w:sz w:val="22"/>
        </w:rPr>
        <w:t xml:space="preserve"> as monotherapy in 222 women with HER2 overexpressing metastatic breast cancer.</w:t>
      </w:r>
      <w:r w:rsidR="008805AA" w:rsidRPr="009B4A73">
        <w:rPr>
          <w:sz w:val="22"/>
        </w:rPr>
        <w:t xml:space="preserve"> </w:t>
      </w:r>
      <w:r w:rsidRPr="009B4A73">
        <w:rPr>
          <w:sz w:val="22"/>
        </w:rPr>
        <w:t>All patients had relapsed following treatment with the best available agents (</w:t>
      </w:r>
      <w:proofErr w:type="gramStart"/>
      <w:r w:rsidRPr="009B4A73">
        <w:rPr>
          <w:sz w:val="22"/>
        </w:rPr>
        <w:t>e.g.</w:t>
      </w:r>
      <w:proofErr w:type="gramEnd"/>
      <w:r w:rsidRPr="009B4A73">
        <w:rPr>
          <w:sz w:val="22"/>
        </w:rPr>
        <w:t xml:space="preserve"> anthracyclines and </w:t>
      </w:r>
      <w:proofErr w:type="spellStart"/>
      <w:r w:rsidRPr="009B4A73">
        <w:rPr>
          <w:sz w:val="22"/>
        </w:rPr>
        <w:t>taxanes</w:t>
      </w:r>
      <w:proofErr w:type="spellEnd"/>
      <w:r w:rsidRPr="009B4A73">
        <w:rPr>
          <w:sz w:val="22"/>
        </w:rPr>
        <w:t>) and were heavily pre-treated.</w:t>
      </w:r>
      <w:r w:rsidR="008805AA" w:rsidRPr="009B4A73">
        <w:rPr>
          <w:sz w:val="22"/>
        </w:rPr>
        <w:t xml:space="preserve"> </w:t>
      </w:r>
      <w:r w:rsidRPr="009B4A73">
        <w:rPr>
          <w:sz w:val="22"/>
        </w:rPr>
        <w:t>Two-thirds of the patients had prior adjuvant chemotherapy and all patients had tumour progression following at least one prior regimen of cytotoxic chemotherapy for metastatic disease. Ninety-four percent of the patients had prior anthracycline therapy, approximately 60% had prior paclitaxel therapy and 26% had prior bone marrow or stem cell transplants.</w:t>
      </w:r>
      <w:r w:rsidR="008805AA" w:rsidRPr="009B4A73">
        <w:rPr>
          <w:sz w:val="22"/>
        </w:rPr>
        <w:t xml:space="preserve"> </w:t>
      </w:r>
      <w:r w:rsidRPr="009B4A73">
        <w:rPr>
          <w:sz w:val="22"/>
        </w:rPr>
        <w:lastRenderedPageBreak/>
        <w:t>Together with HER2 overexpression, which is associated with poorer clinical outcomes, aggressive disease was also suggested by nodal status at diagnosis and by the disease-free interval.</w:t>
      </w:r>
      <w:r w:rsidR="008805AA" w:rsidRPr="009B4A73">
        <w:rPr>
          <w:sz w:val="22"/>
        </w:rPr>
        <w:t xml:space="preserve"> </w:t>
      </w:r>
      <w:r w:rsidRPr="009B4A73">
        <w:rPr>
          <w:sz w:val="22"/>
        </w:rPr>
        <w:t>Twenty-seven percent of patients had 10 or more positive nodes at the time of diagnosis.</w:t>
      </w:r>
      <w:r w:rsidR="008805AA" w:rsidRPr="009B4A73">
        <w:rPr>
          <w:sz w:val="22"/>
        </w:rPr>
        <w:t xml:space="preserve"> </w:t>
      </w:r>
      <w:r w:rsidRPr="009B4A73">
        <w:rPr>
          <w:sz w:val="22"/>
        </w:rPr>
        <w:t xml:space="preserve">Thirty-eight percent of patients had a disease-free interval of less than one year prior to enrolment. </w:t>
      </w:r>
    </w:p>
    <w:p w14:paraId="564C8EF1" w14:textId="77777777" w:rsidR="005C521E" w:rsidRPr="009B4A73" w:rsidRDefault="005C521E" w:rsidP="00316679">
      <w:pPr>
        <w:spacing w:after="0" w:line="240" w:lineRule="auto"/>
        <w:ind w:left="426" w:right="8"/>
        <w:rPr>
          <w:sz w:val="22"/>
        </w:rPr>
      </w:pPr>
    </w:p>
    <w:p w14:paraId="0EA48BE1" w14:textId="384F5E38" w:rsidR="00D92EBC" w:rsidRPr="009B4A73" w:rsidRDefault="0078763F" w:rsidP="00316679">
      <w:pPr>
        <w:spacing w:after="0" w:line="240" w:lineRule="auto"/>
        <w:ind w:left="426" w:right="8"/>
        <w:rPr>
          <w:sz w:val="22"/>
        </w:rPr>
      </w:pPr>
      <w:r w:rsidRPr="009B4A73">
        <w:rPr>
          <w:sz w:val="22"/>
        </w:rPr>
        <w:t xml:space="preserve">Patients received an intravenous loading dose of 4 mg/kg </w:t>
      </w:r>
      <w:r w:rsidR="00DE7079" w:rsidRPr="009B4A73">
        <w:rPr>
          <w:sz w:val="22"/>
        </w:rPr>
        <w:t>trastuzumab</w:t>
      </w:r>
      <w:r w:rsidRPr="009B4A73">
        <w:rPr>
          <w:sz w:val="22"/>
        </w:rPr>
        <w:t xml:space="preserve"> on Day 0, followed by weekly intravenous infusions of 2 mg/kg until there was evidence of disease progression.</w:t>
      </w:r>
      <w:r w:rsidR="008805AA" w:rsidRPr="009B4A73">
        <w:rPr>
          <w:sz w:val="22"/>
        </w:rPr>
        <w:t xml:space="preserve"> </w:t>
      </w:r>
      <w:r w:rsidRPr="009B4A73">
        <w:rPr>
          <w:sz w:val="22"/>
        </w:rPr>
        <w:t xml:space="preserve">Patients who developed progressive disease could stop treatment, </w:t>
      </w:r>
      <w:proofErr w:type="gramStart"/>
      <w:r w:rsidRPr="009B4A73">
        <w:rPr>
          <w:sz w:val="22"/>
        </w:rPr>
        <w:t>continue on</w:t>
      </w:r>
      <w:proofErr w:type="gramEnd"/>
      <w:r w:rsidRPr="009B4A73">
        <w:rPr>
          <w:sz w:val="22"/>
        </w:rPr>
        <w:t xml:space="preserve"> the 2 mg/kg weekly dose or receive an increased intravenous dose of 4 mg/kg, as the investigator deemed appropriate.</w:t>
      </w:r>
      <w:r w:rsidR="008805AA" w:rsidRPr="009B4A73">
        <w:rPr>
          <w:sz w:val="22"/>
        </w:rPr>
        <w:t xml:space="preserve"> </w:t>
      </w:r>
      <w:r w:rsidRPr="009B4A73">
        <w:rPr>
          <w:sz w:val="22"/>
        </w:rPr>
        <w:t xml:space="preserve">The primary efficacy parameter was tumour response rate. </w:t>
      </w:r>
    </w:p>
    <w:p w14:paraId="0AEE50EA" w14:textId="77777777" w:rsidR="003C5832" w:rsidRPr="009B4A73" w:rsidRDefault="003C5832" w:rsidP="00316679">
      <w:pPr>
        <w:spacing w:after="0" w:line="240" w:lineRule="auto"/>
        <w:ind w:left="426" w:right="8"/>
        <w:rPr>
          <w:sz w:val="22"/>
        </w:rPr>
      </w:pPr>
    </w:p>
    <w:p w14:paraId="0E398AEE" w14:textId="57DE6CE0" w:rsidR="00D92EBC" w:rsidRPr="009B4A73" w:rsidRDefault="003C5832" w:rsidP="003C5832">
      <w:pPr>
        <w:spacing w:after="0" w:line="240" w:lineRule="auto"/>
        <w:ind w:left="426" w:right="8"/>
        <w:rPr>
          <w:sz w:val="22"/>
        </w:rPr>
      </w:pPr>
      <w:r w:rsidRPr="009B4A73">
        <w:rPr>
          <w:sz w:val="22"/>
        </w:rPr>
        <w:t>T</w:t>
      </w:r>
      <w:r w:rsidR="00DE7079" w:rsidRPr="009B4A73">
        <w:rPr>
          <w:sz w:val="22"/>
        </w:rPr>
        <w:t>rastuzumab</w:t>
      </w:r>
      <w:r w:rsidR="0078763F" w:rsidRPr="009B4A73">
        <w:rPr>
          <w:sz w:val="22"/>
        </w:rPr>
        <w:t xml:space="preserve"> as second- or third-line therapy induced objective, durable tumour responses in women with metastatic breast cancer who had tumours that overexpressed HER2.</w:t>
      </w:r>
      <w:r w:rsidR="008805AA" w:rsidRPr="009B4A73">
        <w:rPr>
          <w:sz w:val="22"/>
        </w:rPr>
        <w:t xml:space="preserve"> </w:t>
      </w:r>
      <w:r w:rsidR="0078763F" w:rsidRPr="009B4A73">
        <w:rPr>
          <w:sz w:val="22"/>
        </w:rPr>
        <w:t>There were 8 complete responses and 26 partial responses yielding an overall response rate of 15%.</w:t>
      </w:r>
      <w:r w:rsidR="008805AA" w:rsidRPr="009B4A73">
        <w:rPr>
          <w:sz w:val="22"/>
        </w:rPr>
        <w:t xml:space="preserve"> </w:t>
      </w:r>
      <w:r w:rsidR="0078763F" w:rsidRPr="009B4A73">
        <w:rPr>
          <w:sz w:val="22"/>
        </w:rPr>
        <w:t>The durability of the responses was particularly notable.</w:t>
      </w:r>
      <w:r w:rsidR="008805AA" w:rsidRPr="009B4A73">
        <w:rPr>
          <w:sz w:val="22"/>
        </w:rPr>
        <w:t xml:space="preserve"> </w:t>
      </w:r>
      <w:r w:rsidR="0078763F" w:rsidRPr="009B4A73">
        <w:rPr>
          <w:sz w:val="22"/>
        </w:rPr>
        <w:t xml:space="preserve">The median duration of the responses was 9.1 months at the cut-off date for analysis (see Table 13 below). </w:t>
      </w:r>
    </w:p>
    <w:p w14:paraId="255770C5" w14:textId="6D10AFCD" w:rsidR="00D92EBC" w:rsidRPr="009B4A73" w:rsidRDefault="0078763F" w:rsidP="00316679">
      <w:pPr>
        <w:spacing w:after="0" w:line="240" w:lineRule="auto"/>
        <w:ind w:left="426" w:firstLine="0"/>
        <w:rPr>
          <w:b/>
          <w:sz w:val="22"/>
        </w:rPr>
      </w:pPr>
      <w:r w:rsidRPr="009B4A73">
        <w:rPr>
          <w:b/>
          <w:sz w:val="22"/>
        </w:rPr>
        <w:t xml:space="preserve"> </w:t>
      </w:r>
    </w:p>
    <w:p w14:paraId="37684C25" w14:textId="111B400B" w:rsidR="00D92EBC" w:rsidRPr="009B4A73" w:rsidRDefault="0078763F" w:rsidP="00316679">
      <w:pPr>
        <w:pStyle w:val="Heading2"/>
        <w:spacing w:after="0" w:line="240" w:lineRule="auto"/>
        <w:ind w:left="426"/>
        <w:rPr>
          <w:sz w:val="22"/>
        </w:rPr>
      </w:pPr>
      <w:r w:rsidRPr="009B4A73">
        <w:rPr>
          <w:sz w:val="22"/>
        </w:rPr>
        <w:t xml:space="preserve">Table 13: Efficacy </w:t>
      </w:r>
      <w:r w:rsidR="003C5832" w:rsidRPr="009B4A73">
        <w:rPr>
          <w:sz w:val="22"/>
        </w:rPr>
        <w:t>o</w:t>
      </w:r>
      <w:r w:rsidRPr="009B4A73">
        <w:rPr>
          <w:sz w:val="22"/>
        </w:rPr>
        <w:t xml:space="preserve">utcomes with </w:t>
      </w:r>
      <w:r w:rsidR="003C5832" w:rsidRPr="009B4A73">
        <w:rPr>
          <w:sz w:val="22"/>
        </w:rPr>
        <w:t>m</w:t>
      </w:r>
      <w:r w:rsidRPr="009B4A73">
        <w:rPr>
          <w:sz w:val="22"/>
        </w:rPr>
        <w:t xml:space="preserve">onotherapy </w:t>
      </w:r>
      <w:r w:rsidR="003C5832" w:rsidRPr="009B4A73">
        <w:rPr>
          <w:sz w:val="22"/>
        </w:rPr>
        <w:t>s</w:t>
      </w:r>
      <w:r w:rsidRPr="009B4A73">
        <w:rPr>
          <w:sz w:val="22"/>
        </w:rPr>
        <w:t xml:space="preserve">tudy H0649g </w:t>
      </w:r>
    </w:p>
    <w:p w14:paraId="373DF4EB" w14:textId="77777777" w:rsidR="00D92EBC" w:rsidRPr="009B4A73" w:rsidRDefault="0078763F" w:rsidP="00316679">
      <w:pPr>
        <w:spacing w:after="0" w:line="240" w:lineRule="auto"/>
        <w:ind w:left="426" w:firstLine="0"/>
        <w:rPr>
          <w:sz w:val="22"/>
        </w:rPr>
      </w:pPr>
      <w:r w:rsidRPr="009B4A73">
        <w:rPr>
          <w:b/>
          <w:sz w:val="22"/>
        </w:rPr>
        <w:t xml:space="preserve"> </w:t>
      </w:r>
    </w:p>
    <w:tbl>
      <w:tblPr>
        <w:tblStyle w:val="TableGrid"/>
        <w:tblW w:w="4800" w:type="pct"/>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3390"/>
        <w:gridCol w:w="1364"/>
        <w:gridCol w:w="5289"/>
      </w:tblGrid>
      <w:tr w:rsidR="00D92EBC" w:rsidRPr="009B4A73" w14:paraId="07BAE51A" w14:textId="77777777" w:rsidTr="00E651C9">
        <w:trPr>
          <w:trHeight w:val="20"/>
        </w:trPr>
        <w:tc>
          <w:tcPr>
            <w:tcW w:w="1688" w:type="pct"/>
            <w:vAlign w:val="center"/>
          </w:tcPr>
          <w:p w14:paraId="5EE9AE2A" w14:textId="3FE03F6D" w:rsidR="00D92EBC" w:rsidRPr="009B4A73" w:rsidRDefault="0078763F" w:rsidP="003C5832">
            <w:pPr>
              <w:spacing w:after="0" w:line="240" w:lineRule="auto"/>
              <w:ind w:left="0" w:firstLine="0"/>
              <w:jc w:val="center"/>
              <w:rPr>
                <w:sz w:val="22"/>
              </w:rPr>
            </w:pPr>
            <w:r w:rsidRPr="009B4A73">
              <w:rPr>
                <w:b/>
                <w:sz w:val="22"/>
              </w:rPr>
              <w:t>Outcome Measure</w:t>
            </w:r>
          </w:p>
        </w:tc>
        <w:tc>
          <w:tcPr>
            <w:tcW w:w="679" w:type="pct"/>
            <w:vAlign w:val="center"/>
          </w:tcPr>
          <w:p w14:paraId="45CB7672" w14:textId="204183EB" w:rsidR="00D92EBC" w:rsidRPr="009B4A73" w:rsidRDefault="0078763F" w:rsidP="003C5832">
            <w:pPr>
              <w:spacing w:after="0" w:line="240" w:lineRule="auto"/>
              <w:ind w:left="0" w:firstLine="0"/>
              <w:jc w:val="center"/>
              <w:rPr>
                <w:sz w:val="22"/>
              </w:rPr>
            </w:pPr>
            <w:r w:rsidRPr="009B4A73">
              <w:rPr>
                <w:b/>
                <w:sz w:val="22"/>
              </w:rPr>
              <w:t>n</w:t>
            </w:r>
          </w:p>
        </w:tc>
        <w:tc>
          <w:tcPr>
            <w:tcW w:w="2633" w:type="pct"/>
            <w:vAlign w:val="center"/>
          </w:tcPr>
          <w:p w14:paraId="73CC8298" w14:textId="18EE09AC" w:rsidR="00D92EBC" w:rsidRPr="009B4A73" w:rsidRDefault="0078763F" w:rsidP="003C5832">
            <w:pPr>
              <w:spacing w:after="0" w:line="240" w:lineRule="auto"/>
              <w:ind w:left="0" w:firstLine="0"/>
              <w:jc w:val="center"/>
              <w:rPr>
                <w:sz w:val="22"/>
              </w:rPr>
            </w:pPr>
            <w:r w:rsidRPr="009B4A73">
              <w:rPr>
                <w:b/>
                <w:sz w:val="22"/>
              </w:rPr>
              <w:t>Time (months)</w:t>
            </w:r>
            <w:r w:rsidR="003C5832" w:rsidRPr="009B4A73">
              <w:rPr>
                <w:b/>
                <w:sz w:val="22"/>
              </w:rPr>
              <w:t xml:space="preserve"> </w:t>
            </w:r>
            <w:r w:rsidRPr="009B4A73">
              <w:rPr>
                <w:b/>
                <w:sz w:val="22"/>
              </w:rPr>
              <w:t>Kaplan-Meier Estimate of Median (range)</w:t>
            </w:r>
          </w:p>
        </w:tc>
      </w:tr>
      <w:tr w:rsidR="00D92EBC" w:rsidRPr="009B4A73" w14:paraId="6AE13A97" w14:textId="77777777" w:rsidTr="00E651C9">
        <w:trPr>
          <w:trHeight w:val="20"/>
        </w:trPr>
        <w:tc>
          <w:tcPr>
            <w:tcW w:w="1688" w:type="pct"/>
          </w:tcPr>
          <w:p w14:paraId="27F3CEDE" w14:textId="77777777" w:rsidR="00D92EBC" w:rsidRPr="009B4A73" w:rsidRDefault="0078763F" w:rsidP="003C5832">
            <w:pPr>
              <w:spacing w:after="0" w:line="240" w:lineRule="auto"/>
              <w:ind w:left="0" w:firstLine="0"/>
              <w:rPr>
                <w:sz w:val="22"/>
              </w:rPr>
            </w:pPr>
            <w:r w:rsidRPr="009B4A73">
              <w:rPr>
                <w:sz w:val="22"/>
              </w:rPr>
              <w:t xml:space="preserve">Duration of response </w:t>
            </w:r>
          </w:p>
        </w:tc>
        <w:tc>
          <w:tcPr>
            <w:tcW w:w="679" w:type="pct"/>
          </w:tcPr>
          <w:p w14:paraId="4F53EBDF" w14:textId="77777777" w:rsidR="00D92EBC" w:rsidRPr="009B4A73" w:rsidRDefault="0078763F" w:rsidP="003C5832">
            <w:pPr>
              <w:spacing w:after="0" w:line="240" w:lineRule="auto"/>
              <w:ind w:left="0" w:firstLine="0"/>
              <w:jc w:val="center"/>
              <w:rPr>
                <w:sz w:val="22"/>
              </w:rPr>
            </w:pPr>
            <w:r w:rsidRPr="009B4A73">
              <w:rPr>
                <w:sz w:val="22"/>
              </w:rPr>
              <w:t xml:space="preserve">34 </w:t>
            </w:r>
          </w:p>
        </w:tc>
        <w:tc>
          <w:tcPr>
            <w:tcW w:w="2633" w:type="pct"/>
          </w:tcPr>
          <w:p w14:paraId="618C9FF4" w14:textId="77777777" w:rsidR="00D92EBC" w:rsidRPr="009B4A73" w:rsidRDefault="0078763F" w:rsidP="003C5832">
            <w:pPr>
              <w:spacing w:after="0" w:line="240" w:lineRule="auto"/>
              <w:ind w:left="0" w:firstLine="0"/>
              <w:jc w:val="center"/>
              <w:rPr>
                <w:sz w:val="22"/>
              </w:rPr>
            </w:pPr>
            <w:r w:rsidRPr="009B4A73">
              <w:rPr>
                <w:sz w:val="22"/>
              </w:rPr>
              <w:t xml:space="preserve">9.1 (2–26+) </w:t>
            </w:r>
          </w:p>
        </w:tc>
      </w:tr>
      <w:tr w:rsidR="00D92EBC" w:rsidRPr="009B4A73" w14:paraId="66909094" w14:textId="77777777" w:rsidTr="00E651C9">
        <w:trPr>
          <w:trHeight w:val="20"/>
        </w:trPr>
        <w:tc>
          <w:tcPr>
            <w:tcW w:w="1688" w:type="pct"/>
          </w:tcPr>
          <w:p w14:paraId="5D91A2B9" w14:textId="77777777" w:rsidR="00D92EBC" w:rsidRPr="009B4A73" w:rsidRDefault="0078763F" w:rsidP="003C5832">
            <w:pPr>
              <w:spacing w:after="0" w:line="240" w:lineRule="auto"/>
              <w:ind w:left="0" w:firstLine="0"/>
              <w:rPr>
                <w:sz w:val="22"/>
              </w:rPr>
            </w:pPr>
            <w:r w:rsidRPr="009B4A73">
              <w:rPr>
                <w:sz w:val="22"/>
              </w:rPr>
              <w:t xml:space="preserve">Time to disease progression </w:t>
            </w:r>
          </w:p>
        </w:tc>
        <w:tc>
          <w:tcPr>
            <w:tcW w:w="679" w:type="pct"/>
          </w:tcPr>
          <w:p w14:paraId="371C7464" w14:textId="77777777" w:rsidR="00D92EBC" w:rsidRPr="009B4A73" w:rsidRDefault="0078763F" w:rsidP="003C5832">
            <w:pPr>
              <w:spacing w:after="0" w:line="240" w:lineRule="auto"/>
              <w:ind w:left="0" w:firstLine="0"/>
              <w:jc w:val="center"/>
              <w:rPr>
                <w:sz w:val="22"/>
              </w:rPr>
            </w:pPr>
            <w:r w:rsidRPr="009B4A73">
              <w:rPr>
                <w:sz w:val="22"/>
              </w:rPr>
              <w:t xml:space="preserve">213 </w:t>
            </w:r>
          </w:p>
        </w:tc>
        <w:tc>
          <w:tcPr>
            <w:tcW w:w="2633" w:type="pct"/>
          </w:tcPr>
          <w:p w14:paraId="59A9EA5B" w14:textId="77777777" w:rsidR="00D92EBC" w:rsidRPr="009B4A73" w:rsidRDefault="0078763F" w:rsidP="003C5832">
            <w:pPr>
              <w:spacing w:after="0" w:line="240" w:lineRule="auto"/>
              <w:ind w:left="0" w:firstLine="0"/>
              <w:jc w:val="center"/>
              <w:rPr>
                <w:sz w:val="22"/>
              </w:rPr>
            </w:pPr>
            <w:r w:rsidRPr="009B4A73">
              <w:rPr>
                <w:sz w:val="22"/>
              </w:rPr>
              <w:t xml:space="preserve">3.1 (0–28+) </w:t>
            </w:r>
          </w:p>
        </w:tc>
      </w:tr>
      <w:tr w:rsidR="00D92EBC" w:rsidRPr="009B4A73" w14:paraId="7B60FD8D" w14:textId="77777777" w:rsidTr="00E651C9">
        <w:trPr>
          <w:trHeight w:val="20"/>
        </w:trPr>
        <w:tc>
          <w:tcPr>
            <w:tcW w:w="1688" w:type="pct"/>
          </w:tcPr>
          <w:p w14:paraId="530770B4" w14:textId="77777777" w:rsidR="00D92EBC" w:rsidRPr="009B4A73" w:rsidRDefault="0078763F" w:rsidP="003C5832">
            <w:pPr>
              <w:spacing w:after="0" w:line="240" w:lineRule="auto"/>
              <w:ind w:left="0" w:firstLine="0"/>
              <w:rPr>
                <w:sz w:val="22"/>
              </w:rPr>
            </w:pPr>
            <w:r w:rsidRPr="009B4A73">
              <w:rPr>
                <w:sz w:val="22"/>
              </w:rPr>
              <w:t xml:space="preserve">Time to Treatment Failure </w:t>
            </w:r>
          </w:p>
        </w:tc>
        <w:tc>
          <w:tcPr>
            <w:tcW w:w="679" w:type="pct"/>
          </w:tcPr>
          <w:p w14:paraId="5F7B9BA8" w14:textId="77777777" w:rsidR="00D92EBC" w:rsidRPr="009B4A73" w:rsidRDefault="0078763F" w:rsidP="003C5832">
            <w:pPr>
              <w:spacing w:after="0" w:line="240" w:lineRule="auto"/>
              <w:ind w:left="0" w:firstLine="0"/>
              <w:jc w:val="center"/>
              <w:rPr>
                <w:sz w:val="22"/>
              </w:rPr>
            </w:pPr>
            <w:r w:rsidRPr="009B4A73">
              <w:rPr>
                <w:sz w:val="22"/>
              </w:rPr>
              <w:t xml:space="preserve">213 </w:t>
            </w:r>
          </w:p>
        </w:tc>
        <w:tc>
          <w:tcPr>
            <w:tcW w:w="2633" w:type="pct"/>
          </w:tcPr>
          <w:p w14:paraId="240F55F2" w14:textId="77777777" w:rsidR="00D92EBC" w:rsidRPr="009B4A73" w:rsidRDefault="0078763F" w:rsidP="003C5832">
            <w:pPr>
              <w:spacing w:after="0" w:line="240" w:lineRule="auto"/>
              <w:ind w:left="0" w:firstLine="0"/>
              <w:jc w:val="center"/>
              <w:rPr>
                <w:sz w:val="22"/>
              </w:rPr>
            </w:pPr>
            <w:r w:rsidRPr="009B4A73">
              <w:rPr>
                <w:sz w:val="22"/>
              </w:rPr>
              <w:t xml:space="preserve">2.4 (0–28+) </w:t>
            </w:r>
          </w:p>
        </w:tc>
      </w:tr>
      <w:tr w:rsidR="00D92EBC" w:rsidRPr="009B4A73" w14:paraId="24234F25" w14:textId="77777777" w:rsidTr="00E651C9">
        <w:trPr>
          <w:trHeight w:val="20"/>
        </w:trPr>
        <w:tc>
          <w:tcPr>
            <w:tcW w:w="1688" w:type="pct"/>
          </w:tcPr>
          <w:p w14:paraId="52EC05DB" w14:textId="77777777" w:rsidR="00D92EBC" w:rsidRPr="009B4A73" w:rsidRDefault="0078763F" w:rsidP="003C5832">
            <w:pPr>
              <w:spacing w:after="0" w:line="240" w:lineRule="auto"/>
              <w:ind w:left="0" w:firstLine="0"/>
              <w:rPr>
                <w:sz w:val="22"/>
              </w:rPr>
            </w:pPr>
            <w:r w:rsidRPr="009B4A73">
              <w:rPr>
                <w:sz w:val="22"/>
              </w:rPr>
              <w:t xml:space="preserve">Survival Time </w:t>
            </w:r>
          </w:p>
        </w:tc>
        <w:tc>
          <w:tcPr>
            <w:tcW w:w="679" w:type="pct"/>
          </w:tcPr>
          <w:p w14:paraId="43A9714F" w14:textId="77777777" w:rsidR="00D92EBC" w:rsidRPr="009B4A73" w:rsidRDefault="0078763F" w:rsidP="003C5832">
            <w:pPr>
              <w:spacing w:after="0" w:line="240" w:lineRule="auto"/>
              <w:ind w:left="0" w:firstLine="0"/>
              <w:jc w:val="center"/>
              <w:rPr>
                <w:sz w:val="22"/>
              </w:rPr>
            </w:pPr>
            <w:r w:rsidRPr="009B4A73">
              <w:rPr>
                <w:sz w:val="22"/>
              </w:rPr>
              <w:t xml:space="preserve">213 </w:t>
            </w:r>
          </w:p>
        </w:tc>
        <w:tc>
          <w:tcPr>
            <w:tcW w:w="2633" w:type="pct"/>
          </w:tcPr>
          <w:p w14:paraId="566CB9DE" w14:textId="77777777" w:rsidR="00D92EBC" w:rsidRPr="009B4A73" w:rsidRDefault="0078763F" w:rsidP="003C5832">
            <w:pPr>
              <w:spacing w:after="0" w:line="240" w:lineRule="auto"/>
              <w:ind w:left="0" w:firstLine="0"/>
              <w:jc w:val="center"/>
              <w:rPr>
                <w:sz w:val="22"/>
              </w:rPr>
            </w:pPr>
            <w:r w:rsidRPr="009B4A73">
              <w:rPr>
                <w:sz w:val="22"/>
              </w:rPr>
              <w:t xml:space="preserve">12.8 (0.5–30+) </w:t>
            </w:r>
          </w:p>
        </w:tc>
      </w:tr>
    </w:tbl>
    <w:p w14:paraId="753B602A" w14:textId="77777777" w:rsidR="005C521E" w:rsidRPr="009B4A73" w:rsidRDefault="005C521E" w:rsidP="00316679">
      <w:pPr>
        <w:spacing w:after="0" w:line="240" w:lineRule="auto"/>
        <w:ind w:left="426" w:right="8"/>
        <w:rPr>
          <w:sz w:val="22"/>
        </w:rPr>
      </w:pPr>
    </w:p>
    <w:p w14:paraId="4CF83FB0" w14:textId="5D7498DF" w:rsidR="005C521E" w:rsidRPr="009B4A73" w:rsidRDefault="0078763F" w:rsidP="00316679">
      <w:pPr>
        <w:spacing w:after="0" w:line="240" w:lineRule="auto"/>
        <w:ind w:left="426" w:right="8"/>
        <w:rPr>
          <w:sz w:val="22"/>
        </w:rPr>
      </w:pPr>
      <w:r w:rsidRPr="009B4A73">
        <w:rPr>
          <w:sz w:val="22"/>
        </w:rPr>
        <w:t>The clinical significance of the objective tumour responses in this group of patients was supported by the quality-of-life and survival data.</w:t>
      </w:r>
      <w:r w:rsidR="008805AA" w:rsidRPr="009B4A73">
        <w:rPr>
          <w:sz w:val="22"/>
        </w:rPr>
        <w:t xml:space="preserve"> </w:t>
      </w:r>
      <w:r w:rsidRPr="009B4A73">
        <w:rPr>
          <w:sz w:val="22"/>
        </w:rPr>
        <w:t xml:space="preserve">Responders had clinically meaningful improvements in physical function, role function, social function, global quality of life and fatigue scale scores during </w:t>
      </w:r>
      <w:r w:rsidR="00DE7079" w:rsidRPr="009B4A73">
        <w:rPr>
          <w:sz w:val="22"/>
        </w:rPr>
        <w:t>trastuzumab</w:t>
      </w:r>
      <w:r w:rsidRPr="009B4A73">
        <w:rPr>
          <w:sz w:val="22"/>
        </w:rPr>
        <w:t xml:space="preserve"> treatment.</w:t>
      </w:r>
      <w:r w:rsidR="008805AA" w:rsidRPr="009B4A73">
        <w:rPr>
          <w:sz w:val="22"/>
        </w:rPr>
        <w:t xml:space="preserve"> </w:t>
      </w:r>
      <w:r w:rsidRPr="009B4A73">
        <w:rPr>
          <w:sz w:val="22"/>
        </w:rPr>
        <w:t>Most responders were still alive at data cut-off (28/34; 82%).</w:t>
      </w:r>
      <w:r w:rsidR="008805AA" w:rsidRPr="009B4A73">
        <w:rPr>
          <w:sz w:val="22"/>
        </w:rPr>
        <w:t xml:space="preserve"> </w:t>
      </w:r>
      <w:r w:rsidRPr="009B4A73">
        <w:rPr>
          <w:sz w:val="22"/>
        </w:rPr>
        <w:t>The Kaplan-Meier estimate of median survival for all treated patients at the data cut-off date was 12.8 months.</w:t>
      </w:r>
    </w:p>
    <w:p w14:paraId="0983655D" w14:textId="77777777" w:rsidR="00D92EBC" w:rsidRPr="009B4A73" w:rsidRDefault="0078763F" w:rsidP="00316679">
      <w:pPr>
        <w:spacing w:after="0" w:line="240" w:lineRule="auto"/>
        <w:ind w:left="426" w:firstLine="0"/>
        <w:rPr>
          <w:sz w:val="22"/>
        </w:rPr>
      </w:pPr>
      <w:r w:rsidRPr="009B4A73">
        <w:rPr>
          <w:sz w:val="22"/>
        </w:rPr>
        <w:t xml:space="preserve"> </w:t>
      </w:r>
    </w:p>
    <w:p w14:paraId="10D4595C" w14:textId="5D1989A9" w:rsidR="00D92EBC" w:rsidRPr="009B4A73" w:rsidRDefault="0078763F" w:rsidP="00316679">
      <w:pPr>
        <w:spacing w:after="0" w:line="240" w:lineRule="auto"/>
        <w:ind w:left="426" w:right="8"/>
        <w:rPr>
          <w:sz w:val="22"/>
        </w:rPr>
      </w:pPr>
      <w:r w:rsidRPr="009B4A73">
        <w:rPr>
          <w:sz w:val="22"/>
        </w:rPr>
        <w:t xml:space="preserve">Evidence of efficacy for </w:t>
      </w:r>
      <w:r w:rsidR="00DE7079" w:rsidRPr="009B4A73">
        <w:rPr>
          <w:sz w:val="22"/>
        </w:rPr>
        <w:t>trastuzumab</w:t>
      </w:r>
      <w:r w:rsidRPr="009B4A73">
        <w:rPr>
          <w:sz w:val="22"/>
        </w:rPr>
        <w:t xml:space="preserve"> monotherapy is based upon response rates.</w:t>
      </w:r>
      <w:r w:rsidR="008805AA" w:rsidRPr="009B4A73">
        <w:rPr>
          <w:sz w:val="22"/>
        </w:rPr>
        <w:t xml:space="preserve"> </w:t>
      </w:r>
      <w:r w:rsidRPr="009B4A73">
        <w:rPr>
          <w:sz w:val="22"/>
        </w:rPr>
        <w:t xml:space="preserve">No data are available to demonstrate improvement in survival or quality of life. </w:t>
      </w:r>
    </w:p>
    <w:p w14:paraId="35976906" w14:textId="77777777" w:rsidR="005C521E" w:rsidRPr="009B4A73" w:rsidRDefault="005C521E" w:rsidP="00316679">
      <w:pPr>
        <w:spacing w:after="0" w:line="240" w:lineRule="auto"/>
        <w:ind w:left="426" w:right="8"/>
        <w:rPr>
          <w:sz w:val="22"/>
        </w:rPr>
      </w:pPr>
    </w:p>
    <w:p w14:paraId="3D74D738" w14:textId="14EF7F30" w:rsidR="00D92EBC" w:rsidRPr="009B4A73" w:rsidRDefault="0078763F" w:rsidP="00316679">
      <w:pPr>
        <w:pStyle w:val="Heading3"/>
        <w:spacing w:after="0" w:line="240" w:lineRule="auto"/>
        <w:ind w:left="426" w:right="1296"/>
        <w:rPr>
          <w:i/>
          <w:iCs/>
          <w:sz w:val="22"/>
          <w:u w:val="none"/>
        </w:rPr>
      </w:pPr>
      <w:r w:rsidRPr="009B4A73">
        <w:rPr>
          <w:i/>
          <w:iCs/>
          <w:sz w:val="22"/>
        </w:rPr>
        <w:t>Advanced Gastric Cancer</w:t>
      </w:r>
      <w:r w:rsidRPr="009B4A73">
        <w:rPr>
          <w:i/>
          <w:iCs/>
          <w:sz w:val="22"/>
          <w:u w:val="none"/>
        </w:rPr>
        <w:t xml:space="preserve"> </w:t>
      </w:r>
    </w:p>
    <w:p w14:paraId="42EF1E18" w14:textId="77777777" w:rsidR="008D5C74" w:rsidRPr="009B4A73" w:rsidRDefault="008D5C74" w:rsidP="00316679">
      <w:pPr>
        <w:spacing w:after="0" w:line="240" w:lineRule="auto"/>
        <w:ind w:left="426"/>
      </w:pPr>
    </w:p>
    <w:p w14:paraId="46714D0B" w14:textId="37C312C1" w:rsidR="00D92EBC" w:rsidRPr="009B4A73" w:rsidRDefault="0078763F" w:rsidP="00316679">
      <w:pPr>
        <w:spacing w:after="0" w:line="240" w:lineRule="auto"/>
        <w:ind w:left="426" w:right="8"/>
        <w:rPr>
          <w:sz w:val="22"/>
        </w:rPr>
      </w:pPr>
      <w:r w:rsidRPr="009B4A73">
        <w:rPr>
          <w:sz w:val="22"/>
        </w:rPr>
        <w:t>Study BO18255</w:t>
      </w:r>
      <w:r w:rsidRPr="009B4A73">
        <w:rPr>
          <w:b/>
          <w:sz w:val="22"/>
        </w:rPr>
        <w:t xml:space="preserve"> </w:t>
      </w:r>
      <w:r w:rsidRPr="009B4A73">
        <w:rPr>
          <w:sz w:val="22"/>
        </w:rPr>
        <w:t>(</w:t>
      </w:r>
      <w:proofErr w:type="spellStart"/>
      <w:r w:rsidRPr="009B4A73">
        <w:rPr>
          <w:sz w:val="22"/>
        </w:rPr>
        <w:t>ToGA</w:t>
      </w:r>
      <w:proofErr w:type="spellEnd"/>
      <w:r w:rsidRPr="009B4A73">
        <w:rPr>
          <w:sz w:val="22"/>
        </w:rPr>
        <w:t xml:space="preserve">) was a randomized, open-label, multicentre phase III trial investigating </w:t>
      </w:r>
      <w:r w:rsidR="00DE7079" w:rsidRPr="009B4A73">
        <w:rPr>
          <w:sz w:val="22"/>
        </w:rPr>
        <w:t>trastuzumab</w:t>
      </w:r>
      <w:r w:rsidRPr="009B4A73">
        <w:rPr>
          <w:sz w:val="22"/>
        </w:rPr>
        <w:t xml:space="preserve"> in combination with a fluoropyrimidine and cisplatin (FP) versus chemotherapy alone as first-line therapy in patients with HER2 positive, inoperable, locally </w:t>
      </w:r>
      <w:proofErr w:type="gramStart"/>
      <w:r w:rsidRPr="009B4A73">
        <w:rPr>
          <w:sz w:val="22"/>
        </w:rPr>
        <w:t>advanced</w:t>
      </w:r>
      <w:proofErr w:type="gramEnd"/>
      <w:r w:rsidRPr="009B4A73">
        <w:rPr>
          <w:sz w:val="22"/>
        </w:rPr>
        <w:t xml:space="preserve"> or recurrent and/or metastatic adenocarcinoma of the stomach or gastro-oesophageal junction. </w:t>
      </w:r>
    </w:p>
    <w:p w14:paraId="2BA28002" w14:textId="77777777" w:rsidR="005C521E" w:rsidRPr="009B4A73" w:rsidRDefault="005C521E" w:rsidP="00316679">
      <w:pPr>
        <w:spacing w:after="0" w:line="240" w:lineRule="auto"/>
        <w:ind w:left="426" w:right="8"/>
        <w:rPr>
          <w:sz w:val="22"/>
        </w:rPr>
      </w:pPr>
    </w:p>
    <w:p w14:paraId="03A586B3" w14:textId="64DE8E87" w:rsidR="00D92EBC" w:rsidRPr="009B4A73" w:rsidRDefault="0078763F" w:rsidP="00316679">
      <w:pPr>
        <w:spacing w:after="0" w:line="240" w:lineRule="auto"/>
        <w:ind w:left="426" w:right="8"/>
        <w:rPr>
          <w:sz w:val="22"/>
        </w:rPr>
      </w:pPr>
      <w:r w:rsidRPr="009B4A73">
        <w:rPr>
          <w:sz w:val="22"/>
        </w:rPr>
        <w:t xml:space="preserve">Patients were eligible if they had 3+ levels of HER2 overexpression based on a 0 - 3+ scale by IHC assessment of tumour tissue and/or those whose tumours had HER2 gene amplification as determined by a FISH test (see section 4.2 Dose and </w:t>
      </w:r>
      <w:r w:rsidR="00F94AD5" w:rsidRPr="009B4A73">
        <w:rPr>
          <w:sz w:val="22"/>
        </w:rPr>
        <w:t>m</w:t>
      </w:r>
      <w:r w:rsidRPr="009B4A73">
        <w:rPr>
          <w:sz w:val="22"/>
        </w:rPr>
        <w:t xml:space="preserve">ethod of </w:t>
      </w:r>
      <w:r w:rsidR="00F94AD5" w:rsidRPr="009B4A73">
        <w:rPr>
          <w:sz w:val="22"/>
        </w:rPr>
        <w:t>a</w:t>
      </w:r>
      <w:r w:rsidRPr="009B4A73">
        <w:rPr>
          <w:sz w:val="22"/>
        </w:rPr>
        <w:t xml:space="preserve">dministration). </w:t>
      </w:r>
    </w:p>
    <w:p w14:paraId="1A5F5FFC" w14:textId="77777777" w:rsidR="005C521E" w:rsidRPr="009B4A73" w:rsidRDefault="005C521E" w:rsidP="00316679">
      <w:pPr>
        <w:spacing w:after="0" w:line="240" w:lineRule="auto"/>
        <w:ind w:left="426" w:right="8"/>
        <w:rPr>
          <w:sz w:val="22"/>
        </w:rPr>
      </w:pPr>
    </w:p>
    <w:p w14:paraId="002D437E" w14:textId="490ECEC6" w:rsidR="00D92EBC" w:rsidRPr="009B4A73" w:rsidRDefault="0078763F" w:rsidP="00316679">
      <w:pPr>
        <w:spacing w:after="0" w:line="240" w:lineRule="auto"/>
        <w:ind w:left="426" w:right="8"/>
        <w:rPr>
          <w:sz w:val="22"/>
        </w:rPr>
      </w:pPr>
      <w:r w:rsidRPr="009B4A73">
        <w:rPr>
          <w:sz w:val="22"/>
        </w:rPr>
        <w:t xml:space="preserve">After satisfying the screening eligibility criteria, including assessment of HER2 status, patients were randomly assigned (1:1) to receive either </w:t>
      </w:r>
      <w:r w:rsidR="00DE7079" w:rsidRPr="009B4A73">
        <w:rPr>
          <w:sz w:val="22"/>
        </w:rPr>
        <w:t>trastuzumab</w:t>
      </w:r>
      <w:r w:rsidRPr="009B4A73">
        <w:rPr>
          <w:sz w:val="22"/>
        </w:rPr>
        <w:t xml:space="preserve"> (8 mg/kg loading dose, followed by 6 mg/kg every 3 weeks) + fluoropyrimidine/cisplatin (FP+H) or FP alone. The chemotherapy regimen was chosen between 5</w:t>
      </w:r>
      <w:r w:rsidR="00E341AB" w:rsidRPr="009B4A73">
        <w:rPr>
          <w:sz w:val="22"/>
        </w:rPr>
        <w:t>-</w:t>
      </w:r>
      <w:r w:rsidRPr="009B4A73">
        <w:rPr>
          <w:sz w:val="22"/>
        </w:rPr>
        <w:t xml:space="preserve">FU/cisplatin and capecitabine/cisplatin at the investigator’s discretion and could be determined on an individual patient basis. </w:t>
      </w:r>
    </w:p>
    <w:p w14:paraId="7A7E996D" w14:textId="77777777" w:rsidR="005C521E" w:rsidRPr="009B4A73" w:rsidRDefault="005C521E" w:rsidP="00316679">
      <w:pPr>
        <w:spacing w:after="0" w:line="240" w:lineRule="auto"/>
        <w:ind w:left="426" w:right="6" w:hanging="11"/>
        <w:rPr>
          <w:sz w:val="22"/>
        </w:rPr>
      </w:pPr>
    </w:p>
    <w:p w14:paraId="6382F0AB" w14:textId="65D0D1B2" w:rsidR="00D92EBC" w:rsidRPr="009B4A73" w:rsidRDefault="0078763F" w:rsidP="00316679">
      <w:pPr>
        <w:spacing w:after="0" w:line="240" w:lineRule="auto"/>
        <w:ind w:left="426" w:right="373"/>
        <w:rPr>
          <w:sz w:val="22"/>
        </w:rPr>
      </w:pPr>
      <w:r w:rsidRPr="009B4A73">
        <w:rPr>
          <w:sz w:val="22"/>
        </w:rPr>
        <w:t xml:space="preserve">The efficacy results from </w:t>
      </w:r>
      <w:proofErr w:type="spellStart"/>
      <w:r w:rsidRPr="009B4A73">
        <w:rPr>
          <w:sz w:val="22"/>
        </w:rPr>
        <w:t>ToGA</w:t>
      </w:r>
      <w:proofErr w:type="spellEnd"/>
      <w:r w:rsidRPr="009B4A73">
        <w:rPr>
          <w:sz w:val="22"/>
        </w:rPr>
        <w:t xml:space="preserve"> are summarized in Table 14. The primary endpoint was overall survival, defined as the time from the date of randomization to the date of death from any cause. At the time of analysis, a total of 349 randomized patients had died: 182 patients (62.8%) in the control arm and 167 </w:t>
      </w:r>
      <w:r w:rsidRPr="009B4A73">
        <w:rPr>
          <w:sz w:val="22"/>
        </w:rPr>
        <w:lastRenderedPageBreak/>
        <w:t xml:space="preserve">patients (56.8%) in the treatment arm. </w:t>
      </w:r>
      <w:proofErr w:type="gramStart"/>
      <w:r w:rsidRPr="009B4A73">
        <w:rPr>
          <w:sz w:val="22"/>
        </w:rPr>
        <w:t>The majority of</w:t>
      </w:r>
      <w:proofErr w:type="gramEnd"/>
      <w:r w:rsidRPr="009B4A73">
        <w:rPr>
          <w:sz w:val="22"/>
        </w:rPr>
        <w:t xml:space="preserve"> the deaths were due to events related to the underlying cancer. </w:t>
      </w:r>
    </w:p>
    <w:p w14:paraId="17099779" w14:textId="77777777" w:rsidR="005C521E" w:rsidRPr="009B4A73" w:rsidRDefault="005C521E" w:rsidP="00316679">
      <w:pPr>
        <w:spacing w:after="0" w:line="240" w:lineRule="auto"/>
        <w:ind w:left="426" w:right="374" w:hanging="11"/>
        <w:rPr>
          <w:sz w:val="22"/>
        </w:rPr>
      </w:pPr>
    </w:p>
    <w:p w14:paraId="3157BD4B" w14:textId="6604AF75" w:rsidR="00D92EBC" w:rsidRPr="009B4A73" w:rsidRDefault="0078763F" w:rsidP="00316679">
      <w:pPr>
        <w:spacing w:after="0" w:line="240" w:lineRule="auto"/>
        <w:ind w:left="426" w:right="8"/>
        <w:rPr>
          <w:sz w:val="22"/>
        </w:rPr>
      </w:pPr>
      <w:r w:rsidRPr="009B4A73">
        <w:rPr>
          <w:sz w:val="22"/>
        </w:rPr>
        <w:t>Overall survival was significantly improved in the FP + H arm compared to the FP arm (</w:t>
      </w:r>
      <w:r w:rsidRPr="009B4A73">
        <w:rPr>
          <w:i/>
          <w:sz w:val="22"/>
        </w:rPr>
        <w:t>p</w:t>
      </w:r>
      <w:r w:rsidRPr="009B4A73">
        <w:rPr>
          <w:sz w:val="22"/>
        </w:rPr>
        <w:t xml:space="preserve"> = 0.0046, log-rank test). The median survival time was 11.1 months with FP and 13.8 months with FP + H. The risk of death was decreased by 26% (HR = 0.74; 95% CI 0.60 - 0.91) for patients in the FP + H arm compared to the FP arm. </w:t>
      </w:r>
    </w:p>
    <w:p w14:paraId="5CCC05AD" w14:textId="77777777" w:rsidR="005C521E" w:rsidRPr="009B4A73" w:rsidRDefault="005C521E" w:rsidP="00316679">
      <w:pPr>
        <w:spacing w:after="0" w:line="240" w:lineRule="auto"/>
        <w:ind w:left="426" w:right="6" w:hanging="11"/>
        <w:rPr>
          <w:sz w:val="22"/>
        </w:rPr>
      </w:pPr>
    </w:p>
    <w:p w14:paraId="72B85321" w14:textId="44041752" w:rsidR="005C521E" w:rsidRPr="009B4A73" w:rsidRDefault="0078763F" w:rsidP="00E341AB">
      <w:pPr>
        <w:spacing w:after="11" w:line="240" w:lineRule="auto"/>
        <w:ind w:left="426" w:right="8"/>
        <w:rPr>
          <w:sz w:val="22"/>
        </w:rPr>
      </w:pPr>
      <w:r w:rsidRPr="009B4A73">
        <w:rPr>
          <w:sz w:val="22"/>
        </w:rPr>
        <w:t>Post-hoc subgroup analyses indicate that targeting tumours with higher levels of HER2 protein (IHC 2+/FISH+ and IHC 3+/regardless of FISH status) results in a greater treatment effect. The median overall survival for the high HER2 expressing group was 11.8 months versus 16 months, HR = 0.65 (95% CI 0.51 - 0.83) and the median PFS was 5.5 months vs. 7.6 months, HR = 0.64 (95% CI 0.51 - 0.79).</w:t>
      </w:r>
    </w:p>
    <w:p w14:paraId="5739EA88" w14:textId="6E6F1B86" w:rsidR="00D92EBC" w:rsidRDefault="00D92EBC" w:rsidP="00316679">
      <w:pPr>
        <w:spacing w:after="0" w:line="240" w:lineRule="auto"/>
        <w:ind w:left="426" w:right="6" w:hanging="11"/>
        <w:rPr>
          <w:sz w:val="22"/>
        </w:rPr>
      </w:pPr>
    </w:p>
    <w:p w14:paraId="377FD80B" w14:textId="3E8FFB48" w:rsidR="007F61DE" w:rsidRDefault="007F61DE" w:rsidP="00316679">
      <w:pPr>
        <w:spacing w:after="0" w:line="240" w:lineRule="auto"/>
        <w:ind w:left="426" w:right="6" w:hanging="11"/>
        <w:rPr>
          <w:sz w:val="22"/>
        </w:rPr>
      </w:pPr>
    </w:p>
    <w:p w14:paraId="34A7D877" w14:textId="262828DF" w:rsidR="007F61DE" w:rsidRDefault="007F61DE" w:rsidP="00316679">
      <w:pPr>
        <w:spacing w:after="0" w:line="240" w:lineRule="auto"/>
        <w:ind w:left="426" w:right="6" w:hanging="11"/>
        <w:rPr>
          <w:sz w:val="22"/>
        </w:rPr>
      </w:pPr>
    </w:p>
    <w:p w14:paraId="6DB4AC1B" w14:textId="473B7162" w:rsidR="007F61DE" w:rsidRDefault="007F61DE" w:rsidP="00316679">
      <w:pPr>
        <w:spacing w:after="0" w:line="240" w:lineRule="auto"/>
        <w:ind w:left="426" w:right="6" w:hanging="11"/>
        <w:rPr>
          <w:sz w:val="22"/>
        </w:rPr>
      </w:pPr>
    </w:p>
    <w:p w14:paraId="4E7993E4" w14:textId="77777777" w:rsidR="007F61DE" w:rsidRPr="009B4A73" w:rsidRDefault="007F61DE" w:rsidP="00316679">
      <w:pPr>
        <w:spacing w:after="0" w:line="240" w:lineRule="auto"/>
        <w:ind w:left="426" w:right="6" w:hanging="11"/>
        <w:rPr>
          <w:sz w:val="22"/>
        </w:rPr>
      </w:pPr>
    </w:p>
    <w:p w14:paraId="63E73706" w14:textId="44DFB3F2" w:rsidR="00D92EBC" w:rsidRPr="009B4A73" w:rsidRDefault="0078763F" w:rsidP="00316679">
      <w:pPr>
        <w:pStyle w:val="Heading2"/>
        <w:spacing w:line="240" w:lineRule="auto"/>
        <w:ind w:left="426"/>
        <w:rPr>
          <w:sz w:val="22"/>
        </w:rPr>
      </w:pPr>
      <w:r w:rsidRPr="009B4A73">
        <w:rPr>
          <w:sz w:val="22"/>
        </w:rPr>
        <w:t xml:space="preserve">Table 14: Summary of </w:t>
      </w:r>
      <w:r w:rsidR="00E06B0B" w:rsidRPr="009B4A73">
        <w:rPr>
          <w:sz w:val="22"/>
        </w:rPr>
        <w:t>e</w:t>
      </w:r>
      <w:r w:rsidRPr="009B4A73">
        <w:rPr>
          <w:sz w:val="22"/>
        </w:rPr>
        <w:t xml:space="preserve">fficacy from </w:t>
      </w:r>
      <w:r w:rsidR="00E06B0B" w:rsidRPr="009B4A73">
        <w:rPr>
          <w:sz w:val="22"/>
        </w:rPr>
        <w:t>s</w:t>
      </w:r>
      <w:r w:rsidRPr="009B4A73">
        <w:rPr>
          <w:sz w:val="22"/>
        </w:rPr>
        <w:t>tudy BO18255</w:t>
      </w:r>
    </w:p>
    <w:p w14:paraId="073FFA85" w14:textId="77777777" w:rsidR="007339F8" w:rsidRPr="009B4A73" w:rsidRDefault="007339F8" w:rsidP="00316679">
      <w:pPr>
        <w:spacing w:after="0" w:line="240" w:lineRule="auto"/>
        <w:ind w:left="426" w:hanging="11"/>
      </w:pPr>
    </w:p>
    <w:tbl>
      <w:tblPr>
        <w:tblStyle w:val="TableGrid"/>
        <w:tblW w:w="4799" w:type="pct"/>
        <w:tblInd w:w="421" w:type="dxa"/>
        <w:tblLayout w:type="fixed"/>
        <w:tblCellMar>
          <w:left w:w="57" w:type="dxa"/>
          <w:right w:w="57" w:type="dxa"/>
        </w:tblCellMar>
        <w:tblLook w:val="04A0" w:firstRow="1" w:lastRow="0" w:firstColumn="1" w:lastColumn="0" w:noHBand="0" w:noVBand="1"/>
      </w:tblPr>
      <w:tblGrid>
        <w:gridCol w:w="4253"/>
        <w:gridCol w:w="1275"/>
        <w:gridCol w:w="1275"/>
        <w:gridCol w:w="1765"/>
        <w:gridCol w:w="1472"/>
      </w:tblGrid>
      <w:tr w:rsidR="00D92EBC" w:rsidRPr="009B4A73" w14:paraId="4EB9A500" w14:textId="77777777" w:rsidTr="00E06B0B">
        <w:trPr>
          <w:trHeight w:val="20"/>
        </w:trPr>
        <w:tc>
          <w:tcPr>
            <w:tcW w:w="2118" w:type="pct"/>
            <w:tcBorders>
              <w:top w:val="single" w:sz="4" w:space="0" w:color="000000"/>
              <w:left w:val="single" w:sz="4" w:space="0" w:color="000000"/>
              <w:bottom w:val="single" w:sz="4" w:space="0" w:color="000000"/>
              <w:right w:val="single" w:sz="4" w:space="0" w:color="000000"/>
            </w:tcBorders>
          </w:tcPr>
          <w:p w14:paraId="3836D64B" w14:textId="55073323" w:rsidR="00D92EBC" w:rsidRPr="009B4A73" w:rsidRDefault="00E06B0B" w:rsidP="00E06B0B">
            <w:pPr>
              <w:spacing w:after="0" w:line="240" w:lineRule="auto"/>
              <w:ind w:left="0" w:right="57" w:firstLine="0"/>
              <w:rPr>
                <w:sz w:val="22"/>
              </w:rPr>
            </w:pPr>
            <w:r w:rsidRPr="009B4A73">
              <w:rPr>
                <w:b/>
                <w:sz w:val="22"/>
              </w:rPr>
              <w:t>T</w:t>
            </w:r>
            <w:r w:rsidR="00DE7079" w:rsidRPr="009B4A73">
              <w:rPr>
                <w:b/>
                <w:sz w:val="22"/>
              </w:rPr>
              <w:t>rastuzumab</w:t>
            </w:r>
            <w:r w:rsidR="0078763F" w:rsidRPr="009B4A73">
              <w:rPr>
                <w:b/>
                <w:sz w:val="22"/>
              </w:rPr>
              <w:t xml:space="preserve"> dosage regimen </w:t>
            </w:r>
          </w:p>
        </w:tc>
        <w:tc>
          <w:tcPr>
            <w:tcW w:w="2882" w:type="pct"/>
            <w:gridSpan w:val="4"/>
            <w:tcBorders>
              <w:top w:val="single" w:sz="4" w:space="0" w:color="000000"/>
              <w:left w:val="single" w:sz="4" w:space="0" w:color="000000"/>
              <w:bottom w:val="single" w:sz="4" w:space="0" w:color="000000"/>
              <w:right w:val="single" w:sz="4" w:space="0" w:color="000000"/>
            </w:tcBorders>
          </w:tcPr>
          <w:p w14:paraId="2AC7D16A" w14:textId="5C3ED092" w:rsidR="00D92EBC" w:rsidRPr="009B4A73" w:rsidRDefault="0078763F" w:rsidP="00E06B0B">
            <w:pPr>
              <w:spacing w:after="0" w:line="240" w:lineRule="auto"/>
              <w:ind w:left="0" w:right="57" w:firstLine="0"/>
              <w:jc w:val="center"/>
              <w:rPr>
                <w:sz w:val="22"/>
              </w:rPr>
            </w:pPr>
            <w:r w:rsidRPr="009B4A73">
              <w:rPr>
                <w:sz w:val="22"/>
              </w:rPr>
              <w:t>Every 3 weeks</w:t>
            </w:r>
          </w:p>
        </w:tc>
      </w:tr>
      <w:tr w:rsidR="00D92EBC" w:rsidRPr="009B4A73" w14:paraId="63EDEFE6" w14:textId="77777777" w:rsidTr="00E06B0B">
        <w:trPr>
          <w:trHeight w:val="20"/>
        </w:trPr>
        <w:tc>
          <w:tcPr>
            <w:tcW w:w="2118" w:type="pct"/>
            <w:tcBorders>
              <w:top w:val="single" w:sz="4" w:space="0" w:color="000000"/>
              <w:left w:val="single" w:sz="4" w:space="0" w:color="000000"/>
              <w:bottom w:val="single" w:sz="4" w:space="0" w:color="000000"/>
              <w:right w:val="single" w:sz="4" w:space="0" w:color="000000"/>
            </w:tcBorders>
          </w:tcPr>
          <w:p w14:paraId="42FBD481" w14:textId="77777777" w:rsidR="00D92EBC" w:rsidRPr="009B4A73" w:rsidRDefault="0078763F" w:rsidP="00E06B0B">
            <w:pPr>
              <w:spacing w:after="0" w:line="240" w:lineRule="auto"/>
              <w:ind w:left="0" w:right="57" w:firstLine="0"/>
              <w:rPr>
                <w:sz w:val="22"/>
              </w:rPr>
            </w:pPr>
            <w:r w:rsidRPr="009B4A73">
              <w:rPr>
                <w:b/>
                <w:sz w:val="22"/>
              </w:rPr>
              <w:t xml:space="preserve">Chemotherapy regimens (FP) </w:t>
            </w:r>
          </w:p>
        </w:tc>
        <w:tc>
          <w:tcPr>
            <w:tcW w:w="2882" w:type="pct"/>
            <w:gridSpan w:val="4"/>
            <w:tcBorders>
              <w:top w:val="single" w:sz="4" w:space="0" w:color="000000"/>
              <w:left w:val="single" w:sz="4" w:space="0" w:color="000000"/>
              <w:bottom w:val="single" w:sz="4" w:space="0" w:color="000000"/>
              <w:right w:val="single" w:sz="4" w:space="0" w:color="000000"/>
            </w:tcBorders>
          </w:tcPr>
          <w:p w14:paraId="52143B18" w14:textId="77777777" w:rsidR="00D92EBC" w:rsidRPr="009B4A73" w:rsidRDefault="0078763F" w:rsidP="00E06B0B">
            <w:pPr>
              <w:numPr>
                <w:ilvl w:val="0"/>
                <w:numId w:val="8"/>
              </w:numPr>
              <w:spacing w:after="0" w:line="240" w:lineRule="auto"/>
              <w:ind w:left="364" w:right="57" w:hanging="360"/>
              <w:rPr>
                <w:sz w:val="22"/>
              </w:rPr>
            </w:pPr>
            <w:r w:rsidRPr="009B4A73">
              <w:rPr>
                <w:sz w:val="22"/>
              </w:rPr>
              <w:t>Capecitabine: 1000 mg/m</w:t>
            </w:r>
            <w:r w:rsidRPr="009B4A73">
              <w:rPr>
                <w:sz w:val="22"/>
                <w:vertAlign w:val="superscript"/>
              </w:rPr>
              <w:t>2</w:t>
            </w:r>
            <w:r w:rsidRPr="009B4A73">
              <w:rPr>
                <w:sz w:val="22"/>
              </w:rPr>
              <w:t xml:space="preserve"> orally twice daily for 14 days every 3 weeks for 6 cycles (Days 1 to 15 of each cycle). </w:t>
            </w:r>
          </w:p>
          <w:p w14:paraId="6D2BE693" w14:textId="77777777" w:rsidR="00D92EBC" w:rsidRPr="009B4A73" w:rsidRDefault="0078763F" w:rsidP="00E06B0B">
            <w:pPr>
              <w:numPr>
                <w:ilvl w:val="0"/>
                <w:numId w:val="8"/>
              </w:numPr>
              <w:spacing w:after="0" w:line="240" w:lineRule="auto"/>
              <w:ind w:left="364" w:right="57" w:hanging="360"/>
              <w:rPr>
                <w:sz w:val="22"/>
              </w:rPr>
            </w:pPr>
            <w:r w:rsidRPr="009B4A73">
              <w:rPr>
                <w:sz w:val="22"/>
              </w:rPr>
              <w:t>5-FU: 800 mg/m</w:t>
            </w:r>
            <w:r w:rsidRPr="009B4A73">
              <w:rPr>
                <w:sz w:val="22"/>
                <w:vertAlign w:val="superscript"/>
              </w:rPr>
              <w:t>2</w:t>
            </w:r>
            <w:r w:rsidRPr="009B4A73">
              <w:rPr>
                <w:sz w:val="22"/>
              </w:rPr>
              <w:t xml:space="preserve">/day as a continuous IV infusion over 5 days, given every 3 weeks for 6 cycles (Days 1 to 5 of each cycle). The 5FU infusion could be started at the same time as the cisplatin infusion on Day 1. </w:t>
            </w:r>
          </w:p>
          <w:p w14:paraId="483993F5" w14:textId="77777777" w:rsidR="00D92EBC" w:rsidRPr="009B4A73" w:rsidRDefault="0078763F" w:rsidP="00E06B0B">
            <w:pPr>
              <w:numPr>
                <w:ilvl w:val="0"/>
                <w:numId w:val="8"/>
              </w:numPr>
              <w:spacing w:after="0" w:line="240" w:lineRule="auto"/>
              <w:ind w:left="364" w:right="57" w:hanging="360"/>
              <w:rPr>
                <w:sz w:val="22"/>
              </w:rPr>
            </w:pPr>
            <w:r w:rsidRPr="009B4A73">
              <w:rPr>
                <w:sz w:val="22"/>
              </w:rPr>
              <w:t>Cisplatin: 80 mg/m</w:t>
            </w:r>
            <w:r w:rsidRPr="009B4A73">
              <w:rPr>
                <w:sz w:val="22"/>
                <w:vertAlign w:val="superscript"/>
              </w:rPr>
              <w:t>2</w:t>
            </w:r>
            <w:r w:rsidRPr="009B4A73">
              <w:rPr>
                <w:sz w:val="22"/>
              </w:rPr>
              <w:t xml:space="preserve"> every 3 weeks for 6 cycles (on Day 1 of each cycle) as a 2h IV infusion with hydration and premedication (steroids and anti-emetics).</w:t>
            </w:r>
            <w:r w:rsidRPr="009B4A73">
              <w:rPr>
                <w:b/>
                <w:i/>
                <w:sz w:val="22"/>
              </w:rPr>
              <w:t xml:space="preserve"> </w:t>
            </w:r>
          </w:p>
        </w:tc>
      </w:tr>
      <w:tr w:rsidR="00D92EBC" w:rsidRPr="009B4A73" w14:paraId="720C30C1" w14:textId="77777777" w:rsidTr="00E06B0B">
        <w:trPr>
          <w:trHeight w:val="20"/>
        </w:trPr>
        <w:tc>
          <w:tcPr>
            <w:tcW w:w="2118" w:type="pct"/>
            <w:tcBorders>
              <w:top w:val="single" w:sz="4" w:space="0" w:color="000000"/>
              <w:left w:val="single" w:sz="4" w:space="0" w:color="000000"/>
              <w:bottom w:val="single" w:sz="4" w:space="0" w:color="000000"/>
              <w:right w:val="single" w:sz="4" w:space="0" w:color="000000"/>
            </w:tcBorders>
            <w:vAlign w:val="center"/>
          </w:tcPr>
          <w:p w14:paraId="3A1938DA" w14:textId="77777777" w:rsidR="00D92EBC" w:rsidRPr="009B4A73" w:rsidRDefault="0078763F" w:rsidP="00E06B0B">
            <w:pPr>
              <w:spacing w:after="0" w:line="240" w:lineRule="auto"/>
              <w:ind w:left="0" w:right="57" w:firstLine="0"/>
              <w:rPr>
                <w:sz w:val="22"/>
              </w:rPr>
            </w:pPr>
            <w:r w:rsidRPr="009B4A73">
              <w:rPr>
                <w:b/>
                <w:sz w:val="22"/>
              </w:rPr>
              <w:t xml:space="preserve">Efficacy Parameters </w:t>
            </w:r>
          </w:p>
        </w:tc>
        <w:tc>
          <w:tcPr>
            <w:tcW w:w="635" w:type="pct"/>
            <w:tcBorders>
              <w:top w:val="single" w:sz="4" w:space="0" w:color="000000"/>
              <w:left w:val="single" w:sz="4" w:space="0" w:color="000000"/>
              <w:bottom w:val="single" w:sz="4" w:space="0" w:color="000000"/>
              <w:right w:val="single" w:sz="4" w:space="0" w:color="000000"/>
            </w:tcBorders>
            <w:vAlign w:val="center"/>
          </w:tcPr>
          <w:p w14:paraId="653F9C02" w14:textId="77777777" w:rsidR="00E06B0B" w:rsidRPr="009B4A73" w:rsidRDefault="0078763F" w:rsidP="00E06B0B">
            <w:pPr>
              <w:spacing w:after="0" w:line="240" w:lineRule="auto"/>
              <w:ind w:left="0" w:right="57" w:firstLine="0"/>
              <w:jc w:val="center"/>
              <w:rPr>
                <w:b/>
                <w:sz w:val="22"/>
              </w:rPr>
            </w:pPr>
            <w:r w:rsidRPr="009B4A73">
              <w:rPr>
                <w:b/>
                <w:sz w:val="22"/>
              </w:rPr>
              <w:t xml:space="preserve">FP </w:t>
            </w:r>
          </w:p>
          <w:p w14:paraId="74A6C50E" w14:textId="659376C0" w:rsidR="00D92EBC" w:rsidRPr="009B4A73" w:rsidRDefault="0078763F" w:rsidP="00E06B0B">
            <w:pPr>
              <w:spacing w:after="0" w:line="240" w:lineRule="auto"/>
              <w:ind w:left="0" w:right="57" w:firstLine="0"/>
              <w:jc w:val="center"/>
              <w:rPr>
                <w:sz w:val="22"/>
              </w:rPr>
            </w:pPr>
            <w:r w:rsidRPr="009B4A73">
              <w:rPr>
                <w:b/>
                <w:i/>
                <w:sz w:val="22"/>
              </w:rPr>
              <w:t>n</w:t>
            </w:r>
            <w:r w:rsidRPr="009B4A73">
              <w:rPr>
                <w:b/>
                <w:sz w:val="22"/>
              </w:rPr>
              <w:t xml:space="preserve"> = 290</w:t>
            </w:r>
          </w:p>
        </w:tc>
        <w:tc>
          <w:tcPr>
            <w:tcW w:w="635" w:type="pct"/>
            <w:tcBorders>
              <w:top w:val="single" w:sz="4" w:space="0" w:color="000000"/>
              <w:left w:val="single" w:sz="4" w:space="0" w:color="000000"/>
              <w:bottom w:val="single" w:sz="4" w:space="0" w:color="000000"/>
              <w:right w:val="single" w:sz="4" w:space="0" w:color="000000"/>
            </w:tcBorders>
            <w:vAlign w:val="center"/>
          </w:tcPr>
          <w:p w14:paraId="3CE29D54" w14:textId="4AC1F900" w:rsidR="00D92EBC" w:rsidRPr="009B4A73" w:rsidRDefault="0078763F" w:rsidP="00E06B0B">
            <w:pPr>
              <w:spacing w:after="0" w:line="240" w:lineRule="auto"/>
              <w:ind w:left="0" w:right="57" w:firstLine="0"/>
              <w:jc w:val="center"/>
              <w:rPr>
                <w:sz w:val="22"/>
              </w:rPr>
            </w:pPr>
            <w:r w:rsidRPr="009B4A73">
              <w:rPr>
                <w:b/>
                <w:sz w:val="22"/>
              </w:rPr>
              <w:t>FP+H</w:t>
            </w:r>
          </w:p>
          <w:p w14:paraId="5CBA6114" w14:textId="0E7A47E0" w:rsidR="00D92EBC" w:rsidRPr="009B4A73" w:rsidRDefault="0078763F" w:rsidP="00E06B0B">
            <w:pPr>
              <w:spacing w:after="0" w:line="240" w:lineRule="auto"/>
              <w:ind w:left="0" w:right="57" w:firstLine="0"/>
              <w:jc w:val="center"/>
              <w:rPr>
                <w:sz w:val="22"/>
              </w:rPr>
            </w:pPr>
            <w:r w:rsidRPr="009B4A73">
              <w:rPr>
                <w:b/>
                <w:i/>
                <w:sz w:val="22"/>
              </w:rPr>
              <w:t>n</w:t>
            </w:r>
            <w:r w:rsidRPr="009B4A73">
              <w:rPr>
                <w:b/>
                <w:sz w:val="22"/>
              </w:rPr>
              <w:t xml:space="preserve"> = 294</w:t>
            </w:r>
          </w:p>
        </w:tc>
        <w:tc>
          <w:tcPr>
            <w:tcW w:w="879" w:type="pct"/>
            <w:tcBorders>
              <w:top w:val="single" w:sz="4" w:space="0" w:color="000000"/>
              <w:left w:val="single" w:sz="4" w:space="0" w:color="000000"/>
              <w:bottom w:val="single" w:sz="4" w:space="0" w:color="000000"/>
              <w:right w:val="single" w:sz="4" w:space="0" w:color="000000"/>
            </w:tcBorders>
            <w:vAlign w:val="center"/>
          </w:tcPr>
          <w:p w14:paraId="752B13A1" w14:textId="04240BCF" w:rsidR="00D92EBC" w:rsidRPr="009B4A73" w:rsidRDefault="0078763F" w:rsidP="00E06B0B">
            <w:pPr>
              <w:spacing w:after="0" w:line="240" w:lineRule="auto"/>
              <w:ind w:left="0" w:right="57" w:firstLine="0"/>
              <w:jc w:val="center"/>
              <w:rPr>
                <w:sz w:val="22"/>
              </w:rPr>
            </w:pPr>
            <w:r w:rsidRPr="009B4A73">
              <w:rPr>
                <w:b/>
                <w:sz w:val="22"/>
              </w:rPr>
              <w:t>HR (95% CI)</w:t>
            </w:r>
          </w:p>
        </w:tc>
        <w:tc>
          <w:tcPr>
            <w:tcW w:w="733" w:type="pct"/>
            <w:tcBorders>
              <w:top w:val="single" w:sz="4" w:space="0" w:color="000000"/>
              <w:left w:val="single" w:sz="4" w:space="0" w:color="000000"/>
              <w:bottom w:val="single" w:sz="4" w:space="0" w:color="000000"/>
              <w:right w:val="single" w:sz="4" w:space="0" w:color="000000"/>
            </w:tcBorders>
            <w:vAlign w:val="center"/>
          </w:tcPr>
          <w:p w14:paraId="109CFFC0" w14:textId="75E5B6D9" w:rsidR="00D92EBC" w:rsidRPr="009B4A73" w:rsidRDefault="0078763F" w:rsidP="00E06B0B">
            <w:pPr>
              <w:spacing w:after="0" w:line="240" w:lineRule="auto"/>
              <w:ind w:left="0" w:right="57" w:firstLine="0"/>
              <w:jc w:val="center"/>
              <w:rPr>
                <w:sz w:val="22"/>
              </w:rPr>
            </w:pPr>
            <w:r w:rsidRPr="009B4A73">
              <w:rPr>
                <w:b/>
                <w:i/>
                <w:sz w:val="22"/>
              </w:rPr>
              <w:t>p</w:t>
            </w:r>
            <w:r w:rsidRPr="009B4A73">
              <w:rPr>
                <w:b/>
                <w:sz w:val="22"/>
              </w:rPr>
              <w:t>-value</w:t>
            </w:r>
          </w:p>
        </w:tc>
      </w:tr>
      <w:tr w:rsidR="00D92EBC" w:rsidRPr="009B4A73" w14:paraId="4448943B" w14:textId="77777777" w:rsidTr="00E06B0B">
        <w:trPr>
          <w:trHeight w:val="20"/>
        </w:trPr>
        <w:tc>
          <w:tcPr>
            <w:tcW w:w="2118" w:type="pct"/>
            <w:tcBorders>
              <w:top w:val="single" w:sz="4" w:space="0" w:color="000000"/>
              <w:left w:val="single" w:sz="4" w:space="0" w:color="000000"/>
              <w:bottom w:val="single" w:sz="4" w:space="0" w:color="000000"/>
              <w:right w:val="single" w:sz="4" w:space="0" w:color="000000"/>
            </w:tcBorders>
          </w:tcPr>
          <w:p w14:paraId="58B74B4E" w14:textId="77777777" w:rsidR="00D92EBC" w:rsidRPr="009B4A73" w:rsidRDefault="0078763F" w:rsidP="00E06B0B">
            <w:pPr>
              <w:spacing w:after="0" w:line="240" w:lineRule="auto"/>
              <w:ind w:left="0" w:right="57" w:firstLine="0"/>
              <w:rPr>
                <w:sz w:val="22"/>
              </w:rPr>
            </w:pPr>
            <w:r w:rsidRPr="009B4A73">
              <w:rPr>
                <w:sz w:val="22"/>
              </w:rPr>
              <w:t xml:space="preserve">Overall Survival, Median months </w:t>
            </w:r>
          </w:p>
        </w:tc>
        <w:tc>
          <w:tcPr>
            <w:tcW w:w="635" w:type="pct"/>
            <w:tcBorders>
              <w:top w:val="single" w:sz="4" w:space="0" w:color="000000"/>
              <w:left w:val="single" w:sz="4" w:space="0" w:color="000000"/>
              <w:bottom w:val="single" w:sz="4" w:space="0" w:color="000000"/>
              <w:right w:val="single" w:sz="4" w:space="0" w:color="000000"/>
            </w:tcBorders>
            <w:vAlign w:val="center"/>
          </w:tcPr>
          <w:p w14:paraId="0AD0DE75" w14:textId="08A49AF2" w:rsidR="00D92EBC" w:rsidRPr="009B4A73" w:rsidRDefault="0078763F" w:rsidP="00E06B0B">
            <w:pPr>
              <w:spacing w:after="0" w:line="240" w:lineRule="auto"/>
              <w:ind w:left="0" w:right="57" w:firstLine="0"/>
              <w:jc w:val="center"/>
              <w:rPr>
                <w:sz w:val="22"/>
              </w:rPr>
            </w:pPr>
            <w:r w:rsidRPr="009B4A73">
              <w:rPr>
                <w:sz w:val="22"/>
              </w:rPr>
              <w:t>11.1</w:t>
            </w:r>
          </w:p>
        </w:tc>
        <w:tc>
          <w:tcPr>
            <w:tcW w:w="635" w:type="pct"/>
            <w:tcBorders>
              <w:top w:val="single" w:sz="4" w:space="0" w:color="000000"/>
              <w:left w:val="single" w:sz="4" w:space="0" w:color="000000"/>
              <w:bottom w:val="single" w:sz="4" w:space="0" w:color="000000"/>
              <w:right w:val="single" w:sz="4" w:space="0" w:color="000000"/>
            </w:tcBorders>
            <w:vAlign w:val="center"/>
          </w:tcPr>
          <w:p w14:paraId="09F2F04B" w14:textId="2DD8EFFC" w:rsidR="00D92EBC" w:rsidRPr="009B4A73" w:rsidRDefault="0078763F" w:rsidP="00E06B0B">
            <w:pPr>
              <w:spacing w:after="0" w:line="240" w:lineRule="auto"/>
              <w:ind w:left="0" w:right="57" w:firstLine="0"/>
              <w:jc w:val="center"/>
              <w:rPr>
                <w:sz w:val="22"/>
              </w:rPr>
            </w:pPr>
            <w:r w:rsidRPr="009B4A73">
              <w:rPr>
                <w:sz w:val="22"/>
              </w:rPr>
              <w:t>13.8</w:t>
            </w:r>
          </w:p>
        </w:tc>
        <w:tc>
          <w:tcPr>
            <w:tcW w:w="879" w:type="pct"/>
            <w:tcBorders>
              <w:top w:val="single" w:sz="4" w:space="0" w:color="000000"/>
              <w:left w:val="single" w:sz="4" w:space="0" w:color="000000"/>
              <w:bottom w:val="single" w:sz="4" w:space="0" w:color="000000"/>
              <w:right w:val="single" w:sz="4" w:space="0" w:color="000000"/>
            </w:tcBorders>
            <w:vAlign w:val="center"/>
          </w:tcPr>
          <w:p w14:paraId="47F93327" w14:textId="767B679E" w:rsidR="00D92EBC" w:rsidRPr="009B4A73" w:rsidRDefault="0078763F" w:rsidP="00E06B0B">
            <w:pPr>
              <w:spacing w:after="0" w:line="240" w:lineRule="auto"/>
              <w:ind w:left="0" w:right="57" w:firstLine="0"/>
              <w:jc w:val="center"/>
              <w:rPr>
                <w:sz w:val="22"/>
              </w:rPr>
            </w:pPr>
            <w:r w:rsidRPr="009B4A73">
              <w:rPr>
                <w:sz w:val="22"/>
              </w:rPr>
              <w:t>0.74 (0.60-0.91)</w:t>
            </w:r>
          </w:p>
        </w:tc>
        <w:tc>
          <w:tcPr>
            <w:tcW w:w="733" w:type="pct"/>
            <w:tcBorders>
              <w:top w:val="single" w:sz="4" w:space="0" w:color="000000"/>
              <w:left w:val="single" w:sz="4" w:space="0" w:color="000000"/>
              <w:bottom w:val="single" w:sz="4" w:space="0" w:color="000000"/>
              <w:right w:val="single" w:sz="4" w:space="0" w:color="000000"/>
            </w:tcBorders>
            <w:vAlign w:val="center"/>
          </w:tcPr>
          <w:p w14:paraId="3E2C4B11" w14:textId="774306C4" w:rsidR="00D92EBC" w:rsidRPr="009B4A73" w:rsidRDefault="0078763F" w:rsidP="00E06B0B">
            <w:pPr>
              <w:spacing w:after="0" w:line="240" w:lineRule="auto"/>
              <w:ind w:left="0" w:right="57" w:firstLine="0"/>
              <w:jc w:val="center"/>
              <w:rPr>
                <w:sz w:val="22"/>
              </w:rPr>
            </w:pPr>
            <w:r w:rsidRPr="009B4A73">
              <w:rPr>
                <w:sz w:val="22"/>
              </w:rPr>
              <w:t>0.0046</w:t>
            </w:r>
          </w:p>
        </w:tc>
      </w:tr>
      <w:tr w:rsidR="00D92EBC" w:rsidRPr="009B4A73" w14:paraId="15EA430A" w14:textId="77777777" w:rsidTr="00E06B0B">
        <w:trPr>
          <w:trHeight w:val="20"/>
        </w:trPr>
        <w:tc>
          <w:tcPr>
            <w:tcW w:w="2118" w:type="pct"/>
            <w:tcBorders>
              <w:top w:val="single" w:sz="4" w:space="0" w:color="000000"/>
              <w:left w:val="single" w:sz="4" w:space="0" w:color="000000"/>
              <w:bottom w:val="single" w:sz="4" w:space="0" w:color="000000"/>
              <w:right w:val="single" w:sz="4" w:space="0" w:color="000000"/>
            </w:tcBorders>
          </w:tcPr>
          <w:p w14:paraId="2F6B7918" w14:textId="77777777" w:rsidR="00D92EBC" w:rsidRPr="009B4A73" w:rsidRDefault="0078763F" w:rsidP="00E06B0B">
            <w:pPr>
              <w:spacing w:after="0" w:line="240" w:lineRule="auto"/>
              <w:ind w:left="0" w:right="57" w:firstLine="0"/>
              <w:rPr>
                <w:sz w:val="22"/>
              </w:rPr>
            </w:pPr>
            <w:r w:rsidRPr="009B4A73">
              <w:rPr>
                <w:sz w:val="22"/>
              </w:rPr>
              <w:t xml:space="preserve">Progression-Free Survival, Median months </w:t>
            </w:r>
          </w:p>
        </w:tc>
        <w:tc>
          <w:tcPr>
            <w:tcW w:w="635" w:type="pct"/>
            <w:tcBorders>
              <w:top w:val="single" w:sz="4" w:space="0" w:color="000000"/>
              <w:left w:val="single" w:sz="4" w:space="0" w:color="000000"/>
              <w:bottom w:val="single" w:sz="4" w:space="0" w:color="000000"/>
              <w:right w:val="single" w:sz="4" w:space="0" w:color="000000"/>
            </w:tcBorders>
            <w:vAlign w:val="center"/>
          </w:tcPr>
          <w:p w14:paraId="49116981" w14:textId="61677C78" w:rsidR="00D92EBC" w:rsidRPr="009B4A73" w:rsidRDefault="0078763F" w:rsidP="00E06B0B">
            <w:pPr>
              <w:spacing w:after="0" w:line="240" w:lineRule="auto"/>
              <w:ind w:left="0" w:right="57" w:firstLine="0"/>
              <w:jc w:val="center"/>
              <w:rPr>
                <w:sz w:val="22"/>
              </w:rPr>
            </w:pPr>
            <w:r w:rsidRPr="009B4A73">
              <w:rPr>
                <w:sz w:val="22"/>
              </w:rPr>
              <w:t>5.5</w:t>
            </w:r>
          </w:p>
        </w:tc>
        <w:tc>
          <w:tcPr>
            <w:tcW w:w="635" w:type="pct"/>
            <w:tcBorders>
              <w:top w:val="single" w:sz="4" w:space="0" w:color="000000"/>
              <w:left w:val="single" w:sz="4" w:space="0" w:color="000000"/>
              <w:bottom w:val="single" w:sz="4" w:space="0" w:color="000000"/>
              <w:right w:val="single" w:sz="4" w:space="0" w:color="000000"/>
            </w:tcBorders>
            <w:vAlign w:val="center"/>
          </w:tcPr>
          <w:p w14:paraId="3C096742" w14:textId="5A1EFDC1" w:rsidR="00D92EBC" w:rsidRPr="009B4A73" w:rsidRDefault="0078763F" w:rsidP="00E06B0B">
            <w:pPr>
              <w:spacing w:after="0" w:line="240" w:lineRule="auto"/>
              <w:ind w:left="0" w:right="57" w:firstLine="0"/>
              <w:jc w:val="center"/>
              <w:rPr>
                <w:sz w:val="22"/>
              </w:rPr>
            </w:pPr>
            <w:r w:rsidRPr="009B4A73">
              <w:rPr>
                <w:sz w:val="22"/>
              </w:rPr>
              <w:t>6.7</w:t>
            </w:r>
          </w:p>
        </w:tc>
        <w:tc>
          <w:tcPr>
            <w:tcW w:w="879" w:type="pct"/>
            <w:tcBorders>
              <w:top w:val="single" w:sz="4" w:space="0" w:color="000000"/>
              <w:left w:val="single" w:sz="4" w:space="0" w:color="000000"/>
              <w:bottom w:val="single" w:sz="4" w:space="0" w:color="000000"/>
              <w:right w:val="single" w:sz="4" w:space="0" w:color="000000"/>
            </w:tcBorders>
            <w:vAlign w:val="center"/>
          </w:tcPr>
          <w:p w14:paraId="4FCB304F" w14:textId="71F9C01C" w:rsidR="00D92EBC" w:rsidRPr="009B4A73" w:rsidRDefault="0078763F" w:rsidP="00E06B0B">
            <w:pPr>
              <w:spacing w:after="0" w:line="240" w:lineRule="auto"/>
              <w:ind w:left="0" w:right="57" w:firstLine="0"/>
              <w:jc w:val="center"/>
              <w:rPr>
                <w:sz w:val="22"/>
              </w:rPr>
            </w:pPr>
            <w:r w:rsidRPr="009B4A73">
              <w:rPr>
                <w:sz w:val="22"/>
              </w:rPr>
              <w:t>0.71 (0.59-0.85)</w:t>
            </w:r>
          </w:p>
        </w:tc>
        <w:tc>
          <w:tcPr>
            <w:tcW w:w="733" w:type="pct"/>
            <w:tcBorders>
              <w:top w:val="single" w:sz="4" w:space="0" w:color="000000"/>
              <w:left w:val="single" w:sz="4" w:space="0" w:color="000000"/>
              <w:bottom w:val="single" w:sz="4" w:space="0" w:color="000000"/>
              <w:right w:val="single" w:sz="4" w:space="0" w:color="000000"/>
            </w:tcBorders>
            <w:vAlign w:val="center"/>
          </w:tcPr>
          <w:p w14:paraId="41091EAA" w14:textId="154BDAB3" w:rsidR="00D92EBC" w:rsidRPr="009B4A73" w:rsidRDefault="0078763F" w:rsidP="00E06B0B">
            <w:pPr>
              <w:spacing w:after="0" w:line="240" w:lineRule="auto"/>
              <w:ind w:left="0" w:right="57" w:firstLine="0"/>
              <w:jc w:val="center"/>
              <w:rPr>
                <w:sz w:val="22"/>
              </w:rPr>
            </w:pPr>
            <w:r w:rsidRPr="009B4A73">
              <w:rPr>
                <w:sz w:val="22"/>
              </w:rPr>
              <w:t>0.0002</w:t>
            </w:r>
          </w:p>
        </w:tc>
      </w:tr>
      <w:tr w:rsidR="00D92EBC" w:rsidRPr="009B4A73" w14:paraId="0B328BA7" w14:textId="77777777" w:rsidTr="00E06B0B">
        <w:trPr>
          <w:trHeight w:val="20"/>
        </w:trPr>
        <w:tc>
          <w:tcPr>
            <w:tcW w:w="2118" w:type="pct"/>
            <w:tcBorders>
              <w:top w:val="single" w:sz="4" w:space="0" w:color="000000"/>
              <w:left w:val="single" w:sz="4" w:space="0" w:color="000000"/>
              <w:bottom w:val="single" w:sz="4" w:space="0" w:color="000000"/>
              <w:right w:val="single" w:sz="4" w:space="0" w:color="000000"/>
            </w:tcBorders>
          </w:tcPr>
          <w:p w14:paraId="571AA3F5" w14:textId="77777777" w:rsidR="00D92EBC" w:rsidRPr="009B4A73" w:rsidRDefault="0078763F" w:rsidP="00E06B0B">
            <w:pPr>
              <w:spacing w:after="0" w:line="240" w:lineRule="auto"/>
              <w:ind w:left="0" w:right="57" w:firstLine="0"/>
              <w:rPr>
                <w:sz w:val="22"/>
              </w:rPr>
            </w:pPr>
            <w:r w:rsidRPr="009B4A73">
              <w:rPr>
                <w:sz w:val="22"/>
              </w:rPr>
              <w:t xml:space="preserve">Time to Disease Progression, Median months </w:t>
            </w:r>
          </w:p>
        </w:tc>
        <w:tc>
          <w:tcPr>
            <w:tcW w:w="635" w:type="pct"/>
            <w:tcBorders>
              <w:top w:val="single" w:sz="4" w:space="0" w:color="000000"/>
              <w:left w:val="single" w:sz="4" w:space="0" w:color="000000"/>
              <w:bottom w:val="single" w:sz="4" w:space="0" w:color="000000"/>
              <w:right w:val="single" w:sz="4" w:space="0" w:color="000000"/>
            </w:tcBorders>
            <w:vAlign w:val="center"/>
          </w:tcPr>
          <w:p w14:paraId="3410D93A" w14:textId="1A11C77E" w:rsidR="00D92EBC" w:rsidRPr="009B4A73" w:rsidRDefault="0078763F" w:rsidP="00E06B0B">
            <w:pPr>
              <w:spacing w:after="0" w:line="240" w:lineRule="auto"/>
              <w:ind w:left="0" w:right="57" w:firstLine="0"/>
              <w:jc w:val="center"/>
              <w:rPr>
                <w:sz w:val="22"/>
              </w:rPr>
            </w:pPr>
            <w:r w:rsidRPr="009B4A73">
              <w:rPr>
                <w:sz w:val="22"/>
              </w:rPr>
              <w:t>5.6</w:t>
            </w:r>
          </w:p>
        </w:tc>
        <w:tc>
          <w:tcPr>
            <w:tcW w:w="635" w:type="pct"/>
            <w:tcBorders>
              <w:top w:val="single" w:sz="4" w:space="0" w:color="000000"/>
              <w:left w:val="single" w:sz="4" w:space="0" w:color="000000"/>
              <w:bottom w:val="single" w:sz="4" w:space="0" w:color="000000"/>
              <w:right w:val="single" w:sz="4" w:space="0" w:color="000000"/>
            </w:tcBorders>
            <w:vAlign w:val="center"/>
          </w:tcPr>
          <w:p w14:paraId="056A5D24" w14:textId="371EE4AC" w:rsidR="00D92EBC" w:rsidRPr="009B4A73" w:rsidRDefault="0078763F" w:rsidP="00E06B0B">
            <w:pPr>
              <w:spacing w:after="0" w:line="240" w:lineRule="auto"/>
              <w:ind w:left="0" w:right="57" w:firstLine="0"/>
              <w:jc w:val="center"/>
              <w:rPr>
                <w:sz w:val="22"/>
              </w:rPr>
            </w:pPr>
            <w:r w:rsidRPr="009B4A73">
              <w:rPr>
                <w:sz w:val="22"/>
              </w:rPr>
              <w:t>7.1</w:t>
            </w:r>
          </w:p>
        </w:tc>
        <w:tc>
          <w:tcPr>
            <w:tcW w:w="879" w:type="pct"/>
            <w:tcBorders>
              <w:top w:val="single" w:sz="4" w:space="0" w:color="000000"/>
              <w:left w:val="single" w:sz="4" w:space="0" w:color="000000"/>
              <w:bottom w:val="single" w:sz="4" w:space="0" w:color="000000"/>
              <w:right w:val="single" w:sz="4" w:space="0" w:color="000000"/>
            </w:tcBorders>
            <w:vAlign w:val="center"/>
          </w:tcPr>
          <w:p w14:paraId="5C83E41A" w14:textId="3737614B" w:rsidR="00D92EBC" w:rsidRPr="009B4A73" w:rsidRDefault="0078763F" w:rsidP="00E06B0B">
            <w:pPr>
              <w:spacing w:after="0" w:line="240" w:lineRule="auto"/>
              <w:ind w:left="0" w:right="57" w:firstLine="0"/>
              <w:jc w:val="center"/>
              <w:rPr>
                <w:sz w:val="22"/>
              </w:rPr>
            </w:pPr>
            <w:r w:rsidRPr="009B4A73">
              <w:rPr>
                <w:sz w:val="22"/>
              </w:rPr>
              <w:t>0.70 (0.58-0.85)</w:t>
            </w:r>
          </w:p>
        </w:tc>
        <w:tc>
          <w:tcPr>
            <w:tcW w:w="733" w:type="pct"/>
            <w:tcBorders>
              <w:top w:val="single" w:sz="4" w:space="0" w:color="000000"/>
              <w:left w:val="single" w:sz="4" w:space="0" w:color="000000"/>
              <w:bottom w:val="single" w:sz="4" w:space="0" w:color="000000"/>
              <w:right w:val="single" w:sz="4" w:space="0" w:color="000000"/>
            </w:tcBorders>
            <w:vAlign w:val="center"/>
          </w:tcPr>
          <w:p w14:paraId="4AD291DC" w14:textId="629C46AC" w:rsidR="00D92EBC" w:rsidRPr="009B4A73" w:rsidRDefault="0078763F" w:rsidP="00E06B0B">
            <w:pPr>
              <w:spacing w:after="0" w:line="240" w:lineRule="auto"/>
              <w:ind w:left="0" w:right="57" w:firstLine="0"/>
              <w:jc w:val="center"/>
              <w:rPr>
                <w:sz w:val="22"/>
              </w:rPr>
            </w:pPr>
            <w:r w:rsidRPr="009B4A73">
              <w:rPr>
                <w:sz w:val="22"/>
              </w:rPr>
              <w:t>0.0003</w:t>
            </w:r>
          </w:p>
        </w:tc>
      </w:tr>
      <w:tr w:rsidR="00D92EBC" w:rsidRPr="009B4A73" w14:paraId="3BFFF3DB" w14:textId="77777777" w:rsidTr="00E06B0B">
        <w:trPr>
          <w:trHeight w:val="20"/>
        </w:trPr>
        <w:tc>
          <w:tcPr>
            <w:tcW w:w="2118" w:type="pct"/>
            <w:tcBorders>
              <w:top w:val="single" w:sz="4" w:space="0" w:color="000000"/>
              <w:left w:val="single" w:sz="4" w:space="0" w:color="000000"/>
              <w:bottom w:val="single" w:sz="4" w:space="0" w:color="000000"/>
              <w:right w:val="single" w:sz="4" w:space="0" w:color="000000"/>
            </w:tcBorders>
          </w:tcPr>
          <w:p w14:paraId="2D243A45" w14:textId="77777777" w:rsidR="00D92EBC" w:rsidRPr="009B4A73" w:rsidRDefault="0078763F" w:rsidP="00E06B0B">
            <w:pPr>
              <w:spacing w:after="0" w:line="240" w:lineRule="auto"/>
              <w:ind w:left="0" w:right="57" w:firstLine="0"/>
              <w:rPr>
                <w:sz w:val="22"/>
              </w:rPr>
            </w:pPr>
            <w:r w:rsidRPr="009B4A73">
              <w:rPr>
                <w:sz w:val="22"/>
              </w:rPr>
              <w:t xml:space="preserve">Overall Response Rate, % </w:t>
            </w:r>
          </w:p>
        </w:tc>
        <w:tc>
          <w:tcPr>
            <w:tcW w:w="635" w:type="pct"/>
            <w:tcBorders>
              <w:top w:val="single" w:sz="4" w:space="0" w:color="000000"/>
              <w:left w:val="single" w:sz="4" w:space="0" w:color="000000"/>
              <w:bottom w:val="single" w:sz="4" w:space="0" w:color="000000"/>
              <w:right w:val="single" w:sz="4" w:space="0" w:color="000000"/>
            </w:tcBorders>
            <w:vAlign w:val="center"/>
          </w:tcPr>
          <w:p w14:paraId="61DC302C" w14:textId="205018D1" w:rsidR="00D92EBC" w:rsidRPr="009B4A73" w:rsidRDefault="0078763F" w:rsidP="00E06B0B">
            <w:pPr>
              <w:spacing w:after="0" w:line="240" w:lineRule="auto"/>
              <w:ind w:left="0" w:right="57" w:firstLine="0"/>
              <w:jc w:val="center"/>
              <w:rPr>
                <w:sz w:val="22"/>
              </w:rPr>
            </w:pPr>
            <w:r w:rsidRPr="009B4A73">
              <w:rPr>
                <w:sz w:val="22"/>
              </w:rPr>
              <w:t>34.5</w:t>
            </w:r>
          </w:p>
        </w:tc>
        <w:tc>
          <w:tcPr>
            <w:tcW w:w="635" w:type="pct"/>
            <w:tcBorders>
              <w:top w:val="single" w:sz="4" w:space="0" w:color="000000"/>
              <w:left w:val="single" w:sz="4" w:space="0" w:color="000000"/>
              <w:bottom w:val="single" w:sz="4" w:space="0" w:color="000000"/>
              <w:right w:val="single" w:sz="4" w:space="0" w:color="000000"/>
            </w:tcBorders>
            <w:vAlign w:val="center"/>
          </w:tcPr>
          <w:p w14:paraId="5730F049" w14:textId="3BD4C5B8" w:rsidR="00D92EBC" w:rsidRPr="009B4A73" w:rsidRDefault="0078763F" w:rsidP="00E06B0B">
            <w:pPr>
              <w:spacing w:after="0" w:line="240" w:lineRule="auto"/>
              <w:ind w:left="0" w:right="57" w:firstLine="0"/>
              <w:jc w:val="center"/>
              <w:rPr>
                <w:sz w:val="22"/>
              </w:rPr>
            </w:pPr>
            <w:r w:rsidRPr="009B4A73">
              <w:rPr>
                <w:sz w:val="22"/>
              </w:rPr>
              <w:t>47.3</w:t>
            </w:r>
          </w:p>
        </w:tc>
        <w:tc>
          <w:tcPr>
            <w:tcW w:w="879" w:type="pct"/>
            <w:tcBorders>
              <w:top w:val="single" w:sz="4" w:space="0" w:color="000000"/>
              <w:left w:val="single" w:sz="4" w:space="0" w:color="000000"/>
              <w:bottom w:val="single" w:sz="4" w:space="0" w:color="000000"/>
              <w:right w:val="single" w:sz="4" w:space="0" w:color="000000"/>
            </w:tcBorders>
            <w:vAlign w:val="center"/>
          </w:tcPr>
          <w:p w14:paraId="0B7EF45E" w14:textId="6CB1FBBB" w:rsidR="00D92EBC" w:rsidRPr="009B4A73" w:rsidRDefault="0078763F" w:rsidP="00E06B0B">
            <w:pPr>
              <w:spacing w:after="0" w:line="240" w:lineRule="auto"/>
              <w:ind w:left="0" w:right="57" w:firstLine="0"/>
              <w:jc w:val="center"/>
              <w:rPr>
                <w:sz w:val="22"/>
              </w:rPr>
            </w:pPr>
            <w:r w:rsidRPr="009B4A73">
              <w:rPr>
                <w:sz w:val="22"/>
              </w:rPr>
              <w:t>1.70</w:t>
            </w:r>
            <w:r w:rsidRPr="009B4A73">
              <w:rPr>
                <w:sz w:val="22"/>
                <w:vertAlign w:val="superscript"/>
              </w:rPr>
              <w:t xml:space="preserve">a </w:t>
            </w:r>
            <w:r w:rsidRPr="009B4A73">
              <w:rPr>
                <w:sz w:val="22"/>
              </w:rPr>
              <w:t>(1.22, 2.38)</w:t>
            </w:r>
          </w:p>
        </w:tc>
        <w:tc>
          <w:tcPr>
            <w:tcW w:w="733" w:type="pct"/>
            <w:tcBorders>
              <w:top w:val="single" w:sz="4" w:space="0" w:color="000000"/>
              <w:left w:val="single" w:sz="4" w:space="0" w:color="000000"/>
              <w:bottom w:val="single" w:sz="4" w:space="0" w:color="000000"/>
              <w:right w:val="single" w:sz="4" w:space="0" w:color="000000"/>
            </w:tcBorders>
            <w:vAlign w:val="center"/>
          </w:tcPr>
          <w:p w14:paraId="20717771" w14:textId="0313379D" w:rsidR="00D92EBC" w:rsidRPr="009B4A73" w:rsidRDefault="0078763F" w:rsidP="00E06B0B">
            <w:pPr>
              <w:spacing w:after="0" w:line="240" w:lineRule="auto"/>
              <w:ind w:left="0" w:right="57" w:firstLine="0"/>
              <w:jc w:val="center"/>
              <w:rPr>
                <w:sz w:val="22"/>
              </w:rPr>
            </w:pPr>
            <w:r w:rsidRPr="009B4A73">
              <w:rPr>
                <w:sz w:val="22"/>
              </w:rPr>
              <w:t>0.0017</w:t>
            </w:r>
          </w:p>
        </w:tc>
      </w:tr>
      <w:tr w:rsidR="00D92EBC" w:rsidRPr="009B4A73" w14:paraId="5D180875" w14:textId="77777777" w:rsidTr="00E06B0B">
        <w:trPr>
          <w:trHeight w:val="20"/>
        </w:trPr>
        <w:tc>
          <w:tcPr>
            <w:tcW w:w="2118" w:type="pct"/>
            <w:tcBorders>
              <w:top w:val="single" w:sz="4" w:space="0" w:color="000000"/>
              <w:left w:val="single" w:sz="4" w:space="0" w:color="000000"/>
              <w:bottom w:val="single" w:sz="4" w:space="0" w:color="000000"/>
              <w:right w:val="single" w:sz="4" w:space="0" w:color="000000"/>
            </w:tcBorders>
          </w:tcPr>
          <w:p w14:paraId="653AEF2C" w14:textId="77777777" w:rsidR="00D92EBC" w:rsidRPr="009B4A73" w:rsidRDefault="0078763F" w:rsidP="00E06B0B">
            <w:pPr>
              <w:spacing w:after="0" w:line="240" w:lineRule="auto"/>
              <w:ind w:left="0" w:right="57" w:firstLine="0"/>
              <w:rPr>
                <w:sz w:val="22"/>
              </w:rPr>
            </w:pPr>
            <w:r w:rsidRPr="009B4A73">
              <w:rPr>
                <w:sz w:val="22"/>
              </w:rPr>
              <w:t xml:space="preserve">Duration of Response, Median months  </w:t>
            </w:r>
          </w:p>
        </w:tc>
        <w:tc>
          <w:tcPr>
            <w:tcW w:w="635" w:type="pct"/>
            <w:tcBorders>
              <w:top w:val="single" w:sz="4" w:space="0" w:color="000000"/>
              <w:left w:val="single" w:sz="4" w:space="0" w:color="000000"/>
              <w:bottom w:val="single" w:sz="4" w:space="0" w:color="000000"/>
              <w:right w:val="single" w:sz="4" w:space="0" w:color="000000"/>
            </w:tcBorders>
            <w:vAlign w:val="center"/>
          </w:tcPr>
          <w:p w14:paraId="20F66A4A" w14:textId="13492D1F" w:rsidR="00D92EBC" w:rsidRPr="009B4A73" w:rsidRDefault="0078763F" w:rsidP="00E06B0B">
            <w:pPr>
              <w:spacing w:after="0" w:line="240" w:lineRule="auto"/>
              <w:ind w:left="0" w:right="57" w:firstLine="0"/>
              <w:jc w:val="center"/>
              <w:rPr>
                <w:sz w:val="22"/>
              </w:rPr>
            </w:pPr>
            <w:r w:rsidRPr="009B4A73">
              <w:rPr>
                <w:sz w:val="22"/>
              </w:rPr>
              <w:t>4.8</w:t>
            </w:r>
          </w:p>
        </w:tc>
        <w:tc>
          <w:tcPr>
            <w:tcW w:w="635" w:type="pct"/>
            <w:tcBorders>
              <w:top w:val="single" w:sz="4" w:space="0" w:color="000000"/>
              <w:left w:val="single" w:sz="4" w:space="0" w:color="000000"/>
              <w:bottom w:val="single" w:sz="4" w:space="0" w:color="000000"/>
              <w:right w:val="single" w:sz="4" w:space="0" w:color="000000"/>
            </w:tcBorders>
            <w:vAlign w:val="center"/>
          </w:tcPr>
          <w:p w14:paraId="285863AA" w14:textId="7954C2BF" w:rsidR="00D92EBC" w:rsidRPr="009B4A73" w:rsidRDefault="0078763F" w:rsidP="00E06B0B">
            <w:pPr>
              <w:spacing w:after="0" w:line="240" w:lineRule="auto"/>
              <w:ind w:left="0" w:right="57" w:firstLine="0"/>
              <w:jc w:val="center"/>
              <w:rPr>
                <w:sz w:val="22"/>
              </w:rPr>
            </w:pPr>
            <w:r w:rsidRPr="009B4A73">
              <w:rPr>
                <w:sz w:val="22"/>
              </w:rPr>
              <w:t>6.9</w:t>
            </w:r>
          </w:p>
        </w:tc>
        <w:tc>
          <w:tcPr>
            <w:tcW w:w="879" w:type="pct"/>
            <w:tcBorders>
              <w:top w:val="single" w:sz="4" w:space="0" w:color="000000"/>
              <w:left w:val="single" w:sz="4" w:space="0" w:color="000000"/>
              <w:bottom w:val="single" w:sz="4" w:space="0" w:color="000000"/>
              <w:right w:val="single" w:sz="4" w:space="0" w:color="000000"/>
            </w:tcBorders>
            <w:vAlign w:val="center"/>
          </w:tcPr>
          <w:p w14:paraId="61F42EDF" w14:textId="43C00AFA" w:rsidR="00D92EBC" w:rsidRPr="009B4A73" w:rsidRDefault="0078763F" w:rsidP="00E06B0B">
            <w:pPr>
              <w:spacing w:after="0" w:line="240" w:lineRule="auto"/>
              <w:ind w:left="0" w:right="57" w:firstLine="0"/>
              <w:jc w:val="center"/>
              <w:rPr>
                <w:sz w:val="22"/>
              </w:rPr>
            </w:pPr>
            <w:r w:rsidRPr="009B4A73">
              <w:rPr>
                <w:sz w:val="22"/>
              </w:rPr>
              <w:t>0.54 (0.40-0.73)</w:t>
            </w:r>
          </w:p>
        </w:tc>
        <w:tc>
          <w:tcPr>
            <w:tcW w:w="733" w:type="pct"/>
            <w:tcBorders>
              <w:top w:val="single" w:sz="4" w:space="0" w:color="000000"/>
              <w:left w:val="single" w:sz="4" w:space="0" w:color="000000"/>
              <w:bottom w:val="single" w:sz="4" w:space="0" w:color="000000"/>
              <w:right w:val="single" w:sz="4" w:space="0" w:color="000000"/>
            </w:tcBorders>
            <w:vAlign w:val="center"/>
          </w:tcPr>
          <w:p w14:paraId="6FB7111A" w14:textId="397200BF" w:rsidR="00D92EBC" w:rsidRPr="009B4A73" w:rsidRDefault="0078763F" w:rsidP="00E06B0B">
            <w:pPr>
              <w:spacing w:after="0" w:line="240" w:lineRule="auto"/>
              <w:ind w:left="0" w:right="57" w:firstLine="0"/>
              <w:jc w:val="center"/>
              <w:rPr>
                <w:sz w:val="22"/>
              </w:rPr>
            </w:pPr>
            <w:r w:rsidRPr="009B4A73">
              <w:rPr>
                <w:sz w:val="22"/>
              </w:rPr>
              <w:t>&lt;0.0001</w:t>
            </w:r>
          </w:p>
        </w:tc>
      </w:tr>
    </w:tbl>
    <w:p w14:paraId="7E094DA3" w14:textId="1041B8F5" w:rsidR="00D92EBC" w:rsidRPr="009B4A73" w:rsidRDefault="0078763F" w:rsidP="00316679">
      <w:pPr>
        <w:spacing w:after="40" w:line="240" w:lineRule="auto"/>
        <w:ind w:left="426"/>
        <w:rPr>
          <w:sz w:val="20"/>
          <w:szCs w:val="20"/>
        </w:rPr>
      </w:pPr>
      <w:r w:rsidRPr="009B4A73">
        <w:rPr>
          <w:sz w:val="20"/>
          <w:szCs w:val="20"/>
        </w:rPr>
        <w:t xml:space="preserve">FP: fluoropyrimidine/cisplatin; FP+H: fluoropyrimidine/cisplatin + </w:t>
      </w:r>
      <w:r w:rsidR="00E06B0B" w:rsidRPr="009B4A73">
        <w:rPr>
          <w:sz w:val="20"/>
          <w:szCs w:val="20"/>
        </w:rPr>
        <w:t>T</w:t>
      </w:r>
      <w:r w:rsidR="00DE7079" w:rsidRPr="009B4A73">
        <w:rPr>
          <w:sz w:val="20"/>
          <w:szCs w:val="20"/>
        </w:rPr>
        <w:t>rastuzumab</w:t>
      </w:r>
      <w:r w:rsidRPr="009B4A73">
        <w:rPr>
          <w:sz w:val="20"/>
          <w:szCs w:val="20"/>
        </w:rPr>
        <w:t xml:space="preserve">; </w:t>
      </w:r>
      <w:proofErr w:type="gramStart"/>
      <w:r w:rsidRPr="009B4A73">
        <w:rPr>
          <w:sz w:val="20"/>
          <w:szCs w:val="20"/>
          <w:vertAlign w:val="superscript"/>
        </w:rPr>
        <w:t>a</w:t>
      </w:r>
      <w:proofErr w:type="gramEnd"/>
      <w:r w:rsidRPr="009B4A73">
        <w:rPr>
          <w:sz w:val="20"/>
          <w:szCs w:val="20"/>
        </w:rPr>
        <w:t xml:space="preserve"> Odds ratio </w:t>
      </w:r>
    </w:p>
    <w:p w14:paraId="45F45DF3" w14:textId="77777777" w:rsidR="00D92EBC" w:rsidRPr="009B4A73" w:rsidRDefault="0078763F" w:rsidP="00316679">
      <w:pPr>
        <w:spacing w:after="0" w:line="240" w:lineRule="auto"/>
        <w:ind w:left="426" w:firstLine="0"/>
        <w:rPr>
          <w:sz w:val="22"/>
        </w:rPr>
      </w:pPr>
      <w:r w:rsidRPr="009B4A73">
        <w:rPr>
          <w:i/>
          <w:sz w:val="22"/>
        </w:rPr>
        <w:t xml:space="preserve"> </w:t>
      </w:r>
    </w:p>
    <w:p w14:paraId="4AC5174E" w14:textId="2E856A22" w:rsidR="00D92EBC" w:rsidRPr="009B4A73" w:rsidRDefault="0078763F" w:rsidP="00316679">
      <w:pPr>
        <w:spacing w:after="0" w:line="240" w:lineRule="auto"/>
        <w:ind w:left="426"/>
        <w:rPr>
          <w:sz w:val="22"/>
        </w:rPr>
      </w:pPr>
      <w:r w:rsidRPr="009B4A73">
        <w:rPr>
          <w:i/>
          <w:sz w:val="22"/>
        </w:rPr>
        <w:t>Progression-free-survival:</w:t>
      </w:r>
      <w:r w:rsidRPr="009B4A73">
        <w:rPr>
          <w:sz w:val="22"/>
        </w:rPr>
        <w:t xml:space="preserve"> time between day of randomization and first documentation of progressive disease (PD) or date of death, whichever occurred first. </w:t>
      </w:r>
      <w:r w:rsidRPr="009B4A73">
        <w:rPr>
          <w:i/>
          <w:sz w:val="22"/>
        </w:rPr>
        <w:t>Time to disease progression:</w:t>
      </w:r>
      <w:r w:rsidRPr="009B4A73">
        <w:rPr>
          <w:sz w:val="22"/>
        </w:rPr>
        <w:t xml:space="preserve"> time between randomization and first occurrence of PD. </w:t>
      </w:r>
      <w:r w:rsidRPr="009B4A73">
        <w:rPr>
          <w:i/>
          <w:sz w:val="22"/>
        </w:rPr>
        <w:t>Overall response:</w:t>
      </w:r>
      <w:r w:rsidRPr="009B4A73">
        <w:rPr>
          <w:sz w:val="22"/>
        </w:rPr>
        <w:t xml:space="preserve"> occurrence of either a confirmed complete (CR) or a partial (PR) best overall response as determined by RECIST criteria from confirmed radiographic evaluations of target and non-target lesions. </w:t>
      </w:r>
      <w:r w:rsidRPr="009B4A73">
        <w:rPr>
          <w:i/>
          <w:sz w:val="22"/>
        </w:rPr>
        <w:t>Duration of response:</w:t>
      </w:r>
      <w:r w:rsidRPr="009B4A73">
        <w:rPr>
          <w:sz w:val="22"/>
        </w:rPr>
        <w:t xml:space="preserve"> time from when response (CR or PR) was first documented to the first documented disease progression. This was only calculated for patients who had a best overall response of CR or PR. </w:t>
      </w:r>
    </w:p>
    <w:p w14:paraId="4F4570D1" w14:textId="77777777" w:rsidR="005C521E" w:rsidRPr="009B4A73" w:rsidRDefault="005C521E" w:rsidP="00316679">
      <w:pPr>
        <w:spacing w:after="0" w:line="240" w:lineRule="auto"/>
        <w:ind w:left="426"/>
        <w:rPr>
          <w:sz w:val="22"/>
        </w:rPr>
      </w:pPr>
    </w:p>
    <w:p w14:paraId="061BF7FC" w14:textId="4076B724" w:rsidR="00D92EBC" w:rsidRPr="009B4A73" w:rsidRDefault="0078763F" w:rsidP="00391329">
      <w:pPr>
        <w:pStyle w:val="Heading1"/>
        <w:tabs>
          <w:tab w:val="left" w:pos="426"/>
        </w:tabs>
        <w:spacing w:after="0" w:line="240" w:lineRule="auto"/>
        <w:ind w:left="426" w:hanging="426"/>
        <w:rPr>
          <w:sz w:val="22"/>
        </w:rPr>
      </w:pPr>
      <w:r w:rsidRPr="009B4A73">
        <w:rPr>
          <w:sz w:val="22"/>
        </w:rPr>
        <w:t xml:space="preserve">5.2 </w:t>
      </w:r>
      <w:r w:rsidR="00B33B63" w:rsidRPr="009B4A73">
        <w:rPr>
          <w:sz w:val="22"/>
        </w:rPr>
        <w:tab/>
        <w:t xml:space="preserve">Pharmacokinetic </w:t>
      </w:r>
      <w:r w:rsidR="007237D0" w:rsidRPr="009B4A73">
        <w:rPr>
          <w:sz w:val="22"/>
        </w:rPr>
        <w:t>p</w:t>
      </w:r>
      <w:r w:rsidR="00B33B63" w:rsidRPr="009B4A73">
        <w:rPr>
          <w:sz w:val="22"/>
        </w:rPr>
        <w:t>roperties</w:t>
      </w:r>
    </w:p>
    <w:p w14:paraId="1D535745" w14:textId="77777777" w:rsidR="005C521E" w:rsidRPr="009B4A73" w:rsidRDefault="005C521E" w:rsidP="00316679">
      <w:pPr>
        <w:spacing w:after="0" w:line="240" w:lineRule="auto"/>
        <w:ind w:left="426"/>
        <w:rPr>
          <w:sz w:val="22"/>
        </w:rPr>
      </w:pPr>
    </w:p>
    <w:p w14:paraId="7A05408E" w14:textId="39727384" w:rsidR="00D92EBC" w:rsidRPr="009B4A73" w:rsidRDefault="0078763F" w:rsidP="00316679">
      <w:pPr>
        <w:spacing w:after="0" w:line="240" w:lineRule="auto"/>
        <w:ind w:left="426" w:right="8"/>
        <w:rPr>
          <w:sz w:val="22"/>
        </w:rPr>
      </w:pPr>
      <w:r w:rsidRPr="009B4A73">
        <w:rPr>
          <w:sz w:val="22"/>
        </w:rPr>
        <w:t>The pharmacokinetics of trastuzumab have been studied in patients with breast cancer (metastatic and early) and advanced gastric cancer (AGC).</w:t>
      </w:r>
    </w:p>
    <w:p w14:paraId="56220619" w14:textId="77777777" w:rsidR="005C521E" w:rsidRPr="009B4A73" w:rsidRDefault="005C521E" w:rsidP="00316679">
      <w:pPr>
        <w:spacing w:after="0" w:line="240" w:lineRule="auto"/>
        <w:ind w:left="426" w:right="8"/>
        <w:rPr>
          <w:sz w:val="22"/>
        </w:rPr>
      </w:pPr>
    </w:p>
    <w:p w14:paraId="368A88C3" w14:textId="4461506B" w:rsidR="00D92EBC" w:rsidRPr="009B4A73" w:rsidRDefault="0078763F" w:rsidP="00316679">
      <w:pPr>
        <w:spacing w:after="0" w:line="240" w:lineRule="auto"/>
        <w:ind w:left="426" w:right="8"/>
        <w:rPr>
          <w:sz w:val="22"/>
        </w:rPr>
      </w:pPr>
      <w:r w:rsidRPr="009B4A73">
        <w:rPr>
          <w:sz w:val="22"/>
        </w:rPr>
        <w:t xml:space="preserve">The pharmacokinetics of trastuzumab were evaluated in a population pharmacokinetic model analysis using pooled data from 1,582 patients from 18 Phase I, II and III trials receiving </w:t>
      </w:r>
      <w:r w:rsidR="00DE7079" w:rsidRPr="009B4A73">
        <w:rPr>
          <w:sz w:val="22"/>
        </w:rPr>
        <w:t>trastuzumab</w:t>
      </w:r>
      <w:r w:rsidRPr="009B4A73">
        <w:rPr>
          <w:sz w:val="22"/>
        </w:rPr>
        <w:t xml:space="preserve"> IV to treat a range of cancers, but mostly breast and gastric cancer. A two-compartment model with parallel linear and non-linear elimination from the central compartment described the trastuzumab concentration-time profile. Due to the non-</w:t>
      </w:r>
      <w:r w:rsidRPr="009B4A73">
        <w:rPr>
          <w:sz w:val="22"/>
        </w:rPr>
        <w:lastRenderedPageBreak/>
        <w:t xml:space="preserve">linear elimination, total clearance increased with decreasing concentrations. Linear clearance was 0.127 L/day for breast cancer (metastatic and early) and 0.176 L/day for AGC. The nonlinear elimination parameter values were 8.81 mg/day for the maximum elimination rate (Vmax) and 8.92 mg/L for the Michaelis-Menten constant (Km). The central compartment volume was 2.62 L for patients with breast cancer and 3.63 L for patients with AGC. </w:t>
      </w:r>
    </w:p>
    <w:p w14:paraId="1ED26A15" w14:textId="77777777" w:rsidR="005C521E" w:rsidRPr="009B4A73" w:rsidRDefault="005C521E" w:rsidP="00316679">
      <w:pPr>
        <w:spacing w:after="0" w:line="240" w:lineRule="auto"/>
        <w:ind w:left="426" w:right="8"/>
        <w:rPr>
          <w:sz w:val="22"/>
        </w:rPr>
      </w:pPr>
    </w:p>
    <w:p w14:paraId="4A22AD0E" w14:textId="04F14220" w:rsidR="00D92EBC" w:rsidRPr="009B4A73" w:rsidRDefault="0078763F" w:rsidP="00316679">
      <w:pPr>
        <w:spacing w:after="0" w:line="240" w:lineRule="auto"/>
        <w:ind w:left="426" w:right="8"/>
        <w:rPr>
          <w:sz w:val="22"/>
        </w:rPr>
      </w:pPr>
      <w:r w:rsidRPr="009B4A73">
        <w:rPr>
          <w:sz w:val="22"/>
        </w:rPr>
        <w:t>The population predicted PK exposures (with 5th - 95th Percentiles) and PK parameter values at clinically relevant concentrations (</w:t>
      </w:r>
      <w:proofErr w:type="spellStart"/>
      <w:r w:rsidRPr="009B4A73">
        <w:rPr>
          <w:sz w:val="22"/>
        </w:rPr>
        <w:t>C</w:t>
      </w:r>
      <w:r w:rsidRPr="009B4A73">
        <w:rPr>
          <w:sz w:val="22"/>
          <w:vertAlign w:val="subscript"/>
        </w:rPr>
        <w:t>max</w:t>
      </w:r>
      <w:proofErr w:type="spellEnd"/>
      <w:r w:rsidRPr="009B4A73">
        <w:rPr>
          <w:sz w:val="22"/>
        </w:rPr>
        <w:t xml:space="preserve"> and </w:t>
      </w:r>
      <w:proofErr w:type="spellStart"/>
      <w:r w:rsidRPr="009B4A73">
        <w:rPr>
          <w:sz w:val="22"/>
        </w:rPr>
        <w:t>C</w:t>
      </w:r>
      <w:r w:rsidRPr="009B4A73">
        <w:rPr>
          <w:sz w:val="22"/>
          <w:vertAlign w:val="subscript"/>
        </w:rPr>
        <w:t>min</w:t>
      </w:r>
      <w:proofErr w:type="spellEnd"/>
      <w:r w:rsidRPr="009B4A73">
        <w:rPr>
          <w:sz w:val="22"/>
        </w:rPr>
        <w:t xml:space="preserve">) for breast cancer and AGC patients treated with the approved q1w and q3w dosing regimens are shown in Table 15 (Cycle 1) and Table 16 (steady-state) below. </w:t>
      </w:r>
    </w:p>
    <w:p w14:paraId="368286E3" w14:textId="77777777" w:rsidR="007E1FEC" w:rsidRPr="009B4A73" w:rsidRDefault="007E1FEC" w:rsidP="00316679">
      <w:pPr>
        <w:spacing w:after="0" w:line="240" w:lineRule="auto"/>
        <w:ind w:left="426" w:right="8"/>
        <w:rPr>
          <w:sz w:val="22"/>
        </w:rPr>
      </w:pPr>
    </w:p>
    <w:p w14:paraId="2F55C555" w14:textId="10B58975" w:rsidR="00D92EBC" w:rsidRPr="009B4A73" w:rsidRDefault="0078763F" w:rsidP="00316679">
      <w:pPr>
        <w:pStyle w:val="Heading2"/>
        <w:spacing w:line="240" w:lineRule="auto"/>
        <w:ind w:left="426"/>
        <w:rPr>
          <w:sz w:val="22"/>
        </w:rPr>
      </w:pPr>
      <w:r w:rsidRPr="009B4A73">
        <w:rPr>
          <w:sz w:val="22"/>
        </w:rPr>
        <w:t xml:space="preserve">Table 15: Population </w:t>
      </w:r>
      <w:r w:rsidR="00E06B0B" w:rsidRPr="009B4A73">
        <w:rPr>
          <w:sz w:val="22"/>
        </w:rPr>
        <w:t>p</w:t>
      </w:r>
      <w:r w:rsidRPr="009B4A73">
        <w:rPr>
          <w:sz w:val="22"/>
        </w:rPr>
        <w:t xml:space="preserve">redicted </w:t>
      </w:r>
      <w:r w:rsidR="00E06B0B" w:rsidRPr="009B4A73">
        <w:rPr>
          <w:sz w:val="22"/>
        </w:rPr>
        <w:t>c</w:t>
      </w:r>
      <w:r w:rsidRPr="009B4A73">
        <w:rPr>
          <w:sz w:val="22"/>
        </w:rPr>
        <w:t xml:space="preserve">ycle 1 PK </w:t>
      </w:r>
      <w:r w:rsidR="00E06B0B" w:rsidRPr="009B4A73">
        <w:rPr>
          <w:sz w:val="22"/>
        </w:rPr>
        <w:t>e</w:t>
      </w:r>
      <w:r w:rsidRPr="009B4A73">
        <w:rPr>
          <w:sz w:val="22"/>
        </w:rPr>
        <w:t xml:space="preserve">xposure </w:t>
      </w:r>
      <w:r w:rsidR="00E06B0B" w:rsidRPr="009B4A73">
        <w:rPr>
          <w:sz w:val="22"/>
        </w:rPr>
        <w:t>v</w:t>
      </w:r>
      <w:r w:rsidRPr="009B4A73">
        <w:rPr>
          <w:sz w:val="22"/>
        </w:rPr>
        <w:t>alues (with 5</w:t>
      </w:r>
      <w:r w:rsidRPr="009B4A73">
        <w:rPr>
          <w:sz w:val="22"/>
          <w:vertAlign w:val="superscript"/>
        </w:rPr>
        <w:t>th</w:t>
      </w:r>
      <w:r w:rsidRPr="009B4A73">
        <w:rPr>
          <w:sz w:val="22"/>
        </w:rPr>
        <w:t xml:space="preserve"> - 95</w:t>
      </w:r>
      <w:r w:rsidRPr="009B4A73">
        <w:rPr>
          <w:sz w:val="22"/>
          <w:vertAlign w:val="superscript"/>
        </w:rPr>
        <w:t>th</w:t>
      </w:r>
      <w:r w:rsidRPr="009B4A73">
        <w:rPr>
          <w:sz w:val="22"/>
        </w:rPr>
        <w:t xml:space="preserve"> </w:t>
      </w:r>
      <w:r w:rsidR="00E06B0B" w:rsidRPr="009B4A73">
        <w:rPr>
          <w:sz w:val="22"/>
        </w:rPr>
        <w:t>p</w:t>
      </w:r>
      <w:r w:rsidRPr="009B4A73">
        <w:rPr>
          <w:sz w:val="22"/>
        </w:rPr>
        <w:t xml:space="preserve">ercentiles) for IV </w:t>
      </w:r>
      <w:r w:rsidR="00E06B0B" w:rsidRPr="009B4A73">
        <w:rPr>
          <w:sz w:val="22"/>
        </w:rPr>
        <w:t>r</w:t>
      </w:r>
      <w:r w:rsidRPr="009B4A73">
        <w:rPr>
          <w:sz w:val="22"/>
        </w:rPr>
        <w:t xml:space="preserve">egimens in </w:t>
      </w:r>
      <w:r w:rsidR="00E06B0B" w:rsidRPr="009B4A73">
        <w:rPr>
          <w:sz w:val="22"/>
        </w:rPr>
        <w:t>b</w:t>
      </w:r>
      <w:r w:rsidRPr="009B4A73">
        <w:rPr>
          <w:sz w:val="22"/>
        </w:rPr>
        <w:t xml:space="preserve">reast </w:t>
      </w:r>
      <w:r w:rsidR="00E06B0B" w:rsidRPr="009B4A73">
        <w:rPr>
          <w:sz w:val="22"/>
        </w:rPr>
        <w:t>c</w:t>
      </w:r>
      <w:r w:rsidRPr="009B4A73">
        <w:rPr>
          <w:sz w:val="22"/>
        </w:rPr>
        <w:t xml:space="preserve">ancer and AGC </w:t>
      </w:r>
      <w:r w:rsidR="00E06B0B" w:rsidRPr="009B4A73">
        <w:rPr>
          <w:sz w:val="22"/>
        </w:rPr>
        <w:t>p</w:t>
      </w:r>
      <w:r w:rsidRPr="009B4A73">
        <w:rPr>
          <w:sz w:val="22"/>
        </w:rPr>
        <w:t>atients</w:t>
      </w:r>
    </w:p>
    <w:p w14:paraId="33EB8E37" w14:textId="77777777" w:rsidR="00B33B63" w:rsidRPr="009B4A73" w:rsidRDefault="00B33B63" w:rsidP="00316679">
      <w:pPr>
        <w:spacing w:after="0" w:line="240" w:lineRule="auto"/>
        <w:ind w:left="426"/>
      </w:pPr>
    </w:p>
    <w:tbl>
      <w:tblPr>
        <w:tblStyle w:val="TableGrid"/>
        <w:tblW w:w="4799" w:type="pct"/>
        <w:tblInd w:w="421" w:type="dxa"/>
        <w:tblCellMar>
          <w:left w:w="57" w:type="dxa"/>
          <w:right w:w="57" w:type="dxa"/>
        </w:tblCellMar>
        <w:tblLook w:val="04A0" w:firstRow="1" w:lastRow="0" w:firstColumn="1" w:lastColumn="0" w:noHBand="0" w:noVBand="1"/>
      </w:tblPr>
      <w:tblGrid>
        <w:gridCol w:w="2411"/>
        <w:gridCol w:w="1842"/>
        <w:gridCol w:w="994"/>
        <w:gridCol w:w="1275"/>
        <w:gridCol w:w="1701"/>
        <w:gridCol w:w="1817"/>
      </w:tblGrid>
      <w:tr w:rsidR="00D92EBC" w:rsidRPr="009B4A73" w14:paraId="62785590" w14:textId="77777777" w:rsidTr="00E06B0B">
        <w:trPr>
          <w:trHeight w:val="20"/>
        </w:trPr>
        <w:tc>
          <w:tcPr>
            <w:tcW w:w="1200" w:type="pct"/>
            <w:tcBorders>
              <w:top w:val="single" w:sz="4" w:space="0" w:color="000000"/>
              <w:left w:val="single" w:sz="4" w:space="0" w:color="000000"/>
              <w:bottom w:val="single" w:sz="4" w:space="0" w:color="000000"/>
              <w:right w:val="single" w:sz="4" w:space="0" w:color="000000"/>
            </w:tcBorders>
            <w:vAlign w:val="center"/>
          </w:tcPr>
          <w:p w14:paraId="08802027" w14:textId="77777777" w:rsidR="00D92EBC" w:rsidRPr="009B4A73" w:rsidRDefault="0078763F" w:rsidP="00E06B0B">
            <w:pPr>
              <w:spacing w:after="0" w:line="240" w:lineRule="auto"/>
              <w:ind w:left="0" w:firstLine="0"/>
              <w:jc w:val="center"/>
              <w:rPr>
                <w:sz w:val="22"/>
              </w:rPr>
            </w:pPr>
            <w:r w:rsidRPr="009B4A73">
              <w:rPr>
                <w:b/>
                <w:sz w:val="22"/>
              </w:rPr>
              <w:t>Regimen</w:t>
            </w:r>
            <w:r w:rsidRPr="009B4A73">
              <w:rPr>
                <w:sz w:val="22"/>
              </w:rPr>
              <w:t xml:space="preserve"> </w:t>
            </w:r>
          </w:p>
        </w:tc>
        <w:tc>
          <w:tcPr>
            <w:tcW w:w="917" w:type="pct"/>
            <w:tcBorders>
              <w:top w:val="single" w:sz="4" w:space="0" w:color="000000"/>
              <w:left w:val="single" w:sz="4" w:space="0" w:color="000000"/>
              <w:bottom w:val="single" w:sz="4" w:space="0" w:color="000000"/>
              <w:right w:val="single" w:sz="4" w:space="0" w:color="000000"/>
            </w:tcBorders>
            <w:vAlign w:val="center"/>
          </w:tcPr>
          <w:p w14:paraId="365E3C94" w14:textId="77777777" w:rsidR="00D92EBC" w:rsidRPr="009B4A73" w:rsidRDefault="0078763F" w:rsidP="00E06B0B">
            <w:pPr>
              <w:spacing w:after="0" w:line="240" w:lineRule="auto"/>
              <w:ind w:left="0" w:firstLine="0"/>
              <w:jc w:val="center"/>
              <w:rPr>
                <w:sz w:val="22"/>
              </w:rPr>
            </w:pPr>
            <w:r w:rsidRPr="009B4A73">
              <w:rPr>
                <w:b/>
                <w:sz w:val="22"/>
              </w:rPr>
              <w:t xml:space="preserve">Primary tumour type </w:t>
            </w:r>
          </w:p>
        </w:tc>
        <w:tc>
          <w:tcPr>
            <w:tcW w:w="495" w:type="pct"/>
            <w:tcBorders>
              <w:top w:val="single" w:sz="4" w:space="0" w:color="000000"/>
              <w:left w:val="single" w:sz="4" w:space="0" w:color="000000"/>
              <w:bottom w:val="single" w:sz="4" w:space="0" w:color="000000"/>
              <w:right w:val="single" w:sz="4" w:space="0" w:color="000000"/>
            </w:tcBorders>
            <w:vAlign w:val="center"/>
          </w:tcPr>
          <w:p w14:paraId="5846CD62" w14:textId="77777777" w:rsidR="00D92EBC" w:rsidRPr="009B4A73" w:rsidRDefault="0078763F" w:rsidP="00E06B0B">
            <w:pPr>
              <w:spacing w:after="0" w:line="240" w:lineRule="auto"/>
              <w:ind w:left="0" w:firstLine="0"/>
              <w:jc w:val="center"/>
              <w:rPr>
                <w:sz w:val="22"/>
              </w:rPr>
            </w:pPr>
            <w:r w:rsidRPr="009B4A73">
              <w:rPr>
                <w:b/>
                <w:sz w:val="22"/>
              </w:rPr>
              <w:t xml:space="preserve">N </w:t>
            </w:r>
          </w:p>
        </w:tc>
        <w:tc>
          <w:tcPr>
            <w:tcW w:w="635" w:type="pct"/>
            <w:tcBorders>
              <w:top w:val="single" w:sz="4" w:space="0" w:color="000000"/>
              <w:left w:val="single" w:sz="4" w:space="0" w:color="000000"/>
              <w:bottom w:val="single" w:sz="4" w:space="0" w:color="000000"/>
              <w:right w:val="single" w:sz="4" w:space="0" w:color="000000"/>
            </w:tcBorders>
          </w:tcPr>
          <w:p w14:paraId="2F421DB7" w14:textId="77777777" w:rsidR="00D92EBC" w:rsidRPr="009B4A73" w:rsidRDefault="0078763F" w:rsidP="00E06B0B">
            <w:pPr>
              <w:spacing w:after="0" w:line="240" w:lineRule="auto"/>
              <w:ind w:left="0" w:firstLine="0"/>
              <w:jc w:val="center"/>
              <w:rPr>
                <w:sz w:val="22"/>
              </w:rPr>
            </w:pPr>
            <w:proofErr w:type="spellStart"/>
            <w:r w:rsidRPr="009B4A73">
              <w:rPr>
                <w:b/>
                <w:sz w:val="22"/>
              </w:rPr>
              <w:t>C</w:t>
            </w:r>
            <w:r w:rsidRPr="009B4A73">
              <w:rPr>
                <w:b/>
                <w:sz w:val="22"/>
                <w:vertAlign w:val="subscript"/>
              </w:rPr>
              <w:t>min</w:t>
            </w:r>
            <w:proofErr w:type="spellEnd"/>
            <w:r w:rsidRPr="009B4A73">
              <w:rPr>
                <w:b/>
                <w:sz w:val="22"/>
              </w:rPr>
              <w:t xml:space="preserve"> (µg/mL)</w:t>
            </w:r>
            <w:r w:rsidRPr="009B4A73">
              <w:rPr>
                <w:sz w:val="22"/>
              </w:rPr>
              <w:t xml:space="preserve"> </w:t>
            </w:r>
          </w:p>
        </w:tc>
        <w:tc>
          <w:tcPr>
            <w:tcW w:w="847" w:type="pct"/>
            <w:tcBorders>
              <w:top w:val="single" w:sz="4" w:space="0" w:color="000000"/>
              <w:left w:val="single" w:sz="4" w:space="0" w:color="000000"/>
              <w:bottom w:val="single" w:sz="4" w:space="0" w:color="000000"/>
              <w:right w:val="single" w:sz="4" w:space="0" w:color="000000"/>
            </w:tcBorders>
          </w:tcPr>
          <w:p w14:paraId="167ACBA7" w14:textId="77777777" w:rsidR="00D92EBC" w:rsidRPr="009B4A73" w:rsidRDefault="0078763F" w:rsidP="00E06B0B">
            <w:pPr>
              <w:spacing w:after="0" w:line="240" w:lineRule="auto"/>
              <w:ind w:left="0" w:firstLine="0"/>
              <w:jc w:val="center"/>
              <w:rPr>
                <w:sz w:val="22"/>
              </w:rPr>
            </w:pPr>
            <w:proofErr w:type="spellStart"/>
            <w:r w:rsidRPr="009B4A73">
              <w:rPr>
                <w:b/>
                <w:sz w:val="22"/>
              </w:rPr>
              <w:t>C</w:t>
            </w:r>
            <w:r w:rsidRPr="009B4A73">
              <w:rPr>
                <w:b/>
                <w:sz w:val="22"/>
                <w:vertAlign w:val="subscript"/>
              </w:rPr>
              <w:t>max</w:t>
            </w:r>
            <w:proofErr w:type="spellEnd"/>
            <w:r w:rsidRPr="009B4A73">
              <w:rPr>
                <w:b/>
                <w:sz w:val="22"/>
              </w:rPr>
              <w:t xml:space="preserve"> </w:t>
            </w:r>
          </w:p>
          <w:p w14:paraId="7FE374CB" w14:textId="77777777" w:rsidR="00D92EBC" w:rsidRPr="009B4A73" w:rsidRDefault="0078763F" w:rsidP="00E06B0B">
            <w:pPr>
              <w:spacing w:after="0" w:line="240" w:lineRule="auto"/>
              <w:ind w:left="0" w:firstLine="0"/>
              <w:jc w:val="center"/>
              <w:rPr>
                <w:sz w:val="22"/>
              </w:rPr>
            </w:pPr>
            <w:r w:rsidRPr="009B4A73">
              <w:rPr>
                <w:b/>
                <w:sz w:val="22"/>
              </w:rPr>
              <w:t>(µg/mL)</w:t>
            </w:r>
            <w:r w:rsidRPr="009B4A73">
              <w:rPr>
                <w:sz w:val="22"/>
              </w:rPr>
              <w:t xml:space="preserve"> </w:t>
            </w:r>
          </w:p>
        </w:tc>
        <w:tc>
          <w:tcPr>
            <w:tcW w:w="905" w:type="pct"/>
            <w:tcBorders>
              <w:top w:val="single" w:sz="4" w:space="0" w:color="000000"/>
              <w:left w:val="single" w:sz="4" w:space="0" w:color="000000"/>
              <w:bottom w:val="single" w:sz="4" w:space="0" w:color="000000"/>
              <w:right w:val="single" w:sz="4" w:space="0" w:color="000000"/>
            </w:tcBorders>
          </w:tcPr>
          <w:p w14:paraId="5404999D" w14:textId="77777777" w:rsidR="00D92EBC" w:rsidRPr="009B4A73" w:rsidRDefault="0078763F" w:rsidP="00E06B0B">
            <w:pPr>
              <w:spacing w:after="0" w:line="240" w:lineRule="auto"/>
              <w:ind w:left="0" w:firstLine="0"/>
              <w:jc w:val="center"/>
              <w:rPr>
                <w:sz w:val="22"/>
              </w:rPr>
            </w:pPr>
            <w:r w:rsidRPr="009B4A73">
              <w:rPr>
                <w:b/>
                <w:sz w:val="22"/>
              </w:rPr>
              <w:t xml:space="preserve">AUC </w:t>
            </w:r>
          </w:p>
          <w:p w14:paraId="4F85FE44" w14:textId="77777777" w:rsidR="00D92EBC" w:rsidRPr="009B4A73" w:rsidRDefault="0078763F" w:rsidP="00E06B0B">
            <w:pPr>
              <w:spacing w:after="0" w:line="240" w:lineRule="auto"/>
              <w:ind w:left="0" w:firstLine="0"/>
              <w:jc w:val="center"/>
              <w:rPr>
                <w:sz w:val="22"/>
              </w:rPr>
            </w:pPr>
            <w:r w:rsidRPr="009B4A73">
              <w:rPr>
                <w:b/>
                <w:sz w:val="22"/>
              </w:rPr>
              <w:t>(µ</w:t>
            </w:r>
            <w:proofErr w:type="spellStart"/>
            <w:r w:rsidRPr="009B4A73">
              <w:rPr>
                <w:b/>
                <w:sz w:val="22"/>
              </w:rPr>
              <w:t>g.day</w:t>
            </w:r>
            <w:proofErr w:type="spellEnd"/>
            <w:r w:rsidRPr="009B4A73">
              <w:rPr>
                <w:b/>
                <w:sz w:val="22"/>
              </w:rPr>
              <w:t xml:space="preserve">/mL) </w:t>
            </w:r>
          </w:p>
        </w:tc>
      </w:tr>
      <w:tr w:rsidR="00D92EBC" w:rsidRPr="009B4A73" w14:paraId="547320B2" w14:textId="77777777" w:rsidTr="00E06B0B">
        <w:trPr>
          <w:trHeight w:val="20"/>
        </w:trPr>
        <w:tc>
          <w:tcPr>
            <w:tcW w:w="1200" w:type="pct"/>
            <w:vMerge w:val="restart"/>
            <w:tcBorders>
              <w:top w:val="single" w:sz="4" w:space="0" w:color="000000"/>
              <w:left w:val="single" w:sz="4" w:space="0" w:color="000000"/>
              <w:bottom w:val="single" w:sz="4" w:space="0" w:color="000000"/>
              <w:right w:val="single" w:sz="4" w:space="0" w:color="000000"/>
            </w:tcBorders>
            <w:vAlign w:val="center"/>
          </w:tcPr>
          <w:p w14:paraId="24E51FB0" w14:textId="575FF069" w:rsidR="00D92EBC" w:rsidRPr="009B4A73" w:rsidRDefault="0078763F" w:rsidP="00E06B0B">
            <w:pPr>
              <w:spacing w:after="0" w:line="240" w:lineRule="auto"/>
              <w:ind w:left="0" w:firstLine="0"/>
              <w:jc w:val="center"/>
              <w:rPr>
                <w:sz w:val="22"/>
              </w:rPr>
            </w:pPr>
            <w:r w:rsidRPr="009B4A73">
              <w:rPr>
                <w:sz w:val="22"/>
              </w:rPr>
              <w:t xml:space="preserve">8mg/kg + 6mg/kg q3w </w:t>
            </w:r>
          </w:p>
        </w:tc>
        <w:tc>
          <w:tcPr>
            <w:tcW w:w="917" w:type="pct"/>
            <w:tcBorders>
              <w:top w:val="single" w:sz="4" w:space="0" w:color="000000"/>
              <w:left w:val="single" w:sz="4" w:space="0" w:color="000000"/>
              <w:bottom w:val="single" w:sz="4" w:space="0" w:color="000000"/>
              <w:right w:val="single" w:sz="4" w:space="0" w:color="000000"/>
            </w:tcBorders>
            <w:vAlign w:val="center"/>
          </w:tcPr>
          <w:p w14:paraId="04FD63E7" w14:textId="77777777" w:rsidR="00D92EBC" w:rsidRPr="009B4A73" w:rsidRDefault="0078763F" w:rsidP="00E06B0B">
            <w:pPr>
              <w:spacing w:after="0" w:line="240" w:lineRule="auto"/>
              <w:ind w:left="0" w:firstLine="0"/>
              <w:jc w:val="center"/>
              <w:rPr>
                <w:sz w:val="22"/>
              </w:rPr>
            </w:pPr>
            <w:r w:rsidRPr="009B4A73">
              <w:rPr>
                <w:sz w:val="22"/>
              </w:rPr>
              <w:t xml:space="preserve">MBC/EBC </w:t>
            </w:r>
          </w:p>
        </w:tc>
        <w:tc>
          <w:tcPr>
            <w:tcW w:w="495" w:type="pct"/>
            <w:tcBorders>
              <w:top w:val="single" w:sz="4" w:space="0" w:color="000000"/>
              <w:left w:val="single" w:sz="4" w:space="0" w:color="000000"/>
              <w:bottom w:val="single" w:sz="4" w:space="0" w:color="000000"/>
              <w:right w:val="single" w:sz="4" w:space="0" w:color="000000"/>
            </w:tcBorders>
            <w:vAlign w:val="center"/>
          </w:tcPr>
          <w:p w14:paraId="07EE5AE8" w14:textId="13DA018A" w:rsidR="00D92EBC" w:rsidRPr="009B4A73" w:rsidRDefault="0078763F" w:rsidP="00E06B0B">
            <w:pPr>
              <w:spacing w:after="0" w:line="240" w:lineRule="auto"/>
              <w:ind w:left="0" w:firstLine="0"/>
              <w:jc w:val="center"/>
              <w:rPr>
                <w:sz w:val="22"/>
              </w:rPr>
            </w:pPr>
            <w:r w:rsidRPr="009B4A73">
              <w:rPr>
                <w:sz w:val="22"/>
              </w:rPr>
              <w:t>1195</w:t>
            </w:r>
          </w:p>
        </w:tc>
        <w:tc>
          <w:tcPr>
            <w:tcW w:w="635" w:type="pct"/>
            <w:tcBorders>
              <w:top w:val="single" w:sz="4" w:space="0" w:color="000000"/>
              <w:left w:val="single" w:sz="4" w:space="0" w:color="000000"/>
              <w:bottom w:val="single" w:sz="4" w:space="0" w:color="000000"/>
              <w:right w:val="single" w:sz="4" w:space="0" w:color="000000"/>
            </w:tcBorders>
          </w:tcPr>
          <w:p w14:paraId="5E221C6B" w14:textId="77777777" w:rsidR="00D92EBC" w:rsidRPr="009B4A73" w:rsidRDefault="0078763F" w:rsidP="00E06B0B">
            <w:pPr>
              <w:spacing w:after="0" w:line="240" w:lineRule="auto"/>
              <w:ind w:left="0" w:firstLine="0"/>
              <w:jc w:val="center"/>
              <w:rPr>
                <w:sz w:val="22"/>
              </w:rPr>
            </w:pPr>
            <w:r w:rsidRPr="009B4A73">
              <w:rPr>
                <w:sz w:val="22"/>
              </w:rPr>
              <w:t xml:space="preserve">29.4 </w:t>
            </w:r>
          </w:p>
          <w:p w14:paraId="5DA9202B" w14:textId="77777777" w:rsidR="00D92EBC" w:rsidRPr="009B4A73" w:rsidRDefault="0078763F" w:rsidP="00E06B0B">
            <w:pPr>
              <w:spacing w:after="0" w:line="240" w:lineRule="auto"/>
              <w:ind w:left="0" w:firstLine="0"/>
              <w:jc w:val="center"/>
              <w:rPr>
                <w:sz w:val="22"/>
              </w:rPr>
            </w:pPr>
            <w:r w:rsidRPr="009B4A73">
              <w:rPr>
                <w:sz w:val="22"/>
              </w:rPr>
              <w:t xml:space="preserve">(5.8 - 59.5) </w:t>
            </w:r>
          </w:p>
        </w:tc>
        <w:tc>
          <w:tcPr>
            <w:tcW w:w="847" w:type="pct"/>
            <w:tcBorders>
              <w:top w:val="single" w:sz="4" w:space="0" w:color="000000"/>
              <w:left w:val="single" w:sz="4" w:space="0" w:color="000000"/>
              <w:bottom w:val="single" w:sz="4" w:space="0" w:color="000000"/>
              <w:right w:val="single" w:sz="4" w:space="0" w:color="000000"/>
            </w:tcBorders>
          </w:tcPr>
          <w:p w14:paraId="3C43EFA8" w14:textId="77777777" w:rsidR="00D92EBC" w:rsidRPr="009B4A73" w:rsidRDefault="0078763F" w:rsidP="00E06B0B">
            <w:pPr>
              <w:spacing w:after="0" w:line="240" w:lineRule="auto"/>
              <w:ind w:left="0" w:firstLine="0"/>
              <w:jc w:val="center"/>
              <w:rPr>
                <w:sz w:val="22"/>
              </w:rPr>
            </w:pPr>
            <w:r w:rsidRPr="009B4A73">
              <w:rPr>
                <w:sz w:val="22"/>
              </w:rPr>
              <w:t xml:space="preserve">178.0 </w:t>
            </w:r>
          </w:p>
          <w:p w14:paraId="154DD84D" w14:textId="77777777" w:rsidR="00D92EBC" w:rsidRPr="009B4A73" w:rsidRDefault="0078763F" w:rsidP="00E06B0B">
            <w:pPr>
              <w:spacing w:after="0" w:line="240" w:lineRule="auto"/>
              <w:ind w:left="0" w:firstLine="0"/>
              <w:jc w:val="center"/>
              <w:rPr>
                <w:sz w:val="22"/>
              </w:rPr>
            </w:pPr>
            <w:r w:rsidRPr="009B4A73">
              <w:rPr>
                <w:sz w:val="22"/>
              </w:rPr>
              <w:t xml:space="preserve">(116.5 – 290.5) </w:t>
            </w:r>
          </w:p>
        </w:tc>
        <w:tc>
          <w:tcPr>
            <w:tcW w:w="905" w:type="pct"/>
            <w:tcBorders>
              <w:top w:val="single" w:sz="4" w:space="0" w:color="000000"/>
              <w:left w:val="single" w:sz="4" w:space="0" w:color="000000"/>
              <w:bottom w:val="single" w:sz="4" w:space="0" w:color="000000"/>
              <w:right w:val="single" w:sz="4" w:space="0" w:color="000000"/>
            </w:tcBorders>
          </w:tcPr>
          <w:p w14:paraId="666FB466" w14:textId="77777777" w:rsidR="00D92EBC" w:rsidRPr="009B4A73" w:rsidRDefault="0078763F" w:rsidP="00E06B0B">
            <w:pPr>
              <w:spacing w:after="0" w:line="240" w:lineRule="auto"/>
              <w:ind w:left="0" w:firstLine="0"/>
              <w:jc w:val="center"/>
              <w:rPr>
                <w:sz w:val="22"/>
              </w:rPr>
            </w:pPr>
            <w:r w:rsidRPr="009B4A73">
              <w:rPr>
                <w:sz w:val="22"/>
              </w:rPr>
              <w:t xml:space="preserve">1372.5 </w:t>
            </w:r>
          </w:p>
          <w:p w14:paraId="66689042" w14:textId="77777777" w:rsidR="00D92EBC" w:rsidRPr="009B4A73" w:rsidRDefault="0078763F" w:rsidP="00E06B0B">
            <w:pPr>
              <w:spacing w:after="0" w:line="240" w:lineRule="auto"/>
              <w:ind w:left="0" w:firstLine="0"/>
              <w:jc w:val="center"/>
              <w:rPr>
                <w:sz w:val="22"/>
              </w:rPr>
            </w:pPr>
            <w:r w:rsidRPr="009B4A73">
              <w:rPr>
                <w:sz w:val="22"/>
              </w:rPr>
              <w:t xml:space="preserve">(735.8 – 2245.0) </w:t>
            </w:r>
          </w:p>
        </w:tc>
      </w:tr>
      <w:tr w:rsidR="00D92EBC" w:rsidRPr="009B4A73" w14:paraId="6794F61B" w14:textId="77777777" w:rsidTr="00E06B0B">
        <w:trPr>
          <w:trHeight w:val="20"/>
        </w:trPr>
        <w:tc>
          <w:tcPr>
            <w:tcW w:w="1200" w:type="pct"/>
            <w:vMerge/>
            <w:tcBorders>
              <w:top w:val="nil"/>
              <w:left w:val="single" w:sz="4" w:space="0" w:color="000000"/>
              <w:bottom w:val="single" w:sz="4" w:space="0" w:color="000000"/>
              <w:right w:val="single" w:sz="4" w:space="0" w:color="000000"/>
            </w:tcBorders>
          </w:tcPr>
          <w:p w14:paraId="5FBA3C02" w14:textId="77777777" w:rsidR="00D92EBC" w:rsidRPr="009B4A73" w:rsidRDefault="00D92EBC" w:rsidP="00E06B0B">
            <w:pPr>
              <w:spacing w:after="0" w:line="240" w:lineRule="auto"/>
              <w:ind w:left="0" w:firstLine="0"/>
              <w:rPr>
                <w:sz w:val="22"/>
              </w:rPr>
            </w:pPr>
          </w:p>
        </w:tc>
        <w:tc>
          <w:tcPr>
            <w:tcW w:w="917" w:type="pct"/>
            <w:tcBorders>
              <w:top w:val="single" w:sz="4" w:space="0" w:color="000000"/>
              <w:left w:val="single" w:sz="4" w:space="0" w:color="000000"/>
              <w:bottom w:val="single" w:sz="4" w:space="0" w:color="000000"/>
              <w:right w:val="single" w:sz="4" w:space="0" w:color="000000"/>
            </w:tcBorders>
            <w:vAlign w:val="center"/>
          </w:tcPr>
          <w:p w14:paraId="069CEF6C" w14:textId="77777777" w:rsidR="00D92EBC" w:rsidRPr="009B4A73" w:rsidRDefault="0078763F" w:rsidP="00E06B0B">
            <w:pPr>
              <w:spacing w:after="0" w:line="240" w:lineRule="auto"/>
              <w:ind w:left="0" w:firstLine="0"/>
              <w:jc w:val="center"/>
              <w:rPr>
                <w:sz w:val="22"/>
              </w:rPr>
            </w:pPr>
            <w:r w:rsidRPr="009B4A73">
              <w:rPr>
                <w:sz w:val="22"/>
              </w:rPr>
              <w:t xml:space="preserve">AGC </w:t>
            </w:r>
          </w:p>
        </w:tc>
        <w:tc>
          <w:tcPr>
            <w:tcW w:w="495" w:type="pct"/>
            <w:tcBorders>
              <w:top w:val="single" w:sz="4" w:space="0" w:color="000000"/>
              <w:left w:val="single" w:sz="4" w:space="0" w:color="000000"/>
              <w:bottom w:val="single" w:sz="4" w:space="0" w:color="000000"/>
              <w:right w:val="single" w:sz="4" w:space="0" w:color="000000"/>
            </w:tcBorders>
            <w:vAlign w:val="center"/>
          </w:tcPr>
          <w:p w14:paraId="4D99BBC7" w14:textId="2D79D7A3" w:rsidR="00D92EBC" w:rsidRPr="009B4A73" w:rsidRDefault="0078763F" w:rsidP="00E06B0B">
            <w:pPr>
              <w:spacing w:after="0" w:line="240" w:lineRule="auto"/>
              <w:ind w:left="0" w:firstLine="0"/>
              <w:jc w:val="center"/>
              <w:rPr>
                <w:sz w:val="22"/>
              </w:rPr>
            </w:pPr>
            <w:r w:rsidRPr="009B4A73">
              <w:rPr>
                <w:sz w:val="22"/>
              </w:rPr>
              <w:t>274</w:t>
            </w:r>
          </w:p>
        </w:tc>
        <w:tc>
          <w:tcPr>
            <w:tcW w:w="635" w:type="pct"/>
            <w:tcBorders>
              <w:top w:val="single" w:sz="4" w:space="0" w:color="000000"/>
              <w:left w:val="single" w:sz="4" w:space="0" w:color="000000"/>
              <w:bottom w:val="single" w:sz="4" w:space="0" w:color="000000"/>
              <w:right w:val="single" w:sz="4" w:space="0" w:color="000000"/>
            </w:tcBorders>
          </w:tcPr>
          <w:p w14:paraId="1DC5AE51" w14:textId="77777777" w:rsidR="00D92EBC" w:rsidRPr="009B4A73" w:rsidRDefault="0078763F" w:rsidP="00E06B0B">
            <w:pPr>
              <w:spacing w:after="0" w:line="240" w:lineRule="auto"/>
              <w:ind w:left="0" w:firstLine="0"/>
              <w:jc w:val="center"/>
              <w:rPr>
                <w:sz w:val="22"/>
              </w:rPr>
            </w:pPr>
            <w:r w:rsidRPr="009B4A73">
              <w:rPr>
                <w:sz w:val="22"/>
              </w:rPr>
              <w:t xml:space="preserve">23.1 </w:t>
            </w:r>
          </w:p>
          <w:p w14:paraId="43BD17EB" w14:textId="77777777" w:rsidR="00D92EBC" w:rsidRPr="009B4A73" w:rsidRDefault="0078763F" w:rsidP="00E06B0B">
            <w:pPr>
              <w:spacing w:after="0" w:line="240" w:lineRule="auto"/>
              <w:ind w:left="0" w:firstLine="0"/>
              <w:jc w:val="center"/>
              <w:rPr>
                <w:sz w:val="22"/>
              </w:rPr>
            </w:pPr>
            <w:r w:rsidRPr="009B4A73">
              <w:rPr>
                <w:sz w:val="22"/>
              </w:rPr>
              <w:t xml:space="preserve">(6.1 - 50.3) </w:t>
            </w:r>
          </w:p>
        </w:tc>
        <w:tc>
          <w:tcPr>
            <w:tcW w:w="847" w:type="pct"/>
            <w:tcBorders>
              <w:top w:val="single" w:sz="4" w:space="0" w:color="000000"/>
              <w:left w:val="single" w:sz="4" w:space="0" w:color="000000"/>
              <w:bottom w:val="single" w:sz="4" w:space="0" w:color="000000"/>
              <w:right w:val="single" w:sz="4" w:space="0" w:color="000000"/>
            </w:tcBorders>
          </w:tcPr>
          <w:p w14:paraId="484B5894" w14:textId="77777777" w:rsidR="00D92EBC" w:rsidRPr="009B4A73" w:rsidRDefault="0078763F" w:rsidP="00E06B0B">
            <w:pPr>
              <w:spacing w:after="0" w:line="240" w:lineRule="auto"/>
              <w:ind w:left="0" w:firstLine="0"/>
              <w:jc w:val="center"/>
              <w:rPr>
                <w:sz w:val="22"/>
              </w:rPr>
            </w:pPr>
            <w:r w:rsidRPr="009B4A73">
              <w:rPr>
                <w:sz w:val="22"/>
              </w:rPr>
              <w:t xml:space="preserve">131.9 </w:t>
            </w:r>
          </w:p>
          <w:p w14:paraId="0D92072D" w14:textId="77777777" w:rsidR="00D92EBC" w:rsidRPr="009B4A73" w:rsidRDefault="0078763F" w:rsidP="00E06B0B">
            <w:pPr>
              <w:spacing w:after="0" w:line="240" w:lineRule="auto"/>
              <w:ind w:left="0" w:firstLine="0"/>
              <w:jc w:val="center"/>
              <w:rPr>
                <w:sz w:val="22"/>
              </w:rPr>
            </w:pPr>
            <w:r w:rsidRPr="009B4A73">
              <w:rPr>
                <w:sz w:val="22"/>
              </w:rPr>
              <w:t xml:space="preserve">(84.2 – 225.2) </w:t>
            </w:r>
          </w:p>
        </w:tc>
        <w:tc>
          <w:tcPr>
            <w:tcW w:w="905" w:type="pct"/>
            <w:tcBorders>
              <w:top w:val="single" w:sz="4" w:space="0" w:color="000000"/>
              <w:left w:val="single" w:sz="4" w:space="0" w:color="000000"/>
              <w:bottom w:val="single" w:sz="4" w:space="0" w:color="000000"/>
              <w:right w:val="single" w:sz="4" w:space="0" w:color="000000"/>
            </w:tcBorders>
          </w:tcPr>
          <w:p w14:paraId="362A01EB" w14:textId="77777777" w:rsidR="00D92EBC" w:rsidRPr="009B4A73" w:rsidRDefault="0078763F" w:rsidP="00E06B0B">
            <w:pPr>
              <w:spacing w:after="0" w:line="240" w:lineRule="auto"/>
              <w:ind w:left="0" w:firstLine="0"/>
              <w:jc w:val="center"/>
              <w:rPr>
                <w:sz w:val="22"/>
              </w:rPr>
            </w:pPr>
            <w:r w:rsidRPr="009B4A73">
              <w:rPr>
                <w:sz w:val="22"/>
              </w:rPr>
              <w:t xml:space="preserve">1108.5 </w:t>
            </w:r>
          </w:p>
          <w:p w14:paraId="04987389" w14:textId="77777777" w:rsidR="00D92EBC" w:rsidRPr="009B4A73" w:rsidRDefault="0078763F" w:rsidP="00E06B0B">
            <w:pPr>
              <w:spacing w:after="0" w:line="240" w:lineRule="auto"/>
              <w:ind w:left="0" w:firstLine="0"/>
              <w:jc w:val="center"/>
              <w:rPr>
                <w:sz w:val="22"/>
              </w:rPr>
            </w:pPr>
            <w:r w:rsidRPr="009B4A73">
              <w:rPr>
                <w:sz w:val="22"/>
              </w:rPr>
              <w:t xml:space="preserve">(588.2 – 1937.9) </w:t>
            </w:r>
          </w:p>
        </w:tc>
      </w:tr>
      <w:tr w:rsidR="00D92EBC" w:rsidRPr="009B4A73" w14:paraId="744481FE" w14:textId="77777777" w:rsidTr="00E06B0B">
        <w:trPr>
          <w:trHeight w:val="20"/>
        </w:trPr>
        <w:tc>
          <w:tcPr>
            <w:tcW w:w="1200" w:type="pct"/>
            <w:tcBorders>
              <w:top w:val="single" w:sz="4" w:space="0" w:color="000000"/>
              <w:left w:val="single" w:sz="4" w:space="0" w:color="000000"/>
              <w:bottom w:val="single" w:sz="4" w:space="0" w:color="000000"/>
              <w:right w:val="single" w:sz="4" w:space="0" w:color="000000"/>
            </w:tcBorders>
          </w:tcPr>
          <w:p w14:paraId="4BEDD10D" w14:textId="1696C1A4" w:rsidR="00D92EBC" w:rsidRPr="009B4A73" w:rsidRDefault="0078763F" w:rsidP="00E06B0B">
            <w:pPr>
              <w:spacing w:after="0" w:line="240" w:lineRule="auto"/>
              <w:ind w:left="0" w:firstLine="0"/>
              <w:jc w:val="center"/>
              <w:rPr>
                <w:sz w:val="22"/>
              </w:rPr>
            </w:pPr>
            <w:r w:rsidRPr="009B4A73">
              <w:rPr>
                <w:sz w:val="22"/>
              </w:rPr>
              <w:t xml:space="preserve">4mg/kg + 2mg/kg </w:t>
            </w:r>
            <w:proofErr w:type="spellStart"/>
            <w:r w:rsidRPr="009B4A73">
              <w:rPr>
                <w:sz w:val="22"/>
              </w:rPr>
              <w:t>qw</w:t>
            </w:r>
            <w:proofErr w:type="spellEnd"/>
            <w:r w:rsidRPr="009B4A73">
              <w:rPr>
                <w:sz w:val="22"/>
              </w:rPr>
              <w:t xml:space="preserve"> </w:t>
            </w:r>
          </w:p>
        </w:tc>
        <w:tc>
          <w:tcPr>
            <w:tcW w:w="917" w:type="pct"/>
            <w:tcBorders>
              <w:top w:val="single" w:sz="4" w:space="0" w:color="000000"/>
              <w:left w:val="single" w:sz="4" w:space="0" w:color="000000"/>
              <w:bottom w:val="single" w:sz="4" w:space="0" w:color="000000"/>
              <w:right w:val="single" w:sz="4" w:space="0" w:color="000000"/>
            </w:tcBorders>
            <w:vAlign w:val="center"/>
          </w:tcPr>
          <w:p w14:paraId="7D79BDFB" w14:textId="77777777" w:rsidR="00D92EBC" w:rsidRPr="009B4A73" w:rsidRDefault="0078763F" w:rsidP="00E06B0B">
            <w:pPr>
              <w:spacing w:after="0" w:line="240" w:lineRule="auto"/>
              <w:ind w:left="0" w:firstLine="0"/>
              <w:jc w:val="center"/>
              <w:rPr>
                <w:sz w:val="22"/>
              </w:rPr>
            </w:pPr>
            <w:r w:rsidRPr="009B4A73">
              <w:rPr>
                <w:sz w:val="22"/>
              </w:rPr>
              <w:t xml:space="preserve">MBC/EBC </w:t>
            </w:r>
          </w:p>
        </w:tc>
        <w:tc>
          <w:tcPr>
            <w:tcW w:w="495" w:type="pct"/>
            <w:tcBorders>
              <w:top w:val="single" w:sz="4" w:space="0" w:color="000000"/>
              <w:left w:val="single" w:sz="4" w:space="0" w:color="000000"/>
              <w:bottom w:val="single" w:sz="4" w:space="0" w:color="000000"/>
              <w:right w:val="single" w:sz="4" w:space="0" w:color="000000"/>
            </w:tcBorders>
            <w:vAlign w:val="center"/>
          </w:tcPr>
          <w:p w14:paraId="427A335B" w14:textId="36524D26" w:rsidR="00D92EBC" w:rsidRPr="009B4A73" w:rsidRDefault="0078763F" w:rsidP="00E06B0B">
            <w:pPr>
              <w:spacing w:after="0" w:line="240" w:lineRule="auto"/>
              <w:ind w:left="0" w:firstLine="0"/>
              <w:jc w:val="center"/>
              <w:rPr>
                <w:sz w:val="22"/>
              </w:rPr>
            </w:pPr>
            <w:r w:rsidRPr="009B4A73">
              <w:rPr>
                <w:sz w:val="22"/>
              </w:rPr>
              <w:t>1195</w:t>
            </w:r>
          </w:p>
        </w:tc>
        <w:tc>
          <w:tcPr>
            <w:tcW w:w="635" w:type="pct"/>
            <w:tcBorders>
              <w:top w:val="single" w:sz="4" w:space="0" w:color="000000"/>
              <w:left w:val="single" w:sz="4" w:space="0" w:color="000000"/>
              <w:bottom w:val="single" w:sz="4" w:space="0" w:color="000000"/>
              <w:right w:val="single" w:sz="4" w:space="0" w:color="000000"/>
            </w:tcBorders>
          </w:tcPr>
          <w:p w14:paraId="6510F68F" w14:textId="77777777" w:rsidR="00D92EBC" w:rsidRPr="009B4A73" w:rsidRDefault="0078763F" w:rsidP="00E06B0B">
            <w:pPr>
              <w:spacing w:after="0" w:line="240" w:lineRule="auto"/>
              <w:ind w:left="0" w:firstLine="0"/>
              <w:jc w:val="center"/>
              <w:rPr>
                <w:sz w:val="22"/>
              </w:rPr>
            </w:pPr>
            <w:r w:rsidRPr="009B4A73">
              <w:rPr>
                <w:sz w:val="22"/>
              </w:rPr>
              <w:t xml:space="preserve">37.7 </w:t>
            </w:r>
          </w:p>
          <w:p w14:paraId="56CFB73F" w14:textId="77777777" w:rsidR="00D92EBC" w:rsidRPr="009B4A73" w:rsidRDefault="0078763F" w:rsidP="00E06B0B">
            <w:pPr>
              <w:spacing w:after="0" w:line="240" w:lineRule="auto"/>
              <w:ind w:left="0" w:firstLine="0"/>
              <w:jc w:val="center"/>
              <w:rPr>
                <w:sz w:val="22"/>
              </w:rPr>
            </w:pPr>
            <w:r w:rsidRPr="009B4A73">
              <w:rPr>
                <w:sz w:val="22"/>
              </w:rPr>
              <w:t xml:space="preserve">(12.3 - 70.9) </w:t>
            </w:r>
          </w:p>
        </w:tc>
        <w:tc>
          <w:tcPr>
            <w:tcW w:w="847" w:type="pct"/>
            <w:tcBorders>
              <w:top w:val="single" w:sz="4" w:space="0" w:color="000000"/>
              <w:left w:val="single" w:sz="4" w:space="0" w:color="000000"/>
              <w:bottom w:val="single" w:sz="4" w:space="0" w:color="000000"/>
              <w:right w:val="single" w:sz="4" w:space="0" w:color="000000"/>
            </w:tcBorders>
          </w:tcPr>
          <w:p w14:paraId="79B5C9EB" w14:textId="77777777" w:rsidR="00D92EBC" w:rsidRPr="009B4A73" w:rsidRDefault="0078763F" w:rsidP="00E06B0B">
            <w:pPr>
              <w:spacing w:after="0" w:line="240" w:lineRule="auto"/>
              <w:ind w:left="0" w:firstLine="0"/>
              <w:jc w:val="center"/>
              <w:rPr>
                <w:sz w:val="22"/>
              </w:rPr>
            </w:pPr>
            <w:r w:rsidRPr="009B4A73">
              <w:rPr>
                <w:sz w:val="22"/>
              </w:rPr>
              <w:t xml:space="preserve">88.3 </w:t>
            </w:r>
          </w:p>
          <w:p w14:paraId="4E103B00" w14:textId="77777777" w:rsidR="00D92EBC" w:rsidRPr="009B4A73" w:rsidRDefault="0078763F" w:rsidP="00E06B0B">
            <w:pPr>
              <w:spacing w:after="0" w:line="240" w:lineRule="auto"/>
              <w:ind w:left="0" w:firstLine="0"/>
              <w:jc w:val="center"/>
              <w:rPr>
                <w:sz w:val="22"/>
              </w:rPr>
            </w:pPr>
            <w:r w:rsidRPr="009B4A73">
              <w:rPr>
                <w:sz w:val="22"/>
              </w:rPr>
              <w:t xml:space="preserve">(58.0 – 144.4) </w:t>
            </w:r>
          </w:p>
        </w:tc>
        <w:tc>
          <w:tcPr>
            <w:tcW w:w="905" w:type="pct"/>
            <w:tcBorders>
              <w:top w:val="single" w:sz="4" w:space="0" w:color="000000"/>
              <w:left w:val="single" w:sz="4" w:space="0" w:color="000000"/>
              <w:bottom w:val="single" w:sz="4" w:space="0" w:color="000000"/>
              <w:right w:val="single" w:sz="4" w:space="0" w:color="000000"/>
            </w:tcBorders>
          </w:tcPr>
          <w:p w14:paraId="5FB447F0" w14:textId="77777777" w:rsidR="00D92EBC" w:rsidRPr="009B4A73" w:rsidRDefault="0078763F" w:rsidP="00E06B0B">
            <w:pPr>
              <w:spacing w:after="0" w:line="240" w:lineRule="auto"/>
              <w:ind w:left="0" w:firstLine="0"/>
              <w:jc w:val="center"/>
              <w:rPr>
                <w:sz w:val="22"/>
              </w:rPr>
            </w:pPr>
            <w:r w:rsidRPr="009B4A73">
              <w:rPr>
                <w:sz w:val="22"/>
              </w:rPr>
              <w:t xml:space="preserve">1066.0 </w:t>
            </w:r>
          </w:p>
          <w:p w14:paraId="2238B355" w14:textId="77777777" w:rsidR="00D92EBC" w:rsidRPr="009B4A73" w:rsidRDefault="0078763F" w:rsidP="00E06B0B">
            <w:pPr>
              <w:spacing w:after="0" w:line="240" w:lineRule="auto"/>
              <w:ind w:left="0" w:firstLine="0"/>
              <w:jc w:val="center"/>
              <w:rPr>
                <w:sz w:val="22"/>
              </w:rPr>
            </w:pPr>
            <w:r w:rsidRPr="009B4A73">
              <w:rPr>
                <w:sz w:val="22"/>
              </w:rPr>
              <w:t xml:space="preserve">(585.6 – 1754.2) </w:t>
            </w:r>
          </w:p>
        </w:tc>
      </w:tr>
    </w:tbl>
    <w:p w14:paraId="033BDD5F" w14:textId="3C402A92" w:rsidR="001C5E47" w:rsidRPr="009B4A73" w:rsidRDefault="0078763F" w:rsidP="00316679">
      <w:pPr>
        <w:spacing w:after="0" w:line="240" w:lineRule="auto"/>
        <w:ind w:left="426" w:firstLine="0"/>
        <w:rPr>
          <w:rFonts w:eastAsia="Cambria"/>
          <w:sz w:val="22"/>
        </w:rPr>
      </w:pPr>
      <w:r w:rsidRPr="009B4A73">
        <w:rPr>
          <w:rFonts w:eastAsia="Cambria"/>
          <w:sz w:val="22"/>
        </w:rPr>
        <w:t xml:space="preserve"> </w:t>
      </w:r>
    </w:p>
    <w:p w14:paraId="2AA82ECD" w14:textId="4716DD49" w:rsidR="00D92EBC" w:rsidRPr="009B4A73" w:rsidRDefault="0078763F" w:rsidP="00E06B0B">
      <w:pPr>
        <w:pStyle w:val="Heading2"/>
        <w:keepNext w:val="0"/>
        <w:keepLines w:val="0"/>
        <w:spacing w:line="240" w:lineRule="auto"/>
        <w:ind w:left="425" w:hanging="11"/>
        <w:rPr>
          <w:sz w:val="22"/>
        </w:rPr>
      </w:pPr>
      <w:r w:rsidRPr="009B4A73">
        <w:rPr>
          <w:sz w:val="22"/>
        </w:rPr>
        <w:t xml:space="preserve">Table 16: Population </w:t>
      </w:r>
      <w:r w:rsidR="00E06B0B" w:rsidRPr="009B4A73">
        <w:rPr>
          <w:sz w:val="22"/>
        </w:rPr>
        <w:t>p</w:t>
      </w:r>
      <w:r w:rsidRPr="009B4A73">
        <w:rPr>
          <w:sz w:val="22"/>
        </w:rPr>
        <w:t xml:space="preserve">redicted </w:t>
      </w:r>
      <w:r w:rsidR="00E06B0B" w:rsidRPr="009B4A73">
        <w:rPr>
          <w:sz w:val="22"/>
        </w:rPr>
        <w:t>s</w:t>
      </w:r>
      <w:r w:rsidRPr="009B4A73">
        <w:rPr>
          <w:sz w:val="22"/>
        </w:rPr>
        <w:t xml:space="preserve">teady </w:t>
      </w:r>
      <w:r w:rsidR="00E06B0B" w:rsidRPr="009B4A73">
        <w:rPr>
          <w:sz w:val="22"/>
        </w:rPr>
        <w:t>s</w:t>
      </w:r>
      <w:r w:rsidRPr="009B4A73">
        <w:rPr>
          <w:sz w:val="22"/>
        </w:rPr>
        <w:t xml:space="preserve">tate PK </w:t>
      </w:r>
      <w:r w:rsidR="00E06B0B" w:rsidRPr="009B4A73">
        <w:rPr>
          <w:sz w:val="22"/>
        </w:rPr>
        <w:t>e</w:t>
      </w:r>
      <w:r w:rsidRPr="009B4A73">
        <w:rPr>
          <w:sz w:val="22"/>
        </w:rPr>
        <w:t xml:space="preserve">xposure </w:t>
      </w:r>
      <w:r w:rsidR="00E06B0B" w:rsidRPr="009B4A73">
        <w:rPr>
          <w:sz w:val="22"/>
        </w:rPr>
        <w:t>v</w:t>
      </w:r>
      <w:r w:rsidRPr="009B4A73">
        <w:rPr>
          <w:sz w:val="22"/>
        </w:rPr>
        <w:t>alues (with 5</w:t>
      </w:r>
      <w:r w:rsidRPr="009B4A73">
        <w:rPr>
          <w:sz w:val="22"/>
          <w:vertAlign w:val="superscript"/>
        </w:rPr>
        <w:t xml:space="preserve">th </w:t>
      </w:r>
      <w:r w:rsidRPr="009B4A73">
        <w:rPr>
          <w:sz w:val="22"/>
        </w:rPr>
        <w:t>- 95</w:t>
      </w:r>
      <w:r w:rsidRPr="009B4A73">
        <w:rPr>
          <w:sz w:val="22"/>
          <w:vertAlign w:val="superscript"/>
        </w:rPr>
        <w:t>th</w:t>
      </w:r>
      <w:r w:rsidRPr="009B4A73">
        <w:rPr>
          <w:sz w:val="22"/>
        </w:rPr>
        <w:t xml:space="preserve"> </w:t>
      </w:r>
      <w:r w:rsidR="00E06B0B" w:rsidRPr="009B4A73">
        <w:rPr>
          <w:sz w:val="22"/>
        </w:rPr>
        <w:t>p</w:t>
      </w:r>
      <w:r w:rsidRPr="009B4A73">
        <w:rPr>
          <w:sz w:val="22"/>
        </w:rPr>
        <w:t xml:space="preserve">ercentiles) for </w:t>
      </w:r>
      <w:r w:rsidR="00DE7079" w:rsidRPr="009B4A73">
        <w:rPr>
          <w:sz w:val="22"/>
        </w:rPr>
        <w:t>trastuzumab</w:t>
      </w:r>
      <w:r w:rsidRPr="009B4A73">
        <w:rPr>
          <w:sz w:val="22"/>
        </w:rPr>
        <w:t xml:space="preserve"> IV </w:t>
      </w:r>
      <w:r w:rsidR="00E06B0B" w:rsidRPr="009B4A73">
        <w:rPr>
          <w:sz w:val="22"/>
        </w:rPr>
        <w:t>d</w:t>
      </w:r>
      <w:r w:rsidRPr="009B4A73">
        <w:rPr>
          <w:sz w:val="22"/>
        </w:rPr>
        <w:t xml:space="preserve">osing </w:t>
      </w:r>
      <w:r w:rsidR="00E06B0B" w:rsidRPr="009B4A73">
        <w:rPr>
          <w:sz w:val="22"/>
        </w:rPr>
        <w:t>r</w:t>
      </w:r>
      <w:r w:rsidRPr="009B4A73">
        <w:rPr>
          <w:sz w:val="22"/>
        </w:rPr>
        <w:t xml:space="preserve">egimens in </w:t>
      </w:r>
      <w:r w:rsidR="00E06B0B" w:rsidRPr="009B4A73">
        <w:rPr>
          <w:sz w:val="22"/>
        </w:rPr>
        <w:t>b</w:t>
      </w:r>
      <w:r w:rsidRPr="009B4A73">
        <w:rPr>
          <w:sz w:val="22"/>
        </w:rPr>
        <w:t xml:space="preserve">reast </w:t>
      </w:r>
      <w:r w:rsidR="00E06B0B" w:rsidRPr="009B4A73">
        <w:rPr>
          <w:sz w:val="22"/>
        </w:rPr>
        <w:t>c</w:t>
      </w:r>
      <w:r w:rsidRPr="009B4A73">
        <w:rPr>
          <w:sz w:val="22"/>
        </w:rPr>
        <w:t xml:space="preserve">ancer and AGC </w:t>
      </w:r>
      <w:r w:rsidR="00E06B0B" w:rsidRPr="009B4A73">
        <w:rPr>
          <w:sz w:val="22"/>
        </w:rPr>
        <w:t>p</w:t>
      </w:r>
      <w:r w:rsidRPr="009B4A73">
        <w:rPr>
          <w:sz w:val="22"/>
        </w:rPr>
        <w:t>atients</w:t>
      </w:r>
    </w:p>
    <w:p w14:paraId="2CFD5185" w14:textId="77777777" w:rsidR="00B33B63" w:rsidRPr="009B4A73" w:rsidRDefault="00B33B63" w:rsidP="00316679">
      <w:pPr>
        <w:spacing w:after="0" w:line="240" w:lineRule="auto"/>
        <w:ind w:left="426" w:hanging="11"/>
      </w:pPr>
    </w:p>
    <w:tbl>
      <w:tblPr>
        <w:tblStyle w:val="TableGrid"/>
        <w:tblW w:w="4799" w:type="pct"/>
        <w:tblInd w:w="421" w:type="dxa"/>
        <w:tblCellMar>
          <w:left w:w="57" w:type="dxa"/>
          <w:right w:w="57" w:type="dxa"/>
        </w:tblCellMar>
        <w:tblLook w:val="04A0" w:firstRow="1" w:lastRow="0" w:firstColumn="1" w:lastColumn="0" w:noHBand="0" w:noVBand="1"/>
      </w:tblPr>
      <w:tblGrid>
        <w:gridCol w:w="1244"/>
        <w:gridCol w:w="1093"/>
        <w:gridCol w:w="675"/>
        <w:gridCol w:w="1488"/>
        <w:gridCol w:w="1584"/>
        <w:gridCol w:w="1701"/>
        <w:gridCol w:w="859"/>
        <w:gridCol w:w="1396"/>
      </w:tblGrid>
      <w:tr w:rsidR="00D07C86" w:rsidRPr="009B4A73" w14:paraId="3AD269E4" w14:textId="77777777" w:rsidTr="00B16A3F">
        <w:trPr>
          <w:trHeight w:val="20"/>
        </w:trPr>
        <w:tc>
          <w:tcPr>
            <w:tcW w:w="620" w:type="pct"/>
            <w:tcBorders>
              <w:top w:val="single" w:sz="4" w:space="0" w:color="000000"/>
              <w:left w:val="single" w:sz="4" w:space="0" w:color="000000"/>
              <w:bottom w:val="single" w:sz="4" w:space="0" w:color="000000"/>
              <w:right w:val="single" w:sz="4" w:space="0" w:color="000000"/>
            </w:tcBorders>
            <w:vAlign w:val="center"/>
          </w:tcPr>
          <w:p w14:paraId="1118252D" w14:textId="3D0C6C63" w:rsidR="00D92EBC" w:rsidRPr="009B4A73" w:rsidRDefault="0078763F" w:rsidP="00E06B0B">
            <w:pPr>
              <w:spacing w:after="0" w:line="240" w:lineRule="auto"/>
              <w:ind w:left="0" w:firstLine="0"/>
              <w:jc w:val="center"/>
              <w:rPr>
                <w:sz w:val="22"/>
              </w:rPr>
            </w:pPr>
            <w:r w:rsidRPr="009B4A73">
              <w:rPr>
                <w:b/>
                <w:sz w:val="22"/>
              </w:rPr>
              <w:t>Regimen</w:t>
            </w:r>
          </w:p>
        </w:tc>
        <w:tc>
          <w:tcPr>
            <w:tcW w:w="544" w:type="pct"/>
            <w:tcBorders>
              <w:top w:val="single" w:sz="4" w:space="0" w:color="000000"/>
              <w:left w:val="single" w:sz="4" w:space="0" w:color="000000"/>
              <w:bottom w:val="single" w:sz="4" w:space="0" w:color="000000"/>
              <w:right w:val="single" w:sz="4" w:space="0" w:color="000000"/>
            </w:tcBorders>
            <w:vAlign w:val="center"/>
          </w:tcPr>
          <w:p w14:paraId="6656EA64" w14:textId="20A6F745" w:rsidR="00D92EBC" w:rsidRPr="009B4A73" w:rsidRDefault="0078763F" w:rsidP="00E06B0B">
            <w:pPr>
              <w:spacing w:after="0" w:line="240" w:lineRule="auto"/>
              <w:ind w:left="0" w:firstLine="0"/>
              <w:jc w:val="center"/>
              <w:rPr>
                <w:sz w:val="22"/>
              </w:rPr>
            </w:pPr>
            <w:r w:rsidRPr="009B4A73">
              <w:rPr>
                <w:b/>
                <w:sz w:val="22"/>
              </w:rPr>
              <w:t>Primary tumour type</w:t>
            </w:r>
          </w:p>
        </w:tc>
        <w:tc>
          <w:tcPr>
            <w:tcW w:w="336" w:type="pct"/>
            <w:tcBorders>
              <w:top w:val="single" w:sz="4" w:space="0" w:color="000000"/>
              <w:left w:val="single" w:sz="4" w:space="0" w:color="000000"/>
              <w:bottom w:val="single" w:sz="4" w:space="0" w:color="000000"/>
              <w:right w:val="single" w:sz="4" w:space="0" w:color="000000"/>
            </w:tcBorders>
            <w:vAlign w:val="center"/>
          </w:tcPr>
          <w:p w14:paraId="2F6ADD43" w14:textId="4068DBB9" w:rsidR="00D92EBC" w:rsidRPr="009B4A73" w:rsidRDefault="0078763F" w:rsidP="00E06B0B">
            <w:pPr>
              <w:spacing w:after="0" w:line="240" w:lineRule="auto"/>
              <w:ind w:left="0" w:firstLine="0"/>
              <w:jc w:val="center"/>
              <w:rPr>
                <w:sz w:val="22"/>
              </w:rPr>
            </w:pPr>
            <w:r w:rsidRPr="009B4A73">
              <w:rPr>
                <w:b/>
                <w:sz w:val="22"/>
              </w:rPr>
              <w:t>N</w:t>
            </w:r>
          </w:p>
        </w:tc>
        <w:tc>
          <w:tcPr>
            <w:tcW w:w="741" w:type="pct"/>
            <w:tcBorders>
              <w:top w:val="single" w:sz="4" w:space="0" w:color="000000"/>
              <w:left w:val="single" w:sz="4" w:space="0" w:color="000000"/>
              <w:bottom w:val="single" w:sz="4" w:space="0" w:color="000000"/>
              <w:right w:val="single" w:sz="4" w:space="0" w:color="000000"/>
            </w:tcBorders>
            <w:vAlign w:val="center"/>
          </w:tcPr>
          <w:p w14:paraId="31B73280" w14:textId="11C210E4" w:rsidR="00D92EBC" w:rsidRPr="009B4A73" w:rsidRDefault="0078763F" w:rsidP="00E06B0B">
            <w:pPr>
              <w:spacing w:after="0" w:line="240" w:lineRule="auto"/>
              <w:ind w:left="0" w:firstLine="0"/>
              <w:jc w:val="center"/>
              <w:rPr>
                <w:sz w:val="22"/>
              </w:rPr>
            </w:pPr>
            <w:proofErr w:type="spellStart"/>
            <w:r w:rsidRPr="009B4A73">
              <w:rPr>
                <w:b/>
                <w:sz w:val="22"/>
              </w:rPr>
              <w:t>C</w:t>
            </w:r>
            <w:r w:rsidRPr="009B4A73">
              <w:rPr>
                <w:b/>
                <w:sz w:val="22"/>
                <w:vertAlign w:val="subscript"/>
              </w:rPr>
              <w:t>min</w:t>
            </w:r>
            <w:proofErr w:type="spellEnd"/>
            <w:r w:rsidRPr="009B4A73">
              <w:rPr>
                <w:b/>
                <w:sz w:val="22"/>
              </w:rPr>
              <w:t>,</w:t>
            </w:r>
            <w:r w:rsidR="00DE7079" w:rsidRPr="009B4A73">
              <w:rPr>
                <w:b/>
                <w:sz w:val="22"/>
              </w:rPr>
              <w:t xml:space="preserve"> </w:t>
            </w:r>
            <w:r w:rsidRPr="009B4A73">
              <w:rPr>
                <w:b/>
                <w:sz w:val="22"/>
              </w:rPr>
              <w:t>ss (µg/mL)</w:t>
            </w:r>
          </w:p>
        </w:tc>
        <w:tc>
          <w:tcPr>
            <w:tcW w:w="789" w:type="pct"/>
            <w:tcBorders>
              <w:top w:val="single" w:sz="4" w:space="0" w:color="000000"/>
              <w:left w:val="single" w:sz="4" w:space="0" w:color="000000"/>
              <w:bottom w:val="single" w:sz="4" w:space="0" w:color="000000"/>
              <w:right w:val="single" w:sz="4" w:space="0" w:color="000000"/>
            </w:tcBorders>
            <w:vAlign w:val="center"/>
          </w:tcPr>
          <w:p w14:paraId="5C192633" w14:textId="5D0EB5A5" w:rsidR="00D92EBC" w:rsidRPr="009B4A73" w:rsidRDefault="0078763F" w:rsidP="00E06B0B">
            <w:pPr>
              <w:spacing w:after="0" w:line="240" w:lineRule="auto"/>
              <w:ind w:left="0" w:firstLine="0"/>
              <w:jc w:val="center"/>
              <w:rPr>
                <w:sz w:val="22"/>
              </w:rPr>
            </w:pPr>
            <w:proofErr w:type="spellStart"/>
            <w:r w:rsidRPr="009B4A73">
              <w:rPr>
                <w:b/>
                <w:sz w:val="22"/>
              </w:rPr>
              <w:t>C</w:t>
            </w:r>
            <w:r w:rsidRPr="009B4A73">
              <w:rPr>
                <w:b/>
                <w:sz w:val="22"/>
                <w:vertAlign w:val="subscript"/>
              </w:rPr>
              <w:t>max</w:t>
            </w:r>
            <w:proofErr w:type="spellEnd"/>
            <w:r w:rsidRPr="009B4A73">
              <w:rPr>
                <w:b/>
                <w:sz w:val="22"/>
              </w:rPr>
              <w:t>,</w:t>
            </w:r>
            <w:r w:rsidR="00DE7079" w:rsidRPr="009B4A73">
              <w:rPr>
                <w:b/>
                <w:sz w:val="22"/>
              </w:rPr>
              <w:t xml:space="preserve"> </w:t>
            </w:r>
            <w:r w:rsidRPr="009B4A73">
              <w:rPr>
                <w:b/>
                <w:sz w:val="22"/>
              </w:rPr>
              <w:t>ss</w:t>
            </w:r>
          </w:p>
          <w:p w14:paraId="4BDB5A3A" w14:textId="185B6B56" w:rsidR="00D92EBC" w:rsidRPr="009B4A73" w:rsidRDefault="0078763F" w:rsidP="00E06B0B">
            <w:pPr>
              <w:spacing w:after="0" w:line="240" w:lineRule="auto"/>
              <w:ind w:left="0" w:firstLine="0"/>
              <w:jc w:val="center"/>
              <w:rPr>
                <w:sz w:val="22"/>
              </w:rPr>
            </w:pPr>
            <w:r w:rsidRPr="009B4A73">
              <w:rPr>
                <w:b/>
                <w:sz w:val="22"/>
              </w:rPr>
              <w:t>(µg/mL)</w:t>
            </w:r>
          </w:p>
        </w:tc>
        <w:tc>
          <w:tcPr>
            <w:tcW w:w="847" w:type="pct"/>
            <w:tcBorders>
              <w:top w:val="single" w:sz="4" w:space="0" w:color="000000"/>
              <w:left w:val="single" w:sz="4" w:space="0" w:color="000000"/>
              <w:bottom w:val="single" w:sz="4" w:space="0" w:color="000000"/>
              <w:right w:val="single" w:sz="4" w:space="0" w:color="000000"/>
            </w:tcBorders>
            <w:vAlign w:val="center"/>
          </w:tcPr>
          <w:p w14:paraId="39214BE5" w14:textId="06318768" w:rsidR="00D92EBC" w:rsidRPr="009B4A73" w:rsidRDefault="0078763F" w:rsidP="00E06B0B">
            <w:pPr>
              <w:spacing w:after="0" w:line="240" w:lineRule="auto"/>
              <w:ind w:left="0" w:firstLine="0"/>
              <w:jc w:val="center"/>
              <w:rPr>
                <w:sz w:val="22"/>
              </w:rPr>
            </w:pPr>
            <w:r w:rsidRPr="009B4A73">
              <w:rPr>
                <w:b/>
                <w:sz w:val="22"/>
              </w:rPr>
              <w:t>AUC</w:t>
            </w:r>
            <w:r w:rsidR="00DE7079" w:rsidRPr="009B4A73">
              <w:rPr>
                <w:b/>
                <w:sz w:val="22"/>
              </w:rPr>
              <w:t xml:space="preserve"> </w:t>
            </w:r>
            <w:r w:rsidRPr="009B4A73">
              <w:rPr>
                <w:b/>
                <w:sz w:val="22"/>
              </w:rPr>
              <w:t>ss (µg.</w:t>
            </w:r>
            <w:r w:rsidR="00DE7079" w:rsidRPr="009B4A73">
              <w:rPr>
                <w:b/>
                <w:sz w:val="22"/>
              </w:rPr>
              <w:t xml:space="preserve"> </w:t>
            </w:r>
            <w:r w:rsidRPr="009B4A73">
              <w:rPr>
                <w:b/>
                <w:sz w:val="22"/>
              </w:rPr>
              <w:t>day/mL)</w:t>
            </w:r>
          </w:p>
        </w:tc>
        <w:tc>
          <w:tcPr>
            <w:tcW w:w="428" w:type="pct"/>
            <w:tcBorders>
              <w:top w:val="single" w:sz="4" w:space="0" w:color="000000"/>
              <w:left w:val="single" w:sz="4" w:space="0" w:color="000000"/>
              <w:bottom w:val="single" w:sz="4" w:space="0" w:color="000000"/>
              <w:right w:val="single" w:sz="4" w:space="0" w:color="000000"/>
            </w:tcBorders>
            <w:vAlign w:val="center"/>
          </w:tcPr>
          <w:p w14:paraId="4D696E73" w14:textId="352446FF" w:rsidR="00D92EBC" w:rsidRPr="009B4A73" w:rsidRDefault="0078763F" w:rsidP="00E06B0B">
            <w:pPr>
              <w:spacing w:after="0" w:line="240" w:lineRule="auto"/>
              <w:ind w:left="0" w:firstLine="0"/>
              <w:jc w:val="center"/>
              <w:rPr>
                <w:sz w:val="22"/>
              </w:rPr>
            </w:pPr>
            <w:r w:rsidRPr="009B4A73">
              <w:rPr>
                <w:b/>
                <w:sz w:val="22"/>
              </w:rPr>
              <w:t>Time to steady</w:t>
            </w:r>
            <w:r w:rsidR="00DE7079" w:rsidRPr="009B4A73">
              <w:rPr>
                <w:b/>
                <w:sz w:val="22"/>
              </w:rPr>
              <w:t xml:space="preserve"> </w:t>
            </w:r>
            <w:r w:rsidRPr="009B4A73">
              <w:rPr>
                <w:b/>
                <w:sz w:val="22"/>
              </w:rPr>
              <w:t>state</w:t>
            </w:r>
          </w:p>
          <w:p w14:paraId="60BF1EF2" w14:textId="4BC4708A" w:rsidR="00D92EBC" w:rsidRPr="009B4A73" w:rsidRDefault="0078763F" w:rsidP="00E06B0B">
            <w:pPr>
              <w:spacing w:after="0" w:line="240" w:lineRule="auto"/>
              <w:ind w:left="0" w:firstLine="0"/>
              <w:jc w:val="center"/>
              <w:rPr>
                <w:sz w:val="22"/>
              </w:rPr>
            </w:pPr>
            <w:r w:rsidRPr="009B4A73">
              <w:rPr>
                <w:b/>
                <w:sz w:val="22"/>
              </w:rPr>
              <w:t>(week)</w:t>
            </w:r>
          </w:p>
        </w:tc>
        <w:tc>
          <w:tcPr>
            <w:tcW w:w="696" w:type="pct"/>
            <w:tcBorders>
              <w:top w:val="single" w:sz="4" w:space="0" w:color="000000"/>
              <w:left w:val="single" w:sz="4" w:space="0" w:color="000000"/>
              <w:bottom w:val="single" w:sz="4" w:space="0" w:color="000000"/>
              <w:right w:val="single" w:sz="4" w:space="0" w:color="000000"/>
            </w:tcBorders>
            <w:vAlign w:val="center"/>
          </w:tcPr>
          <w:p w14:paraId="491EBA00" w14:textId="36062BAB" w:rsidR="00D92EBC" w:rsidRPr="009B4A73" w:rsidRDefault="0078763F" w:rsidP="00E06B0B">
            <w:pPr>
              <w:spacing w:after="0" w:line="240" w:lineRule="auto"/>
              <w:ind w:left="0" w:firstLine="0"/>
              <w:jc w:val="center"/>
              <w:rPr>
                <w:sz w:val="22"/>
              </w:rPr>
            </w:pPr>
            <w:r w:rsidRPr="009B4A73">
              <w:rPr>
                <w:b/>
                <w:sz w:val="22"/>
              </w:rPr>
              <w:t>Total CL range at</w:t>
            </w:r>
            <w:r w:rsidR="00E06B0B" w:rsidRPr="009B4A73">
              <w:rPr>
                <w:b/>
                <w:sz w:val="22"/>
              </w:rPr>
              <w:t xml:space="preserve"> </w:t>
            </w:r>
            <w:r w:rsidRPr="009B4A73">
              <w:rPr>
                <w:b/>
                <w:sz w:val="22"/>
              </w:rPr>
              <w:t>steady-</w:t>
            </w:r>
            <w:r w:rsidR="00B33B63" w:rsidRPr="009B4A73">
              <w:rPr>
                <w:b/>
                <w:sz w:val="22"/>
              </w:rPr>
              <w:t xml:space="preserve"> </w:t>
            </w:r>
            <w:r w:rsidRPr="009B4A73">
              <w:rPr>
                <w:b/>
                <w:sz w:val="22"/>
              </w:rPr>
              <w:t>state</w:t>
            </w:r>
            <w:r w:rsidR="00E06B0B" w:rsidRPr="009B4A73">
              <w:rPr>
                <w:b/>
                <w:sz w:val="22"/>
              </w:rPr>
              <w:t xml:space="preserve"> </w:t>
            </w:r>
            <w:r w:rsidRPr="009B4A73">
              <w:rPr>
                <w:b/>
                <w:sz w:val="22"/>
              </w:rPr>
              <w:t>(L/day)</w:t>
            </w:r>
          </w:p>
        </w:tc>
      </w:tr>
      <w:tr w:rsidR="00D07C86" w:rsidRPr="009B4A73" w14:paraId="04E8D211" w14:textId="77777777" w:rsidTr="00B16A3F">
        <w:trPr>
          <w:trHeight w:val="20"/>
        </w:trPr>
        <w:tc>
          <w:tcPr>
            <w:tcW w:w="620" w:type="pct"/>
            <w:vMerge w:val="restart"/>
            <w:tcBorders>
              <w:top w:val="single" w:sz="4" w:space="0" w:color="000000"/>
              <w:left w:val="single" w:sz="4" w:space="0" w:color="000000"/>
              <w:bottom w:val="single" w:sz="4" w:space="0" w:color="000000"/>
              <w:right w:val="single" w:sz="4" w:space="0" w:color="000000"/>
            </w:tcBorders>
            <w:vAlign w:val="center"/>
          </w:tcPr>
          <w:p w14:paraId="53EB3286" w14:textId="3FFE7C4C" w:rsidR="00D92EBC" w:rsidRPr="009B4A73" w:rsidRDefault="0078763F" w:rsidP="00B16A3F">
            <w:pPr>
              <w:spacing w:after="0" w:line="240" w:lineRule="auto"/>
              <w:ind w:left="0" w:firstLine="0"/>
              <w:jc w:val="center"/>
              <w:rPr>
                <w:sz w:val="22"/>
              </w:rPr>
            </w:pPr>
            <w:r w:rsidRPr="009B4A73">
              <w:rPr>
                <w:sz w:val="22"/>
              </w:rPr>
              <w:t xml:space="preserve">8mg/kg + 6mg/kg q3w </w:t>
            </w:r>
          </w:p>
        </w:tc>
        <w:tc>
          <w:tcPr>
            <w:tcW w:w="544" w:type="pct"/>
            <w:tcBorders>
              <w:top w:val="single" w:sz="4" w:space="0" w:color="000000"/>
              <w:left w:val="single" w:sz="4" w:space="0" w:color="000000"/>
              <w:bottom w:val="single" w:sz="4" w:space="0" w:color="000000"/>
              <w:right w:val="single" w:sz="4" w:space="0" w:color="000000"/>
            </w:tcBorders>
            <w:vAlign w:val="center"/>
          </w:tcPr>
          <w:p w14:paraId="00FE2988" w14:textId="77777777" w:rsidR="00D92EBC" w:rsidRPr="009B4A73" w:rsidRDefault="0078763F" w:rsidP="00E06B0B">
            <w:pPr>
              <w:spacing w:after="0" w:line="240" w:lineRule="auto"/>
              <w:ind w:left="0" w:firstLine="0"/>
              <w:rPr>
                <w:sz w:val="22"/>
              </w:rPr>
            </w:pPr>
            <w:r w:rsidRPr="009B4A73">
              <w:rPr>
                <w:sz w:val="22"/>
              </w:rPr>
              <w:t xml:space="preserve">MBC/EBC </w:t>
            </w:r>
          </w:p>
        </w:tc>
        <w:tc>
          <w:tcPr>
            <w:tcW w:w="336" w:type="pct"/>
            <w:tcBorders>
              <w:top w:val="single" w:sz="4" w:space="0" w:color="000000"/>
              <w:left w:val="single" w:sz="4" w:space="0" w:color="000000"/>
              <w:bottom w:val="single" w:sz="4" w:space="0" w:color="000000"/>
              <w:right w:val="single" w:sz="4" w:space="0" w:color="000000"/>
            </w:tcBorders>
            <w:vAlign w:val="center"/>
          </w:tcPr>
          <w:p w14:paraId="318BFAA2" w14:textId="3F33F5E5" w:rsidR="00D92EBC" w:rsidRPr="009B4A73" w:rsidRDefault="0078763F" w:rsidP="00B16A3F">
            <w:pPr>
              <w:spacing w:after="0" w:line="240" w:lineRule="auto"/>
              <w:ind w:left="0" w:firstLine="0"/>
              <w:jc w:val="center"/>
              <w:rPr>
                <w:sz w:val="22"/>
              </w:rPr>
            </w:pPr>
            <w:r w:rsidRPr="009B4A73">
              <w:rPr>
                <w:sz w:val="22"/>
              </w:rPr>
              <w:t>1195</w:t>
            </w:r>
          </w:p>
        </w:tc>
        <w:tc>
          <w:tcPr>
            <w:tcW w:w="741" w:type="pct"/>
            <w:tcBorders>
              <w:top w:val="single" w:sz="4" w:space="0" w:color="000000"/>
              <w:left w:val="single" w:sz="4" w:space="0" w:color="000000"/>
              <w:bottom w:val="single" w:sz="4" w:space="0" w:color="000000"/>
              <w:right w:val="single" w:sz="4" w:space="0" w:color="000000"/>
            </w:tcBorders>
            <w:vAlign w:val="center"/>
          </w:tcPr>
          <w:p w14:paraId="621AE37B" w14:textId="476D2D9B" w:rsidR="00D92EBC" w:rsidRPr="009B4A73" w:rsidRDefault="0078763F" w:rsidP="00B16A3F">
            <w:pPr>
              <w:spacing w:after="0" w:line="240" w:lineRule="auto"/>
              <w:ind w:left="0" w:firstLine="0"/>
              <w:jc w:val="center"/>
              <w:rPr>
                <w:sz w:val="22"/>
              </w:rPr>
            </w:pPr>
            <w:r w:rsidRPr="009B4A73">
              <w:rPr>
                <w:sz w:val="22"/>
              </w:rPr>
              <w:t>47.4</w:t>
            </w:r>
          </w:p>
          <w:p w14:paraId="3C95C7BA" w14:textId="427B5DDD" w:rsidR="00D92EBC" w:rsidRPr="009B4A73" w:rsidRDefault="0078763F" w:rsidP="00B16A3F">
            <w:pPr>
              <w:spacing w:after="0" w:line="240" w:lineRule="auto"/>
              <w:ind w:left="0" w:firstLine="0"/>
              <w:jc w:val="center"/>
              <w:rPr>
                <w:sz w:val="22"/>
              </w:rPr>
            </w:pPr>
            <w:r w:rsidRPr="009B4A73">
              <w:rPr>
                <w:sz w:val="22"/>
              </w:rPr>
              <w:t>(5.0 - 114.7)</w:t>
            </w:r>
          </w:p>
        </w:tc>
        <w:tc>
          <w:tcPr>
            <w:tcW w:w="789" w:type="pct"/>
            <w:tcBorders>
              <w:top w:val="single" w:sz="4" w:space="0" w:color="000000"/>
              <w:left w:val="single" w:sz="4" w:space="0" w:color="000000"/>
              <w:bottom w:val="single" w:sz="4" w:space="0" w:color="000000"/>
              <w:right w:val="single" w:sz="4" w:space="0" w:color="000000"/>
            </w:tcBorders>
            <w:vAlign w:val="center"/>
          </w:tcPr>
          <w:p w14:paraId="591C0B3A" w14:textId="11CCB6DD" w:rsidR="00D92EBC" w:rsidRPr="009B4A73" w:rsidRDefault="0078763F" w:rsidP="00B16A3F">
            <w:pPr>
              <w:spacing w:after="0" w:line="240" w:lineRule="auto"/>
              <w:ind w:left="0" w:firstLine="0"/>
              <w:jc w:val="center"/>
              <w:rPr>
                <w:sz w:val="22"/>
              </w:rPr>
            </w:pPr>
            <w:r w:rsidRPr="009B4A73">
              <w:rPr>
                <w:sz w:val="22"/>
              </w:rPr>
              <w:t>179.4</w:t>
            </w:r>
          </w:p>
          <w:p w14:paraId="06742C5F" w14:textId="758FEC03" w:rsidR="00D92EBC" w:rsidRPr="009B4A73" w:rsidRDefault="0078763F" w:rsidP="00B16A3F">
            <w:pPr>
              <w:spacing w:after="0" w:line="240" w:lineRule="auto"/>
              <w:ind w:left="0" w:firstLine="0"/>
              <w:jc w:val="center"/>
              <w:rPr>
                <w:sz w:val="22"/>
              </w:rPr>
            </w:pPr>
            <w:r w:rsidRPr="009B4A73">
              <w:rPr>
                <w:sz w:val="22"/>
              </w:rPr>
              <w:t>(107.3</w:t>
            </w:r>
            <w:r w:rsidR="00B33B63" w:rsidRPr="009B4A73">
              <w:rPr>
                <w:sz w:val="22"/>
              </w:rPr>
              <w:t>-</w:t>
            </w:r>
            <w:r w:rsidRPr="009B4A73">
              <w:rPr>
                <w:sz w:val="22"/>
              </w:rPr>
              <w:t>308.8)</w:t>
            </w:r>
          </w:p>
        </w:tc>
        <w:tc>
          <w:tcPr>
            <w:tcW w:w="847" w:type="pct"/>
            <w:tcBorders>
              <w:top w:val="single" w:sz="4" w:space="0" w:color="000000"/>
              <w:left w:val="single" w:sz="4" w:space="0" w:color="000000"/>
              <w:bottom w:val="single" w:sz="4" w:space="0" w:color="000000"/>
              <w:right w:val="single" w:sz="4" w:space="0" w:color="000000"/>
            </w:tcBorders>
            <w:vAlign w:val="center"/>
          </w:tcPr>
          <w:p w14:paraId="31D6DC1B" w14:textId="2D5E23FB" w:rsidR="00D92EBC" w:rsidRPr="009B4A73" w:rsidRDefault="0078763F" w:rsidP="00B16A3F">
            <w:pPr>
              <w:spacing w:after="0" w:line="240" w:lineRule="auto"/>
              <w:ind w:left="0" w:firstLine="0"/>
              <w:jc w:val="center"/>
              <w:rPr>
                <w:sz w:val="22"/>
              </w:rPr>
            </w:pPr>
            <w:r w:rsidRPr="009B4A73">
              <w:rPr>
                <w:sz w:val="22"/>
              </w:rPr>
              <w:t>1794.2</w:t>
            </w:r>
          </w:p>
          <w:p w14:paraId="5440EEB2" w14:textId="0F971573" w:rsidR="00D92EBC" w:rsidRPr="009B4A73" w:rsidRDefault="0078763F" w:rsidP="00B16A3F">
            <w:pPr>
              <w:spacing w:after="0" w:line="240" w:lineRule="auto"/>
              <w:ind w:left="0" w:firstLine="0"/>
              <w:jc w:val="center"/>
              <w:rPr>
                <w:sz w:val="22"/>
              </w:rPr>
            </w:pPr>
            <w:r w:rsidRPr="009B4A73">
              <w:rPr>
                <w:sz w:val="22"/>
              </w:rPr>
              <w:t>(673.0 –3618.4)</w:t>
            </w:r>
          </w:p>
        </w:tc>
        <w:tc>
          <w:tcPr>
            <w:tcW w:w="428" w:type="pct"/>
            <w:tcBorders>
              <w:top w:val="single" w:sz="4" w:space="0" w:color="000000"/>
              <w:left w:val="single" w:sz="4" w:space="0" w:color="000000"/>
              <w:bottom w:val="single" w:sz="4" w:space="0" w:color="000000"/>
              <w:right w:val="single" w:sz="4" w:space="0" w:color="000000"/>
            </w:tcBorders>
            <w:vAlign w:val="center"/>
          </w:tcPr>
          <w:p w14:paraId="5A12148E" w14:textId="321E9846" w:rsidR="00D92EBC" w:rsidRPr="009B4A73" w:rsidRDefault="0078763F" w:rsidP="00B16A3F">
            <w:pPr>
              <w:spacing w:after="0" w:line="240" w:lineRule="auto"/>
              <w:ind w:left="0" w:firstLine="0"/>
              <w:jc w:val="center"/>
              <w:rPr>
                <w:sz w:val="22"/>
              </w:rPr>
            </w:pPr>
            <w:r w:rsidRPr="009B4A73">
              <w:rPr>
                <w:sz w:val="22"/>
              </w:rPr>
              <w:t>12</w:t>
            </w:r>
          </w:p>
        </w:tc>
        <w:tc>
          <w:tcPr>
            <w:tcW w:w="696" w:type="pct"/>
            <w:tcBorders>
              <w:top w:val="single" w:sz="4" w:space="0" w:color="000000"/>
              <w:left w:val="single" w:sz="4" w:space="0" w:color="000000"/>
              <w:bottom w:val="single" w:sz="4" w:space="0" w:color="000000"/>
              <w:right w:val="single" w:sz="4" w:space="0" w:color="000000"/>
            </w:tcBorders>
            <w:vAlign w:val="center"/>
          </w:tcPr>
          <w:p w14:paraId="02AB6907" w14:textId="5AC47172" w:rsidR="00D92EBC" w:rsidRPr="009B4A73" w:rsidRDefault="0078763F" w:rsidP="00B16A3F">
            <w:pPr>
              <w:spacing w:after="0" w:line="240" w:lineRule="auto"/>
              <w:ind w:left="0" w:firstLine="0"/>
              <w:jc w:val="center"/>
              <w:rPr>
                <w:sz w:val="22"/>
              </w:rPr>
            </w:pPr>
            <w:r w:rsidRPr="009B4A73">
              <w:rPr>
                <w:sz w:val="22"/>
              </w:rPr>
              <w:t>0.173 - 0.283</w:t>
            </w:r>
          </w:p>
        </w:tc>
      </w:tr>
      <w:tr w:rsidR="00D07C86" w:rsidRPr="009B4A73" w14:paraId="1FA92AD2" w14:textId="77777777" w:rsidTr="00B16A3F">
        <w:trPr>
          <w:trHeight w:val="20"/>
        </w:trPr>
        <w:tc>
          <w:tcPr>
            <w:tcW w:w="620" w:type="pct"/>
            <w:vMerge/>
            <w:tcBorders>
              <w:top w:val="nil"/>
              <w:left w:val="single" w:sz="4" w:space="0" w:color="000000"/>
              <w:bottom w:val="single" w:sz="4" w:space="0" w:color="000000"/>
              <w:right w:val="single" w:sz="4" w:space="0" w:color="000000"/>
            </w:tcBorders>
          </w:tcPr>
          <w:p w14:paraId="72CF8335" w14:textId="77777777" w:rsidR="00D92EBC" w:rsidRPr="009B4A73" w:rsidRDefault="00D92EBC" w:rsidP="00E06B0B">
            <w:pPr>
              <w:spacing w:after="0" w:line="240" w:lineRule="auto"/>
              <w:ind w:left="0" w:firstLine="0"/>
              <w:rPr>
                <w:sz w:val="22"/>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1DE97F75" w14:textId="77777777" w:rsidR="00D92EBC" w:rsidRPr="009B4A73" w:rsidRDefault="0078763F" w:rsidP="00E06B0B">
            <w:pPr>
              <w:spacing w:after="0" w:line="240" w:lineRule="auto"/>
              <w:ind w:left="0" w:firstLine="0"/>
              <w:jc w:val="center"/>
              <w:rPr>
                <w:sz w:val="22"/>
              </w:rPr>
            </w:pPr>
            <w:r w:rsidRPr="009B4A73">
              <w:rPr>
                <w:sz w:val="22"/>
              </w:rPr>
              <w:t xml:space="preserve">AGC </w:t>
            </w:r>
          </w:p>
        </w:tc>
        <w:tc>
          <w:tcPr>
            <w:tcW w:w="336" w:type="pct"/>
            <w:tcBorders>
              <w:top w:val="single" w:sz="4" w:space="0" w:color="000000"/>
              <w:left w:val="single" w:sz="4" w:space="0" w:color="000000"/>
              <w:bottom w:val="single" w:sz="4" w:space="0" w:color="000000"/>
              <w:right w:val="single" w:sz="4" w:space="0" w:color="000000"/>
            </w:tcBorders>
            <w:vAlign w:val="center"/>
          </w:tcPr>
          <w:p w14:paraId="21CB75C3" w14:textId="3D410F36" w:rsidR="00D92EBC" w:rsidRPr="009B4A73" w:rsidRDefault="0078763F" w:rsidP="00B16A3F">
            <w:pPr>
              <w:spacing w:after="0" w:line="240" w:lineRule="auto"/>
              <w:ind w:left="0" w:firstLine="0"/>
              <w:jc w:val="center"/>
              <w:rPr>
                <w:sz w:val="22"/>
              </w:rPr>
            </w:pPr>
            <w:r w:rsidRPr="009B4A73">
              <w:rPr>
                <w:sz w:val="22"/>
              </w:rPr>
              <w:t>274</w:t>
            </w:r>
          </w:p>
        </w:tc>
        <w:tc>
          <w:tcPr>
            <w:tcW w:w="741" w:type="pct"/>
            <w:tcBorders>
              <w:top w:val="single" w:sz="4" w:space="0" w:color="000000"/>
              <w:left w:val="single" w:sz="4" w:space="0" w:color="000000"/>
              <w:bottom w:val="single" w:sz="4" w:space="0" w:color="000000"/>
              <w:right w:val="single" w:sz="4" w:space="0" w:color="000000"/>
            </w:tcBorders>
            <w:vAlign w:val="center"/>
          </w:tcPr>
          <w:p w14:paraId="15716D8B" w14:textId="03F15A92" w:rsidR="00D92EBC" w:rsidRPr="009B4A73" w:rsidRDefault="0078763F" w:rsidP="00B16A3F">
            <w:pPr>
              <w:spacing w:after="0" w:line="240" w:lineRule="auto"/>
              <w:ind w:left="0" w:firstLine="0"/>
              <w:jc w:val="center"/>
              <w:rPr>
                <w:sz w:val="22"/>
              </w:rPr>
            </w:pPr>
            <w:r w:rsidRPr="009B4A73">
              <w:rPr>
                <w:sz w:val="22"/>
              </w:rPr>
              <w:t>32.9</w:t>
            </w:r>
          </w:p>
          <w:p w14:paraId="3B842DB6" w14:textId="5D2C3F3F" w:rsidR="00D92EBC" w:rsidRPr="009B4A73" w:rsidRDefault="0078763F" w:rsidP="00B16A3F">
            <w:pPr>
              <w:spacing w:after="0" w:line="240" w:lineRule="auto"/>
              <w:ind w:left="0" w:firstLine="0"/>
              <w:jc w:val="center"/>
              <w:rPr>
                <w:sz w:val="22"/>
              </w:rPr>
            </w:pPr>
            <w:r w:rsidRPr="009B4A73">
              <w:rPr>
                <w:sz w:val="22"/>
              </w:rPr>
              <w:t>(6.1 - 88.9)</w:t>
            </w:r>
          </w:p>
        </w:tc>
        <w:tc>
          <w:tcPr>
            <w:tcW w:w="789" w:type="pct"/>
            <w:tcBorders>
              <w:top w:val="single" w:sz="4" w:space="0" w:color="000000"/>
              <w:left w:val="single" w:sz="4" w:space="0" w:color="000000"/>
              <w:bottom w:val="single" w:sz="4" w:space="0" w:color="000000"/>
              <w:right w:val="single" w:sz="4" w:space="0" w:color="000000"/>
            </w:tcBorders>
            <w:vAlign w:val="center"/>
          </w:tcPr>
          <w:p w14:paraId="2D54943B" w14:textId="0583342C" w:rsidR="00B33B63" w:rsidRPr="009B4A73" w:rsidRDefault="0078763F" w:rsidP="00B16A3F">
            <w:pPr>
              <w:spacing w:after="0" w:line="240" w:lineRule="auto"/>
              <w:ind w:left="0" w:firstLine="0"/>
              <w:jc w:val="center"/>
              <w:rPr>
                <w:sz w:val="22"/>
              </w:rPr>
            </w:pPr>
            <w:r w:rsidRPr="009B4A73">
              <w:rPr>
                <w:sz w:val="22"/>
              </w:rPr>
              <w:t>131.0</w:t>
            </w:r>
          </w:p>
          <w:p w14:paraId="4E7396CA" w14:textId="15753F20" w:rsidR="00D92EBC" w:rsidRPr="009B4A73" w:rsidRDefault="0078763F" w:rsidP="00B16A3F">
            <w:pPr>
              <w:spacing w:after="0" w:line="240" w:lineRule="auto"/>
              <w:ind w:left="0" w:firstLine="0"/>
              <w:jc w:val="center"/>
              <w:rPr>
                <w:sz w:val="22"/>
              </w:rPr>
            </w:pPr>
            <w:r w:rsidRPr="009B4A73">
              <w:rPr>
                <w:sz w:val="22"/>
              </w:rPr>
              <w:t>(72.5 -250.5)</w:t>
            </w:r>
          </w:p>
        </w:tc>
        <w:tc>
          <w:tcPr>
            <w:tcW w:w="847" w:type="pct"/>
            <w:tcBorders>
              <w:top w:val="single" w:sz="4" w:space="0" w:color="000000"/>
              <w:left w:val="single" w:sz="4" w:space="0" w:color="000000"/>
              <w:bottom w:val="single" w:sz="4" w:space="0" w:color="000000"/>
              <w:right w:val="single" w:sz="4" w:space="0" w:color="000000"/>
            </w:tcBorders>
            <w:vAlign w:val="center"/>
          </w:tcPr>
          <w:p w14:paraId="7FC50D38" w14:textId="4E035882" w:rsidR="00B33B63" w:rsidRPr="009B4A73" w:rsidRDefault="0078763F" w:rsidP="00B16A3F">
            <w:pPr>
              <w:spacing w:after="0" w:line="240" w:lineRule="auto"/>
              <w:ind w:left="0" w:firstLine="0"/>
              <w:jc w:val="center"/>
              <w:rPr>
                <w:sz w:val="22"/>
              </w:rPr>
            </w:pPr>
            <w:r w:rsidRPr="009B4A73">
              <w:rPr>
                <w:sz w:val="22"/>
              </w:rPr>
              <w:t>1338.2</w:t>
            </w:r>
          </w:p>
          <w:p w14:paraId="436CAAEF" w14:textId="716761AB" w:rsidR="00D92EBC" w:rsidRPr="009B4A73" w:rsidRDefault="0078763F" w:rsidP="00B16A3F">
            <w:pPr>
              <w:spacing w:after="0" w:line="240" w:lineRule="auto"/>
              <w:ind w:left="0" w:firstLine="0"/>
              <w:jc w:val="center"/>
              <w:rPr>
                <w:sz w:val="22"/>
              </w:rPr>
            </w:pPr>
            <w:r w:rsidRPr="009B4A73">
              <w:rPr>
                <w:sz w:val="22"/>
              </w:rPr>
              <w:t>(557.0- 2875.4)</w:t>
            </w:r>
          </w:p>
        </w:tc>
        <w:tc>
          <w:tcPr>
            <w:tcW w:w="428" w:type="pct"/>
            <w:tcBorders>
              <w:top w:val="single" w:sz="4" w:space="0" w:color="000000"/>
              <w:left w:val="single" w:sz="4" w:space="0" w:color="000000"/>
              <w:bottom w:val="single" w:sz="4" w:space="0" w:color="000000"/>
              <w:right w:val="single" w:sz="4" w:space="0" w:color="000000"/>
            </w:tcBorders>
            <w:vAlign w:val="center"/>
          </w:tcPr>
          <w:p w14:paraId="3AE66DB6" w14:textId="261AD349" w:rsidR="00D92EBC" w:rsidRPr="009B4A73" w:rsidRDefault="0078763F" w:rsidP="00B16A3F">
            <w:pPr>
              <w:spacing w:after="0" w:line="240" w:lineRule="auto"/>
              <w:ind w:left="0" w:firstLine="0"/>
              <w:jc w:val="center"/>
              <w:rPr>
                <w:sz w:val="22"/>
              </w:rPr>
            </w:pPr>
            <w:r w:rsidRPr="009B4A73">
              <w:rPr>
                <w:sz w:val="22"/>
              </w:rPr>
              <w:t>9</w:t>
            </w:r>
          </w:p>
        </w:tc>
        <w:tc>
          <w:tcPr>
            <w:tcW w:w="696" w:type="pct"/>
            <w:tcBorders>
              <w:top w:val="single" w:sz="4" w:space="0" w:color="000000"/>
              <w:left w:val="single" w:sz="4" w:space="0" w:color="000000"/>
              <w:bottom w:val="single" w:sz="4" w:space="0" w:color="000000"/>
              <w:right w:val="single" w:sz="4" w:space="0" w:color="000000"/>
            </w:tcBorders>
            <w:vAlign w:val="center"/>
          </w:tcPr>
          <w:p w14:paraId="350BC59F" w14:textId="6E285C3A" w:rsidR="00D92EBC" w:rsidRPr="009B4A73" w:rsidRDefault="0078763F" w:rsidP="00B16A3F">
            <w:pPr>
              <w:spacing w:after="0" w:line="240" w:lineRule="auto"/>
              <w:ind w:left="0" w:firstLine="0"/>
              <w:jc w:val="center"/>
              <w:rPr>
                <w:sz w:val="22"/>
              </w:rPr>
            </w:pPr>
            <w:r w:rsidRPr="009B4A73">
              <w:rPr>
                <w:sz w:val="22"/>
              </w:rPr>
              <w:t>0.189 - 0.337</w:t>
            </w:r>
          </w:p>
        </w:tc>
      </w:tr>
      <w:tr w:rsidR="00D07C86" w:rsidRPr="009B4A73" w14:paraId="0C36E1A3" w14:textId="77777777" w:rsidTr="00B16A3F">
        <w:trPr>
          <w:trHeight w:val="20"/>
        </w:trPr>
        <w:tc>
          <w:tcPr>
            <w:tcW w:w="620" w:type="pct"/>
            <w:tcBorders>
              <w:top w:val="single" w:sz="4" w:space="0" w:color="000000"/>
              <w:left w:val="single" w:sz="4" w:space="0" w:color="000000"/>
              <w:bottom w:val="single" w:sz="4" w:space="0" w:color="000000"/>
              <w:right w:val="single" w:sz="4" w:space="0" w:color="000000"/>
            </w:tcBorders>
            <w:vAlign w:val="center"/>
          </w:tcPr>
          <w:p w14:paraId="233732A8" w14:textId="20F33B84" w:rsidR="00D92EBC" w:rsidRPr="009B4A73" w:rsidRDefault="0078763F" w:rsidP="00B16A3F">
            <w:pPr>
              <w:spacing w:after="0" w:line="240" w:lineRule="auto"/>
              <w:ind w:left="0" w:firstLine="0"/>
              <w:jc w:val="center"/>
              <w:rPr>
                <w:sz w:val="22"/>
              </w:rPr>
            </w:pPr>
            <w:r w:rsidRPr="009B4A73">
              <w:rPr>
                <w:sz w:val="22"/>
              </w:rPr>
              <w:t xml:space="preserve">4mg/kg + 2mg/kg </w:t>
            </w:r>
            <w:proofErr w:type="spellStart"/>
            <w:r w:rsidRPr="009B4A73">
              <w:rPr>
                <w:sz w:val="22"/>
              </w:rPr>
              <w:t>qw</w:t>
            </w:r>
            <w:proofErr w:type="spellEnd"/>
            <w:r w:rsidRPr="009B4A73">
              <w:rPr>
                <w:sz w:val="22"/>
              </w:rPr>
              <w:t xml:space="preserve"> </w:t>
            </w:r>
          </w:p>
        </w:tc>
        <w:tc>
          <w:tcPr>
            <w:tcW w:w="544" w:type="pct"/>
            <w:tcBorders>
              <w:top w:val="single" w:sz="4" w:space="0" w:color="000000"/>
              <w:left w:val="single" w:sz="4" w:space="0" w:color="000000"/>
              <w:bottom w:val="single" w:sz="4" w:space="0" w:color="000000"/>
              <w:right w:val="single" w:sz="4" w:space="0" w:color="000000"/>
            </w:tcBorders>
            <w:vAlign w:val="center"/>
          </w:tcPr>
          <w:p w14:paraId="179F0F15" w14:textId="77777777" w:rsidR="00D92EBC" w:rsidRPr="009B4A73" w:rsidRDefault="0078763F" w:rsidP="00E06B0B">
            <w:pPr>
              <w:spacing w:after="0" w:line="240" w:lineRule="auto"/>
              <w:ind w:left="0" w:firstLine="0"/>
              <w:rPr>
                <w:sz w:val="22"/>
              </w:rPr>
            </w:pPr>
            <w:r w:rsidRPr="009B4A73">
              <w:rPr>
                <w:sz w:val="22"/>
              </w:rPr>
              <w:t xml:space="preserve">MBC/EBC </w:t>
            </w:r>
          </w:p>
        </w:tc>
        <w:tc>
          <w:tcPr>
            <w:tcW w:w="336" w:type="pct"/>
            <w:tcBorders>
              <w:top w:val="single" w:sz="4" w:space="0" w:color="000000"/>
              <w:left w:val="single" w:sz="4" w:space="0" w:color="000000"/>
              <w:bottom w:val="single" w:sz="4" w:space="0" w:color="000000"/>
              <w:right w:val="single" w:sz="4" w:space="0" w:color="000000"/>
            </w:tcBorders>
            <w:vAlign w:val="center"/>
          </w:tcPr>
          <w:p w14:paraId="4C124702" w14:textId="1D670C91" w:rsidR="00D92EBC" w:rsidRPr="009B4A73" w:rsidRDefault="0078763F" w:rsidP="00B16A3F">
            <w:pPr>
              <w:spacing w:after="0" w:line="240" w:lineRule="auto"/>
              <w:ind w:left="0" w:firstLine="0"/>
              <w:jc w:val="center"/>
              <w:rPr>
                <w:sz w:val="22"/>
              </w:rPr>
            </w:pPr>
            <w:r w:rsidRPr="009B4A73">
              <w:rPr>
                <w:sz w:val="22"/>
              </w:rPr>
              <w:t>1195</w:t>
            </w:r>
          </w:p>
        </w:tc>
        <w:tc>
          <w:tcPr>
            <w:tcW w:w="741" w:type="pct"/>
            <w:tcBorders>
              <w:top w:val="single" w:sz="4" w:space="0" w:color="000000"/>
              <w:left w:val="single" w:sz="4" w:space="0" w:color="000000"/>
              <w:bottom w:val="single" w:sz="4" w:space="0" w:color="000000"/>
              <w:right w:val="single" w:sz="4" w:space="0" w:color="000000"/>
            </w:tcBorders>
            <w:vAlign w:val="center"/>
          </w:tcPr>
          <w:p w14:paraId="743B0246" w14:textId="1559D4F2" w:rsidR="00D92EBC" w:rsidRPr="009B4A73" w:rsidRDefault="0078763F" w:rsidP="00B16A3F">
            <w:pPr>
              <w:spacing w:after="0" w:line="240" w:lineRule="auto"/>
              <w:ind w:left="0" w:firstLine="0"/>
              <w:jc w:val="center"/>
              <w:rPr>
                <w:sz w:val="22"/>
              </w:rPr>
            </w:pPr>
            <w:r w:rsidRPr="009B4A73">
              <w:rPr>
                <w:sz w:val="22"/>
              </w:rPr>
              <w:t>66.1</w:t>
            </w:r>
          </w:p>
          <w:p w14:paraId="3BF9826A" w14:textId="324AF938" w:rsidR="00D92EBC" w:rsidRPr="009B4A73" w:rsidRDefault="0078763F" w:rsidP="00B16A3F">
            <w:pPr>
              <w:spacing w:after="0" w:line="240" w:lineRule="auto"/>
              <w:ind w:left="0" w:firstLine="0"/>
              <w:jc w:val="center"/>
              <w:rPr>
                <w:sz w:val="22"/>
              </w:rPr>
            </w:pPr>
            <w:r w:rsidRPr="009B4A73">
              <w:rPr>
                <w:sz w:val="22"/>
              </w:rPr>
              <w:t>(14.9 –142.3)</w:t>
            </w:r>
          </w:p>
        </w:tc>
        <w:tc>
          <w:tcPr>
            <w:tcW w:w="789" w:type="pct"/>
            <w:tcBorders>
              <w:top w:val="single" w:sz="4" w:space="0" w:color="000000"/>
              <w:left w:val="single" w:sz="4" w:space="0" w:color="000000"/>
              <w:bottom w:val="single" w:sz="4" w:space="0" w:color="000000"/>
              <w:right w:val="single" w:sz="4" w:space="0" w:color="000000"/>
            </w:tcBorders>
            <w:vAlign w:val="center"/>
          </w:tcPr>
          <w:p w14:paraId="15BA3C62" w14:textId="0147A0C1" w:rsidR="00B33B63" w:rsidRPr="009B4A73" w:rsidRDefault="0078763F" w:rsidP="00B16A3F">
            <w:pPr>
              <w:spacing w:after="0" w:line="240" w:lineRule="auto"/>
              <w:ind w:left="0" w:firstLine="0"/>
              <w:jc w:val="center"/>
              <w:rPr>
                <w:sz w:val="22"/>
              </w:rPr>
            </w:pPr>
            <w:r w:rsidRPr="009B4A73">
              <w:rPr>
                <w:sz w:val="22"/>
              </w:rPr>
              <w:t>108.8</w:t>
            </w:r>
          </w:p>
          <w:p w14:paraId="02A6E242" w14:textId="33EEC390" w:rsidR="00D92EBC" w:rsidRPr="009B4A73" w:rsidRDefault="0078763F" w:rsidP="00B16A3F">
            <w:pPr>
              <w:spacing w:after="0" w:line="240" w:lineRule="auto"/>
              <w:ind w:left="0"/>
              <w:jc w:val="center"/>
              <w:rPr>
                <w:sz w:val="22"/>
              </w:rPr>
            </w:pPr>
            <w:r w:rsidRPr="009B4A73">
              <w:rPr>
                <w:sz w:val="22"/>
              </w:rPr>
              <w:t>(51.0 - 208.6)</w:t>
            </w:r>
          </w:p>
        </w:tc>
        <w:tc>
          <w:tcPr>
            <w:tcW w:w="847" w:type="pct"/>
            <w:tcBorders>
              <w:top w:val="single" w:sz="4" w:space="0" w:color="000000"/>
              <w:left w:val="single" w:sz="4" w:space="0" w:color="000000"/>
              <w:bottom w:val="single" w:sz="4" w:space="0" w:color="000000"/>
              <w:right w:val="single" w:sz="4" w:space="0" w:color="000000"/>
            </w:tcBorders>
            <w:vAlign w:val="center"/>
          </w:tcPr>
          <w:p w14:paraId="5D8FA55E" w14:textId="69D12EAC" w:rsidR="00B33B63" w:rsidRPr="009B4A73" w:rsidRDefault="0078763F" w:rsidP="00B16A3F">
            <w:pPr>
              <w:spacing w:after="0" w:line="240" w:lineRule="auto"/>
              <w:ind w:left="0" w:firstLine="0"/>
              <w:jc w:val="center"/>
              <w:rPr>
                <w:sz w:val="22"/>
              </w:rPr>
            </w:pPr>
            <w:r w:rsidRPr="009B4A73">
              <w:rPr>
                <w:sz w:val="22"/>
              </w:rPr>
              <w:t>1765.3</w:t>
            </w:r>
          </w:p>
          <w:p w14:paraId="2E2622F4" w14:textId="18F86D24" w:rsidR="00D92EBC" w:rsidRPr="009B4A73" w:rsidRDefault="0078763F" w:rsidP="00B16A3F">
            <w:pPr>
              <w:spacing w:after="0" w:line="240" w:lineRule="auto"/>
              <w:ind w:left="0" w:firstLine="0"/>
              <w:jc w:val="center"/>
              <w:rPr>
                <w:sz w:val="22"/>
              </w:rPr>
            </w:pPr>
            <w:r w:rsidRPr="009B4A73">
              <w:rPr>
                <w:sz w:val="22"/>
              </w:rPr>
              <w:t>(647.3 –3578.1)</w:t>
            </w:r>
          </w:p>
        </w:tc>
        <w:tc>
          <w:tcPr>
            <w:tcW w:w="428" w:type="pct"/>
            <w:tcBorders>
              <w:top w:val="single" w:sz="4" w:space="0" w:color="000000"/>
              <w:left w:val="single" w:sz="4" w:space="0" w:color="000000"/>
              <w:bottom w:val="single" w:sz="4" w:space="0" w:color="000000"/>
              <w:right w:val="single" w:sz="4" w:space="0" w:color="000000"/>
            </w:tcBorders>
            <w:vAlign w:val="center"/>
          </w:tcPr>
          <w:p w14:paraId="0817BE30" w14:textId="0D7FC869" w:rsidR="00D92EBC" w:rsidRPr="009B4A73" w:rsidRDefault="0078763F" w:rsidP="00B16A3F">
            <w:pPr>
              <w:spacing w:after="0" w:line="240" w:lineRule="auto"/>
              <w:ind w:left="0" w:firstLine="0"/>
              <w:jc w:val="center"/>
              <w:rPr>
                <w:sz w:val="22"/>
              </w:rPr>
            </w:pPr>
            <w:r w:rsidRPr="009B4A73">
              <w:rPr>
                <w:sz w:val="22"/>
              </w:rPr>
              <w:t>12</w:t>
            </w:r>
          </w:p>
        </w:tc>
        <w:tc>
          <w:tcPr>
            <w:tcW w:w="696" w:type="pct"/>
            <w:tcBorders>
              <w:top w:val="single" w:sz="4" w:space="0" w:color="000000"/>
              <w:left w:val="single" w:sz="4" w:space="0" w:color="000000"/>
              <w:bottom w:val="single" w:sz="4" w:space="0" w:color="000000"/>
              <w:right w:val="single" w:sz="4" w:space="0" w:color="000000"/>
            </w:tcBorders>
            <w:vAlign w:val="center"/>
          </w:tcPr>
          <w:p w14:paraId="11E7FF39" w14:textId="7A381ECF" w:rsidR="00D92EBC" w:rsidRPr="009B4A73" w:rsidRDefault="0078763F" w:rsidP="00B16A3F">
            <w:pPr>
              <w:spacing w:after="0" w:line="240" w:lineRule="auto"/>
              <w:ind w:left="0" w:firstLine="0"/>
              <w:jc w:val="center"/>
              <w:rPr>
                <w:sz w:val="22"/>
              </w:rPr>
            </w:pPr>
            <w:r w:rsidRPr="009B4A73">
              <w:rPr>
                <w:sz w:val="22"/>
              </w:rPr>
              <w:t>0.201 - 0.244</w:t>
            </w:r>
          </w:p>
        </w:tc>
      </w:tr>
    </w:tbl>
    <w:p w14:paraId="1C398A32" w14:textId="77777777" w:rsidR="005C521E" w:rsidRPr="009B4A73" w:rsidRDefault="005C521E" w:rsidP="00316679">
      <w:pPr>
        <w:pStyle w:val="Heading2"/>
        <w:spacing w:after="0" w:line="240" w:lineRule="auto"/>
        <w:ind w:left="426"/>
        <w:rPr>
          <w:sz w:val="22"/>
        </w:rPr>
      </w:pPr>
    </w:p>
    <w:p w14:paraId="307AD8F9" w14:textId="11EB4A2C" w:rsidR="00D92EBC" w:rsidRPr="009B4A73" w:rsidRDefault="0078763F" w:rsidP="00316679">
      <w:pPr>
        <w:pStyle w:val="Heading2"/>
        <w:spacing w:after="0" w:line="240" w:lineRule="auto"/>
        <w:ind w:left="426"/>
        <w:rPr>
          <w:b w:val="0"/>
          <w:bCs/>
          <w:sz w:val="22"/>
          <w:u w:val="single"/>
        </w:rPr>
      </w:pPr>
      <w:r w:rsidRPr="009B4A73">
        <w:rPr>
          <w:b w:val="0"/>
          <w:bCs/>
          <w:sz w:val="22"/>
          <w:u w:val="single"/>
        </w:rPr>
        <w:t xml:space="preserve">Pharmacokinetics in </w:t>
      </w:r>
      <w:r w:rsidR="00B16A3F" w:rsidRPr="009B4A73">
        <w:rPr>
          <w:b w:val="0"/>
          <w:bCs/>
          <w:sz w:val="22"/>
          <w:u w:val="single"/>
        </w:rPr>
        <w:t>s</w:t>
      </w:r>
      <w:r w:rsidRPr="009B4A73">
        <w:rPr>
          <w:b w:val="0"/>
          <w:bCs/>
          <w:sz w:val="22"/>
          <w:u w:val="single"/>
        </w:rPr>
        <w:t xml:space="preserve">pecial </w:t>
      </w:r>
      <w:r w:rsidR="00B16A3F" w:rsidRPr="009B4A73">
        <w:rPr>
          <w:b w:val="0"/>
          <w:bCs/>
          <w:sz w:val="22"/>
          <w:u w:val="single"/>
        </w:rPr>
        <w:t>p</w:t>
      </w:r>
      <w:r w:rsidRPr="009B4A73">
        <w:rPr>
          <w:b w:val="0"/>
          <w:bCs/>
          <w:sz w:val="22"/>
          <w:u w:val="single"/>
        </w:rPr>
        <w:t xml:space="preserve">opulations </w:t>
      </w:r>
    </w:p>
    <w:p w14:paraId="0B4C26B1" w14:textId="77777777" w:rsidR="005C521E" w:rsidRPr="009B4A73" w:rsidRDefault="005C521E" w:rsidP="00316679">
      <w:pPr>
        <w:spacing w:after="0" w:line="240" w:lineRule="auto"/>
        <w:ind w:left="426"/>
        <w:rPr>
          <w:sz w:val="22"/>
        </w:rPr>
      </w:pPr>
    </w:p>
    <w:p w14:paraId="73E2891E" w14:textId="037515F1" w:rsidR="00D92EBC" w:rsidRPr="009B4A73" w:rsidRDefault="0078763F" w:rsidP="00316679">
      <w:pPr>
        <w:spacing w:after="0" w:line="240" w:lineRule="auto"/>
        <w:ind w:left="426" w:right="8"/>
        <w:rPr>
          <w:sz w:val="22"/>
        </w:rPr>
      </w:pPr>
      <w:r w:rsidRPr="009B4A73">
        <w:rPr>
          <w:sz w:val="22"/>
        </w:rPr>
        <w:t xml:space="preserve">Dedicated pharmacokinetic studies in the elderly and those with renal or hepatic impairment have not been carried out. However, in a population PK analysis, age and renal impairment were not shown to affect trastuzumab disposition. The population PK analysis showed that the estimated creatinine clearance (Cockcroft and Gault) does not correlate with the pharmacokinetics of trastuzumab. </w:t>
      </w:r>
    </w:p>
    <w:p w14:paraId="3DD77686" w14:textId="77777777" w:rsidR="005C521E" w:rsidRPr="009B4A73" w:rsidRDefault="005C521E" w:rsidP="00316679">
      <w:pPr>
        <w:spacing w:after="0" w:line="240" w:lineRule="auto"/>
        <w:ind w:left="426" w:right="8"/>
        <w:rPr>
          <w:sz w:val="22"/>
        </w:rPr>
      </w:pPr>
    </w:p>
    <w:p w14:paraId="14AFF02C" w14:textId="4E5B3CC6" w:rsidR="007E1FEC" w:rsidRPr="009B4A73" w:rsidRDefault="0078763F" w:rsidP="00391329">
      <w:pPr>
        <w:pStyle w:val="Heading1"/>
        <w:tabs>
          <w:tab w:val="left" w:pos="426"/>
        </w:tabs>
        <w:spacing w:after="0" w:line="240" w:lineRule="auto"/>
        <w:ind w:left="426" w:hanging="426"/>
        <w:rPr>
          <w:sz w:val="22"/>
        </w:rPr>
      </w:pPr>
      <w:r w:rsidRPr="009B4A73">
        <w:rPr>
          <w:sz w:val="22"/>
        </w:rPr>
        <w:t>5.3</w:t>
      </w:r>
      <w:r w:rsidR="007339F8" w:rsidRPr="009B4A73">
        <w:rPr>
          <w:sz w:val="22"/>
        </w:rPr>
        <w:tab/>
        <w:t xml:space="preserve">Preclinical </w:t>
      </w:r>
      <w:r w:rsidR="002C2BB7" w:rsidRPr="009B4A73">
        <w:rPr>
          <w:sz w:val="22"/>
        </w:rPr>
        <w:t>s</w:t>
      </w:r>
      <w:r w:rsidR="007339F8" w:rsidRPr="009B4A73">
        <w:rPr>
          <w:sz w:val="22"/>
        </w:rPr>
        <w:t xml:space="preserve">afety </w:t>
      </w:r>
      <w:r w:rsidR="002C2BB7" w:rsidRPr="009B4A73">
        <w:rPr>
          <w:sz w:val="22"/>
        </w:rPr>
        <w:t>d</w:t>
      </w:r>
      <w:r w:rsidR="007339F8" w:rsidRPr="009B4A73">
        <w:rPr>
          <w:sz w:val="22"/>
        </w:rPr>
        <w:t xml:space="preserve">ata </w:t>
      </w:r>
    </w:p>
    <w:p w14:paraId="036D6ED3" w14:textId="77777777" w:rsidR="007E1FEC" w:rsidRPr="009B4A73" w:rsidRDefault="007E1FEC" w:rsidP="00316679">
      <w:pPr>
        <w:pStyle w:val="Heading2"/>
        <w:spacing w:after="0" w:line="240" w:lineRule="auto"/>
        <w:ind w:left="426"/>
        <w:rPr>
          <w:sz w:val="22"/>
        </w:rPr>
      </w:pPr>
    </w:p>
    <w:p w14:paraId="54B33ABC" w14:textId="3C9D8E6B" w:rsidR="00D92EBC" w:rsidRPr="009B4A73" w:rsidRDefault="0078763F" w:rsidP="00316679">
      <w:pPr>
        <w:pStyle w:val="Heading2"/>
        <w:spacing w:after="0" w:line="240" w:lineRule="auto"/>
        <w:ind w:left="426"/>
        <w:rPr>
          <w:b w:val="0"/>
          <w:bCs/>
          <w:sz w:val="22"/>
          <w:u w:val="single"/>
        </w:rPr>
      </w:pPr>
      <w:r w:rsidRPr="009B4A73">
        <w:rPr>
          <w:b w:val="0"/>
          <w:bCs/>
          <w:sz w:val="22"/>
          <w:u w:val="single"/>
        </w:rPr>
        <w:t xml:space="preserve">Genotoxicity </w:t>
      </w:r>
    </w:p>
    <w:p w14:paraId="01E610D0" w14:textId="77777777" w:rsidR="005C521E" w:rsidRPr="009B4A73" w:rsidRDefault="005C521E" w:rsidP="00316679">
      <w:pPr>
        <w:spacing w:after="0" w:line="240" w:lineRule="auto"/>
        <w:ind w:left="426"/>
        <w:rPr>
          <w:sz w:val="22"/>
        </w:rPr>
      </w:pPr>
    </w:p>
    <w:p w14:paraId="462BB18E" w14:textId="77777777" w:rsidR="005C521E" w:rsidRPr="009B4A73" w:rsidRDefault="0078763F" w:rsidP="00316679">
      <w:pPr>
        <w:spacing w:after="0" w:line="240" w:lineRule="auto"/>
        <w:ind w:left="426" w:right="8"/>
        <w:rPr>
          <w:sz w:val="22"/>
        </w:rPr>
      </w:pPr>
      <w:r w:rsidRPr="009B4A73">
        <w:rPr>
          <w:sz w:val="22"/>
        </w:rPr>
        <w:t xml:space="preserve">Trastuzumab did not induce gene mutations in bacteria, nor did it cause chromosomal damage </w:t>
      </w:r>
      <w:r w:rsidRPr="009B4A73">
        <w:rPr>
          <w:i/>
          <w:sz w:val="22"/>
        </w:rPr>
        <w:t>in vitro</w:t>
      </w:r>
      <w:r w:rsidRPr="009B4A73">
        <w:rPr>
          <w:sz w:val="22"/>
        </w:rPr>
        <w:t xml:space="preserve"> (chromosome aberration assay in human lymphocytes) or </w:t>
      </w:r>
      <w:r w:rsidRPr="009B4A73">
        <w:rPr>
          <w:i/>
          <w:sz w:val="22"/>
        </w:rPr>
        <w:t>in vivo</w:t>
      </w:r>
      <w:r w:rsidRPr="009B4A73">
        <w:rPr>
          <w:sz w:val="22"/>
        </w:rPr>
        <w:t xml:space="preserve"> (mouse micronucleus test).</w:t>
      </w:r>
    </w:p>
    <w:p w14:paraId="7AE11B6E" w14:textId="721FB9E6" w:rsidR="00D92EBC" w:rsidRPr="009B4A73" w:rsidRDefault="0078763F" w:rsidP="00316679">
      <w:pPr>
        <w:spacing w:after="0" w:line="240" w:lineRule="auto"/>
        <w:ind w:left="426" w:right="8"/>
        <w:rPr>
          <w:sz w:val="22"/>
        </w:rPr>
      </w:pPr>
      <w:r w:rsidRPr="009B4A73">
        <w:rPr>
          <w:sz w:val="22"/>
        </w:rPr>
        <w:t xml:space="preserve"> </w:t>
      </w:r>
    </w:p>
    <w:p w14:paraId="28E642B3" w14:textId="45506EC3" w:rsidR="00D92EBC" w:rsidRPr="009B4A73" w:rsidRDefault="0078763F" w:rsidP="00316679">
      <w:pPr>
        <w:spacing w:after="12" w:line="240" w:lineRule="auto"/>
        <w:ind w:left="426"/>
        <w:rPr>
          <w:bCs/>
          <w:sz w:val="22"/>
          <w:u w:val="single"/>
        </w:rPr>
      </w:pPr>
      <w:r w:rsidRPr="009B4A73">
        <w:rPr>
          <w:bCs/>
          <w:sz w:val="22"/>
          <w:u w:val="single"/>
        </w:rPr>
        <w:t>Carcinogenicity</w:t>
      </w:r>
    </w:p>
    <w:p w14:paraId="6EEE07BF" w14:textId="77777777" w:rsidR="00B16A3F" w:rsidRPr="009B4A73" w:rsidRDefault="00B16A3F" w:rsidP="00316679">
      <w:pPr>
        <w:spacing w:after="0" w:line="240" w:lineRule="auto"/>
        <w:ind w:left="426" w:right="8"/>
        <w:rPr>
          <w:sz w:val="22"/>
        </w:rPr>
      </w:pPr>
    </w:p>
    <w:p w14:paraId="11460F0D" w14:textId="4C4B71E9" w:rsidR="00DE7079" w:rsidRPr="009B4A73" w:rsidRDefault="0078763F" w:rsidP="00316679">
      <w:pPr>
        <w:spacing w:after="0" w:line="240" w:lineRule="auto"/>
        <w:ind w:left="426" w:right="8"/>
        <w:rPr>
          <w:sz w:val="22"/>
        </w:rPr>
      </w:pPr>
      <w:r w:rsidRPr="009B4A73">
        <w:rPr>
          <w:sz w:val="22"/>
        </w:rPr>
        <w:t xml:space="preserve">No studies on the carcinogenic potential of </w:t>
      </w:r>
      <w:bookmarkStart w:id="1" w:name="_Hlk64361543"/>
      <w:r w:rsidR="00DE7079" w:rsidRPr="009B4A73">
        <w:rPr>
          <w:sz w:val="22"/>
        </w:rPr>
        <w:t>trastuzumab</w:t>
      </w:r>
      <w:bookmarkEnd w:id="1"/>
      <w:r w:rsidRPr="009B4A73">
        <w:rPr>
          <w:sz w:val="22"/>
        </w:rPr>
        <w:t xml:space="preserve"> have been conducted to date.</w:t>
      </w:r>
    </w:p>
    <w:p w14:paraId="1869F0D2" w14:textId="77777777" w:rsidR="00DE7079" w:rsidRPr="009B4A73" w:rsidRDefault="00DE7079" w:rsidP="00316679">
      <w:pPr>
        <w:spacing w:after="0" w:line="240" w:lineRule="auto"/>
        <w:ind w:left="426" w:right="8"/>
        <w:rPr>
          <w:sz w:val="22"/>
        </w:rPr>
      </w:pPr>
    </w:p>
    <w:p w14:paraId="306F21B2" w14:textId="47BC287C" w:rsidR="00D92EBC" w:rsidRPr="009B4A73" w:rsidRDefault="0078763F" w:rsidP="00316679">
      <w:pPr>
        <w:spacing w:after="0" w:line="240" w:lineRule="auto"/>
        <w:ind w:left="426" w:right="8"/>
        <w:rPr>
          <w:sz w:val="22"/>
        </w:rPr>
      </w:pPr>
      <w:r w:rsidRPr="009B4A73">
        <w:rPr>
          <w:sz w:val="22"/>
        </w:rPr>
        <w:t xml:space="preserve"> </w:t>
      </w:r>
    </w:p>
    <w:p w14:paraId="185EC442" w14:textId="1DA410E2" w:rsidR="005C521E" w:rsidRPr="009B4A73" w:rsidRDefault="0078763F" w:rsidP="00391329">
      <w:pPr>
        <w:pStyle w:val="Heading1"/>
        <w:tabs>
          <w:tab w:val="left" w:pos="426"/>
        </w:tabs>
        <w:spacing w:after="0" w:line="240" w:lineRule="auto"/>
        <w:ind w:left="426" w:hanging="426"/>
        <w:rPr>
          <w:sz w:val="22"/>
        </w:rPr>
      </w:pPr>
      <w:r w:rsidRPr="009B4A73">
        <w:rPr>
          <w:sz w:val="22"/>
        </w:rPr>
        <w:lastRenderedPageBreak/>
        <w:t>6.</w:t>
      </w:r>
      <w:r w:rsidR="007339F8" w:rsidRPr="009B4A73">
        <w:rPr>
          <w:rFonts w:eastAsia="Arial"/>
          <w:sz w:val="22"/>
        </w:rPr>
        <w:tab/>
      </w:r>
      <w:r w:rsidRPr="009B4A73">
        <w:rPr>
          <w:sz w:val="22"/>
        </w:rPr>
        <w:t xml:space="preserve">PHARMACEUTICAL PARTICULARS </w:t>
      </w:r>
    </w:p>
    <w:p w14:paraId="16BCCF82" w14:textId="77777777" w:rsidR="005C521E" w:rsidRPr="009B4A73" w:rsidRDefault="005C521E" w:rsidP="00316679">
      <w:pPr>
        <w:spacing w:after="0" w:line="240" w:lineRule="auto"/>
        <w:ind w:left="426"/>
        <w:rPr>
          <w:sz w:val="22"/>
        </w:rPr>
      </w:pPr>
    </w:p>
    <w:p w14:paraId="08D833B6" w14:textId="2B9E263E" w:rsidR="00D92EBC" w:rsidRPr="009B4A73" w:rsidRDefault="0078763F" w:rsidP="00391329">
      <w:pPr>
        <w:pStyle w:val="Heading1"/>
        <w:tabs>
          <w:tab w:val="left" w:pos="426"/>
        </w:tabs>
        <w:spacing w:after="0" w:line="240" w:lineRule="auto"/>
        <w:ind w:left="426" w:hanging="426"/>
        <w:rPr>
          <w:sz w:val="22"/>
        </w:rPr>
      </w:pPr>
      <w:r w:rsidRPr="009B4A73">
        <w:rPr>
          <w:sz w:val="22"/>
        </w:rPr>
        <w:t>6.1</w:t>
      </w:r>
      <w:r w:rsidR="007339F8" w:rsidRPr="009B4A73">
        <w:rPr>
          <w:sz w:val="22"/>
        </w:rPr>
        <w:tab/>
        <w:t xml:space="preserve">List of </w:t>
      </w:r>
      <w:r w:rsidR="00A805A9" w:rsidRPr="009B4A73">
        <w:rPr>
          <w:sz w:val="22"/>
        </w:rPr>
        <w:t>e</w:t>
      </w:r>
      <w:r w:rsidR="007339F8" w:rsidRPr="009B4A73">
        <w:rPr>
          <w:sz w:val="22"/>
        </w:rPr>
        <w:t xml:space="preserve">xcipients </w:t>
      </w:r>
    </w:p>
    <w:p w14:paraId="6C288EC9" w14:textId="77777777" w:rsidR="005C521E" w:rsidRPr="009B4A73" w:rsidRDefault="005C521E" w:rsidP="00316679">
      <w:pPr>
        <w:spacing w:after="0" w:line="240" w:lineRule="auto"/>
        <w:ind w:left="426"/>
        <w:rPr>
          <w:sz w:val="22"/>
        </w:rPr>
      </w:pPr>
    </w:p>
    <w:p w14:paraId="694479D9" w14:textId="6052FB87" w:rsidR="00D92EBC" w:rsidRPr="009B4A73" w:rsidRDefault="0078763F" w:rsidP="00316679">
      <w:pPr>
        <w:spacing w:after="11" w:line="240" w:lineRule="auto"/>
        <w:ind w:left="426" w:right="8"/>
        <w:rPr>
          <w:sz w:val="22"/>
        </w:rPr>
      </w:pPr>
      <w:r w:rsidRPr="009B4A73">
        <w:rPr>
          <w:sz w:val="22"/>
        </w:rPr>
        <w:t xml:space="preserve">Histidine hydrochloride monohydrate </w:t>
      </w:r>
    </w:p>
    <w:p w14:paraId="03036489" w14:textId="6A885CD5" w:rsidR="00D92EBC" w:rsidRPr="009B4A73" w:rsidRDefault="0078763F" w:rsidP="00316679">
      <w:pPr>
        <w:spacing w:after="11" w:line="240" w:lineRule="auto"/>
        <w:ind w:left="426" w:right="8"/>
        <w:rPr>
          <w:sz w:val="22"/>
        </w:rPr>
      </w:pPr>
      <w:r w:rsidRPr="009B4A73">
        <w:rPr>
          <w:sz w:val="22"/>
        </w:rPr>
        <w:t xml:space="preserve">Histidine </w:t>
      </w:r>
    </w:p>
    <w:p w14:paraId="55DBC9F4" w14:textId="0C5E3BB6" w:rsidR="007E1FEC" w:rsidRPr="009B4A73" w:rsidRDefault="0078763F" w:rsidP="00316679">
      <w:pPr>
        <w:spacing w:after="0" w:line="240" w:lineRule="auto"/>
        <w:ind w:left="426" w:right="7210"/>
        <w:rPr>
          <w:sz w:val="22"/>
        </w:rPr>
      </w:pPr>
      <w:r w:rsidRPr="009B4A73">
        <w:rPr>
          <w:sz w:val="22"/>
        </w:rPr>
        <w:t xml:space="preserve">Trehalose dihydrate </w:t>
      </w:r>
    </w:p>
    <w:p w14:paraId="3434820F" w14:textId="039A69DC" w:rsidR="00D92EBC" w:rsidRPr="009B4A73" w:rsidRDefault="0078763F" w:rsidP="00316679">
      <w:pPr>
        <w:spacing w:after="0" w:line="240" w:lineRule="auto"/>
        <w:ind w:left="426" w:right="7210"/>
        <w:rPr>
          <w:sz w:val="22"/>
        </w:rPr>
      </w:pPr>
      <w:r w:rsidRPr="009B4A73">
        <w:rPr>
          <w:sz w:val="22"/>
        </w:rPr>
        <w:t>Polysorbate</w:t>
      </w:r>
      <w:r w:rsidR="007E1FEC" w:rsidRPr="009B4A73">
        <w:rPr>
          <w:sz w:val="22"/>
        </w:rPr>
        <w:t xml:space="preserve"> </w:t>
      </w:r>
      <w:r w:rsidRPr="009B4A73">
        <w:rPr>
          <w:sz w:val="22"/>
        </w:rPr>
        <w:t xml:space="preserve">20 </w:t>
      </w:r>
    </w:p>
    <w:p w14:paraId="73EF4B45" w14:textId="77777777" w:rsidR="005C521E" w:rsidRPr="009B4A73" w:rsidRDefault="005C521E" w:rsidP="00316679">
      <w:pPr>
        <w:spacing w:after="0" w:line="240" w:lineRule="auto"/>
        <w:ind w:left="426" w:right="7365"/>
        <w:rPr>
          <w:sz w:val="22"/>
        </w:rPr>
      </w:pPr>
    </w:p>
    <w:p w14:paraId="5D6E4C52" w14:textId="257EAEF3" w:rsidR="00D92EBC" w:rsidRPr="009B4A73" w:rsidRDefault="0078763F" w:rsidP="00391329">
      <w:pPr>
        <w:pStyle w:val="Heading1"/>
        <w:tabs>
          <w:tab w:val="left" w:pos="426"/>
        </w:tabs>
        <w:spacing w:after="0" w:line="240" w:lineRule="auto"/>
        <w:ind w:left="426" w:hanging="426"/>
        <w:rPr>
          <w:sz w:val="22"/>
        </w:rPr>
      </w:pPr>
      <w:r w:rsidRPr="009B4A73">
        <w:rPr>
          <w:sz w:val="22"/>
        </w:rPr>
        <w:t>6.2</w:t>
      </w:r>
      <w:r w:rsidR="007339F8" w:rsidRPr="009B4A73">
        <w:rPr>
          <w:sz w:val="22"/>
        </w:rPr>
        <w:tab/>
        <w:t xml:space="preserve">Incompatibilities </w:t>
      </w:r>
    </w:p>
    <w:p w14:paraId="0D21C4D2" w14:textId="77777777" w:rsidR="005C521E" w:rsidRPr="009B4A73" w:rsidRDefault="005C521E" w:rsidP="00316679">
      <w:pPr>
        <w:spacing w:after="0" w:line="240" w:lineRule="auto"/>
        <w:ind w:left="426"/>
        <w:rPr>
          <w:sz w:val="22"/>
        </w:rPr>
      </w:pPr>
    </w:p>
    <w:p w14:paraId="6B72D295" w14:textId="48FCB9D2" w:rsidR="00D92EBC" w:rsidRPr="009B4A73" w:rsidRDefault="0078763F" w:rsidP="00316679">
      <w:pPr>
        <w:spacing w:after="128" w:line="240" w:lineRule="auto"/>
        <w:ind w:left="426" w:right="8"/>
        <w:rPr>
          <w:sz w:val="22"/>
        </w:rPr>
      </w:pPr>
      <w:r w:rsidRPr="009B4A73">
        <w:rPr>
          <w:sz w:val="22"/>
        </w:rPr>
        <w:t>Dextrose (5%) solution should not be used since it causes aggregation of the protein.</w:t>
      </w:r>
    </w:p>
    <w:p w14:paraId="2F059471" w14:textId="768AE05C" w:rsidR="00D92EBC" w:rsidRPr="009B4A73" w:rsidRDefault="004B0890" w:rsidP="00316679">
      <w:pPr>
        <w:spacing w:after="130" w:line="240" w:lineRule="auto"/>
        <w:ind w:left="426" w:right="8"/>
        <w:rPr>
          <w:sz w:val="22"/>
        </w:rPr>
      </w:pPr>
      <w:r w:rsidRPr="009B4A73">
        <w:rPr>
          <w:sz w:val="22"/>
        </w:rPr>
        <w:t xml:space="preserve">TRASTUCIP </w:t>
      </w:r>
      <w:r w:rsidR="0078763F" w:rsidRPr="009B4A73">
        <w:rPr>
          <w:sz w:val="22"/>
        </w:rPr>
        <w:t>SHOULD NOT BE MIXED OR DILUTED WITH OTHER MEDICINES.</w:t>
      </w:r>
    </w:p>
    <w:p w14:paraId="041C85B3" w14:textId="76F9EC00" w:rsidR="00D92EBC" w:rsidRPr="009B4A73" w:rsidRDefault="0078763F" w:rsidP="00316679">
      <w:pPr>
        <w:spacing w:after="0" w:line="240" w:lineRule="auto"/>
        <w:ind w:left="426" w:right="8"/>
        <w:rPr>
          <w:sz w:val="22"/>
        </w:rPr>
      </w:pPr>
      <w:r w:rsidRPr="009B4A73">
        <w:rPr>
          <w:sz w:val="22"/>
        </w:rPr>
        <w:t xml:space="preserve">No incompatibilities between </w:t>
      </w:r>
      <w:r w:rsidR="00DE7079" w:rsidRPr="009B4A73">
        <w:rPr>
          <w:sz w:val="22"/>
        </w:rPr>
        <w:t>trastuzumab</w:t>
      </w:r>
      <w:r w:rsidRPr="009B4A73">
        <w:rPr>
          <w:sz w:val="22"/>
        </w:rPr>
        <w:t xml:space="preserve"> and polyvinylchloride, polyethylene or polypropylene bags have been observed. </w:t>
      </w:r>
    </w:p>
    <w:p w14:paraId="0255CDCD" w14:textId="77777777" w:rsidR="005C521E" w:rsidRPr="009B4A73" w:rsidRDefault="005C521E" w:rsidP="00316679">
      <w:pPr>
        <w:spacing w:after="0" w:line="240" w:lineRule="auto"/>
        <w:ind w:left="426" w:right="8"/>
        <w:rPr>
          <w:sz w:val="22"/>
        </w:rPr>
      </w:pPr>
    </w:p>
    <w:p w14:paraId="5541E4EA" w14:textId="5D263DA5" w:rsidR="00D92EBC" w:rsidRPr="009B4A73" w:rsidRDefault="0078763F" w:rsidP="00391329">
      <w:pPr>
        <w:pStyle w:val="Heading1"/>
        <w:tabs>
          <w:tab w:val="left" w:pos="426"/>
        </w:tabs>
        <w:spacing w:after="0" w:line="240" w:lineRule="auto"/>
        <w:ind w:left="426" w:hanging="426"/>
        <w:rPr>
          <w:sz w:val="22"/>
        </w:rPr>
      </w:pPr>
      <w:r w:rsidRPr="009B4A73">
        <w:rPr>
          <w:sz w:val="22"/>
        </w:rPr>
        <w:t>6.3</w:t>
      </w:r>
      <w:r w:rsidR="002F0BD1" w:rsidRPr="009B4A73">
        <w:rPr>
          <w:sz w:val="22"/>
        </w:rPr>
        <w:tab/>
      </w:r>
      <w:r w:rsidR="00A805A9" w:rsidRPr="009B4A73">
        <w:rPr>
          <w:sz w:val="22"/>
        </w:rPr>
        <w:t xml:space="preserve">Shelf life </w:t>
      </w:r>
    </w:p>
    <w:p w14:paraId="0C36F3F7" w14:textId="77777777" w:rsidR="005C521E" w:rsidRPr="009B4A73" w:rsidRDefault="005C521E" w:rsidP="00316679">
      <w:pPr>
        <w:spacing w:after="0" w:line="240" w:lineRule="auto"/>
        <w:ind w:left="426"/>
        <w:rPr>
          <w:sz w:val="22"/>
        </w:rPr>
      </w:pPr>
    </w:p>
    <w:p w14:paraId="5BF7CA62" w14:textId="6DFD4C8A" w:rsidR="00D92EBC" w:rsidRPr="009B4A73" w:rsidRDefault="0078763F" w:rsidP="00316679">
      <w:pPr>
        <w:spacing w:after="0" w:line="240" w:lineRule="auto"/>
        <w:ind w:left="426" w:right="8"/>
        <w:rPr>
          <w:sz w:val="22"/>
        </w:rPr>
      </w:pPr>
      <w:r w:rsidRPr="009B4A73">
        <w:rPr>
          <w:sz w:val="22"/>
        </w:rPr>
        <w:t>In Australia, information on the shelf life can be found on the public summary of the Australian Register of Therapeutic Goods (ARTG). The expiry date can be found on the packaging.</w:t>
      </w:r>
    </w:p>
    <w:p w14:paraId="0329F460" w14:textId="77777777" w:rsidR="00A02B29" w:rsidRPr="009B4A73" w:rsidRDefault="00A02B29" w:rsidP="00316679">
      <w:pPr>
        <w:spacing w:after="0" w:line="240" w:lineRule="auto"/>
        <w:ind w:left="426" w:right="8"/>
        <w:rPr>
          <w:sz w:val="22"/>
        </w:rPr>
      </w:pPr>
    </w:p>
    <w:p w14:paraId="4C1C0896" w14:textId="33D77D8A" w:rsidR="00D92EBC" w:rsidRPr="009B4A73" w:rsidRDefault="0078763F" w:rsidP="00051ADE">
      <w:pPr>
        <w:pStyle w:val="Heading1"/>
        <w:keepLines w:val="0"/>
        <w:tabs>
          <w:tab w:val="left" w:pos="426"/>
        </w:tabs>
        <w:spacing w:after="0" w:line="240" w:lineRule="auto"/>
        <w:ind w:left="425" w:hanging="426"/>
        <w:rPr>
          <w:sz w:val="22"/>
        </w:rPr>
      </w:pPr>
      <w:r w:rsidRPr="009B4A73">
        <w:rPr>
          <w:sz w:val="22"/>
        </w:rPr>
        <w:t>6.4</w:t>
      </w:r>
      <w:r w:rsidR="002F0BD1" w:rsidRPr="009B4A73">
        <w:rPr>
          <w:sz w:val="22"/>
        </w:rPr>
        <w:tab/>
        <w:t xml:space="preserve">Special </w:t>
      </w:r>
      <w:r w:rsidR="00A805A9" w:rsidRPr="009B4A73">
        <w:rPr>
          <w:sz w:val="22"/>
        </w:rPr>
        <w:t>p</w:t>
      </w:r>
      <w:r w:rsidR="002F0BD1" w:rsidRPr="009B4A73">
        <w:rPr>
          <w:sz w:val="22"/>
        </w:rPr>
        <w:t xml:space="preserve">recautions </w:t>
      </w:r>
      <w:r w:rsidR="00A805A9" w:rsidRPr="009B4A73">
        <w:rPr>
          <w:sz w:val="22"/>
        </w:rPr>
        <w:t>f</w:t>
      </w:r>
      <w:r w:rsidR="002F0BD1" w:rsidRPr="009B4A73">
        <w:rPr>
          <w:sz w:val="22"/>
        </w:rPr>
        <w:t xml:space="preserve">or </w:t>
      </w:r>
      <w:r w:rsidR="00A805A9" w:rsidRPr="009B4A73">
        <w:rPr>
          <w:sz w:val="22"/>
        </w:rPr>
        <w:t>s</w:t>
      </w:r>
      <w:r w:rsidR="002F0BD1" w:rsidRPr="009B4A73">
        <w:rPr>
          <w:sz w:val="22"/>
        </w:rPr>
        <w:t xml:space="preserve">torage </w:t>
      </w:r>
    </w:p>
    <w:p w14:paraId="4636DC16" w14:textId="77777777" w:rsidR="00A02B29" w:rsidRPr="009B4A73" w:rsidRDefault="00A02B29" w:rsidP="00051ADE">
      <w:pPr>
        <w:keepNext/>
        <w:spacing w:after="0" w:line="240" w:lineRule="auto"/>
        <w:ind w:left="425"/>
        <w:rPr>
          <w:sz w:val="22"/>
        </w:rPr>
      </w:pPr>
    </w:p>
    <w:p w14:paraId="6A824D6A" w14:textId="249359BE" w:rsidR="00D92EBC" w:rsidRPr="009B4A73" w:rsidRDefault="0078763F" w:rsidP="00316679">
      <w:pPr>
        <w:spacing w:after="0" w:line="240" w:lineRule="auto"/>
        <w:ind w:left="426" w:firstLine="0"/>
        <w:rPr>
          <w:sz w:val="22"/>
        </w:rPr>
      </w:pPr>
      <w:r w:rsidRPr="009B4A73">
        <w:rPr>
          <w:sz w:val="22"/>
        </w:rPr>
        <w:t xml:space="preserve">Store </w:t>
      </w:r>
      <w:r w:rsidR="004B0890" w:rsidRPr="009B4A73">
        <w:rPr>
          <w:sz w:val="22"/>
        </w:rPr>
        <w:t xml:space="preserve">Trastucip </w:t>
      </w:r>
      <w:r w:rsidRPr="009B4A73">
        <w:rPr>
          <w:sz w:val="22"/>
        </w:rPr>
        <w:t>150 mg vials at 2 to 8°C. Refrigerate.</w:t>
      </w:r>
      <w:r w:rsidR="008805AA" w:rsidRPr="009B4A73">
        <w:rPr>
          <w:sz w:val="22"/>
        </w:rPr>
        <w:t xml:space="preserve"> </w:t>
      </w:r>
      <w:r w:rsidRPr="009B4A73">
        <w:rPr>
          <w:sz w:val="22"/>
        </w:rPr>
        <w:t>Do not freeze.</w:t>
      </w:r>
      <w:r w:rsidR="008805AA" w:rsidRPr="009B4A73">
        <w:rPr>
          <w:sz w:val="22"/>
        </w:rPr>
        <w:t xml:space="preserve"> </w:t>
      </w:r>
      <w:r w:rsidRPr="009B4A73">
        <w:rPr>
          <w:sz w:val="22"/>
        </w:rPr>
        <w:t xml:space="preserve">Do not use beyond the expiration date stamped on the vial. </w:t>
      </w:r>
    </w:p>
    <w:p w14:paraId="19D07805" w14:textId="77777777" w:rsidR="00A02B29" w:rsidRPr="009B4A73" w:rsidRDefault="00A02B29" w:rsidP="00316679">
      <w:pPr>
        <w:spacing w:after="0" w:line="240" w:lineRule="auto"/>
        <w:ind w:left="426" w:firstLine="0"/>
        <w:rPr>
          <w:sz w:val="22"/>
        </w:rPr>
      </w:pPr>
    </w:p>
    <w:p w14:paraId="23E0BD11" w14:textId="4BE6A878" w:rsidR="00D92EBC" w:rsidRPr="009B4A73" w:rsidRDefault="0078763F" w:rsidP="00316679">
      <w:pPr>
        <w:pStyle w:val="Heading2"/>
        <w:spacing w:after="0" w:line="240" w:lineRule="auto"/>
        <w:ind w:left="426"/>
        <w:rPr>
          <w:b w:val="0"/>
          <w:bCs/>
          <w:sz w:val="22"/>
          <w:u w:val="single"/>
        </w:rPr>
      </w:pPr>
      <w:r w:rsidRPr="009B4A73">
        <w:rPr>
          <w:b w:val="0"/>
          <w:bCs/>
          <w:sz w:val="22"/>
          <w:u w:val="single"/>
        </w:rPr>
        <w:t xml:space="preserve">Reconstituted </w:t>
      </w:r>
      <w:r w:rsidR="00B16A3F" w:rsidRPr="009B4A73">
        <w:rPr>
          <w:b w:val="0"/>
          <w:bCs/>
          <w:sz w:val="22"/>
          <w:u w:val="single"/>
        </w:rPr>
        <w:t>s</w:t>
      </w:r>
      <w:r w:rsidRPr="009B4A73">
        <w:rPr>
          <w:b w:val="0"/>
          <w:bCs/>
          <w:sz w:val="22"/>
          <w:u w:val="single"/>
        </w:rPr>
        <w:t>olution</w:t>
      </w:r>
    </w:p>
    <w:p w14:paraId="26B726DD" w14:textId="77777777" w:rsidR="00A02B29" w:rsidRPr="009B4A73" w:rsidRDefault="00A02B29" w:rsidP="00316679">
      <w:pPr>
        <w:spacing w:after="0" w:line="240" w:lineRule="auto"/>
        <w:ind w:left="426"/>
        <w:rPr>
          <w:sz w:val="22"/>
        </w:rPr>
      </w:pPr>
    </w:p>
    <w:p w14:paraId="7FC1FBAE" w14:textId="7DAC758A" w:rsidR="00D92EBC" w:rsidRPr="009B4A73" w:rsidRDefault="0078763F" w:rsidP="00316679">
      <w:pPr>
        <w:spacing w:after="0" w:line="240" w:lineRule="auto"/>
        <w:ind w:left="426" w:right="8"/>
        <w:rPr>
          <w:sz w:val="22"/>
        </w:rPr>
      </w:pPr>
      <w:r w:rsidRPr="009B4A73">
        <w:rPr>
          <w:sz w:val="22"/>
        </w:rPr>
        <w:t xml:space="preserve">A vial of </w:t>
      </w:r>
      <w:r w:rsidR="004B0890" w:rsidRPr="009B4A73">
        <w:rPr>
          <w:sz w:val="22"/>
        </w:rPr>
        <w:t xml:space="preserve">Trastucip </w:t>
      </w:r>
      <w:r w:rsidRPr="009B4A73">
        <w:rPr>
          <w:sz w:val="22"/>
        </w:rPr>
        <w:t xml:space="preserve">reconstituted with sterile </w:t>
      </w:r>
      <w:r w:rsidR="00B16A3F" w:rsidRPr="009B4A73">
        <w:rPr>
          <w:sz w:val="22"/>
        </w:rPr>
        <w:t>w</w:t>
      </w:r>
      <w:r w:rsidRPr="009B4A73">
        <w:rPr>
          <w:sz w:val="22"/>
        </w:rPr>
        <w:t xml:space="preserve">ater for </w:t>
      </w:r>
      <w:r w:rsidR="00B16A3F" w:rsidRPr="009B4A73">
        <w:rPr>
          <w:sz w:val="22"/>
        </w:rPr>
        <w:t>i</w:t>
      </w:r>
      <w:r w:rsidRPr="009B4A73">
        <w:rPr>
          <w:sz w:val="22"/>
        </w:rPr>
        <w:t xml:space="preserve">njections without preservative should be used immediately and any unused portion must be discarded. Product is for single use in one patient only. Do not freeze the reconstituted solution. </w:t>
      </w:r>
    </w:p>
    <w:p w14:paraId="41D4A94D" w14:textId="77777777" w:rsidR="00A02B29" w:rsidRPr="009B4A73" w:rsidRDefault="00A02B29" w:rsidP="00316679">
      <w:pPr>
        <w:spacing w:after="0" w:line="240" w:lineRule="auto"/>
        <w:ind w:left="426" w:right="8"/>
        <w:rPr>
          <w:sz w:val="22"/>
        </w:rPr>
      </w:pPr>
    </w:p>
    <w:p w14:paraId="4FE13F7E" w14:textId="5E09D740" w:rsidR="00D92EBC" w:rsidRPr="009B4A73" w:rsidRDefault="0078763F" w:rsidP="00316679">
      <w:pPr>
        <w:pStyle w:val="Heading2"/>
        <w:spacing w:after="0" w:line="240" w:lineRule="auto"/>
        <w:ind w:left="426"/>
        <w:rPr>
          <w:b w:val="0"/>
          <w:bCs/>
          <w:sz w:val="22"/>
          <w:u w:val="single"/>
        </w:rPr>
      </w:pPr>
      <w:r w:rsidRPr="009B4A73">
        <w:rPr>
          <w:b w:val="0"/>
          <w:bCs/>
          <w:sz w:val="22"/>
          <w:u w:val="single"/>
        </w:rPr>
        <w:t xml:space="preserve">Diluted </w:t>
      </w:r>
      <w:r w:rsidR="00B16A3F" w:rsidRPr="009B4A73">
        <w:rPr>
          <w:b w:val="0"/>
          <w:bCs/>
          <w:sz w:val="22"/>
          <w:u w:val="single"/>
        </w:rPr>
        <w:t>s</w:t>
      </w:r>
      <w:r w:rsidRPr="009B4A73">
        <w:rPr>
          <w:b w:val="0"/>
          <w:bCs/>
          <w:sz w:val="22"/>
          <w:u w:val="single"/>
        </w:rPr>
        <w:t xml:space="preserve">olution for </w:t>
      </w:r>
      <w:r w:rsidR="00B16A3F" w:rsidRPr="009B4A73">
        <w:rPr>
          <w:b w:val="0"/>
          <w:bCs/>
          <w:sz w:val="22"/>
          <w:u w:val="single"/>
        </w:rPr>
        <w:t>i</w:t>
      </w:r>
      <w:r w:rsidRPr="009B4A73">
        <w:rPr>
          <w:b w:val="0"/>
          <w:bCs/>
          <w:sz w:val="22"/>
          <w:u w:val="single"/>
        </w:rPr>
        <w:t xml:space="preserve">nfusion </w:t>
      </w:r>
    </w:p>
    <w:p w14:paraId="58F36B2F" w14:textId="77777777" w:rsidR="00A02B29" w:rsidRPr="009B4A73" w:rsidRDefault="00A02B29" w:rsidP="00316679">
      <w:pPr>
        <w:spacing w:after="0" w:line="240" w:lineRule="auto"/>
        <w:ind w:left="426"/>
        <w:rPr>
          <w:sz w:val="22"/>
        </w:rPr>
      </w:pPr>
    </w:p>
    <w:p w14:paraId="0F4D933A" w14:textId="526A86BF" w:rsidR="00D92EBC" w:rsidRPr="009B4A73" w:rsidRDefault="00F50954" w:rsidP="00316679">
      <w:pPr>
        <w:spacing w:after="0" w:line="240" w:lineRule="auto"/>
        <w:ind w:left="426" w:right="8"/>
        <w:rPr>
          <w:sz w:val="22"/>
        </w:rPr>
      </w:pPr>
      <w:r w:rsidRPr="009B4A73">
        <w:rPr>
          <w:sz w:val="22"/>
        </w:rPr>
        <w:t>To reduce microbiological hazard, use as soon as practicable after dilution. If storage is necessary, hold at 2°-8°C for not more than 24 hours</w:t>
      </w:r>
    </w:p>
    <w:p w14:paraId="46F83E56" w14:textId="77777777" w:rsidR="00A02B29" w:rsidRPr="009B4A73" w:rsidRDefault="00A02B29" w:rsidP="00316679">
      <w:pPr>
        <w:spacing w:after="0" w:line="240" w:lineRule="auto"/>
        <w:ind w:left="426" w:right="8"/>
        <w:rPr>
          <w:sz w:val="22"/>
        </w:rPr>
      </w:pPr>
    </w:p>
    <w:p w14:paraId="2E15D25E" w14:textId="6CBD28A5" w:rsidR="00D92EBC" w:rsidRPr="009B4A73" w:rsidRDefault="0078763F" w:rsidP="00391329">
      <w:pPr>
        <w:pStyle w:val="Heading1"/>
        <w:tabs>
          <w:tab w:val="left" w:pos="426"/>
        </w:tabs>
        <w:spacing w:after="0" w:line="240" w:lineRule="auto"/>
        <w:ind w:left="426" w:hanging="426"/>
        <w:rPr>
          <w:sz w:val="22"/>
        </w:rPr>
      </w:pPr>
      <w:r w:rsidRPr="009B4A73">
        <w:rPr>
          <w:sz w:val="22"/>
        </w:rPr>
        <w:t>6.5</w:t>
      </w:r>
      <w:r w:rsidR="005F62BC" w:rsidRPr="009B4A73">
        <w:rPr>
          <w:sz w:val="22"/>
        </w:rPr>
        <w:tab/>
        <w:t xml:space="preserve">Nature </w:t>
      </w:r>
      <w:r w:rsidR="00A805A9" w:rsidRPr="009B4A73">
        <w:rPr>
          <w:sz w:val="22"/>
        </w:rPr>
        <w:t>a</w:t>
      </w:r>
      <w:r w:rsidR="005F62BC" w:rsidRPr="009B4A73">
        <w:rPr>
          <w:sz w:val="22"/>
        </w:rPr>
        <w:t xml:space="preserve">nd </w:t>
      </w:r>
      <w:r w:rsidR="00A805A9" w:rsidRPr="009B4A73">
        <w:rPr>
          <w:sz w:val="22"/>
        </w:rPr>
        <w:t>c</w:t>
      </w:r>
      <w:r w:rsidR="005F62BC" w:rsidRPr="009B4A73">
        <w:rPr>
          <w:sz w:val="22"/>
        </w:rPr>
        <w:t xml:space="preserve">ontents </w:t>
      </w:r>
      <w:r w:rsidR="00A805A9" w:rsidRPr="009B4A73">
        <w:rPr>
          <w:sz w:val="22"/>
        </w:rPr>
        <w:t>o</w:t>
      </w:r>
      <w:r w:rsidR="005F62BC" w:rsidRPr="009B4A73">
        <w:rPr>
          <w:sz w:val="22"/>
        </w:rPr>
        <w:t xml:space="preserve">f </w:t>
      </w:r>
      <w:r w:rsidR="00A805A9" w:rsidRPr="009B4A73">
        <w:rPr>
          <w:sz w:val="22"/>
        </w:rPr>
        <w:t>c</w:t>
      </w:r>
      <w:r w:rsidR="005F62BC" w:rsidRPr="009B4A73">
        <w:rPr>
          <w:sz w:val="22"/>
        </w:rPr>
        <w:t>ontainer</w:t>
      </w:r>
    </w:p>
    <w:p w14:paraId="263C1D74" w14:textId="77777777" w:rsidR="00A02B29" w:rsidRPr="009B4A73" w:rsidRDefault="00A02B29" w:rsidP="00316679">
      <w:pPr>
        <w:spacing w:after="0" w:line="240" w:lineRule="auto"/>
        <w:ind w:left="426"/>
        <w:rPr>
          <w:sz w:val="22"/>
        </w:rPr>
      </w:pPr>
    </w:p>
    <w:p w14:paraId="16341FC4" w14:textId="071D5A49" w:rsidR="00D92EBC" w:rsidRPr="009B4A73" w:rsidRDefault="00B16A3F" w:rsidP="00316679">
      <w:pPr>
        <w:pStyle w:val="Heading3"/>
        <w:spacing w:after="0" w:line="240" w:lineRule="auto"/>
        <w:ind w:left="426"/>
        <w:rPr>
          <w:i/>
          <w:sz w:val="22"/>
          <w:u w:val="none"/>
        </w:rPr>
      </w:pPr>
      <w:r w:rsidRPr="009B4A73">
        <w:rPr>
          <w:i/>
          <w:sz w:val="22"/>
          <w:u w:val="none"/>
        </w:rPr>
        <w:t>T</w:t>
      </w:r>
      <w:r w:rsidR="00DE7079" w:rsidRPr="009B4A73">
        <w:rPr>
          <w:i/>
          <w:sz w:val="22"/>
          <w:u w:val="none"/>
        </w:rPr>
        <w:t>rastuzumab</w:t>
      </w:r>
      <w:r w:rsidR="0078763F" w:rsidRPr="009B4A73">
        <w:rPr>
          <w:i/>
          <w:sz w:val="22"/>
          <w:u w:val="none"/>
        </w:rPr>
        <w:t xml:space="preserve"> vial </w:t>
      </w:r>
    </w:p>
    <w:p w14:paraId="7B664489" w14:textId="77777777" w:rsidR="00A02B29" w:rsidRPr="009B4A73" w:rsidRDefault="00A02B29" w:rsidP="00316679">
      <w:pPr>
        <w:spacing w:after="0" w:line="240" w:lineRule="auto"/>
        <w:ind w:left="426"/>
        <w:rPr>
          <w:sz w:val="22"/>
        </w:rPr>
      </w:pPr>
    </w:p>
    <w:p w14:paraId="68B35DD8" w14:textId="0C1D4DAF" w:rsidR="00D92EBC" w:rsidRPr="009B4A73" w:rsidRDefault="0078763F" w:rsidP="00316679">
      <w:pPr>
        <w:spacing w:after="0" w:line="240" w:lineRule="auto"/>
        <w:ind w:left="426" w:right="8"/>
        <w:rPr>
          <w:sz w:val="22"/>
        </w:rPr>
      </w:pPr>
      <w:r w:rsidRPr="009B4A73">
        <w:rPr>
          <w:sz w:val="22"/>
        </w:rPr>
        <w:t>Clear glass type I vial containing 150</w:t>
      </w:r>
      <w:r w:rsidR="00E651C9" w:rsidRPr="009B4A73">
        <w:rPr>
          <w:sz w:val="22"/>
        </w:rPr>
        <w:t xml:space="preserve"> </w:t>
      </w:r>
      <w:r w:rsidRPr="009B4A73">
        <w:rPr>
          <w:sz w:val="22"/>
        </w:rPr>
        <w:t xml:space="preserve">mg trastuzumab. </w:t>
      </w:r>
    </w:p>
    <w:p w14:paraId="0C62F9D1" w14:textId="77777777" w:rsidR="00A02B29" w:rsidRPr="009B4A73" w:rsidRDefault="00A02B29" w:rsidP="00316679">
      <w:pPr>
        <w:spacing w:after="0" w:line="240" w:lineRule="auto"/>
        <w:ind w:left="426" w:right="8"/>
        <w:rPr>
          <w:sz w:val="22"/>
        </w:rPr>
      </w:pPr>
    </w:p>
    <w:p w14:paraId="70EF1D45" w14:textId="2042C5F9" w:rsidR="00A02B29" w:rsidRPr="009B4A73" w:rsidRDefault="0078763F" w:rsidP="00316679">
      <w:pPr>
        <w:spacing w:after="0" w:line="240" w:lineRule="auto"/>
        <w:ind w:left="426" w:right="8"/>
        <w:rPr>
          <w:sz w:val="22"/>
        </w:rPr>
      </w:pPr>
      <w:r w:rsidRPr="009B4A73">
        <w:rPr>
          <w:sz w:val="22"/>
        </w:rPr>
        <w:t>Each carton contains one vial.</w:t>
      </w:r>
    </w:p>
    <w:p w14:paraId="442417C9" w14:textId="4C167694" w:rsidR="00D92EBC" w:rsidRPr="009B4A73" w:rsidRDefault="0078763F" w:rsidP="00316679">
      <w:pPr>
        <w:spacing w:after="0" w:line="240" w:lineRule="auto"/>
        <w:ind w:left="426" w:right="8"/>
        <w:rPr>
          <w:sz w:val="22"/>
        </w:rPr>
      </w:pPr>
      <w:r w:rsidRPr="009B4A73">
        <w:rPr>
          <w:sz w:val="22"/>
        </w:rPr>
        <w:t xml:space="preserve"> </w:t>
      </w:r>
    </w:p>
    <w:p w14:paraId="03D9646E" w14:textId="79EFF0F6" w:rsidR="00A02B29" w:rsidRPr="009B4A73" w:rsidRDefault="0078763F" w:rsidP="00391329">
      <w:pPr>
        <w:pStyle w:val="Heading1"/>
        <w:tabs>
          <w:tab w:val="left" w:pos="426"/>
        </w:tabs>
        <w:spacing w:after="0" w:line="240" w:lineRule="auto"/>
        <w:ind w:left="426" w:hanging="426"/>
        <w:rPr>
          <w:sz w:val="22"/>
        </w:rPr>
      </w:pPr>
      <w:r w:rsidRPr="009B4A73">
        <w:rPr>
          <w:sz w:val="22"/>
        </w:rPr>
        <w:t>6.6</w:t>
      </w:r>
      <w:r w:rsidR="005F62BC" w:rsidRPr="009B4A73">
        <w:rPr>
          <w:sz w:val="22"/>
        </w:rPr>
        <w:tab/>
        <w:t xml:space="preserve">Special </w:t>
      </w:r>
      <w:r w:rsidR="00E435F3" w:rsidRPr="009B4A73">
        <w:rPr>
          <w:sz w:val="22"/>
        </w:rPr>
        <w:t>p</w:t>
      </w:r>
      <w:r w:rsidR="005F62BC" w:rsidRPr="009B4A73">
        <w:rPr>
          <w:sz w:val="22"/>
        </w:rPr>
        <w:t xml:space="preserve">recautions </w:t>
      </w:r>
      <w:r w:rsidR="00E435F3" w:rsidRPr="009B4A73">
        <w:rPr>
          <w:sz w:val="22"/>
        </w:rPr>
        <w:t>f</w:t>
      </w:r>
      <w:r w:rsidR="005F62BC" w:rsidRPr="009B4A73">
        <w:rPr>
          <w:sz w:val="22"/>
        </w:rPr>
        <w:t xml:space="preserve">or </w:t>
      </w:r>
      <w:r w:rsidR="00E435F3" w:rsidRPr="009B4A73">
        <w:rPr>
          <w:sz w:val="22"/>
        </w:rPr>
        <w:t>d</w:t>
      </w:r>
      <w:r w:rsidR="005F62BC" w:rsidRPr="009B4A73">
        <w:rPr>
          <w:sz w:val="22"/>
        </w:rPr>
        <w:t xml:space="preserve">isposal </w:t>
      </w:r>
    </w:p>
    <w:p w14:paraId="37B15E93" w14:textId="3CB19622" w:rsidR="00D92EBC" w:rsidRPr="009B4A73" w:rsidRDefault="0078763F" w:rsidP="00316679">
      <w:pPr>
        <w:pStyle w:val="Heading2"/>
        <w:tabs>
          <w:tab w:val="center" w:pos="3126"/>
        </w:tabs>
        <w:spacing w:after="0" w:line="240" w:lineRule="auto"/>
        <w:ind w:left="426" w:firstLine="0"/>
        <w:rPr>
          <w:sz w:val="22"/>
        </w:rPr>
      </w:pPr>
      <w:r w:rsidRPr="009B4A73">
        <w:rPr>
          <w:sz w:val="22"/>
        </w:rPr>
        <w:t xml:space="preserve"> </w:t>
      </w:r>
    </w:p>
    <w:p w14:paraId="2C9FA2C0" w14:textId="07CC9FEE" w:rsidR="00D92EBC" w:rsidRPr="009B4A73" w:rsidRDefault="0078763F" w:rsidP="00316679">
      <w:pPr>
        <w:spacing w:after="0" w:line="240" w:lineRule="auto"/>
        <w:ind w:left="426" w:right="8"/>
        <w:rPr>
          <w:sz w:val="22"/>
        </w:rPr>
      </w:pPr>
      <w:r w:rsidRPr="009B4A73">
        <w:rPr>
          <w:sz w:val="22"/>
        </w:rPr>
        <w:t>The release of medicines into the environment should be minimized.</w:t>
      </w:r>
      <w:r w:rsidR="008805AA" w:rsidRPr="009B4A73">
        <w:rPr>
          <w:sz w:val="22"/>
        </w:rPr>
        <w:t xml:space="preserve"> </w:t>
      </w:r>
      <w:r w:rsidRPr="009B4A73">
        <w:rPr>
          <w:sz w:val="22"/>
        </w:rPr>
        <w:t>Medicines should not be disposed of via wastewater and disposal through household waste should be avoided. Unused or expired medicine should be returned to a pharmacy for disposal.</w:t>
      </w:r>
    </w:p>
    <w:p w14:paraId="6BC1DF83" w14:textId="77777777" w:rsidR="00A02B29" w:rsidRPr="009B4A73" w:rsidRDefault="00A02B29" w:rsidP="00316679">
      <w:pPr>
        <w:spacing w:after="0" w:line="240" w:lineRule="auto"/>
        <w:ind w:left="426" w:right="8"/>
        <w:rPr>
          <w:sz w:val="22"/>
        </w:rPr>
      </w:pPr>
    </w:p>
    <w:p w14:paraId="36670D4C" w14:textId="5481CD22" w:rsidR="00432E60" w:rsidRPr="009B4A73" w:rsidRDefault="0078763F" w:rsidP="00391329">
      <w:pPr>
        <w:pStyle w:val="Heading1"/>
        <w:tabs>
          <w:tab w:val="left" w:pos="426"/>
        </w:tabs>
        <w:spacing w:after="0" w:line="240" w:lineRule="auto"/>
        <w:ind w:left="426" w:hanging="426"/>
        <w:rPr>
          <w:sz w:val="22"/>
        </w:rPr>
      </w:pPr>
      <w:r w:rsidRPr="009B4A73">
        <w:rPr>
          <w:sz w:val="22"/>
        </w:rPr>
        <w:lastRenderedPageBreak/>
        <w:t>6.7</w:t>
      </w:r>
      <w:r w:rsidR="00395985" w:rsidRPr="009B4A73">
        <w:rPr>
          <w:sz w:val="22"/>
        </w:rPr>
        <w:tab/>
      </w:r>
      <w:r w:rsidR="00665ECB" w:rsidRPr="009B4A73">
        <w:rPr>
          <w:sz w:val="22"/>
        </w:rPr>
        <w:t xml:space="preserve">Physicochemical </w:t>
      </w:r>
      <w:r w:rsidR="00E435F3" w:rsidRPr="009B4A73">
        <w:rPr>
          <w:sz w:val="22"/>
        </w:rPr>
        <w:t>p</w:t>
      </w:r>
      <w:r w:rsidR="00665ECB" w:rsidRPr="009B4A73">
        <w:rPr>
          <w:sz w:val="22"/>
        </w:rPr>
        <w:t>roperties</w:t>
      </w:r>
    </w:p>
    <w:p w14:paraId="564371D0" w14:textId="4DB51157" w:rsidR="00A02B29" w:rsidRPr="009B4A73" w:rsidRDefault="00A02B29" w:rsidP="00316679">
      <w:pPr>
        <w:pStyle w:val="Heading2"/>
        <w:spacing w:after="0" w:line="240" w:lineRule="auto"/>
        <w:ind w:left="426" w:right="4661" w:hanging="11"/>
        <w:rPr>
          <w:sz w:val="22"/>
        </w:rPr>
      </w:pPr>
      <w:r w:rsidRPr="009B4A73">
        <w:rPr>
          <w:sz w:val="22"/>
        </w:rPr>
        <w:t xml:space="preserve"> </w:t>
      </w:r>
    </w:p>
    <w:p w14:paraId="7171F6F8" w14:textId="2A75FC85" w:rsidR="00D92EBC" w:rsidRPr="009B4A73" w:rsidRDefault="0078763F" w:rsidP="00316679">
      <w:pPr>
        <w:pStyle w:val="Heading2"/>
        <w:spacing w:after="0" w:line="240" w:lineRule="auto"/>
        <w:ind w:left="426" w:right="4659"/>
        <w:rPr>
          <w:sz w:val="22"/>
        </w:rPr>
      </w:pPr>
      <w:r w:rsidRPr="009B4A73">
        <w:rPr>
          <w:sz w:val="22"/>
        </w:rPr>
        <w:t>CAS</w:t>
      </w:r>
      <w:r w:rsidR="00A02B29" w:rsidRPr="009B4A73">
        <w:rPr>
          <w:sz w:val="22"/>
        </w:rPr>
        <w:t xml:space="preserve"> </w:t>
      </w:r>
      <w:r w:rsidRPr="009B4A73">
        <w:rPr>
          <w:sz w:val="22"/>
        </w:rPr>
        <w:t xml:space="preserve">number </w:t>
      </w:r>
    </w:p>
    <w:p w14:paraId="0B6540FA" w14:textId="77777777" w:rsidR="00432E60" w:rsidRPr="009B4A73" w:rsidRDefault="00432E60" w:rsidP="00316679">
      <w:pPr>
        <w:spacing w:after="0" w:line="240" w:lineRule="auto"/>
        <w:ind w:left="426"/>
      </w:pPr>
    </w:p>
    <w:p w14:paraId="3C1C8BE5" w14:textId="5AA86384" w:rsidR="00D92EBC" w:rsidRPr="009B4A73" w:rsidRDefault="0078763F" w:rsidP="00316679">
      <w:pPr>
        <w:spacing w:after="0" w:line="240" w:lineRule="auto"/>
        <w:ind w:left="426" w:firstLine="0"/>
        <w:rPr>
          <w:rFonts w:eastAsia="Cambria"/>
          <w:sz w:val="22"/>
        </w:rPr>
      </w:pPr>
      <w:r w:rsidRPr="009B4A73">
        <w:rPr>
          <w:rFonts w:eastAsia="Cambria"/>
          <w:sz w:val="22"/>
        </w:rPr>
        <w:t xml:space="preserve">180288-69-1 </w:t>
      </w:r>
    </w:p>
    <w:p w14:paraId="08FE9D4B" w14:textId="77777777" w:rsidR="00A02B29" w:rsidRPr="009B4A73" w:rsidRDefault="00A02B29" w:rsidP="00316679">
      <w:pPr>
        <w:spacing w:after="0" w:line="240" w:lineRule="auto"/>
        <w:ind w:left="426" w:firstLine="0"/>
        <w:rPr>
          <w:sz w:val="22"/>
        </w:rPr>
      </w:pPr>
    </w:p>
    <w:p w14:paraId="2E2F9726" w14:textId="3DF03F10" w:rsidR="00D92EBC" w:rsidRPr="009B4A73" w:rsidRDefault="004B0890" w:rsidP="00316679">
      <w:pPr>
        <w:spacing w:after="0" w:line="240" w:lineRule="auto"/>
        <w:ind w:left="426" w:right="8"/>
        <w:rPr>
          <w:sz w:val="22"/>
        </w:rPr>
      </w:pPr>
      <w:r w:rsidRPr="009B4A73">
        <w:rPr>
          <w:sz w:val="22"/>
        </w:rPr>
        <w:t xml:space="preserve">Trastucip </w:t>
      </w:r>
      <w:r w:rsidR="0078763F" w:rsidRPr="009B4A73">
        <w:rPr>
          <w:sz w:val="22"/>
        </w:rPr>
        <w:t>(trastuzumab) is a recombinant DNA derived humanized monoclonal antibody that selectively targets the extracellular domain of the human epidermal growth factor receptor 2 protein (HER2).</w:t>
      </w:r>
      <w:r w:rsidR="008805AA" w:rsidRPr="009B4A73">
        <w:rPr>
          <w:sz w:val="22"/>
        </w:rPr>
        <w:t xml:space="preserve"> </w:t>
      </w:r>
      <w:r w:rsidR="0078763F" w:rsidRPr="009B4A73">
        <w:rPr>
          <w:sz w:val="22"/>
        </w:rPr>
        <w:t>The antibody is an IgG1 kappa that contains human framework regions with the complementarity determining regions of a murine anti-p185 HER2 antibody that binds to HER2.</w:t>
      </w:r>
      <w:r w:rsidR="008805AA" w:rsidRPr="009B4A73">
        <w:rPr>
          <w:sz w:val="22"/>
        </w:rPr>
        <w:t xml:space="preserve"> </w:t>
      </w:r>
      <w:r w:rsidR="0078763F" w:rsidRPr="009B4A73">
        <w:rPr>
          <w:sz w:val="22"/>
        </w:rPr>
        <w:t>Trastuzumab is composed of 1,328 amino acids and has a molecular weight of ~14</w:t>
      </w:r>
      <w:r w:rsidR="005916CB" w:rsidRPr="009B4A73">
        <w:rPr>
          <w:sz w:val="22"/>
        </w:rPr>
        <w:t>5</w:t>
      </w:r>
      <w:r w:rsidR="0078763F" w:rsidRPr="009B4A73">
        <w:rPr>
          <w:sz w:val="22"/>
        </w:rPr>
        <w:t xml:space="preserve"> </w:t>
      </w:r>
      <w:proofErr w:type="spellStart"/>
      <w:r w:rsidR="0078763F" w:rsidRPr="009B4A73">
        <w:rPr>
          <w:sz w:val="22"/>
        </w:rPr>
        <w:t>kDa</w:t>
      </w:r>
      <w:proofErr w:type="spellEnd"/>
      <w:r w:rsidR="0078763F" w:rsidRPr="009B4A73">
        <w:rPr>
          <w:sz w:val="22"/>
        </w:rPr>
        <w:t>.</w:t>
      </w:r>
    </w:p>
    <w:p w14:paraId="2B7E34B4" w14:textId="77777777" w:rsidR="00A02B29" w:rsidRPr="009B4A73" w:rsidRDefault="00A02B29" w:rsidP="00316679">
      <w:pPr>
        <w:spacing w:after="0" w:line="240" w:lineRule="auto"/>
        <w:ind w:left="426" w:right="8"/>
        <w:rPr>
          <w:sz w:val="22"/>
        </w:rPr>
      </w:pPr>
    </w:p>
    <w:p w14:paraId="72C6672A" w14:textId="23B89BBC" w:rsidR="00D92EBC" w:rsidRPr="009B4A73" w:rsidRDefault="0078763F" w:rsidP="00316679">
      <w:pPr>
        <w:spacing w:after="0" w:line="240" w:lineRule="auto"/>
        <w:ind w:left="426" w:right="8"/>
        <w:rPr>
          <w:rFonts w:eastAsia="Cambria"/>
          <w:b/>
          <w:sz w:val="22"/>
        </w:rPr>
      </w:pPr>
      <w:r w:rsidRPr="009B4A73">
        <w:rPr>
          <w:sz w:val="22"/>
        </w:rPr>
        <w:t>The humanized antibody against HER2 is produced by recombinant mammalian cells (Chinese hamster ovary (</w:t>
      </w:r>
      <w:proofErr w:type="spellStart"/>
      <w:r w:rsidRPr="009B4A73">
        <w:rPr>
          <w:sz w:val="22"/>
        </w:rPr>
        <w:t>rch</w:t>
      </w:r>
      <w:proofErr w:type="spellEnd"/>
      <w:r w:rsidRPr="009B4A73">
        <w:rPr>
          <w:sz w:val="22"/>
        </w:rPr>
        <w:t>)) in suspension culture in a nutrient medium and purified by affinity chromatography and ion exchange, including specific viral inactivation and removal procedures.</w:t>
      </w:r>
      <w:r w:rsidRPr="009B4A73">
        <w:rPr>
          <w:rFonts w:eastAsia="Cambria"/>
          <w:b/>
          <w:sz w:val="22"/>
        </w:rPr>
        <w:t xml:space="preserve"> </w:t>
      </w:r>
    </w:p>
    <w:p w14:paraId="7C3B3391" w14:textId="06362B54" w:rsidR="00A02B29" w:rsidRPr="009B4A73" w:rsidRDefault="00A02B29" w:rsidP="00316679">
      <w:pPr>
        <w:spacing w:after="0" w:line="240" w:lineRule="auto"/>
        <w:ind w:left="426" w:right="8"/>
        <w:rPr>
          <w:rFonts w:eastAsia="Cambria"/>
          <w:b/>
          <w:sz w:val="22"/>
        </w:rPr>
      </w:pPr>
    </w:p>
    <w:p w14:paraId="6728ED7C" w14:textId="77777777" w:rsidR="00A02B29" w:rsidRPr="009B4A73" w:rsidRDefault="00A02B29" w:rsidP="00316679">
      <w:pPr>
        <w:spacing w:after="0" w:line="240" w:lineRule="auto"/>
        <w:ind w:left="426" w:right="8"/>
        <w:rPr>
          <w:sz w:val="22"/>
        </w:rPr>
      </w:pPr>
    </w:p>
    <w:p w14:paraId="4070B8B5" w14:textId="16E6C753" w:rsidR="00D92EBC" w:rsidRPr="009B4A73" w:rsidRDefault="0078763F" w:rsidP="00391329">
      <w:pPr>
        <w:pStyle w:val="Heading1"/>
        <w:tabs>
          <w:tab w:val="left" w:pos="426"/>
        </w:tabs>
        <w:spacing w:after="0" w:line="240" w:lineRule="auto"/>
        <w:ind w:left="426" w:hanging="426"/>
        <w:rPr>
          <w:bCs/>
          <w:sz w:val="22"/>
        </w:rPr>
      </w:pPr>
      <w:r w:rsidRPr="009B4A73">
        <w:rPr>
          <w:bCs/>
          <w:sz w:val="22"/>
        </w:rPr>
        <w:t>7.</w:t>
      </w:r>
      <w:r w:rsidR="00665ECB" w:rsidRPr="009B4A73">
        <w:rPr>
          <w:rFonts w:eastAsia="Arial"/>
          <w:bCs/>
          <w:sz w:val="22"/>
        </w:rPr>
        <w:tab/>
      </w:r>
      <w:r w:rsidRPr="009B4A73">
        <w:rPr>
          <w:bCs/>
          <w:sz w:val="22"/>
        </w:rPr>
        <w:t xml:space="preserve">MEDICINE SCHEDULE (POISONS STANDARD) </w:t>
      </w:r>
    </w:p>
    <w:p w14:paraId="48F33251" w14:textId="77777777" w:rsidR="00A02B29" w:rsidRPr="009B4A73" w:rsidRDefault="00A02B29" w:rsidP="00316679">
      <w:pPr>
        <w:spacing w:after="12" w:line="240" w:lineRule="auto"/>
        <w:ind w:left="426"/>
        <w:rPr>
          <w:sz w:val="22"/>
        </w:rPr>
      </w:pPr>
    </w:p>
    <w:p w14:paraId="3F6ADABC" w14:textId="282BA230" w:rsidR="00D92EBC" w:rsidRPr="009B4A73" w:rsidRDefault="0078763F" w:rsidP="00316679">
      <w:pPr>
        <w:spacing w:after="0" w:line="240" w:lineRule="auto"/>
        <w:ind w:left="426" w:right="8"/>
        <w:rPr>
          <w:sz w:val="22"/>
        </w:rPr>
      </w:pPr>
      <w:r w:rsidRPr="009B4A73">
        <w:rPr>
          <w:sz w:val="22"/>
        </w:rPr>
        <w:t xml:space="preserve">Schedule 4 – Prescription Only Medicine </w:t>
      </w:r>
    </w:p>
    <w:p w14:paraId="2CF9D3BF" w14:textId="073D04BB" w:rsidR="00A02B29" w:rsidRPr="009B4A73" w:rsidRDefault="00A02B29" w:rsidP="00316679">
      <w:pPr>
        <w:spacing w:after="0" w:line="240" w:lineRule="auto"/>
        <w:ind w:left="426" w:right="8"/>
        <w:rPr>
          <w:sz w:val="22"/>
        </w:rPr>
      </w:pPr>
    </w:p>
    <w:p w14:paraId="4AEB3234" w14:textId="77777777" w:rsidR="00A02B29" w:rsidRPr="009B4A73" w:rsidRDefault="00A02B29" w:rsidP="00316679">
      <w:pPr>
        <w:spacing w:after="0" w:line="240" w:lineRule="auto"/>
        <w:ind w:left="426" w:right="8"/>
        <w:rPr>
          <w:sz w:val="22"/>
        </w:rPr>
      </w:pPr>
    </w:p>
    <w:p w14:paraId="4B6F7809" w14:textId="0527FB83" w:rsidR="00A02B29" w:rsidRPr="009B4A73" w:rsidRDefault="0078763F" w:rsidP="00391329">
      <w:pPr>
        <w:pStyle w:val="Heading1"/>
        <w:tabs>
          <w:tab w:val="left" w:pos="426"/>
        </w:tabs>
        <w:spacing w:after="0" w:line="240" w:lineRule="auto"/>
        <w:ind w:left="426" w:hanging="426"/>
        <w:rPr>
          <w:sz w:val="22"/>
        </w:rPr>
      </w:pPr>
      <w:r w:rsidRPr="009B4A73">
        <w:rPr>
          <w:sz w:val="22"/>
        </w:rPr>
        <w:t>8.</w:t>
      </w:r>
      <w:r w:rsidR="00665ECB" w:rsidRPr="009B4A73">
        <w:rPr>
          <w:rFonts w:eastAsia="Arial"/>
          <w:sz w:val="22"/>
        </w:rPr>
        <w:tab/>
      </w:r>
      <w:r w:rsidRPr="009B4A73">
        <w:rPr>
          <w:sz w:val="22"/>
        </w:rPr>
        <w:t xml:space="preserve">SPONSOR </w:t>
      </w:r>
    </w:p>
    <w:p w14:paraId="5BA98919" w14:textId="77777777" w:rsidR="00A02B29" w:rsidRPr="009B4A73" w:rsidRDefault="00A02B29" w:rsidP="00316679">
      <w:pPr>
        <w:spacing w:after="0" w:line="240" w:lineRule="auto"/>
        <w:ind w:left="426"/>
        <w:rPr>
          <w:sz w:val="22"/>
        </w:rPr>
      </w:pPr>
    </w:p>
    <w:p w14:paraId="6366CBE0" w14:textId="55136B39" w:rsidR="00D92EBC" w:rsidRPr="009B4A73" w:rsidRDefault="00C931FC" w:rsidP="00316679">
      <w:pPr>
        <w:spacing w:after="11" w:line="240" w:lineRule="auto"/>
        <w:ind w:left="426" w:right="8"/>
        <w:rPr>
          <w:sz w:val="22"/>
        </w:rPr>
      </w:pPr>
      <w:r w:rsidRPr="009B4A73">
        <w:rPr>
          <w:sz w:val="22"/>
        </w:rPr>
        <w:t>Cipla Australia Pty Ltd</w:t>
      </w:r>
      <w:r w:rsidR="009A6B79" w:rsidRPr="009B4A73">
        <w:rPr>
          <w:sz w:val="22"/>
        </w:rPr>
        <w:t>,</w:t>
      </w:r>
    </w:p>
    <w:p w14:paraId="314AC990" w14:textId="77777777" w:rsidR="0037689D" w:rsidRPr="009B4A73" w:rsidRDefault="0037689D" w:rsidP="00316679">
      <w:pPr>
        <w:spacing w:after="11" w:line="240" w:lineRule="auto"/>
        <w:ind w:left="426" w:right="8"/>
        <w:rPr>
          <w:bCs/>
          <w:sz w:val="22"/>
          <w:lang w:val="en-US"/>
        </w:rPr>
      </w:pPr>
      <w:r w:rsidRPr="009B4A73">
        <w:rPr>
          <w:bCs/>
          <w:sz w:val="22"/>
          <w:lang w:val="en-US"/>
        </w:rPr>
        <w:t xml:space="preserve">Level 1 / 132-136 </w:t>
      </w:r>
      <w:proofErr w:type="gramStart"/>
      <w:r w:rsidRPr="009B4A73">
        <w:rPr>
          <w:bCs/>
          <w:sz w:val="22"/>
          <w:lang w:val="en-US"/>
        </w:rPr>
        <w:t>Albert road</w:t>
      </w:r>
      <w:proofErr w:type="gramEnd"/>
      <w:r w:rsidRPr="009B4A73">
        <w:rPr>
          <w:bCs/>
          <w:sz w:val="22"/>
          <w:lang w:val="en-US"/>
        </w:rPr>
        <w:t xml:space="preserve">, </w:t>
      </w:r>
    </w:p>
    <w:p w14:paraId="4FA0117B" w14:textId="7C330A74" w:rsidR="009A6B79" w:rsidRPr="009B4A73" w:rsidRDefault="0037689D" w:rsidP="00316679">
      <w:pPr>
        <w:spacing w:after="11" w:line="240" w:lineRule="auto"/>
        <w:ind w:left="426" w:right="8"/>
        <w:rPr>
          <w:bCs/>
          <w:sz w:val="22"/>
          <w:lang w:val="en-US"/>
        </w:rPr>
      </w:pPr>
      <w:r w:rsidRPr="009B4A73">
        <w:rPr>
          <w:bCs/>
          <w:sz w:val="22"/>
          <w:lang w:val="en-US"/>
        </w:rPr>
        <w:t>SOUTH MELBOURNE VIC 3205.</w:t>
      </w:r>
    </w:p>
    <w:p w14:paraId="46B9A9A7" w14:textId="77777777" w:rsidR="0071451A" w:rsidRPr="009B4A73" w:rsidRDefault="0071451A" w:rsidP="0071451A">
      <w:pPr>
        <w:spacing w:after="11" w:line="240" w:lineRule="auto"/>
        <w:ind w:left="426" w:right="8"/>
        <w:rPr>
          <w:sz w:val="22"/>
        </w:rPr>
      </w:pPr>
      <w:r w:rsidRPr="009B4A73">
        <w:rPr>
          <w:sz w:val="22"/>
        </w:rPr>
        <w:t>drugsafety@cipla.com</w:t>
      </w:r>
    </w:p>
    <w:p w14:paraId="5BAE33F9" w14:textId="77777777" w:rsidR="0071451A" w:rsidRPr="009B4A73" w:rsidRDefault="0071451A" w:rsidP="0071451A">
      <w:pPr>
        <w:spacing w:after="11" w:line="240" w:lineRule="auto"/>
        <w:ind w:left="426" w:right="8"/>
        <w:rPr>
          <w:sz w:val="22"/>
        </w:rPr>
      </w:pPr>
      <w:r w:rsidRPr="009B4A73">
        <w:rPr>
          <w:sz w:val="22"/>
        </w:rPr>
        <w:t>Phone: 1800-569-074</w:t>
      </w:r>
    </w:p>
    <w:p w14:paraId="4302724C" w14:textId="3095F203" w:rsidR="00D92EBC" w:rsidRPr="009B4A73" w:rsidRDefault="00D92EBC" w:rsidP="00316679">
      <w:pPr>
        <w:spacing w:after="11" w:line="240" w:lineRule="auto"/>
        <w:ind w:left="426" w:right="8"/>
        <w:rPr>
          <w:sz w:val="22"/>
        </w:rPr>
      </w:pPr>
    </w:p>
    <w:p w14:paraId="3566F2D5" w14:textId="03721DFB" w:rsidR="00A02B29" w:rsidRPr="009B4A73" w:rsidRDefault="00A02B29" w:rsidP="00316679">
      <w:pPr>
        <w:spacing w:after="0" w:line="240" w:lineRule="auto"/>
        <w:ind w:left="426" w:right="8"/>
        <w:rPr>
          <w:sz w:val="22"/>
        </w:rPr>
      </w:pPr>
    </w:p>
    <w:p w14:paraId="1B7F4FBE" w14:textId="5539B18C" w:rsidR="00A02B29" w:rsidRPr="009B4A73" w:rsidRDefault="0078763F" w:rsidP="00391329">
      <w:pPr>
        <w:pStyle w:val="Heading1"/>
        <w:tabs>
          <w:tab w:val="left" w:pos="426"/>
        </w:tabs>
        <w:spacing w:after="0" w:line="240" w:lineRule="auto"/>
        <w:ind w:left="426" w:hanging="426"/>
        <w:rPr>
          <w:sz w:val="22"/>
        </w:rPr>
      </w:pPr>
      <w:r w:rsidRPr="009B4A73">
        <w:rPr>
          <w:sz w:val="22"/>
        </w:rPr>
        <w:t>9</w:t>
      </w:r>
      <w:r w:rsidR="00665ECB" w:rsidRPr="009B4A73">
        <w:rPr>
          <w:sz w:val="22"/>
        </w:rPr>
        <w:tab/>
      </w:r>
      <w:proofErr w:type="gramStart"/>
      <w:r w:rsidRPr="009B4A73">
        <w:rPr>
          <w:sz w:val="22"/>
        </w:rPr>
        <w:t>DATE</w:t>
      </w:r>
      <w:proofErr w:type="gramEnd"/>
      <w:r w:rsidRPr="009B4A73">
        <w:rPr>
          <w:sz w:val="22"/>
        </w:rPr>
        <w:t xml:space="preserve"> OF FIRST APPROVAL</w:t>
      </w:r>
    </w:p>
    <w:p w14:paraId="06600952" w14:textId="497EAB52" w:rsidR="00D92EBC" w:rsidRPr="009B4A73" w:rsidRDefault="0078763F" w:rsidP="00316679">
      <w:pPr>
        <w:pStyle w:val="Heading1"/>
        <w:spacing w:after="0" w:line="240" w:lineRule="auto"/>
        <w:ind w:left="426"/>
        <w:rPr>
          <w:sz w:val="22"/>
        </w:rPr>
      </w:pPr>
      <w:r w:rsidRPr="009B4A73">
        <w:rPr>
          <w:sz w:val="22"/>
        </w:rPr>
        <w:t xml:space="preserve"> </w:t>
      </w:r>
    </w:p>
    <w:p w14:paraId="1E321D27" w14:textId="0E7D9200" w:rsidR="00A02B29" w:rsidRPr="009B4A73" w:rsidRDefault="00A7154F" w:rsidP="00316679">
      <w:pPr>
        <w:spacing w:after="0" w:line="240" w:lineRule="auto"/>
        <w:ind w:left="426" w:right="5685"/>
        <w:rPr>
          <w:sz w:val="22"/>
        </w:rPr>
      </w:pPr>
      <w:r>
        <w:rPr>
          <w:sz w:val="22"/>
        </w:rPr>
        <w:t>07.07.2022</w:t>
      </w:r>
    </w:p>
    <w:p w14:paraId="0B9BB4B8" w14:textId="77777777" w:rsidR="00A02B29" w:rsidRPr="009B4A73" w:rsidRDefault="00A02B29" w:rsidP="00316679">
      <w:pPr>
        <w:spacing w:after="0" w:line="240" w:lineRule="auto"/>
        <w:ind w:left="426" w:right="5685"/>
        <w:rPr>
          <w:sz w:val="22"/>
        </w:rPr>
      </w:pPr>
    </w:p>
    <w:p w14:paraId="4A2F0092" w14:textId="47AC19EC" w:rsidR="00D92EBC" w:rsidRPr="009B4A73" w:rsidRDefault="0078763F" w:rsidP="00391329">
      <w:pPr>
        <w:pStyle w:val="Heading1"/>
        <w:tabs>
          <w:tab w:val="left" w:pos="426"/>
        </w:tabs>
        <w:spacing w:after="0" w:line="240" w:lineRule="auto"/>
        <w:ind w:left="426" w:hanging="426"/>
        <w:rPr>
          <w:sz w:val="22"/>
        </w:rPr>
      </w:pPr>
      <w:r w:rsidRPr="009B4A73">
        <w:rPr>
          <w:sz w:val="22"/>
        </w:rPr>
        <w:t>10</w:t>
      </w:r>
      <w:r w:rsidR="00665ECB" w:rsidRPr="009B4A73">
        <w:rPr>
          <w:sz w:val="22"/>
        </w:rPr>
        <w:tab/>
      </w:r>
      <w:proofErr w:type="gramStart"/>
      <w:r w:rsidRPr="009B4A73">
        <w:rPr>
          <w:sz w:val="22"/>
        </w:rPr>
        <w:t>DATE</w:t>
      </w:r>
      <w:proofErr w:type="gramEnd"/>
      <w:r w:rsidRPr="009B4A73">
        <w:rPr>
          <w:sz w:val="22"/>
        </w:rPr>
        <w:t xml:space="preserve"> OF REVISION OF THE TEXT </w:t>
      </w:r>
    </w:p>
    <w:p w14:paraId="4E37B4FF" w14:textId="77777777" w:rsidR="00A02B29" w:rsidRPr="009B4A73" w:rsidRDefault="00A02B29" w:rsidP="00316679">
      <w:pPr>
        <w:spacing w:after="0" w:line="240" w:lineRule="auto"/>
        <w:ind w:left="426"/>
        <w:rPr>
          <w:sz w:val="22"/>
        </w:rPr>
      </w:pPr>
    </w:p>
    <w:p w14:paraId="57DDB6D9" w14:textId="77777777" w:rsidR="00C931FC" w:rsidRPr="009B4A73" w:rsidRDefault="00C931FC" w:rsidP="00316679">
      <w:pPr>
        <w:spacing w:after="0" w:line="240" w:lineRule="auto"/>
        <w:ind w:left="426" w:right="8" w:firstLine="0"/>
        <w:rPr>
          <w:sz w:val="22"/>
          <w:lang w:val="en-US"/>
        </w:rPr>
      </w:pPr>
      <w:r w:rsidRPr="009B4A73">
        <w:rPr>
          <w:sz w:val="22"/>
        </w:rPr>
        <w:t>[Item to be completed at the time of approval]</w:t>
      </w:r>
      <w:r w:rsidRPr="009B4A73">
        <w:rPr>
          <w:sz w:val="22"/>
          <w:lang w:val="en-US"/>
        </w:rPr>
        <w:t xml:space="preserve"> </w:t>
      </w:r>
    </w:p>
    <w:p w14:paraId="69C59A4C" w14:textId="052E8F80" w:rsidR="00A02B29" w:rsidRPr="009B4A73" w:rsidRDefault="0078763F" w:rsidP="00316679">
      <w:pPr>
        <w:spacing w:after="0" w:line="240" w:lineRule="auto"/>
        <w:ind w:left="426" w:right="8" w:firstLine="0"/>
        <w:rPr>
          <w:sz w:val="22"/>
        </w:rPr>
      </w:pPr>
      <w:r w:rsidRPr="009B4A73">
        <w:rPr>
          <w:sz w:val="22"/>
        </w:rPr>
        <w:t xml:space="preserve"> </w:t>
      </w:r>
    </w:p>
    <w:p w14:paraId="0FB10287" w14:textId="5CBD3C7C" w:rsidR="00D92EBC" w:rsidRPr="009B4A73" w:rsidRDefault="0078763F" w:rsidP="00316679">
      <w:pPr>
        <w:pStyle w:val="Heading2"/>
        <w:spacing w:after="0" w:line="240" w:lineRule="auto"/>
        <w:ind w:left="426"/>
        <w:rPr>
          <w:sz w:val="22"/>
        </w:rPr>
      </w:pPr>
      <w:r w:rsidRPr="009B4A73">
        <w:rPr>
          <w:sz w:val="22"/>
        </w:rPr>
        <w:t xml:space="preserve">Summary table of changes </w:t>
      </w:r>
    </w:p>
    <w:p w14:paraId="62C649F2" w14:textId="77777777" w:rsidR="00A02B29" w:rsidRPr="009B4A73" w:rsidRDefault="00A02B29" w:rsidP="00316679">
      <w:pPr>
        <w:spacing w:after="0" w:line="240" w:lineRule="auto"/>
        <w:ind w:left="426"/>
        <w:rPr>
          <w:sz w:val="22"/>
        </w:rPr>
      </w:pPr>
    </w:p>
    <w:tbl>
      <w:tblPr>
        <w:tblStyle w:val="TableGrid"/>
        <w:tblW w:w="4799" w:type="pct"/>
        <w:tblInd w:w="421" w:type="dxa"/>
        <w:tblCellMar>
          <w:top w:w="14" w:type="dxa"/>
          <w:left w:w="108" w:type="dxa"/>
          <w:right w:w="55" w:type="dxa"/>
        </w:tblCellMar>
        <w:tblLook w:val="04A0" w:firstRow="1" w:lastRow="0" w:firstColumn="1" w:lastColumn="0" w:noHBand="0" w:noVBand="1"/>
      </w:tblPr>
      <w:tblGrid>
        <w:gridCol w:w="2267"/>
        <w:gridCol w:w="7773"/>
      </w:tblGrid>
      <w:tr w:rsidR="00D92EBC" w:rsidRPr="009B4A73" w14:paraId="6A742218" w14:textId="77777777" w:rsidTr="0071451A">
        <w:trPr>
          <w:trHeight w:val="286"/>
        </w:trPr>
        <w:tc>
          <w:tcPr>
            <w:tcW w:w="1129" w:type="pct"/>
            <w:tcBorders>
              <w:top w:val="single" w:sz="4" w:space="0" w:color="000000"/>
              <w:left w:val="single" w:sz="4" w:space="0" w:color="000000"/>
              <w:bottom w:val="single" w:sz="4" w:space="0" w:color="000000"/>
              <w:right w:val="single" w:sz="4" w:space="0" w:color="000000"/>
            </w:tcBorders>
          </w:tcPr>
          <w:p w14:paraId="14BAA48D" w14:textId="77777777" w:rsidR="00D92EBC" w:rsidRPr="009B4A73" w:rsidRDefault="0078763F" w:rsidP="00316679">
            <w:pPr>
              <w:spacing w:after="0" w:line="240" w:lineRule="auto"/>
              <w:ind w:left="426" w:firstLine="0"/>
              <w:jc w:val="both"/>
              <w:rPr>
                <w:sz w:val="22"/>
              </w:rPr>
            </w:pPr>
            <w:r w:rsidRPr="009B4A73">
              <w:rPr>
                <w:b/>
                <w:sz w:val="22"/>
              </w:rPr>
              <w:t xml:space="preserve">Section Changed </w:t>
            </w:r>
          </w:p>
        </w:tc>
        <w:tc>
          <w:tcPr>
            <w:tcW w:w="3871" w:type="pct"/>
            <w:tcBorders>
              <w:top w:val="single" w:sz="4" w:space="0" w:color="000000"/>
              <w:left w:val="single" w:sz="4" w:space="0" w:color="000000"/>
              <w:bottom w:val="single" w:sz="4" w:space="0" w:color="000000"/>
              <w:right w:val="single" w:sz="4" w:space="0" w:color="000000"/>
            </w:tcBorders>
          </w:tcPr>
          <w:p w14:paraId="57476ED7" w14:textId="77777777" w:rsidR="00D92EBC" w:rsidRPr="009B4A73" w:rsidRDefault="0078763F" w:rsidP="00316679">
            <w:pPr>
              <w:spacing w:after="0" w:line="240" w:lineRule="auto"/>
              <w:ind w:left="426" w:firstLine="0"/>
              <w:rPr>
                <w:sz w:val="22"/>
              </w:rPr>
            </w:pPr>
            <w:r w:rsidRPr="009B4A73">
              <w:rPr>
                <w:b/>
                <w:sz w:val="22"/>
              </w:rPr>
              <w:t xml:space="preserve">Summary of new information </w:t>
            </w:r>
          </w:p>
        </w:tc>
      </w:tr>
      <w:tr w:rsidR="00C931FC" w:rsidRPr="009B4A73" w14:paraId="13A2D373" w14:textId="77777777" w:rsidTr="0071451A">
        <w:trPr>
          <w:trHeight w:val="286"/>
        </w:trPr>
        <w:tc>
          <w:tcPr>
            <w:tcW w:w="1129" w:type="pct"/>
            <w:tcBorders>
              <w:top w:val="single" w:sz="4" w:space="0" w:color="000000"/>
              <w:left w:val="single" w:sz="4" w:space="0" w:color="000000"/>
              <w:bottom w:val="single" w:sz="4" w:space="0" w:color="000000"/>
              <w:right w:val="single" w:sz="4" w:space="0" w:color="000000"/>
            </w:tcBorders>
          </w:tcPr>
          <w:p w14:paraId="3D278EB5" w14:textId="77FFFFE3" w:rsidR="00C931FC" w:rsidRPr="009B4A73" w:rsidRDefault="00C931FC" w:rsidP="00316679">
            <w:pPr>
              <w:spacing w:after="0" w:line="240" w:lineRule="auto"/>
              <w:ind w:left="426" w:firstLine="0"/>
              <w:jc w:val="both"/>
              <w:rPr>
                <w:bCs/>
                <w:sz w:val="22"/>
              </w:rPr>
            </w:pPr>
            <w:r w:rsidRPr="009B4A73">
              <w:rPr>
                <w:bCs/>
                <w:sz w:val="22"/>
              </w:rPr>
              <w:t>NA</w:t>
            </w:r>
          </w:p>
        </w:tc>
        <w:tc>
          <w:tcPr>
            <w:tcW w:w="3871" w:type="pct"/>
            <w:tcBorders>
              <w:top w:val="single" w:sz="4" w:space="0" w:color="000000"/>
              <w:left w:val="single" w:sz="4" w:space="0" w:color="000000"/>
              <w:bottom w:val="single" w:sz="4" w:space="0" w:color="000000"/>
              <w:right w:val="single" w:sz="4" w:space="0" w:color="000000"/>
            </w:tcBorders>
          </w:tcPr>
          <w:p w14:paraId="319A9DC1" w14:textId="6FB5EA0A" w:rsidR="00C931FC" w:rsidRPr="009B4A73" w:rsidRDefault="00C931FC" w:rsidP="00316679">
            <w:pPr>
              <w:spacing w:after="0" w:line="240" w:lineRule="auto"/>
              <w:ind w:left="426" w:firstLine="0"/>
              <w:rPr>
                <w:bCs/>
                <w:sz w:val="22"/>
              </w:rPr>
            </w:pPr>
            <w:r w:rsidRPr="009B4A73">
              <w:rPr>
                <w:bCs/>
                <w:sz w:val="22"/>
              </w:rPr>
              <w:t>NA</w:t>
            </w:r>
          </w:p>
        </w:tc>
      </w:tr>
    </w:tbl>
    <w:p w14:paraId="4D573E38" w14:textId="33C3FE48" w:rsidR="00D92EBC" w:rsidRPr="008A4FFA" w:rsidRDefault="0078763F" w:rsidP="00316679">
      <w:pPr>
        <w:spacing w:after="0" w:line="240" w:lineRule="auto"/>
        <w:ind w:left="426" w:firstLine="0"/>
        <w:rPr>
          <w:sz w:val="22"/>
        </w:rPr>
      </w:pPr>
      <w:r w:rsidRPr="009B4A73">
        <w:rPr>
          <w:sz w:val="22"/>
        </w:rPr>
        <w:t xml:space="preserve"> </w:t>
      </w:r>
      <w:r w:rsidR="00665ECB" w:rsidRPr="009B4A73">
        <w:rPr>
          <w:sz w:val="22"/>
        </w:rPr>
        <w:t>NA- Not Applicable</w:t>
      </w:r>
    </w:p>
    <w:sectPr w:rsidR="00D92EBC" w:rsidRPr="008A4FFA">
      <w:headerReference w:type="default" r:id="rId17"/>
      <w:footerReference w:type="even" r:id="rId18"/>
      <w:footerReference w:type="default" r:id="rId19"/>
      <w:footerReference w:type="first" r:id="rId20"/>
      <w:pgSz w:w="11906" w:h="16838"/>
      <w:pgMar w:top="725" w:right="715" w:bottom="870" w:left="720" w:header="720" w:footer="6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AAC20" w14:textId="77777777" w:rsidR="00814A1A" w:rsidRDefault="00814A1A">
      <w:pPr>
        <w:spacing w:after="0" w:line="240" w:lineRule="auto"/>
      </w:pPr>
      <w:r>
        <w:separator/>
      </w:r>
    </w:p>
  </w:endnote>
  <w:endnote w:type="continuationSeparator" w:id="0">
    <w:p w14:paraId="126FAF3B" w14:textId="77777777" w:rsidR="00814A1A" w:rsidRDefault="00814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CD1B0" w14:textId="77777777" w:rsidR="00BD23B5" w:rsidRDefault="00BD23B5">
    <w:pPr>
      <w:tabs>
        <w:tab w:val="center" w:pos="4513"/>
        <w:tab w:val="center" w:pos="8977"/>
      </w:tabs>
      <w:spacing w:after="0" w:line="259" w:lineRule="auto"/>
      <w:ind w:left="0" w:firstLine="0"/>
    </w:pPr>
    <w:r>
      <w:rPr>
        <w:sz w:val="20"/>
      </w:rPr>
      <w:t xml:space="preserve">ropherce10520 </w:t>
    </w:r>
    <w:r>
      <w:rPr>
        <w:sz w:val="20"/>
      </w:rPr>
      <w:tab/>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CAADE" w14:textId="6643D20D" w:rsidR="00BD23B5" w:rsidRDefault="00BD23B5">
    <w:pPr>
      <w:tabs>
        <w:tab w:val="center" w:pos="4513"/>
        <w:tab w:val="center" w:pos="8977"/>
      </w:tabs>
      <w:spacing w:after="0" w:line="259" w:lineRule="auto"/>
      <w:ind w:left="0" w:firstLine="0"/>
    </w:pPr>
    <w:r>
      <w:rPr>
        <w:sz w:val="20"/>
      </w:rPr>
      <w:tab/>
      <w:t xml:space="preserve"> </w:t>
    </w:r>
    <w:r>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D9C44" w14:textId="77777777" w:rsidR="00BD23B5" w:rsidRDefault="00BD23B5">
    <w:pPr>
      <w:tabs>
        <w:tab w:val="center" w:pos="4513"/>
        <w:tab w:val="center" w:pos="8977"/>
      </w:tabs>
      <w:spacing w:after="0" w:line="259" w:lineRule="auto"/>
      <w:ind w:left="0" w:firstLine="0"/>
    </w:pPr>
    <w:r>
      <w:rPr>
        <w:sz w:val="20"/>
      </w:rPr>
      <w:t xml:space="preserve">ropherce10520 </w:t>
    </w:r>
    <w:r>
      <w:rPr>
        <w:sz w:val="20"/>
      </w:rPr>
      <w:tab/>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44532" w14:textId="77777777" w:rsidR="00814A1A" w:rsidRDefault="00814A1A">
      <w:pPr>
        <w:spacing w:after="0" w:line="240" w:lineRule="auto"/>
      </w:pPr>
      <w:r>
        <w:separator/>
      </w:r>
    </w:p>
  </w:footnote>
  <w:footnote w:type="continuationSeparator" w:id="0">
    <w:p w14:paraId="6C8A5D2E" w14:textId="77777777" w:rsidR="00814A1A" w:rsidRDefault="00814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0"/>
      <w:tblW w:w="0" w:type="auto"/>
      <w:shd w:val="clear" w:color="auto" w:fill="E4F2E0"/>
      <w:tblLook w:val="04A0" w:firstRow="1" w:lastRow="0" w:firstColumn="1" w:lastColumn="0" w:noHBand="0" w:noVBand="1"/>
    </w:tblPr>
    <w:tblGrid>
      <w:gridCol w:w="9039"/>
    </w:tblGrid>
    <w:tr w:rsidR="00C05947" w:rsidRPr="000B2145" w14:paraId="0F2B067A" w14:textId="77777777" w:rsidTr="00C95FAC">
      <w:trPr>
        <w:trHeight w:val="1012"/>
      </w:trPr>
      <w:tc>
        <w:tcPr>
          <w:tcW w:w="9039" w:type="dxa"/>
          <w:shd w:val="clear" w:color="auto" w:fill="E4F2E0"/>
        </w:tcPr>
        <w:p w14:paraId="3F57C18F" w14:textId="77777777" w:rsidR="00C05947" w:rsidRPr="00F84E56" w:rsidRDefault="00C05947" w:rsidP="00C05947">
          <w:pPr>
            <w:pStyle w:val="Footer"/>
            <w:rPr>
              <w:b/>
              <w:sz w:val="18"/>
              <w:szCs w:val="18"/>
            </w:rPr>
          </w:pPr>
          <w:bookmarkStart w:id="2" w:name="_Hlk109054010"/>
          <w:r w:rsidRPr="00EE2A41">
            <w:rPr>
              <w:b/>
              <w:sz w:val="18"/>
              <w:szCs w:val="18"/>
            </w:rPr>
            <w:t xml:space="preserve">Attachment </w:t>
          </w:r>
          <w:r w:rsidRPr="00F84E56">
            <w:rPr>
              <w:b/>
              <w:sz w:val="18"/>
              <w:szCs w:val="18"/>
            </w:rPr>
            <w:t xml:space="preserve">AusPAR - </w:t>
          </w:r>
          <w:proofErr w:type="spellStart"/>
          <w:r w:rsidRPr="00F84E56">
            <w:rPr>
              <w:b/>
              <w:sz w:val="18"/>
              <w:szCs w:val="18"/>
            </w:rPr>
            <w:t>Trastucip</w:t>
          </w:r>
          <w:proofErr w:type="spellEnd"/>
          <w:r w:rsidRPr="00F84E56">
            <w:rPr>
              <w:b/>
              <w:sz w:val="18"/>
              <w:szCs w:val="18"/>
            </w:rPr>
            <w:t xml:space="preserve"> and </w:t>
          </w:r>
          <w:proofErr w:type="spellStart"/>
          <w:r w:rsidRPr="00F84E56">
            <w:rPr>
              <w:b/>
              <w:sz w:val="18"/>
              <w:szCs w:val="18"/>
            </w:rPr>
            <w:t>Tuzucip</w:t>
          </w:r>
          <w:proofErr w:type="spellEnd"/>
          <w:r w:rsidRPr="00F84E56">
            <w:rPr>
              <w:b/>
              <w:sz w:val="18"/>
              <w:szCs w:val="18"/>
            </w:rPr>
            <w:t xml:space="preserve"> - Trastuzumab - Cipla Australia Pty Ltd - PM-2021-00873-1-4</w:t>
          </w:r>
        </w:p>
        <w:p w14:paraId="24A954E8" w14:textId="77777777" w:rsidR="00C05947" w:rsidRPr="000E4791" w:rsidRDefault="00C05947" w:rsidP="00C05947">
          <w:pPr>
            <w:pStyle w:val="Footer"/>
            <w:rPr>
              <w:b/>
              <w:sz w:val="18"/>
              <w:szCs w:val="18"/>
            </w:rPr>
          </w:pPr>
          <w:r w:rsidRPr="00F84E56">
            <w:rPr>
              <w:b/>
              <w:sz w:val="18"/>
              <w:szCs w:val="18"/>
            </w:rPr>
            <w:t>FINAL - 18 April 2023</w:t>
          </w:r>
          <w:r>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2"/>
  </w:tbl>
  <w:p w14:paraId="737F97CF" w14:textId="77777777" w:rsidR="00C05947" w:rsidRDefault="00C059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0EBB"/>
    <w:multiLevelType w:val="hybridMultilevel"/>
    <w:tmpl w:val="88B8704A"/>
    <w:lvl w:ilvl="0" w:tplc="53AA0A1A">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C6E4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0098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3233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443E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AC44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1A12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1E45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C8F6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9167C3"/>
    <w:multiLevelType w:val="hybridMultilevel"/>
    <w:tmpl w:val="CE9CB436"/>
    <w:lvl w:ilvl="0" w:tplc="4E1868DA">
      <w:start w:val="1"/>
      <w:numFmt w:val="decimal"/>
      <w:lvlText w:val="%1."/>
      <w:lvlJc w:val="left"/>
      <w:pPr>
        <w:ind w:left="492" w:hanging="360"/>
      </w:pPr>
      <w:rPr>
        <w:rFonts w:hint="default"/>
      </w:rPr>
    </w:lvl>
    <w:lvl w:ilvl="1" w:tplc="40090019" w:tentative="1">
      <w:start w:val="1"/>
      <w:numFmt w:val="lowerLetter"/>
      <w:lvlText w:val="%2."/>
      <w:lvlJc w:val="left"/>
      <w:pPr>
        <w:ind w:left="1212" w:hanging="360"/>
      </w:pPr>
    </w:lvl>
    <w:lvl w:ilvl="2" w:tplc="4009001B" w:tentative="1">
      <w:start w:val="1"/>
      <w:numFmt w:val="lowerRoman"/>
      <w:lvlText w:val="%3."/>
      <w:lvlJc w:val="right"/>
      <w:pPr>
        <w:ind w:left="1932" w:hanging="180"/>
      </w:pPr>
    </w:lvl>
    <w:lvl w:ilvl="3" w:tplc="4009000F" w:tentative="1">
      <w:start w:val="1"/>
      <w:numFmt w:val="decimal"/>
      <w:lvlText w:val="%4."/>
      <w:lvlJc w:val="left"/>
      <w:pPr>
        <w:ind w:left="2652" w:hanging="360"/>
      </w:pPr>
    </w:lvl>
    <w:lvl w:ilvl="4" w:tplc="40090019" w:tentative="1">
      <w:start w:val="1"/>
      <w:numFmt w:val="lowerLetter"/>
      <w:lvlText w:val="%5."/>
      <w:lvlJc w:val="left"/>
      <w:pPr>
        <w:ind w:left="3372" w:hanging="360"/>
      </w:pPr>
    </w:lvl>
    <w:lvl w:ilvl="5" w:tplc="4009001B" w:tentative="1">
      <w:start w:val="1"/>
      <w:numFmt w:val="lowerRoman"/>
      <w:lvlText w:val="%6."/>
      <w:lvlJc w:val="right"/>
      <w:pPr>
        <w:ind w:left="4092" w:hanging="180"/>
      </w:pPr>
    </w:lvl>
    <w:lvl w:ilvl="6" w:tplc="4009000F" w:tentative="1">
      <w:start w:val="1"/>
      <w:numFmt w:val="decimal"/>
      <w:lvlText w:val="%7."/>
      <w:lvlJc w:val="left"/>
      <w:pPr>
        <w:ind w:left="4812" w:hanging="360"/>
      </w:pPr>
    </w:lvl>
    <w:lvl w:ilvl="7" w:tplc="40090019" w:tentative="1">
      <w:start w:val="1"/>
      <w:numFmt w:val="lowerLetter"/>
      <w:lvlText w:val="%8."/>
      <w:lvlJc w:val="left"/>
      <w:pPr>
        <w:ind w:left="5532" w:hanging="360"/>
      </w:pPr>
    </w:lvl>
    <w:lvl w:ilvl="8" w:tplc="4009001B" w:tentative="1">
      <w:start w:val="1"/>
      <w:numFmt w:val="lowerRoman"/>
      <w:lvlText w:val="%9."/>
      <w:lvlJc w:val="right"/>
      <w:pPr>
        <w:ind w:left="6252" w:hanging="180"/>
      </w:pPr>
    </w:lvl>
  </w:abstractNum>
  <w:abstractNum w:abstractNumId="2" w15:restartNumberingAfterBreak="0">
    <w:nsid w:val="258F0938"/>
    <w:multiLevelType w:val="hybridMultilevel"/>
    <w:tmpl w:val="951A9B24"/>
    <w:lvl w:ilvl="0" w:tplc="28CC9B3A">
      <w:start w:val="1"/>
      <w:numFmt w:val="bullet"/>
      <w:lvlText w:val="•"/>
      <w:lvlJc w:val="left"/>
      <w:pPr>
        <w:ind w:left="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A6C14E">
      <w:start w:val="1"/>
      <w:numFmt w:val="bullet"/>
      <w:lvlText w:val="o"/>
      <w:lvlJc w:val="left"/>
      <w:pPr>
        <w:ind w:left="1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D9894E2">
      <w:start w:val="1"/>
      <w:numFmt w:val="bullet"/>
      <w:lvlText w:val="▪"/>
      <w:lvlJc w:val="left"/>
      <w:pPr>
        <w:ind w:left="2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44501E">
      <w:start w:val="1"/>
      <w:numFmt w:val="bullet"/>
      <w:lvlText w:val="•"/>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5C07E2">
      <w:start w:val="1"/>
      <w:numFmt w:val="bullet"/>
      <w:lvlText w:val="o"/>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86322E">
      <w:start w:val="1"/>
      <w:numFmt w:val="bullet"/>
      <w:lvlText w:val="▪"/>
      <w:lvlJc w:val="left"/>
      <w:pPr>
        <w:ind w:left="4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6E0AD0">
      <w:start w:val="1"/>
      <w:numFmt w:val="bullet"/>
      <w:lvlText w:val="•"/>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06AD62">
      <w:start w:val="1"/>
      <w:numFmt w:val="bullet"/>
      <w:lvlText w:val="o"/>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5A9CF2">
      <w:start w:val="1"/>
      <w:numFmt w:val="bullet"/>
      <w:lvlText w:val="▪"/>
      <w:lvlJc w:val="left"/>
      <w:pPr>
        <w:ind w:left="6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8532FEB"/>
    <w:multiLevelType w:val="hybridMultilevel"/>
    <w:tmpl w:val="2DFED22C"/>
    <w:lvl w:ilvl="0" w:tplc="6E122BE4">
      <w:start w:val="1"/>
      <w:numFmt w:val="decimal"/>
      <w:lvlText w:val="%1)"/>
      <w:lvlJc w:val="left"/>
      <w:pPr>
        <w:ind w:left="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5C827E">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FA8560">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AA845A">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7C7970">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4490EE">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04875E">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1295AC">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94E214">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7BF5280"/>
    <w:multiLevelType w:val="hybridMultilevel"/>
    <w:tmpl w:val="631477D0"/>
    <w:lvl w:ilvl="0" w:tplc="D2547DB4">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5AF49C">
      <w:start w:val="1"/>
      <w:numFmt w:val="bullet"/>
      <w:lvlText w:val="o"/>
      <w:lvlJc w:val="left"/>
      <w:pPr>
        <w:ind w:left="1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42C638">
      <w:start w:val="1"/>
      <w:numFmt w:val="bullet"/>
      <w:lvlText w:val="▪"/>
      <w:lvlJc w:val="left"/>
      <w:pPr>
        <w:ind w:left="2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84ED0A">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368C52">
      <w:start w:val="1"/>
      <w:numFmt w:val="bullet"/>
      <w:lvlText w:val="o"/>
      <w:lvlJc w:val="left"/>
      <w:pPr>
        <w:ind w:left="3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A478A8">
      <w:start w:val="1"/>
      <w:numFmt w:val="bullet"/>
      <w:lvlText w:val="▪"/>
      <w:lvlJc w:val="left"/>
      <w:pPr>
        <w:ind w:left="4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46FFA4">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306190">
      <w:start w:val="1"/>
      <w:numFmt w:val="bullet"/>
      <w:lvlText w:val="o"/>
      <w:lvlJc w:val="left"/>
      <w:pPr>
        <w:ind w:left="5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E28F98">
      <w:start w:val="1"/>
      <w:numFmt w:val="bullet"/>
      <w:lvlText w:val="▪"/>
      <w:lvlJc w:val="left"/>
      <w:pPr>
        <w:ind w:left="6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97138C5"/>
    <w:multiLevelType w:val="hybridMultilevel"/>
    <w:tmpl w:val="13A64230"/>
    <w:lvl w:ilvl="0" w:tplc="A8F8CF3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B6E0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3C8F9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228E05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DA590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F8989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5C998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38A11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FE5D8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24A2F13"/>
    <w:multiLevelType w:val="hybridMultilevel"/>
    <w:tmpl w:val="2B2A318A"/>
    <w:lvl w:ilvl="0" w:tplc="FDDC7130">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BEFE08">
      <w:start w:val="1"/>
      <w:numFmt w:val="bullet"/>
      <w:lvlText w:val="o"/>
      <w:lvlJc w:val="left"/>
      <w:pPr>
        <w:ind w:left="1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E86E72">
      <w:start w:val="1"/>
      <w:numFmt w:val="bullet"/>
      <w:lvlText w:val="▪"/>
      <w:lvlJc w:val="left"/>
      <w:pPr>
        <w:ind w:left="1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982D3C6">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8EF7E8">
      <w:start w:val="1"/>
      <w:numFmt w:val="bullet"/>
      <w:lvlText w:val="o"/>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58DE7C">
      <w:start w:val="1"/>
      <w:numFmt w:val="bullet"/>
      <w:lvlText w:val="▪"/>
      <w:lvlJc w:val="left"/>
      <w:pPr>
        <w:ind w:left="4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20894E">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EC169E">
      <w:start w:val="1"/>
      <w:numFmt w:val="bullet"/>
      <w:lvlText w:val="o"/>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221C52">
      <w:start w:val="1"/>
      <w:numFmt w:val="bullet"/>
      <w:lvlText w:val="▪"/>
      <w:lvlJc w:val="left"/>
      <w:pPr>
        <w:ind w:left="6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3447482"/>
    <w:multiLevelType w:val="hybridMultilevel"/>
    <w:tmpl w:val="D2EEA642"/>
    <w:lvl w:ilvl="0" w:tplc="B92C44A8">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683D60">
      <w:start w:val="1"/>
      <w:numFmt w:val="bullet"/>
      <w:lvlText w:val="o"/>
      <w:lvlJc w:val="left"/>
      <w:pPr>
        <w:ind w:left="1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30CA1C">
      <w:start w:val="1"/>
      <w:numFmt w:val="bullet"/>
      <w:lvlText w:val="▪"/>
      <w:lvlJc w:val="left"/>
      <w:pPr>
        <w:ind w:left="1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787EFE">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2E61AE">
      <w:start w:val="1"/>
      <w:numFmt w:val="bullet"/>
      <w:lvlText w:val="o"/>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96E15A">
      <w:start w:val="1"/>
      <w:numFmt w:val="bullet"/>
      <w:lvlText w:val="▪"/>
      <w:lvlJc w:val="left"/>
      <w:pPr>
        <w:ind w:left="4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DAC478">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464554">
      <w:start w:val="1"/>
      <w:numFmt w:val="bullet"/>
      <w:lvlText w:val="o"/>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5E684C">
      <w:start w:val="1"/>
      <w:numFmt w:val="bullet"/>
      <w:lvlText w:val="▪"/>
      <w:lvlJc w:val="left"/>
      <w:pPr>
        <w:ind w:left="6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71F29A7"/>
    <w:multiLevelType w:val="hybridMultilevel"/>
    <w:tmpl w:val="58A62B42"/>
    <w:lvl w:ilvl="0" w:tplc="0A2801D8">
      <w:start w:val="1"/>
      <w:numFmt w:val="bullet"/>
      <w:lvlText w:val="•"/>
      <w:lvlJc w:val="left"/>
      <w:pPr>
        <w:ind w:left="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A018C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788BD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D22A6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4ABA98">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9042B1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6235F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BA8D5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04AAA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3"/>
  </w:num>
  <w:num w:numId="3">
    <w:abstractNumId w:val="6"/>
  </w:num>
  <w:num w:numId="4">
    <w:abstractNumId w:val="7"/>
  </w:num>
  <w:num w:numId="5">
    <w:abstractNumId w:val="5"/>
  </w:num>
  <w:num w:numId="6">
    <w:abstractNumId w:val="8"/>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EBC"/>
    <w:rsid w:val="00002131"/>
    <w:rsid w:val="00005D67"/>
    <w:rsid w:val="00011DA2"/>
    <w:rsid w:val="000168CC"/>
    <w:rsid w:val="0001700F"/>
    <w:rsid w:val="00021504"/>
    <w:rsid w:val="00025A04"/>
    <w:rsid w:val="00027D8B"/>
    <w:rsid w:val="00041D02"/>
    <w:rsid w:val="0004515C"/>
    <w:rsid w:val="00050317"/>
    <w:rsid w:val="00051ADE"/>
    <w:rsid w:val="000579F2"/>
    <w:rsid w:val="000617C4"/>
    <w:rsid w:val="00061CA4"/>
    <w:rsid w:val="0006311F"/>
    <w:rsid w:val="000643BE"/>
    <w:rsid w:val="00073932"/>
    <w:rsid w:val="00086C86"/>
    <w:rsid w:val="000A498B"/>
    <w:rsid w:val="000B1BE8"/>
    <w:rsid w:val="000B3455"/>
    <w:rsid w:val="000C02E0"/>
    <w:rsid w:val="000C097D"/>
    <w:rsid w:val="000C6DA2"/>
    <w:rsid w:val="000D622A"/>
    <w:rsid w:val="000E2357"/>
    <w:rsid w:val="000F1BC6"/>
    <w:rsid w:val="000F3381"/>
    <w:rsid w:val="00100070"/>
    <w:rsid w:val="001011F5"/>
    <w:rsid w:val="0010547B"/>
    <w:rsid w:val="00107B3B"/>
    <w:rsid w:val="00124E0F"/>
    <w:rsid w:val="00132AA4"/>
    <w:rsid w:val="001337F5"/>
    <w:rsid w:val="00161FB7"/>
    <w:rsid w:val="00163827"/>
    <w:rsid w:val="001658F6"/>
    <w:rsid w:val="00165E7F"/>
    <w:rsid w:val="00166294"/>
    <w:rsid w:val="00167C8B"/>
    <w:rsid w:val="00174DA5"/>
    <w:rsid w:val="00180C38"/>
    <w:rsid w:val="00180CBF"/>
    <w:rsid w:val="00182753"/>
    <w:rsid w:val="00182E6D"/>
    <w:rsid w:val="00195B99"/>
    <w:rsid w:val="001A3C0E"/>
    <w:rsid w:val="001A716E"/>
    <w:rsid w:val="001B4427"/>
    <w:rsid w:val="001C5E47"/>
    <w:rsid w:val="001D160F"/>
    <w:rsid w:val="001D3187"/>
    <w:rsid w:val="001E17C2"/>
    <w:rsid w:val="002059BC"/>
    <w:rsid w:val="00206B5E"/>
    <w:rsid w:val="002150C6"/>
    <w:rsid w:val="002253F0"/>
    <w:rsid w:val="00231C8D"/>
    <w:rsid w:val="002409E0"/>
    <w:rsid w:val="00261F06"/>
    <w:rsid w:val="00266D55"/>
    <w:rsid w:val="00275C6A"/>
    <w:rsid w:val="002776D5"/>
    <w:rsid w:val="00285CB6"/>
    <w:rsid w:val="00290044"/>
    <w:rsid w:val="0029057C"/>
    <w:rsid w:val="00294EE2"/>
    <w:rsid w:val="002B2B60"/>
    <w:rsid w:val="002B3239"/>
    <w:rsid w:val="002B50F0"/>
    <w:rsid w:val="002C2BB7"/>
    <w:rsid w:val="002F0BD1"/>
    <w:rsid w:val="002F2680"/>
    <w:rsid w:val="002F37F2"/>
    <w:rsid w:val="002F3DAF"/>
    <w:rsid w:val="002F46D8"/>
    <w:rsid w:val="002F5485"/>
    <w:rsid w:val="00302386"/>
    <w:rsid w:val="00316679"/>
    <w:rsid w:val="0032377B"/>
    <w:rsid w:val="0033264C"/>
    <w:rsid w:val="00332FC9"/>
    <w:rsid w:val="00345F85"/>
    <w:rsid w:val="003513DE"/>
    <w:rsid w:val="00354627"/>
    <w:rsid w:val="00367B2F"/>
    <w:rsid w:val="0037689D"/>
    <w:rsid w:val="00384CB8"/>
    <w:rsid w:val="00391329"/>
    <w:rsid w:val="00393071"/>
    <w:rsid w:val="00395985"/>
    <w:rsid w:val="003A3CFA"/>
    <w:rsid w:val="003B5999"/>
    <w:rsid w:val="003C403B"/>
    <w:rsid w:val="003C5832"/>
    <w:rsid w:val="003C7341"/>
    <w:rsid w:val="003D3F9E"/>
    <w:rsid w:val="003F080B"/>
    <w:rsid w:val="004006D9"/>
    <w:rsid w:val="004134EE"/>
    <w:rsid w:val="004202FE"/>
    <w:rsid w:val="00420A44"/>
    <w:rsid w:val="004300D9"/>
    <w:rsid w:val="00432C00"/>
    <w:rsid w:val="00432E60"/>
    <w:rsid w:val="0043610B"/>
    <w:rsid w:val="00450B20"/>
    <w:rsid w:val="00452BBE"/>
    <w:rsid w:val="00462EBC"/>
    <w:rsid w:val="00464D9E"/>
    <w:rsid w:val="00466311"/>
    <w:rsid w:val="004900D7"/>
    <w:rsid w:val="00491A1F"/>
    <w:rsid w:val="00495C19"/>
    <w:rsid w:val="004968A9"/>
    <w:rsid w:val="00497E96"/>
    <w:rsid w:val="004A2D05"/>
    <w:rsid w:val="004A43B6"/>
    <w:rsid w:val="004B0890"/>
    <w:rsid w:val="004B64CF"/>
    <w:rsid w:val="004C7D80"/>
    <w:rsid w:val="004D2632"/>
    <w:rsid w:val="004D36F2"/>
    <w:rsid w:val="004E04C8"/>
    <w:rsid w:val="004F1581"/>
    <w:rsid w:val="004F3CD3"/>
    <w:rsid w:val="004F441A"/>
    <w:rsid w:val="004F5A4B"/>
    <w:rsid w:val="004F768C"/>
    <w:rsid w:val="0050619F"/>
    <w:rsid w:val="00515904"/>
    <w:rsid w:val="00520723"/>
    <w:rsid w:val="00522F0D"/>
    <w:rsid w:val="005255D4"/>
    <w:rsid w:val="00531BE9"/>
    <w:rsid w:val="00537FB3"/>
    <w:rsid w:val="00542B77"/>
    <w:rsid w:val="00563CF5"/>
    <w:rsid w:val="0056577E"/>
    <w:rsid w:val="00565922"/>
    <w:rsid w:val="005735A0"/>
    <w:rsid w:val="005916CB"/>
    <w:rsid w:val="0059278B"/>
    <w:rsid w:val="00593504"/>
    <w:rsid w:val="005B4ADC"/>
    <w:rsid w:val="005C521E"/>
    <w:rsid w:val="005D4C6E"/>
    <w:rsid w:val="005E04A6"/>
    <w:rsid w:val="005E652F"/>
    <w:rsid w:val="005F0E3D"/>
    <w:rsid w:val="005F1964"/>
    <w:rsid w:val="005F62BC"/>
    <w:rsid w:val="0060424C"/>
    <w:rsid w:val="006057B8"/>
    <w:rsid w:val="0060582F"/>
    <w:rsid w:val="00614334"/>
    <w:rsid w:val="006165EA"/>
    <w:rsid w:val="00622D9C"/>
    <w:rsid w:val="00623457"/>
    <w:rsid w:val="00623F22"/>
    <w:rsid w:val="0063261F"/>
    <w:rsid w:val="006431A2"/>
    <w:rsid w:val="00646800"/>
    <w:rsid w:val="00660AC8"/>
    <w:rsid w:val="00665ECB"/>
    <w:rsid w:val="006716C4"/>
    <w:rsid w:val="006736E9"/>
    <w:rsid w:val="00694145"/>
    <w:rsid w:val="006951C0"/>
    <w:rsid w:val="006C4452"/>
    <w:rsid w:val="006D1756"/>
    <w:rsid w:val="006F2F6A"/>
    <w:rsid w:val="007000E2"/>
    <w:rsid w:val="00701A18"/>
    <w:rsid w:val="007137DC"/>
    <w:rsid w:val="0071451A"/>
    <w:rsid w:val="007237D0"/>
    <w:rsid w:val="007339F8"/>
    <w:rsid w:val="007805CB"/>
    <w:rsid w:val="0078763F"/>
    <w:rsid w:val="007936F8"/>
    <w:rsid w:val="00795370"/>
    <w:rsid w:val="007A1554"/>
    <w:rsid w:val="007A4465"/>
    <w:rsid w:val="007B2966"/>
    <w:rsid w:val="007B47DE"/>
    <w:rsid w:val="007C1F89"/>
    <w:rsid w:val="007C7151"/>
    <w:rsid w:val="007D3439"/>
    <w:rsid w:val="007D5B09"/>
    <w:rsid w:val="007E1FEC"/>
    <w:rsid w:val="007E3CC1"/>
    <w:rsid w:val="007F04EC"/>
    <w:rsid w:val="007F4AA3"/>
    <w:rsid w:val="007F61DE"/>
    <w:rsid w:val="00803BF3"/>
    <w:rsid w:val="00805B6E"/>
    <w:rsid w:val="0081124E"/>
    <w:rsid w:val="00814A1A"/>
    <w:rsid w:val="00815EE9"/>
    <w:rsid w:val="00821DE8"/>
    <w:rsid w:val="00822DB2"/>
    <w:rsid w:val="00826ABC"/>
    <w:rsid w:val="00831465"/>
    <w:rsid w:val="008353CB"/>
    <w:rsid w:val="00836507"/>
    <w:rsid w:val="00841824"/>
    <w:rsid w:val="00850C5A"/>
    <w:rsid w:val="0085526E"/>
    <w:rsid w:val="00855DA5"/>
    <w:rsid w:val="00863308"/>
    <w:rsid w:val="0086489C"/>
    <w:rsid w:val="00875AFC"/>
    <w:rsid w:val="008805AA"/>
    <w:rsid w:val="00884F97"/>
    <w:rsid w:val="00890051"/>
    <w:rsid w:val="00897CAD"/>
    <w:rsid w:val="008A25EB"/>
    <w:rsid w:val="008A4FFA"/>
    <w:rsid w:val="008B0FB1"/>
    <w:rsid w:val="008B7623"/>
    <w:rsid w:val="008C0640"/>
    <w:rsid w:val="008D53AD"/>
    <w:rsid w:val="008D5932"/>
    <w:rsid w:val="008D5C74"/>
    <w:rsid w:val="008E4C4C"/>
    <w:rsid w:val="008E61EC"/>
    <w:rsid w:val="00903C8B"/>
    <w:rsid w:val="009047BD"/>
    <w:rsid w:val="00910C9A"/>
    <w:rsid w:val="009133B2"/>
    <w:rsid w:val="00920764"/>
    <w:rsid w:val="00933D9F"/>
    <w:rsid w:val="00934F96"/>
    <w:rsid w:val="00940E19"/>
    <w:rsid w:val="0094661D"/>
    <w:rsid w:val="00947287"/>
    <w:rsid w:val="0095527F"/>
    <w:rsid w:val="00961AE2"/>
    <w:rsid w:val="00972EA3"/>
    <w:rsid w:val="009736BF"/>
    <w:rsid w:val="009769ED"/>
    <w:rsid w:val="0098027F"/>
    <w:rsid w:val="0098046D"/>
    <w:rsid w:val="009A6B79"/>
    <w:rsid w:val="009B4A73"/>
    <w:rsid w:val="009B5174"/>
    <w:rsid w:val="009C00B5"/>
    <w:rsid w:val="009D0925"/>
    <w:rsid w:val="009D0D32"/>
    <w:rsid w:val="009D0E23"/>
    <w:rsid w:val="009D5ADA"/>
    <w:rsid w:val="009E2856"/>
    <w:rsid w:val="009F2707"/>
    <w:rsid w:val="00A006F7"/>
    <w:rsid w:val="00A02B29"/>
    <w:rsid w:val="00A04824"/>
    <w:rsid w:val="00A05910"/>
    <w:rsid w:val="00A143D7"/>
    <w:rsid w:val="00A21765"/>
    <w:rsid w:val="00A349F0"/>
    <w:rsid w:val="00A35016"/>
    <w:rsid w:val="00A40B11"/>
    <w:rsid w:val="00A53393"/>
    <w:rsid w:val="00A61ECA"/>
    <w:rsid w:val="00A66CA1"/>
    <w:rsid w:val="00A6711C"/>
    <w:rsid w:val="00A7154F"/>
    <w:rsid w:val="00A805A9"/>
    <w:rsid w:val="00A845E4"/>
    <w:rsid w:val="00A86CB5"/>
    <w:rsid w:val="00A93B7D"/>
    <w:rsid w:val="00A959D7"/>
    <w:rsid w:val="00AC09AA"/>
    <w:rsid w:val="00AC5705"/>
    <w:rsid w:val="00AC6E78"/>
    <w:rsid w:val="00AD1FBE"/>
    <w:rsid w:val="00AD2EAB"/>
    <w:rsid w:val="00AF1631"/>
    <w:rsid w:val="00AF7DF4"/>
    <w:rsid w:val="00B019D5"/>
    <w:rsid w:val="00B04C1C"/>
    <w:rsid w:val="00B06A73"/>
    <w:rsid w:val="00B06E98"/>
    <w:rsid w:val="00B15354"/>
    <w:rsid w:val="00B16A06"/>
    <w:rsid w:val="00B16A3F"/>
    <w:rsid w:val="00B21201"/>
    <w:rsid w:val="00B25B58"/>
    <w:rsid w:val="00B31544"/>
    <w:rsid w:val="00B3167E"/>
    <w:rsid w:val="00B33B63"/>
    <w:rsid w:val="00B360C3"/>
    <w:rsid w:val="00B36AE9"/>
    <w:rsid w:val="00B37C84"/>
    <w:rsid w:val="00B46E4D"/>
    <w:rsid w:val="00B52711"/>
    <w:rsid w:val="00B544AE"/>
    <w:rsid w:val="00B62CCE"/>
    <w:rsid w:val="00B702D3"/>
    <w:rsid w:val="00B809C6"/>
    <w:rsid w:val="00BB518A"/>
    <w:rsid w:val="00BB736A"/>
    <w:rsid w:val="00BB7B72"/>
    <w:rsid w:val="00BC079A"/>
    <w:rsid w:val="00BC4217"/>
    <w:rsid w:val="00BC4DBE"/>
    <w:rsid w:val="00BD23B5"/>
    <w:rsid w:val="00BD2BA8"/>
    <w:rsid w:val="00BD3884"/>
    <w:rsid w:val="00BD7A26"/>
    <w:rsid w:val="00BE1837"/>
    <w:rsid w:val="00C01A82"/>
    <w:rsid w:val="00C03245"/>
    <w:rsid w:val="00C05947"/>
    <w:rsid w:val="00C11B2A"/>
    <w:rsid w:val="00C11E85"/>
    <w:rsid w:val="00C1266B"/>
    <w:rsid w:val="00C1506A"/>
    <w:rsid w:val="00C17DFE"/>
    <w:rsid w:val="00C24EA5"/>
    <w:rsid w:val="00C2653A"/>
    <w:rsid w:val="00C500FC"/>
    <w:rsid w:val="00C508A1"/>
    <w:rsid w:val="00C51570"/>
    <w:rsid w:val="00C71D03"/>
    <w:rsid w:val="00C73600"/>
    <w:rsid w:val="00C7387A"/>
    <w:rsid w:val="00C771EF"/>
    <w:rsid w:val="00C8214A"/>
    <w:rsid w:val="00C87EA6"/>
    <w:rsid w:val="00C9165A"/>
    <w:rsid w:val="00C9316A"/>
    <w:rsid w:val="00C931FC"/>
    <w:rsid w:val="00CA7476"/>
    <w:rsid w:val="00CB0747"/>
    <w:rsid w:val="00CB1BB8"/>
    <w:rsid w:val="00CE0B5E"/>
    <w:rsid w:val="00CE2EEE"/>
    <w:rsid w:val="00CE56A4"/>
    <w:rsid w:val="00CF3A6F"/>
    <w:rsid w:val="00CF5AB1"/>
    <w:rsid w:val="00D07C86"/>
    <w:rsid w:val="00D13350"/>
    <w:rsid w:val="00D1764B"/>
    <w:rsid w:val="00D23193"/>
    <w:rsid w:val="00D23280"/>
    <w:rsid w:val="00D27E03"/>
    <w:rsid w:val="00D34BC3"/>
    <w:rsid w:val="00D35B29"/>
    <w:rsid w:val="00D36D4E"/>
    <w:rsid w:val="00D41DB5"/>
    <w:rsid w:val="00D4514E"/>
    <w:rsid w:val="00D53764"/>
    <w:rsid w:val="00D66B78"/>
    <w:rsid w:val="00D7122F"/>
    <w:rsid w:val="00D75FD1"/>
    <w:rsid w:val="00D92EBC"/>
    <w:rsid w:val="00D95C99"/>
    <w:rsid w:val="00DA2DE4"/>
    <w:rsid w:val="00DA339F"/>
    <w:rsid w:val="00DB0909"/>
    <w:rsid w:val="00DB5E06"/>
    <w:rsid w:val="00DB7BDB"/>
    <w:rsid w:val="00DC2768"/>
    <w:rsid w:val="00DC3F3F"/>
    <w:rsid w:val="00DC53F0"/>
    <w:rsid w:val="00DC6E6E"/>
    <w:rsid w:val="00DC7B6A"/>
    <w:rsid w:val="00DE7079"/>
    <w:rsid w:val="00DF022F"/>
    <w:rsid w:val="00DF548D"/>
    <w:rsid w:val="00DF6887"/>
    <w:rsid w:val="00E042CC"/>
    <w:rsid w:val="00E06B0B"/>
    <w:rsid w:val="00E10704"/>
    <w:rsid w:val="00E260BA"/>
    <w:rsid w:val="00E265E1"/>
    <w:rsid w:val="00E31C66"/>
    <w:rsid w:val="00E341AB"/>
    <w:rsid w:val="00E37AF5"/>
    <w:rsid w:val="00E418AA"/>
    <w:rsid w:val="00E429EC"/>
    <w:rsid w:val="00E435F3"/>
    <w:rsid w:val="00E443DC"/>
    <w:rsid w:val="00E47E96"/>
    <w:rsid w:val="00E5632E"/>
    <w:rsid w:val="00E651C9"/>
    <w:rsid w:val="00E70C82"/>
    <w:rsid w:val="00E75616"/>
    <w:rsid w:val="00E849F1"/>
    <w:rsid w:val="00E91DB1"/>
    <w:rsid w:val="00EB2D18"/>
    <w:rsid w:val="00EB2DA1"/>
    <w:rsid w:val="00EB400D"/>
    <w:rsid w:val="00EC10EF"/>
    <w:rsid w:val="00ED5955"/>
    <w:rsid w:val="00EF27C3"/>
    <w:rsid w:val="00EF3104"/>
    <w:rsid w:val="00EF706D"/>
    <w:rsid w:val="00EF7BF9"/>
    <w:rsid w:val="00F11C61"/>
    <w:rsid w:val="00F12EBD"/>
    <w:rsid w:val="00F169F4"/>
    <w:rsid w:val="00F20A5E"/>
    <w:rsid w:val="00F22655"/>
    <w:rsid w:val="00F25443"/>
    <w:rsid w:val="00F266D0"/>
    <w:rsid w:val="00F27C0A"/>
    <w:rsid w:val="00F35452"/>
    <w:rsid w:val="00F50954"/>
    <w:rsid w:val="00F50C56"/>
    <w:rsid w:val="00F53773"/>
    <w:rsid w:val="00F539DA"/>
    <w:rsid w:val="00F55D73"/>
    <w:rsid w:val="00F56CAC"/>
    <w:rsid w:val="00F56DA9"/>
    <w:rsid w:val="00F62074"/>
    <w:rsid w:val="00F73EC2"/>
    <w:rsid w:val="00F82599"/>
    <w:rsid w:val="00F90570"/>
    <w:rsid w:val="00F936A9"/>
    <w:rsid w:val="00F94AD5"/>
    <w:rsid w:val="00FA10A7"/>
    <w:rsid w:val="00FA47B9"/>
    <w:rsid w:val="00FB4D28"/>
    <w:rsid w:val="00FB5D27"/>
    <w:rsid w:val="00FC5C2F"/>
    <w:rsid w:val="00FD2C62"/>
    <w:rsid w:val="00FE5E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2FB8C"/>
  <w15:docId w15:val="{C332C0AD-F7B7-4E22-874B-7F17D3A02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9"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2" w:line="252" w:lineRule="auto"/>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2" w:line="252" w:lineRule="auto"/>
      <w:ind w:left="10"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3" w:line="263" w:lineRule="auto"/>
      <w:ind w:left="10" w:hanging="10"/>
      <w:outlineLvl w:val="2"/>
    </w:pPr>
    <w:rPr>
      <w:rFonts w:ascii="Times New Roman" w:eastAsia="Times New Roman" w:hAnsi="Times New Roman" w:cs="Times New Roman"/>
      <w:color w:val="000000"/>
      <w:sz w:val="24"/>
      <w:u w:val="single" w:color="000000"/>
    </w:rPr>
  </w:style>
  <w:style w:type="paragraph" w:styleId="Heading4">
    <w:name w:val="heading 4"/>
    <w:next w:val="Normal"/>
    <w:link w:val="Heading4Char"/>
    <w:uiPriority w:val="9"/>
    <w:unhideWhenUsed/>
    <w:qFormat/>
    <w:pPr>
      <w:keepNext/>
      <w:keepLines/>
      <w:spacing w:after="13" w:line="249" w:lineRule="auto"/>
      <w:ind w:left="10" w:hanging="10"/>
      <w:outlineLvl w:val="3"/>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75A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AFC"/>
    <w:rPr>
      <w:rFonts w:ascii="Segoe UI" w:eastAsia="Times New Roman" w:hAnsi="Segoe UI" w:cs="Segoe UI"/>
      <w:color w:val="000000"/>
      <w:sz w:val="18"/>
      <w:szCs w:val="18"/>
    </w:rPr>
  </w:style>
  <w:style w:type="paragraph" w:styleId="ListParagraph">
    <w:name w:val="List Paragraph"/>
    <w:basedOn w:val="Normal"/>
    <w:uiPriority w:val="34"/>
    <w:qFormat/>
    <w:rsid w:val="004B64CF"/>
    <w:pPr>
      <w:ind w:left="720"/>
      <w:contextualSpacing/>
    </w:pPr>
  </w:style>
  <w:style w:type="character" w:styleId="CommentReference">
    <w:name w:val="annotation reference"/>
    <w:basedOn w:val="DefaultParagraphFont"/>
    <w:uiPriority w:val="99"/>
    <w:semiHidden/>
    <w:unhideWhenUsed/>
    <w:rsid w:val="00C931FC"/>
    <w:rPr>
      <w:sz w:val="16"/>
      <w:szCs w:val="16"/>
    </w:rPr>
  </w:style>
  <w:style w:type="paragraph" w:styleId="CommentText">
    <w:name w:val="annotation text"/>
    <w:basedOn w:val="Normal"/>
    <w:link w:val="CommentTextChar"/>
    <w:uiPriority w:val="99"/>
    <w:semiHidden/>
    <w:unhideWhenUsed/>
    <w:rsid w:val="00C931FC"/>
    <w:pPr>
      <w:spacing w:line="240" w:lineRule="auto"/>
    </w:pPr>
    <w:rPr>
      <w:sz w:val="20"/>
      <w:szCs w:val="20"/>
    </w:rPr>
  </w:style>
  <w:style w:type="character" w:customStyle="1" w:styleId="CommentTextChar">
    <w:name w:val="Comment Text Char"/>
    <w:basedOn w:val="DefaultParagraphFont"/>
    <w:link w:val="CommentText"/>
    <w:uiPriority w:val="99"/>
    <w:semiHidden/>
    <w:rsid w:val="00C931F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C931FC"/>
    <w:rPr>
      <w:b/>
      <w:bCs/>
    </w:rPr>
  </w:style>
  <w:style w:type="character" w:customStyle="1" w:styleId="CommentSubjectChar">
    <w:name w:val="Comment Subject Char"/>
    <w:basedOn w:val="CommentTextChar"/>
    <w:link w:val="CommentSubject"/>
    <w:uiPriority w:val="99"/>
    <w:semiHidden/>
    <w:rsid w:val="00C931FC"/>
    <w:rPr>
      <w:rFonts w:ascii="Times New Roman" w:eastAsia="Times New Roman" w:hAnsi="Times New Roman" w:cs="Times New Roman"/>
      <w:b/>
      <w:bCs/>
      <w:color w:val="000000"/>
      <w:sz w:val="20"/>
      <w:szCs w:val="20"/>
    </w:rPr>
  </w:style>
  <w:style w:type="paragraph" w:styleId="Header">
    <w:name w:val="header"/>
    <w:basedOn w:val="Normal"/>
    <w:link w:val="HeaderChar"/>
    <w:uiPriority w:val="99"/>
    <w:unhideWhenUsed/>
    <w:rsid w:val="00124E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E0F"/>
    <w:rPr>
      <w:rFonts w:ascii="Times New Roman" w:eastAsia="Times New Roman" w:hAnsi="Times New Roman" w:cs="Times New Roman"/>
      <w:color w:val="000000"/>
      <w:sz w:val="24"/>
    </w:rPr>
  </w:style>
  <w:style w:type="paragraph" w:customStyle="1" w:styleId="Default">
    <w:name w:val="Default"/>
    <w:rsid w:val="007936F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332FC9"/>
    <w:rPr>
      <w:szCs w:val="24"/>
    </w:rPr>
  </w:style>
  <w:style w:type="paragraph" w:styleId="Revision">
    <w:name w:val="Revision"/>
    <w:hidden/>
    <w:uiPriority w:val="99"/>
    <w:semiHidden/>
    <w:rsid w:val="00F50954"/>
    <w:pPr>
      <w:spacing w:after="0" w:line="240" w:lineRule="auto"/>
    </w:pPr>
    <w:rPr>
      <w:rFonts w:ascii="Times New Roman" w:eastAsia="Times New Roman" w:hAnsi="Times New Roman" w:cs="Times New Roman"/>
      <w:color w:val="000000"/>
      <w:sz w:val="24"/>
    </w:rPr>
  </w:style>
  <w:style w:type="paragraph" w:styleId="Footer">
    <w:name w:val="footer"/>
    <w:basedOn w:val="Normal"/>
    <w:link w:val="FooterChar"/>
    <w:rsid w:val="00C05947"/>
    <w:pPr>
      <w:tabs>
        <w:tab w:val="center" w:pos="4513"/>
        <w:tab w:val="right" w:pos="9026"/>
      </w:tabs>
      <w:spacing w:after="0" w:line="240" w:lineRule="auto"/>
      <w:ind w:left="0" w:firstLine="0"/>
    </w:pPr>
    <w:rPr>
      <w:rFonts w:ascii="Cambria" w:eastAsiaTheme="minorHAnsi" w:hAnsi="Cambria"/>
      <w:color w:val="auto"/>
      <w:sz w:val="17"/>
      <w:szCs w:val="24"/>
      <w:lang w:val="en-AU" w:eastAsia="en-AU"/>
    </w:rPr>
  </w:style>
  <w:style w:type="character" w:customStyle="1" w:styleId="FooterChar">
    <w:name w:val="Footer Char"/>
    <w:basedOn w:val="DefaultParagraphFont"/>
    <w:link w:val="Footer"/>
    <w:rsid w:val="00C05947"/>
    <w:rPr>
      <w:rFonts w:ascii="Cambria" w:eastAsiaTheme="minorHAnsi" w:hAnsi="Cambria" w:cs="Times New Roman"/>
      <w:sz w:val="17"/>
      <w:szCs w:val="24"/>
      <w:lang w:val="en-AU" w:eastAsia="en-AU"/>
    </w:rPr>
  </w:style>
  <w:style w:type="character" w:styleId="Hyperlink">
    <w:name w:val="Hyperlink"/>
    <w:basedOn w:val="DefaultParagraphFont"/>
    <w:uiPriority w:val="99"/>
    <w:unhideWhenUsed/>
    <w:rsid w:val="00C05947"/>
    <w:rPr>
      <w:color w:val="0000FF"/>
      <w:u w:val="single"/>
    </w:rPr>
  </w:style>
  <w:style w:type="table" w:styleId="TableGrid0">
    <w:name w:val="Table Grid"/>
    <w:basedOn w:val="TableNormal"/>
    <w:uiPriority w:val="59"/>
    <w:rsid w:val="00C05947"/>
    <w:pPr>
      <w:spacing w:after="0" w:line="240" w:lineRule="auto"/>
    </w:pPr>
    <w:rPr>
      <w:rFonts w:ascii="Times New Roman" w:eastAsiaTheme="minorHAnsi" w:hAnsi="Times New Roman" w:cs="Times New Roman"/>
      <w:sz w:val="20"/>
      <w:szCs w:val="20"/>
      <w:lang w:val="en-AU"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74074">
      <w:bodyDiv w:val="1"/>
      <w:marLeft w:val="0"/>
      <w:marRight w:val="0"/>
      <w:marTop w:val="0"/>
      <w:marBottom w:val="0"/>
      <w:divBdr>
        <w:top w:val="none" w:sz="0" w:space="0" w:color="auto"/>
        <w:left w:val="none" w:sz="0" w:space="0" w:color="auto"/>
        <w:bottom w:val="none" w:sz="0" w:space="0" w:color="auto"/>
        <w:right w:val="none" w:sz="0" w:space="0" w:color="auto"/>
      </w:divBdr>
      <w:divsChild>
        <w:div w:id="430443264">
          <w:marLeft w:val="0"/>
          <w:marRight w:val="0"/>
          <w:marTop w:val="0"/>
          <w:marBottom w:val="0"/>
          <w:divBdr>
            <w:top w:val="none" w:sz="0" w:space="0" w:color="auto"/>
            <w:left w:val="none" w:sz="0" w:space="0" w:color="auto"/>
            <w:bottom w:val="none" w:sz="0" w:space="0" w:color="auto"/>
            <w:right w:val="none" w:sz="0" w:space="0" w:color="auto"/>
          </w:divBdr>
          <w:divsChild>
            <w:div w:id="372467486">
              <w:marLeft w:val="0"/>
              <w:marRight w:val="0"/>
              <w:marTop w:val="0"/>
              <w:marBottom w:val="0"/>
              <w:divBdr>
                <w:top w:val="none" w:sz="0" w:space="0" w:color="auto"/>
                <w:left w:val="none" w:sz="0" w:space="0" w:color="auto"/>
                <w:bottom w:val="none" w:sz="0" w:space="0" w:color="auto"/>
                <w:right w:val="none" w:sz="0" w:space="0" w:color="auto"/>
              </w:divBdr>
              <w:divsChild>
                <w:div w:id="165559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512251">
      <w:bodyDiv w:val="1"/>
      <w:marLeft w:val="0"/>
      <w:marRight w:val="0"/>
      <w:marTop w:val="0"/>
      <w:marBottom w:val="0"/>
      <w:divBdr>
        <w:top w:val="none" w:sz="0" w:space="0" w:color="auto"/>
        <w:left w:val="none" w:sz="0" w:space="0" w:color="auto"/>
        <w:bottom w:val="none" w:sz="0" w:space="0" w:color="auto"/>
        <w:right w:val="none" w:sz="0" w:space="0" w:color="auto"/>
      </w:divBdr>
      <w:divsChild>
        <w:div w:id="1159079172">
          <w:marLeft w:val="0"/>
          <w:marRight w:val="0"/>
          <w:marTop w:val="0"/>
          <w:marBottom w:val="0"/>
          <w:divBdr>
            <w:top w:val="none" w:sz="0" w:space="0" w:color="auto"/>
            <w:left w:val="none" w:sz="0" w:space="0" w:color="auto"/>
            <w:bottom w:val="none" w:sz="0" w:space="0" w:color="auto"/>
            <w:right w:val="none" w:sz="0" w:space="0" w:color="auto"/>
          </w:divBdr>
          <w:divsChild>
            <w:div w:id="1297568932">
              <w:marLeft w:val="0"/>
              <w:marRight w:val="0"/>
              <w:marTop w:val="0"/>
              <w:marBottom w:val="0"/>
              <w:divBdr>
                <w:top w:val="none" w:sz="0" w:space="0" w:color="auto"/>
                <w:left w:val="none" w:sz="0" w:space="0" w:color="auto"/>
                <w:bottom w:val="none" w:sz="0" w:space="0" w:color="auto"/>
                <w:right w:val="none" w:sz="0" w:space="0" w:color="auto"/>
              </w:divBdr>
              <w:divsChild>
                <w:div w:id="137727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159209">
      <w:bodyDiv w:val="1"/>
      <w:marLeft w:val="0"/>
      <w:marRight w:val="0"/>
      <w:marTop w:val="0"/>
      <w:marBottom w:val="0"/>
      <w:divBdr>
        <w:top w:val="none" w:sz="0" w:space="0" w:color="auto"/>
        <w:left w:val="none" w:sz="0" w:space="0" w:color="auto"/>
        <w:bottom w:val="none" w:sz="0" w:space="0" w:color="auto"/>
        <w:right w:val="none" w:sz="0" w:space="0" w:color="auto"/>
      </w:divBdr>
      <w:divsChild>
        <w:div w:id="260652003">
          <w:marLeft w:val="0"/>
          <w:marRight w:val="0"/>
          <w:marTop w:val="0"/>
          <w:marBottom w:val="0"/>
          <w:divBdr>
            <w:top w:val="none" w:sz="0" w:space="0" w:color="auto"/>
            <w:left w:val="none" w:sz="0" w:space="0" w:color="auto"/>
            <w:bottom w:val="none" w:sz="0" w:space="0" w:color="auto"/>
            <w:right w:val="none" w:sz="0" w:space="0" w:color="auto"/>
          </w:divBdr>
          <w:divsChild>
            <w:div w:id="1073354007">
              <w:marLeft w:val="0"/>
              <w:marRight w:val="0"/>
              <w:marTop w:val="0"/>
              <w:marBottom w:val="0"/>
              <w:divBdr>
                <w:top w:val="none" w:sz="0" w:space="0" w:color="auto"/>
                <w:left w:val="none" w:sz="0" w:space="0" w:color="auto"/>
                <w:bottom w:val="none" w:sz="0" w:space="0" w:color="auto"/>
                <w:right w:val="none" w:sz="0" w:space="0" w:color="auto"/>
              </w:divBdr>
              <w:divsChild>
                <w:div w:id="11672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798443">
      <w:bodyDiv w:val="1"/>
      <w:marLeft w:val="0"/>
      <w:marRight w:val="0"/>
      <w:marTop w:val="0"/>
      <w:marBottom w:val="0"/>
      <w:divBdr>
        <w:top w:val="none" w:sz="0" w:space="0" w:color="auto"/>
        <w:left w:val="none" w:sz="0" w:space="0" w:color="auto"/>
        <w:bottom w:val="none" w:sz="0" w:space="0" w:color="auto"/>
        <w:right w:val="none" w:sz="0" w:space="0" w:color="auto"/>
      </w:divBdr>
      <w:divsChild>
        <w:div w:id="376785522">
          <w:marLeft w:val="0"/>
          <w:marRight w:val="0"/>
          <w:marTop w:val="0"/>
          <w:marBottom w:val="0"/>
          <w:divBdr>
            <w:top w:val="none" w:sz="0" w:space="0" w:color="auto"/>
            <w:left w:val="none" w:sz="0" w:space="0" w:color="auto"/>
            <w:bottom w:val="none" w:sz="0" w:space="0" w:color="auto"/>
            <w:right w:val="none" w:sz="0" w:space="0" w:color="auto"/>
          </w:divBdr>
          <w:divsChild>
            <w:div w:id="328605302">
              <w:marLeft w:val="0"/>
              <w:marRight w:val="0"/>
              <w:marTop w:val="0"/>
              <w:marBottom w:val="0"/>
              <w:divBdr>
                <w:top w:val="none" w:sz="0" w:space="0" w:color="auto"/>
                <w:left w:val="none" w:sz="0" w:space="0" w:color="auto"/>
                <w:bottom w:val="none" w:sz="0" w:space="0" w:color="auto"/>
                <w:right w:val="none" w:sz="0" w:space="0" w:color="auto"/>
              </w:divBdr>
              <w:divsChild>
                <w:div w:id="180310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439475">
      <w:bodyDiv w:val="1"/>
      <w:marLeft w:val="0"/>
      <w:marRight w:val="0"/>
      <w:marTop w:val="0"/>
      <w:marBottom w:val="0"/>
      <w:divBdr>
        <w:top w:val="none" w:sz="0" w:space="0" w:color="auto"/>
        <w:left w:val="none" w:sz="0" w:space="0" w:color="auto"/>
        <w:bottom w:val="none" w:sz="0" w:space="0" w:color="auto"/>
        <w:right w:val="none" w:sz="0" w:space="0" w:color="auto"/>
      </w:divBdr>
    </w:div>
    <w:div w:id="702632363">
      <w:bodyDiv w:val="1"/>
      <w:marLeft w:val="0"/>
      <w:marRight w:val="0"/>
      <w:marTop w:val="0"/>
      <w:marBottom w:val="0"/>
      <w:divBdr>
        <w:top w:val="none" w:sz="0" w:space="0" w:color="auto"/>
        <w:left w:val="none" w:sz="0" w:space="0" w:color="auto"/>
        <w:bottom w:val="none" w:sz="0" w:space="0" w:color="auto"/>
        <w:right w:val="none" w:sz="0" w:space="0" w:color="auto"/>
      </w:divBdr>
      <w:divsChild>
        <w:div w:id="1258828494">
          <w:marLeft w:val="0"/>
          <w:marRight w:val="0"/>
          <w:marTop w:val="0"/>
          <w:marBottom w:val="0"/>
          <w:divBdr>
            <w:top w:val="none" w:sz="0" w:space="0" w:color="auto"/>
            <w:left w:val="none" w:sz="0" w:space="0" w:color="auto"/>
            <w:bottom w:val="none" w:sz="0" w:space="0" w:color="auto"/>
            <w:right w:val="none" w:sz="0" w:space="0" w:color="auto"/>
          </w:divBdr>
          <w:divsChild>
            <w:div w:id="1585413077">
              <w:marLeft w:val="0"/>
              <w:marRight w:val="0"/>
              <w:marTop w:val="0"/>
              <w:marBottom w:val="0"/>
              <w:divBdr>
                <w:top w:val="none" w:sz="0" w:space="0" w:color="auto"/>
                <w:left w:val="none" w:sz="0" w:space="0" w:color="auto"/>
                <w:bottom w:val="none" w:sz="0" w:space="0" w:color="auto"/>
                <w:right w:val="none" w:sz="0" w:space="0" w:color="auto"/>
              </w:divBdr>
              <w:divsChild>
                <w:div w:id="205673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3116">
      <w:bodyDiv w:val="1"/>
      <w:marLeft w:val="0"/>
      <w:marRight w:val="0"/>
      <w:marTop w:val="0"/>
      <w:marBottom w:val="0"/>
      <w:divBdr>
        <w:top w:val="none" w:sz="0" w:space="0" w:color="auto"/>
        <w:left w:val="none" w:sz="0" w:space="0" w:color="auto"/>
        <w:bottom w:val="none" w:sz="0" w:space="0" w:color="auto"/>
        <w:right w:val="none" w:sz="0" w:space="0" w:color="auto"/>
      </w:divBdr>
      <w:divsChild>
        <w:div w:id="1189946175">
          <w:marLeft w:val="0"/>
          <w:marRight w:val="0"/>
          <w:marTop w:val="0"/>
          <w:marBottom w:val="0"/>
          <w:divBdr>
            <w:top w:val="none" w:sz="0" w:space="0" w:color="auto"/>
            <w:left w:val="none" w:sz="0" w:space="0" w:color="auto"/>
            <w:bottom w:val="none" w:sz="0" w:space="0" w:color="auto"/>
            <w:right w:val="none" w:sz="0" w:space="0" w:color="auto"/>
          </w:divBdr>
          <w:divsChild>
            <w:div w:id="1048335975">
              <w:marLeft w:val="0"/>
              <w:marRight w:val="0"/>
              <w:marTop w:val="0"/>
              <w:marBottom w:val="0"/>
              <w:divBdr>
                <w:top w:val="none" w:sz="0" w:space="0" w:color="auto"/>
                <w:left w:val="none" w:sz="0" w:space="0" w:color="auto"/>
                <w:bottom w:val="none" w:sz="0" w:space="0" w:color="auto"/>
                <w:right w:val="none" w:sz="0" w:space="0" w:color="auto"/>
              </w:divBdr>
              <w:divsChild>
                <w:div w:id="137619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843319">
      <w:bodyDiv w:val="1"/>
      <w:marLeft w:val="0"/>
      <w:marRight w:val="0"/>
      <w:marTop w:val="0"/>
      <w:marBottom w:val="0"/>
      <w:divBdr>
        <w:top w:val="none" w:sz="0" w:space="0" w:color="auto"/>
        <w:left w:val="none" w:sz="0" w:space="0" w:color="auto"/>
        <w:bottom w:val="none" w:sz="0" w:space="0" w:color="auto"/>
        <w:right w:val="none" w:sz="0" w:space="0" w:color="auto"/>
      </w:divBdr>
    </w:div>
    <w:div w:id="868614251">
      <w:bodyDiv w:val="1"/>
      <w:marLeft w:val="0"/>
      <w:marRight w:val="0"/>
      <w:marTop w:val="0"/>
      <w:marBottom w:val="0"/>
      <w:divBdr>
        <w:top w:val="none" w:sz="0" w:space="0" w:color="auto"/>
        <w:left w:val="none" w:sz="0" w:space="0" w:color="auto"/>
        <w:bottom w:val="none" w:sz="0" w:space="0" w:color="auto"/>
        <w:right w:val="none" w:sz="0" w:space="0" w:color="auto"/>
      </w:divBdr>
      <w:divsChild>
        <w:div w:id="452142497">
          <w:marLeft w:val="0"/>
          <w:marRight w:val="0"/>
          <w:marTop w:val="0"/>
          <w:marBottom w:val="0"/>
          <w:divBdr>
            <w:top w:val="none" w:sz="0" w:space="0" w:color="auto"/>
            <w:left w:val="none" w:sz="0" w:space="0" w:color="auto"/>
            <w:bottom w:val="none" w:sz="0" w:space="0" w:color="auto"/>
            <w:right w:val="none" w:sz="0" w:space="0" w:color="auto"/>
          </w:divBdr>
          <w:divsChild>
            <w:div w:id="1632245302">
              <w:marLeft w:val="0"/>
              <w:marRight w:val="0"/>
              <w:marTop w:val="0"/>
              <w:marBottom w:val="0"/>
              <w:divBdr>
                <w:top w:val="none" w:sz="0" w:space="0" w:color="auto"/>
                <w:left w:val="none" w:sz="0" w:space="0" w:color="auto"/>
                <w:bottom w:val="none" w:sz="0" w:space="0" w:color="auto"/>
                <w:right w:val="none" w:sz="0" w:space="0" w:color="auto"/>
              </w:divBdr>
              <w:divsChild>
                <w:div w:id="157785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569795">
      <w:bodyDiv w:val="1"/>
      <w:marLeft w:val="0"/>
      <w:marRight w:val="0"/>
      <w:marTop w:val="0"/>
      <w:marBottom w:val="0"/>
      <w:divBdr>
        <w:top w:val="none" w:sz="0" w:space="0" w:color="auto"/>
        <w:left w:val="none" w:sz="0" w:space="0" w:color="auto"/>
        <w:bottom w:val="none" w:sz="0" w:space="0" w:color="auto"/>
        <w:right w:val="none" w:sz="0" w:space="0" w:color="auto"/>
      </w:divBdr>
      <w:divsChild>
        <w:div w:id="1066536575">
          <w:marLeft w:val="0"/>
          <w:marRight w:val="0"/>
          <w:marTop w:val="0"/>
          <w:marBottom w:val="0"/>
          <w:divBdr>
            <w:top w:val="none" w:sz="0" w:space="0" w:color="auto"/>
            <w:left w:val="none" w:sz="0" w:space="0" w:color="auto"/>
            <w:bottom w:val="none" w:sz="0" w:space="0" w:color="auto"/>
            <w:right w:val="none" w:sz="0" w:space="0" w:color="auto"/>
          </w:divBdr>
          <w:divsChild>
            <w:div w:id="1526946200">
              <w:marLeft w:val="0"/>
              <w:marRight w:val="0"/>
              <w:marTop w:val="0"/>
              <w:marBottom w:val="0"/>
              <w:divBdr>
                <w:top w:val="none" w:sz="0" w:space="0" w:color="auto"/>
                <w:left w:val="none" w:sz="0" w:space="0" w:color="auto"/>
                <w:bottom w:val="none" w:sz="0" w:space="0" w:color="auto"/>
                <w:right w:val="none" w:sz="0" w:space="0" w:color="auto"/>
              </w:divBdr>
              <w:divsChild>
                <w:div w:id="157446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496847">
      <w:bodyDiv w:val="1"/>
      <w:marLeft w:val="0"/>
      <w:marRight w:val="0"/>
      <w:marTop w:val="0"/>
      <w:marBottom w:val="0"/>
      <w:divBdr>
        <w:top w:val="none" w:sz="0" w:space="0" w:color="auto"/>
        <w:left w:val="none" w:sz="0" w:space="0" w:color="auto"/>
        <w:bottom w:val="none" w:sz="0" w:space="0" w:color="auto"/>
        <w:right w:val="none" w:sz="0" w:space="0" w:color="auto"/>
      </w:divBdr>
      <w:divsChild>
        <w:div w:id="401416486">
          <w:marLeft w:val="0"/>
          <w:marRight w:val="0"/>
          <w:marTop w:val="0"/>
          <w:marBottom w:val="0"/>
          <w:divBdr>
            <w:top w:val="none" w:sz="0" w:space="0" w:color="auto"/>
            <w:left w:val="none" w:sz="0" w:space="0" w:color="auto"/>
            <w:bottom w:val="none" w:sz="0" w:space="0" w:color="auto"/>
            <w:right w:val="none" w:sz="0" w:space="0" w:color="auto"/>
          </w:divBdr>
          <w:divsChild>
            <w:div w:id="1653677636">
              <w:marLeft w:val="0"/>
              <w:marRight w:val="0"/>
              <w:marTop w:val="0"/>
              <w:marBottom w:val="0"/>
              <w:divBdr>
                <w:top w:val="none" w:sz="0" w:space="0" w:color="auto"/>
                <w:left w:val="none" w:sz="0" w:space="0" w:color="auto"/>
                <w:bottom w:val="none" w:sz="0" w:space="0" w:color="auto"/>
                <w:right w:val="none" w:sz="0" w:space="0" w:color="auto"/>
              </w:divBdr>
              <w:divsChild>
                <w:div w:id="55045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168890">
      <w:bodyDiv w:val="1"/>
      <w:marLeft w:val="0"/>
      <w:marRight w:val="0"/>
      <w:marTop w:val="0"/>
      <w:marBottom w:val="0"/>
      <w:divBdr>
        <w:top w:val="none" w:sz="0" w:space="0" w:color="auto"/>
        <w:left w:val="none" w:sz="0" w:space="0" w:color="auto"/>
        <w:bottom w:val="none" w:sz="0" w:space="0" w:color="auto"/>
        <w:right w:val="none" w:sz="0" w:space="0" w:color="auto"/>
      </w:divBdr>
      <w:divsChild>
        <w:div w:id="440613163">
          <w:marLeft w:val="0"/>
          <w:marRight w:val="0"/>
          <w:marTop w:val="0"/>
          <w:marBottom w:val="0"/>
          <w:divBdr>
            <w:top w:val="none" w:sz="0" w:space="0" w:color="auto"/>
            <w:left w:val="none" w:sz="0" w:space="0" w:color="auto"/>
            <w:bottom w:val="none" w:sz="0" w:space="0" w:color="auto"/>
            <w:right w:val="none" w:sz="0" w:space="0" w:color="auto"/>
          </w:divBdr>
          <w:divsChild>
            <w:div w:id="1889956599">
              <w:marLeft w:val="0"/>
              <w:marRight w:val="0"/>
              <w:marTop w:val="0"/>
              <w:marBottom w:val="0"/>
              <w:divBdr>
                <w:top w:val="none" w:sz="0" w:space="0" w:color="auto"/>
                <w:left w:val="none" w:sz="0" w:space="0" w:color="auto"/>
                <w:bottom w:val="none" w:sz="0" w:space="0" w:color="auto"/>
                <w:right w:val="none" w:sz="0" w:space="0" w:color="auto"/>
              </w:divBdr>
              <w:divsChild>
                <w:div w:id="82301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80563">
      <w:bodyDiv w:val="1"/>
      <w:marLeft w:val="0"/>
      <w:marRight w:val="0"/>
      <w:marTop w:val="0"/>
      <w:marBottom w:val="0"/>
      <w:divBdr>
        <w:top w:val="none" w:sz="0" w:space="0" w:color="auto"/>
        <w:left w:val="none" w:sz="0" w:space="0" w:color="auto"/>
        <w:bottom w:val="none" w:sz="0" w:space="0" w:color="auto"/>
        <w:right w:val="none" w:sz="0" w:space="0" w:color="auto"/>
      </w:divBdr>
      <w:divsChild>
        <w:div w:id="1774400043">
          <w:marLeft w:val="0"/>
          <w:marRight w:val="0"/>
          <w:marTop w:val="0"/>
          <w:marBottom w:val="0"/>
          <w:divBdr>
            <w:top w:val="none" w:sz="0" w:space="0" w:color="auto"/>
            <w:left w:val="none" w:sz="0" w:space="0" w:color="auto"/>
            <w:bottom w:val="none" w:sz="0" w:space="0" w:color="auto"/>
            <w:right w:val="none" w:sz="0" w:space="0" w:color="auto"/>
          </w:divBdr>
          <w:divsChild>
            <w:div w:id="1343971598">
              <w:marLeft w:val="0"/>
              <w:marRight w:val="0"/>
              <w:marTop w:val="0"/>
              <w:marBottom w:val="0"/>
              <w:divBdr>
                <w:top w:val="none" w:sz="0" w:space="0" w:color="auto"/>
                <w:left w:val="none" w:sz="0" w:space="0" w:color="auto"/>
                <w:bottom w:val="none" w:sz="0" w:space="0" w:color="auto"/>
                <w:right w:val="none" w:sz="0" w:space="0" w:color="auto"/>
              </w:divBdr>
              <w:divsChild>
                <w:div w:id="10744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274821">
      <w:bodyDiv w:val="1"/>
      <w:marLeft w:val="0"/>
      <w:marRight w:val="0"/>
      <w:marTop w:val="0"/>
      <w:marBottom w:val="0"/>
      <w:divBdr>
        <w:top w:val="none" w:sz="0" w:space="0" w:color="auto"/>
        <w:left w:val="none" w:sz="0" w:space="0" w:color="auto"/>
        <w:bottom w:val="none" w:sz="0" w:space="0" w:color="auto"/>
        <w:right w:val="none" w:sz="0" w:space="0" w:color="auto"/>
      </w:divBdr>
      <w:divsChild>
        <w:div w:id="841090217">
          <w:marLeft w:val="0"/>
          <w:marRight w:val="0"/>
          <w:marTop w:val="0"/>
          <w:marBottom w:val="0"/>
          <w:divBdr>
            <w:top w:val="none" w:sz="0" w:space="0" w:color="auto"/>
            <w:left w:val="none" w:sz="0" w:space="0" w:color="auto"/>
            <w:bottom w:val="none" w:sz="0" w:space="0" w:color="auto"/>
            <w:right w:val="none" w:sz="0" w:space="0" w:color="auto"/>
          </w:divBdr>
          <w:divsChild>
            <w:div w:id="1378555109">
              <w:marLeft w:val="0"/>
              <w:marRight w:val="0"/>
              <w:marTop w:val="0"/>
              <w:marBottom w:val="0"/>
              <w:divBdr>
                <w:top w:val="none" w:sz="0" w:space="0" w:color="auto"/>
                <w:left w:val="none" w:sz="0" w:space="0" w:color="auto"/>
                <w:bottom w:val="none" w:sz="0" w:space="0" w:color="auto"/>
                <w:right w:val="none" w:sz="0" w:space="0" w:color="auto"/>
              </w:divBdr>
              <w:divsChild>
                <w:div w:id="32290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102116">
      <w:bodyDiv w:val="1"/>
      <w:marLeft w:val="0"/>
      <w:marRight w:val="0"/>
      <w:marTop w:val="0"/>
      <w:marBottom w:val="0"/>
      <w:divBdr>
        <w:top w:val="none" w:sz="0" w:space="0" w:color="auto"/>
        <w:left w:val="none" w:sz="0" w:space="0" w:color="auto"/>
        <w:bottom w:val="none" w:sz="0" w:space="0" w:color="auto"/>
        <w:right w:val="none" w:sz="0" w:space="0" w:color="auto"/>
      </w:divBdr>
      <w:divsChild>
        <w:div w:id="1907568325">
          <w:marLeft w:val="0"/>
          <w:marRight w:val="0"/>
          <w:marTop w:val="0"/>
          <w:marBottom w:val="0"/>
          <w:divBdr>
            <w:top w:val="none" w:sz="0" w:space="0" w:color="auto"/>
            <w:left w:val="none" w:sz="0" w:space="0" w:color="auto"/>
            <w:bottom w:val="none" w:sz="0" w:space="0" w:color="auto"/>
            <w:right w:val="none" w:sz="0" w:space="0" w:color="auto"/>
          </w:divBdr>
          <w:divsChild>
            <w:div w:id="473833457">
              <w:marLeft w:val="0"/>
              <w:marRight w:val="0"/>
              <w:marTop w:val="0"/>
              <w:marBottom w:val="0"/>
              <w:divBdr>
                <w:top w:val="none" w:sz="0" w:space="0" w:color="auto"/>
                <w:left w:val="none" w:sz="0" w:space="0" w:color="auto"/>
                <w:bottom w:val="none" w:sz="0" w:space="0" w:color="auto"/>
                <w:right w:val="none" w:sz="0" w:space="0" w:color="auto"/>
              </w:divBdr>
              <w:divsChild>
                <w:div w:id="107289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0514">
      <w:bodyDiv w:val="1"/>
      <w:marLeft w:val="0"/>
      <w:marRight w:val="0"/>
      <w:marTop w:val="0"/>
      <w:marBottom w:val="0"/>
      <w:divBdr>
        <w:top w:val="none" w:sz="0" w:space="0" w:color="auto"/>
        <w:left w:val="none" w:sz="0" w:space="0" w:color="auto"/>
        <w:bottom w:val="none" w:sz="0" w:space="0" w:color="auto"/>
        <w:right w:val="none" w:sz="0" w:space="0" w:color="auto"/>
      </w:divBdr>
      <w:divsChild>
        <w:div w:id="1481193808">
          <w:marLeft w:val="0"/>
          <w:marRight w:val="0"/>
          <w:marTop w:val="0"/>
          <w:marBottom w:val="0"/>
          <w:divBdr>
            <w:top w:val="none" w:sz="0" w:space="0" w:color="auto"/>
            <w:left w:val="none" w:sz="0" w:space="0" w:color="auto"/>
            <w:bottom w:val="none" w:sz="0" w:space="0" w:color="auto"/>
            <w:right w:val="none" w:sz="0" w:space="0" w:color="auto"/>
          </w:divBdr>
          <w:divsChild>
            <w:div w:id="1240142434">
              <w:marLeft w:val="0"/>
              <w:marRight w:val="0"/>
              <w:marTop w:val="0"/>
              <w:marBottom w:val="0"/>
              <w:divBdr>
                <w:top w:val="none" w:sz="0" w:space="0" w:color="auto"/>
                <w:left w:val="none" w:sz="0" w:space="0" w:color="auto"/>
                <w:bottom w:val="none" w:sz="0" w:space="0" w:color="auto"/>
                <w:right w:val="none" w:sz="0" w:space="0" w:color="auto"/>
              </w:divBdr>
              <w:divsChild>
                <w:div w:id="34277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81944">
      <w:bodyDiv w:val="1"/>
      <w:marLeft w:val="0"/>
      <w:marRight w:val="0"/>
      <w:marTop w:val="0"/>
      <w:marBottom w:val="0"/>
      <w:divBdr>
        <w:top w:val="none" w:sz="0" w:space="0" w:color="auto"/>
        <w:left w:val="none" w:sz="0" w:space="0" w:color="auto"/>
        <w:bottom w:val="none" w:sz="0" w:space="0" w:color="auto"/>
        <w:right w:val="none" w:sz="0" w:space="0" w:color="auto"/>
      </w:divBdr>
      <w:divsChild>
        <w:div w:id="2069574091">
          <w:marLeft w:val="0"/>
          <w:marRight w:val="0"/>
          <w:marTop w:val="0"/>
          <w:marBottom w:val="0"/>
          <w:divBdr>
            <w:top w:val="none" w:sz="0" w:space="0" w:color="auto"/>
            <w:left w:val="none" w:sz="0" w:space="0" w:color="auto"/>
            <w:bottom w:val="none" w:sz="0" w:space="0" w:color="auto"/>
            <w:right w:val="none" w:sz="0" w:space="0" w:color="auto"/>
          </w:divBdr>
          <w:divsChild>
            <w:div w:id="1807813496">
              <w:marLeft w:val="0"/>
              <w:marRight w:val="0"/>
              <w:marTop w:val="0"/>
              <w:marBottom w:val="0"/>
              <w:divBdr>
                <w:top w:val="none" w:sz="0" w:space="0" w:color="auto"/>
                <w:left w:val="none" w:sz="0" w:space="0" w:color="auto"/>
                <w:bottom w:val="none" w:sz="0" w:space="0" w:color="auto"/>
                <w:right w:val="none" w:sz="0" w:space="0" w:color="auto"/>
              </w:divBdr>
              <w:divsChild>
                <w:div w:id="59998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767422">
      <w:bodyDiv w:val="1"/>
      <w:marLeft w:val="0"/>
      <w:marRight w:val="0"/>
      <w:marTop w:val="0"/>
      <w:marBottom w:val="0"/>
      <w:divBdr>
        <w:top w:val="none" w:sz="0" w:space="0" w:color="auto"/>
        <w:left w:val="none" w:sz="0" w:space="0" w:color="auto"/>
        <w:bottom w:val="none" w:sz="0" w:space="0" w:color="auto"/>
        <w:right w:val="none" w:sz="0" w:space="0" w:color="auto"/>
      </w:divBdr>
      <w:divsChild>
        <w:div w:id="689381995">
          <w:marLeft w:val="0"/>
          <w:marRight w:val="0"/>
          <w:marTop w:val="0"/>
          <w:marBottom w:val="0"/>
          <w:divBdr>
            <w:top w:val="none" w:sz="0" w:space="0" w:color="auto"/>
            <w:left w:val="none" w:sz="0" w:space="0" w:color="auto"/>
            <w:bottom w:val="none" w:sz="0" w:space="0" w:color="auto"/>
            <w:right w:val="none" w:sz="0" w:space="0" w:color="auto"/>
          </w:divBdr>
          <w:divsChild>
            <w:div w:id="1368800201">
              <w:marLeft w:val="0"/>
              <w:marRight w:val="0"/>
              <w:marTop w:val="0"/>
              <w:marBottom w:val="0"/>
              <w:divBdr>
                <w:top w:val="none" w:sz="0" w:space="0" w:color="auto"/>
                <w:left w:val="none" w:sz="0" w:space="0" w:color="auto"/>
                <w:bottom w:val="none" w:sz="0" w:space="0" w:color="auto"/>
                <w:right w:val="none" w:sz="0" w:space="0" w:color="auto"/>
              </w:divBdr>
              <w:divsChild>
                <w:div w:id="137994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13494">
      <w:bodyDiv w:val="1"/>
      <w:marLeft w:val="0"/>
      <w:marRight w:val="0"/>
      <w:marTop w:val="0"/>
      <w:marBottom w:val="0"/>
      <w:divBdr>
        <w:top w:val="none" w:sz="0" w:space="0" w:color="auto"/>
        <w:left w:val="none" w:sz="0" w:space="0" w:color="auto"/>
        <w:bottom w:val="none" w:sz="0" w:space="0" w:color="auto"/>
        <w:right w:val="none" w:sz="0" w:space="0" w:color="auto"/>
      </w:divBdr>
      <w:divsChild>
        <w:div w:id="931280089">
          <w:marLeft w:val="0"/>
          <w:marRight w:val="0"/>
          <w:marTop w:val="0"/>
          <w:marBottom w:val="0"/>
          <w:divBdr>
            <w:top w:val="none" w:sz="0" w:space="0" w:color="auto"/>
            <w:left w:val="none" w:sz="0" w:space="0" w:color="auto"/>
            <w:bottom w:val="none" w:sz="0" w:space="0" w:color="auto"/>
            <w:right w:val="none" w:sz="0" w:space="0" w:color="auto"/>
          </w:divBdr>
          <w:divsChild>
            <w:div w:id="524944225">
              <w:marLeft w:val="0"/>
              <w:marRight w:val="0"/>
              <w:marTop w:val="0"/>
              <w:marBottom w:val="0"/>
              <w:divBdr>
                <w:top w:val="none" w:sz="0" w:space="0" w:color="auto"/>
                <w:left w:val="none" w:sz="0" w:space="0" w:color="auto"/>
                <w:bottom w:val="none" w:sz="0" w:space="0" w:color="auto"/>
                <w:right w:val="none" w:sz="0" w:space="0" w:color="auto"/>
              </w:divBdr>
              <w:divsChild>
                <w:div w:id="1299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ga.gov.au/reporting-problem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ga.gov.au/reporting-problems"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tga.gov.au/reporting-problem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tga.gov.au/reporting-problems" TargetMode="Externa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052BF-9BBC-48BA-9832-0FCA7D34E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12936</Words>
  <Characters>76711</Characters>
  <Application>Microsoft Office Word</Application>
  <DocSecurity>0</DocSecurity>
  <Lines>1826</Lines>
  <Paragraphs>933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01-Product information for Trastucip and Tuzucip </dc:title>
  <dc:subject>prescription medicines</dc:subject>
  <dc:creator>Cipla Australia Pty Ltd</dc:creator>
  <cp:keywords/>
  <cp:lastModifiedBy>LACK, Janet</cp:lastModifiedBy>
  <cp:revision>3</cp:revision>
  <dcterms:created xsi:type="dcterms:W3CDTF">2023-04-26T04:33:00Z</dcterms:created>
  <dcterms:modified xsi:type="dcterms:W3CDTF">2023-04-26T04:38:00Z</dcterms:modified>
</cp:coreProperties>
</file>