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C1DB" w14:textId="79862504" w:rsidR="006B7C8E" w:rsidRPr="00DD1F63" w:rsidRDefault="00CA72FF" w:rsidP="00377A09">
      <w:pPr>
        <w:spacing w:after="0" w:line="240" w:lineRule="auto"/>
        <w:ind w:left="426" w:firstLine="0"/>
        <w:jc w:val="center"/>
        <w:rPr>
          <w:rFonts w:ascii="Times New Roman" w:hAnsi="Times New Roman" w:cs="Times New Roman"/>
          <w:sz w:val="22"/>
        </w:rPr>
      </w:pPr>
      <w:r w:rsidRPr="00DD1F63">
        <w:rPr>
          <w:rFonts w:ascii="Times New Roman" w:hAnsi="Times New Roman" w:cs="Times New Roman"/>
          <w:b/>
          <w:sz w:val="22"/>
        </w:rPr>
        <w:t>AUSTRALIAN P</w:t>
      </w:r>
      <w:r w:rsidR="003905BE" w:rsidRPr="00DD1F63">
        <w:rPr>
          <w:rFonts w:ascii="Times New Roman" w:hAnsi="Times New Roman" w:cs="Times New Roman"/>
          <w:b/>
          <w:sz w:val="22"/>
        </w:rPr>
        <w:t xml:space="preserve">RODUCT </w:t>
      </w:r>
      <w:r w:rsidRPr="00DD1F63">
        <w:rPr>
          <w:rFonts w:ascii="Times New Roman" w:hAnsi="Times New Roman" w:cs="Times New Roman"/>
          <w:b/>
          <w:sz w:val="22"/>
        </w:rPr>
        <w:t>I</w:t>
      </w:r>
      <w:r w:rsidR="003905BE" w:rsidRPr="00DD1F63">
        <w:rPr>
          <w:rFonts w:ascii="Times New Roman" w:hAnsi="Times New Roman" w:cs="Times New Roman"/>
          <w:b/>
          <w:sz w:val="22"/>
        </w:rPr>
        <w:t>NFORMATION</w:t>
      </w:r>
    </w:p>
    <w:p w14:paraId="63C34B68" w14:textId="52CE5CD3" w:rsidR="006B7C8E" w:rsidRPr="00DD1F63" w:rsidRDefault="00C267EC" w:rsidP="00377A09">
      <w:pPr>
        <w:spacing w:after="0" w:line="240" w:lineRule="auto"/>
        <w:ind w:left="426" w:firstLine="0"/>
        <w:jc w:val="center"/>
        <w:rPr>
          <w:rFonts w:ascii="Times New Roman" w:hAnsi="Times New Roman" w:cs="Times New Roman"/>
          <w:sz w:val="22"/>
        </w:rPr>
      </w:pPr>
      <w:proofErr w:type="spellStart"/>
      <w:r w:rsidRPr="00C267EC">
        <w:rPr>
          <w:rFonts w:ascii="Times New Roman" w:hAnsi="Times New Roman" w:cs="Times New Roman"/>
          <w:b/>
          <w:sz w:val="22"/>
        </w:rPr>
        <w:t>Ciptunec</w:t>
      </w:r>
      <w:proofErr w:type="spellEnd"/>
      <w:r w:rsidRPr="00C267EC" w:rsidDel="00C267EC">
        <w:rPr>
          <w:rFonts w:ascii="Times New Roman" w:hAnsi="Times New Roman" w:cs="Times New Roman"/>
          <w:b/>
          <w:sz w:val="22"/>
        </w:rPr>
        <w:t xml:space="preserve"> </w:t>
      </w:r>
      <w:r w:rsidR="00CA72FF" w:rsidRPr="00DD1F63">
        <w:rPr>
          <w:rFonts w:ascii="Times New Roman" w:hAnsi="Times New Roman" w:cs="Times New Roman"/>
          <w:b/>
          <w:sz w:val="22"/>
        </w:rPr>
        <w:t>(</w:t>
      </w:r>
      <w:r w:rsidR="000254A7" w:rsidRPr="00DD1F63">
        <w:rPr>
          <w:rFonts w:ascii="Times New Roman" w:hAnsi="Times New Roman" w:cs="Times New Roman"/>
          <w:b/>
          <w:sz w:val="22"/>
        </w:rPr>
        <w:t>adalimumab</w:t>
      </w:r>
      <w:r w:rsidR="00CA72FF" w:rsidRPr="00DD1F63">
        <w:rPr>
          <w:rFonts w:ascii="Times New Roman" w:hAnsi="Times New Roman" w:cs="Times New Roman"/>
          <w:b/>
          <w:sz w:val="22"/>
        </w:rPr>
        <w:t xml:space="preserve">) </w:t>
      </w:r>
      <w:r w:rsidR="003905BE" w:rsidRPr="00DD1F63">
        <w:rPr>
          <w:rFonts w:ascii="Times New Roman" w:hAnsi="Times New Roman" w:cs="Times New Roman"/>
          <w:b/>
          <w:sz w:val="22"/>
        </w:rPr>
        <w:t>solution for subcutaneous injection</w:t>
      </w:r>
    </w:p>
    <w:p w14:paraId="0F18B1D5" w14:textId="416AE0B1" w:rsidR="00410E4E" w:rsidRPr="00DD1F63" w:rsidRDefault="00410E4E" w:rsidP="00377A09">
      <w:pPr>
        <w:spacing w:after="0" w:line="240" w:lineRule="auto"/>
        <w:ind w:left="426" w:firstLine="0"/>
        <w:jc w:val="left"/>
        <w:rPr>
          <w:rFonts w:ascii="Times New Roman" w:hAnsi="Times New Roman" w:cs="Times New Roman"/>
          <w:sz w:val="22"/>
        </w:rPr>
      </w:pPr>
    </w:p>
    <w:p w14:paraId="3C3AB580" w14:textId="77777777" w:rsidR="00410E4E" w:rsidRPr="00DD1F63" w:rsidRDefault="00410E4E" w:rsidP="00377A09">
      <w:pPr>
        <w:spacing w:after="0" w:line="240" w:lineRule="auto"/>
        <w:ind w:left="426" w:firstLine="0"/>
        <w:jc w:val="left"/>
        <w:rPr>
          <w:rFonts w:ascii="Times New Roman" w:hAnsi="Times New Roman" w:cs="Times New Roman"/>
          <w:sz w:val="22"/>
        </w:rPr>
      </w:pPr>
    </w:p>
    <w:p w14:paraId="5630BC68" w14:textId="7295B967" w:rsidR="006B7C8E" w:rsidRPr="00DD1F63" w:rsidRDefault="00CA72FF" w:rsidP="00377A09">
      <w:pPr>
        <w:spacing w:after="0" w:line="240" w:lineRule="auto"/>
        <w:ind w:left="426" w:hanging="426"/>
        <w:jc w:val="left"/>
        <w:rPr>
          <w:rFonts w:ascii="Times New Roman" w:eastAsia="Cambria" w:hAnsi="Times New Roman" w:cs="Times New Roman"/>
          <w:b/>
          <w:sz w:val="22"/>
        </w:rPr>
      </w:pPr>
      <w:r w:rsidRPr="00DD1F63">
        <w:rPr>
          <w:rFonts w:ascii="Times New Roman" w:eastAsia="Cambria" w:hAnsi="Times New Roman" w:cs="Times New Roman"/>
          <w:b/>
          <w:sz w:val="22"/>
        </w:rPr>
        <w:t>1</w:t>
      </w:r>
      <w:r w:rsidRPr="00DD1F63">
        <w:rPr>
          <w:rFonts w:ascii="Times New Roman" w:hAnsi="Times New Roman" w:cs="Times New Roman"/>
          <w:b/>
          <w:sz w:val="22"/>
        </w:rPr>
        <w:t xml:space="preserve"> </w:t>
      </w:r>
      <w:r w:rsidR="002B674C" w:rsidRPr="00DD1F63">
        <w:rPr>
          <w:rFonts w:ascii="Times New Roman" w:hAnsi="Times New Roman" w:cs="Times New Roman"/>
          <w:b/>
          <w:sz w:val="22"/>
        </w:rPr>
        <w:tab/>
      </w:r>
      <w:r w:rsidRPr="00DD1F63">
        <w:rPr>
          <w:rFonts w:ascii="Times New Roman" w:eastAsia="Cambria" w:hAnsi="Times New Roman" w:cs="Times New Roman"/>
          <w:b/>
          <w:sz w:val="22"/>
        </w:rPr>
        <w:t xml:space="preserve">NAME OF THE MEDICINE </w:t>
      </w:r>
    </w:p>
    <w:p w14:paraId="639D40AA" w14:textId="77777777" w:rsidR="00410E4E" w:rsidRPr="00DD1F63" w:rsidRDefault="00410E4E" w:rsidP="00377A09">
      <w:pPr>
        <w:spacing w:after="0" w:line="240" w:lineRule="auto"/>
        <w:ind w:left="426"/>
        <w:jc w:val="left"/>
        <w:rPr>
          <w:rFonts w:ascii="Times New Roman" w:hAnsi="Times New Roman" w:cs="Times New Roman"/>
          <w:sz w:val="22"/>
        </w:rPr>
      </w:pPr>
    </w:p>
    <w:p w14:paraId="71911DD7" w14:textId="6AB448B5" w:rsidR="00410E4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Adalimumab </w:t>
      </w:r>
    </w:p>
    <w:p w14:paraId="3B4A1552" w14:textId="5DBC2A16" w:rsidR="003905BE" w:rsidRDefault="003905BE" w:rsidP="00377A09">
      <w:pPr>
        <w:spacing w:after="0" w:line="240" w:lineRule="auto"/>
        <w:ind w:left="426" w:right="375"/>
        <w:jc w:val="left"/>
        <w:rPr>
          <w:rFonts w:ascii="Times New Roman" w:hAnsi="Times New Roman" w:cs="Times New Roman"/>
          <w:sz w:val="22"/>
        </w:rPr>
      </w:pPr>
    </w:p>
    <w:p w14:paraId="5A22E20B" w14:textId="1D3CA00E" w:rsidR="006D0B7A" w:rsidRDefault="006D0B7A" w:rsidP="00377A09">
      <w:pPr>
        <w:spacing w:after="0" w:line="240" w:lineRule="auto"/>
        <w:ind w:left="426" w:right="4"/>
        <w:jc w:val="left"/>
        <w:rPr>
          <w:rFonts w:ascii="Times New Roman" w:hAnsi="Times New Roman" w:cs="Times New Roman"/>
          <w:sz w:val="22"/>
          <w:lang w:val="en-AU"/>
        </w:rPr>
      </w:pPr>
      <w:proofErr w:type="spellStart"/>
      <w:r w:rsidRPr="006D0B7A">
        <w:rPr>
          <w:rFonts w:ascii="Times New Roman" w:hAnsi="Times New Roman" w:cs="Times New Roman"/>
          <w:sz w:val="22"/>
        </w:rPr>
        <w:t>Ciptunec</w:t>
      </w:r>
      <w:proofErr w:type="spellEnd"/>
      <w:r w:rsidRPr="006D0B7A" w:rsidDel="00C267EC">
        <w:rPr>
          <w:rFonts w:ascii="Times New Roman" w:hAnsi="Times New Roman" w:cs="Times New Roman"/>
          <w:sz w:val="22"/>
        </w:rPr>
        <w:t xml:space="preserve"> </w:t>
      </w:r>
      <w:r w:rsidRPr="009B0F37">
        <w:rPr>
          <w:rFonts w:ascii="Times New Roman" w:hAnsi="Times New Roman" w:cs="Times New Roman"/>
          <w:sz w:val="22"/>
          <w:lang w:val="en-AU"/>
        </w:rPr>
        <w:t>(adalimumab) is a biosimilar medicine to HUMIRA</w:t>
      </w:r>
      <w:r w:rsidRPr="009B0F37">
        <w:rPr>
          <w:rFonts w:ascii="Times New Roman" w:hAnsi="Times New Roman" w:cs="Times New Roman"/>
          <w:sz w:val="22"/>
          <w:vertAlign w:val="superscript"/>
          <w:lang w:val="en-AU"/>
        </w:rPr>
        <w:t>®</w:t>
      </w:r>
      <w:r w:rsidRPr="009B0F37">
        <w:rPr>
          <w:rFonts w:ascii="Times New Roman" w:hAnsi="Times New Roman" w:cs="Times New Roman"/>
          <w:sz w:val="22"/>
          <w:lang w:val="en-AU"/>
        </w:rPr>
        <w:t>.</w:t>
      </w:r>
    </w:p>
    <w:p w14:paraId="074697F8" w14:textId="77777777" w:rsidR="006D0B7A" w:rsidRDefault="006D0B7A" w:rsidP="00377A09">
      <w:pPr>
        <w:spacing w:after="0" w:line="240" w:lineRule="auto"/>
        <w:ind w:left="426" w:right="4"/>
        <w:jc w:val="left"/>
        <w:rPr>
          <w:rFonts w:ascii="Times New Roman" w:hAnsi="Times New Roman" w:cs="Times New Roman"/>
          <w:sz w:val="22"/>
          <w:lang w:val="en-AU"/>
        </w:rPr>
      </w:pPr>
    </w:p>
    <w:p w14:paraId="5D57C8D8" w14:textId="77669FC4" w:rsidR="006D0B7A" w:rsidRDefault="006D0B7A" w:rsidP="00377A09">
      <w:pPr>
        <w:spacing w:after="0" w:line="240" w:lineRule="auto"/>
        <w:ind w:left="426" w:right="4"/>
        <w:jc w:val="left"/>
        <w:rPr>
          <w:rFonts w:ascii="Times New Roman" w:hAnsi="Times New Roman" w:cs="Times New Roman"/>
          <w:sz w:val="22"/>
        </w:rPr>
      </w:pPr>
      <w:r w:rsidRPr="009B0F37">
        <w:rPr>
          <w:rFonts w:ascii="Times New Roman" w:hAnsi="Times New Roman" w:cs="Times New Roman"/>
          <w:sz w:val="22"/>
          <w:lang w:val="en-AU"/>
        </w:rPr>
        <w:t xml:space="preserve">The comparability of </w:t>
      </w:r>
      <w:proofErr w:type="spellStart"/>
      <w:r w:rsidRPr="006D0B7A">
        <w:rPr>
          <w:rFonts w:ascii="Times New Roman" w:hAnsi="Times New Roman" w:cs="Times New Roman"/>
          <w:sz w:val="22"/>
        </w:rPr>
        <w:t>Ciptunec</w:t>
      </w:r>
      <w:proofErr w:type="spellEnd"/>
      <w:r w:rsidRPr="006D0B7A" w:rsidDel="00C267EC">
        <w:rPr>
          <w:rFonts w:ascii="Times New Roman" w:hAnsi="Times New Roman" w:cs="Times New Roman"/>
          <w:sz w:val="22"/>
        </w:rPr>
        <w:t xml:space="preserve"> </w:t>
      </w:r>
      <w:r w:rsidRPr="009B0F37">
        <w:rPr>
          <w:rFonts w:ascii="Times New Roman" w:hAnsi="Times New Roman" w:cs="Times New Roman"/>
          <w:sz w:val="22"/>
          <w:lang w:val="en-AU"/>
        </w:rPr>
        <w:t xml:space="preserve">with </w:t>
      </w:r>
      <w:r w:rsidR="00135ABF" w:rsidRPr="009B0F37">
        <w:rPr>
          <w:rFonts w:ascii="Times New Roman" w:hAnsi="Times New Roman" w:cs="Times New Roman"/>
          <w:sz w:val="22"/>
          <w:lang w:val="en-AU"/>
        </w:rPr>
        <w:t xml:space="preserve">Humira </w:t>
      </w:r>
      <w:r w:rsidRPr="009B0F37">
        <w:rPr>
          <w:rFonts w:ascii="Times New Roman" w:hAnsi="Times New Roman" w:cs="Times New Roman"/>
          <w:sz w:val="22"/>
          <w:lang w:val="en-AU"/>
        </w:rPr>
        <w:t xml:space="preserve">has been demonstrated </w:t>
      </w:r>
      <w:proofErr w:type="gramStart"/>
      <w:r w:rsidRPr="009B0F37">
        <w:rPr>
          <w:rFonts w:ascii="Times New Roman" w:hAnsi="Times New Roman" w:cs="Times New Roman"/>
          <w:sz w:val="22"/>
          <w:lang w:val="en-AU"/>
        </w:rPr>
        <w:t>with regard to</w:t>
      </w:r>
      <w:proofErr w:type="gramEnd"/>
      <w:r w:rsidRPr="009B0F37">
        <w:rPr>
          <w:rFonts w:ascii="Times New Roman" w:hAnsi="Times New Roman" w:cs="Times New Roman"/>
          <w:sz w:val="22"/>
          <w:lang w:val="en-AU"/>
        </w:rPr>
        <w:t xml:space="preserve"> physicochemical characteristics and efficacy and safety outcomes </w:t>
      </w:r>
      <w:r>
        <w:rPr>
          <w:rFonts w:ascii="Times New Roman" w:hAnsi="Times New Roman" w:cs="Times New Roman"/>
          <w:sz w:val="22"/>
          <w:lang w:val="en-AU"/>
        </w:rPr>
        <w:t>(</w:t>
      </w:r>
      <w:r w:rsidRPr="009B0F37">
        <w:rPr>
          <w:rFonts w:ascii="Times New Roman" w:hAnsi="Times New Roman" w:cs="Times New Roman"/>
          <w:sz w:val="22"/>
          <w:lang w:val="en-AU"/>
        </w:rPr>
        <w:t>see Section 5 Pharmacological Properties, 5.1 Pharmacodynamic properties - Clinical trials and 4.8 Adverse Effects</w:t>
      </w:r>
      <w:r>
        <w:rPr>
          <w:rFonts w:ascii="Times New Roman" w:hAnsi="Times New Roman" w:cs="Times New Roman"/>
          <w:sz w:val="22"/>
          <w:lang w:val="en-AU"/>
        </w:rPr>
        <w:t>)</w:t>
      </w:r>
      <w:r w:rsidRPr="009B0F37">
        <w:rPr>
          <w:rFonts w:ascii="Times New Roman" w:hAnsi="Times New Roman" w:cs="Times New Roman"/>
          <w:sz w:val="22"/>
          <w:lang w:val="en-AU"/>
        </w:rPr>
        <w:t xml:space="preserve">. The evidence for comparability supports the use of </w:t>
      </w: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Pr="009B0F37">
        <w:rPr>
          <w:rFonts w:ascii="Times New Roman" w:hAnsi="Times New Roman" w:cs="Times New Roman"/>
          <w:sz w:val="22"/>
          <w:lang w:val="en-AU"/>
        </w:rPr>
        <w:t>for the listed indications</w:t>
      </w:r>
      <w:r>
        <w:rPr>
          <w:rFonts w:ascii="Times New Roman" w:hAnsi="Times New Roman" w:cs="Times New Roman"/>
          <w:sz w:val="22"/>
          <w:lang w:val="en-AU"/>
        </w:rPr>
        <w:t>.</w:t>
      </w:r>
    </w:p>
    <w:p w14:paraId="0BBC25F1" w14:textId="64CE77CE" w:rsidR="00410E4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1348531" w14:textId="2F53820A" w:rsidR="00410E4E" w:rsidRPr="00DD1F63" w:rsidRDefault="00CA72FF" w:rsidP="00377A09">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2 </w:t>
      </w:r>
      <w:r w:rsidR="002B674C" w:rsidRPr="00DD1F63">
        <w:rPr>
          <w:rFonts w:ascii="Times New Roman" w:hAnsi="Times New Roman" w:cs="Times New Roman"/>
          <w:b/>
          <w:bCs/>
          <w:sz w:val="22"/>
        </w:rPr>
        <w:tab/>
      </w:r>
      <w:r w:rsidRPr="00DD1F63">
        <w:rPr>
          <w:rFonts w:ascii="Times New Roman" w:hAnsi="Times New Roman" w:cs="Times New Roman"/>
          <w:b/>
          <w:bCs/>
          <w:sz w:val="22"/>
        </w:rPr>
        <w:t xml:space="preserve">QUALITATIVE AND QUANTITATIVE COMPOSITION </w:t>
      </w:r>
    </w:p>
    <w:p w14:paraId="1678E836" w14:textId="77777777" w:rsidR="00410E4E" w:rsidRPr="00DD1F63" w:rsidRDefault="00410E4E" w:rsidP="00377A09">
      <w:pPr>
        <w:spacing w:after="0" w:line="240" w:lineRule="auto"/>
        <w:ind w:left="426" w:hanging="11"/>
        <w:jc w:val="left"/>
        <w:rPr>
          <w:sz w:val="22"/>
        </w:rPr>
      </w:pPr>
    </w:p>
    <w:p w14:paraId="4D738204" w14:textId="12512FC5" w:rsidR="006B7C8E" w:rsidRPr="00DD1F63" w:rsidRDefault="003905BE" w:rsidP="00377A09">
      <w:pPr>
        <w:spacing w:after="0" w:line="240" w:lineRule="auto"/>
        <w:ind w:left="426"/>
        <w:jc w:val="left"/>
        <w:rPr>
          <w:rFonts w:ascii="Times New Roman" w:hAnsi="Times New Roman" w:cs="Times New Roman"/>
          <w:spacing w:val="2"/>
          <w:sz w:val="22"/>
        </w:rPr>
      </w:pPr>
      <w:r w:rsidRPr="00DD1F63">
        <w:rPr>
          <w:rFonts w:ascii="Times New Roman" w:hAnsi="Times New Roman" w:cs="Times New Roman"/>
          <w:spacing w:val="2"/>
          <w:sz w:val="22"/>
        </w:rPr>
        <w:t>A</w:t>
      </w:r>
      <w:r w:rsidR="00CA72FF" w:rsidRPr="00DD1F63">
        <w:rPr>
          <w:rFonts w:ascii="Times New Roman" w:hAnsi="Times New Roman" w:cs="Times New Roman"/>
          <w:spacing w:val="2"/>
          <w:sz w:val="22"/>
        </w:rPr>
        <w:t xml:space="preserve">dalimumab is a recombinant human immunoglobulin (IgG1) monoclonal antibody containing only human peptide sequences. </w:t>
      </w:r>
      <w:r w:rsidR="00665EA2" w:rsidRPr="00DD1F63">
        <w:rPr>
          <w:rFonts w:ascii="Times New Roman" w:hAnsi="Times New Roman" w:cs="Times New Roman"/>
          <w:spacing w:val="2"/>
          <w:sz w:val="22"/>
        </w:rPr>
        <w:t>Adalimumab</w:t>
      </w:r>
      <w:r w:rsidR="00CA72FF" w:rsidRPr="00DD1F63">
        <w:rPr>
          <w:rFonts w:ascii="Times New Roman" w:hAnsi="Times New Roman" w:cs="Times New Roman"/>
          <w:spacing w:val="2"/>
          <w:sz w:val="22"/>
        </w:rPr>
        <w:t xml:space="preserve"> was created using phage display technology resulting in fully human heavy and light chain variable regions, which confer specificity to human tumour necrosis factor (TNF), and human IgG1 heavy chain and kappa light chain sequences. </w:t>
      </w:r>
      <w:r w:rsidR="00665EA2" w:rsidRPr="00DD1F63">
        <w:rPr>
          <w:rFonts w:ascii="Times New Roman" w:hAnsi="Times New Roman" w:cs="Times New Roman"/>
          <w:spacing w:val="2"/>
          <w:sz w:val="22"/>
        </w:rPr>
        <w:t>Adalimumab</w:t>
      </w:r>
      <w:r w:rsidR="00CA72FF" w:rsidRPr="00DD1F63">
        <w:rPr>
          <w:rFonts w:ascii="Times New Roman" w:hAnsi="Times New Roman" w:cs="Times New Roman"/>
          <w:spacing w:val="2"/>
          <w:sz w:val="22"/>
        </w:rPr>
        <w:t xml:space="preserve"> binds with high affinity and specificity to soluble tumour necrosis factor (TNF-alpha) but not lymphotoxin (TNF-beta). Adalimumab is produced by recombinant DNA technology in a mammalian cell expression system. It consists of 1330 amino acids and has a molecular weight of approximately 148 kilodaltons. </w:t>
      </w:r>
    </w:p>
    <w:p w14:paraId="446E3946" w14:textId="77777777" w:rsidR="00410E4E" w:rsidRPr="00DD1F63" w:rsidRDefault="00410E4E" w:rsidP="00377A09">
      <w:pPr>
        <w:spacing w:after="0" w:line="240" w:lineRule="auto"/>
        <w:ind w:left="426"/>
        <w:jc w:val="left"/>
        <w:rPr>
          <w:rFonts w:ascii="Times New Roman" w:hAnsi="Times New Roman" w:cs="Times New Roman"/>
          <w:sz w:val="22"/>
        </w:rPr>
      </w:pPr>
    </w:p>
    <w:p w14:paraId="634FA366" w14:textId="08661240" w:rsidR="006B7C8E" w:rsidRPr="00DD1F63" w:rsidRDefault="00CA72FF" w:rsidP="00377A09">
      <w:pPr>
        <w:spacing w:after="0" w:line="240" w:lineRule="auto"/>
        <w:ind w:left="426" w:right="4"/>
        <w:jc w:val="left"/>
        <w:rPr>
          <w:rFonts w:ascii="Times New Roman" w:hAnsi="Times New Roman" w:cs="Times New Roman"/>
          <w:spacing w:val="2"/>
          <w:sz w:val="22"/>
        </w:rPr>
      </w:pPr>
      <w:r w:rsidRPr="00DD1F63">
        <w:rPr>
          <w:rFonts w:ascii="Times New Roman" w:hAnsi="Times New Roman" w:cs="Times New Roman"/>
          <w:spacing w:val="2"/>
          <w:sz w:val="22"/>
        </w:rPr>
        <w:t xml:space="preserve">Adult presentations contain 80 mg adalimumab per 0.8 mL (100 mg/mL), 40 mg adalimumab per 0.4 mL (100 mg/mL). </w:t>
      </w:r>
    </w:p>
    <w:p w14:paraId="3CD5F2CB" w14:textId="77777777" w:rsidR="00410E4E" w:rsidRPr="00DD1F63" w:rsidRDefault="00410E4E" w:rsidP="00377A09">
      <w:pPr>
        <w:spacing w:after="0" w:line="240" w:lineRule="auto"/>
        <w:ind w:left="426" w:right="4"/>
        <w:jc w:val="left"/>
        <w:rPr>
          <w:rFonts w:ascii="Times New Roman" w:hAnsi="Times New Roman" w:cs="Times New Roman"/>
          <w:sz w:val="22"/>
        </w:rPr>
      </w:pPr>
    </w:p>
    <w:p w14:paraId="013C78FE" w14:textId="4ED6E91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For the full list of excipients, see</w:t>
      </w:r>
      <w:r w:rsidRPr="00DD1F63">
        <w:rPr>
          <w:rFonts w:ascii="Times New Roman" w:hAnsi="Times New Roman" w:cs="Times New Roman"/>
          <w:b/>
          <w:sz w:val="22"/>
        </w:rPr>
        <w:t xml:space="preserve"> </w:t>
      </w:r>
      <w:r w:rsidR="00797539" w:rsidRPr="00DD1F63">
        <w:rPr>
          <w:rFonts w:ascii="Times New Roman" w:hAnsi="Times New Roman" w:cs="Times New Roman"/>
          <w:bCs/>
          <w:sz w:val="22"/>
        </w:rPr>
        <w:t>s</w:t>
      </w:r>
      <w:r w:rsidRPr="00DD1F63">
        <w:rPr>
          <w:rFonts w:ascii="Times New Roman" w:hAnsi="Times New Roman" w:cs="Times New Roman"/>
          <w:bCs/>
          <w:sz w:val="22"/>
        </w:rPr>
        <w:t xml:space="preserve">ection 6.1 List of </w:t>
      </w:r>
      <w:r w:rsidR="00724639" w:rsidRPr="00DD1F63">
        <w:rPr>
          <w:rFonts w:ascii="Times New Roman" w:hAnsi="Times New Roman" w:cs="Times New Roman"/>
          <w:bCs/>
          <w:sz w:val="22"/>
        </w:rPr>
        <w:t>e</w:t>
      </w:r>
      <w:r w:rsidRPr="00DD1F63">
        <w:rPr>
          <w:rFonts w:ascii="Times New Roman" w:hAnsi="Times New Roman" w:cs="Times New Roman"/>
          <w:bCs/>
          <w:sz w:val="22"/>
        </w:rPr>
        <w:t>xcipients</w:t>
      </w:r>
      <w:r w:rsidRPr="00DD1F63">
        <w:rPr>
          <w:rFonts w:ascii="Times New Roman" w:hAnsi="Times New Roman" w:cs="Times New Roman"/>
          <w:sz w:val="22"/>
        </w:rPr>
        <w:t xml:space="preserve">. </w:t>
      </w:r>
    </w:p>
    <w:p w14:paraId="292EFCA7" w14:textId="77777777" w:rsidR="00410E4E" w:rsidRPr="00DD1F63" w:rsidRDefault="00410E4E" w:rsidP="00377A09">
      <w:pPr>
        <w:spacing w:after="0" w:line="240" w:lineRule="auto"/>
        <w:ind w:left="426" w:right="375"/>
        <w:jc w:val="left"/>
        <w:rPr>
          <w:rFonts w:ascii="Times New Roman" w:hAnsi="Times New Roman" w:cs="Times New Roman"/>
          <w:sz w:val="22"/>
        </w:rPr>
      </w:pPr>
    </w:p>
    <w:p w14:paraId="07FA6232" w14:textId="627002E4" w:rsidR="006B7C8E" w:rsidRPr="00DD1F63" w:rsidRDefault="00CA72FF" w:rsidP="00377A09">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3 </w:t>
      </w:r>
      <w:r w:rsidR="00724639" w:rsidRPr="00DD1F63">
        <w:rPr>
          <w:rFonts w:ascii="Times New Roman" w:hAnsi="Times New Roman" w:cs="Times New Roman"/>
          <w:b/>
          <w:bCs/>
          <w:sz w:val="22"/>
        </w:rPr>
        <w:tab/>
      </w:r>
      <w:r w:rsidRPr="00DD1F63">
        <w:rPr>
          <w:rFonts w:ascii="Times New Roman" w:hAnsi="Times New Roman" w:cs="Times New Roman"/>
          <w:b/>
          <w:bCs/>
          <w:sz w:val="22"/>
        </w:rPr>
        <w:t xml:space="preserve">PHARMACEUTICAL FORM </w:t>
      </w:r>
    </w:p>
    <w:p w14:paraId="1E1BAB0B" w14:textId="77777777" w:rsidR="00410E4E" w:rsidRPr="00DD1F63" w:rsidRDefault="00410E4E" w:rsidP="00377A09">
      <w:pPr>
        <w:spacing w:after="0" w:line="240" w:lineRule="auto"/>
        <w:ind w:left="426" w:hanging="11"/>
        <w:jc w:val="left"/>
        <w:rPr>
          <w:sz w:val="22"/>
        </w:rPr>
      </w:pPr>
    </w:p>
    <w:p w14:paraId="2B95DB4D" w14:textId="7F68A72E" w:rsidR="006B7C8E" w:rsidRPr="00DD1F63" w:rsidRDefault="00C267EC" w:rsidP="00377A09">
      <w:pPr>
        <w:spacing w:after="0" w:line="240" w:lineRule="auto"/>
        <w:ind w:left="426" w:right="3"/>
        <w:jc w:val="left"/>
        <w:rPr>
          <w:rFonts w:ascii="Times New Roman" w:hAnsi="Times New Roman" w:cs="Times New Roman"/>
          <w:sz w:val="22"/>
        </w:rPr>
      </w:pPr>
      <w:bookmarkStart w:id="0" w:name="_Hlk110428519"/>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bookmarkEnd w:id="0"/>
      <w:r w:rsidR="00CA72FF" w:rsidRPr="00DD1F63">
        <w:rPr>
          <w:rFonts w:ascii="Times New Roman" w:hAnsi="Times New Roman" w:cs="Times New Roman"/>
          <w:sz w:val="22"/>
        </w:rPr>
        <w:t xml:space="preserve">is supplied as a sterile, preservative-free solution of adalimumab for subcutaneous administration. The solution of </w:t>
      </w: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w:t>
      </w:r>
      <w:r w:rsidR="0049221A" w:rsidRPr="00DD1F63">
        <w:rPr>
          <w:rFonts w:ascii="Times New Roman" w:hAnsi="Times New Roman" w:cs="Times New Roman"/>
          <w:sz w:val="22"/>
        </w:rPr>
        <w:t xml:space="preserve">a </w:t>
      </w:r>
      <w:r w:rsidR="00CA72FF" w:rsidRPr="00DD1F63">
        <w:rPr>
          <w:rFonts w:ascii="Times New Roman" w:hAnsi="Times New Roman" w:cs="Times New Roman"/>
          <w:sz w:val="22"/>
        </w:rPr>
        <w:t xml:space="preserve">clear </w:t>
      </w:r>
      <w:r w:rsidR="006E7EEE" w:rsidRPr="00DD1F63">
        <w:rPr>
          <w:rFonts w:ascii="Times New Roman" w:hAnsi="Times New Roman" w:cs="Times New Roman"/>
          <w:sz w:val="22"/>
        </w:rPr>
        <w:t xml:space="preserve">and </w:t>
      </w:r>
      <w:r w:rsidR="006E7EEE" w:rsidRPr="00DD1F63">
        <w:rPr>
          <w:rFonts w:ascii="Times New Roman" w:hAnsi="Times New Roman" w:cs="Times New Roman"/>
          <w:sz w:val="22"/>
          <w:lang w:val="en-US"/>
        </w:rPr>
        <w:t xml:space="preserve">colorless </w:t>
      </w:r>
      <w:r w:rsidR="0049221A" w:rsidRPr="00DD1F63">
        <w:rPr>
          <w:rFonts w:ascii="Times New Roman" w:hAnsi="Times New Roman" w:cs="Times New Roman"/>
          <w:sz w:val="22"/>
        </w:rPr>
        <w:t>liquid solution</w:t>
      </w:r>
      <w:r w:rsidR="0049221A" w:rsidRPr="00DD1F63" w:rsidDel="0049221A">
        <w:rPr>
          <w:rFonts w:ascii="Times New Roman" w:hAnsi="Times New Roman" w:cs="Times New Roman"/>
          <w:sz w:val="22"/>
        </w:rPr>
        <w:t xml:space="preserve"> </w:t>
      </w:r>
      <w:r w:rsidR="00CA72FF" w:rsidRPr="00DD1F63">
        <w:rPr>
          <w:rFonts w:ascii="Times New Roman" w:hAnsi="Times New Roman" w:cs="Times New Roman"/>
          <w:sz w:val="22"/>
        </w:rPr>
        <w:t>and isotonic with a pH of 5.</w:t>
      </w:r>
      <w:r w:rsidR="0049221A" w:rsidRPr="00DD1F63">
        <w:rPr>
          <w:rFonts w:ascii="Times New Roman" w:hAnsi="Times New Roman" w:cs="Times New Roman"/>
          <w:sz w:val="22"/>
        </w:rPr>
        <w:t>0 to 5.6</w:t>
      </w:r>
      <w:r w:rsidR="00CA72FF" w:rsidRPr="00DD1F63">
        <w:rPr>
          <w:rFonts w:ascii="Times New Roman" w:hAnsi="Times New Roman" w:cs="Times New Roman"/>
          <w:sz w:val="22"/>
        </w:rPr>
        <w:t>. The drug product is supplied as either a single-use pre-filled glass syringe or as a single use, pre-filled pen (</w:t>
      </w: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Pen). Enclosed within the pen is a single-use, pre-filled glass syringe. </w:t>
      </w:r>
    </w:p>
    <w:p w14:paraId="06D951EF" w14:textId="77777777" w:rsidR="00410E4E" w:rsidRPr="00DD1F63" w:rsidRDefault="00410E4E" w:rsidP="00377A09">
      <w:pPr>
        <w:spacing w:after="0" w:line="240" w:lineRule="auto"/>
        <w:ind w:left="426" w:right="3"/>
        <w:jc w:val="left"/>
        <w:rPr>
          <w:rFonts w:ascii="Times New Roman" w:hAnsi="Times New Roman" w:cs="Times New Roman"/>
        </w:rPr>
      </w:pPr>
    </w:p>
    <w:p w14:paraId="2F0AF4B9"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rPr>
        <w:tab/>
        <w:t xml:space="preserve"> </w:t>
      </w:r>
    </w:p>
    <w:p w14:paraId="525B33F0" w14:textId="5FAD8132" w:rsidR="006B7C8E" w:rsidRPr="00DD1F63" w:rsidRDefault="00CA72FF" w:rsidP="00377A09">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 </w:t>
      </w:r>
      <w:r w:rsidR="00601366" w:rsidRPr="00DD1F63">
        <w:rPr>
          <w:rFonts w:ascii="Times New Roman" w:hAnsi="Times New Roman" w:cs="Times New Roman"/>
          <w:b/>
          <w:bCs/>
          <w:sz w:val="22"/>
        </w:rPr>
        <w:tab/>
      </w:r>
      <w:r w:rsidRPr="00DD1F63">
        <w:rPr>
          <w:rFonts w:ascii="Times New Roman" w:hAnsi="Times New Roman" w:cs="Times New Roman"/>
          <w:b/>
          <w:bCs/>
          <w:sz w:val="22"/>
        </w:rPr>
        <w:t xml:space="preserve">CLINICAL PARTICULARS </w:t>
      </w:r>
    </w:p>
    <w:p w14:paraId="6DE67DDA" w14:textId="77777777" w:rsidR="00410E4E" w:rsidRPr="00DD1F63" w:rsidRDefault="00410E4E" w:rsidP="00377A09">
      <w:pPr>
        <w:spacing w:after="0" w:line="240" w:lineRule="auto"/>
        <w:ind w:left="426" w:hanging="11"/>
        <w:jc w:val="left"/>
        <w:rPr>
          <w:sz w:val="22"/>
        </w:rPr>
      </w:pPr>
    </w:p>
    <w:p w14:paraId="0FE44E67" w14:textId="1E42468A" w:rsidR="006B7C8E" w:rsidRPr="00DD1F63" w:rsidRDefault="00CA72FF" w:rsidP="00377A09">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4.1 </w:t>
      </w:r>
      <w:r w:rsidRPr="00DD1F63">
        <w:tab/>
      </w:r>
      <w:r w:rsidRPr="00DD1F63">
        <w:rPr>
          <w:rFonts w:ascii="Times New Roman" w:hAnsi="Times New Roman" w:cs="Times New Roman"/>
          <w:b/>
          <w:bCs/>
          <w:sz w:val="22"/>
        </w:rPr>
        <w:t xml:space="preserve">Therapeutic indications </w:t>
      </w:r>
    </w:p>
    <w:p w14:paraId="4DDBAB93" w14:textId="77777777" w:rsidR="00410E4E" w:rsidRPr="00DD1F63" w:rsidRDefault="00410E4E" w:rsidP="00377A09">
      <w:pPr>
        <w:spacing w:after="0" w:line="240" w:lineRule="auto"/>
        <w:ind w:left="426" w:hanging="11"/>
        <w:jc w:val="left"/>
        <w:rPr>
          <w:sz w:val="22"/>
        </w:rPr>
      </w:pPr>
    </w:p>
    <w:p w14:paraId="403CA028" w14:textId="6E53186B" w:rsidR="00410E4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rPr>
        <w:t xml:space="preserve">Rheumatoid </w:t>
      </w:r>
      <w:r w:rsidR="000254A7" w:rsidRPr="00DD1F63">
        <w:rPr>
          <w:rFonts w:ascii="Times New Roman" w:hAnsi="Times New Roman" w:cs="Times New Roman"/>
        </w:rPr>
        <w:t>a</w:t>
      </w:r>
      <w:r w:rsidRPr="00DD1F63">
        <w:rPr>
          <w:rFonts w:ascii="Times New Roman" w:hAnsi="Times New Roman" w:cs="Times New Roman"/>
        </w:rPr>
        <w:t>rthritis</w:t>
      </w:r>
    </w:p>
    <w:p w14:paraId="44A076DF" w14:textId="1BFC7C63"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5AFD1E5B" w14:textId="6CBE744D" w:rsidR="006B7C8E" w:rsidRPr="00DD1F63" w:rsidRDefault="00C267EC" w:rsidP="00377A09">
      <w:pPr>
        <w:spacing w:after="0" w:line="240" w:lineRule="auto"/>
        <w:ind w:left="426" w:right="4"/>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 </w:t>
      </w:r>
    </w:p>
    <w:p w14:paraId="22065312" w14:textId="77777777" w:rsidR="00410E4E" w:rsidRPr="00DD1F63" w:rsidRDefault="00410E4E" w:rsidP="00377A09">
      <w:pPr>
        <w:spacing w:after="0" w:line="240" w:lineRule="auto"/>
        <w:ind w:left="426" w:right="4"/>
        <w:jc w:val="left"/>
        <w:rPr>
          <w:rFonts w:ascii="Times New Roman" w:hAnsi="Times New Roman" w:cs="Times New Roman"/>
          <w:sz w:val="22"/>
        </w:rPr>
      </w:pPr>
    </w:p>
    <w:p w14:paraId="3B825EA1" w14:textId="6BFDD872" w:rsidR="006B7C8E" w:rsidRPr="00DD1F63" w:rsidRDefault="00C267EC" w:rsidP="00377A09">
      <w:pPr>
        <w:spacing w:after="0" w:line="240" w:lineRule="auto"/>
        <w:ind w:left="426" w:right="375"/>
        <w:jc w:val="left"/>
        <w:rPr>
          <w:rFonts w:ascii="Times New Roman" w:hAnsi="Times New Roman" w:cs="Times New Roman"/>
          <w:sz w:val="22"/>
        </w:rPr>
      </w:pPr>
      <w:proofErr w:type="spellStart"/>
      <w:r w:rsidRPr="00C267EC">
        <w:rPr>
          <w:rFonts w:ascii="Times New Roman" w:hAnsi="Times New Roman" w:cs="Times New Roman"/>
          <w:sz w:val="22"/>
        </w:rPr>
        <w:lastRenderedPageBreak/>
        <w:t>Ciptunec</w:t>
      </w:r>
      <w:proofErr w:type="spellEnd"/>
      <w:r>
        <w:rPr>
          <w:rFonts w:ascii="Times New Roman" w:hAnsi="Times New Roman" w:cs="Times New Roman"/>
          <w:sz w:val="22"/>
        </w:rPr>
        <w:t xml:space="preserve"> </w:t>
      </w:r>
      <w:r w:rsidR="00CA72FF" w:rsidRPr="00DD1F63">
        <w:rPr>
          <w:rFonts w:ascii="Times New Roman" w:hAnsi="Times New Roman" w:cs="Times New Roman"/>
          <w:sz w:val="22"/>
        </w:rPr>
        <w:t xml:space="preserve">can be used alone or in combination with methotrexate. </w:t>
      </w:r>
    </w:p>
    <w:p w14:paraId="4D5E75F6" w14:textId="77777777" w:rsidR="00410E4E" w:rsidRPr="00DD1F63" w:rsidRDefault="00410E4E" w:rsidP="00377A09">
      <w:pPr>
        <w:spacing w:after="0" w:line="240" w:lineRule="auto"/>
        <w:ind w:left="426" w:right="375"/>
        <w:jc w:val="left"/>
        <w:rPr>
          <w:rFonts w:ascii="Times New Roman" w:hAnsi="Times New Roman" w:cs="Times New Roman"/>
          <w:sz w:val="22"/>
        </w:rPr>
      </w:pPr>
    </w:p>
    <w:p w14:paraId="246314B8" w14:textId="09ABAACD" w:rsidR="00410E4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u w:val="none"/>
        </w:rPr>
        <w:t xml:space="preserve"> </w:t>
      </w:r>
      <w:r w:rsidRPr="00DD1F63">
        <w:rPr>
          <w:rFonts w:ascii="Times New Roman" w:hAnsi="Times New Roman" w:cs="Times New Roman"/>
        </w:rPr>
        <w:t xml:space="preserve">Juvenile </w:t>
      </w:r>
      <w:r w:rsidR="000254A7" w:rsidRPr="00DD1F63">
        <w:rPr>
          <w:rFonts w:ascii="Times New Roman" w:hAnsi="Times New Roman" w:cs="Times New Roman"/>
        </w:rPr>
        <w:t>i</w:t>
      </w:r>
      <w:r w:rsidRPr="00DD1F63">
        <w:rPr>
          <w:rFonts w:ascii="Times New Roman" w:hAnsi="Times New Roman" w:cs="Times New Roman"/>
        </w:rPr>
        <w:t xml:space="preserve">diopathic </w:t>
      </w:r>
      <w:r w:rsidR="000254A7"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1047E6AF" w14:textId="77777777" w:rsidR="00410E4E" w:rsidRPr="00DD1F63" w:rsidRDefault="00410E4E" w:rsidP="00377A09">
      <w:pPr>
        <w:keepNext/>
        <w:spacing w:after="0" w:line="240" w:lineRule="auto"/>
        <w:ind w:left="425" w:hanging="11"/>
        <w:jc w:val="left"/>
        <w:rPr>
          <w:sz w:val="22"/>
        </w:rPr>
      </w:pPr>
    </w:p>
    <w:p w14:paraId="0C246DB2" w14:textId="37217E62" w:rsidR="006B7C8E" w:rsidRPr="00DD1F63" w:rsidRDefault="00CA72FF" w:rsidP="00377A09">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Polyarticular </w:t>
      </w:r>
      <w:r w:rsidR="000254A7" w:rsidRPr="00DD1F63">
        <w:rPr>
          <w:rFonts w:ascii="Times New Roman" w:hAnsi="Times New Roman" w:cs="Times New Roman"/>
          <w:i/>
          <w:u w:val="none"/>
        </w:rPr>
        <w:t>j</w:t>
      </w:r>
      <w:r w:rsidRPr="00DD1F63">
        <w:rPr>
          <w:rFonts w:ascii="Times New Roman" w:hAnsi="Times New Roman" w:cs="Times New Roman"/>
          <w:i/>
          <w:u w:val="none"/>
        </w:rPr>
        <w:t xml:space="preserve">uvenile </w:t>
      </w:r>
      <w:r w:rsidR="000254A7" w:rsidRPr="00DD1F63">
        <w:rPr>
          <w:rFonts w:ascii="Times New Roman" w:hAnsi="Times New Roman" w:cs="Times New Roman"/>
          <w:i/>
          <w:u w:val="none"/>
        </w:rPr>
        <w:t>i</w:t>
      </w:r>
      <w:r w:rsidRPr="00DD1F63">
        <w:rPr>
          <w:rFonts w:ascii="Times New Roman" w:hAnsi="Times New Roman" w:cs="Times New Roman"/>
          <w:i/>
          <w:u w:val="none"/>
        </w:rPr>
        <w:t xml:space="preserve">diopathic </w:t>
      </w:r>
      <w:r w:rsidR="000254A7" w:rsidRPr="00DD1F63">
        <w:rPr>
          <w:rFonts w:ascii="Times New Roman" w:hAnsi="Times New Roman" w:cs="Times New Roman"/>
          <w:i/>
          <w:u w:val="none"/>
        </w:rPr>
        <w:t>a</w:t>
      </w:r>
      <w:r w:rsidRPr="00DD1F63">
        <w:rPr>
          <w:rFonts w:ascii="Times New Roman" w:hAnsi="Times New Roman" w:cs="Times New Roman"/>
          <w:i/>
          <w:u w:val="none"/>
        </w:rPr>
        <w:t xml:space="preserve">rthritis </w:t>
      </w:r>
    </w:p>
    <w:p w14:paraId="5D0D57DE" w14:textId="77777777" w:rsidR="00410E4E" w:rsidRPr="00DD1F63" w:rsidRDefault="00410E4E" w:rsidP="00377A09">
      <w:pPr>
        <w:spacing w:after="0" w:line="240" w:lineRule="auto"/>
        <w:ind w:left="426" w:hanging="11"/>
        <w:jc w:val="left"/>
        <w:rPr>
          <w:sz w:val="22"/>
        </w:rPr>
      </w:pPr>
    </w:p>
    <w:p w14:paraId="6C90FE88" w14:textId="696B9862" w:rsidR="006B7C8E" w:rsidRPr="00DD1F63" w:rsidRDefault="00C267EC" w:rsidP="00377A09">
      <w:pPr>
        <w:spacing w:after="0" w:line="240" w:lineRule="auto"/>
        <w:ind w:left="426" w:right="3"/>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in combination with methotrexate is indicated for reducing the signs and symptoms of moderately to severely active polyarticular juvenile idiopathic arthritis in patients 2 years of age and older </w:t>
      </w:r>
      <w:r w:rsidR="002047A2" w:rsidRPr="00DD1F63">
        <w:rPr>
          <w:rFonts w:ascii="Times New Roman" w:hAnsi="Times New Roman" w:cs="Times New Roman"/>
          <w:sz w:val="22"/>
        </w:rPr>
        <w:t xml:space="preserve">weighing ≥ 30 kg </w:t>
      </w:r>
      <w:r w:rsidR="00CA72FF" w:rsidRPr="00DD1F63">
        <w:rPr>
          <w:rFonts w:ascii="Times New Roman" w:hAnsi="Times New Roman" w:cs="Times New Roman"/>
          <w:sz w:val="22"/>
        </w:rPr>
        <w:t xml:space="preserve">who have had an inadequate response to one or more disease modifying anti-rheumatic drugs (DMARDs). </w:t>
      </w: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can be given as monotherapy in case of intolerance to methotrexate or when continued treatment with methotrexate is inappropriate. </w:t>
      </w:r>
    </w:p>
    <w:p w14:paraId="511F4DE6" w14:textId="77777777" w:rsidR="00410E4E" w:rsidRPr="00DD1F63" w:rsidRDefault="00410E4E" w:rsidP="00377A09">
      <w:pPr>
        <w:spacing w:after="0" w:line="240" w:lineRule="auto"/>
        <w:ind w:left="426" w:right="3"/>
        <w:jc w:val="left"/>
        <w:rPr>
          <w:rFonts w:ascii="Times New Roman" w:hAnsi="Times New Roman" w:cs="Times New Roman"/>
          <w:sz w:val="22"/>
        </w:rPr>
      </w:pPr>
    </w:p>
    <w:p w14:paraId="1181A271" w14:textId="7A9E65D6" w:rsidR="006B7C8E" w:rsidRPr="00DD1F63" w:rsidRDefault="00CA72FF" w:rsidP="00377A09">
      <w:pPr>
        <w:pStyle w:val="Heading4"/>
        <w:spacing w:after="0" w:line="240" w:lineRule="auto"/>
        <w:ind w:left="426"/>
        <w:rPr>
          <w:rFonts w:ascii="Times New Roman" w:hAnsi="Times New Roman" w:cs="Times New Roman"/>
          <w:i/>
          <w:u w:val="none"/>
        </w:rPr>
      </w:pPr>
      <w:proofErr w:type="spellStart"/>
      <w:r w:rsidRPr="00DD1F63">
        <w:rPr>
          <w:rFonts w:ascii="Times New Roman" w:hAnsi="Times New Roman" w:cs="Times New Roman"/>
          <w:i/>
          <w:u w:val="none"/>
        </w:rPr>
        <w:t>Enthesitis</w:t>
      </w:r>
      <w:proofErr w:type="spellEnd"/>
      <w:r w:rsidRPr="00DD1F63">
        <w:rPr>
          <w:rFonts w:ascii="Times New Roman" w:hAnsi="Times New Roman" w:cs="Times New Roman"/>
          <w:i/>
          <w:u w:val="none"/>
        </w:rPr>
        <w:t>-</w:t>
      </w:r>
      <w:r w:rsidR="000254A7" w:rsidRPr="00DD1F63">
        <w:rPr>
          <w:rFonts w:ascii="Times New Roman" w:hAnsi="Times New Roman" w:cs="Times New Roman"/>
          <w:i/>
          <w:u w:val="none"/>
        </w:rPr>
        <w:t>r</w:t>
      </w:r>
      <w:r w:rsidRPr="00DD1F63">
        <w:rPr>
          <w:rFonts w:ascii="Times New Roman" w:hAnsi="Times New Roman" w:cs="Times New Roman"/>
          <w:i/>
          <w:u w:val="none"/>
        </w:rPr>
        <w:t xml:space="preserve">elated </w:t>
      </w:r>
      <w:r w:rsidR="000254A7" w:rsidRPr="00DD1F63">
        <w:rPr>
          <w:rFonts w:ascii="Times New Roman" w:hAnsi="Times New Roman" w:cs="Times New Roman"/>
          <w:i/>
          <w:u w:val="none"/>
        </w:rPr>
        <w:t>a</w:t>
      </w:r>
      <w:r w:rsidRPr="00DD1F63">
        <w:rPr>
          <w:rFonts w:ascii="Times New Roman" w:hAnsi="Times New Roman" w:cs="Times New Roman"/>
          <w:i/>
          <w:u w:val="none"/>
        </w:rPr>
        <w:t xml:space="preserve">rthritis </w:t>
      </w:r>
    </w:p>
    <w:p w14:paraId="4082A497" w14:textId="77777777" w:rsidR="00410E4E" w:rsidRPr="00DD1F63" w:rsidRDefault="00410E4E" w:rsidP="00377A09">
      <w:pPr>
        <w:spacing w:after="0" w:line="240" w:lineRule="auto"/>
        <w:ind w:left="426" w:hanging="11"/>
        <w:jc w:val="left"/>
        <w:rPr>
          <w:sz w:val="22"/>
        </w:rPr>
      </w:pPr>
    </w:p>
    <w:p w14:paraId="3541866B" w14:textId="3857A8D1" w:rsidR="006B7C8E" w:rsidRPr="00DD1F63" w:rsidRDefault="00C267EC" w:rsidP="00377A09">
      <w:pPr>
        <w:spacing w:after="0" w:line="240" w:lineRule="auto"/>
        <w:ind w:left="426"/>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w:t>
      </w:r>
      <w:proofErr w:type="spellStart"/>
      <w:r w:rsidR="00CA72FF" w:rsidRPr="00DD1F63">
        <w:rPr>
          <w:rFonts w:ascii="Times New Roman" w:hAnsi="Times New Roman" w:cs="Times New Roman"/>
          <w:sz w:val="22"/>
        </w:rPr>
        <w:t>enthesitis</w:t>
      </w:r>
      <w:proofErr w:type="spellEnd"/>
      <w:r w:rsidR="00CA72FF" w:rsidRPr="00DD1F63">
        <w:rPr>
          <w:rFonts w:ascii="Times New Roman" w:hAnsi="Times New Roman" w:cs="Times New Roman"/>
          <w:sz w:val="22"/>
        </w:rPr>
        <w:t xml:space="preserve">-related arthritis in children, who have had an inadequate response to, or who are intolerant to, conventional therapy. </w:t>
      </w:r>
    </w:p>
    <w:p w14:paraId="06F3C5A2" w14:textId="77777777" w:rsidR="00410E4E" w:rsidRPr="00DD1F63" w:rsidRDefault="00410E4E" w:rsidP="00377A09">
      <w:pPr>
        <w:spacing w:after="0" w:line="240" w:lineRule="auto"/>
        <w:ind w:left="426"/>
        <w:jc w:val="left"/>
        <w:rPr>
          <w:rFonts w:ascii="Times New Roman" w:hAnsi="Times New Roman" w:cs="Times New Roman"/>
          <w:sz w:val="22"/>
        </w:rPr>
      </w:pPr>
    </w:p>
    <w:p w14:paraId="2DCE87A5" w14:textId="3C1BC59A"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Psoriatic </w:t>
      </w:r>
      <w:r w:rsidR="000254A7"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7B819E74" w14:textId="77777777" w:rsidR="00410E4E" w:rsidRPr="00DD1F63" w:rsidRDefault="00410E4E" w:rsidP="00377A09">
      <w:pPr>
        <w:spacing w:after="0" w:line="240" w:lineRule="auto"/>
        <w:ind w:left="426" w:hanging="11"/>
        <w:jc w:val="left"/>
        <w:rPr>
          <w:sz w:val="22"/>
        </w:rPr>
      </w:pPr>
    </w:p>
    <w:p w14:paraId="450BE9FF" w14:textId="3616E34C" w:rsidR="001E2B53" w:rsidRPr="00DD1F63" w:rsidRDefault="00C267EC" w:rsidP="00377A09">
      <w:pPr>
        <w:spacing w:after="0" w:line="240" w:lineRule="auto"/>
        <w:ind w:left="426" w:right="12"/>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is indicated for the treatment of signs and symptoms, as well as inhibiting the progression of structural damage, of moderate to severely active psoriatic arthritis in adult patients where response to previous DMARDs has been inadequate.</w:t>
      </w:r>
    </w:p>
    <w:p w14:paraId="6736976F" w14:textId="71420F5E" w:rsidR="006B7C8E" w:rsidRPr="00DD1F63" w:rsidRDefault="006B7C8E" w:rsidP="00377A09">
      <w:pPr>
        <w:spacing w:after="0" w:line="240" w:lineRule="auto"/>
        <w:ind w:left="426" w:right="12"/>
        <w:jc w:val="left"/>
        <w:rPr>
          <w:rFonts w:ascii="Times New Roman" w:hAnsi="Times New Roman" w:cs="Times New Roman"/>
          <w:sz w:val="22"/>
        </w:rPr>
      </w:pPr>
    </w:p>
    <w:p w14:paraId="345C7D01" w14:textId="77B36D10"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 xml:space="preserve">Ankylosing </w:t>
      </w:r>
      <w:r w:rsidR="000254A7" w:rsidRPr="00DD1F63">
        <w:rPr>
          <w:rFonts w:ascii="Times New Roman" w:hAnsi="Times New Roman" w:cs="Times New Roman"/>
          <w:sz w:val="22"/>
          <w:u w:val="single" w:color="000000"/>
        </w:rPr>
        <w:t>s</w:t>
      </w:r>
      <w:r w:rsidRPr="00DD1F63">
        <w:rPr>
          <w:rFonts w:ascii="Times New Roman" w:hAnsi="Times New Roman" w:cs="Times New Roman"/>
          <w:sz w:val="22"/>
          <w:u w:val="single" w:color="000000"/>
        </w:rPr>
        <w:t>pondylitis</w:t>
      </w:r>
      <w:r w:rsidRPr="00DD1F63">
        <w:rPr>
          <w:rFonts w:ascii="Times New Roman" w:hAnsi="Times New Roman" w:cs="Times New Roman"/>
          <w:sz w:val="22"/>
        </w:rPr>
        <w:t xml:space="preserve"> </w:t>
      </w:r>
    </w:p>
    <w:p w14:paraId="6ABE0BBB" w14:textId="77777777" w:rsidR="001E2B53" w:rsidRPr="00DD1F63" w:rsidRDefault="001E2B53" w:rsidP="00377A09">
      <w:pPr>
        <w:spacing w:after="0" w:line="240" w:lineRule="auto"/>
        <w:ind w:left="426"/>
        <w:jc w:val="left"/>
        <w:rPr>
          <w:rFonts w:ascii="Times New Roman" w:hAnsi="Times New Roman" w:cs="Times New Roman"/>
          <w:sz w:val="22"/>
        </w:rPr>
      </w:pPr>
    </w:p>
    <w:p w14:paraId="5B34569E" w14:textId="526A1EA3" w:rsidR="006B7C8E" w:rsidRPr="00DD1F63" w:rsidRDefault="00C267EC" w:rsidP="00377A09">
      <w:pPr>
        <w:spacing w:after="0" w:line="240" w:lineRule="auto"/>
        <w:ind w:left="426" w:right="375"/>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reducing signs and symptoms in patients with active ankylosing spondylitis. </w:t>
      </w:r>
    </w:p>
    <w:p w14:paraId="5375AC34" w14:textId="04A426F2" w:rsidR="00B5000C" w:rsidRPr="00DD1F63" w:rsidRDefault="00B5000C" w:rsidP="00377A09">
      <w:pPr>
        <w:spacing w:after="0" w:line="240" w:lineRule="auto"/>
        <w:ind w:left="426" w:right="375"/>
        <w:jc w:val="left"/>
        <w:rPr>
          <w:rFonts w:ascii="Times New Roman" w:hAnsi="Times New Roman" w:cs="Times New Roman"/>
          <w:sz w:val="22"/>
        </w:rPr>
      </w:pPr>
    </w:p>
    <w:p w14:paraId="2876B415" w14:textId="0F542719" w:rsidR="00B5000C" w:rsidRPr="00DD1F63" w:rsidRDefault="00B5000C" w:rsidP="00377A09">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Crohn’s disease in adults and children (≥ 6 years</w:t>
      </w:r>
      <w:r w:rsidR="007A5966">
        <w:rPr>
          <w:rFonts w:ascii="Times New Roman" w:hAnsi="Times New Roman" w:cs="Times New Roman"/>
          <w:sz w:val="22"/>
          <w:u w:val="single"/>
        </w:rPr>
        <w:t>;</w:t>
      </w:r>
      <w:r w:rsidR="007A5966" w:rsidRPr="007A5966">
        <w:rPr>
          <w:rFonts w:ascii="Times New Roman" w:hAnsi="Times New Roman" w:cs="Times New Roman"/>
          <w:sz w:val="22"/>
        </w:rPr>
        <w:t xml:space="preserve"> </w:t>
      </w:r>
      <w:r w:rsidR="007A5966" w:rsidRPr="007A5966">
        <w:rPr>
          <w:rFonts w:ascii="Times New Roman" w:hAnsi="Times New Roman" w:cs="Times New Roman"/>
          <w:sz w:val="22"/>
          <w:u w:val="single"/>
        </w:rPr>
        <w:t>weighing ≥ 40 kg</w:t>
      </w:r>
      <w:r w:rsidRPr="00DD1F63">
        <w:rPr>
          <w:rFonts w:ascii="Times New Roman" w:hAnsi="Times New Roman" w:cs="Times New Roman"/>
          <w:sz w:val="22"/>
          <w:u w:val="single"/>
        </w:rPr>
        <w:t>)</w:t>
      </w:r>
    </w:p>
    <w:p w14:paraId="5C8AA114" w14:textId="31850A00" w:rsidR="00B5000C" w:rsidRPr="00DD1F63" w:rsidRDefault="00B5000C" w:rsidP="00377A09">
      <w:pPr>
        <w:spacing w:after="0" w:line="240" w:lineRule="auto"/>
        <w:ind w:left="426" w:right="375"/>
        <w:jc w:val="left"/>
        <w:rPr>
          <w:rFonts w:ascii="Times New Roman" w:hAnsi="Times New Roman" w:cs="Times New Roman"/>
          <w:sz w:val="22"/>
        </w:rPr>
      </w:pPr>
    </w:p>
    <w:p w14:paraId="57DD782B" w14:textId="301FEA60" w:rsidR="00B5000C" w:rsidRPr="00DD1F63" w:rsidRDefault="00C267EC" w:rsidP="00377A09">
      <w:pPr>
        <w:spacing w:after="0" w:line="240" w:lineRule="auto"/>
        <w:ind w:left="426" w:right="375"/>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B5000C" w:rsidRPr="00DD1F63">
        <w:rPr>
          <w:rFonts w:ascii="Times New Roman" w:hAnsi="Times New Roman" w:cs="Times New Roman"/>
          <w:sz w:val="22"/>
        </w:rPr>
        <w:t xml:space="preserve">is indicated for the treatment of moderate to severe Crohn’s disease, to reduce the signs and symptoms of the disease and to induce and maintain clinical remission in </w:t>
      </w:r>
      <w:proofErr w:type="gramStart"/>
      <w:r w:rsidR="00B5000C" w:rsidRPr="00DD1F63">
        <w:rPr>
          <w:rFonts w:ascii="Times New Roman" w:hAnsi="Times New Roman" w:cs="Times New Roman"/>
          <w:sz w:val="22"/>
        </w:rPr>
        <w:t>patients;</w:t>
      </w:r>
      <w:proofErr w:type="gramEnd"/>
    </w:p>
    <w:p w14:paraId="69A553B5" w14:textId="77777777" w:rsidR="00B5000C" w:rsidRPr="00DD1F63" w:rsidRDefault="00B5000C" w:rsidP="00377A09">
      <w:pPr>
        <w:spacing w:after="0" w:line="240" w:lineRule="auto"/>
        <w:ind w:left="426" w:right="375"/>
        <w:jc w:val="left"/>
        <w:rPr>
          <w:rFonts w:ascii="Times New Roman" w:hAnsi="Times New Roman" w:cs="Times New Roman"/>
          <w:sz w:val="22"/>
        </w:rPr>
      </w:pPr>
    </w:p>
    <w:p w14:paraId="06893042" w14:textId="77777777" w:rsidR="00B5000C" w:rsidRPr="00DD1F63" w:rsidRDefault="00B5000C" w:rsidP="00377A09">
      <w:pPr>
        <w:pStyle w:val="ListParagraph"/>
        <w:numPr>
          <w:ilvl w:val="0"/>
          <w:numId w:val="25"/>
        </w:numPr>
        <w:spacing w:after="0" w:line="240" w:lineRule="auto"/>
        <w:ind w:right="375"/>
        <w:jc w:val="left"/>
        <w:rPr>
          <w:rFonts w:ascii="Times New Roman" w:hAnsi="Times New Roman" w:cs="Times New Roman"/>
          <w:sz w:val="22"/>
        </w:rPr>
      </w:pPr>
      <w:r w:rsidRPr="00DD1F63">
        <w:rPr>
          <w:rFonts w:ascii="Times New Roman" w:hAnsi="Times New Roman" w:cs="Times New Roman"/>
          <w:sz w:val="22"/>
        </w:rPr>
        <w:t xml:space="preserve">who have had an inadequate response to conventional therapies or, </w:t>
      </w:r>
    </w:p>
    <w:p w14:paraId="74B050F8" w14:textId="77777777" w:rsidR="00B5000C" w:rsidRPr="00DD1F63" w:rsidRDefault="00B5000C" w:rsidP="00377A09">
      <w:pPr>
        <w:spacing w:after="0" w:line="240" w:lineRule="auto"/>
        <w:ind w:left="426" w:right="375"/>
        <w:jc w:val="left"/>
        <w:rPr>
          <w:rFonts w:ascii="Times New Roman" w:hAnsi="Times New Roman" w:cs="Times New Roman"/>
          <w:sz w:val="22"/>
        </w:rPr>
      </w:pPr>
    </w:p>
    <w:p w14:paraId="2B1F295D" w14:textId="77777777" w:rsidR="00B5000C" w:rsidRPr="00DD1F63" w:rsidRDefault="00B5000C" w:rsidP="00377A09">
      <w:pPr>
        <w:pStyle w:val="ListParagraph"/>
        <w:numPr>
          <w:ilvl w:val="0"/>
          <w:numId w:val="25"/>
        </w:numPr>
        <w:spacing w:after="0" w:line="240" w:lineRule="auto"/>
        <w:ind w:right="375"/>
        <w:jc w:val="left"/>
        <w:rPr>
          <w:rFonts w:ascii="Times New Roman" w:hAnsi="Times New Roman" w:cs="Times New Roman"/>
          <w:sz w:val="22"/>
        </w:rPr>
      </w:pPr>
      <w:r w:rsidRPr="00DD1F63">
        <w:rPr>
          <w:rFonts w:ascii="Times New Roman" w:hAnsi="Times New Roman" w:cs="Times New Roman"/>
          <w:sz w:val="22"/>
        </w:rPr>
        <w:t xml:space="preserve">who have lost response to or are intolerant to </w:t>
      </w:r>
      <w:proofErr w:type="gramStart"/>
      <w:r w:rsidRPr="00DD1F63">
        <w:rPr>
          <w:rFonts w:ascii="Times New Roman" w:hAnsi="Times New Roman" w:cs="Times New Roman"/>
          <w:sz w:val="22"/>
        </w:rPr>
        <w:t>infliximab</w:t>
      </w:r>
      <w:proofErr w:type="gramEnd"/>
      <w:r w:rsidRPr="00DD1F63">
        <w:rPr>
          <w:rFonts w:ascii="Times New Roman" w:hAnsi="Times New Roman" w:cs="Times New Roman"/>
          <w:sz w:val="22"/>
        </w:rPr>
        <w:t xml:space="preserve"> </w:t>
      </w:r>
    </w:p>
    <w:p w14:paraId="2056C1B0" w14:textId="02857477" w:rsidR="00B5000C" w:rsidRPr="00DD1F63" w:rsidRDefault="00B5000C" w:rsidP="00377A09">
      <w:pPr>
        <w:spacing w:after="0" w:line="240" w:lineRule="auto"/>
        <w:ind w:left="426" w:right="375"/>
        <w:jc w:val="left"/>
        <w:rPr>
          <w:rFonts w:ascii="Times New Roman" w:hAnsi="Times New Roman" w:cs="Times New Roman"/>
          <w:sz w:val="22"/>
        </w:rPr>
      </w:pPr>
    </w:p>
    <w:p w14:paraId="54D1B180" w14:textId="095D01FB" w:rsidR="00B5000C" w:rsidRPr="00DD1F63" w:rsidRDefault="00B5000C" w:rsidP="00377A09">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Ulcerative colitis</w:t>
      </w:r>
    </w:p>
    <w:p w14:paraId="4D234E82" w14:textId="307BD0F8" w:rsidR="00036A10" w:rsidRPr="00DD1F63" w:rsidRDefault="00036A10" w:rsidP="00377A09">
      <w:pPr>
        <w:spacing w:after="0" w:line="240" w:lineRule="auto"/>
        <w:ind w:left="426" w:right="375"/>
        <w:jc w:val="left"/>
        <w:rPr>
          <w:rFonts w:ascii="Times New Roman" w:hAnsi="Times New Roman" w:cs="Times New Roman"/>
          <w:sz w:val="22"/>
        </w:rPr>
      </w:pPr>
    </w:p>
    <w:p w14:paraId="190C98CE" w14:textId="5B0EE7E6" w:rsidR="00B5000C" w:rsidRPr="00DD1F63" w:rsidRDefault="00C267EC" w:rsidP="00377A09">
      <w:pPr>
        <w:spacing w:after="0" w:line="240" w:lineRule="auto"/>
        <w:ind w:left="426" w:right="375"/>
        <w:jc w:val="left"/>
        <w:rPr>
          <w:rFonts w:ascii="Times New Roman" w:hAnsi="Times New Roman" w:cs="Times New Roman"/>
          <w:sz w:val="22"/>
        </w:rPr>
      </w:pPr>
      <w:proofErr w:type="spellStart"/>
      <w:r w:rsidRPr="00F242BE">
        <w:rPr>
          <w:rFonts w:ascii="Times New Roman" w:hAnsi="Times New Roman" w:cs="Times New Roman"/>
          <w:spacing w:val="-2"/>
          <w:sz w:val="22"/>
        </w:rPr>
        <w:t>Ciptunec</w:t>
      </w:r>
      <w:proofErr w:type="spellEnd"/>
      <w:r w:rsidRPr="00F242BE" w:rsidDel="00C267EC">
        <w:rPr>
          <w:rFonts w:ascii="Times New Roman" w:hAnsi="Times New Roman" w:cs="Times New Roman"/>
          <w:spacing w:val="-2"/>
          <w:sz w:val="22"/>
        </w:rPr>
        <w:t xml:space="preserve"> </w:t>
      </w:r>
      <w:r w:rsidR="00B5000C" w:rsidRPr="00F242BE">
        <w:rPr>
          <w:rFonts w:ascii="Times New Roman" w:hAnsi="Times New Roman" w:cs="Times New Roman"/>
          <w:spacing w:val="-2"/>
          <w:sz w:val="22"/>
        </w:rPr>
        <w:t>is indicated for the treatment of moderate to severe ulcerative colitis in adult patients who have had an inadequate response to conventional therapy or who are intolerant to or have medical contraindications for such therapies. Patients should show a clinical response within 8 weeks</w:t>
      </w:r>
      <w:r w:rsidR="00B5000C" w:rsidRPr="00DD1F63">
        <w:rPr>
          <w:rFonts w:ascii="Times New Roman" w:hAnsi="Times New Roman" w:cs="Times New Roman"/>
          <w:sz w:val="22"/>
        </w:rPr>
        <w:t xml:space="preserve"> of treatment to continue treatment beyond that time (see </w:t>
      </w:r>
      <w:r w:rsidR="00210B0C" w:rsidRPr="00DD1F63">
        <w:rPr>
          <w:rFonts w:ascii="Times New Roman" w:hAnsi="Times New Roman" w:cs="Times New Roman"/>
          <w:sz w:val="22"/>
        </w:rPr>
        <w:t xml:space="preserve">section </w:t>
      </w:r>
      <w:r w:rsidR="00B5000C" w:rsidRPr="00DD1F63">
        <w:rPr>
          <w:rFonts w:ascii="Times New Roman" w:hAnsi="Times New Roman" w:cs="Times New Roman"/>
          <w:sz w:val="22"/>
        </w:rPr>
        <w:t xml:space="preserve">5.1 </w:t>
      </w:r>
      <w:r w:rsidR="00873FBA" w:rsidRPr="00DD1F63">
        <w:rPr>
          <w:rFonts w:ascii="Times New Roman" w:hAnsi="Times New Roman" w:cs="Times New Roman"/>
          <w:sz w:val="22"/>
        </w:rPr>
        <w:t>Pharmacodynamic properties -clinical trials</w:t>
      </w:r>
      <w:r w:rsidR="00B5000C" w:rsidRPr="00DD1F63">
        <w:rPr>
          <w:rFonts w:ascii="Times New Roman" w:hAnsi="Times New Roman" w:cs="Times New Roman"/>
          <w:sz w:val="22"/>
        </w:rPr>
        <w:t>).</w:t>
      </w:r>
    </w:p>
    <w:p w14:paraId="4BC41957" w14:textId="77777777" w:rsidR="00B5000C" w:rsidRPr="00DD1F63" w:rsidRDefault="00B5000C" w:rsidP="00377A09">
      <w:pPr>
        <w:spacing w:after="0" w:line="240" w:lineRule="auto"/>
        <w:ind w:left="426" w:right="375"/>
        <w:jc w:val="left"/>
        <w:rPr>
          <w:rFonts w:ascii="Times New Roman" w:hAnsi="Times New Roman" w:cs="Times New Roman"/>
        </w:rPr>
      </w:pPr>
    </w:p>
    <w:p w14:paraId="2D0883FE" w14:textId="1862B182"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Psoriasis in </w:t>
      </w:r>
      <w:r w:rsidR="00953E9B" w:rsidRPr="00DD1F63">
        <w:rPr>
          <w:rFonts w:ascii="Times New Roman" w:hAnsi="Times New Roman" w:cs="Times New Roman"/>
        </w:rPr>
        <w:t>a</w:t>
      </w:r>
      <w:r w:rsidRPr="00DD1F63">
        <w:rPr>
          <w:rFonts w:ascii="Times New Roman" w:hAnsi="Times New Roman" w:cs="Times New Roman"/>
        </w:rPr>
        <w:t xml:space="preserve">dults and </w:t>
      </w:r>
      <w:r w:rsidR="00953E9B" w:rsidRPr="00DD1F63">
        <w:rPr>
          <w:rFonts w:ascii="Times New Roman" w:hAnsi="Times New Roman" w:cs="Times New Roman"/>
        </w:rPr>
        <w:t>c</w:t>
      </w:r>
      <w:r w:rsidRPr="00DD1F63">
        <w:rPr>
          <w:rFonts w:ascii="Times New Roman" w:hAnsi="Times New Roman" w:cs="Times New Roman"/>
        </w:rPr>
        <w:t>hildren</w:t>
      </w:r>
      <w:r w:rsidRPr="00DD1F63">
        <w:rPr>
          <w:rFonts w:ascii="Times New Roman" w:hAnsi="Times New Roman" w:cs="Times New Roman"/>
          <w:u w:val="none"/>
        </w:rPr>
        <w:t xml:space="preserve"> </w:t>
      </w:r>
    </w:p>
    <w:p w14:paraId="28087A59" w14:textId="77777777" w:rsidR="00036A10" w:rsidRPr="00DD1F63" w:rsidRDefault="00036A10" w:rsidP="00377A09">
      <w:pPr>
        <w:spacing w:after="0" w:line="240" w:lineRule="auto"/>
        <w:ind w:left="426" w:hanging="11"/>
        <w:jc w:val="left"/>
        <w:rPr>
          <w:sz w:val="22"/>
        </w:rPr>
      </w:pPr>
    </w:p>
    <w:p w14:paraId="3ABC768C" w14:textId="3E509F5D" w:rsidR="006B7C8E" w:rsidRPr="00DD1F63" w:rsidRDefault="00C267EC" w:rsidP="00377A09">
      <w:pPr>
        <w:spacing w:after="0" w:line="240" w:lineRule="auto"/>
        <w:ind w:left="426"/>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moderate to severe chronic plaque psoriasis in adult patients who are candidates for systemic therapy or phototherapy. </w:t>
      </w:r>
    </w:p>
    <w:p w14:paraId="6B1CB971"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4803030F" w14:textId="24E13B8A" w:rsidR="006B7C8E" w:rsidRPr="00DD1F63" w:rsidRDefault="00C267EC" w:rsidP="00377A09">
      <w:pPr>
        <w:spacing w:after="0" w:line="240" w:lineRule="auto"/>
        <w:ind w:left="426" w:right="8"/>
        <w:jc w:val="left"/>
        <w:rPr>
          <w:rFonts w:ascii="Times New Roman" w:hAnsi="Times New Roman" w:cs="Times New Roman"/>
          <w:sz w:val="22"/>
        </w:rPr>
      </w:pPr>
      <w:proofErr w:type="spellStart"/>
      <w:r w:rsidRPr="00C267EC">
        <w:rPr>
          <w:rFonts w:ascii="Times New Roman" w:hAnsi="Times New Roman" w:cs="Times New Roman"/>
          <w:sz w:val="22"/>
        </w:rPr>
        <w:lastRenderedPageBreak/>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severe chronic plaque psoriasis in children and adolescent patients from 4 years of age </w:t>
      </w:r>
      <w:r w:rsidR="002047A2" w:rsidRPr="00DD1F63">
        <w:rPr>
          <w:rFonts w:ascii="Times New Roman" w:hAnsi="Times New Roman" w:cs="Times New Roman"/>
          <w:sz w:val="22"/>
        </w:rPr>
        <w:t xml:space="preserve">weighing ≥ 40 kg </w:t>
      </w:r>
      <w:r w:rsidR="00CA72FF" w:rsidRPr="00DD1F63">
        <w:rPr>
          <w:rFonts w:ascii="Times New Roman" w:hAnsi="Times New Roman" w:cs="Times New Roman"/>
          <w:sz w:val="22"/>
        </w:rPr>
        <w:t xml:space="preserve">who have had an inadequate response to or are inappropriate candidates for topical therapy and phototherapy. </w:t>
      </w:r>
    </w:p>
    <w:p w14:paraId="03B431FE" w14:textId="77777777" w:rsidR="0072696A" w:rsidRPr="00DD1F63" w:rsidRDefault="0072696A" w:rsidP="00377A09">
      <w:pPr>
        <w:spacing w:after="0" w:line="240" w:lineRule="auto"/>
        <w:ind w:left="426" w:right="8"/>
        <w:jc w:val="left"/>
        <w:rPr>
          <w:rFonts w:ascii="Times New Roman" w:hAnsi="Times New Roman" w:cs="Times New Roman"/>
          <w:sz w:val="22"/>
        </w:rPr>
      </w:pPr>
    </w:p>
    <w:p w14:paraId="36993C94" w14:textId="046CE604"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Hidradenitis </w:t>
      </w:r>
      <w:r w:rsidR="000A1DC9" w:rsidRPr="00DD1F63">
        <w:rPr>
          <w:rFonts w:ascii="Times New Roman" w:hAnsi="Times New Roman" w:cs="Times New Roman"/>
        </w:rPr>
        <w:t>s</w:t>
      </w:r>
      <w:r w:rsidRPr="00DD1F63">
        <w:rPr>
          <w:rFonts w:ascii="Times New Roman" w:hAnsi="Times New Roman" w:cs="Times New Roman"/>
        </w:rPr>
        <w:t xml:space="preserve">uppurativa in </w:t>
      </w:r>
      <w:r w:rsidR="000A1DC9" w:rsidRPr="00DD1F63">
        <w:rPr>
          <w:rFonts w:ascii="Times New Roman" w:hAnsi="Times New Roman" w:cs="Times New Roman"/>
        </w:rPr>
        <w:t>a</w:t>
      </w:r>
      <w:r w:rsidRPr="00DD1F63">
        <w:rPr>
          <w:rFonts w:ascii="Times New Roman" w:hAnsi="Times New Roman" w:cs="Times New Roman"/>
        </w:rPr>
        <w:t xml:space="preserve">dults and </w:t>
      </w:r>
      <w:r w:rsidR="000A1DC9" w:rsidRPr="00DD1F63">
        <w:rPr>
          <w:rFonts w:ascii="Times New Roman" w:hAnsi="Times New Roman" w:cs="Times New Roman"/>
        </w:rPr>
        <w:t>a</w:t>
      </w:r>
      <w:r w:rsidRPr="00DD1F63">
        <w:rPr>
          <w:rFonts w:ascii="Times New Roman" w:hAnsi="Times New Roman" w:cs="Times New Roman"/>
        </w:rPr>
        <w:t>dolescents (from 12 years of age)</w:t>
      </w:r>
      <w:r w:rsidRPr="00DD1F63">
        <w:rPr>
          <w:rFonts w:ascii="Times New Roman" w:hAnsi="Times New Roman" w:cs="Times New Roman"/>
          <w:u w:val="none"/>
        </w:rPr>
        <w:t xml:space="preserve"> </w:t>
      </w:r>
    </w:p>
    <w:p w14:paraId="05BB0159" w14:textId="77777777" w:rsidR="0072696A" w:rsidRPr="00DD1F63" w:rsidRDefault="0072696A" w:rsidP="00377A09">
      <w:pPr>
        <w:spacing w:after="0" w:line="240" w:lineRule="auto"/>
        <w:ind w:left="426" w:hanging="11"/>
        <w:jc w:val="left"/>
        <w:rPr>
          <w:sz w:val="22"/>
        </w:rPr>
      </w:pPr>
    </w:p>
    <w:p w14:paraId="2FB5C359" w14:textId="50C00DC3" w:rsidR="006B7C8E" w:rsidRPr="00DD1F63" w:rsidRDefault="00C267EC" w:rsidP="00377A09">
      <w:pPr>
        <w:spacing w:after="0" w:line="240" w:lineRule="auto"/>
        <w:ind w:left="426" w:right="11"/>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active moderate to severe hidradenitis suppurativa (acne </w:t>
      </w:r>
      <w:proofErr w:type="spellStart"/>
      <w:r w:rsidR="00CA72FF" w:rsidRPr="00DD1F63">
        <w:rPr>
          <w:rFonts w:ascii="Times New Roman" w:hAnsi="Times New Roman" w:cs="Times New Roman"/>
          <w:sz w:val="22"/>
        </w:rPr>
        <w:t>inversa</w:t>
      </w:r>
      <w:proofErr w:type="spellEnd"/>
      <w:r w:rsidR="00CA72FF" w:rsidRPr="00DD1F63">
        <w:rPr>
          <w:rFonts w:ascii="Times New Roman" w:hAnsi="Times New Roman" w:cs="Times New Roman"/>
          <w:sz w:val="22"/>
        </w:rPr>
        <w:t xml:space="preserve">) in patients with an inadequate response to conventional systemic hidradenitis suppurativa therapy. </w:t>
      </w:r>
    </w:p>
    <w:p w14:paraId="115A5CBF" w14:textId="77777777" w:rsidR="0072696A" w:rsidRPr="00DD1F63" w:rsidRDefault="0072696A" w:rsidP="00377A09">
      <w:pPr>
        <w:spacing w:after="0" w:line="240" w:lineRule="auto"/>
        <w:ind w:left="426" w:right="11"/>
        <w:jc w:val="left"/>
        <w:rPr>
          <w:rFonts w:ascii="Times New Roman" w:hAnsi="Times New Roman" w:cs="Times New Roman"/>
          <w:sz w:val="22"/>
        </w:rPr>
      </w:pPr>
    </w:p>
    <w:p w14:paraId="6B13EF0B" w14:textId="52A4D50A"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Uveitis</w:t>
      </w:r>
      <w:r w:rsidRPr="00DD1F63">
        <w:rPr>
          <w:rFonts w:ascii="Times New Roman" w:hAnsi="Times New Roman" w:cs="Times New Roman"/>
          <w:u w:val="none"/>
        </w:rPr>
        <w:t xml:space="preserve"> </w:t>
      </w:r>
    </w:p>
    <w:p w14:paraId="188DCFAE" w14:textId="77777777" w:rsidR="0072696A" w:rsidRPr="00DD1F63" w:rsidRDefault="0072696A" w:rsidP="00377A09">
      <w:pPr>
        <w:keepNext/>
        <w:spacing w:after="0" w:line="240" w:lineRule="auto"/>
        <w:ind w:left="425" w:hanging="11"/>
        <w:jc w:val="left"/>
        <w:rPr>
          <w:sz w:val="22"/>
        </w:rPr>
      </w:pPr>
    </w:p>
    <w:p w14:paraId="76C65E4C" w14:textId="02E51432" w:rsidR="006B7C8E" w:rsidRPr="00DD1F63" w:rsidRDefault="00C267EC" w:rsidP="00377A09">
      <w:pPr>
        <w:spacing w:after="0" w:line="240" w:lineRule="auto"/>
        <w:ind w:left="426" w:right="2"/>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non-infectious intermediate, posterior and pan-uveitis in adult patients who have had an inadequate response to corticosteroids, in patients in need of corticosteroid sparing, or in whom corticosteroid treatment is inappropriate. </w:t>
      </w:r>
    </w:p>
    <w:p w14:paraId="15F9F9C7" w14:textId="77777777" w:rsidR="0072696A" w:rsidRPr="00DD1F63" w:rsidRDefault="0072696A" w:rsidP="00377A09">
      <w:pPr>
        <w:spacing w:after="0" w:line="240" w:lineRule="auto"/>
        <w:ind w:left="426" w:right="2"/>
        <w:jc w:val="left"/>
        <w:rPr>
          <w:rFonts w:ascii="Times New Roman" w:hAnsi="Times New Roman" w:cs="Times New Roman"/>
          <w:sz w:val="22"/>
        </w:rPr>
      </w:pPr>
    </w:p>
    <w:p w14:paraId="331C79A1" w14:textId="6C48456B" w:rsidR="006B7C8E" w:rsidRPr="00DD1F63" w:rsidRDefault="00CA72FF" w:rsidP="00377A09">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4.2 </w:t>
      </w:r>
      <w:r w:rsidR="002F5624" w:rsidRPr="00DD1F63">
        <w:rPr>
          <w:rFonts w:ascii="Times New Roman" w:hAnsi="Times New Roman" w:cs="Times New Roman"/>
          <w:b/>
          <w:bCs/>
          <w:sz w:val="22"/>
        </w:rPr>
        <w:tab/>
      </w:r>
      <w:r w:rsidRPr="00DD1F63">
        <w:rPr>
          <w:rFonts w:ascii="Times New Roman" w:hAnsi="Times New Roman" w:cs="Times New Roman"/>
          <w:b/>
          <w:bCs/>
          <w:sz w:val="22"/>
        </w:rPr>
        <w:t xml:space="preserve">Dose and method of administration </w:t>
      </w:r>
    </w:p>
    <w:p w14:paraId="5E462B4E" w14:textId="77777777" w:rsidR="0072696A" w:rsidRPr="00DD1F63" w:rsidRDefault="0072696A" w:rsidP="00377A09">
      <w:pPr>
        <w:spacing w:after="0" w:line="240" w:lineRule="auto"/>
        <w:ind w:left="426" w:hanging="11"/>
        <w:jc w:val="left"/>
        <w:rPr>
          <w:sz w:val="22"/>
        </w:rPr>
      </w:pPr>
    </w:p>
    <w:p w14:paraId="6672DE3E" w14:textId="27A35598" w:rsidR="006B7C8E" w:rsidRPr="00DD1F63" w:rsidRDefault="00C267EC" w:rsidP="00377A09">
      <w:pPr>
        <w:spacing w:after="0" w:line="240" w:lineRule="auto"/>
        <w:ind w:left="426"/>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administered by subcutaneous injection. This product is for one dose in one patient only. </w:t>
      </w:r>
    </w:p>
    <w:p w14:paraId="1D08EF04" w14:textId="4F711042" w:rsidR="002F5624" w:rsidRDefault="002F5624" w:rsidP="00377A09">
      <w:pPr>
        <w:spacing w:after="0" w:line="240" w:lineRule="auto"/>
        <w:ind w:left="426"/>
        <w:jc w:val="left"/>
        <w:rPr>
          <w:rFonts w:ascii="Times New Roman" w:hAnsi="Times New Roman" w:cs="Times New Roman"/>
          <w:sz w:val="22"/>
        </w:rPr>
      </w:pPr>
    </w:p>
    <w:p w14:paraId="62263060" w14:textId="17FE33C7" w:rsidR="004D3BD7" w:rsidRPr="00F85534" w:rsidRDefault="004D3BD7" w:rsidP="00377A09">
      <w:pPr>
        <w:spacing w:after="0" w:line="240" w:lineRule="auto"/>
        <w:ind w:left="426" w:right="375"/>
        <w:jc w:val="left"/>
        <w:rPr>
          <w:rFonts w:ascii="Times New Roman" w:hAnsi="Times New Roman" w:cs="Times New Roman"/>
          <w:sz w:val="22"/>
        </w:rPr>
      </w:pPr>
      <w:r w:rsidRPr="00F85534">
        <w:rPr>
          <w:rFonts w:ascii="Times New Roman" w:hAnsi="Times New Roman" w:cs="Times New Roman"/>
          <w:sz w:val="22"/>
          <w:lang w:val="en-AU"/>
        </w:rPr>
        <w:t xml:space="preserve">Patients treated with </w:t>
      </w: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Pr="00F85534">
        <w:rPr>
          <w:rFonts w:ascii="Times New Roman" w:hAnsi="Times New Roman" w:cs="Times New Roman"/>
          <w:sz w:val="22"/>
          <w:lang w:val="en-AU"/>
        </w:rPr>
        <w:t>should be given the patient reminder card.</w:t>
      </w:r>
    </w:p>
    <w:p w14:paraId="3F89A2A5" w14:textId="77777777" w:rsidR="004D3BD7" w:rsidRPr="00DD1F63" w:rsidRDefault="004D3BD7" w:rsidP="00377A09">
      <w:pPr>
        <w:spacing w:after="0" w:line="240" w:lineRule="auto"/>
        <w:ind w:left="426"/>
        <w:jc w:val="left"/>
        <w:rPr>
          <w:rFonts w:ascii="Times New Roman" w:hAnsi="Times New Roman" w:cs="Times New Roman"/>
          <w:sz w:val="22"/>
        </w:rPr>
      </w:pPr>
    </w:p>
    <w:p w14:paraId="25B9090D" w14:textId="24402F8B" w:rsidR="00834AFF" w:rsidRPr="00DD1F63" w:rsidRDefault="00834A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Healthcare providers should be advised that there is no dosage form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available which allows dosing of less than 40 mg. As a result, there are no suitable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dosage forms available for a subset of the following paediatric indications: </w:t>
      </w:r>
    </w:p>
    <w:p w14:paraId="318E06AC" w14:textId="77777777" w:rsidR="00354F57" w:rsidRPr="00DD1F63" w:rsidRDefault="00354F57" w:rsidP="00377A09">
      <w:pPr>
        <w:spacing w:after="0" w:line="240" w:lineRule="auto"/>
        <w:ind w:left="426"/>
        <w:jc w:val="left"/>
        <w:rPr>
          <w:rFonts w:ascii="Times New Roman" w:hAnsi="Times New Roman" w:cs="Times New Roman"/>
          <w:sz w:val="22"/>
        </w:rPr>
      </w:pPr>
    </w:p>
    <w:p w14:paraId="10590E46" w14:textId="0CDB625F" w:rsidR="00834AFF" w:rsidRPr="00DD1F63" w:rsidRDefault="00834AFF" w:rsidP="00377A09">
      <w:pPr>
        <w:pStyle w:val="ListParagraph"/>
        <w:numPr>
          <w:ilvl w:val="0"/>
          <w:numId w:val="23"/>
        </w:numPr>
        <w:spacing w:after="0" w:line="240" w:lineRule="auto"/>
        <w:ind w:left="851"/>
        <w:jc w:val="left"/>
        <w:rPr>
          <w:rFonts w:ascii="Times New Roman" w:hAnsi="Times New Roman" w:cs="Times New Roman"/>
          <w:sz w:val="22"/>
        </w:rPr>
      </w:pPr>
      <w:r w:rsidRPr="00DD1F63">
        <w:rPr>
          <w:rFonts w:ascii="Times New Roman" w:hAnsi="Times New Roman" w:cs="Times New Roman"/>
          <w:sz w:val="22"/>
        </w:rPr>
        <w:t xml:space="preserve">Juvenile Idiopathic Arthritis: children weighing less than 30 kg. </w:t>
      </w:r>
    </w:p>
    <w:p w14:paraId="575982DE" w14:textId="77777777" w:rsidR="00D3330D" w:rsidRPr="00DD1F63" w:rsidRDefault="00D3330D" w:rsidP="00377A09">
      <w:pPr>
        <w:pStyle w:val="ListParagraph"/>
        <w:spacing w:after="0" w:line="240" w:lineRule="auto"/>
        <w:ind w:left="851" w:firstLine="0"/>
        <w:jc w:val="left"/>
        <w:rPr>
          <w:rFonts w:ascii="Times New Roman" w:hAnsi="Times New Roman" w:cs="Times New Roman"/>
          <w:sz w:val="22"/>
        </w:rPr>
      </w:pPr>
    </w:p>
    <w:p w14:paraId="525214AF" w14:textId="72BB77BB" w:rsidR="00D3330D" w:rsidRPr="00DD1F63" w:rsidRDefault="00D3330D" w:rsidP="00377A09">
      <w:pPr>
        <w:pStyle w:val="ListParagraph"/>
        <w:numPr>
          <w:ilvl w:val="0"/>
          <w:numId w:val="23"/>
        </w:numPr>
        <w:spacing w:after="0" w:line="240" w:lineRule="auto"/>
        <w:ind w:left="851"/>
        <w:jc w:val="left"/>
        <w:rPr>
          <w:rFonts w:ascii="Times New Roman" w:hAnsi="Times New Roman" w:cs="Times New Roman"/>
          <w:sz w:val="22"/>
        </w:rPr>
      </w:pPr>
      <w:r w:rsidRPr="00DD1F63">
        <w:rPr>
          <w:rFonts w:ascii="Times New Roman" w:hAnsi="Times New Roman" w:cs="Times New Roman"/>
          <w:sz w:val="22"/>
        </w:rPr>
        <w:t>Paediatric Crohn’s Disease (6 to 17 years):</w:t>
      </w:r>
    </w:p>
    <w:p w14:paraId="1063C80E" w14:textId="77777777" w:rsidR="00D3330D" w:rsidRPr="00DD1F63" w:rsidRDefault="00D3330D" w:rsidP="00377A09">
      <w:pPr>
        <w:spacing w:after="0" w:line="240" w:lineRule="auto"/>
        <w:ind w:left="851"/>
        <w:jc w:val="left"/>
        <w:rPr>
          <w:rFonts w:ascii="Times New Roman" w:hAnsi="Times New Roman" w:cs="Times New Roman"/>
          <w:sz w:val="22"/>
        </w:rPr>
      </w:pPr>
    </w:p>
    <w:p w14:paraId="2FF7052B" w14:textId="183110BC" w:rsidR="00354F57" w:rsidRPr="00DD1F63" w:rsidRDefault="00D3330D" w:rsidP="00377A09">
      <w:pPr>
        <w:pStyle w:val="ListParagraph"/>
        <w:numPr>
          <w:ilvl w:val="1"/>
          <w:numId w:val="23"/>
        </w:numPr>
        <w:spacing w:after="0" w:line="240" w:lineRule="auto"/>
        <w:ind w:left="1134" w:hanging="141"/>
        <w:jc w:val="left"/>
        <w:rPr>
          <w:rFonts w:ascii="Times New Roman" w:hAnsi="Times New Roman" w:cs="Times New Roman"/>
          <w:sz w:val="22"/>
        </w:rPr>
      </w:pPr>
      <w:r w:rsidRPr="00DD1F63">
        <w:rPr>
          <w:rFonts w:ascii="Times New Roman" w:hAnsi="Times New Roman" w:cs="Times New Roman"/>
          <w:sz w:val="22"/>
        </w:rPr>
        <w:t>Maintenance therapy in children weighing less than 40 kg.</w:t>
      </w:r>
    </w:p>
    <w:p w14:paraId="5FE960D4" w14:textId="77777777" w:rsidR="00834AFF" w:rsidRPr="00DD1F63" w:rsidRDefault="00834AFF" w:rsidP="00377A09">
      <w:pPr>
        <w:spacing w:after="0" w:line="240" w:lineRule="auto"/>
        <w:ind w:left="426"/>
        <w:jc w:val="left"/>
        <w:rPr>
          <w:rFonts w:ascii="Times New Roman" w:hAnsi="Times New Roman" w:cs="Times New Roman"/>
          <w:sz w:val="22"/>
        </w:rPr>
      </w:pPr>
    </w:p>
    <w:p w14:paraId="24F93BA0" w14:textId="5D08F66A" w:rsidR="00834AFF" w:rsidRPr="00DD1F63" w:rsidRDefault="00834AFF" w:rsidP="00377A09">
      <w:pPr>
        <w:pStyle w:val="ListParagraph"/>
        <w:numPr>
          <w:ilvl w:val="0"/>
          <w:numId w:val="23"/>
        </w:numPr>
        <w:spacing w:after="0" w:line="240" w:lineRule="auto"/>
        <w:ind w:left="851"/>
        <w:jc w:val="left"/>
        <w:rPr>
          <w:rFonts w:ascii="Times New Roman" w:hAnsi="Times New Roman" w:cs="Times New Roman"/>
          <w:sz w:val="22"/>
        </w:rPr>
      </w:pPr>
      <w:r w:rsidRPr="00DD1F63">
        <w:rPr>
          <w:rFonts w:ascii="Times New Roman" w:hAnsi="Times New Roman" w:cs="Times New Roman"/>
          <w:sz w:val="22"/>
        </w:rPr>
        <w:t xml:space="preserve">Paediatric Plaque Psoriasis (4 to 17 years): children weighing less than 40 kg. </w:t>
      </w:r>
    </w:p>
    <w:p w14:paraId="1C54C613" w14:textId="77777777" w:rsidR="00354F57" w:rsidRPr="00DD1F63" w:rsidRDefault="00354F57" w:rsidP="00377A09">
      <w:pPr>
        <w:spacing w:after="0" w:line="240" w:lineRule="auto"/>
        <w:ind w:left="426"/>
        <w:jc w:val="left"/>
        <w:rPr>
          <w:rFonts w:ascii="Times New Roman" w:hAnsi="Times New Roman" w:cs="Times New Roman"/>
          <w:sz w:val="22"/>
        </w:rPr>
      </w:pPr>
    </w:p>
    <w:p w14:paraId="16744A07" w14:textId="66F2571B" w:rsidR="00834AFF" w:rsidRPr="00DD1F63" w:rsidRDefault="00834A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Other adalimumab products with suitable dosage forms are available</w:t>
      </w:r>
      <w:r w:rsidR="00E371DE">
        <w:rPr>
          <w:rFonts w:ascii="Times New Roman" w:hAnsi="Times New Roman" w:cs="Times New Roman"/>
          <w:sz w:val="22"/>
        </w:rPr>
        <w:t xml:space="preserve"> </w:t>
      </w:r>
      <w:r w:rsidR="00E371DE" w:rsidRPr="00E371DE">
        <w:rPr>
          <w:rFonts w:ascii="Times New Roman" w:hAnsi="Times New Roman" w:cs="Times New Roman"/>
          <w:sz w:val="22"/>
        </w:rPr>
        <w:t>and the specific product information for these formulations should be referred to for their complete dosage and administration instructions</w:t>
      </w:r>
      <w:r w:rsidRPr="00DD1F63">
        <w:rPr>
          <w:rFonts w:ascii="Times New Roman" w:hAnsi="Times New Roman" w:cs="Times New Roman"/>
          <w:sz w:val="22"/>
        </w:rPr>
        <w:t>.</w:t>
      </w:r>
    </w:p>
    <w:p w14:paraId="3CFEB930" w14:textId="77777777" w:rsidR="00354F57" w:rsidRPr="00DD1F63" w:rsidRDefault="00354F57" w:rsidP="00377A09">
      <w:pPr>
        <w:spacing w:after="0" w:line="240" w:lineRule="auto"/>
        <w:ind w:left="426" w:right="2"/>
        <w:jc w:val="left"/>
        <w:rPr>
          <w:rFonts w:ascii="Times New Roman" w:hAnsi="Times New Roman" w:cs="Times New Roman"/>
          <w:sz w:val="22"/>
        </w:rPr>
      </w:pPr>
    </w:p>
    <w:p w14:paraId="5FC4D8AC" w14:textId="5F7D067C" w:rsidR="006B7C8E" w:rsidRPr="00DD1F63" w:rsidRDefault="00C267EC" w:rsidP="00377A09">
      <w:pPr>
        <w:spacing w:after="0" w:line="240" w:lineRule="auto"/>
        <w:ind w:left="426" w:right="2"/>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is intended for use under the guidance and supervision of a physician. Patients may self-inject </w:t>
      </w: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if their physician determines that it is appropriate and with medical follow-up, as necessary, after proper training in subcutaneous injection technique. </w:t>
      </w:r>
    </w:p>
    <w:p w14:paraId="54A35957" w14:textId="77777777" w:rsidR="0050107C" w:rsidRPr="00DD1F63" w:rsidRDefault="0050107C" w:rsidP="00377A09">
      <w:pPr>
        <w:spacing w:after="0" w:line="240" w:lineRule="auto"/>
        <w:ind w:left="426" w:right="2"/>
        <w:jc w:val="left"/>
        <w:rPr>
          <w:rFonts w:ascii="Times New Roman" w:hAnsi="Times New Roman" w:cs="Times New Roman"/>
          <w:sz w:val="22"/>
        </w:rPr>
      </w:pPr>
    </w:p>
    <w:p w14:paraId="1DB92AC2" w14:textId="19A72FC1"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Sites for self-injection include thigh or abdomen. Injection sites should be rotated. New injections should never be given into areas where the skin is tender, bruised, red or hard. </w:t>
      </w:r>
    </w:p>
    <w:p w14:paraId="3DDFCE17" w14:textId="77777777" w:rsidR="0050107C" w:rsidRPr="00DD1F63" w:rsidRDefault="0050107C" w:rsidP="00377A09">
      <w:pPr>
        <w:spacing w:after="0" w:line="240" w:lineRule="auto"/>
        <w:ind w:left="426"/>
        <w:jc w:val="left"/>
        <w:rPr>
          <w:rFonts w:ascii="Times New Roman" w:hAnsi="Times New Roman" w:cs="Times New Roman"/>
          <w:sz w:val="22"/>
        </w:rPr>
      </w:pPr>
    </w:p>
    <w:p w14:paraId="63AA1A02" w14:textId="77777777"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Parenteral drug products should be inspected visually for particulate matter and discolouration prior to administration, whenever solution and container permit. </w:t>
      </w:r>
    </w:p>
    <w:p w14:paraId="0FB4AE26"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21899F1B" w14:textId="0B7413ED" w:rsidR="006B7C8E" w:rsidRPr="00DD1F63" w:rsidRDefault="00C267EC" w:rsidP="00377A09">
      <w:pPr>
        <w:spacing w:after="0" w:line="240" w:lineRule="auto"/>
        <w:ind w:left="426"/>
        <w:jc w:val="left"/>
        <w:rPr>
          <w:rFonts w:ascii="Times New Roman" w:hAnsi="Times New Roman" w:cs="Times New Roman"/>
          <w:sz w:val="22"/>
        </w:rPr>
      </w:pPr>
      <w:proofErr w:type="spellStart"/>
      <w:r w:rsidRPr="00C267EC">
        <w:rPr>
          <w:rFonts w:ascii="Times New Roman" w:hAnsi="Times New Roman" w:cs="Times New Roman"/>
          <w:sz w:val="22"/>
        </w:rPr>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should not be mixed in the same syringe with any other medicine. Any unused product or waste material should be disposed of in accordance with local requirements. </w:t>
      </w:r>
    </w:p>
    <w:p w14:paraId="59EC0E4E" w14:textId="77777777" w:rsidR="0050107C" w:rsidRPr="00DD1F63" w:rsidRDefault="0050107C" w:rsidP="00377A09">
      <w:pPr>
        <w:spacing w:after="0" w:line="240" w:lineRule="auto"/>
        <w:ind w:left="426"/>
        <w:jc w:val="left"/>
        <w:rPr>
          <w:rFonts w:ascii="Times New Roman" w:hAnsi="Times New Roman" w:cs="Times New Roman"/>
          <w:sz w:val="22"/>
        </w:rPr>
      </w:pPr>
    </w:p>
    <w:p w14:paraId="37A9843C" w14:textId="3A0D3CBB" w:rsidR="006B7C8E" w:rsidRPr="00DD1F63" w:rsidRDefault="00C267EC" w:rsidP="00377A09">
      <w:pPr>
        <w:spacing w:after="0" w:line="240" w:lineRule="auto"/>
        <w:ind w:left="426" w:right="375"/>
        <w:jc w:val="left"/>
        <w:rPr>
          <w:rFonts w:ascii="Times New Roman" w:hAnsi="Times New Roman" w:cs="Times New Roman"/>
          <w:sz w:val="22"/>
        </w:rPr>
      </w:pPr>
      <w:proofErr w:type="spellStart"/>
      <w:r w:rsidRPr="00C267EC">
        <w:rPr>
          <w:rFonts w:ascii="Times New Roman" w:hAnsi="Times New Roman" w:cs="Times New Roman"/>
          <w:sz w:val="22"/>
        </w:rPr>
        <w:lastRenderedPageBreak/>
        <w:t>Ciptunec</w:t>
      </w:r>
      <w:proofErr w:type="spellEnd"/>
      <w:r w:rsidRPr="00C267EC" w:rsidDel="00C267EC">
        <w:rPr>
          <w:rFonts w:ascii="Times New Roman" w:hAnsi="Times New Roman" w:cs="Times New Roman"/>
          <w:sz w:val="22"/>
        </w:rPr>
        <w:t xml:space="preserve"> </w:t>
      </w:r>
      <w:r w:rsidR="00CA72FF" w:rsidRPr="00DD1F63">
        <w:rPr>
          <w:rFonts w:ascii="Times New Roman" w:hAnsi="Times New Roman" w:cs="Times New Roman"/>
          <w:sz w:val="22"/>
        </w:rPr>
        <w:t xml:space="preserve">contains no antimicrobial agent. Discard any residue. </w:t>
      </w:r>
    </w:p>
    <w:p w14:paraId="6BC49D65" w14:textId="77777777" w:rsidR="0050107C" w:rsidRPr="00DD1F63" w:rsidRDefault="0050107C" w:rsidP="00377A09">
      <w:pPr>
        <w:spacing w:after="0" w:line="240" w:lineRule="auto"/>
        <w:ind w:left="426" w:right="375"/>
        <w:jc w:val="left"/>
        <w:rPr>
          <w:rFonts w:ascii="Times New Roman" w:hAnsi="Times New Roman" w:cs="Times New Roman"/>
          <w:sz w:val="22"/>
        </w:rPr>
      </w:pPr>
    </w:p>
    <w:p w14:paraId="7D42B8D3" w14:textId="7227A628"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Rheumatoid </w:t>
      </w:r>
      <w:r w:rsidR="006612F1"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06F8A1C2" w14:textId="77777777" w:rsidR="0050107C" w:rsidRPr="0034360B" w:rsidRDefault="0050107C" w:rsidP="00377A09">
      <w:pPr>
        <w:keepNext/>
        <w:spacing w:after="0" w:line="240" w:lineRule="auto"/>
        <w:ind w:left="425" w:hanging="11"/>
        <w:jc w:val="left"/>
        <w:rPr>
          <w:rFonts w:ascii="Times New Roman" w:hAnsi="Times New Roman" w:cs="Times New Roman"/>
          <w:sz w:val="22"/>
        </w:rPr>
      </w:pPr>
    </w:p>
    <w:p w14:paraId="03B97E5A" w14:textId="082F1D98" w:rsidR="006B7C8E" w:rsidRPr="00DD1F63" w:rsidRDefault="00CA72FF" w:rsidP="00377A09">
      <w:pPr>
        <w:spacing w:after="0" w:line="240" w:lineRule="auto"/>
        <w:ind w:left="426" w:right="3"/>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for adult patients with rheumatoid arthritis is 40 mg administered fortnightly as a single dose. Methotrexate, glucocorticoids, salicylates, nonsteroidal anti-inflammatory </w:t>
      </w:r>
      <w:proofErr w:type="gramStart"/>
      <w:r w:rsidRPr="00DD1F63">
        <w:rPr>
          <w:rFonts w:ascii="Times New Roman" w:hAnsi="Times New Roman" w:cs="Times New Roman"/>
          <w:sz w:val="22"/>
        </w:rPr>
        <w:t>drugs</w:t>
      </w:r>
      <w:proofErr w:type="gramEnd"/>
      <w:r w:rsidRPr="00DD1F63">
        <w:rPr>
          <w:rFonts w:ascii="Times New Roman" w:hAnsi="Times New Roman" w:cs="Times New Roman"/>
          <w:sz w:val="22"/>
        </w:rPr>
        <w:t xml:space="preserve"> or analgesics may be continued during treatment with </w:t>
      </w:r>
      <w:proofErr w:type="spellStart"/>
      <w:r w:rsidR="00C267EC" w:rsidRPr="00C267EC">
        <w:rPr>
          <w:rFonts w:ascii="Times New Roman" w:hAnsi="Times New Roman" w:cs="Times New Roman"/>
          <w:sz w:val="22"/>
        </w:rPr>
        <w:t>Ciptunec</w:t>
      </w:r>
      <w:proofErr w:type="spellEnd"/>
      <w:r w:rsidRPr="00DD1F63">
        <w:rPr>
          <w:rFonts w:ascii="Times New Roman" w:hAnsi="Times New Roman" w:cs="Times New Roman"/>
          <w:sz w:val="22"/>
        </w:rPr>
        <w:t xml:space="preserve">. </w:t>
      </w:r>
    </w:p>
    <w:p w14:paraId="440D4A2B" w14:textId="77777777" w:rsidR="0050107C" w:rsidRPr="00DD1F63" w:rsidRDefault="0050107C" w:rsidP="00377A09">
      <w:pPr>
        <w:spacing w:after="0" w:line="240" w:lineRule="auto"/>
        <w:ind w:left="426" w:right="3"/>
        <w:jc w:val="left"/>
        <w:rPr>
          <w:rFonts w:ascii="Times New Roman" w:hAnsi="Times New Roman" w:cs="Times New Roman"/>
          <w:sz w:val="22"/>
        </w:rPr>
      </w:pPr>
    </w:p>
    <w:p w14:paraId="7E30F45F" w14:textId="1FED7260" w:rsidR="006B7C8E" w:rsidRPr="00DD1F63" w:rsidRDefault="00CA72FF" w:rsidP="00377A09">
      <w:pPr>
        <w:spacing w:after="0" w:line="240" w:lineRule="auto"/>
        <w:ind w:left="426"/>
        <w:jc w:val="left"/>
        <w:rPr>
          <w:rFonts w:ascii="Times New Roman" w:hAnsi="Times New Roman" w:cs="Times New Roman"/>
          <w:i/>
          <w:sz w:val="22"/>
        </w:rPr>
      </w:pPr>
      <w:r w:rsidRPr="00DD1F63">
        <w:rPr>
          <w:rFonts w:ascii="Times New Roman" w:hAnsi="Times New Roman" w:cs="Times New Roman"/>
          <w:sz w:val="22"/>
        </w:rPr>
        <w:t xml:space="preserve">Some patients not taking concomitant methotrexate may derive additional benefit from increasing the dosage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to 40 mg every week, or 80 mg fortnightly</w:t>
      </w:r>
      <w:r w:rsidRPr="00DD1F63">
        <w:rPr>
          <w:rFonts w:ascii="Times New Roman" w:hAnsi="Times New Roman" w:cs="Times New Roman"/>
          <w:i/>
          <w:sz w:val="22"/>
        </w:rPr>
        <w:t xml:space="preserve">. </w:t>
      </w:r>
    </w:p>
    <w:p w14:paraId="430BD143" w14:textId="77777777" w:rsidR="0050107C" w:rsidRPr="00DD1F63" w:rsidRDefault="0050107C" w:rsidP="00377A09">
      <w:pPr>
        <w:spacing w:after="0" w:line="240" w:lineRule="auto"/>
        <w:ind w:left="426"/>
        <w:jc w:val="left"/>
        <w:rPr>
          <w:rFonts w:ascii="Times New Roman" w:hAnsi="Times New Roman" w:cs="Times New Roman"/>
          <w:sz w:val="22"/>
        </w:rPr>
      </w:pPr>
    </w:p>
    <w:p w14:paraId="371BCAC3" w14:textId="40AF5CC1"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Juvenile </w:t>
      </w:r>
      <w:r w:rsidR="00A2108D" w:rsidRPr="00DD1F63">
        <w:rPr>
          <w:rFonts w:ascii="Times New Roman" w:hAnsi="Times New Roman" w:cs="Times New Roman"/>
        </w:rPr>
        <w:t>i</w:t>
      </w:r>
      <w:r w:rsidRPr="00DD1F63">
        <w:rPr>
          <w:rFonts w:ascii="Times New Roman" w:hAnsi="Times New Roman" w:cs="Times New Roman"/>
        </w:rPr>
        <w:t xml:space="preserve">diopathic </w:t>
      </w:r>
      <w:r w:rsidR="00A2108D"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25775BE2" w14:textId="77777777" w:rsidR="0050107C" w:rsidRPr="00DD1F63" w:rsidRDefault="0050107C" w:rsidP="00377A09">
      <w:pPr>
        <w:keepNext/>
        <w:spacing w:after="0" w:line="240" w:lineRule="auto"/>
        <w:ind w:left="425" w:hanging="11"/>
        <w:jc w:val="left"/>
        <w:rPr>
          <w:sz w:val="22"/>
        </w:rPr>
      </w:pPr>
    </w:p>
    <w:p w14:paraId="403E6432" w14:textId="1C78509D" w:rsidR="006B7C8E" w:rsidRPr="00DD1F63" w:rsidRDefault="00CA72FF" w:rsidP="00377A09">
      <w:pPr>
        <w:spacing w:after="0" w:line="240" w:lineRule="auto"/>
        <w:ind w:left="426" w:right="7"/>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for patients 2 years of age and older with polyarticular juvenile idiopathic arthritis 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is based on weight as shown in the table below. Methotrexate, glucocorticoids, NSAIDs and/or analgesics may be continued during treatment with </w:t>
      </w:r>
      <w:proofErr w:type="spellStart"/>
      <w:r w:rsidR="00C267EC" w:rsidRPr="00C267EC">
        <w:rPr>
          <w:rFonts w:ascii="Times New Roman" w:hAnsi="Times New Roman" w:cs="Times New Roman"/>
          <w:sz w:val="22"/>
        </w:rPr>
        <w:t>Ciptunec</w:t>
      </w:r>
      <w:proofErr w:type="spellEnd"/>
      <w:r w:rsidRPr="00DD1F63">
        <w:rPr>
          <w:rFonts w:ascii="Times New Roman" w:hAnsi="Times New Roman" w:cs="Times New Roman"/>
          <w:sz w:val="22"/>
        </w:rPr>
        <w:t>.</w:t>
      </w:r>
      <w:r w:rsidRPr="00DD1F63">
        <w:rPr>
          <w:rFonts w:ascii="Times New Roman" w:hAnsi="Times New Roman" w:cs="Times New Roman"/>
          <w:b/>
          <w:sz w:val="22"/>
        </w:rPr>
        <w:t xml:space="preserve"> </w:t>
      </w:r>
    </w:p>
    <w:p w14:paraId="6C27561F" w14:textId="182E83C5" w:rsidR="0050107C"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tbl>
      <w:tblPr>
        <w:tblStyle w:val="TableGrid1"/>
        <w:tblW w:w="8602" w:type="dxa"/>
        <w:tblInd w:w="421" w:type="dxa"/>
        <w:tblCellMar>
          <w:left w:w="57" w:type="dxa"/>
          <w:right w:w="57" w:type="dxa"/>
        </w:tblCellMar>
        <w:tblLook w:val="04A0" w:firstRow="1" w:lastRow="0" w:firstColumn="1" w:lastColumn="0" w:noHBand="0" w:noVBand="1"/>
      </w:tblPr>
      <w:tblGrid>
        <w:gridCol w:w="2976"/>
        <w:gridCol w:w="5626"/>
      </w:tblGrid>
      <w:tr w:rsidR="006B7C8E" w:rsidRPr="00DD1F63" w14:paraId="3ECA7D93" w14:textId="77777777" w:rsidTr="008273E4">
        <w:trPr>
          <w:trHeight w:val="326"/>
        </w:trPr>
        <w:tc>
          <w:tcPr>
            <w:tcW w:w="2976" w:type="dxa"/>
            <w:tcBorders>
              <w:top w:val="single" w:sz="4" w:space="0" w:color="000000"/>
              <w:left w:val="single" w:sz="4" w:space="0" w:color="000000"/>
              <w:bottom w:val="single" w:sz="4" w:space="0" w:color="000000"/>
              <w:right w:val="single" w:sz="4" w:space="0" w:color="000000"/>
            </w:tcBorders>
          </w:tcPr>
          <w:p w14:paraId="55CEA93D" w14:textId="77777777" w:rsidR="008273E4" w:rsidRPr="00DD1F63" w:rsidRDefault="00CA72FF"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 xml:space="preserve">Paediatric Patients </w:t>
            </w:r>
          </w:p>
          <w:p w14:paraId="12519F8C" w14:textId="224896D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(2 years of age and older) </w:t>
            </w:r>
          </w:p>
        </w:tc>
        <w:tc>
          <w:tcPr>
            <w:tcW w:w="5626" w:type="dxa"/>
            <w:tcBorders>
              <w:top w:val="single" w:sz="4" w:space="0" w:color="000000"/>
              <w:left w:val="single" w:sz="4" w:space="0" w:color="000000"/>
              <w:bottom w:val="single" w:sz="4" w:space="0" w:color="000000"/>
              <w:right w:val="single" w:sz="4" w:space="0" w:color="000000"/>
            </w:tcBorders>
          </w:tcPr>
          <w:p w14:paraId="60628663"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Dose </w:t>
            </w:r>
          </w:p>
        </w:tc>
      </w:tr>
      <w:tr w:rsidR="006B7C8E" w:rsidRPr="00DD1F63" w14:paraId="7B7E230D" w14:textId="77777777" w:rsidTr="00D85673">
        <w:trPr>
          <w:trHeight w:val="155"/>
        </w:trPr>
        <w:tc>
          <w:tcPr>
            <w:tcW w:w="2976" w:type="dxa"/>
            <w:tcBorders>
              <w:top w:val="single" w:sz="4" w:space="0" w:color="000000"/>
              <w:left w:val="single" w:sz="4" w:space="0" w:color="000000"/>
              <w:bottom w:val="single" w:sz="4" w:space="0" w:color="000000"/>
              <w:right w:val="single" w:sz="4" w:space="0" w:color="000000"/>
            </w:tcBorders>
            <w:vAlign w:val="center"/>
          </w:tcPr>
          <w:p w14:paraId="3A705A34" w14:textId="3B70FE1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30 kg</w:t>
            </w:r>
          </w:p>
        </w:tc>
        <w:tc>
          <w:tcPr>
            <w:tcW w:w="5626" w:type="dxa"/>
            <w:tcBorders>
              <w:top w:val="single" w:sz="4" w:space="0" w:color="000000"/>
              <w:left w:val="single" w:sz="4" w:space="0" w:color="000000"/>
              <w:bottom w:val="single" w:sz="4" w:space="0" w:color="000000"/>
              <w:right w:val="single" w:sz="4" w:space="0" w:color="000000"/>
            </w:tcBorders>
          </w:tcPr>
          <w:p w14:paraId="03414EF1" w14:textId="4EB94D3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40 mg fortnightly </w:t>
            </w:r>
          </w:p>
        </w:tc>
      </w:tr>
    </w:tbl>
    <w:p w14:paraId="3113B013" w14:textId="38A0B205"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7DA344D" w14:textId="3B1321EE" w:rsidR="00354F57" w:rsidRPr="00DD1F63" w:rsidRDefault="00354F57" w:rsidP="00377A09">
      <w:pPr>
        <w:spacing w:after="0" w:line="240" w:lineRule="auto"/>
        <w:ind w:left="426" w:firstLine="0"/>
        <w:jc w:val="left"/>
        <w:rPr>
          <w:rFonts w:ascii="Times New Roman" w:hAnsi="Times New Roman" w:cs="Times New Roman"/>
          <w:sz w:val="22"/>
          <w:szCs w:val="24"/>
        </w:rPr>
      </w:pPr>
      <w:r w:rsidRPr="00DD1F63">
        <w:rPr>
          <w:rFonts w:ascii="Times New Roman" w:hAnsi="Times New Roman" w:cs="Times New Roman"/>
          <w:sz w:val="22"/>
          <w:szCs w:val="24"/>
        </w:rPr>
        <w:t xml:space="preserve">Healthcare providers are advised that there is no dosage form of </w:t>
      </w:r>
      <w:proofErr w:type="spellStart"/>
      <w:r w:rsidR="00C267EC" w:rsidRPr="00C267EC">
        <w:rPr>
          <w:rFonts w:ascii="Times New Roman" w:hAnsi="Times New Roman" w:cs="Times New Roman"/>
          <w:sz w:val="22"/>
          <w:szCs w:val="24"/>
        </w:rPr>
        <w:t>Ciptunec</w:t>
      </w:r>
      <w:proofErr w:type="spellEnd"/>
      <w:r w:rsidR="00C267EC" w:rsidRPr="00C267EC" w:rsidDel="00C267EC">
        <w:rPr>
          <w:rFonts w:ascii="Times New Roman" w:hAnsi="Times New Roman" w:cs="Times New Roman"/>
          <w:sz w:val="22"/>
          <w:szCs w:val="24"/>
        </w:rPr>
        <w:t xml:space="preserve"> </w:t>
      </w:r>
      <w:r w:rsidRPr="00DD1F63">
        <w:rPr>
          <w:rFonts w:ascii="Times New Roman" w:hAnsi="Times New Roman" w:cs="Times New Roman"/>
          <w:sz w:val="22"/>
          <w:szCs w:val="24"/>
        </w:rPr>
        <w:t>available which allows dosing of less than 40 mg</w:t>
      </w:r>
    </w:p>
    <w:p w14:paraId="191F8714" w14:textId="77777777" w:rsidR="00354F57" w:rsidRPr="00DD1F63" w:rsidRDefault="00354F57" w:rsidP="00377A09">
      <w:pPr>
        <w:spacing w:after="0" w:line="240" w:lineRule="auto"/>
        <w:ind w:left="426" w:firstLine="0"/>
        <w:jc w:val="left"/>
        <w:rPr>
          <w:rFonts w:ascii="Times New Roman" w:hAnsi="Times New Roman" w:cs="Times New Roman"/>
        </w:rPr>
      </w:pPr>
    </w:p>
    <w:p w14:paraId="5B56872B" w14:textId="4B81E313"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Available data suggest that a clinical response is usually achieved within 12 weeks of treatment. Continued therapy should be carefully reconsidered in a patient not responding within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w:t>
      </w:r>
    </w:p>
    <w:p w14:paraId="50F126D2" w14:textId="77777777" w:rsidR="0050107C" w:rsidRPr="00DD1F63" w:rsidRDefault="0050107C" w:rsidP="00377A09">
      <w:pPr>
        <w:spacing w:after="0" w:line="240" w:lineRule="auto"/>
        <w:ind w:left="426"/>
        <w:jc w:val="left"/>
        <w:rPr>
          <w:rFonts w:ascii="Times New Roman" w:hAnsi="Times New Roman" w:cs="Times New Roman"/>
          <w:sz w:val="22"/>
        </w:rPr>
      </w:pPr>
    </w:p>
    <w:p w14:paraId="218C544A" w14:textId="69BAB413" w:rsidR="006B7C8E" w:rsidRPr="00DD1F63" w:rsidRDefault="00BB24D3"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patients with JIA less than 2 years of age, or in patients with a weight below 10 kg. </w:t>
      </w:r>
    </w:p>
    <w:p w14:paraId="7D077750" w14:textId="77777777" w:rsidR="0050107C" w:rsidRPr="00DD1F63" w:rsidRDefault="0050107C" w:rsidP="00377A09">
      <w:pPr>
        <w:spacing w:after="0" w:line="240" w:lineRule="auto"/>
        <w:ind w:left="426"/>
        <w:jc w:val="left"/>
        <w:rPr>
          <w:rFonts w:ascii="Times New Roman" w:hAnsi="Times New Roman" w:cs="Times New Roman"/>
          <w:sz w:val="22"/>
        </w:rPr>
      </w:pPr>
    </w:p>
    <w:p w14:paraId="1F8A624B" w14:textId="3A9B2461" w:rsidR="006B7C8E" w:rsidRPr="00DD1F63" w:rsidRDefault="00BB24D3"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patients with </w:t>
      </w:r>
      <w:proofErr w:type="spellStart"/>
      <w:r w:rsidR="00CA72FF" w:rsidRPr="00DD1F63">
        <w:rPr>
          <w:rFonts w:ascii="Times New Roman" w:hAnsi="Times New Roman" w:cs="Times New Roman"/>
          <w:sz w:val="22"/>
        </w:rPr>
        <w:t>enthesitis</w:t>
      </w:r>
      <w:proofErr w:type="spellEnd"/>
      <w:r w:rsidR="00CA72FF" w:rsidRPr="00DD1F63">
        <w:rPr>
          <w:rFonts w:ascii="Times New Roman" w:hAnsi="Times New Roman" w:cs="Times New Roman"/>
          <w:sz w:val="22"/>
        </w:rPr>
        <w:t xml:space="preserve">-related arthritis aged less than 6 years or any child weighing less than 10 kg. </w:t>
      </w:r>
    </w:p>
    <w:p w14:paraId="21420580" w14:textId="77777777" w:rsidR="0050107C" w:rsidRPr="00DD1F63" w:rsidRDefault="0050107C" w:rsidP="00377A09">
      <w:pPr>
        <w:spacing w:after="0" w:line="240" w:lineRule="auto"/>
        <w:ind w:left="426"/>
        <w:jc w:val="left"/>
        <w:rPr>
          <w:rFonts w:ascii="Times New Roman" w:hAnsi="Times New Roman" w:cs="Times New Roman"/>
          <w:sz w:val="22"/>
        </w:rPr>
      </w:pPr>
    </w:p>
    <w:p w14:paraId="1AE98EB2" w14:textId="6CCF7128"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Psoriatic </w:t>
      </w:r>
      <w:r w:rsidR="00D825B2"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4B1D9FAB" w14:textId="77777777" w:rsidR="0050107C" w:rsidRPr="00DD1F63" w:rsidRDefault="0050107C" w:rsidP="00377A09">
      <w:pPr>
        <w:keepNext/>
        <w:spacing w:after="0" w:line="240" w:lineRule="auto"/>
        <w:ind w:left="425" w:hanging="11"/>
        <w:jc w:val="left"/>
        <w:rPr>
          <w:sz w:val="22"/>
        </w:rPr>
      </w:pPr>
    </w:p>
    <w:p w14:paraId="0D140607" w14:textId="790C7988" w:rsidR="006B7C8E" w:rsidRPr="00DD1F63" w:rsidRDefault="00CA72FF" w:rsidP="00377A09">
      <w:pPr>
        <w:spacing w:after="0" w:line="240" w:lineRule="auto"/>
        <w:ind w:left="426" w:right="97"/>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for patients with psoriatic arthritis is 40 mg adalimumab administered fortnightly as a single dose. </w:t>
      </w:r>
    </w:p>
    <w:p w14:paraId="342718BA" w14:textId="77777777" w:rsidR="007132EA" w:rsidRPr="00DD1F63" w:rsidRDefault="007132EA" w:rsidP="00377A09">
      <w:pPr>
        <w:spacing w:after="0" w:line="240" w:lineRule="auto"/>
        <w:ind w:left="426" w:right="375"/>
        <w:jc w:val="left"/>
        <w:rPr>
          <w:rFonts w:ascii="Times New Roman" w:hAnsi="Times New Roman" w:cs="Times New Roman"/>
          <w:sz w:val="22"/>
        </w:rPr>
      </w:pPr>
    </w:p>
    <w:p w14:paraId="5437F955" w14:textId="1C665086"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Glucocorticoids, salicylates, nonsteroidal anti−inflammatory drugs, </w:t>
      </w:r>
      <w:proofErr w:type="gramStart"/>
      <w:r w:rsidRPr="00DD1F63">
        <w:rPr>
          <w:rFonts w:ascii="Times New Roman" w:hAnsi="Times New Roman" w:cs="Times New Roman"/>
          <w:sz w:val="22"/>
        </w:rPr>
        <w:t>analgesics</w:t>
      </w:r>
      <w:proofErr w:type="gramEnd"/>
      <w:r w:rsidRPr="00DD1F63">
        <w:rPr>
          <w:rFonts w:ascii="Times New Roman" w:hAnsi="Times New Roman" w:cs="Times New Roman"/>
          <w:sz w:val="22"/>
        </w:rPr>
        <w:t xml:space="preserve"> or disease-modifying anti-rheumatic drugs can be continued during treatment with </w:t>
      </w:r>
      <w:proofErr w:type="spellStart"/>
      <w:r w:rsidR="00C267EC" w:rsidRPr="00C267EC">
        <w:rPr>
          <w:rFonts w:ascii="Times New Roman" w:hAnsi="Times New Roman" w:cs="Times New Roman"/>
          <w:sz w:val="22"/>
        </w:rPr>
        <w:t>Ciptunec</w:t>
      </w:r>
      <w:proofErr w:type="spellEnd"/>
      <w:r w:rsidRPr="00DD1F63">
        <w:rPr>
          <w:rFonts w:ascii="Times New Roman" w:hAnsi="Times New Roman" w:cs="Times New Roman"/>
          <w:sz w:val="22"/>
        </w:rPr>
        <w:t xml:space="preserve">. </w:t>
      </w:r>
    </w:p>
    <w:p w14:paraId="5B934E78" w14:textId="77777777" w:rsidR="00D825B2" w:rsidRPr="00DD1F63" w:rsidRDefault="00D825B2" w:rsidP="00377A09">
      <w:pPr>
        <w:spacing w:after="0" w:line="240" w:lineRule="auto"/>
        <w:ind w:left="426"/>
        <w:jc w:val="left"/>
        <w:rPr>
          <w:rFonts w:ascii="Times New Roman" w:hAnsi="Times New Roman" w:cs="Times New Roman"/>
          <w:sz w:val="22"/>
        </w:rPr>
      </w:pPr>
    </w:p>
    <w:p w14:paraId="026513F7" w14:textId="1C344EEC"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Ankylosing </w:t>
      </w:r>
      <w:r w:rsidR="00D825B2" w:rsidRPr="00DD1F63">
        <w:rPr>
          <w:rFonts w:ascii="Times New Roman" w:hAnsi="Times New Roman" w:cs="Times New Roman"/>
        </w:rPr>
        <w:t>s</w:t>
      </w:r>
      <w:r w:rsidRPr="00DD1F63">
        <w:rPr>
          <w:rFonts w:ascii="Times New Roman" w:hAnsi="Times New Roman" w:cs="Times New Roman"/>
        </w:rPr>
        <w:t>pondylitis</w:t>
      </w:r>
      <w:r w:rsidRPr="00DD1F63">
        <w:rPr>
          <w:rFonts w:ascii="Times New Roman" w:hAnsi="Times New Roman" w:cs="Times New Roman"/>
          <w:u w:val="none"/>
        </w:rPr>
        <w:t xml:space="preserve"> </w:t>
      </w:r>
    </w:p>
    <w:p w14:paraId="3938384E" w14:textId="77777777" w:rsidR="007132EA" w:rsidRPr="00DD1F63" w:rsidRDefault="007132EA" w:rsidP="00377A09">
      <w:pPr>
        <w:spacing w:after="0" w:line="240" w:lineRule="auto"/>
        <w:ind w:left="426" w:hanging="11"/>
        <w:jc w:val="left"/>
        <w:rPr>
          <w:sz w:val="22"/>
        </w:rPr>
      </w:pPr>
    </w:p>
    <w:p w14:paraId="7ABB9549" w14:textId="35CDFBC2"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for patients with ankylosing spondylitis is 40 mg adalimumab administered every fortnight as a single dose. </w:t>
      </w:r>
    </w:p>
    <w:p w14:paraId="71DEDFA0" w14:textId="77777777" w:rsidR="007132EA" w:rsidRPr="00DD1F63" w:rsidRDefault="007132EA" w:rsidP="00377A09">
      <w:pPr>
        <w:spacing w:after="0" w:line="240" w:lineRule="auto"/>
        <w:ind w:left="426"/>
        <w:jc w:val="left"/>
        <w:rPr>
          <w:rFonts w:ascii="Times New Roman" w:hAnsi="Times New Roman" w:cs="Times New Roman"/>
          <w:sz w:val="22"/>
        </w:rPr>
      </w:pPr>
    </w:p>
    <w:p w14:paraId="095B1852" w14:textId="76C3A6BB"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Glucocorticoids, salicylates, nonsteroidal anti−inflammatory drugs, </w:t>
      </w:r>
      <w:proofErr w:type="gramStart"/>
      <w:r w:rsidRPr="00DD1F63">
        <w:rPr>
          <w:rFonts w:ascii="Times New Roman" w:hAnsi="Times New Roman" w:cs="Times New Roman"/>
          <w:sz w:val="22"/>
        </w:rPr>
        <w:t>analgesics</w:t>
      </w:r>
      <w:proofErr w:type="gramEnd"/>
      <w:r w:rsidRPr="00DD1F63">
        <w:rPr>
          <w:rFonts w:ascii="Times New Roman" w:hAnsi="Times New Roman" w:cs="Times New Roman"/>
          <w:sz w:val="22"/>
        </w:rPr>
        <w:t xml:space="preserve"> or disease-modifying anti-rheumatic drugs can be continued during treatment with </w:t>
      </w:r>
      <w:proofErr w:type="spellStart"/>
      <w:r w:rsidR="00C267EC" w:rsidRPr="00C267EC">
        <w:rPr>
          <w:rFonts w:ascii="Times New Roman" w:hAnsi="Times New Roman" w:cs="Times New Roman"/>
          <w:sz w:val="22"/>
        </w:rPr>
        <w:t>Ciptunec</w:t>
      </w:r>
      <w:proofErr w:type="spellEnd"/>
      <w:r w:rsidRPr="00DD1F63">
        <w:rPr>
          <w:rFonts w:ascii="Times New Roman" w:hAnsi="Times New Roman" w:cs="Times New Roman"/>
          <w:sz w:val="22"/>
        </w:rPr>
        <w:t xml:space="preserve">. </w:t>
      </w:r>
    </w:p>
    <w:p w14:paraId="341A3400" w14:textId="2D9403FB" w:rsidR="00A64975" w:rsidRPr="00DD1F63" w:rsidRDefault="00A64975" w:rsidP="00377A09">
      <w:pPr>
        <w:spacing w:after="0" w:line="240" w:lineRule="auto"/>
        <w:ind w:left="426"/>
        <w:jc w:val="left"/>
        <w:rPr>
          <w:rFonts w:ascii="Times New Roman" w:hAnsi="Times New Roman" w:cs="Times New Roman"/>
          <w:sz w:val="22"/>
        </w:rPr>
      </w:pPr>
    </w:p>
    <w:p w14:paraId="2269772C" w14:textId="296753D3" w:rsidR="00A64975" w:rsidRPr="00DD1F63" w:rsidRDefault="00A64975" w:rsidP="00377A09">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lastRenderedPageBreak/>
        <w:t>Crohn’s disease</w:t>
      </w:r>
    </w:p>
    <w:p w14:paraId="46C9EF06" w14:textId="496C3B02" w:rsidR="00A64975" w:rsidRPr="00DD1F63" w:rsidRDefault="00A64975" w:rsidP="00377A09">
      <w:pPr>
        <w:spacing w:after="0" w:line="240" w:lineRule="auto"/>
        <w:ind w:left="426"/>
        <w:jc w:val="left"/>
        <w:rPr>
          <w:rFonts w:ascii="Times New Roman" w:hAnsi="Times New Roman" w:cs="Times New Roman"/>
          <w:sz w:val="22"/>
        </w:rPr>
      </w:pPr>
    </w:p>
    <w:p w14:paraId="5820A7FF" w14:textId="0BF35EE2" w:rsidR="00A64975" w:rsidRPr="00DD1F63" w:rsidRDefault="00A64975"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dose regimen for adult patients with Crohn’s disease:</w:t>
      </w:r>
    </w:p>
    <w:p w14:paraId="5A761346" w14:textId="77777777" w:rsidR="0034360B" w:rsidRPr="00DD1F63" w:rsidRDefault="0034360B" w:rsidP="00377A09">
      <w:pPr>
        <w:spacing w:after="0" w:line="240" w:lineRule="auto"/>
        <w:ind w:left="426"/>
        <w:jc w:val="left"/>
        <w:rPr>
          <w:rFonts w:ascii="Times New Roman" w:hAnsi="Times New Roman" w:cs="Times New Roman"/>
          <w:sz w:val="22"/>
        </w:rPr>
      </w:pPr>
    </w:p>
    <w:tbl>
      <w:tblPr>
        <w:tblStyle w:val="TableGrid"/>
        <w:tblW w:w="4775" w:type="pct"/>
        <w:tblInd w:w="423" w:type="dxa"/>
        <w:tblCellMar>
          <w:left w:w="57" w:type="dxa"/>
          <w:right w:w="58" w:type="dxa"/>
        </w:tblCellMar>
        <w:tblLook w:val="04A0" w:firstRow="1" w:lastRow="0" w:firstColumn="1" w:lastColumn="0" w:noHBand="0" w:noVBand="1"/>
      </w:tblPr>
      <w:tblGrid>
        <w:gridCol w:w="1338"/>
        <w:gridCol w:w="1500"/>
        <w:gridCol w:w="6136"/>
      </w:tblGrid>
      <w:tr w:rsidR="001A1C41" w:rsidRPr="00DD1F63" w14:paraId="036D4C52" w14:textId="77777777" w:rsidTr="00DC3742">
        <w:trPr>
          <w:trHeight w:val="20"/>
        </w:trPr>
        <w:tc>
          <w:tcPr>
            <w:tcW w:w="745" w:type="pct"/>
            <w:tcBorders>
              <w:top w:val="single" w:sz="2" w:space="0" w:color="000000"/>
              <w:left w:val="single" w:sz="2" w:space="0" w:color="000000"/>
              <w:bottom w:val="single" w:sz="2" w:space="0" w:color="000000"/>
              <w:right w:val="single" w:sz="2" w:space="0" w:color="000000"/>
            </w:tcBorders>
          </w:tcPr>
          <w:p w14:paraId="5EDFA5E1" w14:textId="77777777" w:rsidR="00A64975" w:rsidRPr="00DD1F63" w:rsidRDefault="00A64975" w:rsidP="00377A09">
            <w:pPr>
              <w:spacing w:after="0" w:line="240" w:lineRule="auto"/>
              <w:ind w:left="0" w:firstLine="0"/>
              <w:jc w:val="left"/>
              <w:rPr>
                <w:rFonts w:ascii="Times New Roman" w:hAnsi="Times New Roman" w:cs="Times New Roman"/>
                <w:sz w:val="22"/>
              </w:rPr>
            </w:pPr>
          </w:p>
        </w:tc>
        <w:tc>
          <w:tcPr>
            <w:tcW w:w="836" w:type="pct"/>
            <w:tcBorders>
              <w:top w:val="single" w:sz="4" w:space="0" w:color="000000"/>
              <w:left w:val="single" w:sz="2" w:space="0" w:color="000000"/>
              <w:bottom w:val="single" w:sz="4" w:space="0" w:color="000000"/>
              <w:right w:val="single" w:sz="4" w:space="0" w:color="000000"/>
            </w:tcBorders>
          </w:tcPr>
          <w:p w14:paraId="44EB9B27" w14:textId="77777777" w:rsidR="00A64975" w:rsidRPr="00DD1F63" w:rsidRDefault="00A64975"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Dose </w:t>
            </w:r>
          </w:p>
        </w:tc>
        <w:tc>
          <w:tcPr>
            <w:tcW w:w="3418" w:type="pct"/>
            <w:tcBorders>
              <w:top w:val="single" w:sz="4" w:space="0" w:color="000000"/>
              <w:left w:val="single" w:sz="4" w:space="0" w:color="000000"/>
              <w:bottom w:val="single" w:sz="4" w:space="0" w:color="000000"/>
              <w:right w:val="single" w:sz="4" w:space="0" w:color="000000"/>
            </w:tcBorders>
          </w:tcPr>
          <w:p w14:paraId="1DAC0F05" w14:textId="77777777" w:rsidR="00A64975" w:rsidRPr="00DD1F63" w:rsidRDefault="00A64975"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Frequency </w:t>
            </w:r>
          </w:p>
        </w:tc>
      </w:tr>
      <w:tr w:rsidR="00DC3742" w:rsidRPr="00DD1F63" w14:paraId="5394C4EA" w14:textId="77777777" w:rsidTr="00DC3742">
        <w:trPr>
          <w:trHeight w:val="20"/>
        </w:trPr>
        <w:tc>
          <w:tcPr>
            <w:tcW w:w="745" w:type="pct"/>
            <w:vMerge w:val="restart"/>
            <w:tcBorders>
              <w:top w:val="single" w:sz="2" w:space="0" w:color="000000"/>
              <w:left w:val="single" w:sz="2" w:space="0" w:color="000000"/>
              <w:right w:val="single" w:sz="2" w:space="0" w:color="000000"/>
            </w:tcBorders>
          </w:tcPr>
          <w:p w14:paraId="70215874" w14:textId="7777777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Induction </w:t>
            </w:r>
          </w:p>
          <w:p w14:paraId="768D2AFF" w14:textId="4A4B4B95" w:rsidR="00DC3742" w:rsidRPr="00DD1F63" w:rsidRDefault="00DC3742" w:rsidP="00377A09">
            <w:pPr>
              <w:spacing w:after="0" w:line="240" w:lineRule="auto"/>
              <w:ind w:left="0"/>
              <w:jc w:val="left"/>
              <w:rPr>
                <w:rFonts w:ascii="Times New Roman" w:hAnsi="Times New Roman" w:cs="Times New Roman"/>
                <w:sz w:val="22"/>
              </w:rPr>
            </w:pPr>
            <w:r w:rsidRPr="00DD1F63">
              <w:rPr>
                <w:rFonts w:ascii="Times New Roman" w:hAnsi="Times New Roman" w:cs="Times New Roman"/>
                <w:b/>
                <w:sz w:val="22"/>
              </w:rPr>
              <w:t xml:space="preserve"> </w:t>
            </w:r>
          </w:p>
        </w:tc>
        <w:tc>
          <w:tcPr>
            <w:tcW w:w="836" w:type="pct"/>
            <w:tcBorders>
              <w:top w:val="single" w:sz="4" w:space="0" w:color="000000"/>
              <w:left w:val="single" w:sz="2" w:space="0" w:color="000000"/>
              <w:bottom w:val="single" w:sz="4" w:space="0" w:color="000000"/>
              <w:right w:val="single" w:sz="4" w:space="0" w:color="000000"/>
            </w:tcBorders>
          </w:tcPr>
          <w:p w14:paraId="20B7668F" w14:textId="7777777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160 mg  </w:t>
            </w:r>
          </w:p>
        </w:tc>
        <w:tc>
          <w:tcPr>
            <w:tcW w:w="3418" w:type="pct"/>
            <w:tcBorders>
              <w:top w:val="single" w:sz="4" w:space="0" w:color="000000"/>
              <w:left w:val="single" w:sz="4" w:space="0" w:color="000000"/>
              <w:bottom w:val="single" w:sz="4" w:space="0" w:color="000000"/>
              <w:right w:val="single" w:sz="4" w:space="0" w:color="000000"/>
            </w:tcBorders>
          </w:tcPr>
          <w:p w14:paraId="36E64169" w14:textId="3071DA4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Initial Dose (Day 0) as </w:t>
            </w:r>
            <w:r w:rsidR="006D0B7A" w:rsidRPr="00BE760D">
              <w:rPr>
                <w:rFonts w:ascii="Times New Roman" w:hAnsi="Times New Roman" w:cs="Times New Roman"/>
                <w:sz w:val="22"/>
              </w:rPr>
              <w:t>two 80 mg injections in one day OR as one 80 mg injection per day for two consecutive days OR as</w:t>
            </w:r>
            <w:r w:rsidR="006D0B7A">
              <w:rPr>
                <w:rFonts w:ascii="Times New Roman" w:hAnsi="Times New Roman" w:cs="Times New Roman"/>
                <w:sz w:val="22"/>
              </w:rPr>
              <w:t xml:space="preserve"> </w:t>
            </w:r>
            <w:r w:rsidRPr="00DD1F63">
              <w:rPr>
                <w:rFonts w:ascii="Times New Roman" w:hAnsi="Times New Roman" w:cs="Times New Roman"/>
                <w:sz w:val="22"/>
              </w:rPr>
              <w:t xml:space="preserve">four 40 mg injections in one day OR as two 40 mg injections per day for two consecutive days.  </w:t>
            </w:r>
          </w:p>
        </w:tc>
      </w:tr>
      <w:tr w:rsidR="00DC3742" w:rsidRPr="00DD1F63" w14:paraId="43FCEFAF" w14:textId="77777777" w:rsidTr="00DC3742">
        <w:trPr>
          <w:trHeight w:val="20"/>
        </w:trPr>
        <w:tc>
          <w:tcPr>
            <w:tcW w:w="745" w:type="pct"/>
            <w:vMerge/>
            <w:tcBorders>
              <w:left w:val="single" w:sz="2" w:space="0" w:color="000000"/>
              <w:bottom w:val="single" w:sz="2" w:space="0" w:color="000000"/>
              <w:right w:val="single" w:sz="2" w:space="0" w:color="000000"/>
            </w:tcBorders>
          </w:tcPr>
          <w:p w14:paraId="46E98837" w14:textId="0A5EC111" w:rsidR="00DC3742" w:rsidRPr="00DD1F63" w:rsidRDefault="00DC3742" w:rsidP="00377A09">
            <w:pPr>
              <w:spacing w:after="0" w:line="240" w:lineRule="auto"/>
              <w:ind w:left="0" w:firstLine="0"/>
              <w:jc w:val="left"/>
              <w:rPr>
                <w:rFonts w:ascii="Times New Roman" w:hAnsi="Times New Roman" w:cs="Times New Roman"/>
                <w:sz w:val="22"/>
              </w:rPr>
            </w:pPr>
          </w:p>
        </w:tc>
        <w:tc>
          <w:tcPr>
            <w:tcW w:w="836" w:type="pct"/>
            <w:tcBorders>
              <w:top w:val="single" w:sz="4" w:space="0" w:color="000000"/>
              <w:left w:val="single" w:sz="2" w:space="0" w:color="000000"/>
              <w:bottom w:val="single" w:sz="4" w:space="0" w:color="000000"/>
              <w:right w:val="single" w:sz="4" w:space="0" w:color="000000"/>
            </w:tcBorders>
          </w:tcPr>
          <w:p w14:paraId="081B8166" w14:textId="7777777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80 mg </w:t>
            </w:r>
          </w:p>
        </w:tc>
        <w:tc>
          <w:tcPr>
            <w:tcW w:w="3418" w:type="pct"/>
            <w:tcBorders>
              <w:top w:val="single" w:sz="4" w:space="0" w:color="000000"/>
              <w:left w:val="single" w:sz="4" w:space="0" w:color="000000"/>
              <w:bottom w:val="single" w:sz="4" w:space="0" w:color="000000"/>
              <w:right w:val="single" w:sz="4" w:space="0" w:color="000000"/>
            </w:tcBorders>
          </w:tcPr>
          <w:p w14:paraId="223FCA3F" w14:textId="399C0954"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Second Dose (Day 14) as </w:t>
            </w:r>
            <w:r w:rsidR="006D0B7A" w:rsidRPr="00BE760D">
              <w:rPr>
                <w:rFonts w:ascii="Times New Roman" w:hAnsi="Times New Roman" w:cs="Times New Roman"/>
                <w:sz w:val="22"/>
              </w:rPr>
              <w:t>one 80 mg injection OR</w:t>
            </w:r>
            <w:r w:rsidR="006D0B7A">
              <w:rPr>
                <w:rFonts w:ascii="Times New Roman" w:hAnsi="Times New Roman" w:cs="Times New Roman"/>
                <w:sz w:val="22"/>
              </w:rPr>
              <w:t xml:space="preserve"> </w:t>
            </w:r>
            <w:r w:rsidRPr="00DD1F63">
              <w:rPr>
                <w:rFonts w:ascii="Times New Roman" w:hAnsi="Times New Roman" w:cs="Times New Roman"/>
                <w:sz w:val="22"/>
              </w:rPr>
              <w:t xml:space="preserve">two 40 mg injections </w:t>
            </w:r>
          </w:p>
        </w:tc>
      </w:tr>
      <w:tr w:rsidR="001A1C41" w:rsidRPr="00DD1F63" w14:paraId="132A1D71" w14:textId="77777777" w:rsidTr="00DC3742">
        <w:trPr>
          <w:trHeight w:val="20"/>
        </w:trPr>
        <w:tc>
          <w:tcPr>
            <w:tcW w:w="745" w:type="pct"/>
            <w:tcBorders>
              <w:top w:val="single" w:sz="2" w:space="0" w:color="000000"/>
              <w:left w:val="single" w:sz="2" w:space="0" w:color="000000"/>
              <w:bottom w:val="single" w:sz="2" w:space="0" w:color="000000"/>
              <w:right w:val="single" w:sz="2" w:space="0" w:color="000000"/>
            </w:tcBorders>
          </w:tcPr>
          <w:p w14:paraId="71EB5EF5" w14:textId="77777777" w:rsidR="00A64975" w:rsidRPr="00DD1F63" w:rsidRDefault="00A64975"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Maintenance </w:t>
            </w:r>
          </w:p>
        </w:tc>
        <w:tc>
          <w:tcPr>
            <w:tcW w:w="836" w:type="pct"/>
            <w:tcBorders>
              <w:top w:val="single" w:sz="4" w:space="0" w:color="000000"/>
              <w:left w:val="single" w:sz="2" w:space="0" w:color="000000"/>
              <w:bottom w:val="single" w:sz="4" w:space="0" w:color="000000"/>
              <w:right w:val="single" w:sz="4" w:space="0" w:color="000000"/>
            </w:tcBorders>
          </w:tcPr>
          <w:p w14:paraId="6DA6D1E4" w14:textId="77777777" w:rsidR="00A64975" w:rsidRPr="00DD1F63" w:rsidRDefault="00A64975"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40 mg </w:t>
            </w:r>
          </w:p>
        </w:tc>
        <w:tc>
          <w:tcPr>
            <w:tcW w:w="3418" w:type="pct"/>
            <w:tcBorders>
              <w:top w:val="single" w:sz="4" w:space="0" w:color="000000"/>
              <w:left w:val="single" w:sz="4" w:space="0" w:color="000000"/>
              <w:bottom w:val="single" w:sz="4" w:space="0" w:color="000000"/>
              <w:right w:val="single" w:sz="4" w:space="0" w:color="000000"/>
            </w:tcBorders>
          </w:tcPr>
          <w:p w14:paraId="33CEFF74" w14:textId="77777777" w:rsidR="00A64975" w:rsidRPr="00DD1F63" w:rsidRDefault="00A64975"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Starting Day 28 and continuing fortnightly </w:t>
            </w:r>
          </w:p>
        </w:tc>
      </w:tr>
    </w:tbl>
    <w:p w14:paraId="6F1343E7" w14:textId="31867849" w:rsidR="00A64975" w:rsidRPr="00DD1F63" w:rsidRDefault="00A64975" w:rsidP="00377A09">
      <w:pPr>
        <w:spacing w:after="0" w:line="240" w:lineRule="auto"/>
        <w:ind w:left="426"/>
        <w:jc w:val="left"/>
        <w:rPr>
          <w:rFonts w:ascii="Times New Roman" w:hAnsi="Times New Roman" w:cs="Times New Roman"/>
          <w:sz w:val="22"/>
        </w:rPr>
      </w:pPr>
    </w:p>
    <w:p w14:paraId="73658B13" w14:textId="10885427" w:rsidR="00F12CC5" w:rsidRPr="00DD1F63" w:rsidRDefault="00F12CC5"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Some patients who experience a decrease in their response may benefit from an increase in dosage to 40 mg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 xml:space="preserve">every week, or 80 mg fortnightly. </w:t>
      </w:r>
    </w:p>
    <w:p w14:paraId="19E3E39B" w14:textId="77777777" w:rsidR="00F12CC5" w:rsidRPr="00DD1F63" w:rsidRDefault="00F12CC5" w:rsidP="00377A09">
      <w:pPr>
        <w:spacing w:after="0" w:line="240" w:lineRule="auto"/>
        <w:ind w:left="426"/>
        <w:jc w:val="left"/>
        <w:rPr>
          <w:rFonts w:ascii="Times New Roman" w:hAnsi="Times New Roman" w:cs="Times New Roman"/>
          <w:sz w:val="22"/>
        </w:rPr>
      </w:pPr>
    </w:p>
    <w:p w14:paraId="0EC1588C" w14:textId="6AF10D95" w:rsidR="00A64975" w:rsidRPr="00DD1F63" w:rsidRDefault="00F12CC5" w:rsidP="00377A09">
      <w:pPr>
        <w:spacing w:after="0" w:line="240" w:lineRule="auto"/>
        <w:ind w:left="426"/>
        <w:jc w:val="left"/>
        <w:rPr>
          <w:rFonts w:ascii="Times New Roman" w:hAnsi="Times New Roman" w:cs="Times New Roman"/>
          <w:sz w:val="22"/>
        </w:rPr>
      </w:pPr>
      <w:proofErr w:type="spellStart"/>
      <w:r w:rsidRPr="00DD1F63">
        <w:rPr>
          <w:rFonts w:ascii="Times New Roman" w:hAnsi="Times New Roman" w:cs="Times New Roman"/>
          <w:sz w:val="22"/>
        </w:rPr>
        <w:t>Aminosalicylates</w:t>
      </w:r>
      <w:proofErr w:type="spellEnd"/>
      <w:r w:rsidRPr="00DD1F63">
        <w:rPr>
          <w:rFonts w:ascii="Times New Roman" w:hAnsi="Times New Roman" w:cs="Times New Roman"/>
          <w:sz w:val="22"/>
        </w:rPr>
        <w:t xml:space="preserve">, corticosteroids, and/or immunomodulatory agents (e.g., 6-mercaptopurine and azathioprine) may be continued during treatment with </w:t>
      </w:r>
      <w:proofErr w:type="spellStart"/>
      <w:r w:rsidR="00C267EC" w:rsidRPr="00C267EC">
        <w:rPr>
          <w:rFonts w:ascii="Times New Roman" w:hAnsi="Times New Roman" w:cs="Times New Roman"/>
          <w:sz w:val="22"/>
        </w:rPr>
        <w:t>Ciptunec</w:t>
      </w:r>
      <w:proofErr w:type="spellEnd"/>
      <w:r w:rsidRPr="00DD1F63">
        <w:rPr>
          <w:rFonts w:ascii="Times New Roman" w:hAnsi="Times New Roman" w:cs="Times New Roman"/>
          <w:sz w:val="22"/>
        </w:rPr>
        <w:t>.</w:t>
      </w:r>
    </w:p>
    <w:p w14:paraId="3189ECC1" w14:textId="77777777" w:rsidR="00F40859" w:rsidRPr="00DD1F63" w:rsidRDefault="00F40859" w:rsidP="00377A09">
      <w:pPr>
        <w:spacing w:after="0" w:line="240" w:lineRule="auto"/>
        <w:ind w:left="426"/>
        <w:jc w:val="left"/>
        <w:rPr>
          <w:rFonts w:ascii="Times New Roman" w:hAnsi="Times New Roman" w:cs="Times New Roman"/>
          <w:sz w:val="22"/>
        </w:rPr>
      </w:pPr>
    </w:p>
    <w:p w14:paraId="1CBA95BB" w14:textId="68C23659" w:rsidR="00A64975" w:rsidRPr="00DD1F63" w:rsidRDefault="00F12CC5" w:rsidP="00377A09">
      <w:pPr>
        <w:spacing w:after="0" w:line="240" w:lineRule="auto"/>
        <w:ind w:left="426"/>
        <w:jc w:val="left"/>
        <w:rPr>
          <w:rFonts w:ascii="Times New Roman" w:hAnsi="Times New Roman" w:cs="Times New Roman"/>
          <w:i/>
          <w:iCs/>
          <w:sz w:val="22"/>
          <w:u w:val="single"/>
        </w:rPr>
      </w:pPr>
      <w:r w:rsidRPr="00DD1F63">
        <w:rPr>
          <w:rFonts w:ascii="Times New Roman" w:hAnsi="Times New Roman" w:cs="Times New Roman"/>
          <w:i/>
          <w:iCs/>
          <w:sz w:val="22"/>
          <w:u w:val="single"/>
        </w:rPr>
        <w:t xml:space="preserve">Paediatric </w:t>
      </w:r>
      <w:proofErr w:type="spellStart"/>
      <w:r w:rsidRPr="00DD1F63">
        <w:rPr>
          <w:rFonts w:ascii="Times New Roman" w:hAnsi="Times New Roman" w:cs="Times New Roman"/>
          <w:i/>
          <w:iCs/>
          <w:sz w:val="22"/>
          <w:u w:val="single"/>
        </w:rPr>
        <w:t>crohn's</w:t>
      </w:r>
      <w:proofErr w:type="spellEnd"/>
      <w:r w:rsidRPr="00DD1F63">
        <w:rPr>
          <w:rFonts w:ascii="Times New Roman" w:hAnsi="Times New Roman" w:cs="Times New Roman"/>
          <w:i/>
          <w:iCs/>
          <w:sz w:val="22"/>
          <w:u w:val="single"/>
        </w:rPr>
        <w:t xml:space="preserve"> disease (6 to 17 years)</w:t>
      </w:r>
    </w:p>
    <w:p w14:paraId="2987AB5A" w14:textId="77777777" w:rsidR="001F60A2" w:rsidRPr="00DD1F63" w:rsidRDefault="001F60A2" w:rsidP="00377A09">
      <w:pPr>
        <w:spacing w:after="0" w:line="240" w:lineRule="auto"/>
        <w:ind w:left="426"/>
        <w:jc w:val="left"/>
        <w:rPr>
          <w:rFonts w:ascii="Times New Roman" w:hAnsi="Times New Roman" w:cs="Times New Roman"/>
          <w:sz w:val="22"/>
        </w:rPr>
      </w:pPr>
    </w:p>
    <w:p w14:paraId="7DABE04D" w14:textId="2B291227" w:rsidR="00F12CC5" w:rsidRPr="00DD1F63" w:rsidRDefault="00F12CC5"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for patients from 6 to 17 years of age with Crohn’s disease:</w:t>
      </w:r>
    </w:p>
    <w:p w14:paraId="5EC0D984" w14:textId="2C6531DB" w:rsidR="00F12CC5" w:rsidRPr="00DD1F63" w:rsidRDefault="00F12CC5" w:rsidP="00377A09">
      <w:pPr>
        <w:spacing w:after="0" w:line="240" w:lineRule="auto"/>
        <w:ind w:left="426"/>
        <w:jc w:val="left"/>
        <w:rPr>
          <w:rFonts w:ascii="Times New Roman" w:hAnsi="Times New Roman" w:cs="Times New Roman"/>
          <w:sz w:val="22"/>
        </w:rPr>
      </w:pPr>
    </w:p>
    <w:p w14:paraId="41366CC9" w14:textId="0C864769" w:rsidR="00F12CC5" w:rsidRPr="00DD1F63" w:rsidRDefault="00F12CC5"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Healthcare providers should be advised that there is no dosage form of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available which allows dosing of less than 40 mg.</w:t>
      </w:r>
    </w:p>
    <w:p w14:paraId="267AB8D0" w14:textId="0D83FF00" w:rsidR="00F12CC5" w:rsidRPr="00DD1F63" w:rsidRDefault="00F12CC5" w:rsidP="00377A09">
      <w:pPr>
        <w:spacing w:after="0" w:line="240" w:lineRule="auto"/>
        <w:ind w:left="426"/>
        <w:jc w:val="left"/>
        <w:rPr>
          <w:rFonts w:ascii="Times New Roman" w:hAnsi="Times New Roman" w:cs="Times New Roman"/>
          <w:sz w:val="22"/>
        </w:rPr>
      </w:pPr>
    </w:p>
    <w:tbl>
      <w:tblPr>
        <w:tblStyle w:val="TableGrid2"/>
        <w:tblW w:w="0" w:type="auto"/>
        <w:tblInd w:w="426" w:type="dxa"/>
        <w:tblLook w:val="04A0" w:firstRow="1" w:lastRow="0" w:firstColumn="1" w:lastColumn="0" w:noHBand="0" w:noVBand="1"/>
      </w:tblPr>
      <w:tblGrid>
        <w:gridCol w:w="1408"/>
        <w:gridCol w:w="2456"/>
        <w:gridCol w:w="4777"/>
      </w:tblGrid>
      <w:tr w:rsidR="001A1C41" w:rsidRPr="00DD1F63" w14:paraId="718D6295" w14:textId="77777777" w:rsidTr="0034360B">
        <w:tc>
          <w:tcPr>
            <w:tcW w:w="8641" w:type="dxa"/>
            <w:gridSpan w:val="3"/>
          </w:tcPr>
          <w:p w14:paraId="512A4685" w14:textId="2CBB2F29" w:rsidR="00F12CC5" w:rsidRPr="00DD1F63" w:rsidRDefault="00F12CC5" w:rsidP="00377A09">
            <w:pPr>
              <w:spacing w:after="0" w:line="240" w:lineRule="auto"/>
              <w:ind w:left="0" w:firstLine="0"/>
              <w:jc w:val="left"/>
              <w:rPr>
                <w:rFonts w:ascii="Times New Roman" w:hAnsi="Times New Roman" w:cs="Times New Roman"/>
                <w:b/>
                <w:bCs/>
                <w:sz w:val="22"/>
              </w:rPr>
            </w:pPr>
            <w:r w:rsidRPr="00DD1F63">
              <w:rPr>
                <w:rFonts w:ascii="Times New Roman" w:hAnsi="Times New Roman" w:cs="Times New Roman"/>
                <w:b/>
                <w:bCs/>
                <w:sz w:val="22"/>
              </w:rPr>
              <w:t>Patients ≥ 40</w:t>
            </w:r>
            <w:r w:rsidR="00AB3901">
              <w:rPr>
                <w:rFonts w:ascii="Times New Roman" w:hAnsi="Times New Roman" w:cs="Times New Roman"/>
                <w:b/>
                <w:bCs/>
                <w:sz w:val="22"/>
              </w:rPr>
              <w:t xml:space="preserve"> </w:t>
            </w:r>
            <w:r w:rsidRPr="00DD1F63">
              <w:rPr>
                <w:rFonts w:ascii="Times New Roman" w:hAnsi="Times New Roman" w:cs="Times New Roman"/>
                <w:b/>
                <w:bCs/>
                <w:sz w:val="22"/>
              </w:rPr>
              <w:t>kg body weight</w:t>
            </w:r>
          </w:p>
        </w:tc>
      </w:tr>
      <w:tr w:rsidR="001A1C41" w:rsidRPr="00DD1F63" w14:paraId="13148972" w14:textId="77777777" w:rsidTr="0034360B">
        <w:tc>
          <w:tcPr>
            <w:tcW w:w="1408" w:type="dxa"/>
          </w:tcPr>
          <w:p w14:paraId="011F64F4" w14:textId="77777777" w:rsidR="00F12CC5" w:rsidRPr="00DD1F63" w:rsidRDefault="00F12CC5" w:rsidP="00377A09">
            <w:pPr>
              <w:spacing w:after="0" w:line="240" w:lineRule="auto"/>
              <w:ind w:left="0" w:firstLine="0"/>
              <w:jc w:val="left"/>
              <w:rPr>
                <w:rFonts w:ascii="Times New Roman" w:hAnsi="Times New Roman" w:cs="Times New Roman"/>
                <w:sz w:val="22"/>
              </w:rPr>
            </w:pPr>
          </w:p>
        </w:tc>
        <w:tc>
          <w:tcPr>
            <w:tcW w:w="2456" w:type="dxa"/>
          </w:tcPr>
          <w:p w14:paraId="2C708D67" w14:textId="2C81805E" w:rsidR="00F12CC5" w:rsidRPr="00DD1F63" w:rsidRDefault="00F12CC5" w:rsidP="00377A09">
            <w:pPr>
              <w:spacing w:after="0" w:line="240" w:lineRule="auto"/>
              <w:ind w:left="0" w:firstLine="0"/>
              <w:jc w:val="left"/>
              <w:rPr>
                <w:rFonts w:ascii="Times New Roman" w:hAnsi="Times New Roman" w:cs="Times New Roman"/>
                <w:b/>
                <w:bCs/>
                <w:sz w:val="22"/>
              </w:rPr>
            </w:pPr>
            <w:r w:rsidRPr="00DD1F63">
              <w:rPr>
                <w:rFonts w:ascii="Times New Roman" w:hAnsi="Times New Roman" w:cs="Times New Roman"/>
                <w:b/>
                <w:bCs/>
                <w:sz w:val="22"/>
              </w:rPr>
              <w:t>Moderate to Severe CD</w:t>
            </w:r>
          </w:p>
        </w:tc>
        <w:tc>
          <w:tcPr>
            <w:tcW w:w="4777" w:type="dxa"/>
          </w:tcPr>
          <w:p w14:paraId="74ED7B10" w14:textId="565D7365" w:rsidR="00F12CC5" w:rsidRPr="00DD1F63" w:rsidRDefault="00F12CC5" w:rsidP="00377A09">
            <w:pPr>
              <w:spacing w:after="0" w:line="240" w:lineRule="auto"/>
              <w:ind w:left="0" w:firstLine="0"/>
              <w:jc w:val="left"/>
              <w:rPr>
                <w:rFonts w:ascii="Times New Roman" w:hAnsi="Times New Roman" w:cs="Times New Roman"/>
                <w:b/>
                <w:bCs/>
                <w:sz w:val="22"/>
              </w:rPr>
            </w:pPr>
            <w:r w:rsidRPr="00DD1F63">
              <w:rPr>
                <w:rFonts w:ascii="Times New Roman" w:hAnsi="Times New Roman" w:cs="Times New Roman"/>
                <w:b/>
                <w:bCs/>
                <w:sz w:val="22"/>
              </w:rPr>
              <w:t>Frequency</w:t>
            </w:r>
          </w:p>
        </w:tc>
      </w:tr>
      <w:tr w:rsidR="00DC3742" w:rsidRPr="00DD1F63" w14:paraId="728D7215" w14:textId="77777777" w:rsidTr="0034360B">
        <w:tc>
          <w:tcPr>
            <w:tcW w:w="1408" w:type="dxa"/>
            <w:vMerge w:val="restart"/>
          </w:tcPr>
          <w:p w14:paraId="1E0A1361" w14:textId="1FD106FB"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Induction</w:t>
            </w:r>
          </w:p>
        </w:tc>
        <w:tc>
          <w:tcPr>
            <w:tcW w:w="2456" w:type="dxa"/>
            <w:vAlign w:val="center"/>
          </w:tcPr>
          <w:p w14:paraId="03963194" w14:textId="2A449544"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160 mg</w:t>
            </w:r>
          </w:p>
        </w:tc>
        <w:tc>
          <w:tcPr>
            <w:tcW w:w="4777" w:type="dxa"/>
          </w:tcPr>
          <w:p w14:paraId="33F8BD3A" w14:textId="0209DFC0"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Initial Dose (Day 0) as </w:t>
            </w:r>
            <w:r w:rsidR="006D0B7A" w:rsidRPr="00BE760D">
              <w:rPr>
                <w:rFonts w:ascii="Times New Roman" w:hAnsi="Times New Roman" w:cs="Times New Roman"/>
                <w:sz w:val="22"/>
              </w:rPr>
              <w:t>two 80 mg injections in one day OR as one 80 mg injection per day for two consecutive days OR as</w:t>
            </w:r>
            <w:r w:rsidR="006D0B7A">
              <w:rPr>
                <w:rFonts w:ascii="Times New Roman" w:hAnsi="Times New Roman" w:cs="Times New Roman"/>
                <w:sz w:val="22"/>
              </w:rPr>
              <w:t xml:space="preserve"> </w:t>
            </w:r>
            <w:r w:rsidRPr="00DD1F63">
              <w:rPr>
                <w:rFonts w:ascii="Times New Roman" w:hAnsi="Times New Roman" w:cs="Times New Roman"/>
                <w:sz w:val="22"/>
              </w:rPr>
              <w:t>four 40 mg injections in one day OR as two 40 mg injections per day for two consecutive days.</w:t>
            </w:r>
          </w:p>
        </w:tc>
      </w:tr>
      <w:tr w:rsidR="00DC3742" w:rsidRPr="00DD1F63" w14:paraId="3E4D548A" w14:textId="77777777" w:rsidTr="0034360B">
        <w:tc>
          <w:tcPr>
            <w:tcW w:w="1408" w:type="dxa"/>
            <w:vMerge/>
          </w:tcPr>
          <w:p w14:paraId="19FDDBB0" w14:textId="77777777" w:rsidR="00DC3742" w:rsidRPr="00DD1F63" w:rsidRDefault="00DC3742" w:rsidP="00377A09">
            <w:pPr>
              <w:spacing w:after="0" w:line="240" w:lineRule="auto"/>
              <w:ind w:left="0" w:firstLine="0"/>
              <w:jc w:val="left"/>
              <w:rPr>
                <w:rFonts w:ascii="Times New Roman" w:hAnsi="Times New Roman" w:cs="Times New Roman"/>
                <w:sz w:val="22"/>
              </w:rPr>
            </w:pPr>
          </w:p>
        </w:tc>
        <w:tc>
          <w:tcPr>
            <w:tcW w:w="2456" w:type="dxa"/>
            <w:vAlign w:val="center"/>
          </w:tcPr>
          <w:p w14:paraId="3AE1BB5D" w14:textId="60EBA5AF"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80 mg</w:t>
            </w:r>
          </w:p>
        </w:tc>
        <w:tc>
          <w:tcPr>
            <w:tcW w:w="4777" w:type="dxa"/>
          </w:tcPr>
          <w:p w14:paraId="00DDC31E" w14:textId="1200C5BA"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Second Dose (Day 14) as </w:t>
            </w:r>
            <w:r w:rsidR="006D0B7A" w:rsidRPr="00BE760D">
              <w:rPr>
                <w:rFonts w:ascii="Times New Roman" w:hAnsi="Times New Roman" w:cs="Times New Roman"/>
                <w:sz w:val="22"/>
              </w:rPr>
              <w:t>one 80 mg injection OR</w:t>
            </w:r>
            <w:r w:rsidR="006D0B7A">
              <w:rPr>
                <w:rFonts w:ascii="Times New Roman" w:hAnsi="Times New Roman" w:cs="Times New Roman"/>
                <w:sz w:val="22"/>
              </w:rPr>
              <w:t xml:space="preserve"> </w:t>
            </w:r>
            <w:r w:rsidRPr="00DD1F63">
              <w:rPr>
                <w:rFonts w:ascii="Times New Roman" w:hAnsi="Times New Roman" w:cs="Times New Roman"/>
                <w:sz w:val="22"/>
              </w:rPr>
              <w:t>two 40 mg injections</w:t>
            </w:r>
          </w:p>
        </w:tc>
      </w:tr>
      <w:tr w:rsidR="001A1C41" w:rsidRPr="00DD1F63" w14:paraId="5B36701C" w14:textId="77777777" w:rsidTr="0034360B">
        <w:tc>
          <w:tcPr>
            <w:tcW w:w="1408" w:type="dxa"/>
          </w:tcPr>
          <w:p w14:paraId="631A8B31" w14:textId="21E01FFB" w:rsidR="00F12CC5"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Maintenance</w:t>
            </w:r>
          </w:p>
        </w:tc>
        <w:tc>
          <w:tcPr>
            <w:tcW w:w="2456" w:type="dxa"/>
            <w:vAlign w:val="center"/>
          </w:tcPr>
          <w:p w14:paraId="0C5ABE94" w14:textId="19DB761C" w:rsidR="00F12CC5"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40 mg</w:t>
            </w:r>
          </w:p>
        </w:tc>
        <w:tc>
          <w:tcPr>
            <w:tcW w:w="4777" w:type="dxa"/>
          </w:tcPr>
          <w:p w14:paraId="104DFD33" w14:textId="60A59D3C" w:rsidR="00F12CC5"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Starting Day 28 and continuing fortnightly</w:t>
            </w:r>
          </w:p>
        </w:tc>
      </w:tr>
    </w:tbl>
    <w:p w14:paraId="1BDA6444" w14:textId="56A2533C" w:rsidR="00F12CC5" w:rsidRPr="00DD1F63" w:rsidRDefault="00F12CC5" w:rsidP="00377A09">
      <w:pPr>
        <w:spacing w:after="0" w:line="240" w:lineRule="auto"/>
        <w:ind w:left="426"/>
        <w:jc w:val="left"/>
        <w:rPr>
          <w:rFonts w:ascii="Times New Roman" w:hAnsi="Times New Roman" w:cs="Times New Roman"/>
          <w:sz w:val="22"/>
        </w:rPr>
      </w:pPr>
    </w:p>
    <w:p w14:paraId="2C5FF905" w14:textId="05A3FFDF" w:rsidR="00B638E4" w:rsidRPr="00DD1F63" w:rsidRDefault="00B638E4"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Some patients may benefit from increasing the dosage if a disease flare or an inadequate response is experienced during maintenance dosing:</w:t>
      </w:r>
    </w:p>
    <w:p w14:paraId="7F9BAEFA" w14:textId="7E3458F0" w:rsidR="00B638E4" w:rsidRPr="00DD1F63" w:rsidRDefault="00B638E4" w:rsidP="00377A09">
      <w:pPr>
        <w:spacing w:after="0" w:line="240" w:lineRule="auto"/>
        <w:ind w:left="426"/>
        <w:jc w:val="left"/>
        <w:rPr>
          <w:rFonts w:ascii="Times New Roman" w:hAnsi="Times New Roman" w:cs="Times New Roman"/>
          <w:sz w:val="22"/>
        </w:rPr>
      </w:pPr>
    </w:p>
    <w:p w14:paraId="3944DB4F" w14:textId="59110A8C" w:rsidR="00B638E4" w:rsidRPr="00DD1F63" w:rsidRDefault="00B638E4" w:rsidP="00377A09">
      <w:pPr>
        <w:pStyle w:val="ListParagraph"/>
        <w:numPr>
          <w:ilvl w:val="0"/>
          <w:numId w:val="27"/>
        </w:numPr>
        <w:spacing w:after="0" w:line="240" w:lineRule="auto"/>
        <w:jc w:val="left"/>
        <w:rPr>
          <w:rFonts w:ascii="Times New Roman" w:hAnsi="Times New Roman" w:cs="Times New Roman"/>
          <w:sz w:val="22"/>
        </w:rPr>
      </w:pPr>
      <w:r w:rsidRPr="00DD1F63">
        <w:rPr>
          <w:rFonts w:ascii="Times New Roman" w:hAnsi="Times New Roman" w:cs="Times New Roman"/>
          <w:sz w:val="22"/>
        </w:rPr>
        <w:t>≥ 40 kg: 40</w:t>
      </w:r>
      <w:r w:rsidR="00C81542" w:rsidRPr="00DD1F63">
        <w:rPr>
          <w:rFonts w:ascii="Times New Roman" w:hAnsi="Times New Roman" w:cs="Times New Roman"/>
          <w:sz w:val="22"/>
        </w:rPr>
        <w:t xml:space="preserve"> </w:t>
      </w:r>
      <w:r w:rsidRPr="00DD1F63">
        <w:rPr>
          <w:rFonts w:ascii="Times New Roman" w:hAnsi="Times New Roman" w:cs="Times New Roman"/>
          <w:sz w:val="22"/>
        </w:rPr>
        <w:t>mg every week or 80</w:t>
      </w:r>
      <w:r w:rsidR="00C81542" w:rsidRPr="00DD1F63">
        <w:rPr>
          <w:rFonts w:ascii="Times New Roman" w:hAnsi="Times New Roman" w:cs="Times New Roman"/>
          <w:sz w:val="22"/>
        </w:rPr>
        <w:t xml:space="preserve"> </w:t>
      </w:r>
      <w:r w:rsidRPr="00DD1F63">
        <w:rPr>
          <w:rFonts w:ascii="Times New Roman" w:hAnsi="Times New Roman" w:cs="Times New Roman"/>
          <w:sz w:val="22"/>
        </w:rPr>
        <w:t>mg fortnightly</w:t>
      </w:r>
      <w:r w:rsidR="00C81542" w:rsidRPr="00DD1F63">
        <w:rPr>
          <w:rFonts w:ascii="Times New Roman" w:hAnsi="Times New Roman" w:cs="Times New Roman"/>
          <w:sz w:val="22"/>
        </w:rPr>
        <w:t>.</w:t>
      </w:r>
    </w:p>
    <w:p w14:paraId="268F133B" w14:textId="710BEB28" w:rsidR="00F12CC5" w:rsidRPr="00DD1F63" w:rsidRDefault="00F12CC5" w:rsidP="00377A09">
      <w:pPr>
        <w:spacing w:after="0" w:line="240" w:lineRule="auto"/>
        <w:ind w:left="426"/>
        <w:jc w:val="left"/>
        <w:rPr>
          <w:rFonts w:ascii="Times New Roman" w:hAnsi="Times New Roman" w:cs="Times New Roman"/>
          <w:sz w:val="22"/>
        </w:rPr>
      </w:pPr>
    </w:p>
    <w:p w14:paraId="29769623" w14:textId="7637088F" w:rsidR="00B638E4" w:rsidRPr="00DD1F63" w:rsidRDefault="00B638E4"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Continued therapy should be carefully considered in a subject not responding by </w:t>
      </w:r>
      <w:r w:rsidR="00C81542" w:rsidRPr="00DD1F63">
        <w:rPr>
          <w:rFonts w:ascii="Times New Roman" w:hAnsi="Times New Roman" w:cs="Times New Roman"/>
          <w:sz w:val="22"/>
        </w:rPr>
        <w:t>w</w:t>
      </w:r>
      <w:r w:rsidRPr="00DD1F63">
        <w:rPr>
          <w:rFonts w:ascii="Times New Roman" w:hAnsi="Times New Roman" w:cs="Times New Roman"/>
          <w:sz w:val="22"/>
        </w:rPr>
        <w:t xml:space="preserve">eek 12. </w:t>
      </w:r>
    </w:p>
    <w:p w14:paraId="0C82481E" w14:textId="77777777" w:rsidR="00B638E4" w:rsidRPr="00DD1F63" w:rsidRDefault="00B638E4" w:rsidP="00377A09">
      <w:pPr>
        <w:spacing w:after="0" w:line="240" w:lineRule="auto"/>
        <w:ind w:left="426"/>
        <w:jc w:val="left"/>
        <w:rPr>
          <w:rFonts w:ascii="Times New Roman" w:hAnsi="Times New Roman" w:cs="Times New Roman"/>
          <w:sz w:val="22"/>
        </w:rPr>
      </w:pPr>
    </w:p>
    <w:p w14:paraId="714948E7" w14:textId="20EF043C" w:rsidR="00B638E4" w:rsidRPr="00DD1F63" w:rsidRDefault="00B638E4"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Good nutrition should be encouraged alongside pharmacological therapy to allow appropriate growth.</w:t>
      </w:r>
    </w:p>
    <w:p w14:paraId="214B9A32" w14:textId="64E685C7" w:rsidR="00A64975" w:rsidRPr="00DD1F63" w:rsidRDefault="00A64975" w:rsidP="00377A09">
      <w:pPr>
        <w:spacing w:after="0" w:line="240" w:lineRule="auto"/>
        <w:ind w:left="426"/>
        <w:jc w:val="left"/>
        <w:rPr>
          <w:rFonts w:ascii="Times New Roman" w:hAnsi="Times New Roman" w:cs="Times New Roman"/>
          <w:sz w:val="22"/>
        </w:rPr>
      </w:pPr>
    </w:p>
    <w:p w14:paraId="7AA71DCC" w14:textId="055548F0" w:rsidR="00B638E4" w:rsidRPr="00DD1F63" w:rsidRDefault="00B638E4" w:rsidP="00377A09">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Ulcerative Colitis</w:t>
      </w:r>
    </w:p>
    <w:p w14:paraId="7582B0A4" w14:textId="38AA2C82" w:rsidR="006B7C8E" w:rsidRPr="00DD1F63" w:rsidRDefault="006B7C8E" w:rsidP="00377A09">
      <w:pPr>
        <w:spacing w:after="0" w:line="240" w:lineRule="auto"/>
        <w:ind w:left="426"/>
        <w:jc w:val="left"/>
        <w:rPr>
          <w:rFonts w:ascii="Times New Roman" w:hAnsi="Times New Roman" w:cs="Times New Roman"/>
          <w:sz w:val="22"/>
        </w:rPr>
      </w:pPr>
    </w:p>
    <w:p w14:paraId="737A3E2E" w14:textId="33801881" w:rsidR="00B638E4" w:rsidRPr="00DD1F63" w:rsidRDefault="00B638E4"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w:t>
      </w:r>
      <w:proofErr w:type="spellStart"/>
      <w:r w:rsidR="00C267EC" w:rsidRPr="00C267EC">
        <w:rPr>
          <w:rFonts w:ascii="Times New Roman" w:hAnsi="Times New Roman" w:cs="Times New Roman"/>
          <w:sz w:val="22"/>
        </w:rPr>
        <w:t>Ciptunec</w:t>
      </w:r>
      <w:proofErr w:type="spellEnd"/>
      <w:r w:rsidR="00C267EC" w:rsidRPr="00C267EC" w:rsidDel="00C267EC">
        <w:rPr>
          <w:rFonts w:ascii="Times New Roman" w:hAnsi="Times New Roman" w:cs="Times New Roman"/>
          <w:sz w:val="22"/>
        </w:rPr>
        <w:t xml:space="preserve"> </w:t>
      </w:r>
      <w:r w:rsidRPr="00DD1F63">
        <w:rPr>
          <w:rFonts w:ascii="Times New Roman" w:hAnsi="Times New Roman" w:cs="Times New Roman"/>
          <w:sz w:val="22"/>
        </w:rPr>
        <w:t>dose regimen for adult patients is:</w:t>
      </w:r>
    </w:p>
    <w:p w14:paraId="4DAC4983" w14:textId="665FD968" w:rsidR="00B638E4" w:rsidRPr="00DD1F63" w:rsidRDefault="00B638E4" w:rsidP="00377A09">
      <w:pPr>
        <w:spacing w:after="0" w:line="240" w:lineRule="auto"/>
        <w:ind w:left="426"/>
        <w:jc w:val="left"/>
        <w:rPr>
          <w:rFonts w:ascii="Times New Roman" w:hAnsi="Times New Roman" w:cs="Times New Roman"/>
          <w:sz w:val="22"/>
        </w:rPr>
      </w:pPr>
    </w:p>
    <w:tbl>
      <w:tblPr>
        <w:tblStyle w:val="TableGrid"/>
        <w:tblW w:w="4827" w:type="pct"/>
        <w:tblInd w:w="423" w:type="dxa"/>
        <w:tblCellMar>
          <w:left w:w="57" w:type="dxa"/>
          <w:right w:w="60" w:type="dxa"/>
        </w:tblCellMar>
        <w:tblLook w:val="04A0" w:firstRow="1" w:lastRow="0" w:firstColumn="1" w:lastColumn="0" w:noHBand="0" w:noVBand="1"/>
      </w:tblPr>
      <w:tblGrid>
        <w:gridCol w:w="1341"/>
        <w:gridCol w:w="1713"/>
        <w:gridCol w:w="6018"/>
      </w:tblGrid>
      <w:tr w:rsidR="001A1C41" w:rsidRPr="00DD1F63" w14:paraId="0D4D07A6" w14:textId="77777777" w:rsidTr="00F216FB">
        <w:trPr>
          <w:trHeight w:val="20"/>
        </w:trPr>
        <w:tc>
          <w:tcPr>
            <w:tcW w:w="739" w:type="pct"/>
            <w:tcBorders>
              <w:top w:val="single" w:sz="2" w:space="0" w:color="000000"/>
              <w:left w:val="single" w:sz="2" w:space="0" w:color="000000"/>
              <w:bottom w:val="single" w:sz="2" w:space="0" w:color="000000"/>
              <w:right w:val="single" w:sz="2" w:space="0" w:color="000000"/>
            </w:tcBorders>
          </w:tcPr>
          <w:p w14:paraId="0BB12E86" w14:textId="77777777" w:rsidR="00B638E4" w:rsidRPr="00DD1F63" w:rsidRDefault="00B638E4" w:rsidP="00377A09">
            <w:pPr>
              <w:spacing w:after="0" w:line="240" w:lineRule="auto"/>
              <w:ind w:left="0" w:firstLine="0"/>
              <w:jc w:val="left"/>
              <w:rPr>
                <w:rFonts w:ascii="Times New Roman" w:hAnsi="Times New Roman" w:cs="Times New Roman"/>
                <w:sz w:val="22"/>
              </w:rPr>
            </w:pPr>
          </w:p>
        </w:tc>
        <w:tc>
          <w:tcPr>
            <w:tcW w:w="944" w:type="pct"/>
            <w:tcBorders>
              <w:top w:val="single" w:sz="4" w:space="0" w:color="000000"/>
              <w:left w:val="single" w:sz="2" w:space="0" w:color="000000"/>
              <w:bottom w:val="single" w:sz="4" w:space="0" w:color="000000"/>
              <w:right w:val="single" w:sz="4" w:space="0" w:color="000000"/>
            </w:tcBorders>
          </w:tcPr>
          <w:p w14:paraId="275288F2" w14:textId="77777777" w:rsidR="00B638E4"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Dose </w:t>
            </w:r>
          </w:p>
        </w:tc>
        <w:tc>
          <w:tcPr>
            <w:tcW w:w="3317" w:type="pct"/>
            <w:tcBorders>
              <w:top w:val="single" w:sz="4" w:space="0" w:color="000000"/>
              <w:left w:val="single" w:sz="4" w:space="0" w:color="000000"/>
              <w:bottom w:val="single" w:sz="4" w:space="0" w:color="000000"/>
              <w:right w:val="single" w:sz="4" w:space="0" w:color="000000"/>
            </w:tcBorders>
          </w:tcPr>
          <w:p w14:paraId="245C8395" w14:textId="77777777" w:rsidR="00B638E4"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Frequency </w:t>
            </w:r>
          </w:p>
        </w:tc>
      </w:tr>
      <w:tr w:rsidR="00DC3742" w:rsidRPr="00DD1F63" w14:paraId="17E7FC2A" w14:textId="77777777" w:rsidTr="00F216FB">
        <w:trPr>
          <w:trHeight w:val="20"/>
        </w:trPr>
        <w:tc>
          <w:tcPr>
            <w:tcW w:w="739" w:type="pct"/>
            <w:vMerge w:val="restart"/>
            <w:tcBorders>
              <w:top w:val="single" w:sz="2" w:space="0" w:color="000000"/>
              <w:left w:val="single" w:sz="2" w:space="0" w:color="000000"/>
              <w:right w:val="single" w:sz="2" w:space="0" w:color="000000"/>
            </w:tcBorders>
          </w:tcPr>
          <w:p w14:paraId="1C90F491" w14:textId="7777777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Induction </w:t>
            </w:r>
          </w:p>
          <w:p w14:paraId="433E0F94" w14:textId="00031561" w:rsidR="00DC3742" w:rsidRPr="00DD1F63" w:rsidRDefault="00DC3742" w:rsidP="00377A09">
            <w:pPr>
              <w:spacing w:after="0" w:line="240" w:lineRule="auto"/>
              <w:ind w:left="0"/>
              <w:jc w:val="left"/>
              <w:rPr>
                <w:rFonts w:ascii="Times New Roman" w:hAnsi="Times New Roman" w:cs="Times New Roman"/>
                <w:sz w:val="22"/>
              </w:rPr>
            </w:pPr>
            <w:r w:rsidRPr="00DD1F63">
              <w:rPr>
                <w:rFonts w:ascii="Times New Roman" w:hAnsi="Times New Roman" w:cs="Times New Roman"/>
                <w:b/>
                <w:sz w:val="22"/>
              </w:rPr>
              <w:t xml:space="preserve"> </w:t>
            </w:r>
          </w:p>
        </w:tc>
        <w:tc>
          <w:tcPr>
            <w:tcW w:w="944" w:type="pct"/>
            <w:tcBorders>
              <w:top w:val="single" w:sz="4" w:space="0" w:color="000000"/>
              <w:left w:val="single" w:sz="2" w:space="0" w:color="000000"/>
              <w:bottom w:val="single" w:sz="4" w:space="0" w:color="000000"/>
              <w:right w:val="single" w:sz="4" w:space="0" w:color="000000"/>
            </w:tcBorders>
          </w:tcPr>
          <w:p w14:paraId="3EE88A7D" w14:textId="7777777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160 mg  </w:t>
            </w:r>
          </w:p>
        </w:tc>
        <w:tc>
          <w:tcPr>
            <w:tcW w:w="3317" w:type="pct"/>
            <w:tcBorders>
              <w:top w:val="single" w:sz="4" w:space="0" w:color="000000"/>
              <w:left w:val="single" w:sz="4" w:space="0" w:color="000000"/>
              <w:bottom w:val="single" w:sz="4" w:space="0" w:color="000000"/>
              <w:right w:val="single" w:sz="4" w:space="0" w:color="000000"/>
            </w:tcBorders>
          </w:tcPr>
          <w:p w14:paraId="7A15C28F" w14:textId="11D1186E"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Initial Dose (Day 0) as </w:t>
            </w:r>
            <w:r w:rsidR="006D0B7A" w:rsidRPr="00B8694C">
              <w:rPr>
                <w:rFonts w:ascii="Times New Roman" w:hAnsi="Times New Roman" w:cs="Times New Roman"/>
                <w:sz w:val="22"/>
              </w:rPr>
              <w:t>two 80 mg injections in one day OR as one 80 mg injection per day for two consecutive days OR as</w:t>
            </w:r>
            <w:r w:rsidR="006D0B7A">
              <w:rPr>
                <w:rFonts w:ascii="Times New Roman" w:hAnsi="Times New Roman" w:cs="Times New Roman"/>
                <w:sz w:val="22"/>
              </w:rPr>
              <w:t xml:space="preserve"> </w:t>
            </w:r>
            <w:r w:rsidRPr="00DD1F63">
              <w:rPr>
                <w:rFonts w:ascii="Times New Roman" w:hAnsi="Times New Roman" w:cs="Times New Roman"/>
                <w:sz w:val="22"/>
              </w:rPr>
              <w:t xml:space="preserve">four 40 mg injections in one day OR as two 40 mg injections per day for two consecutive days </w:t>
            </w:r>
          </w:p>
        </w:tc>
      </w:tr>
      <w:tr w:rsidR="00DC3742" w:rsidRPr="00DD1F63" w14:paraId="1B43D498" w14:textId="77777777" w:rsidTr="00F216FB">
        <w:trPr>
          <w:trHeight w:val="20"/>
        </w:trPr>
        <w:tc>
          <w:tcPr>
            <w:tcW w:w="739" w:type="pct"/>
            <w:vMerge/>
            <w:tcBorders>
              <w:left w:val="single" w:sz="2" w:space="0" w:color="000000"/>
              <w:bottom w:val="single" w:sz="2" w:space="0" w:color="000000"/>
              <w:right w:val="single" w:sz="2" w:space="0" w:color="000000"/>
            </w:tcBorders>
          </w:tcPr>
          <w:p w14:paraId="3D7423B0" w14:textId="56FF55F1" w:rsidR="00DC3742" w:rsidRPr="00DD1F63" w:rsidRDefault="00DC3742" w:rsidP="00377A09">
            <w:pPr>
              <w:spacing w:after="0" w:line="240" w:lineRule="auto"/>
              <w:ind w:left="0" w:firstLine="0"/>
              <w:jc w:val="left"/>
              <w:rPr>
                <w:rFonts w:ascii="Times New Roman" w:hAnsi="Times New Roman" w:cs="Times New Roman"/>
                <w:sz w:val="22"/>
              </w:rPr>
            </w:pPr>
          </w:p>
        </w:tc>
        <w:tc>
          <w:tcPr>
            <w:tcW w:w="944" w:type="pct"/>
            <w:tcBorders>
              <w:top w:val="single" w:sz="4" w:space="0" w:color="000000"/>
              <w:left w:val="single" w:sz="2" w:space="0" w:color="000000"/>
              <w:bottom w:val="single" w:sz="4" w:space="0" w:color="000000"/>
              <w:right w:val="single" w:sz="4" w:space="0" w:color="000000"/>
            </w:tcBorders>
          </w:tcPr>
          <w:p w14:paraId="2B89FE57" w14:textId="77777777"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80 mg </w:t>
            </w:r>
          </w:p>
        </w:tc>
        <w:tc>
          <w:tcPr>
            <w:tcW w:w="3317" w:type="pct"/>
            <w:tcBorders>
              <w:top w:val="single" w:sz="4" w:space="0" w:color="000000"/>
              <w:left w:val="single" w:sz="4" w:space="0" w:color="000000"/>
              <w:bottom w:val="single" w:sz="4" w:space="0" w:color="000000"/>
              <w:right w:val="single" w:sz="4" w:space="0" w:color="000000"/>
            </w:tcBorders>
          </w:tcPr>
          <w:p w14:paraId="67EF1C8E" w14:textId="78BF42A4" w:rsidR="00DC3742" w:rsidRPr="00DD1F63" w:rsidRDefault="00DC3742"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Second Dose (Day 14) as </w:t>
            </w:r>
            <w:r w:rsidR="006D0B7A" w:rsidRPr="00B8694C">
              <w:rPr>
                <w:rFonts w:ascii="Times New Roman" w:hAnsi="Times New Roman" w:cs="Times New Roman"/>
                <w:sz w:val="22"/>
              </w:rPr>
              <w:t>one 80 mg injection OR</w:t>
            </w:r>
            <w:r w:rsidR="006D0B7A">
              <w:rPr>
                <w:rFonts w:ascii="Times New Roman" w:hAnsi="Times New Roman" w:cs="Times New Roman"/>
                <w:sz w:val="22"/>
              </w:rPr>
              <w:t xml:space="preserve"> </w:t>
            </w:r>
            <w:r w:rsidRPr="00DD1F63">
              <w:rPr>
                <w:rFonts w:ascii="Times New Roman" w:hAnsi="Times New Roman" w:cs="Times New Roman"/>
                <w:sz w:val="22"/>
              </w:rPr>
              <w:t xml:space="preserve">two 40 mg injections </w:t>
            </w:r>
          </w:p>
        </w:tc>
      </w:tr>
      <w:tr w:rsidR="001A1C41" w:rsidRPr="00DD1F63" w14:paraId="22F4D54D" w14:textId="77777777" w:rsidTr="00F216FB">
        <w:trPr>
          <w:trHeight w:val="20"/>
        </w:trPr>
        <w:tc>
          <w:tcPr>
            <w:tcW w:w="739" w:type="pct"/>
            <w:tcBorders>
              <w:top w:val="single" w:sz="2" w:space="0" w:color="000000"/>
              <w:left w:val="single" w:sz="2" w:space="0" w:color="000000"/>
              <w:bottom w:val="single" w:sz="2" w:space="0" w:color="000000"/>
              <w:right w:val="single" w:sz="2" w:space="0" w:color="000000"/>
            </w:tcBorders>
          </w:tcPr>
          <w:p w14:paraId="10F41C31" w14:textId="77777777" w:rsidR="00B638E4"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Maintenance </w:t>
            </w:r>
          </w:p>
        </w:tc>
        <w:tc>
          <w:tcPr>
            <w:tcW w:w="944" w:type="pct"/>
            <w:tcBorders>
              <w:top w:val="single" w:sz="4" w:space="0" w:color="000000"/>
              <w:left w:val="single" w:sz="2" w:space="0" w:color="000000"/>
              <w:bottom w:val="single" w:sz="4" w:space="0" w:color="000000"/>
              <w:right w:val="single" w:sz="4" w:space="0" w:color="000000"/>
            </w:tcBorders>
          </w:tcPr>
          <w:p w14:paraId="7FEA37F3" w14:textId="77777777" w:rsidR="00B638E4"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40 mg </w:t>
            </w:r>
          </w:p>
        </w:tc>
        <w:tc>
          <w:tcPr>
            <w:tcW w:w="3317" w:type="pct"/>
            <w:tcBorders>
              <w:top w:val="single" w:sz="4" w:space="0" w:color="000000"/>
              <w:left w:val="single" w:sz="4" w:space="0" w:color="000000"/>
              <w:bottom w:val="single" w:sz="4" w:space="0" w:color="000000"/>
              <w:right w:val="single" w:sz="4" w:space="0" w:color="000000"/>
            </w:tcBorders>
          </w:tcPr>
          <w:p w14:paraId="57714F4D" w14:textId="77777777" w:rsidR="00B638E4" w:rsidRPr="00DD1F63" w:rsidRDefault="00B638E4"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Starting Day 28 and continuing fortnightly </w:t>
            </w:r>
          </w:p>
        </w:tc>
      </w:tr>
    </w:tbl>
    <w:p w14:paraId="0624613F" w14:textId="49241488" w:rsidR="00B638E4" w:rsidRPr="00DD1F63" w:rsidRDefault="00B638E4" w:rsidP="00377A09">
      <w:pPr>
        <w:spacing w:after="0" w:line="240" w:lineRule="auto"/>
        <w:ind w:left="426"/>
        <w:jc w:val="left"/>
        <w:rPr>
          <w:rFonts w:ascii="Times New Roman" w:hAnsi="Times New Roman" w:cs="Times New Roman"/>
          <w:sz w:val="22"/>
        </w:rPr>
      </w:pPr>
    </w:p>
    <w:p w14:paraId="04BCFE98" w14:textId="77777777" w:rsidR="00B638E4" w:rsidRPr="00DD1F63" w:rsidRDefault="00B638E4"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During maintenance treatment, corticosteroids may be tapered in accordance with clinical practice guidelines. </w:t>
      </w:r>
    </w:p>
    <w:p w14:paraId="4C353613" w14:textId="77777777" w:rsidR="00B638E4" w:rsidRPr="00DD1F63" w:rsidRDefault="00B638E4" w:rsidP="00377A09">
      <w:pPr>
        <w:spacing w:after="0" w:line="240" w:lineRule="auto"/>
        <w:ind w:left="426"/>
        <w:jc w:val="left"/>
        <w:rPr>
          <w:rFonts w:ascii="Times New Roman" w:hAnsi="Times New Roman" w:cs="Times New Roman"/>
          <w:sz w:val="22"/>
        </w:rPr>
      </w:pPr>
    </w:p>
    <w:p w14:paraId="617FD333" w14:textId="7DCE8767" w:rsidR="00B638E4" w:rsidRPr="00DD1F63" w:rsidRDefault="00B638E4"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Some patients who experience a decrease in their response may benefit from an increase in dosage to 40 mg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every week, or 80 mg fortnightly. </w:t>
      </w:r>
    </w:p>
    <w:p w14:paraId="697A1FA3" w14:textId="77777777" w:rsidR="00B638E4" w:rsidRPr="00DD1F63" w:rsidRDefault="00B638E4" w:rsidP="00377A09">
      <w:pPr>
        <w:spacing w:after="0" w:line="240" w:lineRule="auto"/>
        <w:ind w:left="426"/>
        <w:jc w:val="left"/>
        <w:rPr>
          <w:rFonts w:ascii="Times New Roman" w:hAnsi="Times New Roman" w:cs="Times New Roman"/>
          <w:sz w:val="22"/>
        </w:rPr>
      </w:pPr>
    </w:p>
    <w:p w14:paraId="08348CE3" w14:textId="7C024AC6" w:rsidR="00B638E4" w:rsidRPr="00DD1F63" w:rsidRDefault="0050379B" w:rsidP="00377A09">
      <w:pPr>
        <w:spacing w:after="0" w:line="240" w:lineRule="auto"/>
        <w:ind w:left="426"/>
        <w:jc w:val="left"/>
        <w:rPr>
          <w:rFonts w:ascii="Times New Roman" w:hAnsi="Times New Roman" w:cs="Times New Roman"/>
          <w:sz w:val="22"/>
        </w:rPr>
      </w:pPr>
      <w:proofErr w:type="spellStart"/>
      <w:r w:rsidRPr="00F242BE">
        <w:rPr>
          <w:rFonts w:ascii="Times New Roman" w:hAnsi="Times New Roman" w:cs="Times New Roman"/>
          <w:spacing w:val="-2"/>
          <w:sz w:val="22"/>
        </w:rPr>
        <w:t>Ciptunec</w:t>
      </w:r>
      <w:proofErr w:type="spellEnd"/>
      <w:r w:rsidRPr="00F242BE" w:rsidDel="0050379B">
        <w:rPr>
          <w:rFonts w:ascii="Times New Roman" w:hAnsi="Times New Roman" w:cs="Times New Roman"/>
          <w:spacing w:val="-2"/>
          <w:sz w:val="22"/>
        </w:rPr>
        <w:t xml:space="preserve"> </w:t>
      </w:r>
      <w:r w:rsidR="00B638E4" w:rsidRPr="00F242BE">
        <w:rPr>
          <w:rFonts w:ascii="Times New Roman" w:hAnsi="Times New Roman" w:cs="Times New Roman"/>
          <w:spacing w:val="-2"/>
          <w:sz w:val="22"/>
        </w:rPr>
        <w:t>should not be continued in patients who do not achieve a clinical response in the first 8 weeks</w:t>
      </w:r>
      <w:r w:rsidR="00B638E4" w:rsidRPr="00DD1F63">
        <w:rPr>
          <w:rFonts w:ascii="Times New Roman" w:hAnsi="Times New Roman" w:cs="Times New Roman"/>
          <w:sz w:val="22"/>
        </w:rPr>
        <w:t xml:space="preserve"> of treatment. Efficacy of </w:t>
      </w:r>
      <w:r w:rsidRPr="0050379B">
        <w:rPr>
          <w:rFonts w:ascii="Times New Roman" w:hAnsi="Times New Roman" w:cs="Times New Roman"/>
          <w:sz w:val="22"/>
        </w:rPr>
        <w:t xml:space="preserve">Adalimumab </w:t>
      </w:r>
      <w:r w:rsidR="00B638E4" w:rsidRPr="00DD1F63">
        <w:rPr>
          <w:rFonts w:ascii="Times New Roman" w:hAnsi="Times New Roman" w:cs="Times New Roman"/>
          <w:sz w:val="22"/>
        </w:rPr>
        <w:t xml:space="preserve">in the treatment of ulcerative colitis has not been demonstrated in patients who have failed previous anti-TNF therapy (see </w:t>
      </w:r>
      <w:r w:rsidR="00DC3742" w:rsidRPr="00DD1F63">
        <w:rPr>
          <w:rFonts w:ascii="Times New Roman" w:hAnsi="Times New Roman" w:cs="Times New Roman"/>
          <w:sz w:val="22"/>
        </w:rPr>
        <w:t xml:space="preserve">section </w:t>
      </w:r>
      <w:r w:rsidR="001F60A2" w:rsidRPr="00DD1F63">
        <w:rPr>
          <w:rFonts w:ascii="Times New Roman" w:hAnsi="Times New Roman" w:cs="Times New Roman"/>
          <w:sz w:val="22"/>
        </w:rPr>
        <w:t>5.1 Pharmacodynamic properties - clinical trials</w:t>
      </w:r>
      <w:r w:rsidR="00B638E4" w:rsidRPr="00DD1F63">
        <w:rPr>
          <w:rFonts w:ascii="Times New Roman" w:hAnsi="Times New Roman" w:cs="Times New Roman"/>
          <w:sz w:val="22"/>
        </w:rPr>
        <w:t>).</w:t>
      </w:r>
    </w:p>
    <w:p w14:paraId="6F3E0A19" w14:textId="77777777" w:rsidR="00B638E4" w:rsidRPr="00DD1F63" w:rsidRDefault="00B638E4" w:rsidP="00377A09">
      <w:pPr>
        <w:spacing w:after="0" w:line="240" w:lineRule="auto"/>
        <w:ind w:left="426"/>
        <w:jc w:val="left"/>
        <w:rPr>
          <w:rFonts w:ascii="Times New Roman" w:hAnsi="Times New Roman" w:cs="Times New Roman"/>
          <w:sz w:val="22"/>
        </w:rPr>
      </w:pPr>
    </w:p>
    <w:p w14:paraId="308C801F" w14:textId="7997AD71" w:rsidR="006B7C8E" w:rsidRPr="00DD1F63" w:rsidRDefault="00CA72FF" w:rsidP="00377A09">
      <w:pPr>
        <w:keepNext/>
        <w:spacing w:after="0" w:line="240" w:lineRule="auto"/>
        <w:ind w:left="425"/>
        <w:jc w:val="left"/>
        <w:rPr>
          <w:rFonts w:ascii="Times New Roman" w:hAnsi="Times New Roman" w:cs="Times New Roman"/>
          <w:sz w:val="22"/>
        </w:rPr>
      </w:pPr>
      <w:r w:rsidRPr="00DD1F63">
        <w:rPr>
          <w:rFonts w:ascii="Times New Roman" w:hAnsi="Times New Roman" w:cs="Times New Roman"/>
          <w:sz w:val="22"/>
          <w:u w:val="single" w:color="000000"/>
        </w:rPr>
        <w:t>Psoriasis</w:t>
      </w:r>
      <w:r w:rsidRPr="00DD1F63">
        <w:rPr>
          <w:rFonts w:ascii="Times New Roman" w:hAnsi="Times New Roman" w:cs="Times New Roman"/>
          <w:sz w:val="22"/>
        </w:rPr>
        <w:t xml:space="preserve"> </w:t>
      </w:r>
    </w:p>
    <w:p w14:paraId="4AE5B871" w14:textId="77777777" w:rsidR="00D0658C" w:rsidRPr="00DD1F63" w:rsidRDefault="00D0658C" w:rsidP="00377A09">
      <w:pPr>
        <w:keepNext/>
        <w:spacing w:after="0" w:line="240" w:lineRule="auto"/>
        <w:ind w:left="425"/>
        <w:jc w:val="left"/>
        <w:rPr>
          <w:rFonts w:ascii="Times New Roman" w:hAnsi="Times New Roman" w:cs="Times New Roman"/>
          <w:sz w:val="22"/>
        </w:rPr>
      </w:pPr>
    </w:p>
    <w:p w14:paraId="191BF01E" w14:textId="69E1B292" w:rsidR="006B7C8E" w:rsidRPr="00DD1F63" w:rsidRDefault="00CA72FF" w:rsidP="00377A09">
      <w:pPr>
        <w:pStyle w:val="Heading3"/>
        <w:keepLines w:val="0"/>
        <w:spacing w:after="0" w:line="240" w:lineRule="auto"/>
        <w:ind w:left="425"/>
        <w:rPr>
          <w:rFonts w:ascii="Times New Roman" w:hAnsi="Times New Roman" w:cs="Times New Roman"/>
          <w:i/>
          <w:iCs/>
          <w:u w:val="none"/>
        </w:rPr>
      </w:pPr>
      <w:r w:rsidRPr="00DD1F63">
        <w:rPr>
          <w:rFonts w:ascii="Times New Roman" w:hAnsi="Times New Roman" w:cs="Times New Roman"/>
          <w:i/>
          <w:iCs/>
        </w:rPr>
        <w:t>Adults</w:t>
      </w:r>
      <w:r w:rsidRPr="00DD1F63">
        <w:rPr>
          <w:rFonts w:ascii="Times New Roman" w:hAnsi="Times New Roman" w:cs="Times New Roman"/>
          <w:i/>
          <w:iCs/>
          <w:u w:val="none"/>
        </w:rPr>
        <w:t xml:space="preserve"> </w:t>
      </w:r>
    </w:p>
    <w:p w14:paraId="128C7DFB" w14:textId="77777777" w:rsidR="00D0658C" w:rsidRPr="00DD1F63" w:rsidRDefault="00D0658C" w:rsidP="00377A09">
      <w:pPr>
        <w:keepNext/>
        <w:spacing w:after="0" w:line="240" w:lineRule="auto"/>
        <w:ind w:left="425" w:hanging="11"/>
        <w:jc w:val="left"/>
        <w:rPr>
          <w:sz w:val="22"/>
        </w:rPr>
      </w:pPr>
    </w:p>
    <w:p w14:paraId="5FD773FB" w14:textId="2983BED4" w:rsidR="006B7C8E" w:rsidRPr="00DD1F63" w:rsidRDefault="00CA72FF" w:rsidP="00377A09">
      <w:pPr>
        <w:spacing w:after="0" w:line="240" w:lineRule="auto"/>
        <w:ind w:left="426"/>
        <w:jc w:val="left"/>
        <w:rPr>
          <w:rFonts w:ascii="Times New Roman" w:hAnsi="Times New Roman" w:cs="Times New Roman"/>
          <w:spacing w:val="-2"/>
          <w:sz w:val="22"/>
        </w:rPr>
      </w:pPr>
      <w:r w:rsidRPr="00DD1F63">
        <w:rPr>
          <w:rFonts w:ascii="Times New Roman" w:hAnsi="Times New Roman" w:cs="Times New Roman"/>
          <w:spacing w:val="-2"/>
          <w:sz w:val="22"/>
        </w:rPr>
        <w:t xml:space="preserve">The recommended dose of </w:t>
      </w:r>
      <w:proofErr w:type="spellStart"/>
      <w:r w:rsidR="0050379B" w:rsidRPr="0050379B">
        <w:rPr>
          <w:rFonts w:ascii="Times New Roman" w:hAnsi="Times New Roman" w:cs="Times New Roman"/>
          <w:spacing w:val="-2"/>
          <w:sz w:val="22"/>
        </w:rPr>
        <w:t>Ciptunec</w:t>
      </w:r>
      <w:proofErr w:type="spellEnd"/>
      <w:r w:rsidR="0050379B" w:rsidRPr="0050379B" w:rsidDel="0050379B">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for adult patients is an initial dose of 80 mg (as one 80 mg injection or two 40 mg injections), followed by 40 mg fortnightly, starting one week after the initial dose. </w:t>
      </w:r>
    </w:p>
    <w:p w14:paraId="528C25F6" w14:textId="77777777" w:rsidR="00D0658C" w:rsidRPr="00DD1F63" w:rsidRDefault="00D0658C" w:rsidP="00377A09">
      <w:pPr>
        <w:spacing w:after="0" w:line="240" w:lineRule="auto"/>
        <w:ind w:left="426"/>
        <w:jc w:val="left"/>
        <w:rPr>
          <w:rFonts w:ascii="Times New Roman" w:hAnsi="Times New Roman" w:cs="Times New Roman"/>
          <w:sz w:val="22"/>
        </w:rPr>
      </w:pPr>
    </w:p>
    <w:p w14:paraId="67895027" w14:textId="1D884BF6" w:rsidR="006B7C8E" w:rsidRPr="00DD1F63" w:rsidRDefault="00CA72FF" w:rsidP="00377A09">
      <w:pPr>
        <w:spacing w:after="0" w:line="240" w:lineRule="auto"/>
        <w:ind w:left="426" w:right="1"/>
        <w:jc w:val="left"/>
        <w:rPr>
          <w:rFonts w:ascii="Times New Roman" w:hAnsi="Times New Roman" w:cs="Times New Roman"/>
          <w:sz w:val="22"/>
        </w:rPr>
      </w:pPr>
      <w:r w:rsidRPr="00DD1F63">
        <w:rPr>
          <w:rFonts w:ascii="Times New Roman" w:hAnsi="Times New Roman" w:cs="Times New Roman"/>
          <w:sz w:val="22"/>
        </w:rPr>
        <w:t xml:space="preserve">Continued therapy beyond 16 weeks should be carefully reconsidered in a patient not responding within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Beyond 16 weeks, patients with inadequate response may benefit from an increase in dosage to 40 mg every week or 80 mg fortnightly. Response should be periodically evaluated (for example, every 12 weeks). Patients with continued inadequate response should discontinue treatment. If an adequate response is achieved with an increased dosing frequency, the dose may subsequently be reduced to 40 mg fortnightly. </w:t>
      </w:r>
    </w:p>
    <w:p w14:paraId="3C879C2C" w14:textId="77777777" w:rsidR="00D0658C" w:rsidRPr="00DD1F63" w:rsidRDefault="00D0658C" w:rsidP="00377A09">
      <w:pPr>
        <w:spacing w:after="0" w:line="240" w:lineRule="auto"/>
        <w:ind w:left="426" w:right="1"/>
        <w:jc w:val="left"/>
        <w:rPr>
          <w:rFonts w:ascii="Times New Roman" w:hAnsi="Times New Roman" w:cs="Times New Roman"/>
          <w:sz w:val="22"/>
        </w:rPr>
      </w:pPr>
    </w:p>
    <w:p w14:paraId="19D4DE8F" w14:textId="6C361617"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Paediatric </w:t>
      </w:r>
      <w:r w:rsidR="004F6AD5" w:rsidRPr="00DD1F63">
        <w:rPr>
          <w:rFonts w:ascii="Times New Roman" w:hAnsi="Times New Roman" w:cs="Times New Roman"/>
          <w:i/>
          <w:iCs/>
        </w:rPr>
        <w:t>p</w:t>
      </w:r>
      <w:r w:rsidRPr="00DD1F63">
        <w:rPr>
          <w:rFonts w:ascii="Times New Roman" w:hAnsi="Times New Roman" w:cs="Times New Roman"/>
          <w:i/>
          <w:iCs/>
        </w:rPr>
        <w:t xml:space="preserve">laque </w:t>
      </w:r>
      <w:r w:rsidR="004F6AD5" w:rsidRPr="00DD1F63">
        <w:rPr>
          <w:rFonts w:ascii="Times New Roman" w:hAnsi="Times New Roman" w:cs="Times New Roman"/>
          <w:i/>
          <w:iCs/>
        </w:rPr>
        <w:t>p</w:t>
      </w:r>
      <w:r w:rsidRPr="00DD1F63">
        <w:rPr>
          <w:rFonts w:ascii="Times New Roman" w:hAnsi="Times New Roman" w:cs="Times New Roman"/>
          <w:i/>
          <w:iCs/>
        </w:rPr>
        <w:t>soriasis (4 to 17 years)</w:t>
      </w:r>
      <w:r w:rsidRPr="00DD1F63">
        <w:rPr>
          <w:rFonts w:ascii="Times New Roman" w:hAnsi="Times New Roman" w:cs="Times New Roman"/>
          <w:i/>
          <w:iCs/>
          <w:u w:val="none"/>
        </w:rPr>
        <w:t xml:space="preserve"> </w:t>
      </w:r>
    </w:p>
    <w:p w14:paraId="403DC433" w14:textId="77777777" w:rsidR="00D0658C" w:rsidRPr="00DD1F63" w:rsidRDefault="00D0658C" w:rsidP="00377A09">
      <w:pPr>
        <w:spacing w:after="0" w:line="240" w:lineRule="auto"/>
        <w:ind w:left="426" w:hanging="11"/>
        <w:jc w:val="left"/>
        <w:rPr>
          <w:sz w:val="22"/>
        </w:rPr>
      </w:pPr>
    </w:p>
    <w:p w14:paraId="166AC721" w14:textId="79B1B2BB" w:rsidR="006B7C8E" w:rsidRPr="00DD1F63" w:rsidRDefault="00CA72FF" w:rsidP="00377A09">
      <w:pPr>
        <w:spacing w:after="0" w:line="240" w:lineRule="auto"/>
        <w:ind w:left="426" w:right="2"/>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is based on body weight as shown in the table below. Doses are administered subcutaneously weekly for the first two doses and fortnightly thereafter. Continued therapy beyond 16 weeks should be carefully considered in a patient not responding within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w:t>
      </w:r>
    </w:p>
    <w:p w14:paraId="4997F4C1" w14:textId="77777777" w:rsidR="00D0658C" w:rsidRPr="00DD1F63" w:rsidRDefault="00D0658C" w:rsidP="00377A09">
      <w:pPr>
        <w:spacing w:after="0" w:line="240" w:lineRule="auto"/>
        <w:ind w:left="426" w:right="2"/>
        <w:jc w:val="left"/>
        <w:rPr>
          <w:rFonts w:ascii="Times New Roman" w:hAnsi="Times New Roman" w:cs="Times New Roman"/>
        </w:rPr>
      </w:pPr>
    </w:p>
    <w:tbl>
      <w:tblPr>
        <w:tblStyle w:val="TableGrid1"/>
        <w:tblW w:w="8602" w:type="dxa"/>
        <w:tblInd w:w="421" w:type="dxa"/>
        <w:tblCellMar>
          <w:left w:w="57" w:type="dxa"/>
          <w:right w:w="57" w:type="dxa"/>
        </w:tblCellMar>
        <w:tblLook w:val="04A0" w:firstRow="1" w:lastRow="0" w:firstColumn="1" w:lastColumn="0" w:noHBand="0" w:noVBand="1"/>
      </w:tblPr>
      <w:tblGrid>
        <w:gridCol w:w="2693"/>
        <w:gridCol w:w="5909"/>
      </w:tblGrid>
      <w:tr w:rsidR="006B7C8E" w:rsidRPr="00DD1F63" w14:paraId="1FB607EC" w14:textId="77777777" w:rsidTr="0034360B">
        <w:trPr>
          <w:trHeight w:val="20"/>
        </w:trPr>
        <w:tc>
          <w:tcPr>
            <w:tcW w:w="2693" w:type="dxa"/>
            <w:tcBorders>
              <w:top w:val="single" w:sz="4" w:space="0" w:color="auto"/>
              <w:left w:val="single" w:sz="4" w:space="0" w:color="auto"/>
              <w:bottom w:val="single" w:sz="4" w:space="0" w:color="auto"/>
              <w:right w:val="single" w:sz="4" w:space="0" w:color="auto"/>
            </w:tcBorders>
            <w:vAlign w:val="center"/>
          </w:tcPr>
          <w:p w14:paraId="49697462" w14:textId="6DA2BFCC" w:rsidR="0005398A" w:rsidRPr="00DD1F63" w:rsidRDefault="00CA72FF" w:rsidP="00377A09">
            <w:pPr>
              <w:spacing w:after="0" w:line="240" w:lineRule="auto"/>
              <w:ind w:left="11" w:right="101" w:hanging="11"/>
              <w:jc w:val="left"/>
              <w:rPr>
                <w:rFonts w:ascii="Times New Roman" w:hAnsi="Times New Roman" w:cs="Times New Roman"/>
                <w:b/>
                <w:sz w:val="21"/>
                <w:szCs w:val="21"/>
              </w:rPr>
            </w:pPr>
            <w:r w:rsidRPr="00DD1F63">
              <w:rPr>
                <w:rFonts w:ascii="Times New Roman" w:hAnsi="Times New Roman" w:cs="Times New Roman"/>
                <w:b/>
                <w:sz w:val="21"/>
                <w:szCs w:val="21"/>
              </w:rPr>
              <w:t>Paediatric Patients</w:t>
            </w:r>
          </w:p>
          <w:p w14:paraId="1965F2CA" w14:textId="17A4DA0A" w:rsidR="006B7C8E" w:rsidRPr="00DD1F63" w:rsidRDefault="00CA72FF" w:rsidP="00377A09">
            <w:pPr>
              <w:spacing w:after="0" w:line="240" w:lineRule="auto"/>
              <w:ind w:left="11" w:right="101" w:hanging="11"/>
              <w:jc w:val="left"/>
              <w:rPr>
                <w:rFonts w:ascii="Times New Roman" w:hAnsi="Times New Roman" w:cs="Times New Roman"/>
                <w:sz w:val="21"/>
                <w:szCs w:val="21"/>
              </w:rPr>
            </w:pPr>
            <w:r w:rsidRPr="00DD1F63">
              <w:rPr>
                <w:rFonts w:ascii="Times New Roman" w:hAnsi="Times New Roman" w:cs="Times New Roman"/>
                <w:b/>
                <w:sz w:val="21"/>
                <w:szCs w:val="21"/>
              </w:rPr>
              <w:t>(4 years of age and older)</w:t>
            </w:r>
          </w:p>
        </w:tc>
        <w:tc>
          <w:tcPr>
            <w:tcW w:w="5909" w:type="dxa"/>
            <w:tcBorders>
              <w:top w:val="single" w:sz="4" w:space="0" w:color="000000"/>
              <w:left w:val="single" w:sz="4" w:space="0" w:color="auto"/>
              <w:bottom w:val="single" w:sz="4" w:space="0" w:color="000000"/>
              <w:right w:val="single" w:sz="4" w:space="0" w:color="000000"/>
            </w:tcBorders>
            <w:vAlign w:val="center"/>
          </w:tcPr>
          <w:p w14:paraId="771FF2E4" w14:textId="2A4D7EE3" w:rsidR="006B7C8E" w:rsidRPr="00DD1F63" w:rsidRDefault="00CA72FF"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b/>
                <w:sz w:val="21"/>
                <w:szCs w:val="21"/>
              </w:rPr>
              <w:t>Dose</w:t>
            </w:r>
          </w:p>
        </w:tc>
      </w:tr>
      <w:tr w:rsidR="006B7C8E" w:rsidRPr="00DD1F63" w14:paraId="5FAA3AFF" w14:textId="77777777" w:rsidTr="0034360B">
        <w:trPr>
          <w:trHeight w:val="20"/>
        </w:trPr>
        <w:tc>
          <w:tcPr>
            <w:tcW w:w="2693" w:type="dxa"/>
            <w:tcBorders>
              <w:top w:val="single" w:sz="4" w:space="0" w:color="auto"/>
              <w:left w:val="single" w:sz="4" w:space="0" w:color="auto"/>
              <w:bottom w:val="single" w:sz="4" w:space="0" w:color="auto"/>
              <w:right w:val="single" w:sz="4" w:space="0" w:color="auto"/>
            </w:tcBorders>
            <w:vAlign w:val="center"/>
          </w:tcPr>
          <w:p w14:paraId="237E78A8" w14:textId="731079DB" w:rsidR="006B7C8E" w:rsidRPr="00DD1F63" w:rsidRDefault="00CA72FF" w:rsidP="00377A09">
            <w:pPr>
              <w:spacing w:after="0" w:line="240" w:lineRule="auto"/>
              <w:ind w:left="11" w:hanging="11"/>
              <w:jc w:val="left"/>
              <w:rPr>
                <w:rFonts w:ascii="Times New Roman" w:hAnsi="Times New Roman" w:cs="Times New Roman"/>
                <w:sz w:val="21"/>
                <w:szCs w:val="21"/>
              </w:rPr>
            </w:pPr>
            <w:bookmarkStart w:id="1" w:name="_Hlk94793413"/>
            <w:r w:rsidRPr="00DD1F63">
              <w:rPr>
                <w:rFonts w:ascii="Times New Roman" w:hAnsi="Times New Roman" w:cs="Times New Roman"/>
                <w:sz w:val="21"/>
                <w:szCs w:val="21"/>
              </w:rPr>
              <w:t>≥ 40 kg</w:t>
            </w:r>
            <w:bookmarkEnd w:id="1"/>
          </w:p>
        </w:tc>
        <w:tc>
          <w:tcPr>
            <w:tcW w:w="5909" w:type="dxa"/>
            <w:tcBorders>
              <w:top w:val="single" w:sz="4" w:space="0" w:color="000000"/>
              <w:left w:val="single" w:sz="4" w:space="0" w:color="auto"/>
              <w:bottom w:val="single" w:sz="4" w:space="0" w:color="000000"/>
              <w:right w:val="single" w:sz="4" w:space="0" w:color="000000"/>
            </w:tcBorders>
          </w:tcPr>
          <w:p w14:paraId="45E790C9" w14:textId="3122B0BD" w:rsidR="006B7C8E" w:rsidRPr="00DD1F63" w:rsidRDefault="00CA72FF"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 xml:space="preserve">40 mg fortnightly </w:t>
            </w:r>
          </w:p>
        </w:tc>
      </w:tr>
    </w:tbl>
    <w:p w14:paraId="57D34DA6" w14:textId="77777777" w:rsidR="008A43C0" w:rsidRPr="00DD1F63" w:rsidRDefault="008A43C0" w:rsidP="00377A09">
      <w:pPr>
        <w:spacing w:after="0" w:line="240" w:lineRule="auto"/>
        <w:ind w:left="426" w:firstLine="0"/>
        <w:jc w:val="left"/>
        <w:rPr>
          <w:rFonts w:ascii="Times New Roman" w:hAnsi="Times New Roman" w:cs="Times New Roman"/>
          <w:sz w:val="22"/>
        </w:rPr>
      </w:pPr>
    </w:p>
    <w:p w14:paraId="3B26A568" w14:textId="3EF7EFCC" w:rsidR="008A43C0" w:rsidRPr="00DD1F63" w:rsidRDefault="008A43C0"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Healthcare providers are advised that there is no dosage form of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available which allows dosing of less than 40 mg.</w:t>
      </w:r>
    </w:p>
    <w:p w14:paraId="20A62985" w14:textId="78F71D29"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sz w:val="22"/>
        </w:rPr>
        <w:t xml:space="preserve"> </w:t>
      </w:r>
    </w:p>
    <w:p w14:paraId="2193A7D6" w14:textId="3213A617"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If retreatment with </w:t>
      </w:r>
      <w:r w:rsidR="0005398A" w:rsidRPr="00DD1F63">
        <w:rPr>
          <w:rFonts w:ascii="Times New Roman" w:hAnsi="Times New Roman" w:cs="Times New Roman"/>
          <w:sz w:val="22"/>
        </w:rPr>
        <w:t>adalimumab</w:t>
      </w:r>
      <w:r w:rsidRPr="00DD1F63">
        <w:rPr>
          <w:rFonts w:ascii="Times New Roman" w:hAnsi="Times New Roman" w:cs="Times New Roman"/>
          <w:sz w:val="22"/>
        </w:rPr>
        <w:t xml:space="preserve"> is indicated, the above guidance on dose and treatment duration should be followed. </w:t>
      </w:r>
    </w:p>
    <w:p w14:paraId="2C9B981F" w14:textId="77777777" w:rsidR="00D0658C" w:rsidRPr="00DD1F63" w:rsidRDefault="00D0658C" w:rsidP="00377A09">
      <w:pPr>
        <w:spacing w:after="0" w:line="240" w:lineRule="auto"/>
        <w:ind w:left="426"/>
        <w:jc w:val="left"/>
        <w:rPr>
          <w:rFonts w:ascii="Times New Roman" w:hAnsi="Times New Roman" w:cs="Times New Roman"/>
          <w:sz w:val="22"/>
        </w:rPr>
      </w:pPr>
    </w:p>
    <w:p w14:paraId="389A9263" w14:textId="36D780C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 xml:space="preserve">There is no relevant use of </w:t>
      </w:r>
      <w:r w:rsidR="00657B62" w:rsidRPr="00DD1F63">
        <w:rPr>
          <w:rFonts w:ascii="Times New Roman" w:hAnsi="Times New Roman" w:cs="Times New Roman"/>
          <w:sz w:val="22"/>
        </w:rPr>
        <w:t>adalimumab</w:t>
      </w:r>
      <w:r w:rsidRPr="00DD1F63">
        <w:rPr>
          <w:rFonts w:ascii="Times New Roman" w:hAnsi="Times New Roman" w:cs="Times New Roman"/>
          <w:sz w:val="22"/>
        </w:rPr>
        <w:t xml:space="preserve"> in children aged less than 4 years in this indication. </w:t>
      </w:r>
    </w:p>
    <w:p w14:paraId="531BDAFC" w14:textId="77777777" w:rsidR="00D0658C" w:rsidRPr="00DD1F63" w:rsidRDefault="00D0658C" w:rsidP="00377A09">
      <w:pPr>
        <w:spacing w:after="0" w:line="240" w:lineRule="auto"/>
        <w:ind w:left="426" w:right="375"/>
        <w:jc w:val="left"/>
        <w:rPr>
          <w:rFonts w:ascii="Times New Roman" w:hAnsi="Times New Roman" w:cs="Times New Roman"/>
          <w:sz w:val="22"/>
        </w:rPr>
      </w:pPr>
    </w:p>
    <w:p w14:paraId="1CEEAB0C" w14:textId="0474CDAE"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There is limited data on the efficacy or safety of the use of </w:t>
      </w:r>
      <w:r w:rsidR="00657B62" w:rsidRPr="00DD1F63">
        <w:rPr>
          <w:rFonts w:ascii="Times New Roman" w:hAnsi="Times New Roman" w:cs="Times New Roman"/>
          <w:sz w:val="22"/>
        </w:rPr>
        <w:t>adalimumab</w:t>
      </w:r>
      <w:r w:rsidRPr="00DD1F63">
        <w:rPr>
          <w:rFonts w:ascii="Times New Roman" w:hAnsi="Times New Roman" w:cs="Times New Roman"/>
          <w:sz w:val="22"/>
        </w:rPr>
        <w:t xml:space="preserve"> for paediatric plaque psoriasis beyond 52 weeks. </w:t>
      </w:r>
    </w:p>
    <w:p w14:paraId="763B1F08" w14:textId="77777777" w:rsidR="00D0658C" w:rsidRPr="00DD1F63" w:rsidRDefault="00D0658C" w:rsidP="00377A09">
      <w:pPr>
        <w:spacing w:after="0" w:line="240" w:lineRule="auto"/>
        <w:ind w:left="426"/>
        <w:jc w:val="left"/>
        <w:rPr>
          <w:rFonts w:ascii="Times New Roman" w:hAnsi="Times New Roman" w:cs="Times New Roman"/>
          <w:sz w:val="22"/>
        </w:rPr>
      </w:pPr>
    </w:p>
    <w:p w14:paraId="0B249EFD" w14:textId="10034F33" w:rsidR="006B7C8E" w:rsidRPr="00DD1F63" w:rsidRDefault="00CA72FF" w:rsidP="00377A09">
      <w:pPr>
        <w:keepNext/>
        <w:spacing w:after="0" w:line="240" w:lineRule="auto"/>
        <w:ind w:left="425"/>
        <w:jc w:val="left"/>
        <w:rPr>
          <w:rFonts w:ascii="Times New Roman" w:hAnsi="Times New Roman" w:cs="Times New Roman"/>
          <w:sz w:val="22"/>
        </w:rPr>
      </w:pPr>
      <w:r w:rsidRPr="00DD1F63">
        <w:rPr>
          <w:rFonts w:ascii="Times New Roman" w:hAnsi="Times New Roman" w:cs="Times New Roman"/>
          <w:sz w:val="22"/>
          <w:u w:val="single" w:color="000000"/>
        </w:rPr>
        <w:t xml:space="preserve">Hidradenitis </w:t>
      </w:r>
      <w:r w:rsidR="006D13F7" w:rsidRPr="00DD1F63">
        <w:rPr>
          <w:rFonts w:ascii="Times New Roman" w:hAnsi="Times New Roman" w:cs="Times New Roman"/>
          <w:sz w:val="22"/>
          <w:u w:val="single" w:color="000000"/>
        </w:rPr>
        <w:t>s</w:t>
      </w:r>
      <w:r w:rsidRPr="00DD1F63">
        <w:rPr>
          <w:rFonts w:ascii="Times New Roman" w:hAnsi="Times New Roman" w:cs="Times New Roman"/>
          <w:sz w:val="22"/>
          <w:u w:val="single" w:color="000000"/>
        </w:rPr>
        <w:t>uppurativa</w:t>
      </w:r>
      <w:r w:rsidRPr="00DD1F63">
        <w:rPr>
          <w:rFonts w:ascii="Times New Roman" w:hAnsi="Times New Roman" w:cs="Times New Roman"/>
          <w:sz w:val="22"/>
        </w:rPr>
        <w:t xml:space="preserve"> </w:t>
      </w:r>
    </w:p>
    <w:p w14:paraId="2408F9B7" w14:textId="77777777" w:rsidR="00D0658C" w:rsidRPr="00DD1F63" w:rsidRDefault="00D0658C" w:rsidP="00377A09">
      <w:pPr>
        <w:keepNext/>
        <w:spacing w:after="0" w:line="240" w:lineRule="auto"/>
        <w:ind w:left="425"/>
        <w:jc w:val="left"/>
        <w:rPr>
          <w:rFonts w:ascii="Times New Roman" w:hAnsi="Times New Roman" w:cs="Times New Roman"/>
          <w:sz w:val="22"/>
        </w:rPr>
      </w:pPr>
    </w:p>
    <w:p w14:paraId="16F40929" w14:textId="0760B8DA" w:rsidR="006B7C8E" w:rsidRPr="00DD1F63" w:rsidRDefault="00CA72FF" w:rsidP="00377A09">
      <w:pPr>
        <w:pStyle w:val="Heading3"/>
        <w:keepLines w:val="0"/>
        <w:spacing w:after="0" w:line="240" w:lineRule="auto"/>
        <w:ind w:left="425"/>
        <w:rPr>
          <w:rFonts w:ascii="Times New Roman" w:hAnsi="Times New Roman" w:cs="Times New Roman"/>
          <w:i/>
          <w:iCs/>
          <w:u w:val="none"/>
        </w:rPr>
      </w:pPr>
      <w:r w:rsidRPr="00DD1F63">
        <w:rPr>
          <w:rFonts w:ascii="Times New Roman" w:hAnsi="Times New Roman" w:cs="Times New Roman"/>
          <w:i/>
          <w:iCs/>
        </w:rPr>
        <w:t>Adults</w:t>
      </w:r>
      <w:r w:rsidRPr="00DD1F63">
        <w:rPr>
          <w:rFonts w:ascii="Times New Roman" w:hAnsi="Times New Roman" w:cs="Times New Roman"/>
          <w:i/>
          <w:iCs/>
          <w:u w:val="none"/>
        </w:rPr>
        <w:t xml:space="preserve"> </w:t>
      </w:r>
    </w:p>
    <w:p w14:paraId="24A02EBB" w14:textId="77777777" w:rsidR="00D0658C" w:rsidRPr="00DD1F63" w:rsidRDefault="00D0658C" w:rsidP="00377A09">
      <w:pPr>
        <w:keepNext/>
        <w:spacing w:after="0" w:line="240" w:lineRule="auto"/>
        <w:ind w:left="425" w:hanging="11"/>
        <w:jc w:val="left"/>
        <w:rPr>
          <w:sz w:val="22"/>
        </w:rPr>
      </w:pPr>
    </w:p>
    <w:p w14:paraId="22F62630" w14:textId="1BCA9A1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The recommended </w:t>
      </w:r>
      <w:proofErr w:type="spellStart"/>
      <w:r w:rsidR="0050379B" w:rsidRPr="0050379B">
        <w:rPr>
          <w:rFonts w:ascii="Times New Roman" w:hAnsi="Times New Roman" w:cs="Times New Roman"/>
          <w:spacing w:val="2"/>
          <w:sz w:val="22"/>
        </w:rPr>
        <w:t>Ciptunec</w:t>
      </w:r>
      <w:proofErr w:type="spellEnd"/>
      <w:r w:rsidR="0050379B" w:rsidRPr="0050379B" w:rsidDel="0050379B">
        <w:rPr>
          <w:rFonts w:ascii="Times New Roman" w:hAnsi="Times New Roman" w:cs="Times New Roman"/>
          <w:spacing w:val="2"/>
          <w:sz w:val="22"/>
        </w:rPr>
        <w:t xml:space="preserve"> </w:t>
      </w:r>
      <w:r w:rsidRPr="00DD1F63">
        <w:rPr>
          <w:rFonts w:ascii="Times New Roman" w:hAnsi="Times New Roman" w:cs="Times New Roman"/>
          <w:spacing w:val="2"/>
          <w:sz w:val="22"/>
        </w:rPr>
        <w:t>dose regimen for adult patients with hidradenitis suppurativa (HS) is</w:t>
      </w:r>
      <w:r w:rsidR="006D13F7"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160 mg initially at Day 1 (given as two 80 mg injections in one day </w:t>
      </w:r>
      <w:r w:rsidR="006D13F7"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as one 80 mg injection per day for two consecutive days </w:t>
      </w:r>
      <w:r w:rsidR="006D13F7"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as four 40 mg injections in one day </w:t>
      </w:r>
      <w:r w:rsidR="006D13F7"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as two 40 mg injections per day for two consecutive days), followed by 80 mg two weeks later at Day 15 (given as one 80</w:t>
      </w:r>
      <w:r w:rsidRPr="00DD1F63">
        <w:rPr>
          <w:rFonts w:ascii="Times New Roman" w:hAnsi="Times New Roman" w:cs="Times New Roman"/>
          <w:sz w:val="22"/>
        </w:rPr>
        <w:t xml:space="preserve"> mg injection </w:t>
      </w:r>
      <w:r w:rsidR="006D13F7" w:rsidRPr="00DD1F63">
        <w:rPr>
          <w:rFonts w:ascii="Times New Roman" w:hAnsi="Times New Roman" w:cs="Times New Roman"/>
          <w:sz w:val="22"/>
        </w:rPr>
        <w:t>or</w:t>
      </w:r>
      <w:r w:rsidRPr="00DD1F63">
        <w:rPr>
          <w:rFonts w:ascii="Times New Roman" w:hAnsi="Times New Roman" w:cs="Times New Roman"/>
          <w:sz w:val="22"/>
        </w:rPr>
        <w:t xml:space="preserve"> two 40 mg injections). Two weeks later (Day 29) continue with a dose of 40 mg every week or 80 mg fortnightly. Antibiotics may be continued during treatment with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if necessary. Should treatment need to be interrupted,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may be re-introduced. In patients without any benefit after 12 weeks of treatment, therapy should be discontinued. </w:t>
      </w:r>
    </w:p>
    <w:p w14:paraId="5823C425"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6F28AEEF" w14:textId="51863299" w:rsidR="006B7C8E" w:rsidRPr="00DD1F63" w:rsidRDefault="00CA72FF" w:rsidP="00377A09">
      <w:pPr>
        <w:spacing w:after="0" w:line="240" w:lineRule="auto"/>
        <w:ind w:left="426" w:right="5"/>
        <w:jc w:val="left"/>
        <w:rPr>
          <w:rFonts w:ascii="Times New Roman" w:hAnsi="Times New Roman" w:cs="Times New Roman"/>
          <w:sz w:val="22"/>
        </w:rPr>
      </w:pPr>
      <w:r w:rsidRPr="00DD1F63">
        <w:rPr>
          <w:rFonts w:ascii="Times New Roman" w:hAnsi="Times New Roman" w:cs="Times New Roman"/>
          <w:sz w:val="22"/>
        </w:rPr>
        <w:t>Ongoing evidence of benefit, potential loss of response and the risks of treatment in patients continuing adalimumab beyond 12 weeks should be periodically evaluated (for example, after a further 12 weeks and every 6 months thereafter). In the two pivotal studies, the primary measure of efficacy was hidradenitis suppurativa clinical response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defined as ≥ 50% reduction from baseline in total abscess and inflammatory nodule (AN) count, with no observed increase in either abscess or draining fistula counts (</w:t>
      </w:r>
      <w:r w:rsidR="00797539" w:rsidRPr="00DD1F63">
        <w:rPr>
          <w:rFonts w:ascii="Times New Roman" w:hAnsi="Times New Roman" w:cs="Times New Roman"/>
          <w:sz w:val="22"/>
        </w:rPr>
        <w:t xml:space="preserve">see </w:t>
      </w:r>
      <w:r w:rsidR="00847A89" w:rsidRPr="00DD1F63">
        <w:rPr>
          <w:rFonts w:ascii="Times New Roman" w:hAnsi="Times New Roman" w:cs="Times New Roman"/>
          <w:sz w:val="22"/>
        </w:rPr>
        <w:t xml:space="preserve">section </w:t>
      </w:r>
      <w:r w:rsidR="00797539" w:rsidRPr="00DD1F63">
        <w:rPr>
          <w:rFonts w:ascii="Times New Roman" w:hAnsi="Times New Roman" w:cs="Times New Roman"/>
          <w:sz w:val="22"/>
        </w:rPr>
        <w:t xml:space="preserve">5.1 </w:t>
      </w:r>
      <w:r w:rsidR="00847A89" w:rsidRPr="00DD1F63">
        <w:rPr>
          <w:rFonts w:ascii="Times New Roman" w:hAnsi="Times New Roman" w:cs="Times New Roman"/>
          <w:sz w:val="22"/>
        </w:rPr>
        <w:t>P</w:t>
      </w:r>
      <w:r w:rsidR="00797539" w:rsidRPr="00DD1F63">
        <w:rPr>
          <w:rFonts w:ascii="Times New Roman" w:hAnsi="Times New Roman" w:cs="Times New Roman"/>
          <w:sz w:val="22"/>
        </w:rPr>
        <w:t>harmacodynamic properties - clinical trials</w:t>
      </w:r>
      <w:r w:rsidRPr="00DD1F63">
        <w:rPr>
          <w:rFonts w:ascii="Times New Roman" w:hAnsi="Times New Roman" w:cs="Times New Roman"/>
          <w:sz w:val="22"/>
        </w:rPr>
        <w:t xml:space="preserve">). </w:t>
      </w:r>
    </w:p>
    <w:p w14:paraId="7190DAB5" w14:textId="77777777" w:rsidR="00F40859" w:rsidRPr="00DD1F63" w:rsidRDefault="00F40859" w:rsidP="00377A09">
      <w:pPr>
        <w:spacing w:after="0" w:line="240" w:lineRule="auto"/>
        <w:ind w:left="426" w:right="5"/>
        <w:jc w:val="left"/>
        <w:rPr>
          <w:rFonts w:ascii="Times New Roman" w:hAnsi="Times New Roman" w:cs="Times New Roman"/>
          <w:sz w:val="22"/>
        </w:rPr>
      </w:pPr>
    </w:p>
    <w:p w14:paraId="06CBEB75" w14:textId="07BC8D90"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Adolescents (from 12 years of age, weighing at least 30 kg)</w:t>
      </w:r>
      <w:r w:rsidRPr="00DD1F63">
        <w:rPr>
          <w:rFonts w:ascii="Times New Roman" w:hAnsi="Times New Roman" w:cs="Times New Roman"/>
          <w:i/>
          <w:iCs/>
          <w:u w:val="none"/>
        </w:rPr>
        <w:t xml:space="preserve"> </w:t>
      </w:r>
    </w:p>
    <w:p w14:paraId="678F704D" w14:textId="77777777" w:rsidR="00D0658C" w:rsidRPr="00DD1F63" w:rsidRDefault="00D0658C" w:rsidP="00377A09">
      <w:pPr>
        <w:spacing w:after="0" w:line="240" w:lineRule="auto"/>
        <w:ind w:left="426" w:hanging="11"/>
        <w:jc w:val="left"/>
        <w:rPr>
          <w:sz w:val="22"/>
        </w:rPr>
      </w:pPr>
    </w:p>
    <w:p w14:paraId="581498E1" w14:textId="307BBF05"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pacing w:val="2"/>
          <w:sz w:val="22"/>
        </w:rPr>
        <w:t xml:space="preserve">The recommended </w:t>
      </w:r>
      <w:proofErr w:type="spellStart"/>
      <w:r w:rsidR="0050379B" w:rsidRPr="0050379B">
        <w:rPr>
          <w:rFonts w:ascii="Times New Roman" w:hAnsi="Times New Roman" w:cs="Times New Roman"/>
          <w:spacing w:val="2"/>
          <w:sz w:val="22"/>
        </w:rPr>
        <w:t>Ciptunec</w:t>
      </w:r>
      <w:proofErr w:type="spellEnd"/>
      <w:r w:rsidR="0050379B" w:rsidRPr="0050379B" w:rsidDel="0050379B">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dose is 80 mg at Week 0 (given as one 80 mg injection </w:t>
      </w:r>
      <w:r w:rsidR="00797539"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two 40 mg injections), followed</w:t>
      </w:r>
      <w:r w:rsidRPr="00DD1F63">
        <w:rPr>
          <w:rFonts w:ascii="Times New Roman" w:hAnsi="Times New Roman" w:cs="Times New Roman"/>
          <w:sz w:val="22"/>
        </w:rPr>
        <w:t xml:space="preserve"> by 40 mg fortnightly, starting at Week 1 via subcutaneous injection. </w:t>
      </w:r>
    </w:p>
    <w:p w14:paraId="4DC5343C" w14:textId="77777777" w:rsidR="00624D6C" w:rsidRPr="00DD1F63" w:rsidRDefault="00624D6C" w:rsidP="00377A09">
      <w:pPr>
        <w:spacing w:after="0" w:line="240" w:lineRule="auto"/>
        <w:ind w:left="426"/>
        <w:jc w:val="left"/>
        <w:rPr>
          <w:rFonts w:ascii="Times New Roman" w:hAnsi="Times New Roman" w:cs="Times New Roman"/>
          <w:sz w:val="22"/>
        </w:rPr>
      </w:pPr>
    </w:p>
    <w:p w14:paraId="2939E47A" w14:textId="32EDBB03"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In adolescent patients with inadequate response to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40 mg fortnightly, an increase in dosage frequency to 40 mg every week or 80 mg fortnightly may be considered. </w:t>
      </w:r>
    </w:p>
    <w:p w14:paraId="247A1F67" w14:textId="77777777" w:rsidR="00624D6C" w:rsidRPr="00DD1F63" w:rsidRDefault="00624D6C" w:rsidP="00377A09">
      <w:pPr>
        <w:spacing w:after="0" w:line="240" w:lineRule="auto"/>
        <w:ind w:left="426"/>
        <w:jc w:val="left"/>
        <w:rPr>
          <w:rFonts w:ascii="Times New Roman" w:hAnsi="Times New Roman" w:cs="Times New Roman"/>
          <w:sz w:val="22"/>
        </w:rPr>
      </w:pPr>
    </w:p>
    <w:p w14:paraId="2CFEF603" w14:textId="38C2DECF" w:rsidR="006B7C8E" w:rsidRPr="00DD1F63" w:rsidRDefault="00CA72FF" w:rsidP="00377A09">
      <w:pPr>
        <w:spacing w:after="0" w:line="240" w:lineRule="auto"/>
        <w:ind w:left="426" w:right="12"/>
        <w:jc w:val="left"/>
        <w:rPr>
          <w:rFonts w:ascii="Times New Roman" w:hAnsi="Times New Roman" w:cs="Times New Roman"/>
          <w:sz w:val="22"/>
        </w:rPr>
      </w:pPr>
      <w:r w:rsidRPr="00DD1F63">
        <w:rPr>
          <w:rFonts w:ascii="Times New Roman" w:hAnsi="Times New Roman" w:cs="Times New Roman"/>
          <w:sz w:val="22"/>
        </w:rPr>
        <w:t xml:space="preserve">Antibiotics may be continued during treatment with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if necessary. It is recommended that the patient should use a topical antiseptic wash on their HS lesions </w:t>
      </w:r>
      <w:proofErr w:type="gramStart"/>
      <w:r w:rsidRPr="00DD1F63">
        <w:rPr>
          <w:rFonts w:ascii="Times New Roman" w:hAnsi="Times New Roman" w:cs="Times New Roman"/>
          <w:sz w:val="22"/>
        </w:rPr>
        <w:t>on a daily basis</w:t>
      </w:r>
      <w:proofErr w:type="gramEnd"/>
      <w:r w:rsidRPr="00DD1F63">
        <w:rPr>
          <w:rFonts w:ascii="Times New Roman" w:hAnsi="Times New Roman" w:cs="Times New Roman"/>
          <w:sz w:val="22"/>
        </w:rPr>
        <w:t xml:space="preserve"> during treatment with </w:t>
      </w:r>
      <w:proofErr w:type="spellStart"/>
      <w:r w:rsidR="0050379B" w:rsidRPr="0050379B">
        <w:rPr>
          <w:rFonts w:ascii="Times New Roman" w:hAnsi="Times New Roman" w:cs="Times New Roman"/>
          <w:sz w:val="22"/>
        </w:rPr>
        <w:t>Ciptunec</w:t>
      </w:r>
      <w:proofErr w:type="spellEnd"/>
      <w:r w:rsidRPr="00DD1F63">
        <w:rPr>
          <w:rFonts w:ascii="Times New Roman" w:hAnsi="Times New Roman" w:cs="Times New Roman"/>
          <w:sz w:val="22"/>
        </w:rPr>
        <w:t xml:space="preserve">. </w:t>
      </w:r>
    </w:p>
    <w:p w14:paraId="14B9547F" w14:textId="77777777" w:rsidR="00624D6C" w:rsidRPr="00DD1F63" w:rsidRDefault="00624D6C" w:rsidP="00377A09">
      <w:pPr>
        <w:spacing w:after="0" w:line="240" w:lineRule="auto"/>
        <w:ind w:left="426" w:right="12"/>
        <w:jc w:val="left"/>
        <w:rPr>
          <w:rFonts w:ascii="Times New Roman" w:hAnsi="Times New Roman" w:cs="Times New Roman"/>
          <w:sz w:val="22"/>
        </w:rPr>
      </w:pPr>
    </w:p>
    <w:p w14:paraId="4C3094D3" w14:textId="7BA6C9D2"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In patients without any benefit after 12 weeks of treatment, therapy should be discontinued. (</w:t>
      </w:r>
      <w:proofErr w:type="gramStart"/>
      <w:r w:rsidR="00797539" w:rsidRPr="00DD1F63">
        <w:rPr>
          <w:rFonts w:ascii="Times New Roman" w:hAnsi="Times New Roman" w:cs="Times New Roman"/>
          <w:sz w:val="22"/>
        </w:rPr>
        <w:t>see</w:t>
      </w:r>
      <w:proofErr w:type="gramEnd"/>
      <w:r w:rsidR="00797539" w:rsidRPr="00DD1F63">
        <w:rPr>
          <w:rFonts w:ascii="Times New Roman" w:hAnsi="Times New Roman" w:cs="Times New Roman"/>
          <w:sz w:val="22"/>
        </w:rPr>
        <w:t xml:space="preserve"> </w:t>
      </w:r>
      <w:r w:rsidR="00F6637C" w:rsidRPr="00DD1F63">
        <w:rPr>
          <w:rFonts w:ascii="Times New Roman" w:hAnsi="Times New Roman" w:cs="Times New Roman"/>
          <w:sz w:val="22"/>
        </w:rPr>
        <w:t xml:space="preserve">section </w:t>
      </w:r>
      <w:r w:rsidR="00797539" w:rsidRPr="00DD1F63">
        <w:rPr>
          <w:rFonts w:ascii="Times New Roman" w:hAnsi="Times New Roman" w:cs="Times New Roman"/>
          <w:sz w:val="22"/>
        </w:rPr>
        <w:t xml:space="preserve">5.1 </w:t>
      </w:r>
      <w:r w:rsidR="00F6637C" w:rsidRPr="00DD1F63">
        <w:rPr>
          <w:rFonts w:ascii="Times New Roman" w:hAnsi="Times New Roman" w:cs="Times New Roman"/>
          <w:sz w:val="22"/>
        </w:rPr>
        <w:t>P</w:t>
      </w:r>
      <w:r w:rsidR="00797539" w:rsidRPr="00DD1F63">
        <w:rPr>
          <w:rFonts w:ascii="Times New Roman" w:hAnsi="Times New Roman" w:cs="Times New Roman"/>
          <w:sz w:val="22"/>
        </w:rPr>
        <w:t xml:space="preserve">harmacodynamic properties - clinical trials </w:t>
      </w:r>
      <w:r w:rsidRPr="00DD1F63">
        <w:rPr>
          <w:rFonts w:ascii="Times New Roman" w:hAnsi="Times New Roman" w:cs="Times New Roman"/>
          <w:sz w:val="22"/>
        </w:rPr>
        <w:t xml:space="preserve">- HS </w:t>
      </w:r>
      <w:r w:rsidR="00797539" w:rsidRPr="00DD1F63">
        <w:rPr>
          <w:rFonts w:ascii="Times New Roman" w:hAnsi="Times New Roman" w:cs="Times New Roman"/>
          <w:sz w:val="22"/>
        </w:rPr>
        <w:t>a</w:t>
      </w:r>
      <w:r w:rsidRPr="00DD1F63">
        <w:rPr>
          <w:rFonts w:ascii="Times New Roman" w:hAnsi="Times New Roman" w:cs="Times New Roman"/>
          <w:sz w:val="22"/>
        </w:rPr>
        <w:t xml:space="preserve">dults). </w:t>
      </w:r>
    </w:p>
    <w:p w14:paraId="73BCDAAF" w14:textId="77777777" w:rsidR="00F6637C" w:rsidRPr="00DD1F63" w:rsidRDefault="00F6637C" w:rsidP="00377A09">
      <w:pPr>
        <w:spacing w:after="0" w:line="240" w:lineRule="auto"/>
        <w:ind w:left="426"/>
        <w:jc w:val="left"/>
        <w:rPr>
          <w:rFonts w:ascii="Times New Roman" w:hAnsi="Times New Roman" w:cs="Times New Roman"/>
          <w:sz w:val="22"/>
        </w:rPr>
      </w:pPr>
    </w:p>
    <w:p w14:paraId="7ECA4448" w14:textId="30A57909" w:rsidR="006B7C8E" w:rsidRPr="00DD1F63" w:rsidRDefault="00CA72FF" w:rsidP="00377A09">
      <w:pPr>
        <w:spacing w:after="0" w:line="240" w:lineRule="auto"/>
        <w:ind w:left="426" w:right="1"/>
        <w:jc w:val="left"/>
        <w:rPr>
          <w:rFonts w:ascii="Times New Roman" w:hAnsi="Times New Roman" w:cs="Times New Roman"/>
          <w:sz w:val="22"/>
        </w:rPr>
      </w:pPr>
      <w:r w:rsidRPr="00DD1F63">
        <w:rPr>
          <w:rFonts w:ascii="Times New Roman" w:hAnsi="Times New Roman" w:cs="Times New Roman"/>
          <w:sz w:val="22"/>
        </w:rPr>
        <w:t xml:space="preserve">Should treatment be interrupted,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may be re-introduced as </w:t>
      </w:r>
      <w:proofErr w:type="gramStart"/>
      <w:r w:rsidRPr="00DD1F63">
        <w:rPr>
          <w:rFonts w:ascii="Times New Roman" w:hAnsi="Times New Roman" w:cs="Times New Roman"/>
          <w:sz w:val="22"/>
        </w:rPr>
        <w:t>appropriate.</w:t>
      </w:r>
      <w:proofErr w:type="gramEnd"/>
      <w:r w:rsidRPr="00DD1F63">
        <w:rPr>
          <w:rFonts w:ascii="Times New Roman" w:hAnsi="Times New Roman" w:cs="Times New Roman"/>
          <w:sz w:val="22"/>
        </w:rPr>
        <w:t xml:space="preserve"> The benefit and risk of continued long-term treatment should be periodically evaluated (</w:t>
      </w:r>
      <w:r w:rsidR="004450B6" w:rsidRPr="00DD1F63">
        <w:rPr>
          <w:rFonts w:ascii="Times New Roman" w:hAnsi="Times New Roman" w:cs="Times New Roman"/>
          <w:sz w:val="22"/>
        </w:rPr>
        <w:t xml:space="preserve">see </w:t>
      </w:r>
      <w:r w:rsidR="00F6637C" w:rsidRPr="00DD1F63">
        <w:rPr>
          <w:rFonts w:ascii="Times New Roman" w:hAnsi="Times New Roman" w:cs="Times New Roman"/>
          <w:sz w:val="22"/>
        </w:rPr>
        <w:t xml:space="preserve">section </w:t>
      </w:r>
      <w:r w:rsidR="004450B6" w:rsidRPr="00DD1F63">
        <w:rPr>
          <w:rFonts w:ascii="Times New Roman" w:hAnsi="Times New Roman" w:cs="Times New Roman"/>
          <w:sz w:val="22"/>
        </w:rPr>
        <w:t xml:space="preserve">5.1 </w:t>
      </w:r>
      <w:r w:rsidR="00F6637C" w:rsidRPr="00DD1F63">
        <w:rPr>
          <w:rFonts w:ascii="Times New Roman" w:hAnsi="Times New Roman" w:cs="Times New Roman"/>
          <w:sz w:val="22"/>
        </w:rPr>
        <w:t>P</w:t>
      </w:r>
      <w:r w:rsidR="004450B6" w:rsidRPr="00DD1F63">
        <w:rPr>
          <w:rFonts w:ascii="Times New Roman" w:hAnsi="Times New Roman" w:cs="Times New Roman"/>
          <w:sz w:val="22"/>
        </w:rPr>
        <w:t>harmacodynamic properties- clinical trials</w:t>
      </w:r>
      <w:r w:rsidRPr="00DD1F63">
        <w:rPr>
          <w:rFonts w:ascii="Times New Roman" w:hAnsi="Times New Roman" w:cs="Times New Roman"/>
          <w:sz w:val="22"/>
        </w:rPr>
        <w:t xml:space="preserve"> HS </w:t>
      </w:r>
      <w:r w:rsidR="004450B6" w:rsidRPr="00DD1F63">
        <w:rPr>
          <w:rFonts w:ascii="Times New Roman" w:hAnsi="Times New Roman" w:cs="Times New Roman"/>
          <w:sz w:val="22"/>
        </w:rPr>
        <w:t>a</w:t>
      </w:r>
      <w:r w:rsidRPr="00DD1F63">
        <w:rPr>
          <w:rFonts w:ascii="Times New Roman" w:hAnsi="Times New Roman" w:cs="Times New Roman"/>
          <w:sz w:val="22"/>
        </w:rPr>
        <w:t xml:space="preserve">dults). </w:t>
      </w:r>
    </w:p>
    <w:p w14:paraId="71F9A46D" w14:textId="77777777" w:rsidR="00624D6C" w:rsidRPr="00DD1F63" w:rsidRDefault="00624D6C" w:rsidP="00377A09">
      <w:pPr>
        <w:spacing w:after="0" w:line="240" w:lineRule="auto"/>
        <w:ind w:left="426" w:right="1"/>
        <w:jc w:val="left"/>
        <w:rPr>
          <w:rFonts w:ascii="Times New Roman" w:hAnsi="Times New Roman" w:cs="Times New Roman"/>
          <w:sz w:val="22"/>
        </w:rPr>
      </w:pPr>
    </w:p>
    <w:p w14:paraId="30AA71FF" w14:textId="3EDA0A23"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is no relevant use of </w:t>
      </w:r>
      <w:r w:rsidR="00814ECD" w:rsidRPr="00DD1F63">
        <w:rPr>
          <w:rFonts w:ascii="Times New Roman" w:hAnsi="Times New Roman" w:cs="Times New Roman"/>
          <w:sz w:val="22"/>
        </w:rPr>
        <w:t>adalimumab</w:t>
      </w:r>
      <w:r w:rsidRPr="00DD1F63">
        <w:rPr>
          <w:rFonts w:ascii="Times New Roman" w:hAnsi="Times New Roman" w:cs="Times New Roman"/>
          <w:sz w:val="22"/>
        </w:rPr>
        <w:t xml:space="preserve"> in children aged less than 12 years of age with HS. </w:t>
      </w:r>
    </w:p>
    <w:p w14:paraId="7487863D" w14:textId="77777777" w:rsidR="00624D6C" w:rsidRPr="00DD1F63" w:rsidRDefault="00624D6C" w:rsidP="00377A09">
      <w:pPr>
        <w:spacing w:after="0" w:line="240" w:lineRule="auto"/>
        <w:ind w:left="426" w:right="375"/>
        <w:jc w:val="left"/>
        <w:rPr>
          <w:rFonts w:ascii="Times New Roman" w:hAnsi="Times New Roman" w:cs="Times New Roman"/>
          <w:sz w:val="22"/>
        </w:rPr>
      </w:pPr>
    </w:p>
    <w:p w14:paraId="15E41696" w14:textId="0E35B72B"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Uveitis</w:t>
      </w:r>
      <w:r w:rsidRPr="00DD1F63">
        <w:rPr>
          <w:rFonts w:ascii="Times New Roman" w:hAnsi="Times New Roman" w:cs="Times New Roman"/>
          <w:u w:val="none"/>
        </w:rPr>
        <w:t xml:space="preserve"> </w:t>
      </w:r>
    </w:p>
    <w:p w14:paraId="3DC09A67" w14:textId="77777777" w:rsidR="00624D6C" w:rsidRPr="00DD1F63" w:rsidRDefault="00624D6C" w:rsidP="00377A09">
      <w:pPr>
        <w:spacing w:after="0" w:line="240" w:lineRule="auto"/>
        <w:ind w:left="426" w:hanging="11"/>
        <w:jc w:val="left"/>
        <w:rPr>
          <w:sz w:val="22"/>
        </w:rPr>
      </w:pPr>
    </w:p>
    <w:p w14:paraId="6A432EE3" w14:textId="4BE03EC7" w:rsidR="006B7C8E" w:rsidRPr="00DD1F63" w:rsidRDefault="00CA72FF" w:rsidP="00377A09">
      <w:pPr>
        <w:spacing w:after="0" w:line="240" w:lineRule="auto"/>
        <w:ind w:left="426" w:right="5"/>
        <w:jc w:val="left"/>
        <w:rPr>
          <w:rFonts w:ascii="Times New Roman" w:hAnsi="Times New Roman" w:cs="Times New Roman"/>
          <w:sz w:val="22"/>
        </w:rPr>
      </w:pPr>
      <w:r w:rsidRPr="00DD1F63">
        <w:rPr>
          <w:rFonts w:ascii="Times New Roman" w:hAnsi="Times New Roman" w:cs="Times New Roman"/>
          <w:sz w:val="22"/>
        </w:rPr>
        <w:t xml:space="preserve">Ophthalmologists are advised to consult with an appropriate specialist before initiation of treatment with </w:t>
      </w:r>
      <w:proofErr w:type="spellStart"/>
      <w:r w:rsidR="0050379B" w:rsidRPr="0050379B">
        <w:rPr>
          <w:rFonts w:ascii="Times New Roman" w:hAnsi="Times New Roman" w:cs="Times New Roman"/>
          <w:sz w:val="22"/>
        </w:rPr>
        <w:t>Ciptunec</w:t>
      </w:r>
      <w:proofErr w:type="spellEnd"/>
      <w:r w:rsidRPr="00DD1F63">
        <w:rPr>
          <w:rFonts w:ascii="Times New Roman" w:hAnsi="Times New Roman" w:cs="Times New Roman"/>
          <w:sz w:val="22"/>
        </w:rPr>
        <w:t xml:space="preserve">. Use of </w:t>
      </w:r>
      <w:proofErr w:type="spellStart"/>
      <w:r w:rsidR="0050379B" w:rsidRPr="0050379B">
        <w:rPr>
          <w:rFonts w:ascii="Times New Roman" w:hAnsi="Times New Roman" w:cs="Times New Roman"/>
          <w:sz w:val="22"/>
        </w:rPr>
        <w:t>Ciptunec</w:t>
      </w:r>
      <w:proofErr w:type="spellEnd"/>
      <w:r w:rsidR="0050379B" w:rsidRPr="0050379B" w:rsidDel="0050379B">
        <w:rPr>
          <w:rFonts w:ascii="Times New Roman" w:hAnsi="Times New Roman" w:cs="Times New Roman"/>
          <w:sz w:val="22"/>
        </w:rPr>
        <w:t xml:space="preserve"> </w:t>
      </w:r>
      <w:r w:rsidRPr="00DD1F63">
        <w:rPr>
          <w:rFonts w:ascii="Times New Roman" w:hAnsi="Times New Roman" w:cs="Times New Roman"/>
          <w:sz w:val="22"/>
        </w:rPr>
        <w:t xml:space="preserve">for uveitis should be supervised by an ophthalmologist or other appropriate specialist. </w:t>
      </w:r>
    </w:p>
    <w:p w14:paraId="2E6AB5B9"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lastRenderedPageBreak/>
        <w:t xml:space="preserve"> </w:t>
      </w:r>
    </w:p>
    <w:p w14:paraId="4ECA4C54" w14:textId="6C63FD4E" w:rsidR="006B7C8E" w:rsidRPr="00DD1F63" w:rsidRDefault="00CA72FF" w:rsidP="00377A09">
      <w:pPr>
        <w:spacing w:after="0" w:line="240" w:lineRule="auto"/>
        <w:ind w:left="426" w:right="9"/>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r w:rsidRPr="00DD1F63">
        <w:rPr>
          <w:rFonts w:ascii="Times New Roman" w:hAnsi="Times New Roman" w:cs="Times New Roman"/>
          <w:sz w:val="22"/>
        </w:rPr>
        <w:t xml:space="preserve">for adult patients with uveitis is an initial dose of 80 mg (given as one 80 mg injection </w:t>
      </w:r>
      <w:r w:rsidR="001547DD" w:rsidRPr="00DD1F63">
        <w:rPr>
          <w:rFonts w:ascii="Times New Roman" w:hAnsi="Times New Roman" w:cs="Times New Roman"/>
          <w:sz w:val="22"/>
        </w:rPr>
        <w:t>or</w:t>
      </w:r>
      <w:r w:rsidRPr="00DD1F63">
        <w:rPr>
          <w:rFonts w:ascii="Times New Roman" w:hAnsi="Times New Roman" w:cs="Times New Roman"/>
          <w:sz w:val="22"/>
        </w:rPr>
        <w:t xml:space="preserve"> two 40 mg injections), followed by 40 mg fortnightly, starting one week after the initial dose. </w:t>
      </w:r>
    </w:p>
    <w:p w14:paraId="41DF0F5A"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b/>
          <w:sz w:val="22"/>
        </w:rPr>
        <w:t xml:space="preserve"> </w:t>
      </w:r>
    </w:p>
    <w:p w14:paraId="255CCB8F" w14:textId="2665A276"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Treatment with </w:t>
      </w:r>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r w:rsidRPr="00DD1F63">
        <w:rPr>
          <w:rFonts w:ascii="Times New Roman" w:hAnsi="Times New Roman" w:cs="Times New Roman"/>
          <w:sz w:val="22"/>
        </w:rPr>
        <w:t xml:space="preserve">can be initiated in combination with corticosteroids and/or with other non-biologic immunomodulatory agents. There is limited experience in the initiation of treatment with </w:t>
      </w:r>
      <w:r w:rsidR="001547DD" w:rsidRPr="00DD1F63">
        <w:rPr>
          <w:rFonts w:ascii="Times New Roman" w:hAnsi="Times New Roman" w:cs="Times New Roman"/>
          <w:sz w:val="22"/>
        </w:rPr>
        <w:t>adalimumab</w:t>
      </w:r>
      <w:r w:rsidRPr="00DD1F63">
        <w:rPr>
          <w:rFonts w:ascii="Times New Roman" w:hAnsi="Times New Roman" w:cs="Times New Roman"/>
          <w:sz w:val="22"/>
        </w:rPr>
        <w:t xml:space="preserve"> alone. </w:t>
      </w:r>
    </w:p>
    <w:p w14:paraId="73F9FAF2"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b/>
          <w:sz w:val="22"/>
        </w:rPr>
        <w:t xml:space="preserve"> </w:t>
      </w:r>
    </w:p>
    <w:p w14:paraId="581D197D" w14:textId="1BA53BA3"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Concomitant corticosteroids may be tapered in accordance with clinical practice starting two weeks after initiating treatment with </w:t>
      </w:r>
      <w:r w:rsidR="001547DD" w:rsidRPr="00DD1F63">
        <w:rPr>
          <w:rFonts w:ascii="Times New Roman" w:hAnsi="Times New Roman" w:cs="Times New Roman"/>
          <w:sz w:val="22"/>
        </w:rPr>
        <w:t>adalimumab</w:t>
      </w:r>
      <w:r w:rsidRPr="00DD1F63">
        <w:rPr>
          <w:rFonts w:ascii="Times New Roman" w:hAnsi="Times New Roman" w:cs="Times New Roman"/>
          <w:sz w:val="22"/>
        </w:rPr>
        <w:t>.</w:t>
      </w:r>
      <w:r w:rsidRPr="00DD1F63">
        <w:rPr>
          <w:rFonts w:ascii="Times New Roman" w:hAnsi="Times New Roman" w:cs="Times New Roman"/>
          <w:b/>
          <w:sz w:val="22"/>
        </w:rPr>
        <w:t xml:space="preserve"> </w:t>
      </w:r>
    </w:p>
    <w:p w14:paraId="6F67A8BF"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76C1AD81" w14:textId="29E4AB43"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It is recommended that the benefit and risk of continued long-term treatment should be evaluated on a yearly basis. </w:t>
      </w:r>
    </w:p>
    <w:p w14:paraId="448AEF19" w14:textId="77777777" w:rsidR="00624D6C" w:rsidRPr="00DD1F63" w:rsidRDefault="00624D6C" w:rsidP="00377A09">
      <w:pPr>
        <w:spacing w:after="0" w:line="240" w:lineRule="auto"/>
        <w:ind w:left="426"/>
        <w:jc w:val="left"/>
        <w:rPr>
          <w:rFonts w:ascii="Times New Roman" w:hAnsi="Times New Roman" w:cs="Times New Roman"/>
          <w:sz w:val="22"/>
        </w:rPr>
      </w:pPr>
    </w:p>
    <w:p w14:paraId="7F2A3375" w14:textId="700B415A" w:rsidR="006B7C8E" w:rsidRPr="00DD1F63" w:rsidRDefault="00CA72FF" w:rsidP="00377A09">
      <w:pPr>
        <w:keepNext/>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4.3 </w:t>
      </w:r>
      <w:r w:rsidR="00982CDA" w:rsidRPr="00DD1F63">
        <w:rPr>
          <w:rFonts w:ascii="Times New Roman" w:hAnsi="Times New Roman" w:cs="Times New Roman"/>
          <w:b/>
          <w:bCs/>
          <w:sz w:val="22"/>
        </w:rPr>
        <w:tab/>
      </w:r>
      <w:r w:rsidRPr="00DD1F63">
        <w:rPr>
          <w:rFonts w:ascii="Times New Roman" w:hAnsi="Times New Roman" w:cs="Times New Roman"/>
          <w:b/>
          <w:bCs/>
          <w:sz w:val="22"/>
        </w:rPr>
        <w:t xml:space="preserve">Contraindications </w:t>
      </w:r>
    </w:p>
    <w:p w14:paraId="1BEE274C" w14:textId="77777777" w:rsidR="00624D6C" w:rsidRPr="00DD1F63" w:rsidRDefault="00624D6C" w:rsidP="00377A09">
      <w:pPr>
        <w:keepNext/>
        <w:spacing w:after="0" w:line="240" w:lineRule="auto"/>
        <w:ind w:left="0" w:firstLine="0"/>
        <w:jc w:val="left"/>
        <w:rPr>
          <w:rFonts w:ascii="Times New Roman" w:hAnsi="Times New Roman" w:cs="Times New Roman"/>
          <w:sz w:val="22"/>
        </w:rPr>
      </w:pPr>
    </w:p>
    <w:p w14:paraId="7798C0B8" w14:textId="316EE24F" w:rsidR="0048436B" w:rsidRPr="00DD1F63" w:rsidRDefault="0048436B"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should not be administered to patients with known hypersensitivity to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or any of its excipients.</w:t>
      </w:r>
    </w:p>
    <w:p w14:paraId="11050A9D" w14:textId="6384C57A"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 </w:t>
      </w:r>
    </w:p>
    <w:p w14:paraId="0974ED4C" w14:textId="67B4583A" w:rsidR="006B7C8E" w:rsidRPr="00DD1F63" w:rsidRDefault="0048436B"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is contraindicated in severe infections including sepsis, active </w:t>
      </w:r>
      <w:proofErr w:type="gramStart"/>
      <w:r w:rsidR="00CA72FF" w:rsidRPr="00DD1F63">
        <w:rPr>
          <w:rFonts w:ascii="Times New Roman" w:hAnsi="Times New Roman" w:cs="Times New Roman"/>
          <w:sz w:val="22"/>
        </w:rPr>
        <w:t>tuberculosis</w:t>
      </w:r>
      <w:proofErr w:type="gramEnd"/>
      <w:r w:rsidR="00CA72FF" w:rsidRPr="00DD1F63">
        <w:rPr>
          <w:rFonts w:ascii="Times New Roman" w:hAnsi="Times New Roman" w:cs="Times New Roman"/>
          <w:sz w:val="22"/>
        </w:rPr>
        <w:t xml:space="preserve"> and opportunistic infections (</w:t>
      </w:r>
      <w:r w:rsidRPr="00DD1F63">
        <w:rPr>
          <w:rFonts w:ascii="Times New Roman" w:hAnsi="Times New Roman" w:cs="Times New Roman"/>
          <w:sz w:val="22"/>
        </w:rPr>
        <w:t xml:space="preserve">see </w:t>
      </w:r>
      <w:r w:rsidR="00B959D6" w:rsidRPr="00DD1F63">
        <w:rPr>
          <w:rFonts w:ascii="Times New Roman" w:hAnsi="Times New Roman" w:cs="Times New Roman"/>
          <w:sz w:val="22"/>
        </w:rPr>
        <w:t xml:space="preserve">section </w:t>
      </w:r>
      <w:r w:rsidRPr="00DD1F63">
        <w:rPr>
          <w:rFonts w:ascii="Times New Roman" w:hAnsi="Times New Roman" w:cs="Times New Roman"/>
          <w:sz w:val="22"/>
        </w:rPr>
        <w:t xml:space="preserve">4.4 </w:t>
      </w:r>
      <w:r w:rsidR="00B959D6" w:rsidRPr="00DD1F63">
        <w:rPr>
          <w:rFonts w:ascii="Times New Roman" w:hAnsi="Times New Roman" w:cs="Times New Roman"/>
          <w:sz w:val="22"/>
        </w:rPr>
        <w:t>S</w:t>
      </w:r>
      <w:r w:rsidRPr="00DD1F63">
        <w:rPr>
          <w:rFonts w:ascii="Times New Roman" w:hAnsi="Times New Roman" w:cs="Times New Roman"/>
          <w:sz w:val="22"/>
        </w:rPr>
        <w:t>pecial warnings and precautions for use</w:t>
      </w:r>
      <w:r w:rsidR="00CA72FF" w:rsidRPr="00DD1F63">
        <w:rPr>
          <w:rFonts w:ascii="Times New Roman" w:hAnsi="Times New Roman" w:cs="Times New Roman"/>
          <w:sz w:val="22"/>
        </w:rPr>
        <w:t xml:space="preserve">). </w:t>
      </w:r>
    </w:p>
    <w:p w14:paraId="7FE6E267" w14:textId="77777777" w:rsidR="00624D6C" w:rsidRPr="00DD1F63" w:rsidRDefault="00624D6C" w:rsidP="00377A09">
      <w:pPr>
        <w:spacing w:after="0" w:line="240" w:lineRule="auto"/>
        <w:ind w:left="426"/>
        <w:jc w:val="left"/>
        <w:rPr>
          <w:rFonts w:ascii="Times New Roman" w:hAnsi="Times New Roman" w:cs="Times New Roman"/>
          <w:sz w:val="22"/>
        </w:rPr>
      </w:pPr>
    </w:p>
    <w:p w14:paraId="65C0424A" w14:textId="78E17A99"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Concurrent administration of </w:t>
      </w:r>
      <w:r w:rsidR="00AF5C26" w:rsidRPr="00DD1F63">
        <w:rPr>
          <w:rFonts w:ascii="Times New Roman" w:hAnsi="Times New Roman" w:cs="Times New Roman"/>
          <w:sz w:val="22"/>
        </w:rPr>
        <w:t>adalimumab</w:t>
      </w:r>
      <w:r w:rsidRPr="00DD1F63">
        <w:rPr>
          <w:rFonts w:ascii="Times New Roman" w:hAnsi="Times New Roman" w:cs="Times New Roman"/>
          <w:sz w:val="22"/>
        </w:rPr>
        <w:t xml:space="preserve"> and anakinra (interleukin-1 receptor antagonist) is contraindicated (</w:t>
      </w:r>
      <w:r w:rsidR="00AF5C26" w:rsidRPr="00DD1F63">
        <w:rPr>
          <w:rFonts w:ascii="Times New Roman" w:hAnsi="Times New Roman" w:cs="Times New Roman"/>
          <w:sz w:val="22"/>
        </w:rPr>
        <w:t xml:space="preserve">see </w:t>
      </w:r>
      <w:r w:rsidR="00B959D6" w:rsidRPr="00DD1F63">
        <w:rPr>
          <w:rFonts w:ascii="Times New Roman" w:hAnsi="Times New Roman" w:cs="Times New Roman"/>
          <w:sz w:val="22"/>
        </w:rPr>
        <w:t xml:space="preserve">section </w:t>
      </w:r>
      <w:r w:rsidR="00AF5C26" w:rsidRPr="00DD1F63">
        <w:rPr>
          <w:rFonts w:ascii="Times New Roman" w:hAnsi="Times New Roman" w:cs="Times New Roman"/>
          <w:sz w:val="22"/>
        </w:rPr>
        <w:t xml:space="preserve">4.4 </w:t>
      </w:r>
      <w:r w:rsidR="00B959D6" w:rsidRPr="00DD1F63">
        <w:rPr>
          <w:rFonts w:ascii="Times New Roman" w:hAnsi="Times New Roman" w:cs="Times New Roman"/>
          <w:sz w:val="22"/>
        </w:rPr>
        <w:t>S</w:t>
      </w:r>
      <w:r w:rsidR="00AF5C26" w:rsidRPr="00DD1F63">
        <w:rPr>
          <w:rFonts w:ascii="Times New Roman" w:hAnsi="Times New Roman" w:cs="Times New Roman"/>
          <w:sz w:val="22"/>
        </w:rPr>
        <w:t>pecial warnings and precautions for use</w:t>
      </w:r>
      <w:r w:rsidRPr="00DD1F63">
        <w:rPr>
          <w:rFonts w:ascii="Times New Roman" w:hAnsi="Times New Roman" w:cs="Times New Roman"/>
          <w:sz w:val="22"/>
        </w:rPr>
        <w:t xml:space="preserve">). </w:t>
      </w:r>
    </w:p>
    <w:p w14:paraId="2C876556" w14:textId="77777777" w:rsidR="00624D6C" w:rsidRPr="00DD1F63" w:rsidRDefault="00624D6C" w:rsidP="00377A09">
      <w:pPr>
        <w:spacing w:after="0" w:line="240" w:lineRule="auto"/>
        <w:ind w:left="426"/>
        <w:jc w:val="left"/>
        <w:rPr>
          <w:rFonts w:ascii="Times New Roman" w:hAnsi="Times New Roman" w:cs="Times New Roman"/>
          <w:sz w:val="22"/>
        </w:rPr>
      </w:pPr>
    </w:p>
    <w:p w14:paraId="1BBC0E3E" w14:textId="61476936"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Moderate to severe heart failure (NYHA class III/IV). </w:t>
      </w:r>
    </w:p>
    <w:p w14:paraId="0B9C15B6" w14:textId="77777777" w:rsidR="00624D6C" w:rsidRPr="00DD1F63" w:rsidRDefault="00624D6C" w:rsidP="00377A09">
      <w:pPr>
        <w:spacing w:after="0" w:line="240" w:lineRule="auto"/>
        <w:ind w:left="426" w:right="375"/>
        <w:jc w:val="left"/>
        <w:rPr>
          <w:rFonts w:ascii="Times New Roman" w:hAnsi="Times New Roman" w:cs="Times New Roman"/>
          <w:sz w:val="22"/>
        </w:rPr>
      </w:pPr>
    </w:p>
    <w:p w14:paraId="187B0F95" w14:textId="00465477" w:rsidR="006B7C8E" w:rsidRPr="00DD1F63" w:rsidRDefault="00CA72FF" w:rsidP="00377A09">
      <w:pPr>
        <w:keepNext/>
        <w:spacing w:after="0" w:line="240" w:lineRule="auto"/>
        <w:ind w:left="425" w:hanging="426"/>
        <w:jc w:val="left"/>
        <w:rPr>
          <w:rFonts w:ascii="Times New Roman" w:hAnsi="Times New Roman" w:cs="Times New Roman"/>
          <w:b/>
          <w:bCs/>
          <w:sz w:val="22"/>
        </w:rPr>
      </w:pPr>
      <w:r w:rsidRPr="00DD1F63">
        <w:rPr>
          <w:rFonts w:ascii="Times New Roman" w:hAnsi="Times New Roman" w:cs="Times New Roman"/>
          <w:b/>
          <w:bCs/>
          <w:sz w:val="22"/>
        </w:rPr>
        <w:t xml:space="preserve">4.4 </w:t>
      </w:r>
      <w:r w:rsidR="00B959D6" w:rsidRPr="00DD1F63">
        <w:rPr>
          <w:rFonts w:ascii="Times New Roman" w:hAnsi="Times New Roman" w:cs="Times New Roman"/>
          <w:b/>
          <w:bCs/>
          <w:sz w:val="22"/>
        </w:rPr>
        <w:tab/>
      </w:r>
      <w:r w:rsidRPr="00DD1F63">
        <w:rPr>
          <w:rFonts w:ascii="Times New Roman" w:hAnsi="Times New Roman" w:cs="Times New Roman"/>
          <w:b/>
          <w:bCs/>
          <w:sz w:val="22"/>
        </w:rPr>
        <w:t xml:space="preserve">Special warnings and precautions for use </w:t>
      </w:r>
    </w:p>
    <w:p w14:paraId="6B816CD4" w14:textId="77777777" w:rsidR="00624D6C" w:rsidRPr="00DD1F63" w:rsidRDefault="00624D6C" w:rsidP="00377A09">
      <w:pPr>
        <w:keepNext/>
        <w:spacing w:after="0" w:line="240" w:lineRule="auto"/>
        <w:ind w:left="425" w:hanging="11"/>
        <w:jc w:val="left"/>
        <w:rPr>
          <w:sz w:val="22"/>
        </w:rPr>
      </w:pPr>
    </w:p>
    <w:p w14:paraId="44117D4D" w14:textId="0B7C8659"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Infections</w:t>
      </w:r>
      <w:r w:rsidRPr="00DD1F63">
        <w:rPr>
          <w:rFonts w:ascii="Times New Roman" w:hAnsi="Times New Roman" w:cs="Times New Roman"/>
          <w:u w:val="none"/>
        </w:rPr>
        <w:t xml:space="preserve"> </w:t>
      </w:r>
    </w:p>
    <w:p w14:paraId="433ABC4E" w14:textId="77777777" w:rsidR="00624D6C" w:rsidRPr="00DD1F63" w:rsidRDefault="00624D6C" w:rsidP="00377A09">
      <w:pPr>
        <w:spacing w:after="0" w:line="240" w:lineRule="auto"/>
        <w:ind w:left="426" w:hanging="11"/>
        <w:jc w:val="left"/>
        <w:rPr>
          <w:sz w:val="22"/>
        </w:rPr>
      </w:pPr>
    </w:p>
    <w:p w14:paraId="6E00D952" w14:textId="2494587B" w:rsidR="006B7C8E" w:rsidRPr="00DD1F63" w:rsidRDefault="00CA72FF" w:rsidP="00377A09">
      <w:pPr>
        <w:spacing w:after="0" w:line="240" w:lineRule="auto"/>
        <w:ind w:left="426" w:right="12"/>
        <w:jc w:val="left"/>
        <w:rPr>
          <w:rFonts w:ascii="Times New Roman" w:hAnsi="Times New Roman" w:cs="Times New Roman"/>
          <w:sz w:val="22"/>
        </w:rPr>
      </w:pPr>
      <w:r w:rsidRPr="00DD1F63">
        <w:rPr>
          <w:rFonts w:ascii="Times New Roman" w:hAnsi="Times New Roman" w:cs="Times New Roman"/>
          <w:sz w:val="22"/>
        </w:rPr>
        <w:t xml:space="preserve">Serious infections, due to bacterial, mycobacterial, invasive fungal (disseminated or extrapulmonary histoplasmosis, aspergillosis, coccidioidomycosis), viral, </w:t>
      </w:r>
      <w:proofErr w:type="gramStart"/>
      <w:r w:rsidRPr="00DD1F63">
        <w:rPr>
          <w:rFonts w:ascii="Times New Roman" w:hAnsi="Times New Roman" w:cs="Times New Roman"/>
          <w:sz w:val="22"/>
        </w:rPr>
        <w:t>parasitic</w:t>
      </w:r>
      <w:proofErr w:type="gramEnd"/>
      <w:r w:rsidRPr="00DD1F63">
        <w:rPr>
          <w:rFonts w:ascii="Times New Roman" w:hAnsi="Times New Roman" w:cs="Times New Roman"/>
          <w:sz w:val="22"/>
        </w:rPr>
        <w:t xml:space="preserve"> or other opportunistic infections such as listeriosis, Legionellosis and pneumocystis have been reported in patients receiving</w:t>
      </w:r>
      <w:r w:rsidR="008511BF" w:rsidRPr="00DD1F63">
        <w:rPr>
          <w:rFonts w:ascii="Times New Roman" w:hAnsi="Times New Roman" w:cs="Times New Roman"/>
          <w:sz w:val="22"/>
        </w:rPr>
        <w:t xml:space="preserve"> adalimumab</w:t>
      </w:r>
      <w:r w:rsidR="00B959D6" w:rsidRPr="00DD1F63">
        <w:rPr>
          <w:rFonts w:ascii="Times New Roman" w:hAnsi="Times New Roman" w:cs="Times New Roman"/>
          <w:sz w:val="22"/>
        </w:rPr>
        <w:t>.</w:t>
      </w:r>
      <w:r w:rsidRPr="00DD1F63">
        <w:rPr>
          <w:rFonts w:ascii="Times New Roman" w:hAnsi="Times New Roman" w:cs="Times New Roman"/>
          <w:sz w:val="22"/>
        </w:rPr>
        <w:t xml:space="preserve"> </w:t>
      </w:r>
    </w:p>
    <w:p w14:paraId="10EFF389" w14:textId="40334D18" w:rsidR="00624D6C" w:rsidRPr="00DD1F63" w:rsidRDefault="00624D6C" w:rsidP="00377A09">
      <w:pPr>
        <w:spacing w:after="0" w:line="240" w:lineRule="auto"/>
        <w:ind w:left="426" w:right="12"/>
        <w:jc w:val="left"/>
        <w:rPr>
          <w:rFonts w:ascii="Times New Roman" w:hAnsi="Times New Roman" w:cs="Times New Roman"/>
          <w:sz w:val="22"/>
        </w:rPr>
      </w:pPr>
    </w:p>
    <w:p w14:paraId="319E23A3" w14:textId="638EC469" w:rsidR="006B7C8E" w:rsidRPr="00DD1F63" w:rsidRDefault="002C292A" w:rsidP="00377A09">
      <w:pPr>
        <w:spacing w:after="0" w:line="240" w:lineRule="auto"/>
        <w:ind w:left="426" w:right="6"/>
        <w:jc w:val="left"/>
        <w:rPr>
          <w:rFonts w:ascii="Times New Roman" w:hAnsi="Times New Roman" w:cs="Times New Roman"/>
          <w:sz w:val="22"/>
        </w:rPr>
      </w:pPr>
      <w:r w:rsidRPr="00DD1F63">
        <w:rPr>
          <w:rFonts w:ascii="Times New Roman" w:hAnsi="Times New Roman" w:cs="Times New Roman"/>
          <w:sz w:val="22"/>
        </w:rPr>
        <w:t xml:space="preserve"> </w:t>
      </w:r>
      <w:r w:rsidR="00CA72FF" w:rsidRPr="00DD1F63">
        <w:rPr>
          <w:rFonts w:ascii="Times New Roman" w:hAnsi="Times New Roman" w:cs="Times New Roman"/>
          <w:sz w:val="22"/>
        </w:rPr>
        <w:t xml:space="preserve">TNF-blocking agents, including </w:t>
      </w:r>
      <w:r w:rsidR="0023016B" w:rsidRPr="00DD1F63">
        <w:rPr>
          <w:rFonts w:ascii="Times New Roman" w:hAnsi="Times New Roman" w:cs="Times New Roman"/>
          <w:sz w:val="22"/>
        </w:rPr>
        <w:t>adalimumab</w:t>
      </w:r>
      <w:r w:rsidR="00CA72FF" w:rsidRPr="00DD1F63">
        <w:rPr>
          <w:rFonts w:ascii="Times New Roman" w:hAnsi="Times New Roman" w:cs="Times New Roman"/>
          <w:sz w:val="22"/>
        </w:rPr>
        <w:t xml:space="preserve">. Sepsis, rare cases of tuberculosis and candidiasis have also been reported with the use of TNF antagonists, including </w:t>
      </w:r>
      <w:r w:rsidR="0023016B" w:rsidRPr="00DD1F63">
        <w:rPr>
          <w:rFonts w:ascii="Times New Roman" w:hAnsi="Times New Roman" w:cs="Times New Roman"/>
          <w:sz w:val="22"/>
        </w:rPr>
        <w:t>adalimumab</w:t>
      </w:r>
      <w:r w:rsidR="00CA72FF" w:rsidRPr="00DD1F63">
        <w:rPr>
          <w:rFonts w:ascii="Times New Roman" w:hAnsi="Times New Roman" w:cs="Times New Roman"/>
          <w:sz w:val="22"/>
        </w:rPr>
        <w:t xml:space="preserve">. Other serious infections seen in clinical trials include pneumonia, pyelonephritis, septic </w:t>
      </w:r>
      <w:proofErr w:type="gramStart"/>
      <w:r w:rsidR="00CA72FF" w:rsidRPr="00DD1F63">
        <w:rPr>
          <w:rFonts w:ascii="Times New Roman" w:hAnsi="Times New Roman" w:cs="Times New Roman"/>
          <w:sz w:val="22"/>
        </w:rPr>
        <w:t>arthritis</w:t>
      </w:r>
      <w:proofErr w:type="gramEnd"/>
      <w:r w:rsidR="00CA72FF" w:rsidRPr="00DD1F63">
        <w:rPr>
          <w:rFonts w:ascii="Times New Roman" w:hAnsi="Times New Roman" w:cs="Times New Roman"/>
          <w:sz w:val="22"/>
        </w:rPr>
        <w:t xml:space="preserve"> and septicaemia. Hospitalisation or fatal outcomes associated with infections have been reported. Many of the serious infections have occurred in patients on concomitant immunosuppressive therapy that, in addition to their underlying disease could predispose them to infections. </w:t>
      </w:r>
    </w:p>
    <w:p w14:paraId="288310D9" w14:textId="77777777" w:rsidR="00624D6C" w:rsidRPr="00DD1F63" w:rsidRDefault="00624D6C" w:rsidP="00377A09">
      <w:pPr>
        <w:spacing w:after="0" w:line="240" w:lineRule="auto"/>
        <w:ind w:left="426" w:right="6"/>
        <w:jc w:val="left"/>
        <w:rPr>
          <w:rFonts w:ascii="Times New Roman" w:hAnsi="Times New Roman" w:cs="Times New Roman"/>
          <w:sz w:val="22"/>
        </w:rPr>
      </w:pPr>
    </w:p>
    <w:p w14:paraId="30A0DFF7" w14:textId="06DB0365" w:rsidR="0023016B" w:rsidRPr="00DD1F63" w:rsidRDefault="00CA72FF" w:rsidP="00377A09">
      <w:pPr>
        <w:spacing w:after="0" w:line="240" w:lineRule="auto"/>
        <w:ind w:left="426" w:right="97" w:firstLine="0"/>
        <w:jc w:val="left"/>
        <w:rPr>
          <w:rFonts w:ascii="Times New Roman" w:hAnsi="Times New Roman" w:cs="Times New Roman"/>
          <w:sz w:val="22"/>
        </w:rPr>
      </w:pPr>
      <w:r w:rsidRPr="00DD1F63">
        <w:rPr>
          <w:rFonts w:ascii="Times New Roman" w:hAnsi="Times New Roman" w:cs="Times New Roman"/>
          <w:sz w:val="22"/>
        </w:rPr>
        <w:t xml:space="preserve">Treatment with </w:t>
      </w:r>
      <w:r w:rsidR="0023016B" w:rsidRPr="00DD1F63">
        <w:rPr>
          <w:rFonts w:ascii="Times New Roman" w:hAnsi="Times New Roman" w:cs="Times New Roman"/>
          <w:sz w:val="22"/>
        </w:rPr>
        <w:t>adalimumab</w:t>
      </w:r>
      <w:r w:rsidRPr="00DD1F63">
        <w:rPr>
          <w:rFonts w:ascii="Times New Roman" w:hAnsi="Times New Roman" w:cs="Times New Roman"/>
          <w:sz w:val="22"/>
        </w:rPr>
        <w:t xml:space="preserve">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w:t>
      </w:r>
      <w:r w:rsidR="0023016B" w:rsidRPr="00DD1F63">
        <w:rPr>
          <w:rFonts w:ascii="Times New Roman" w:hAnsi="Times New Roman" w:cs="Times New Roman"/>
          <w:sz w:val="22"/>
        </w:rPr>
        <w:t xml:space="preserve"> histoplasmosis, coccidioidomycosis, or blastomycosis, the risk and benefits of treatment with adalimumab should be considered prior to initiating therapy (see </w:t>
      </w:r>
      <w:r w:rsidR="0023016B" w:rsidRPr="00DD1F63">
        <w:rPr>
          <w:rFonts w:ascii="Times New Roman" w:hAnsi="Times New Roman" w:cs="Times New Roman"/>
          <w:bCs/>
          <w:sz w:val="22"/>
        </w:rPr>
        <w:t xml:space="preserve">Other opportunistic </w:t>
      </w:r>
      <w:r w:rsidR="00021394" w:rsidRPr="00DD1F63">
        <w:rPr>
          <w:rFonts w:ascii="Times New Roman" w:hAnsi="Times New Roman" w:cs="Times New Roman"/>
          <w:bCs/>
          <w:sz w:val="22"/>
        </w:rPr>
        <w:t>i</w:t>
      </w:r>
      <w:r w:rsidR="0023016B" w:rsidRPr="00DD1F63">
        <w:rPr>
          <w:rFonts w:ascii="Times New Roman" w:hAnsi="Times New Roman" w:cs="Times New Roman"/>
          <w:bCs/>
          <w:sz w:val="22"/>
        </w:rPr>
        <w:t>nfections</w:t>
      </w:r>
      <w:r w:rsidR="0023016B" w:rsidRPr="00DD1F63">
        <w:rPr>
          <w:rFonts w:ascii="Times New Roman" w:hAnsi="Times New Roman" w:cs="Times New Roman"/>
          <w:sz w:val="22"/>
        </w:rPr>
        <w:t xml:space="preserve">). </w:t>
      </w:r>
    </w:p>
    <w:p w14:paraId="26BCD5B5" w14:textId="77777777" w:rsidR="0023016B" w:rsidRPr="00DD1F63" w:rsidRDefault="0023016B" w:rsidP="00377A09">
      <w:pPr>
        <w:spacing w:after="0" w:line="240" w:lineRule="auto"/>
        <w:ind w:left="426" w:right="375"/>
        <w:jc w:val="left"/>
        <w:rPr>
          <w:rFonts w:ascii="Times New Roman" w:hAnsi="Times New Roman" w:cs="Times New Roman"/>
          <w:sz w:val="22"/>
        </w:rPr>
      </w:pPr>
    </w:p>
    <w:p w14:paraId="355F4577" w14:textId="1B1DFF27" w:rsidR="0023016B" w:rsidRPr="00DD1F63" w:rsidRDefault="0023016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 xml:space="preserve">Patients should be monitored closely for infections – including tuberculosis before, during and after treatment with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22F8AF5D" w14:textId="77777777" w:rsidR="0023016B" w:rsidRPr="00DD1F63" w:rsidRDefault="0023016B" w:rsidP="00377A09">
      <w:pPr>
        <w:spacing w:after="0" w:line="240" w:lineRule="auto"/>
        <w:ind w:left="426" w:right="375"/>
        <w:jc w:val="left"/>
        <w:rPr>
          <w:rFonts w:ascii="Times New Roman" w:hAnsi="Times New Roman" w:cs="Times New Roman"/>
          <w:sz w:val="22"/>
        </w:rPr>
      </w:pPr>
    </w:p>
    <w:p w14:paraId="396C410D" w14:textId="5508A61A" w:rsidR="0023016B" w:rsidRPr="00DD1F63" w:rsidRDefault="0023016B" w:rsidP="00377A09">
      <w:pPr>
        <w:spacing w:after="0" w:line="240" w:lineRule="auto"/>
        <w:ind w:left="426" w:right="375"/>
        <w:jc w:val="left"/>
        <w:rPr>
          <w:rFonts w:ascii="Times New Roman" w:hAnsi="Times New Roman" w:cs="Times New Roman"/>
          <w:b/>
          <w:iCs/>
          <w:sz w:val="22"/>
        </w:rPr>
      </w:pPr>
      <w:r w:rsidRPr="00DD1F63">
        <w:rPr>
          <w:rFonts w:ascii="Times New Roman" w:hAnsi="Times New Roman" w:cs="Times New Roman"/>
          <w:sz w:val="22"/>
        </w:rPr>
        <w:t xml:space="preserve">Patients who develop a new infection while undergoing treatment with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should be monitored closely and undergo a complete diagnostic evaluation. Administration of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should be discontinued if a patient develops a new serious infection or sepsis, and appropriate antimicrobial or antifungal therapy should be initiated. Physicians should exercise caution when considering the use of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in patients with a history of recurring infection or with underlying conditions, which may predispose patients to infections.</w:t>
      </w:r>
      <w:r w:rsidRPr="00DD1F63">
        <w:rPr>
          <w:rFonts w:ascii="Times New Roman" w:hAnsi="Times New Roman" w:cs="Times New Roman"/>
          <w:b/>
          <w:i/>
          <w:sz w:val="22"/>
        </w:rPr>
        <w:t xml:space="preserve"> </w:t>
      </w:r>
    </w:p>
    <w:p w14:paraId="37E28A3A" w14:textId="08DD94DC" w:rsidR="00125D1B" w:rsidRPr="00DD1F63" w:rsidRDefault="00125D1B" w:rsidP="00377A09">
      <w:pPr>
        <w:spacing w:after="0" w:line="240" w:lineRule="auto"/>
        <w:ind w:left="426" w:right="375"/>
        <w:jc w:val="left"/>
        <w:rPr>
          <w:rFonts w:ascii="Times New Roman" w:hAnsi="Times New Roman" w:cs="Times New Roman"/>
          <w:b/>
          <w:iCs/>
          <w:sz w:val="22"/>
        </w:rPr>
      </w:pPr>
    </w:p>
    <w:p w14:paraId="3D158DEA" w14:textId="47D9245D" w:rsidR="00125D1B" w:rsidRPr="00DD1F63" w:rsidRDefault="00125D1B"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Hepatitis B </w:t>
      </w:r>
      <w:r w:rsidR="009D7512" w:rsidRPr="00DD1F63">
        <w:rPr>
          <w:rFonts w:ascii="Times New Roman" w:hAnsi="Times New Roman" w:cs="Times New Roman"/>
          <w:i/>
          <w:iCs/>
        </w:rPr>
        <w:t>v</w:t>
      </w:r>
      <w:r w:rsidRPr="00DD1F63">
        <w:rPr>
          <w:rFonts w:ascii="Times New Roman" w:hAnsi="Times New Roman" w:cs="Times New Roman"/>
          <w:i/>
          <w:iCs/>
        </w:rPr>
        <w:t>irus</w:t>
      </w:r>
      <w:r w:rsidRPr="00DD1F63">
        <w:rPr>
          <w:rFonts w:ascii="Times New Roman" w:hAnsi="Times New Roman" w:cs="Times New Roman"/>
          <w:i/>
          <w:iCs/>
          <w:u w:val="none"/>
        </w:rPr>
        <w:t xml:space="preserve"> </w:t>
      </w:r>
    </w:p>
    <w:p w14:paraId="7EF2130F" w14:textId="77777777" w:rsidR="00125D1B" w:rsidRPr="00DD1F63" w:rsidRDefault="00125D1B" w:rsidP="00377A09">
      <w:pPr>
        <w:spacing w:after="0" w:line="240" w:lineRule="auto"/>
        <w:ind w:left="426" w:hanging="11"/>
        <w:jc w:val="left"/>
        <w:rPr>
          <w:sz w:val="22"/>
        </w:rPr>
      </w:pPr>
    </w:p>
    <w:p w14:paraId="3882A52D" w14:textId="013D4685" w:rsidR="00B877D5" w:rsidRPr="00DD1F63" w:rsidRDefault="00125D1B" w:rsidP="00377A09">
      <w:pPr>
        <w:spacing w:after="0" w:line="240" w:lineRule="auto"/>
        <w:ind w:left="426" w:right="97"/>
        <w:jc w:val="left"/>
        <w:rPr>
          <w:rFonts w:ascii="Times New Roman" w:hAnsi="Times New Roman" w:cs="Times New Roman"/>
          <w:sz w:val="22"/>
        </w:rPr>
      </w:pPr>
      <w:r w:rsidRPr="00DD1F63">
        <w:rPr>
          <w:rFonts w:ascii="Times New Roman" w:hAnsi="Times New Roman" w:cs="Times New Roman"/>
          <w:sz w:val="22"/>
        </w:rPr>
        <w:t xml:space="preserve">Use of TNF blockers, including adalimumab, has been associated with reactivation of hepatitis B virus (HBV) in patients who are chronic carriers of this virus. In some instances, HBV reactivation occurring in conjunction with TNF blocker therapy has been fatal. </w:t>
      </w:r>
      <w:proofErr w:type="gramStart"/>
      <w:r w:rsidRPr="00DD1F63">
        <w:rPr>
          <w:rFonts w:ascii="Times New Roman" w:hAnsi="Times New Roman" w:cs="Times New Roman"/>
          <w:sz w:val="22"/>
        </w:rPr>
        <w:t>The majority of</w:t>
      </w:r>
      <w:proofErr w:type="gramEnd"/>
      <w:r w:rsidRPr="00DD1F63">
        <w:rPr>
          <w:rFonts w:ascii="Times New Roman" w:hAnsi="Times New Roman" w:cs="Times New Roman"/>
          <w:sz w:val="22"/>
        </w:rPr>
        <w:t xml:space="preserve">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w:t>
      </w:r>
      <w:r w:rsidR="008E2776" w:rsidRPr="00DD1F63">
        <w:rPr>
          <w:rFonts w:ascii="Times New Roman" w:hAnsi="Times New Roman" w:cs="Times New Roman"/>
          <w:sz w:val="22"/>
        </w:rPr>
        <w:t>-</w:t>
      </w:r>
      <w:r w:rsidRPr="00DD1F63">
        <w:rPr>
          <w:rFonts w:ascii="Times New Roman" w:hAnsi="Times New Roman" w:cs="Times New Roman"/>
          <w:sz w:val="22"/>
        </w:rPr>
        <w:t xml:space="preserve">viral therapy in conjunction with TNF blocker therapy to prevent HBV reactivation. In patients who develop HBV reactivation, adalimumab should be stopped and effective anti-viral therapy with appropriate supportive treatment should be initiated. </w:t>
      </w:r>
    </w:p>
    <w:p w14:paraId="1B17E299" w14:textId="77777777" w:rsidR="00F40859" w:rsidRPr="00DD1F63" w:rsidRDefault="00F40859" w:rsidP="00377A09">
      <w:pPr>
        <w:spacing w:after="0" w:line="240" w:lineRule="auto"/>
        <w:ind w:left="426" w:hanging="11"/>
        <w:jc w:val="left"/>
        <w:rPr>
          <w:rFonts w:ascii="Times New Roman" w:hAnsi="Times New Roman" w:cs="Times New Roman"/>
          <w:sz w:val="22"/>
        </w:rPr>
      </w:pPr>
    </w:p>
    <w:p w14:paraId="1200CCC8" w14:textId="784B2D6D" w:rsidR="008E2776" w:rsidRPr="00DD1F63" w:rsidRDefault="00134642" w:rsidP="00377A09">
      <w:pPr>
        <w:keepNext/>
        <w:spacing w:after="0" w:line="240" w:lineRule="auto"/>
        <w:ind w:left="425" w:hanging="11"/>
        <w:jc w:val="left"/>
        <w:rPr>
          <w:rFonts w:ascii="Times New Roman" w:hAnsi="Times New Roman" w:cs="Times New Roman"/>
          <w:i/>
          <w:iCs/>
          <w:sz w:val="22"/>
          <w:u w:val="single"/>
        </w:rPr>
      </w:pPr>
      <w:r w:rsidRPr="00DD1F63">
        <w:rPr>
          <w:rFonts w:ascii="Times New Roman" w:hAnsi="Times New Roman" w:cs="Times New Roman"/>
          <w:i/>
          <w:iCs/>
          <w:sz w:val="22"/>
          <w:u w:val="single"/>
        </w:rPr>
        <w:t>Tuberculosis</w:t>
      </w:r>
    </w:p>
    <w:p w14:paraId="3F7B6DD0" w14:textId="7D309AF4" w:rsidR="008E2776" w:rsidRPr="00DD1F63" w:rsidRDefault="008E2776" w:rsidP="00377A09">
      <w:pPr>
        <w:keepNext/>
        <w:spacing w:after="0" w:line="240" w:lineRule="auto"/>
        <w:ind w:left="425" w:hanging="11"/>
        <w:jc w:val="left"/>
        <w:rPr>
          <w:rFonts w:ascii="Times New Roman" w:hAnsi="Times New Roman" w:cs="Times New Roman"/>
          <w:sz w:val="22"/>
        </w:rPr>
      </w:pPr>
    </w:p>
    <w:p w14:paraId="4CB56D0A" w14:textId="26C7048E"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Tuberculosis including reactivation and new onset of tuberculosis, has been reported in patients receiving adalimumab. Reports included cases of pulmonary and extra pulmonary (i.e., disseminated).</w:t>
      </w:r>
    </w:p>
    <w:p w14:paraId="0F0F624A" w14:textId="5C3A5ED0" w:rsidR="008E2776" w:rsidRPr="00DD1F63" w:rsidRDefault="008E2776" w:rsidP="00377A09">
      <w:pPr>
        <w:spacing w:after="0" w:line="240" w:lineRule="auto"/>
        <w:ind w:left="426" w:hanging="11"/>
        <w:jc w:val="left"/>
        <w:rPr>
          <w:rFonts w:ascii="Times New Roman" w:hAnsi="Times New Roman" w:cs="Times New Roman"/>
          <w:sz w:val="22"/>
        </w:rPr>
      </w:pPr>
    </w:p>
    <w:p w14:paraId="465438AA" w14:textId="60FBD229"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Before initiation of therapy with adalimumab, all patients should be evaluated for both active and inactive (latent) tuberculosis infection. This evaluation should include a detailed medical assessment of patient history of tuberculosis or possible previous exposure to people with active tuberculosis and previous and/or current immunosuppressive therapy. Appropriate screening tests (e.g., chest X-ray and tuberculin skin test) should be performed in accordance with local recommendations. Treatment of latent tuberculosis infections should be initiated prior to therapy with adalimumab. When tuberculin skin testing is performed for latent tuberculosis infection, an induration size of 5mm or greater should be considered positive, even if vaccinated previously with </w:t>
      </w:r>
      <w:proofErr w:type="spellStart"/>
      <w:r w:rsidRPr="00DD1F63">
        <w:rPr>
          <w:rFonts w:ascii="Times New Roman" w:hAnsi="Times New Roman" w:cs="Times New Roman"/>
          <w:sz w:val="22"/>
        </w:rPr>
        <w:t>Bacille</w:t>
      </w:r>
      <w:proofErr w:type="spellEnd"/>
      <w:r w:rsidRPr="00DD1F63">
        <w:rPr>
          <w:rFonts w:ascii="Times New Roman" w:hAnsi="Times New Roman" w:cs="Times New Roman"/>
          <w:sz w:val="22"/>
        </w:rPr>
        <w:t xml:space="preserve"> Calmette-Guerin (BCG).</w:t>
      </w:r>
    </w:p>
    <w:p w14:paraId="557DE264" w14:textId="59630080" w:rsidR="008E2776" w:rsidRPr="00DD1F63" w:rsidRDefault="008E2776" w:rsidP="00377A09">
      <w:pPr>
        <w:spacing w:after="0" w:line="240" w:lineRule="auto"/>
        <w:ind w:left="426" w:hanging="11"/>
        <w:jc w:val="left"/>
        <w:rPr>
          <w:rFonts w:ascii="Times New Roman" w:hAnsi="Times New Roman" w:cs="Times New Roman"/>
          <w:sz w:val="22"/>
        </w:rPr>
      </w:pPr>
    </w:p>
    <w:p w14:paraId="4617171A" w14:textId="3F29FA4D"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The possibility of undetected latent tuberculosis should be considered especially in patients who have immigrated from or travelled to countries with a high prevalence of tuberculosis or who had close contact with a person with active tuberculosis.</w:t>
      </w:r>
    </w:p>
    <w:p w14:paraId="272AD0A5" w14:textId="30931565" w:rsidR="008E2776" w:rsidRPr="00DD1F63" w:rsidRDefault="008E2776" w:rsidP="00377A09">
      <w:pPr>
        <w:spacing w:after="0" w:line="240" w:lineRule="auto"/>
        <w:ind w:left="426" w:hanging="11"/>
        <w:jc w:val="left"/>
        <w:rPr>
          <w:rFonts w:ascii="Times New Roman" w:hAnsi="Times New Roman" w:cs="Times New Roman"/>
          <w:sz w:val="22"/>
        </w:rPr>
      </w:pPr>
    </w:p>
    <w:p w14:paraId="15A89A29" w14:textId="37BA6056"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If active tuberculosis is diagnosed, adalimumab therapy must not be initiated.</w:t>
      </w:r>
    </w:p>
    <w:p w14:paraId="219D0794" w14:textId="20387623" w:rsidR="008E2776" w:rsidRPr="00DD1F63" w:rsidRDefault="008E2776" w:rsidP="00377A09">
      <w:pPr>
        <w:spacing w:after="0" w:line="240" w:lineRule="auto"/>
        <w:ind w:left="426" w:hanging="11"/>
        <w:jc w:val="left"/>
        <w:rPr>
          <w:rFonts w:ascii="Times New Roman" w:hAnsi="Times New Roman" w:cs="Times New Roman"/>
          <w:sz w:val="22"/>
        </w:rPr>
      </w:pPr>
    </w:p>
    <w:p w14:paraId="3118D583" w14:textId="477E3725"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If latent tuberculosis is diagnosed, appropriate treatment must be started with anti-tuberculosis prophylactic treatment before the initiation of adalimumab in accordance with local </w:t>
      </w:r>
      <w:r w:rsidRPr="00DD1F63">
        <w:rPr>
          <w:rFonts w:ascii="Times New Roman" w:hAnsi="Times New Roman" w:cs="Times New Roman"/>
          <w:sz w:val="22"/>
        </w:rPr>
        <w:lastRenderedPageBreak/>
        <w:t xml:space="preserve">recommendations. Use of anti-tuberculosis prophylactic treatment should also be considered before the initiation of adalimumab in patients with several or significant risk factors for tuberculosis despite a negative test for tuberculosis and in patients with </w:t>
      </w:r>
      <w:proofErr w:type="gramStart"/>
      <w:r w:rsidRPr="00DD1F63">
        <w:rPr>
          <w:rFonts w:ascii="Times New Roman" w:hAnsi="Times New Roman" w:cs="Times New Roman"/>
          <w:sz w:val="22"/>
        </w:rPr>
        <w:t>a past history</w:t>
      </w:r>
      <w:proofErr w:type="gramEnd"/>
      <w:r w:rsidRPr="00DD1F63">
        <w:rPr>
          <w:rFonts w:ascii="Times New Roman" w:hAnsi="Times New Roman" w:cs="Times New Roman"/>
          <w:sz w:val="22"/>
        </w:rPr>
        <w:t xml:space="preserve"> of latent or active tuberculosis in whom an adequate course of treatment cannot be confirmed. The decision to initiate anti-tuberculosis therapy in these patients should only be made after </w:t>
      </w:r>
      <w:proofErr w:type="gramStart"/>
      <w:r w:rsidRPr="00DD1F63">
        <w:rPr>
          <w:rFonts w:ascii="Times New Roman" w:hAnsi="Times New Roman" w:cs="Times New Roman"/>
          <w:sz w:val="22"/>
        </w:rPr>
        <w:t>taking into account</w:t>
      </w:r>
      <w:proofErr w:type="gramEnd"/>
      <w:r w:rsidRPr="00DD1F63">
        <w:rPr>
          <w:rFonts w:ascii="Times New Roman" w:hAnsi="Times New Roman" w:cs="Times New Roman"/>
          <w:sz w:val="22"/>
        </w:rPr>
        <w:t xml:space="preserve"> both the risk for latent tuberculosis infection and the risks of anti-tuberculosis therapy. If necessary, consultation should occur with a physician with expertise in the treatment of tuberculosis. The benefit/risk balance of therapy with adalimumab should be very carefully considered.</w:t>
      </w:r>
    </w:p>
    <w:p w14:paraId="131A8E96" w14:textId="7CDCD2F3" w:rsidR="008E2776" w:rsidRPr="00DD1F63" w:rsidRDefault="008E2776" w:rsidP="00377A09">
      <w:pPr>
        <w:spacing w:after="0" w:line="240" w:lineRule="auto"/>
        <w:ind w:left="426" w:hanging="11"/>
        <w:jc w:val="left"/>
        <w:rPr>
          <w:rFonts w:ascii="Times New Roman" w:hAnsi="Times New Roman" w:cs="Times New Roman"/>
          <w:sz w:val="22"/>
        </w:rPr>
      </w:pPr>
    </w:p>
    <w:p w14:paraId="3E95B8E7" w14:textId="04515343"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Anti-tuberculosis treatment of patients with latent tuberculosis infection reduces the risk of reactivation in patients receiving treatment with </w:t>
      </w:r>
      <w:r w:rsidR="00980E04" w:rsidRPr="00DD1F63">
        <w:rPr>
          <w:rFonts w:ascii="Times New Roman" w:hAnsi="Times New Roman" w:cs="Times New Roman"/>
          <w:sz w:val="22"/>
        </w:rPr>
        <w:t>adalimumab</w:t>
      </w:r>
      <w:r w:rsidRPr="00DD1F63">
        <w:rPr>
          <w:rFonts w:ascii="Times New Roman" w:hAnsi="Times New Roman" w:cs="Times New Roman"/>
          <w:sz w:val="22"/>
        </w:rPr>
        <w:t xml:space="preserve">. Despite prophylactic treatment for tuberculosis, cases of reactivated tuberculosis have occurred in patients treated with </w:t>
      </w:r>
      <w:r w:rsidR="00980E04" w:rsidRPr="00DD1F63">
        <w:rPr>
          <w:rFonts w:ascii="Times New Roman" w:hAnsi="Times New Roman" w:cs="Times New Roman"/>
          <w:sz w:val="22"/>
        </w:rPr>
        <w:t>adalimumab</w:t>
      </w:r>
      <w:r w:rsidRPr="00DD1F63">
        <w:rPr>
          <w:rFonts w:ascii="Times New Roman" w:hAnsi="Times New Roman" w:cs="Times New Roman"/>
          <w:sz w:val="22"/>
        </w:rPr>
        <w:t xml:space="preserve">. Also, active tuberculosis has developed in patients receiving </w:t>
      </w:r>
      <w:r w:rsidR="00980E04" w:rsidRPr="00DD1F63">
        <w:rPr>
          <w:rFonts w:ascii="Times New Roman" w:hAnsi="Times New Roman" w:cs="Times New Roman"/>
          <w:sz w:val="22"/>
        </w:rPr>
        <w:t xml:space="preserve">adalimumab </w:t>
      </w:r>
      <w:r w:rsidRPr="00DD1F63">
        <w:rPr>
          <w:rFonts w:ascii="Times New Roman" w:hAnsi="Times New Roman" w:cs="Times New Roman"/>
          <w:sz w:val="22"/>
        </w:rPr>
        <w:t>whose screening for latent tuberculosis infection was negative, and some patients who have been successfully treated for active tuberculosis have redeveloped tuberculosis while being treated with TNF blocking agents.</w:t>
      </w:r>
    </w:p>
    <w:p w14:paraId="78A337BC" w14:textId="289E29C0" w:rsidR="008E2776" w:rsidRPr="00DD1F63" w:rsidRDefault="008E2776" w:rsidP="00377A09">
      <w:pPr>
        <w:spacing w:after="0" w:line="240" w:lineRule="auto"/>
        <w:ind w:left="426" w:hanging="11"/>
        <w:jc w:val="left"/>
        <w:rPr>
          <w:rFonts w:ascii="Times New Roman" w:hAnsi="Times New Roman" w:cs="Times New Roman"/>
          <w:sz w:val="22"/>
        </w:rPr>
      </w:pPr>
    </w:p>
    <w:p w14:paraId="56B4675E" w14:textId="3EF3EF9B"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Patients receiving </w:t>
      </w:r>
      <w:r w:rsidR="00980E04" w:rsidRPr="00DD1F63">
        <w:rPr>
          <w:rFonts w:ascii="Times New Roman" w:hAnsi="Times New Roman" w:cs="Times New Roman"/>
          <w:sz w:val="22"/>
        </w:rPr>
        <w:t xml:space="preserve">adalimumab </w:t>
      </w:r>
      <w:r w:rsidRPr="00DD1F63">
        <w:rPr>
          <w:rFonts w:ascii="Times New Roman" w:hAnsi="Times New Roman" w:cs="Times New Roman"/>
          <w:sz w:val="22"/>
        </w:rPr>
        <w:t>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w:t>
      </w:r>
    </w:p>
    <w:p w14:paraId="0FD7D114" w14:textId="657C9B78" w:rsidR="008E2776" w:rsidRPr="00DD1F63" w:rsidRDefault="008E2776" w:rsidP="00377A09">
      <w:pPr>
        <w:spacing w:after="0" w:line="240" w:lineRule="auto"/>
        <w:ind w:left="426" w:hanging="11"/>
        <w:jc w:val="left"/>
        <w:rPr>
          <w:rFonts w:ascii="Times New Roman" w:hAnsi="Times New Roman" w:cs="Times New Roman"/>
          <w:sz w:val="22"/>
        </w:rPr>
      </w:pPr>
    </w:p>
    <w:p w14:paraId="78653510" w14:textId="2F3BE4FA" w:rsidR="008E2776" w:rsidRPr="00DD1F63" w:rsidRDefault="00134642" w:rsidP="00377A09">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Patients should be instructed to seek medical advice if signs/symptoms suggestive of a tuberculosis infection (e.g., persistent cough, wasting/weight loss, low grade fever) occur during or after therapy with </w:t>
      </w:r>
      <w:r w:rsidR="00980E04" w:rsidRPr="00DD1F63">
        <w:rPr>
          <w:rFonts w:ascii="Times New Roman" w:hAnsi="Times New Roman" w:cs="Times New Roman"/>
          <w:sz w:val="22"/>
        </w:rPr>
        <w:t>adalimumab</w:t>
      </w:r>
      <w:r w:rsidRPr="00DD1F63">
        <w:rPr>
          <w:rFonts w:ascii="Times New Roman" w:hAnsi="Times New Roman" w:cs="Times New Roman"/>
          <w:sz w:val="22"/>
        </w:rPr>
        <w:t>.</w:t>
      </w:r>
    </w:p>
    <w:p w14:paraId="0404EEC2" w14:textId="77777777" w:rsidR="008E2776" w:rsidRPr="00DD1F63" w:rsidRDefault="008E2776" w:rsidP="00377A09">
      <w:pPr>
        <w:spacing w:after="0" w:line="240" w:lineRule="auto"/>
        <w:ind w:left="426" w:hanging="11"/>
        <w:jc w:val="left"/>
        <w:rPr>
          <w:rFonts w:ascii="Times New Roman" w:hAnsi="Times New Roman" w:cs="Times New Roman"/>
          <w:sz w:val="22"/>
        </w:rPr>
      </w:pPr>
    </w:p>
    <w:p w14:paraId="253643D7" w14:textId="5AE418E1" w:rsidR="006B7C8E" w:rsidRPr="00DD1F63" w:rsidRDefault="00CA72FF" w:rsidP="00377A09">
      <w:pPr>
        <w:pStyle w:val="Heading3"/>
        <w:keepLines w:val="0"/>
        <w:spacing w:after="0" w:line="240" w:lineRule="auto"/>
        <w:ind w:left="425" w:hanging="11"/>
        <w:rPr>
          <w:rFonts w:ascii="Times New Roman" w:hAnsi="Times New Roman" w:cs="Times New Roman"/>
          <w:i/>
          <w:iCs/>
          <w:u w:val="none"/>
        </w:rPr>
      </w:pPr>
      <w:r w:rsidRPr="00DD1F63">
        <w:rPr>
          <w:rFonts w:ascii="Times New Roman" w:hAnsi="Times New Roman" w:cs="Times New Roman"/>
          <w:i/>
          <w:iCs/>
        </w:rPr>
        <w:t xml:space="preserve">Other </w:t>
      </w:r>
      <w:r w:rsidR="009D7512" w:rsidRPr="00DD1F63">
        <w:rPr>
          <w:rFonts w:ascii="Times New Roman" w:hAnsi="Times New Roman" w:cs="Times New Roman"/>
          <w:i/>
          <w:iCs/>
        </w:rPr>
        <w:t>o</w:t>
      </w:r>
      <w:r w:rsidRPr="00DD1F63">
        <w:rPr>
          <w:rFonts w:ascii="Times New Roman" w:hAnsi="Times New Roman" w:cs="Times New Roman"/>
          <w:i/>
          <w:iCs/>
        </w:rPr>
        <w:t xml:space="preserve">pportunistic </w:t>
      </w:r>
      <w:r w:rsidR="009D7512" w:rsidRPr="00DD1F63">
        <w:rPr>
          <w:rFonts w:ascii="Times New Roman" w:hAnsi="Times New Roman" w:cs="Times New Roman"/>
          <w:i/>
          <w:iCs/>
        </w:rPr>
        <w:t>i</w:t>
      </w:r>
      <w:r w:rsidRPr="00DD1F63">
        <w:rPr>
          <w:rFonts w:ascii="Times New Roman" w:hAnsi="Times New Roman" w:cs="Times New Roman"/>
          <w:i/>
          <w:iCs/>
        </w:rPr>
        <w:t>nfections</w:t>
      </w:r>
      <w:r w:rsidRPr="00DD1F63">
        <w:rPr>
          <w:rFonts w:ascii="Times New Roman" w:hAnsi="Times New Roman" w:cs="Times New Roman"/>
          <w:i/>
          <w:iCs/>
          <w:u w:val="none"/>
        </w:rPr>
        <w:t xml:space="preserve"> </w:t>
      </w:r>
    </w:p>
    <w:p w14:paraId="3706DC70" w14:textId="77777777" w:rsidR="004E140D" w:rsidRPr="00DD1F63" w:rsidRDefault="004E140D" w:rsidP="00377A09">
      <w:pPr>
        <w:spacing w:after="0" w:line="240" w:lineRule="auto"/>
        <w:ind w:left="426" w:hanging="11"/>
        <w:jc w:val="left"/>
        <w:rPr>
          <w:rFonts w:ascii="Times New Roman" w:hAnsi="Times New Roman" w:cs="Times New Roman"/>
          <w:sz w:val="22"/>
        </w:rPr>
      </w:pPr>
    </w:p>
    <w:p w14:paraId="2DD562F4" w14:textId="7B9B597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Opportunistic infections, including invasive fungal infections, have been observed in patients receiving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These infections are not consistently recognised in patients taking TNF blockers and this has resulted in delays in appropriate treatment, sometimes resulting in fatal outcomes. </w:t>
      </w:r>
    </w:p>
    <w:p w14:paraId="3896E47F"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6E41E7EE" w14:textId="56C2DBE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taking TNF blockers are more susceptible to serious fungal infections such as histoplasmosis, coccidioidomycosis, blastomycosis, aspergillosis, candidiasis, and other opportunistic infections. Those who develop fever, malaise, weight loss, sweats, cough, dyspnoea, and/or pulmonary infiltrates, or other serious systemic illness with or without concomitant shock should promptly seek medical attention for a diagnostic evaluation. </w:t>
      </w:r>
    </w:p>
    <w:p w14:paraId="219E0DA2"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16B85A0" w14:textId="477DC3A9"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w:t>
      </w:r>
      <w:proofErr w:type="gramStart"/>
      <w:r w:rsidRPr="00DD1F63">
        <w:rPr>
          <w:rFonts w:ascii="Times New Roman" w:hAnsi="Times New Roman" w:cs="Times New Roman"/>
          <w:sz w:val="22"/>
        </w:rPr>
        <w:t>take into account</w:t>
      </w:r>
      <w:proofErr w:type="gramEnd"/>
      <w:r w:rsidRPr="00DD1F63">
        <w:rPr>
          <w:rFonts w:ascii="Times New Roman" w:hAnsi="Times New Roman" w:cs="Times New Roman"/>
          <w:sz w:val="22"/>
        </w:rPr>
        <w:t xml:space="preserve"> both the risk for severe fungal infection and the risks of antifungal therapy. Patients who develop a severe fungal infection are also advised to stop the TNF blocker until infections are controlled. </w:t>
      </w:r>
    </w:p>
    <w:p w14:paraId="3EC812FF"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4F2482E" w14:textId="11C3E906" w:rsidR="006B7C8E" w:rsidRPr="00DD1F63" w:rsidRDefault="00CA72FF" w:rsidP="00377A09">
      <w:pPr>
        <w:pStyle w:val="Heading3"/>
        <w:pageBreakBefore/>
        <w:spacing w:after="0" w:line="240" w:lineRule="auto"/>
        <w:ind w:left="425" w:hanging="11"/>
        <w:rPr>
          <w:rFonts w:ascii="Times New Roman" w:hAnsi="Times New Roman" w:cs="Times New Roman"/>
          <w:u w:val="none"/>
        </w:rPr>
      </w:pPr>
      <w:r w:rsidRPr="00DD1F63">
        <w:rPr>
          <w:rFonts w:ascii="Times New Roman" w:hAnsi="Times New Roman" w:cs="Times New Roman"/>
        </w:rPr>
        <w:lastRenderedPageBreak/>
        <w:t xml:space="preserve">Neurologic </w:t>
      </w:r>
      <w:r w:rsidR="00290D8F" w:rsidRPr="00DD1F63">
        <w:rPr>
          <w:rFonts w:ascii="Times New Roman" w:hAnsi="Times New Roman" w:cs="Times New Roman"/>
        </w:rPr>
        <w:t>e</w:t>
      </w:r>
      <w:r w:rsidRPr="00DD1F63">
        <w:rPr>
          <w:rFonts w:ascii="Times New Roman" w:hAnsi="Times New Roman" w:cs="Times New Roman"/>
        </w:rPr>
        <w:t>vents</w:t>
      </w:r>
      <w:r w:rsidRPr="00DD1F63">
        <w:rPr>
          <w:rFonts w:ascii="Times New Roman" w:hAnsi="Times New Roman" w:cs="Times New Roman"/>
          <w:u w:val="none"/>
        </w:rPr>
        <w:t xml:space="preserve"> </w:t>
      </w:r>
    </w:p>
    <w:p w14:paraId="7CF3A871" w14:textId="77777777" w:rsidR="00010D9C" w:rsidRPr="00DD1F63" w:rsidRDefault="00010D9C" w:rsidP="00377A09">
      <w:pPr>
        <w:spacing w:after="0" w:line="240" w:lineRule="auto"/>
        <w:ind w:left="426" w:hanging="11"/>
        <w:jc w:val="left"/>
        <w:rPr>
          <w:sz w:val="22"/>
        </w:rPr>
      </w:pPr>
    </w:p>
    <w:p w14:paraId="1DC7ECB2" w14:textId="6807CB97" w:rsidR="006B7C8E" w:rsidRPr="00DD1F63" w:rsidRDefault="00290D8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been associated in rare cases with new onset or exacerbation of clinical symptoms and/or radiographic evidence of central nervous system demyelinating disease, including multiple sclerosis, and optic neuritis, and peripheral demyelinating disease, including Guillain Barré syndrome. Prescribers should exercise caution in considering the use of </w:t>
      </w:r>
      <w:r w:rsidRPr="00DD1F63">
        <w:rPr>
          <w:rFonts w:ascii="Times New Roman" w:hAnsi="Times New Roman" w:cs="Times New Roman"/>
          <w:sz w:val="22"/>
        </w:rPr>
        <w:t xml:space="preserve">adalimumab </w:t>
      </w:r>
      <w:r w:rsidR="00CA72FF" w:rsidRPr="00DD1F63">
        <w:rPr>
          <w:rFonts w:ascii="Times New Roman" w:hAnsi="Times New Roman" w:cs="Times New Roman"/>
          <w:sz w:val="22"/>
        </w:rPr>
        <w:t xml:space="preserve">in patients with pre-existing or recent-onset central or peripheral nervous system demyelinating disorders; discontinuation of </w:t>
      </w:r>
      <w:r w:rsidRPr="00DD1F63">
        <w:rPr>
          <w:rFonts w:ascii="Times New Roman" w:hAnsi="Times New Roman" w:cs="Times New Roman"/>
          <w:sz w:val="22"/>
        </w:rPr>
        <w:t xml:space="preserve">adalimumab </w:t>
      </w:r>
      <w:r w:rsidR="00CA72FF" w:rsidRPr="00DD1F63">
        <w:rPr>
          <w:rFonts w:ascii="Times New Roman" w:hAnsi="Times New Roman" w:cs="Times New Roman"/>
          <w:sz w:val="22"/>
        </w:rPr>
        <w:t xml:space="preserve">should be considered if any of these disorders develop. </w:t>
      </w:r>
    </w:p>
    <w:p w14:paraId="3061BBDA"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19D0364B" w14:textId="0E1A472F" w:rsidR="006B7C8E" w:rsidRPr="00DD1F63" w:rsidRDefault="00CA72FF" w:rsidP="00377A09">
      <w:pPr>
        <w:spacing w:after="0" w:line="240" w:lineRule="auto"/>
        <w:ind w:left="426" w:right="49"/>
        <w:jc w:val="left"/>
        <w:rPr>
          <w:rFonts w:ascii="Times New Roman" w:hAnsi="Times New Roman" w:cs="Times New Roman"/>
          <w:b/>
          <w:sz w:val="22"/>
        </w:rPr>
      </w:pPr>
      <w:r w:rsidRPr="00DD1F63">
        <w:rPr>
          <w:rFonts w:ascii="Times New Roman" w:hAnsi="Times New Roman" w:cs="Times New Roman"/>
          <w:b/>
          <w:sz w:val="22"/>
        </w:rPr>
        <w:t xml:space="preserve">There is a known association between intermediate uveitis and central demyelinating disorders. Neurologic evaluation should be performed in patients with non-infectious intermediate uveitis prior to the initiation of </w:t>
      </w:r>
      <w:r w:rsidR="00290D8F"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therapy and regularly during treatment to assess for pre-existing or developing central demyelinating disorders. </w:t>
      </w:r>
    </w:p>
    <w:p w14:paraId="62770D97" w14:textId="77777777" w:rsidR="00010D9C" w:rsidRPr="00DD1F63" w:rsidRDefault="00010D9C" w:rsidP="00377A09">
      <w:pPr>
        <w:spacing w:after="0" w:line="240" w:lineRule="auto"/>
        <w:ind w:left="426" w:right="366"/>
        <w:jc w:val="left"/>
        <w:rPr>
          <w:rFonts w:ascii="Times New Roman" w:hAnsi="Times New Roman" w:cs="Times New Roman"/>
        </w:rPr>
      </w:pPr>
    </w:p>
    <w:p w14:paraId="63BF959D" w14:textId="21299C0F"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Hypersensitivity </w:t>
      </w:r>
      <w:r w:rsidR="00290D8F" w:rsidRPr="00DD1F63">
        <w:rPr>
          <w:rFonts w:ascii="Times New Roman" w:hAnsi="Times New Roman" w:cs="Times New Roman"/>
        </w:rPr>
        <w:t>r</w:t>
      </w:r>
      <w:r w:rsidRPr="00DD1F63">
        <w:rPr>
          <w:rFonts w:ascii="Times New Roman" w:hAnsi="Times New Roman" w:cs="Times New Roman"/>
        </w:rPr>
        <w:t>eactions</w:t>
      </w:r>
      <w:r w:rsidRPr="00DD1F63">
        <w:rPr>
          <w:rFonts w:ascii="Times New Roman" w:hAnsi="Times New Roman" w:cs="Times New Roman"/>
          <w:u w:val="none"/>
        </w:rPr>
        <w:t xml:space="preserve"> </w:t>
      </w:r>
    </w:p>
    <w:p w14:paraId="24CB47B9" w14:textId="77777777" w:rsidR="00010D9C" w:rsidRPr="00DD1F63" w:rsidRDefault="00010D9C" w:rsidP="00377A09">
      <w:pPr>
        <w:spacing w:after="0" w:line="240" w:lineRule="auto"/>
        <w:ind w:left="426" w:hanging="11"/>
        <w:jc w:val="left"/>
        <w:rPr>
          <w:sz w:val="22"/>
        </w:rPr>
      </w:pPr>
    </w:p>
    <w:p w14:paraId="47DB94FB" w14:textId="194B757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Serious allergic reactions associated with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were rare during clinical trials. Allergic reactions overall (e.g., allergic rash, anaphylactoid reaction, fixed-drug reaction, non-specific drug reaction, urticaria) have been observed in approximately 1% of patients. Reports of serious allergic reactions including anaphylaxis have been received following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administration. If an anaphylactic reaction or other serious allergic reaction occurs, administration of </w:t>
      </w:r>
      <w:r w:rsidR="003006D2" w:rsidRPr="00DD1F63">
        <w:rPr>
          <w:rFonts w:ascii="Times New Roman" w:hAnsi="Times New Roman" w:cs="Times New Roman"/>
          <w:sz w:val="22"/>
        </w:rPr>
        <w:t xml:space="preserve">adalimumab </w:t>
      </w:r>
      <w:r w:rsidRPr="00DD1F63">
        <w:rPr>
          <w:rFonts w:ascii="Times New Roman" w:hAnsi="Times New Roman" w:cs="Times New Roman"/>
          <w:sz w:val="22"/>
        </w:rPr>
        <w:t xml:space="preserve">should be discontinued </w:t>
      </w:r>
      <w:proofErr w:type="gramStart"/>
      <w:r w:rsidRPr="00DD1F63">
        <w:rPr>
          <w:rFonts w:ascii="Times New Roman" w:hAnsi="Times New Roman" w:cs="Times New Roman"/>
          <w:sz w:val="22"/>
        </w:rPr>
        <w:t>immediately</w:t>
      </w:r>
      <w:proofErr w:type="gramEnd"/>
      <w:r w:rsidRPr="00DD1F63">
        <w:rPr>
          <w:rFonts w:ascii="Times New Roman" w:hAnsi="Times New Roman" w:cs="Times New Roman"/>
          <w:sz w:val="22"/>
        </w:rPr>
        <w:t xml:space="preserve"> and appropriate therapy initiated. </w:t>
      </w:r>
    </w:p>
    <w:p w14:paraId="78C6FF63"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DEF3F11" w14:textId="7EE521F3"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Haematologic </w:t>
      </w:r>
      <w:r w:rsidR="00290D8F" w:rsidRPr="00DD1F63">
        <w:rPr>
          <w:rFonts w:ascii="Times New Roman" w:hAnsi="Times New Roman" w:cs="Times New Roman"/>
        </w:rPr>
        <w:t>e</w:t>
      </w:r>
      <w:r w:rsidRPr="00DD1F63">
        <w:rPr>
          <w:rFonts w:ascii="Times New Roman" w:hAnsi="Times New Roman" w:cs="Times New Roman"/>
        </w:rPr>
        <w:t>vents</w:t>
      </w:r>
      <w:r w:rsidRPr="00DD1F63">
        <w:rPr>
          <w:rFonts w:ascii="Times New Roman" w:hAnsi="Times New Roman" w:cs="Times New Roman"/>
          <w:u w:val="none"/>
        </w:rPr>
        <w:t xml:space="preserve"> </w:t>
      </w:r>
    </w:p>
    <w:p w14:paraId="6B93088C" w14:textId="77777777" w:rsidR="00010D9C" w:rsidRPr="00DD1F63" w:rsidRDefault="00010D9C" w:rsidP="00377A09">
      <w:pPr>
        <w:keepNext/>
        <w:spacing w:after="0" w:line="240" w:lineRule="auto"/>
        <w:ind w:left="425" w:hanging="11"/>
        <w:jc w:val="left"/>
        <w:rPr>
          <w:sz w:val="22"/>
        </w:rPr>
      </w:pPr>
    </w:p>
    <w:p w14:paraId="6E535FDE" w14:textId="3421448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Rare reports of </w:t>
      </w:r>
      <w:proofErr w:type="spellStart"/>
      <w:r w:rsidRPr="00DD1F63">
        <w:rPr>
          <w:rFonts w:ascii="Times New Roman" w:hAnsi="Times New Roman" w:cs="Times New Roman"/>
          <w:sz w:val="22"/>
        </w:rPr>
        <w:t>pancytopaenia</w:t>
      </w:r>
      <w:proofErr w:type="spellEnd"/>
      <w:r w:rsidRPr="00DD1F63">
        <w:rPr>
          <w:rFonts w:ascii="Times New Roman" w:hAnsi="Times New Roman" w:cs="Times New Roman"/>
          <w:sz w:val="22"/>
        </w:rPr>
        <w:t xml:space="preserve"> including aplastic anaemia have been reported with TNF blocking agents. Adverse events of the haematologic system, including medically significant </w:t>
      </w:r>
      <w:proofErr w:type="spellStart"/>
      <w:r w:rsidRPr="00DD1F63">
        <w:rPr>
          <w:rFonts w:ascii="Times New Roman" w:hAnsi="Times New Roman" w:cs="Times New Roman"/>
          <w:sz w:val="22"/>
        </w:rPr>
        <w:t>cytopaenia</w:t>
      </w:r>
      <w:proofErr w:type="spellEnd"/>
      <w:r w:rsidRPr="00DD1F63">
        <w:rPr>
          <w:rFonts w:ascii="Times New Roman" w:hAnsi="Times New Roman" w:cs="Times New Roman"/>
          <w:sz w:val="22"/>
        </w:rPr>
        <w:t xml:space="preserve"> (e.g., thrombocytopaenia, </w:t>
      </w:r>
      <w:proofErr w:type="spellStart"/>
      <w:r w:rsidRPr="00DD1F63">
        <w:rPr>
          <w:rFonts w:ascii="Times New Roman" w:hAnsi="Times New Roman" w:cs="Times New Roman"/>
          <w:sz w:val="22"/>
        </w:rPr>
        <w:t>leukopaenia</w:t>
      </w:r>
      <w:proofErr w:type="spellEnd"/>
      <w:r w:rsidRPr="00DD1F63">
        <w:rPr>
          <w:rFonts w:ascii="Times New Roman" w:hAnsi="Times New Roman" w:cs="Times New Roman"/>
          <w:sz w:val="22"/>
        </w:rPr>
        <w:t xml:space="preserve">) have been infrequently reported with </w:t>
      </w:r>
      <w:r w:rsidR="00C22EF8" w:rsidRPr="00DD1F63">
        <w:rPr>
          <w:rFonts w:ascii="Times New Roman" w:hAnsi="Times New Roman" w:cs="Times New Roman"/>
          <w:sz w:val="22"/>
        </w:rPr>
        <w:t xml:space="preserve">adalimumab </w:t>
      </w:r>
      <w:r w:rsidRPr="00DD1F63">
        <w:rPr>
          <w:rFonts w:ascii="Times New Roman" w:hAnsi="Times New Roman" w:cs="Times New Roman"/>
          <w:sz w:val="22"/>
        </w:rPr>
        <w:t>(see</w:t>
      </w:r>
      <w:r w:rsidRPr="00DD1F63">
        <w:rPr>
          <w:rFonts w:ascii="Times New Roman" w:hAnsi="Times New Roman" w:cs="Times New Roman"/>
          <w:bCs/>
          <w:sz w:val="22"/>
        </w:rPr>
        <w:t xml:space="preserve"> </w:t>
      </w:r>
      <w:r w:rsidR="00CC4791" w:rsidRPr="00DD1F63">
        <w:rPr>
          <w:rFonts w:ascii="Times New Roman" w:hAnsi="Times New Roman" w:cs="Times New Roman"/>
          <w:bCs/>
          <w:sz w:val="22"/>
        </w:rPr>
        <w:t xml:space="preserve">section </w:t>
      </w:r>
      <w:r w:rsidRPr="00DD1F63">
        <w:rPr>
          <w:rFonts w:ascii="Times New Roman" w:hAnsi="Times New Roman" w:cs="Times New Roman"/>
          <w:bCs/>
          <w:sz w:val="22"/>
        </w:rPr>
        <w:t>4.8</w:t>
      </w:r>
      <w:r w:rsidRPr="00DD1F63">
        <w:rPr>
          <w:rFonts w:ascii="Times New Roman" w:hAnsi="Times New Roman" w:cs="Times New Roman"/>
          <w:b/>
          <w:sz w:val="22"/>
        </w:rPr>
        <w:t xml:space="preserve"> </w:t>
      </w:r>
      <w:r w:rsidR="00CC4791" w:rsidRPr="00DD1F63">
        <w:rPr>
          <w:rFonts w:ascii="Times New Roman" w:hAnsi="Times New Roman" w:cs="Times New Roman"/>
          <w:bCs/>
          <w:sz w:val="22"/>
        </w:rPr>
        <w:t>A</w:t>
      </w:r>
      <w:r w:rsidR="00290D8F" w:rsidRPr="00DD1F63">
        <w:rPr>
          <w:rFonts w:ascii="Times New Roman" w:hAnsi="Times New Roman" w:cs="Times New Roman"/>
          <w:bCs/>
          <w:sz w:val="22"/>
        </w:rPr>
        <w:t>dverse effects (undesirable effects</w:t>
      </w:r>
      <w:r w:rsidRPr="00DD1F63">
        <w:rPr>
          <w:rFonts w:ascii="Times New Roman" w:hAnsi="Times New Roman" w:cs="Times New Roman"/>
          <w:bCs/>
          <w:sz w:val="22"/>
        </w:rPr>
        <w:t>)</w:t>
      </w:r>
      <w:r w:rsidRPr="00DD1F63">
        <w:rPr>
          <w:rFonts w:ascii="Times New Roman" w:hAnsi="Times New Roman" w:cs="Times New Roman"/>
          <w:sz w:val="22"/>
        </w:rPr>
        <w:t xml:space="preserve">). The causal relationship of these reports to </w:t>
      </w:r>
      <w:r w:rsidR="00290D8F" w:rsidRPr="00DD1F63">
        <w:rPr>
          <w:rFonts w:ascii="Times New Roman" w:hAnsi="Times New Roman" w:cs="Times New Roman"/>
          <w:sz w:val="22"/>
        </w:rPr>
        <w:t xml:space="preserve">adalimumab </w:t>
      </w:r>
      <w:r w:rsidRPr="00DD1F63">
        <w:rPr>
          <w:rFonts w:ascii="Times New Roman" w:hAnsi="Times New Roman" w:cs="Times New Roman"/>
          <w:sz w:val="22"/>
        </w:rPr>
        <w:t xml:space="preserve">remains unclear. All patients should be advised to seek immediate medical attention if they develop signs and symptoms suggestive of blood dyscrasias or infection (e.g., persistent fever, bruising, bleeding, pallor) while on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Discontinuation of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therapy should be considered in patients with confirmed significant haematologic abnormalities. </w:t>
      </w:r>
    </w:p>
    <w:p w14:paraId="0C02B3AC"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275E8F6E" w14:textId="77777777" w:rsidR="00010D9C"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rPr>
        <w:t>Immunosuppression</w:t>
      </w:r>
    </w:p>
    <w:p w14:paraId="0F91A8AF" w14:textId="5EB380BC"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5B133664" w14:textId="53072ED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possibility exists for TNF blocking agents, including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to affect host </w:t>
      </w:r>
      <w:proofErr w:type="spellStart"/>
      <w:r w:rsidRPr="00DD1F63">
        <w:rPr>
          <w:rFonts w:ascii="Times New Roman" w:hAnsi="Times New Roman" w:cs="Times New Roman"/>
          <w:sz w:val="22"/>
        </w:rPr>
        <w:t>defenses</w:t>
      </w:r>
      <w:proofErr w:type="spellEnd"/>
      <w:r w:rsidRPr="00DD1F63">
        <w:rPr>
          <w:rFonts w:ascii="Times New Roman" w:hAnsi="Times New Roman" w:cs="Times New Roman"/>
          <w:sz w:val="22"/>
        </w:rPr>
        <w:t xml:space="preserve"> against infections and malignancies since TNF mediates inflammation and modulates cellular immune responses. In a study of 64 patients with rheumatoid arthritis treated with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there was no evidence of depression of delayed-type hypersensitivity, depression of immunoglobulin levels, or change in enumeration of effector T- and B-cells and NK-cells, monocyte/macrophages, and neutrophils. The impact of treatment with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on the development and course of malignancies, as well as active and/or chronic infections is not fully understood. The safety and efficacy of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in patients with immunosuppression have not been evaluated. (</w:t>
      </w:r>
      <w:proofErr w:type="gramStart"/>
      <w:r w:rsidRPr="00DD1F63">
        <w:rPr>
          <w:rFonts w:ascii="Times New Roman" w:hAnsi="Times New Roman" w:cs="Times New Roman"/>
          <w:sz w:val="22"/>
        </w:rPr>
        <w:t>see</w:t>
      </w:r>
      <w:proofErr w:type="gramEnd"/>
      <w:r w:rsidRPr="00DD1F63">
        <w:rPr>
          <w:rFonts w:ascii="Times New Roman" w:hAnsi="Times New Roman" w:cs="Times New Roman"/>
          <w:sz w:val="22"/>
        </w:rPr>
        <w:t xml:space="preserve"> </w:t>
      </w:r>
      <w:r w:rsidR="00CC4791" w:rsidRPr="00DD1F63">
        <w:rPr>
          <w:rFonts w:ascii="Times New Roman" w:hAnsi="Times New Roman" w:cs="Times New Roman"/>
          <w:sz w:val="22"/>
        </w:rPr>
        <w:t>section</w:t>
      </w:r>
      <w:r w:rsidR="00696E18" w:rsidRPr="00DD1F63">
        <w:rPr>
          <w:rFonts w:ascii="Times New Roman" w:hAnsi="Times New Roman" w:cs="Times New Roman"/>
          <w:sz w:val="22"/>
        </w:rPr>
        <w:t>s</w:t>
      </w:r>
      <w:r w:rsidR="00CC4791" w:rsidRPr="00DD1F63">
        <w:rPr>
          <w:rFonts w:ascii="Times New Roman" w:hAnsi="Times New Roman" w:cs="Times New Roman"/>
          <w:sz w:val="22"/>
        </w:rPr>
        <w:t xml:space="preserve"> </w:t>
      </w:r>
      <w:r w:rsidRPr="00DD1F63">
        <w:rPr>
          <w:rFonts w:ascii="Times New Roman" w:hAnsi="Times New Roman" w:cs="Times New Roman"/>
          <w:sz w:val="22"/>
        </w:rPr>
        <w:t>4.4</w:t>
      </w:r>
      <w:r w:rsidR="00290D8F" w:rsidRPr="00DD1F63">
        <w:rPr>
          <w:rFonts w:ascii="Times New Roman" w:hAnsi="Times New Roman" w:cs="Times New Roman"/>
          <w:sz w:val="22"/>
        </w:rPr>
        <w:t xml:space="preserve"> </w:t>
      </w:r>
      <w:r w:rsidR="00CC4791" w:rsidRPr="00DD1F63">
        <w:rPr>
          <w:rFonts w:ascii="Times New Roman" w:hAnsi="Times New Roman" w:cs="Times New Roman"/>
          <w:sz w:val="22"/>
        </w:rPr>
        <w:t>S</w:t>
      </w:r>
      <w:r w:rsidR="00290D8F" w:rsidRPr="00DD1F63">
        <w:rPr>
          <w:rFonts w:ascii="Times New Roman" w:hAnsi="Times New Roman" w:cs="Times New Roman"/>
          <w:bCs/>
          <w:sz w:val="22"/>
        </w:rPr>
        <w:t xml:space="preserve">pecial warnings and precautions - </w:t>
      </w:r>
      <w:r w:rsidR="00290D8F" w:rsidRPr="00DD1F63">
        <w:rPr>
          <w:rFonts w:ascii="Times New Roman" w:hAnsi="Times New Roman" w:cs="Times New Roman"/>
          <w:bCs/>
          <w:i/>
          <w:sz w:val="22"/>
        </w:rPr>
        <w:t>infections</w:t>
      </w:r>
      <w:r w:rsidR="00290D8F" w:rsidRPr="00DD1F63">
        <w:rPr>
          <w:rFonts w:ascii="Times New Roman" w:hAnsi="Times New Roman" w:cs="Times New Roman"/>
          <w:bCs/>
          <w:sz w:val="22"/>
        </w:rPr>
        <w:t xml:space="preserve"> and 4.8 adverse effects (undesirable effects</w:t>
      </w:r>
      <w:r w:rsidRPr="00DD1F63">
        <w:rPr>
          <w:rFonts w:ascii="Times New Roman" w:hAnsi="Times New Roman" w:cs="Times New Roman"/>
          <w:bCs/>
          <w:sz w:val="22"/>
        </w:rPr>
        <w:t xml:space="preserve">) - </w:t>
      </w:r>
      <w:r w:rsidR="00290D8F" w:rsidRPr="00DD1F63">
        <w:rPr>
          <w:rFonts w:ascii="Times New Roman" w:hAnsi="Times New Roman" w:cs="Times New Roman"/>
          <w:bCs/>
          <w:i/>
          <w:sz w:val="22"/>
        </w:rPr>
        <w:t>i</w:t>
      </w:r>
      <w:r w:rsidRPr="00DD1F63">
        <w:rPr>
          <w:rFonts w:ascii="Times New Roman" w:hAnsi="Times New Roman" w:cs="Times New Roman"/>
          <w:bCs/>
          <w:i/>
          <w:sz w:val="22"/>
        </w:rPr>
        <w:t>nfections and</w:t>
      </w:r>
      <w:r w:rsidR="00290D8F" w:rsidRPr="00DD1F63">
        <w:rPr>
          <w:rFonts w:ascii="Times New Roman" w:hAnsi="Times New Roman" w:cs="Times New Roman"/>
          <w:bCs/>
          <w:i/>
          <w:sz w:val="22"/>
        </w:rPr>
        <w:t xml:space="preserve"> m</w:t>
      </w:r>
      <w:r w:rsidRPr="00DD1F63">
        <w:rPr>
          <w:rFonts w:ascii="Times New Roman" w:hAnsi="Times New Roman" w:cs="Times New Roman"/>
          <w:bCs/>
          <w:i/>
          <w:sz w:val="22"/>
        </w:rPr>
        <w:t>alignancies</w:t>
      </w:r>
      <w:r w:rsidRPr="00DD1F63">
        <w:rPr>
          <w:rFonts w:ascii="Times New Roman" w:hAnsi="Times New Roman" w:cs="Times New Roman"/>
          <w:bCs/>
          <w:sz w:val="22"/>
        </w:rPr>
        <w:t>)</w:t>
      </w:r>
      <w:r w:rsidRPr="00DD1F63">
        <w:rPr>
          <w:rFonts w:ascii="Times New Roman" w:hAnsi="Times New Roman" w:cs="Times New Roman"/>
          <w:i/>
          <w:sz w:val="22"/>
        </w:rPr>
        <w:t>.</w:t>
      </w:r>
      <w:r w:rsidRPr="00DD1F63">
        <w:rPr>
          <w:rFonts w:ascii="Times New Roman" w:hAnsi="Times New Roman" w:cs="Times New Roman"/>
          <w:b/>
          <w:i/>
          <w:sz w:val="22"/>
        </w:rPr>
        <w:t xml:space="preserve"> </w:t>
      </w:r>
    </w:p>
    <w:p w14:paraId="354BFFCC" w14:textId="77777777" w:rsidR="00010D9C" w:rsidRPr="00DD1F63" w:rsidRDefault="00010D9C" w:rsidP="00377A09">
      <w:pPr>
        <w:spacing w:after="0" w:line="240" w:lineRule="auto"/>
        <w:ind w:left="426" w:firstLine="0"/>
        <w:jc w:val="left"/>
        <w:rPr>
          <w:rFonts w:ascii="Times New Roman" w:hAnsi="Times New Roman" w:cs="Times New Roman"/>
          <w:sz w:val="22"/>
        </w:rPr>
      </w:pPr>
    </w:p>
    <w:p w14:paraId="204317E7" w14:textId="77777777" w:rsidR="00010D9C"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rPr>
        <w:t>Vaccinations</w:t>
      </w:r>
    </w:p>
    <w:p w14:paraId="0B1A8867" w14:textId="3FA10B81"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13EF8461" w14:textId="67C3F5A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a randomised, double-blind, placebo-controlled study in 226 adult rheumatoid arthritis patients treated with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antibody responses to concomitant pneumococcal and influenza vaccines </w:t>
      </w:r>
      <w:r w:rsidRPr="00DD1F63">
        <w:rPr>
          <w:rFonts w:ascii="Times New Roman" w:hAnsi="Times New Roman" w:cs="Times New Roman"/>
          <w:sz w:val="22"/>
        </w:rPr>
        <w:lastRenderedPageBreak/>
        <w:t xml:space="preserve">were assessed. Protective antibody levels to the pneumococcal antigens were achieved by 86% of patients in the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group compared to 82% in the placebo group. A total of 37% of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-treated subjects and 40% of placebo-treated subjects achieved at least a 2-fold increase in at least 3 out of 5 pneumococcal antigens. In the same study 98% of patients in the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group and 95% in the placebo group achieved protective antibody levels to the influenza antigens. A total of 52% of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-treated subjects and 63% of placebo-treated subjects achieved at least a 4-fold increase in at least 2 out of 3 influenza antigens. </w:t>
      </w:r>
    </w:p>
    <w:p w14:paraId="0692F506"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66B6301D" w14:textId="687F87B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on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may receive concurrent vaccinations, except for live vaccines. No data are available on the secondary transmission of infection by live vaccines in patients receiving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663B3A45"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660AF2F" w14:textId="6DA8BEA7" w:rsidR="006B7C8E" w:rsidRPr="00DD1F63" w:rsidRDefault="00CA72FF" w:rsidP="00377A09">
      <w:pPr>
        <w:spacing w:after="0" w:line="240" w:lineRule="auto"/>
        <w:ind w:left="426" w:right="49"/>
        <w:jc w:val="left"/>
        <w:rPr>
          <w:rFonts w:ascii="Times New Roman" w:hAnsi="Times New Roman" w:cs="Times New Roman"/>
          <w:spacing w:val="2"/>
          <w:sz w:val="22"/>
        </w:rPr>
      </w:pPr>
      <w:r w:rsidRPr="00DD1F63">
        <w:rPr>
          <w:rFonts w:ascii="Times New Roman" w:hAnsi="Times New Roman" w:cs="Times New Roman"/>
          <w:spacing w:val="2"/>
          <w:sz w:val="22"/>
        </w:rPr>
        <w:t xml:space="preserve">Administration of live vaccines to infants exposed to </w:t>
      </w:r>
      <w:r w:rsidR="005B30B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w:t>
      </w:r>
      <w:r w:rsidRPr="00DD1F63">
        <w:rPr>
          <w:rFonts w:ascii="Times New Roman" w:hAnsi="Times New Roman" w:cs="Times New Roman"/>
          <w:i/>
          <w:spacing w:val="2"/>
          <w:sz w:val="22"/>
        </w:rPr>
        <w:t>in utero</w:t>
      </w:r>
      <w:r w:rsidRPr="00DD1F63">
        <w:rPr>
          <w:rFonts w:ascii="Times New Roman" w:hAnsi="Times New Roman" w:cs="Times New Roman"/>
          <w:spacing w:val="2"/>
          <w:sz w:val="22"/>
        </w:rPr>
        <w:t xml:space="preserve"> is not recommended for 5 months following the mother’s last </w:t>
      </w:r>
      <w:r w:rsidR="005B30B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injection during pregnancy.</w:t>
      </w:r>
    </w:p>
    <w:p w14:paraId="2D7251E1"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62D986E" w14:textId="7DA70AC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It is recommended that paediatric patients, if possible, be brought up to date with all immunisations in agreement with current immunisation guidelines prior to initiating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therapy. </w:t>
      </w:r>
    </w:p>
    <w:p w14:paraId="64D52B75"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E3DA5A0" w14:textId="382E95F9"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Congestive </w:t>
      </w:r>
      <w:r w:rsidR="005B30B1" w:rsidRPr="00DD1F63">
        <w:rPr>
          <w:rFonts w:ascii="Times New Roman" w:hAnsi="Times New Roman" w:cs="Times New Roman"/>
        </w:rPr>
        <w:t>h</w:t>
      </w:r>
      <w:r w:rsidRPr="00DD1F63">
        <w:rPr>
          <w:rFonts w:ascii="Times New Roman" w:hAnsi="Times New Roman" w:cs="Times New Roman"/>
        </w:rPr>
        <w:t xml:space="preserve">eart </w:t>
      </w:r>
      <w:r w:rsidR="005B30B1" w:rsidRPr="00DD1F63">
        <w:rPr>
          <w:rFonts w:ascii="Times New Roman" w:hAnsi="Times New Roman" w:cs="Times New Roman"/>
        </w:rPr>
        <w:t>f</w:t>
      </w:r>
      <w:r w:rsidRPr="00DD1F63">
        <w:rPr>
          <w:rFonts w:ascii="Times New Roman" w:hAnsi="Times New Roman" w:cs="Times New Roman"/>
        </w:rPr>
        <w:t>ailure</w:t>
      </w:r>
      <w:r w:rsidRPr="00DD1F63">
        <w:rPr>
          <w:rFonts w:ascii="Times New Roman" w:hAnsi="Times New Roman" w:cs="Times New Roman"/>
          <w:u w:val="none"/>
        </w:rPr>
        <w:t xml:space="preserve"> </w:t>
      </w:r>
    </w:p>
    <w:p w14:paraId="1C14B8E1" w14:textId="77777777" w:rsidR="00010D9C" w:rsidRPr="00DD1F63" w:rsidRDefault="00010D9C" w:rsidP="00377A09">
      <w:pPr>
        <w:spacing w:after="0" w:line="240" w:lineRule="auto"/>
        <w:ind w:left="426" w:hanging="11"/>
        <w:jc w:val="left"/>
        <w:rPr>
          <w:sz w:val="22"/>
        </w:rPr>
      </w:pPr>
    </w:p>
    <w:p w14:paraId="2E07DA18" w14:textId="00C49F9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a clinical trial with another TNF antagonist worsening congestive heart failure and increased mortality due to congestive heart failure have been observed. Cases of worsening congestive heart failure have been reported in patients receiving</w:t>
      </w:r>
      <w:r w:rsidR="00E21885" w:rsidRPr="00DD1F63">
        <w:rPr>
          <w:rFonts w:ascii="Times New Roman" w:hAnsi="Times New Roman" w:cs="Times New Roman"/>
          <w:sz w:val="22"/>
        </w:rPr>
        <w:t xml:space="preserve"> adalimumab</w:t>
      </w:r>
      <w:r w:rsidRPr="00DD1F63">
        <w:rPr>
          <w:rFonts w:ascii="Times New Roman" w:hAnsi="Times New Roman" w:cs="Times New Roman"/>
          <w:sz w:val="22"/>
        </w:rPr>
        <w:t xml:space="preserve">.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should be used with caution in patients with mild heart failure (NYHA class I/II).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is contraindicated in moderate or severe heart failure. Treatment with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must be discontinued in patients who develop new or worsening symptoms of congestive heart failure. </w:t>
      </w:r>
    </w:p>
    <w:p w14:paraId="12732779"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E46A4EE" w14:textId="66BDF62A"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Malignancies</w:t>
      </w:r>
      <w:r w:rsidRPr="00DD1F63">
        <w:rPr>
          <w:rFonts w:ascii="Times New Roman" w:hAnsi="Times New Roman" w:cs="Times New Roman"/>
          <w:u w:val="none"/>
        </w:rPr>
        <w:t xml:space="preserve"> </w:t>
      </w:r>
    </w:p>
    <w:p w14:paraId="2099A5B7" w14:textId="77777777" w:rsidR="00010D9C" w:rsidRPr="00DD1F63" w:rsidRDefault="00010D9C" w:rsidP="00377A09">
      <w:pPr>
        <w:spacing w:after="0" w:line="240" w:lineRule="auto"/>
        <w:ind w:left="426" w:hanging="11"/>
        <w:jc w:val="left"/>
        <w:rPr>
          <w:sz w:val="22"/>
        </w:rPr>
      </w:pPr>
    </w:p>
    <w:p w14:paraId="773232F9" w14:textId="3CA8DBB7"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controlled portions of clinical trials of TNF-antagonists, more cases of malignancies including lymphoma have been observed among patients receiving a TNF-antagonist, including </w:t>
      </w:r>
      <w:r w:rsidR="00E21885" w:rsidRPr="00DD1F63">
        <w:rPr>
          <w:rFonts w:ascii="Times New Roman" w:hAnsi="Times New Roman" w:cs="Times New Roman"/>
          <w:sz w:val="22"/>
        </w:rPr>
        <w:t>adalimumab</w:t>
      </w:r>
      <w:r w:rsidRPr="00DD1F63">
        <w:rPr>
          <w:rFonts w:ascii="Times New Roman" w:hAnsi="Times New Roman" w:cs="Times New Roman"/>
          <w:sz w:val="22"/>
        </w:rPr>
        <w:t>, compared with control patients (se</w:t>
      </w:r>
      <w:r w:rsidR="00E21885" w:rsidRPr="00DD1F63">
        <w:rPr>
          <w:rFonts w:ascii="Times New Roman" w:hAnsi="Times New Roman" w:cs="Times New Roman"/>
          <w:sz w:val="22"/>
        </w:rPr>
        <w:t xml:space="preserve">e </w:t>
      </w:r>
      <w:r w:rsidR="005E3F03" w:rsidRPr="00DD1F63">
        <w:rPr>
          <w:rFonts w:ascii="Times New Roman" w:hAnsi="Times New Roman" w:cs="Times New Roman"/>
          <w:sz w:val="22"/>
        </w:rPr>
        <w:t xml:space="preserve">section </w:t>
      </w:r>
      <w:r w:rsidR="00E21885" w:rsidRPr="00DD1F63">
        <w:rPr>
          <w:rFonts w:ascii="Times New Roman" w:hAnsi="Times New Roman" w:cs="Times New Roman"/>
          <w:sz w:val="22"/>
        </w:rPr>
        <w:t xml:space="preserve">4.8 </w:t>
      </w:r>
      <w:r w:rsidR="005E3F03" w:rsidRPr="00DD1F63">
        <w:rPr>
          <w:rFonts w:ascii="Times New Roman" w:hAnsi="Times New Roman" w:cs="Times New Roman"/>
          <w:sz w:val="22"/>
        </w:rPr>
        <w:t>A</w:t>
      </w:r>
      <w:r w:rsidR="00E21885" w:rsidRPr="00DD1F63">
        <w:rPr>
          <w:rFonts w:ascii="Times New Roman" w:hAnsi="Times New Roman" w:cs="Times New Roman"/>
          <w:sz w:val="22"/>
        </w:rPr>
        <w:t>dverse effects (undesirable effects)</w:t>
      </w:r>
      <w:r w:rsidRPr="00DD1F63">
        <w:rPr>
          <w:rFonts w:ascii="Times New Roman" w:hAnsi="Times New Roman" w:cs="Times New Roman"/>
          <w:b/>
          <w:sz w:val="22"/>
        </w:rPr>
        <w:t xml:space="preserve"> </w:t>
      </w:r>
      <w:r w:rsidRPr="00DD1F63">
        <w:rPr>
          <w:rFonts w:ascii="Times New Roman" w:hAnsi="Times New Roman" w:cs="Times New Roman"/>
          <w:bCs/>
          <w:sz w:val="22"/>
        </w:rPr>
        <w:t>–</w:t>
      </w:r>
      <w:r w:rsidRPr="00DD1F63">
        <w:rPr>
          <w:rFonts w:ascii="Times New Roman" w:hAnsi="Times New Roman" w:cs="Times New Roman"/>
          <w:bCs/>
          <w:i/>
          <w:sz w:val="22"/>
        </w:rPr>
        <w:t>Malignancies</w:t>
      </w:r>
      <w:r w:rsidRPr="00DD1F63">
        <w:rPr>
          <w:rFonts w:ascii="Times New Roman" w:hAnsi="Times New Roman" w:cs="Times New Roman"/>
          <w:bCs/>
          <w:sz w:val="22"/>
        </w:rPr>
        <w:t>)</w:t>
      </w:r>
      <w:r w:rsidRPr="00DD1F63">
        <w:rPr>
          <w:rFonts w:ascii="Times New Roman" w:hAnsi="Times New Roman" w:cs="Times New Roman"/>
          <w:sz w:val="22"/>
        </w:rPr>
        <w:t xml:space="preserve">. However, the occurrence was rare. Furthermore, there is an increased background lymphoma risk in rheumatoid arthritis patients with long-standing, highly active inflammatory disease, which complicates the risk estimation. </w:t>
      </w:r>
    </w:p>
    <w:p w14:paraId="678D6BED"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5BDA65AE" w14:textId="3501CA6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Very rare post marketing reports of hepatosplenic T-cell lymphoma (HSTCL), a rare aggressive lymphoma that is often fatal, have been identified in patients treated with adalimumab. Most of the patients had prior infliximab therapy as well as concomitant azathioprine or 6-mercaptopurine use for inflammatory bowel disease. The potential risk with the combination of azathioprine or 6</w:t>
      </w:r>
      <w:r w:rsidR="005E3F03" w:rsidRPr="00DD1F63">
        <w:rPr>
          <w:rFonts w:ascii="Times New Roman" w:hAnsi="Times New Roman" w:cs="Times New Roman"/>
          <w:sz w:val="22"/>
        </w:rPr>
        <w:t>-</w:t>
      </w:r>
      <w:r w:rsidRPr="00DD1F63">
        <w:rPr>
          <w:rFonts w:ascii="Times New Roman" w:hAnsi="Times New Roman" w:cs="Times New Roman"/>
          <w:sz w:val="22"/>
        </w:rPr>
        <w:t xml:space="preserve">mercaptopurine and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should be carefully considered. The causal association of HSTCL with adalimumab is not clear. </w:t>
      </w:r>
    </w:p>
    <w:p w14:paraId="37B1F12B"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647B9B5A" w14:textId="407DBF22" w:rsidR="006B7C8E" w:rsidRPr="00DD1F63" w:rsidRDefault="00CA72FF" w:rsidP="00377A09">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With the current knowledge, a possible risk for the development of lymphomas or other malignancies in patients treated with a TNF-antagonist cannot be excluded. </w:t>
      </w:r>
    </w:p>
    <w:p w14:paraId="331A6441"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503AF0C" w14:textId="62011C8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Malignancies, some fatal, have been reported among children and adolescents who received treatment with TNF-blocking agents. Approximately half the cases were lymphomas, including Hodgkin's and non</w:t>
      </w:r>
      <w:r w:rsidR="005E3F03" w:rsidRPr="00DD1F63">
        <w:rPr>
          <w:rFonts w:ascii="Times New Roman" w:hAnsi="Times New Roman" w:cs="Times New Roman"/>
          <w:sz w:val="22"/>
        </w:rPr>
        <w:t>-</w:t>
      </w:r>
      <w:r w:rsidRPr="00DD1F63">
        <w:rPr>
          <w:rFonts w:ascii="Times New Roman" w:hAnsi="Times New Roman" w:cs="Times New Roman"/>
          <w:sz w:val="22"/>
        </w:rPr>
        <w:t xml:space="preserve">Hodgkin's lymphoma. The other cases represented a variety of different malignancies and included rare malignancies usually associated with immunosuppression. The malignancies occurred after a median of 30 months of therapy. Most of the patients were receiving </w:t>
      </w:r>
      <w:r w:rsidRPr="00DD1F63">
        <w:rPr>
          <w:rFonts w:ascii="Times New Roman" w:hAnsi="Times New Roman" w:cs="Times New Roman"/>
          <w:sz w:val="22"/>
        </w:rPr>
        <w:lastRenderedPageBreak/>
        <w:t xml:space="preserve">concomitant immunosuppressants. These cases were reported post marketing and are derived from a variety of sources including registries and spontaneous post marketing reports. </w:t>
      </w:r>
    </w:p>
    <w:p w14:paraId="003EC160"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295F5A05" w14:textId="2CC8303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No studies have been conducted that include patients with a history of malignancy or that continue treatment in patients who develop malignancy while receiving </w:t>
      </w:r>
      <w:r w:rsidR="006A68E0" w:rsidRPr="00DD1F63">
        <w:rPr>
          <w:rFonts w:ascii="Times New Roman" w:hAnsi="Times New Roman" w:cs="Times New Roman"/>
          <w:sz w:val="22"/>
        </w:rPr>
        <w:t>adalimumab</w:t>
      </w:r>
      <w:r w:rsidRPr="00DD1F63">
        <w:rPr>
          <w:rFonts w:ascii="Times New Roman" w:hAnsi="Times New Roman" w:cs="Times New Roman"/>
          <w:sz w:val="22"/>
        </w:rPr>
        <w:t xml:space="preserve">. Thus, additional caution should be exercised in considering </w:t>
      </w:r>
      <w:r w:rsidR="006A68E0" w:rsidRPr="00DD1F63">
        <w:rPr>
          <w:rFonts w:ascii="Times New Roman" w:hAnsi="Times New Roman" w:cs="Times New Roman"/>
          <w:sz w:val="22"/>
        </w:rPr>
        <w:t>adalimumab</w:t>
      </w:r>
      <w:r w:rsidRPr="00DD1F63">
        <w:rPr>
          <w:rFonts w:ascii="Times New Roman" w:hAnsi="Times New Roman" w:cs="Times New Roman"/>
          <w:sz w:val="22"/>
        </w:rPr>
        <w:t xml:space="preserve"> treatment for these patients. </w:t>
      </w:r>
    </w:p>
    <w:p w14:paraId="7C03ABDE"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A0D32A1" w14:textId="250551C6"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w:t>
      </w:r>
      <w:r w:rsidR="005E3F03" w:rsidRPr="00DD1F63">
        <w:rPr>
          <w:rFonts w:ascii="Times New Roman" w:hAnsi="Times New Roman" w:cs="Times New Roman"/>
          <w:sz w:val="22"/>
        </w:rPr>
        <w:t>-</w:t>
      </w:r>
      <w:r w:rsidRPr="00DD1F63">
        <w:rPr>
          <w:rFonts w:ascii="Times New Roman" w:hAnsi="Times New Roman" w:cs="Times New Roman"/>
          <w:sz w:val="22"/>
        </w:rPr>
        <w:t xml:space="preserve">antagonist in COPD patients, as well as in patients with an increased risk for malignancy due to heavy smoking. </w:t>
      </w:r>
    </w:p>
    <w:p w14:paraId="02847D63"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75C28E5" w14:textId="5017E6B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All patients, and in particular patients with a medical history of extensive immunosuppressant therapy or psoriasis patients with a history of PUVA treatment should be examined for the presence of non</w:t>
      </w:r>
      <w:r w:rsidR="005E3F03" w:rsidRPr="00DD1F63">
        <w:rPr>
          <w:rFonts w:ascii="Times New Roman" w:hAnsi="Times New Roman" w:cs="Times New Roman"/>
          <w:sz w:val="22"/>
        </w:rPr>
        <w:t>-</w:t>
      </w:r>
      <w:r w:rsidRPr="00DD1F63">
        <w:rPr>
          <w:rFonts w:ascii="Times New Roman" w:hAnsi="Times New Roman" w:cs="Times New Roman"/>
          <w:sz w:val="22"/>
        </w:rPr>
        <w:t xml:space="preserve">melanoma skin cancer prior to and during treatment with </w:t>
      </w:r>
      <w:r w:rsidR="006A68E0" w:rsidRPr="00DD1F63">
        <w:rPr>
          <w:rFonts w:ascii="Times New Roman" w:hAnsi="Times New Roman" w:cs="Times New Roman"/>
          <w:sz w:val="22"/>
        </w:rPr>
        <w:t>adalimumab</w:t>
      </w:r>
      <w:r w:rsidRPr="00DD1F63">
        <w:rPr>
          <w:rFonts w:ascii="Times New Roman" w:hAnsi="Times New Roman" w:cs="Times New Roman"/>
          <w:sz w:val="22"/>
        </w:rPr>
        <w:t xml:space="preserve">. Melanoma and Merkel cell carcinoma have also been reported in patients treated with TNF-antagonists including adalimumab (see </w:t>
      </w:r>
      <w:r w:rsidR="00275A66" w:rsidRPr="00DD1F63">
        <w:rPr>
          <w:rFonts w:ascii="Times New Roman" w:hAnsi="Times New Roman" w:cs="Times New Roman"/>
          <w:sz w:val="22"/>
        </w:rPr>
        <w:t xml:space="preserve">section </w:t>
      </w:r>
      <w:r w:rsidRPr="00DD1F63">
        <w:rPr>
          <w:rFonts w:ascii="Times New Roman" w:hAnsi="Times New Roman" w:cs="Times New Roman"/>
          <w:sz w:val="22"/>
        </w:rPr>
        <w:t>4.8</w:t>
      </w:r>
      <w:r w:rsidR="006A68E0" w:rsidRPr="00DD1F63">
        <w:rPr>
          <w:rFonts w:ascii="Times New Roman" w:hAnsi="Times New Roman" w:cs="Times New Roman"/>
          <w:b/>
          <w:sz w:val="22"/>
        </w:rPr>
        <w:t xml:space="preserve"> </w:t>
      </w:r>
      <w:r w:rsidR="00275A66" w:rsidRPr="00DD1F63">
        <w:rPr>
          <w:rFonts w:ascii="Times New Roman" w:hAnsi="Times New Roman" w:cs="Times New Roman"/>
          <w:bCs/>
          <w:sz w:val="22"/>
        </w:rPr>
        <w:t>A</w:t>
      </w:r>
      <w:r w:rsidR="006A68E0" w:rsidRPr="00DD1F63">
        <w:rPr>
          <w:rFonts w:ascii="Times New Roman" w:hAnsi="Times New Roman" w:cs="Times New Roman"/>
          <w:bCs/>
          <w:sz w:val="22"/>
        </w:rPr>
        <w:t>dverse effects (undesirable effects</w:t>
      </w:r>
      <w:r w:rsidRPr="00DD1F63">
        <w:rPr>
          <w:rFonts w:ascii="Times New Roman" w:hAnsi="Times New Roman" w:cs="Times New Roman"/>
          <w:bCs/>
          <w:sz w:val="22"/>
        </w:rPr>
        <w:t>)).</w:t>
      </w:r>
      <w:r w:rsidRPr="00DD1F63">
        <w:rPr>
          <w:rFonts w:ascii="Times New Roman" w:hAnsi="Times New Roman" w:cs="Times New Roman"/>
          <w:sz w:val="22"/>
        </w:rPr>
        <w:t xml:space="preserve"> </w:t>
      </w:r>
    </w:p>
    <w:p w14:paraId="15092A27"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2599D44D" w14:textId="1BA2E82C"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Cases of acute and chronic leukaemia have been reported in association with post marketing TNF blocker use in rheumatoid arthritis and other indications. Patients with rheumatoid arthritis may be at a higher risk (up to 2-fold) than the general population for the development of leukaemia, even in the absence of TNF-blocking therapy. </w:t>
      </w:r>
    </w:p>
    <w:p w14:paraId="53B196D5"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1972523C" w14:textId="07D6542F"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With current data it is not known if adalimumab treatment influences the risk for developing dysplasia or colon cancer. </w:t>
      </w:r>
      <w:r w:rsidR="008C570B" w:rsidRPr="00DD1F63">
        <w:rPr>
          <w:rFonts w:ascii="Times New Roman" w:hAnsi="Times New Roman" w:cs="Times New Roman"/>
          <w:sz w:val="22"/>
        </w:rPr>
        <w:t>All patients with ulcerative colitis who are at increased risk for dysplasia or colon carcinoma (for example, patients with long-standing ulcerative colitis or primary sclerosing cholangitis), or who had a prior history of dysplasia or colon carcinoma should be screened for dysplasia at regular intervals before therapy and throughout their disease course. This evaluation should include colonoscopy and biopsies per local recommendations.</w:t>
      </w:r>
    </w:p>
    <w:p w14:paraId="5B8A0F9A"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51C98D7B" w14:textId="4347DC93"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Autoimmune </w:t>
      </w:r>
      <w:r w:rsidR="0059787B" w:rsidRPr="00DD1F63">
        <w:rPr>
          <w:rFonts w:ascii="Times New Roman" w:hAnsi="Times New Roman" w:cs="Times New Roman"/>
        </w:rPr>
        <w:t>p</w:t>
      </w:r>
      <w:r w:rsidRPr="00DD1F63">
        <w:rPr>
          <w:rFonts w:ascii="Times New Roman" w:hAnsi="Times New Roman" w:cs="Times New Roman"/>
        </w:rPr>
        <w:t>rocesses</w:t>
      </w:r>
      <w:r w:rsidRPr="00DD1F63">
        <w:rPr>
          <w:rFonts w:ascii="Times New Roman" w:hAnsi="Times New Roman" w:cs="Times New Roman"/>
          <w:u w:val="none"/>
        </w:rPr>
        <w:t xml:space="preserve"> </w:t>
      </w:r>
    </w:p>
    <w:p w14:paraId="4AA807A3" w14:textId="77777777" w:rsidR="00010D9C" w:rsidRPr="00DD1F63" w:rsidRDefault="00010D9C" w:rsidP="00377A09">
      <w:pPr>
        <w:keepNext/>
        <w:spacing w:after="0" w:line="240" w:lineRule="auto"/>
        <w:ind w:left="425" w:hanging="11"/>
        <w:jc w:val="left"/>
        <w:rPr>
          <w:sz w:val="22"/>
        </w:rPr>
      </w:pPr>
    </w:p>
    <w:p w14:paraId="3C457EAD" w14:textId="0CA9A5D4" w:rsidR="006B7C8E" w:rsidRPr="00DD1F63" w:rsidRDefault="00CA72FF" w:rsidP="00377A09">
      <w:pPr>
        <w:spacing w:after="0" w:line="240" w:lineRule="auto"/>
        <w:ind w:left="426" w:right="49"/>
        <w:jc w:val="left"/>
        <w:rPr>
          <w:rFonts w:ascii="Times New Roman" w:hAnsi="Times New Roman" w:cs="Times New Roman"/>
          <w:i/>
          <w:sz w:val="22"/>
        </w:rPr>
      </w:pPr>
      <w:r w:rsidRPr="00DD1F63">
        <w:rPr>
          <w:rFonts w:ascii="Times New Roman" w:hAnsi="Times New Roman" w:cs="Times New Roman"/>
          <w:sz w:val="22"/>
        </w:rPr>
        <w:t xml:space="preserve">Treatment with </w:t>
      </w:r>
      <w:r w:rsidR="005E560E" w:rsidRPr="00DD1F63">
        <w:rPr>
          <w:rFonts w:ascii="Times New Roman" w:hAnsi="Times New Roman" w:cs="Times New Roman"/>
          <w:sz w:val="22"/>
        </w:rPr>
        <w:t>adalimumab</w:t>
      </w:r>
      <w:r w:rsidRPr="00DD1F63">
        <w:rPr>
          <w:rFonts w:ascii="Times New Roman" w:hAnsi="Times New Roman" w:cs="Times New Roman"/>
          <w:sz w:val="22"/>
        </w:rPr>
        <w:t xml:space="preserve"> may result in the formation of autoantibodies and rarely in the development of a lupus-like syndrome. The impact of long-term treatment with </w:t>
      </w:r>
      <w:r w:rsidR="005E560E" w:rsidRPr="00DD1F63">
        <w:rPr>
          <w:rFonts w:ascii="Times New Roman" w:hAnsi="Times New Roman" w:cs="Times New Roman"/>
          <w:sz w:val="22"/>
        </w:rPr>
        <w:t>adalimumab</w:t>
      </w:r>
      <w:r w:rsidRPr="00DD1F63">
        <w:rPr>
          <w:rFonts w:ascii="Times New Roman" w:hAnsi="Times New Roman" w:cs="Times New Roman"/>
          <w:sz w:val="22"/>
        </w:rPr>
        <w:t xml:space="preserve"> on the development of autoimmune disease is unknown. If a patient develops symptoms suggestive of a lupus-like syndrome following treatment with </w:t>
      </w:r>
      <w:r w:rsidR="005E560E" w:rsidRPr="00DD1F63">
        <w:rPr>
          <w:rFonts w:ascii="Times New Roman" w:hAnsi="Times New Roman" w:cs="Times New Roman"/>
          <w:sz w:val="22"/>
        </w:rPr>
        <w:t>adalimumab</w:t>
      </w:r>
      <w:r w:rsidRPr="00DD1F63">
        <w:rPr>
          <w:rFonts w:ascii="Times New Roman" w:hAnsi="Times New Roman" w:cs="Times New Roman"/>
          <w:sz w:val="22"/>
        </w:rPr>
        <w:t>, treatment should be discontinued (</w:t>
      </w:r>
      <w:r w:rsidR="005E560E" w:rsidRPr="00DD1F63">
        <w:rPr>
          <w:rFonts w:ascii="Times New Roman" w:hAnsi="Times New Roman" w:cs="Times New Roman"/>
          <w:sz w:val="22"/>
        </w:rPr>
        <w:t xml:space="preserve">see </w:t>
      </w:r>
      <w:r w:rsidR="00275A66" w:rsidRPr="00DD1F63">
        <w:rPr>
          <w:rFonts w:ascii="Times New Roman" w:hAnsi="Times New Roman" w:cs="Times New Roman"/>
          <w:sz w:val="22"/>
        </w:rPr>
        <w:t xml:space="preserve">section </w:t>
      </w:r>
      <w:r w:rsidR="005E560E" w:rsidRPr="00DD1F63">
        <w:rPr>
          <w:rFonts w:ascii="Times New Roman" w:hAnsi="Times New Roman" w:cs="Times New Roman"/>
          <w:sz w:val="22"/>
        </w:rPr>
        <w:t xml:space="preserve">4.8 </w:t>
      </w:r>
      <w:r w:rsidR="00275A66" w:rsidRPr="00DD1F63">
        <w:rPr>
          <w:rFonts w:ascii="Times New Roman" w:hAnsi="Times New Roman" w:cs="Times New Roman"/>
          <w:sz w:val="22"/>
        </w:rPr>
        <w:t>A</w:t>
      </w:r>
      <w:r w:rsidR="005E560E" w:rsidRPr="00DD1F63">
        <w:rPr>
          <w:rFonts w:ascii="Times New Roman" w:hAnsi="Times New Roman" w:cs="Times New Roman"/>
          <w:sz w:val="22"/>
        </w:rPr>
        <w:t>dverse effects (undesirable effects</w:t>
      </w:r>
      <w:r w:rsidRPr="00DD1F63">
        <w:rPr>
          <w:rFonts w:ascii="Times New Roman" w:hAnsi="Times New Roman" w:cs="Times New Roman"/>
          <w:bCs/>
          <w:sz w:val="22"/>
        </w:rPr>
        <w:t>)</w:t>
      </w:r>
      <w:r w:rsidRPr="00DD1F63">
        <w:rPr>
          <w:rFonts w:ascii="Times New Roman" w:hAnsi="Times New Roman" w:cs="Times New Roman"/>
          <w:b/>
          <w:sz w:val="22"/>
        </w:rPr>
        <w:t xml:space="preserve"> </w:t>
      </w:r>
      <w:r w:rsidRPr="00DD1F63">
        <w:rPr>
          <w:rFonts w:ascii="Times New Roman" w:hAnsi="Times New Roman" w:cs="Times New Roman"/>
          <w:bCs/>
          <w:sz w:val="22"/>
        </w:rPr>
        <w:t xml:space="preserve">– </w:t>
      </w:r>
      <w:r w:rsidRPr="00DD1F63">
        <w:rPr>
          <w:rFonts w:ascii="Times New Roman" w:hAnsi="Times New Roman" w:cs="Times New Roman"/>
          <w:bCs/>
          <w:i/>
          <w:sz w:val="22"/>
        </w:rPr>
        <w:t>Autoantibodies</w:t>
      </w:r>
      <w:r w:rsidRPr="00DD1F63">
        <w:rPr>
          <w:rFonts w:ascii="Times New Roman" w:hAnsi="Times New Roman" w:cs="Times New Roman"/>
          <w:bCs/>
          <w:sz w:val="22"/>
        </w:rPr>
        <w:t>)</w:t>
      </w:r>
      <w:r w:rsidRPr="00DD1F63">
        <w:rPr>
          <w:rFonts w:ascii="Times New Roman" w:hAnsi="Times New Roman" w:cs="Times New Roman"/>
          <w:sz w:val="22"/>
        </w:rPr>
        <w:t>.</w:t>
      </w:r>
      <w:r w:rsidRPr="00DD1F63">
        <w:rPr>
          <w:rFonts w:ascii="Times New Roman" w:hAnsi="Times New Roman" w:cs="Times New Roman"/>
          <w:i/>
          <w:sz w:val="22"/>
        </w:rPr>
        <w:t xml:space="preserve"> </w:t>
      </w:r>
    </w:p>
    <w:p w14:paraId="0B886D84"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51198844" w14:textId="09B727DD"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Concurrent </w:t>
      </w:r>
      <w:r w:rsidR="005E560E" w:rsidRPr="00DD1F63">
        <w:rPr>
          <w:rFonts w:ascii="Times New Roman" w:hAnsi="Times New Roman" w:cs="Times New Roman"/>
        </w:rPr>
        <w:t>a</w:t>
      </w:r>
      <w:r w:rsidRPr="00DD1F63">
        <w:rPr>
          <w:rFonts w:ascii="Times New Roman" w:hAnsi="Times New Roman" w:cs="Times New Roman"/>
        </w:rPr>
        <w:t>dministration of biologic DMARDS or TNF-antagonists</w:t>
      </w:r>
      <w:r w:rsidRPr="00DD1F63">
        <w:rPr>
          <w:rFonts w:ascii="Times New Roman" w:hAnsi="Times New Roman" w:cs="Times New Roman"/>
          <w:u w:val="none"/>
        </w:rPr>
        <w:t xml:space="preserve"> </w:t>
      </w:r>
    </w:p>
    <w:p w14:paraId="613897D7" w14:textId="77777777" w:rsidR="00010D9C" w:rsidRPr="00DD1F63" w:rsidRDefault="00010D9C" w:rsidP="00377A09">
      <w:pPr>
        <w:spacing w:after="0" w:line="240" w:lineRule="auto"/>
        <w:ind w:left="426" w:hanging="11"/>
        <w:jc w:val="left"/>
        <w:rPr>
          <w:sz w:val="22"/>
        </w:rPr>
      </w:pPr>
    </w:p>
    <w:p w14:paraId="5B8D753D" w14:textId="175E9016"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Concurrent administration of etanercept and anakinra has been associated with an increased risk of serious infections, an increased risk of neutropenia and no additional benefit compared to these medicinal products alone. Because of the nature of the adverse events seen with the combination of etanercept and anakinra therapy, similar toxicities may also result from the combination of anakinra and other TNF-antagonists. Therefore, combination of adalimumab and anakinra is contraindicated.</w:t>
      </w:r>
    </w:p>
    <w:p w14:paraId="21CA5C82"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5CD78B83" w14:textId="5F6E2778"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Concomitant administration of adalimumab with other biologic DMARDS (e.g., anakinra and abatacept) or other TNF-antagonists is not recommended based upon the increased risk of infections including serious infections and other potential pharmacological interactions. </w:t>
      </w:r>
    </w:p>
    <w:p w14:paraId="50BC8311"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540FFF13" w14:textId="5281030E"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Use in </w:t>
      </w:r>
      <w:r w:rsidR="00E26EA5" w:rsidRPr="00DD1F63">
        <w:rPr>
          <w:rFonts w:ascii="Times New Roman" w:hAnsi="Times New Roman" w:cs="Times New Roman"/>
        </w:rPr>
        <w:t>p</w:t>
      </w:r>
      <w:r w:rsidRPr="00DD1F63">
        <w:rPr>
          <w:rFonts w:ascii="Times New Roman" w:hAnsi="Times New Roman" w:cs="Times New Roman"/>
        </w:rPr>
        <w:t>soriasis</w:t>
      </w:r>
      <w:r w:rsidRPr="00DD1F63">
        <w:rPr>
          <w:rFonts w:ascii="Times New Roman" w:hAnsi="Times New Roman" w:cs="Times New Roman"/>
          <w:u w:val="none"/>
        </w:rPr>
        <w:t xml:space="preserve"> </w:t>
      </w:r>
    </w:p>
    <w:p w14:paraId="08CDB9BF" w14:textId="77777777" w:rsidR="00010D9C" w:rsidRPr="00DD1F63" w:rsidRDefault="00010D9C" w:rsidP="00377A09">
      <w:pPr>
        <w:spacing w:after="0" w:line="240" w:lineRule="auto"/>
        <w:ind w:left="426" w:hanging="11"/>
        <w:jc w:val="left"/>
        <w:rPr>
          <w:sz w:val="22"/>
        </w:rPr>
      </w:pPr>
    </w:p>
    <w:p w14:paraId="04B9579E" w14:textId="70FCABC0"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adalimumab in combination with other systemic agents used in psoriasis or with phototherapy have not been studied. Adalimumab should not be used in combination with such agents. </w:t>
      </w:r>
    </w:p>
    <w:p w14:paraId="2855E6C1"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55630876" w14:textId="0282334A"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Surgery</w:t>
      </w:r>
      <w:r w:rsidRPr="00DD1F63">
        <w:rPr>
          <w:rFonts w:ascii="Times New Roman" w:hAnsi="Times New Roman" w:cs="Times New Roman"/>
          <w:u w:val="none"/>
        </w:rPr>
        <w:t xml:space="preserve"> </w:t>
      </w:r>
    </w:p>
    <w:p w14:paraId="57F641B3" w14:textId="77777777" w:rsidR="00010D9C" w:rsidRPr="00DD1F63" w:rsidRDefault="00010D9C" w:rsidP="00377A09">
      <w:pPr>
        <w:spacing w:after="0" w:line="240" w:lineRule="auto"/>
        <w:ind w:left="426" w:hanging="11"/>
        <w:jc w:val="left"/>
        <w:rPr>
          <w:sz w:val="22"/>
        </w:rPr>
      </w:pPr>
    </w:p>
    <w:p w14:paraId="37A0631B" w14:textId="45EDD471" w:rsidR="00010D9C"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is limited safety experience of surgical procedures in patients treated with </w:t>
      </w:r>
      <w:r w:rsidR="00067CD1" w:rsidRPr="00DD1F63">
        <w:rPr>
          <w:rFonts w:ascii="Times New Roman" w:hAnsi="Times New Roman" w:cs="Times New Roman"/>
          <w:sz w:val="22"/>
        </w:rPr>
        <w:t>adalimumab</w:t>
      </w:r>
      <w:r w:rsidRPr="00DD1F63">
        <w:rPr>
          <w:rFonts w:ascii="Times New Roman" w:hAnsi="Times New Roman" w:cs="Times New Roman"/>
          <w:sz w:val="22"/>
        </w:rPr>
        <w:t>. The long half</w:t>
      </w:r>
      <w:r w:rsidR="00275A66" w:rsidRPr="00DD1F63">
        <w:rPr>
          <w:rFonts w:ascii="Times New Roman" w:hAnsi="Times New Roman" w:cs="Times New Roman"/>
          <w:sz w:val="22"/>
        </w:rPr>
        <w:t>-</w:t>
      </w:r>
      <w:r w:rsidRPr="00DD1F63">
        <w:rPr>
          <w:rFonts w:ascii="Times New Roman" w:hAnsi="Times New Roman" w:cs="Times New Roman"/>
          <w:sz w:val="22"/>
        </w:rPr>
        <w:t xml:space="preserve">life of adalimumab should be taken into consideration if a surgical procedure is planned. A patient who requires surgery while on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should be closely monitored for infections, and appropriate actions should be taken. There is limited safety experience in patients undergoing arthroplasty while receiving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53487C52" w14:textId="09164D4E"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ED62D62" w14:textId="097D1DAD" w:rsidR="006B7C8E" w:rsidRPr="00DD1F63" w:rsidRDefault="00CA72FF" w:rsidP="00377A09">
      <w:pPr>
        <w:keepNext/>
        <w:spacing w:after="0" w:line="240" w:lineRule="auto"/>
        <w:ind w:left="425" w:hanging="11"/>
        <w:jc w:val="left"/>
        <w:rPr>
          <w:rFonts w:ascii="Times New Roman" w:hAnsi="Times New Roman" w:cs="Times New Roman"/>
          <w:sz w:val="22"/>
        </w:rPr>
      </w:pPr>
      <w:r w:rsidRPr="00DD1F63">
        <w:rPr>
          <w:rFonts w:ascii="Times New Roman" w:hAnsi="Times New Roman" w:cs="Times New Roman"/>
          <w:sz w:val="22"/>
          <w:u w:val="single" w:color="000000"/>
        </w:rPr>
        <w:t xml:space="preserve">Use in </w:t>
      </w:r>
      <w:r w:rsidR="00067CD1" w:rsidRPr="00DD1F63">
        <w:rPr>
          <w:rFonts w:ascii="Times New Roman" w:hAnsi="Times New Roman" w:cs="Times New Roman"/>
          <w:sz w:val="22"/>
          <w:u w:val="single" w:color="000000"/>
        </w:rPr>
        <w:t>h</w:t>
      </w:r>
      <w:r w:rsidRPr="00DD1F63">
        <w:rPr>
          <w:rFonts w:ascii="Times New Roman" w:hAnsi="Times New Roman" w:cs="Times New Roman"/>
          <w:sz w:val="22"/>
          <w:u w:val="single" w:color="000000"/>
        </w:rPr>
        <w:t xml:space="preserve">epatic </w:t>
      </w:r>
      <w:r w:rsidR="00067CD1" w:rsidRPr="00DD1F63">
        <w:rPr>
          <w:rFonts w:ascii="Times New Roman" w:hAnsi="Times New Roman" w:cs="Times New Roman"/>
          <w:sz w:val="22"/>
          <w:u w:val="single" w:color="000000"/>
        </w:rPr>
        <w:t>i</w:t>
      </w:r>
      <w:r w:rsidRPr="00DD1F63">
        <w:rPr>
          <w:rFonts w:ascii="Times New Roman" w:hAnsi="Times New Roman" w:cs="Times New Roman"/>
          <w:sz w:val="22"/>
          <w:u w:val="single" w:color="000000"/>
        </w:rPr>
        <w:t>mpairment</w:t>
      </w:r>
      <w:r w:rsidRPr="00DD1F63">
        <w:rPr>
          <w:rFonts w:ascii="Times New Roman" w:hAnsi="Times New Roman" w:cs="Times New Roman"/>
          <w:sz w:val="22"/>
        </w:rPr>
        <w:t xml:space="preserve"> </w:t>
      </w:r>
    </w:p>
    <w:p w14:paraId="70B9203A" w14:textId="77777777" w:rsidR="00010D9C" w:rsidRPr="00DD1F63" w:rsidRDefault="00010D9C" w:rsidP="00377A09">
      <w:pPr>
        <w:keepNext/>
        <w:spacing w:after="0" w:line="240" w:lineRule="auto"/>
        <w:ind w:left="425" w:hanging="11"/>
        <w:jc w:val="left"/>
        <w:rPr>
          <w:rFonts w:ascii="Times New Roman" w:hAnsi="Times New Roman" w:cs="Times New Roman"/>
          <w:sz w:val="22"/>
        </w:rPr>
      </w:pPr>
    </w:p>
    <w:p w14:paraId="658DBB00" w14:textId="2A29D3F2" w:rsidR="00010D9C" w:rsidRPr="00DD1F63" w:rsidRDefault="00067CD1"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these patient populations. No dose recommendations can be made.</w:t>
      </w:r>
    </w:p>
    <w:p w14:paraId="02B6CBF1" w14:textId="68CD8B00" w:rsidR="00594CF3"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6F086690" w14:textId="2AED9FD4"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 xml:space="preserve">Use in </w:t>
      </w:r>
      <w:r w:rsidR="00067CD1" w:rsidRPr="00DD1F63">
        <w:rPr>
          <w:rFonts w:ascii="Times New Roman" w:hAnsi="Times New Roman" w:cs="Times New Roman"/>
          <w:sz w:val="22"/>
          <w:u w:val="single" w:color="000000"/>
        </w:rPr>
        <w:t>r</w:t>
      </w:r>
      <w:r w:rsidRPr="00DD1F63">
        <w:rPr>
          <w:rFonts w:ascii="Times New Roman" w:hAnsi="Times New Roman" w:cs="Times New Roman"/>
          <w:sz w:val="22"/>
          <w:u w:val="single" w:color="000000"/>
        </w:rPr>
        <w:t xml:space="preserve">enal </w:t>
      </w:r>
      <w:r w:rsidR="00067CD1" w:rsidRPr="00DD1F63">
        <w:rPr>
          <w:rFonts w:ascii="Times New Roman" w:hAnsi="Times New Roman" w:cs="Times New Roman"/>
          <w:sz w:val="22"/>
          <w:u w:val="single" w:color="000000"/>
        </w:rPr>
        <w:t>i</w:t>
      </w:r>
      <w:r w:rsidRPr="00DD1F63">
        <w:rPr>
          <w:rFonts w:ascii="Times New Roman" w:hAnsi="Times New Roman" w:cs="Times New Roman"/>
          <w:sz w:val="22"/>
          <w:u w:val="single" w:color="000000"/>
        </w:rPr>
        <w:t>mpairment</w:t>
      </w:r>
      <w:r w:rsidRPr="00DD1F63">
        <w:rPr>
          <w:rFonts w:ascii="Times New Roman" w:hAnsi="Times New Roman" w:cs="Times New Roman"/>
          <w:sz w:val="22"/>
        </w:rPr>
        <w:t xml:space="preserve"> </w:t>
      </w:r>
    </w:p>
    <w:p w14:paraId="3E5E6F82" w14:textId="77777777" w:rsidR="00010D9C" w:rsidRPr="00DD1F63" w:rsidRDefault="00010D9C" w:rsidP="00377A09">
      <w:pPr>
        <w:spacing w:after="0" w:line="240" w:lineRule="auto"/>
        <w:ind w:left="426"/>
        <w:jc w:val="left"/>
        <w:rPr>
          <w:rFonts w:ascii="Times New Roman" w:hAnsi="Times New Roman" w:cs="Times New Roman"/>
          <w:sz w:val="22"/>
        </w:rPr>
      </w:pPr>
    </w:p>
    <w:p w14:paraId="30538BAA" w14:textId="595F532F" w:rsidR="006B7C8E" w:rsidRPr="00DD1F63" w:rsidRDefault="00067CD1"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these patient populations. No dose recommendations can be made. </w:t>
      </w:r>
    </w:p>
    <w:p w14:paraId="40C42588"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1021BB39" w14:textId="3FE0B802"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Use in the elderly</w:t>
      </w:r>
      <w:r w:rsidRPr="00DD1F63">
        <w:rPr>
          <w:rFonts w:ascii="Times New Roman" w:hAnsi="Times New Roman" w:cs="Times New Roman"/>
          <w:u w:val="none"/>
        </w:rPr>
        <w:t xml:space="preserve"> </w:t>
      </w:r>
    </w:p>
    <w:p w14:paraId="2B000A42" w14:textId="77777777" w:rsidR="00010D9C" w:rsidRPr="00DD1F63" w:rsidRDefault="00010D9C" w:rsidP="00377A09">
      <w:pPr>
        <w:spacing w:after="0" w:line="240" w:lineRule="auto"/>
        <w:ind w:left="426" w:hanging="11"/>
        <w:jc w:val="left"/>
        <w:rPr>
          <w:sz w:val="22"/>
        </w:rPr>
      </w:pPr>
    </w:p>
    <w:p w14:paraId="7918319A" w14:textId="305A5C2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the total number of subjects in clinical studies of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10.4% were 65 years and over, while approximately 2.2% were 75 and over. A total of 519 RA patients 65 years of age and older, including 107 patients 75 years and older, received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in clinical RA studies I-IV. No overall difference in effectiveness was observed between these subjects and younger subjects. The frequency of serious infection and malignancy among </w:t>
      </w:r>
      <w:r w:rsidR="00067CD1" w:rsidRPr="00DD1F63">
        <w:rPr>
          <w:rFonts w:ascii="Times New Roman" w:hAnsi="Times New Roman" w:cs="Times New Roman"/>
          <w:sz w:val="22"/>
        </w:rPr>
        <w:t>adalimumab</w:t>
      </w:r>
      <w:r w:rsidRPr="00DD1F63">
        <w:rPr>
          <w:rFonts w:ascii="Times New Roman" w:hAnsi="Times New Roman" w:cs="Times New Roman"/>
          <w:sz w:val="22"/>
        </w:rPr>
        <w:t>-treated subjects over age 65 was higher than for those under age 65. Because there is a higher incidence of infections and malignancies in the elderly population in general, caution should be used when treating the elderly (see</w:t>
      </w:r>
      <w:r w:rsidRPr="00DD1F63">
        <w:rPr>
          <w:rFonts w:ascii="Times New Roman" w:hAnsi="Times New Roman" w:cs="Times New Roman"/>
          <w:bCs/>
          <w:sz w:val="22"/>
        </w:rPr>
        <w:t xml:space="preserve"> </w:t>
      </w:r>
      <w:r w:rsidR="00275A66" w:rsidRPr="00DD1F63">
        <w:rPr>
          <w:rFonts w:ascii="Times New Roman" w:hAnsi="Times New Roman" w:cs="Times New Roman"/>
          <w:bCs/>
          <w:sz w:val="22"/>
        </w:rPr>
        <w:t xml:space="preserve">section </w:t>
      </w:r>
      <w:r w:rsidRPr="00DD1F63">
        <w:rPr>
          <w:rFonts w:ascii="Times New Roman" w:hAnsi="Times New Roman" w:cs="Times New Roman"/>
          <w:bCs/>
          <w:sz w:val="22"/>
        </w:rPr>
        <w:t xml:space="preserve">4.2 </w:t>
      </w:r>
      <w:r w:rsidR="00275A66" w:rsidRPr="00DD1F63">
        <w:rPr>
          <w:rFonts w:ascii="Times New Roman" w:hAnsi="Times New Roman" w:cs="Times New Roman"/>
          <w:bCs/>
          <w:sz w:val="22"/>
        </w:rPr>
        <w:t>D</w:t>
      </w:r>
      <w:r w:rsidR="00067CD1" w:rsidRPr="00DD1F63">
        <w:rPr>
          <w:rFonts w:ascii="Times New Roman" w:hAnsi="Times New Roman" w:cs="Times New Roman"/>
          <w:bCs/>
          <w:sz w:val="22"/>
        </w:rPr>
        <w:t>ose and method of administration</w:t>
      </w:r>
      <w:r w:rsidRPr="00DD1F63">
        <w:rPr>
          <w:rFonts w:ascii="Times New Roman" w:hAnsi="Times New Roman" w:cs="Times New Roman"/>
          <w:sz w:val="22"/>
        </w:rPr>
        <w:t xml:space="preserve">). </w:t>
      </w:r>
    </w:p>
    <w:p w14:paraId="55FBF1E6" w14:textId="77777777" w:rsidR="00F40859" w:rsidRPr="00DD1F63" w:rsidRDefault="00F40859" w:rsidP="00377A09">
      <w:pPr>
        <w:spacing w:after="0" w:line="240" w:lineRule="auto"/>
        <w:ind w:left="426" w:right="375"/>
        <w:jc w:val="left"/>
        <w:rPr>
          <w:rFonts w:ascii="Times New Roman" w:hAnsi="Times New Roman" w:cs="Times New Roman"/>
          <w:sz w:val="22"/>
        </w:rPr>
      </w:pPr>
    </w:p>
    <w:p w14:paraId="3033CE1E" w14:textId="1F91EE0C"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Paediatric use</w:t>
      </w:r>
      <w:r w:rsidRPr="00DD1F63">
        <w:rPr>
          <w:rFonts w:ascii="Times New Roman" w:hAnsi="Times New Roman" w:cs="Times New Roman"/>
          <w:u w:val="none"/>
        </w:rPr>
        <w:t xml:space="preserve"> </w:t>
      </w:r>
    </w:p>
    <w:p w14:paraId="3C6611DC" w14:textId="77777777" w:rsidR="00010D9C" w:rsidRPr="00DD1F63" w:rsidRDefault="00010D9C" w:rsidP="00377A09">
      <w:pPr>
        <w:spacing w:after="0" w:line="240" w:lineRule="auto"/>
        <w:ind w:left="426" w:hanging="11"/>
        <w:jc w:val="left"/>
        <w:rPr>
          <w:sz w:val="22"/>
        </w:rPr>
      </w:pPr>
    </w:p>
    <w:p w14:paraId="4E772166" w14:textId="6FE68D68"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has not been established in other forms of JIA such as systemic JIA or oligoarticular JIA. The </w:t>
      </w:r>
      <w:proofErr w:type="gramStart"/>
      <w:r w:rsidRPr="00DD1F63">
        <w:rPr>
          <w:rFonts w:ascii="Times New Roman" w:hAnsi="Times New Roman" w:cs="Times New Roman"/>
          <w:sz w:val="22"/>
        </w:rPr>
        <w:t>long term</w:t>
      </w:r>
      <w:proofErr w:type="gramEnd"/>
      <w:r w:rsidRPr="00DD1F63">
        <w:rPr>
          <w:rFonts w:ascii="Times New Roman" w:hAnsi="Times New Roman" w:cs="Times New Roman"/>
          <w:sz w:val="22"/>
        </w:rPr>
        <w:t xml:space="preserve"> effects of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on the growth and development of children have not been studied. </w:t>
      </w:r>
      <w:r w:rsidR="008C570B" w:rsidRPr="00DD1F63">
        <w:rPr>
          <w:rFonts w:ascii="Times New Roman" w:hAnsi="Times New Roman" w:cs="Times New Roman"/>
          <w:sz w:val="22"/>
        </w:rPr>
        <w:t xml:space="preserve">Treatment with </w:t>
      </w:r>
      <w:r w:rsidR="001F60A2" w:rsidRPr="00DD1F63">
        <w:rPr>
          <w:rFonts w:ascii="Times New Roman" w:hAnsi="Times New Roman" w:cs="Times New Roman"/>
          <w:sz w:val="22"/>
        </w:rPr>
        <w:t xml:space="preserve">adalimumab </w:t>
      </w:r>
      <w:r w:rsidR="008C570B" w:rsidRPr="00DD1F63">
        <w:rPr>
          <w:rFonts w:ascii="Times New Roman" w:hAnsi="Times New Roman" w:cs="Times New Roman"/>
          <w:sz w:val="22"/>
        </w:rPr>
        <w:t xml:space="preserve">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w:t>
      </w:r>
      <w:r w:rsidR="001F60A2" w:rsidRPr="00DD1F63">
        <w:rPr>
          <w:rFonts w:ascii="Times New Roman" w:hAnsi="Times New Roman" w:cs="Times New Roman"/>
          <w:sz w:val="22"/>
        </w:rPr>
        <w:t xml:space="preserve">Adalimumab </w:t>
      </w:r>
      <w:r w:rsidR="008C570B" w:rsidRPr="00DD1F63">
        <w:rPr>
          <w:rFonts w:ascii="Times New Roman" w:hAnsi="Times New Roman" w:cs="Times New Roman"/>
          <w:sz w:val="22"/>
        </w:rPr>
        <w:t>has not been studied in children with Crohn’s disease aged less than 6 years.</w:t>
      </w:r>
    </w:p>
    <w:p w14:paraId="7A04A3E8"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B49315A" w14:textId="61D7DCAC" w:rsidR="006B7C8E" w:rsidRPr="00DD1F63" w:rsidRDefault="00CA72FF" w:rsidP="00377A09">
      <w:pPr>
        <w:pageBreakBefore/>
        <w:spacing w:after="0" w:line="240" w:lineRule="auto"/>
        <w:ind w:left="425" w:hanging="11"/>
        <w:jc w:val="left"/>
        <w:rPr>
          <w:rFonts w:ascii="Times New Roman" w:hAnsi="Times New Roman" w:cs="Times New Roman"/>
          <w:sz w:val="22"/>
        </w:rPr>
      </w:pPr>
      <w:r w:rsidRPr="00DD1F63">
        <w:rPr>
          <w:rFonts w:ascii="Times New Roman" w:hAnsi="Times New Roman" w:cs="Times New Roman"/>
          <w:sz w:val="22"/>
          <w:u w:val="single" w:color="000000"/>
        </w:rPr>
        <w:lastRenderedPageBreak/>
        <w:t xml:space="preserve">Effects on </w:t>
      </w:r>
      <w:r w:rsidR="0033275E" w:rsidRPr="00DD1F63">
        <w:rPr>
          <w:rFonts w:ascii="Times New Roman" w:hAnsi="Times New Roman" w:cs="Times New Roman"/>
          <w:sz w:val="22"/>
          <w:u w:val="single" w:color="000000"/>
        </w:rPr>
        <w:t>l</w:t>
      </w:r>
      <w:r w:rsidRPr="00DD1F63">
        <w:rPr>
          <w:rFonts w:ascii="Times New Roman" w:hAnsi="Times New Roman" w:cs="Times New Roman"/>
          <w:sz w:val="22"/>
          <w:u w:val="single" w:color="000000"/>
        </w:rPr>
        <w:t xml:space="preserve">aboratory </w:t>
      </w:r>
      <w:r w:rsidR="0033275E" w:rsidRPr="00DD1F63">
        <w:rPr>
          <w:rFonts w:ascii="Times New Roman" w:hAnsi="Times New Roman" w:cs="Times New Roman"/>
          <w:sz w:val="22"/>
          <w:u w:val="single" w:color="000000"/>
        </w:rPr>
        <w:t>t</w:t>
      </w:r>
      <w:r w:rsidRPr="00DD1F63">
        <w:rPr>
          <w:rFonts w:ascii="Times New Roman" w:hAnsi="Times New Roman" w:cs="Times New Roman"/>
          <w:sz w:val="22"/>
          <w:u w:val="single" w:color="000000"/>
        </w:rPr>
        <w:t>ests</w:t>
      </w:r>
      <w:r w:rsidRPr="00DD1F63">
        <w:rPr>
          <w:rFonts w:ascii="Times New Roman" w:hAnsi="Times New Roman" w:cs="Times New Roman"/>
          <w:sz w:val="22"/>
        </w:rPr>
        <w:t xml:space="preserve"> </w:t>
      </w:r>
    </w:p>
    <w:p w14:paraId="6AB4A88C" w14:textId="77777777" w:rsidR="00010D9C" w:rsidRPr="00DD1F63" w:rsidRDefault="00010D9C" w:rsidP="00377A09">
      <w:pPr>
        <w:spacing w:after="0" w:line="240" w:lineRule="auto"/>
        <w:ind w:left="426"/>
        <w:jc w:val="left"/>
        <w:rPr>
          <w:rFonts w:ascii="Times New Roman" w:hAnsi="Times New Roman" w:cs="Times New Roman"/>
          <w:sz w:val="22"/>
        </w:rPr>
      </w:pPr>
    </w:p>
    <w:p w14:paraId="7D701DAF" w14:textId="3139ADBE" w:rsidR="00010D9C"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is no known interference between </w:t>
      </w:r>
      <w:r w:rsidR="00AD7D58" w:rsidRPr="00DD1F63">
        <w:rPr>
          <w:rFonts w:ascii="Times New Roman" w:hAnsi="Times New Roman" w:cs="Times New Roman"/>
          <w:sz w:val="22"/>
        </w:rPr>
        <w:t>adalimumab</w:t>
      </w:r>
      <w:r w:rsidRPr="00DD1F63">
        <w:rPr>
          <w:rFonts w:ascii="Times New Roman" w:hAnsi="Times New Roman" w:cs="Times New Roman"/>
          <w:sz w:val="22"/>
        </w:rPr>
        <w:t xml:space="preserve"> and laboratory tests.</w:t>
      </w:r>
    </w:p>
    <w:p w14:paraId="51F727BB" w14:textId="2FB2E7B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1BC0934" w14:textId="6712AF81" w:rsidR="006B7C8E"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4.5 </w:t>
      </w:r>
      <w:r w:rsidR="00664A91" w:rsidRPr="00DD1F63">
        <w:rPr>
          <w:rFonts w:ascii="Times New Roman" w:hAnsi="Times New Roman" w:cs="Times New Roman"/>
          <w:sz w:val="22"/>
        </w:rPr>
        <w:tab/>
      </w:r>
      <w:r w:rsidRPr="00DD1F63">
        <w:rPr>
          <w:rFonts w:ascii="Times New Roman" w:hAnsi="Times New Roman" w:cs="Times New Roman"/>
          <w:sz w:val="22"/>
        </w:rPr>
        <w:t xml:space="preserve">Interactions with other medicines and other forms of interactions </w:t>
      </w:r>
    </w:p>
    <w:p w14:paraId="317270E7" w14:textId="77777777" w:rsidR="00010D9C" w:rsidRPr="00DD1F63" w:rsidRDefault="00010D9C" w:rsidP="00377A09">
      <w:pPr>
        <w:spacing w:after="0" w:line="240" w:lineRule="auto"/>
        <w:ind w:left="426" w:hanging="11"/>
        <w:jc w:val="left"/>
        <w:rPr>
          <w:rFonts w:ascii="Times New Roman" w:hAnsi="Times New Roman" w:cs="Times New Roman"/>
          <w:sz w:val="22"/>
        </w:rPr>
      </w:pPr>
    </w:p>
    <w:p w14:paraId="726080A1" w14:textId="39BA7B32" w:rsidR="006B7C8E" w:rsidRPr="00DD1F63" w:rsidRDefault="00784B92"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been studied in RA patients taking concomitant methotrexate (see</w:t>
      </w:r>
      <w:r w:rsidR="00BD4EE5" w:rsidRPr="00DD1F63">
        <w:rPr>
          <w:rFonts w:ascii="Times New Roman" w:hAnsi="Times New Roman" w:cs="Times New Roman"/>
          <w:sz w:val="22"/>
        </w:rPr>
        <w:t xml:space="preserve"> </w:t>
      </w:r>
      <w:r w:rsidR="00664A91" w:rsidRPr="00DD1F63">
        <w:rPr>
          <w:rFonts w:ascii="Times New Roman" w:hAnsi="Times New Roman" w:cs="Times New Roman"/>
          <w:sz w:val="22"/>
        </w:rPr>
        <w:t xml:space="preserve">section </w:t>
      </w:r>
      <w:r w:rsidR="00BD4EE5" w:rsidRPr="00DD1F63">
        <w:rPr>
          <w:rFonts w:ascii="Times New Roman" w:hAnsi="Times New Roman" w:cs="Times New Roman"/>
          <w:sz w:val="22"/>
        </w:rPr>
        <w:t xml:space="preserve">5.1 </w:t>
      </w:r>
      <w:r w:rsidR="00664A91" w:rsidRPr="00DD1F63">
        <w:rPr>
          <w:rFonts w:ascii="Times New Roman" w:hAnsi="Times New Roman" w:cs="Times New Roman"/>
          <w:sz w:val="22"/>
        </w:rPr>
        <w:t>P</w:t>
      </w:r>
      <w:r w:rsidR="00BD4EE5" w:rsidRPr="00DD1F63">
        <w:rPr>
          <w:rFonts w:ascii="Times New Roman" w:hAnsi="Times New Roman" w:cs="Times New Roman"/>
          <w:sz w:val="22"/>
        </w:rPr>
        <w:t xml:space="preserve">harmacodynamic properties-clinical studies and 5.1 </w:t>
      </w:r>
      <w:r w:rsidR="00664A91" w:rsidRPr="00DD1F63">
        <w:rPr>
          <w:rFonts w:ascii="Times New Roman" w:hAnsi="Times New Roman" w:cs="Times New Roman"/>
          <w:sz w:val="22"/>
        </w:rPr>
        <w:t>P</w:t>
      </w:r>
      <w:r w:rsidR="00BD4EE5" w:rsidRPr="00DD1F63">
        <w:rPr>
          <w:rFonts w:ascii="Times New Roman" w:hAnsi="Times New Roman" w:cs="Times New Roman"/>
          <w:sz w:val="22"/>
        </w:rPr>
        <w:t>harmacodynamic properties</w:t>
      </w:r>
      <w:r w:rsidR="00BD4EE5" w:rsidRPr="00DD1F63">
        <w:rPr>
          <w:rFonts w:ascii="Times New Roman" w:hAnsi="Times New Roman" w:cs="Times New Roman"/>
          <w:b/>
          <w:sz w:val="22"/>
        </w:rPr>
        <w:t xml:space="preserve"> </w:t>
      </w:r>
      <w:r w:rsidR="00CA72FF" w:rsidRPr="00DD1F63">
        <w:rPr>
          <w:rFonts w:ascii="Times New Roman" w:hAnsi="Times New Roman" w:cs="Times New Roman"/>
          <w:b/>
          <w:sz w:val="22"/>
        </w:rPr>
        <w:t xml:space="preserve">– </w:t>
      </w:r>
      <w:r w:rsidR="00664A91" w:rsidRPr="00DD1F63">
        <w:rPr>
          <w:rFonts w:ascii="Times New Roman" w:hAnsi="Times New Roman" w:cs="Times New Roman"/>
          <w:bCs/>
          <w:sz w:val="22"/>
        </w:rPr>
        <w:t>s</w:t>
      </w:r>
      <w:r w:rsidR="00CA72FF" w:rsidRPr="00DD1F63">
        <w:rPr>
          <w:rFonts w:ascii="Times New Roman" w:hAnsi="Times New Roman" w:cs="Times New Roman"/>
          <w:bCs/>
          <w:sz w:val="22"/>
        </w:rPr>
        <w:t xml:space="preserve">teady </w:t>
      </w:r>
      <w:r w:rsidR="00664A91" w:rsidRPr="00DD1F63">
        <w:rPr>
          <w:rFonts w:ascii="Times New Roman" w:hAnsi="Times New Roman" w:cs="Times New Roman"/>
          <w:bCs/>
          <w:sz w:val="22"/>
        </w:rPr>
        <w:t>s</w:t>
      </w:r>
      <w:r w:rsidR="00CA72FF" w:rsidRPr="00DD1F63">
        <w:rPr>
          <w:rFonts w:ascii="Times New Roman" w:hAnsi="Times New Roman" w:cs="Times New Roman"/>
          <w:bCs/>
          <w:sz w:val="22"/>
        </w:rPr>
        <w:t>tate</w:t>
      </w:r>
      <w:r w:rsidR="00CA72FF" w:rsidRPr="00DD1F63">
        <w:rPr>
          <w:rFonts w:ascii="Times New Roman" w:hAnsi="Times New Roman" w:cs="Times New Roman"/>
          <w:sz w:val="22"/>
        </w:rPr>
        <w:t xml:space="preserve">). The data do not suggest the need for dose adjustment of either </w:t>
      </w:r>
      <w:r w:rsidR="00C716F9" w:rsidRPr="00DD1F63">
        <w:rPr>
          <w:rFonts w:ascii="Times New Roman" w:hAnsi="Times New Roman" w:cs="Times New Roman"/>
          <w:sz w:val="22"/>
        </w:rPr>
        <w:t>adalimumab</w:t>
      </w:r>
      <w:r w:rsidR="00CA72FF" w:rsidRPr="00DD1F63">
        <w:rPr>
          <w:rFonts w:ascii="Times New Roman" w:hAnsi="Times New Roman" w:cs="Times New Roman"/>
          <w:sz w:val="22"/>
        </w:rPr>
        <w:t xml:space="preserve"> or methotrexate. Interactions between </w:t>
      </w:r>
      <w:r w:rsidR="00C716F9" w:rsidRPr="00DD1F63">
        <w:rPr>
          <w:rFonts w:ascii="Times New Roman" w:hAnsi="Times New Roman" w:cs="Times New Roman"/>
          <w:sz w:val="22"/>
        </w:rPr>
        <w:t>adalimumab</w:t>
      </w:r>
      <w:r w:rsidR="00CA72FF" w:rsidRPr="00DD1F63">
        <w:rPr>
          <w:rFonts w:ascii="Times New Roman" w:hAnsi="Times New Roman" w:cs="Times New Roman"/>
          <w:sz w:val="22"/>
        </w:rPr>
        <w:t xml:space="preserve"> and drugs other than methotrexate have not been evaluated in formal pharmacokinetic studies. Concurrent administration of TNF-alpha inhibitors with anakinra or abatacept has been associated with an increased risk of serious infections (see </w:t>
      </w:r>
      <w:r w:rsidR="00664A91" w:rsidRPr="00DD1F63">
        <w:rPr>
          <w:rFonts w:ascii="Times New Roman" w:hAnsi="Times New Roman" w:cs="Times New Roman"/>
          <w:sz w:val="22"/>
        </w:rPr>
        <w:t xml:space="preserve">section </w:t>
      </w:r>
      <w:r w:rsidR="00CA72FF" w:rsidRPr="00DD1F63">
        <w:rPr>
          <w:rFonts w:ascii="Times New Roman" w:hAnsi="Times New Roman" w:cs="Times New Roman"/>
          <w:sz w:val="22"/>
        </w:rPr>
        <w:t>4.4</w:t>
      </w:r>
      <w:r w:rsidR="00CA72FF" w:rsidRPr="00DD1F63">
        <w:rPr>
          <w:rFonts w:ascii="Times New Roman" w:hAnsi="Times New Roman" w:cs="Times New Roman"/>
          <w:b/>
          <w:sz w:val="22"/>
        </w:rPr>
        <w:t xml:space="preserve"> </w:t>
      </w:r>
      <w:r w:rsidR="00664A91" w:rsidRPr="00DD1F63">
        <w:rPr>
          <w:rFonts w:ascii="Times New Roman" w:hAnsi="Times New Roman" w:cs="Times New Roman"/>
          <w:bCs/>
          <w:sz w:val="22"/>
        </w:rPr>
        <w:t>S</w:t>
      </w:r>
      <w:r w:rsidR="00C716F9" w:rsidRPr="00DD1F63">
        <w:rPr>
          <w:rFonts w:ascii="Times New Roman" w:hAnsi="Times New Roman" w:cs="Times New Roman"/>
          <w:bCs/>
          <w:sz w:val="22"/>
        </w:rPr>
        <w:t>pecial warnings and precautions for use</w:t>
      </w:r>
      <w:r w:rsidR="00CA72FF" w:rsidRPr="00DD1F63">
        <w:rPr>
          <w:rFonts w:ascii="Times New Roman" w:hAnsi="Times New Roman" w:cs="Times New Roman"/>
          <w:sz w:val="22"/>
        </w:rPr>
        <w:t xml:space="preserve">). </w:t>
      </w:r>
    </w:p>
    <w:p w14:paraId="6DDE68C7" w14:textId="77777777" w:rsidR="00C716F9" w:rsidRPr="00DD1F63" w:rsidRDefault="00C716F9" w:rsidP="00377A09">
      <w:pPr>
        <w:spacing w:after="0" w:line="240" w:lineRule="auto"/>
        <w:ind w:left="426" w:right="375"/>
        <w:jc w:val="left"/>
        <w:rPr>
          <w:rFonts w:ascii="Times New Roman" w:hAnsi="Times New Roman" w:cs="Times New Roman"/>
          <w:sz w:val="22"/>
        </w:rPr>
      </w:pPr>
    </w:p>
    <w:p w14:paraId="5D873114" w14:textId="5CEC5637" w:rsidR="00010D9C"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4.6 </w:t>
      </w:r>
      <w:r w:rsidR="00664A91" w:rsidRPr="00DD1F63">
        <w:rPr>
          <w:rFonts w:ascii="Times New Roman" w:hAnsi="Times New Roman" w:cs="Times New Roman"/>
          <w:sz w:val="22"/>
        </w:rPr>
        <w:tab/>
      </w:r>
      <w:r w:rsidRPr="00DD1F63">
        <w:rPr>
          <w:rFonts w:ascii="Times New Roman" w:hAnsi="Times New Roman" w:cs="Times New Roman"/>
          <w:sz w:val="22"/>
        </w:rPr>
        <w:t xml:space="preserve">Fertility, </w:t>
      </w:r>
      <w:proofErr w:type="gramStart"/>
      <w:r w:rsidRPr="00DD1F63">
        <w:rPr>
          <w:rFonts w:ascii="Times New Roman" w:hAnsi="Times New Roman" w:cs="Times New Roman"/>
          <w:sz w:val="22"/>
        </w:rPr>
        <w:t>pregnancy</w:t>
      </w:r>
      <w:proofErr w:type="gramEnd"/>
      <w:r w:rsidRPr="00DD1F63">
        <w:rPr>
          <w:rFonts w:ascii="Times New Roman" w:hAnsi="Times New Roman" w:cs="Times New Roman"/>
          <w:sz w:val="22"/>
        </w:rPr>
        <w:t xml:space="preserve"> and lactation </w:t>
      </w:r>
    </w:p>
    <w:p w14:paraId="7B338D35" w14:textId="169B43DD" w:rsidR="006B7C8E" w:rsidRPr="00DD1F63" w:rsidRDefault="00CA72FF" w:rsidP="00377A09">
      <w:pPr>
        <w:pStyle w:val="Heading2"/>
        <w:spacing w:after="0" w:line="240" w:lineRule="auto"/>
        <w:ind w:left="426"/>
        <w:rPr>
          <w:rFonts w:ascii="Times New Roman" w:hAnsi="Times New Roman" w:cs="Times New Roman"/>
          <w:sz w:val="22"/>
        </w:rPr>
      </w:pPr>
      <w:r w:rsidRPr="00DD1F63">
        <w:rPr>
          <w:rFonts w:ascii="Times New Roman" w:hAnsi="Times New Roman" w:cs="Times New Roman"/>
          <w:sz w:val="22"/>
        </w:rPr>
        <w:t xml:space="preserve"> </w:t>
      </w:r>
    </w:p>
    <w:p w14:paraId="03BD19AD" w14:textId="2672A429"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Effects on fertility</w:t>
      </w:r>
      <w:r w:rsidRPr="00DD1F63">
        <w:rPr>
          <w:rFonts w:ascii="Times New Roman" w:hAnsi="Times New Roman" w:cs="Times New Roman"/>
          <w:sz w:val="22"/>
        </w:rPr>
        <w:t xml:space="preserve"> </w:t>
      </w:r>
    </w:p>
    <w:p w14:paraId="17106ED9" w14:textId="77777777" w:rsidR="00010D9C" w:rsidRPr="00DD1F63" w:rsidRDefault="00010D9C" w:rsidP="00377A09">
      <w:pPr>
        <w:spacing w:after="0" w:line="240" w:lineRule="auto"/>
        <w:ind w:left="426"/>
        <w:jc w:val="left"/>
        <w:rPr>
          <w:rFonts w:ascii="Times New Roman" w:hAnsi="Times New Roman" w:cs="Times New Roman"/>
          <w:sz w:val="22"/>
        </w:rPr>
      </w:pPr>
    </w:p>
    <w:p w14:paraId="088EB939" w14:textId="6C7925EA"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effect of adalimumab on fertility has not been investigated. </w:t>
      </w:r>
    </w:p>
    <w:p w14:paraId="7EB06CDA"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0E788441" w14:textId="7608C269" w:rsidR="00010D9C"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rPr>
        <w:t>Use in pregnancy (</w:t>
      </w:r>
      <w:r w:rsidR="00C716F9" w:rsidRPr="00DD1F63">
        <w:rPr>
          <w:rFonts w:ascii="Times New Roman" w:hAnsi="Times New Roman" w:cs="Times New Roman"/>
        </w:rPr>
        <w:t>p</w:t>
      </w:r>
      <w:r w:rsidRPr="00DD1F63">
        <w:rPr>
          <w:rFonts w:ascii="Times New Roman" w:hAnsi="Times New Roman" w:cs="Times New Roman"/>
        </w:rPr>
        <w:t xml:space="preserve">regnancy </w:t>
      </w:r>
      <w:r w:rsidR="00C716F9" w:rsidRPr="00DD1F63">
        <w:rPr>
          <w:rFonts w:ascii="Times New Roman" w:hAnsi="Times New Roman" w:cs="Times New Roman"/>
        </w:rPr>
        <w:t>c</w:t>
      </w:r>
      <w:r w:rsidRPr="00DD1F63">
        <w:rPr>
          <w:rFonts w:ascii="Times New Roman" w:hAnsi="Times New Roman" w:cs="Times New Roman"/>
        </w:rPr>
        <w:t>ategory C)</w:t>
      </w:r>
    </w:p>
    <w:p w14:paraId="66647C19" w14:textId="514CE84C"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37F9B45B" w14:textId="1F2E5D2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Due to its inhibition of TNF-alpha, adalimumab administered during pregnancy could affect immune response in the </w:t>
      </w:r>
      <w:r w:rsidRPr="00DD1F63">
        <w:rPr>
          <w:rFonts w:ascii="Times New Roman" w:hAnsi="Times New Roman" w:cs="Times New Roman"/>
          <w:i/>
          <w:sz w:val="22"/>
        </w:rPr>
        <w:t>in utero</w:t>
      </w:r>
      <w:r w:rsidRPr="00DD1F63">
        <w:rPr>
          <w:rFonts w:ascii="Times New Roman" w:hAnsi="Times New Roman" w:cs="Times New Roman"/>
          <w:sz w:val="22"/>
        </w:rPr>
        <w:t xml:space="preserve">-exposed </w:t>
      </w:r>
      <w:proofErr w:type="spellStart"/>
      <w:r w:rsidRPr="00DD1F63">
        <w:rPr>
          <w:rFonts w:ascii="Times New Roman" w:hAnsi="Times New Roman" w:cs="Times New Roman"/>
          <w:sz w:val="22"/>
        </w:rPr>
        <w:t>newborn</w:t>
      </w:r>
      <w:proofErr w:type="spellEnd"/>
      <w:r w:rsidRPr="00DD1F63">
        <w:rPr>
          <w:rFonts w:ascii="Times New Roman" w:hAnsi="Times New Roman" w:cs="Times New Roman"/>
          <w:sz w:val="22"/>
        </w:rPr>
        <w:t xml:space="preserve"> and infant. Data from eight infants exposed to adalimumab</w:t>
      </w:r>
      <w:r w:rsidRPr="00DD1F63">
        <w:rPr>
          <w:rFonts w:ascii="Times New Roman" w:hAnsi="Times New Roman" w:cs="Times New Roman"/>
          <w:i/>
          <w:sz w:val="22"/>
        </w:rPr>
        <w:t xml:space="preserve"> in utero</w:t>
      </w:r>
      <w:r w:rsidRPr="00DD1F63">
        <w:rPr>
          <w:rFonts w:ascii="Times New Roman" w:hAnsi="Times New Roman" w:cs="Times New Roman"/>
          <w:sz w:val="22"/>
        </w:rPr>
        <w:t xml:space="preserve"> suggest it crosses the placenta. Consequently, these infants may be at increased risk for infection. Administration of live vaccines to infants exposed to adalimumab </w:t>
      </w:r>
      <w:r w:rsidRPr="00DD1F63">
        <w:rPr>
          <w:rFonts w:ascii="Times New Roman" w:hAnsi="Times New Roman" w:cs="Times New Roman"/>
          <w:i/>
          <w:sz w:val="22"/>
        </w:rPr>
        <w:t>in utero</w:t>
      </w:r>
      <w:r w:rsidRPr="00DD1F63">
        <w:rPr>
          <w:rFonts w:ascii="Times New Roman" w:hAnsi="Times New Roman" w:cs="Times New Roman"/>
          <w:sz w:val="22"/>
        </w:rPr>
        <w:t xml:space="preserve"> is not recommended for 5 months following the mother’s last adalimumab injection during pregnancy.</w:t>
      </w:r>
    </w:p>
    <w:p w14:paraId="18619CEB"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0188E8C5" w14:textId="49173E5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are no adequate and well-controlled studies in pregnant women and therefore adalimumab should only be used during pregnancy if clearly needed. Women of </w:t>
      </w:r>
      <w:proofErr w:type="gramStart"/>
      <w:r w:rsidRPr="00DD1F63">
        <w:rPr>
          <w:rFonts w:ascii="Times New Roman" w:hAnsi="Times New Roman" w:cs="Times New Roman"/>
          <w:sz w:val="22"/>
        </w:rPr>
        <w:t>child bearing</w:t>
      </w:r>
      <w:proofErr w:type="gramEnd"/>
      <w:r w:rsidRPr="00DD1F63">
        <w:rPr>
          <w:rFonts w:ascii="Times New Roman" w:hAnsi="Times New Roman" w:cs="Times New Roman"/>
          <w:sz w:val="22"/>
        </w:rPr>
        <w:t xml:space="preserve"> potential should consider the use of adequate contraception to prevent pregnancy and continue for at least 5 months after the last </w:t>
      </w:r>
      <w:r w:rsidR="00C716F9" w:rsidRPr="00DD1F63">
        <w:rPr>
          <w:rFonts w:ascii="Times New Roman" w:hAnsi="Times New Roman" w:cs="Times New Roman"/>
          <w:sz w:val="22"/>
        </w:rPr>
        <w:t>adalimumab</w:t>
      </w:r>
      <w:r w:rsidRPr="00DD1F63">
        <w:rPr>
          <w:rFonts w:ascii="Times New Roman" w:hAnsi="Times New Roman" w:cs="Times New Roman"/>
          <w:sz w:val="22"/>
        </w:rPr>
        <w:t xml:space="preserve"> treatment. </w:t>
      </w:r>
    </w:p>
    <w:p w14:paraId="343D10AF"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C567BA5" w14:textId="61A8D17C"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a prospective cohort pregnancy exposure registry, 257 women with RA</w:t>
      </w:r>
      <w:r w:rsidR="008C570B" w:rsidRPr="00DD1F63">
        <w:rPr>
          <w:rFonts w:ascii="Times New Roman" w:hAnsi="Times New Roman" w:cs="Times New Roman"/>
          <w:sz w:val="22"/>
        </w:rPr>
        <w:t xml:space="preserve"> or CD</w:t>
      </w:r>
      <w:r w:rsidRPr="00DD1F63">
        <w:rPr>
          <w:rFonts w:ascii="Times New Roman" w:hAnsi="Times New Roman" w:cs="Times New Roman"/>
          <w:sz w:val="22"/>
        </w:rPr>
        <w:t xml:space="preserve"> treated with adalimumab at least during the first trimester and 120 women with RA </w:t>
      </w:r>
      <w:r w:rsidR="008C570B" w:rsidRPr="00DD1F63">
        <w:rPr>
          <w:rFonts w:ascii="Times New Roman" w:hAnsi="Times New Roman" w:cs="Times New Roman"/>
          <w:sz w:val="22"/>
        </w:rPr>
        <w:t xml:space="preserve">or CD </w:t>
      </w:r>
      <w:r w:rsidRPr="00DD1F63">
        <w:rPr>
          <w:rFonts w:ascii="Times New Roman" w:hAnsi="Times New Roman" w:cs="Times New Roman"/>
          <w:sz w:val="22"/>
        </w:rPr>
        <w:t xml:space="preserve">not treated with adalimumab were enrolled. </w:t>
      </w:r>
    </w:p>
    <w:p w14:paraId="497B5DE0"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1CD25DFC" w14:textId="1AE42CD1"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were no significant differences in the overall rates for the primary endpoint of major birth defects (adjusted Odds Ratio 0.84, 95% Confidence Interval (CI) 0.34, 2.05) as well as the secondary endpoints which included minor birth defects, spontaneous abortion, preterm delivery, low birth weight, and serious or opportunistic infections. No stillbirths or malignancies were reported. </w:t>
      </w:r>
    </w:p>
    <w:p w14:paraId="07E8AD31"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D6C40EC" w14:textId="3D5A43B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Although the registry has methodological limitations, including small sample size and non-randomised study design, the data show no increased risk of adverse pregnancy outcomes in women with RA </w:t>
      </w:r>
      <w:r w:rsidR="00584342" w:rsidRPr="00DD1F63">
        <w:rPr>
          <w:rFonts w:ascii="Times New Roman" w:hAnsi="Times New Roman" w:cs="Times New Roman"/>
          <w:sz w:val="22"/>
        </w:rPr>
        <w:t xml:space="preserve">or CD </w:t>
      </w:r>
      <w:r w:rsidRPr="00DD1F63">
        <w:rPr>
          <w:rFonts w:ascii="Times New Roman" w:hAnsi="Times New Roman" w:cs="Times New Roman"/>
          <w:sz w:val="22"/>
        </w:rPr>
        <w:t xml:space="preserve">treated with adalimumab in comparison to women with RA </w:t>
      </w:r>
      <w:r w:rsidR="00584342" w:rsidRPr="00DD1F63">
        <w:rPr>
          <w:rFonts w:ascii="Times New Roman" w:hAnsi="Times New Roman" w:cs="Times New Roman"/>
          <w:sz w:val="22"/>
        </w:rPr>
        <w:t xml:space="preserve">or CD </w:t>
      </w:r>
      <w:r w:rsidRPr="00DD1F63">
        <w:rPr>
          <w:rFonts w:ascii="Times New Roman" w:hAnsi="Times New Roman" w:cs="Times New Roman"/>
          <w:sz w:val="22"/>
        </w:rPr>
        <w:t xml:space="preserve">not treated with adalimumab. In addition, data from post marketing surveillance does not establish the presence of a drug-associated risk. </w:t>
      </w:r>
    </w:p>
    <w:p w14:paraId="7936E2CF"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4D03764D" w14:textId="7DB7ADC4"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obtained with a very high intravenous adalimumab dose (100 mg/kg/week) in an </w:t>
      </w:r>
      <w:proofErr w:type="spellStart"/>
      <w:r w:rsidRPr="00DD1F63">
        <w:rPr>
          <w:rFonts w:ascii="Times New Roman" w:hAnsi="Times New Roman" w:cs="Times New Roman"/>
          <w:sz w:val="22"/>
        </w:rPr>
        <w:t>embryofetal</w:t>
      </w:r>
      <w:proofErr w:type="spellEnd"/>
      <w:r w:rsidRPr="00DD1F63">
        <w:rPr>
          <w:rFonts w:ascii="Times New Roman" w:hAnsi="Times New Roman" w:cs="Times New Roman"/>
          <w:sz w:val="22"/>
        </w:rPr>
        <w:t xml:space="preserve"> toxicity study in cynomolgus monkeys were inconclusive. No developmental toxicity was observed with an intravenous dose of 30 mg/kg/week, which resulted in a serum </w:t>
      </w:r>
      <w:r w:rsidRPr="00DD1F63">
        <w:rPr>
          <w:rFonts w:ascii="Times New Roman" w:hAnsi="Times New Roman" w:cs="Times New Roman"/>
          <w:sz w:val="22"/>
        </w:rPr>
        <w:lastRenderedPageBreak/>
        <w:t>drug concentration greater than 100</w:t>
      </w:r>
      <w:r w:rsidR="00664A91" w:rsidRPr="00DD1F63">
        <w:rPr>
          <w:rFonts w:ascii="Times New Roman" w:hAnsi="Times New Roman" w:cs="Times New Roman"/>
          <w:sz w:val="22"/>
        </w:rPr>
        <w:t>-</w:t>
      </w:r>
      <w:r w:rsidRPr="00DD1F63">
        <w:rPr>
          <w:rFonts w:ascii="Times New Roman" w:hAnsi="Times New Roman" w:cs="Times New Roman"/>
          <w:sz w:val="22"/>
        </w:rPr>
        <w:t xml:space="preserve">fold higher than the maximum value expected during therapy during 40 mg fortnightly. Parturition was unaffected by both doses. </w:t>
      </w:r>
    </w:p>
    <w:p w14:paraId="5208C152"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18DE3647" w14:textId="34ED3936" w:rsidR="006B7C8E" w:rsidRPr="00DD1F63" w:rsidRDefault="00CA72FF" w:rsidP="00377A09">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Use in lactation</w:t>
      </w:r>
      <w:r w:rsidRPr="00DD1F63">
        <w:rPr>
          <w:rFonts w:ascii="Times New Roman" w:hAnsi="Times New Roman" w:cs="Times New Roman"/>
          <w:u w:val="none"/>
        </w:rPr>
        <w:t xml:space="preserve"> </w:t>
      </w:r>
    </w:p>
    <w:p w14:paraId="0BB89EF8" w14:textId="77777777" w:rsidR="00010D9C" w:rsidRPr="00DD1F63" w:rsidRDefault="00010D9C" w:rsidP="00377A09">
      <w:pPr>
        <w:keepNext/>
        <w:spacing w:after="0" w:line="240" w:lineRule="auto"/>
        <w:ind w:left="425" w:hanging="11"/>
        <w:jc w:val="left"/>
        <w:rPr>
          <w:sz w:val="22"/>
        </w:rPr>
      </w:pPr>
    </w:p>
    <w:p w14:paraId="1FD4EE27" w14:textId="45D3E0F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Limited information from three cases in the published literature indicates that adalimumab is excreted in breast milk at very low concentrations with the presence of adalimumab in human milk at concentrations of 0.1% to 1% of the maternal serum level. Published data suggest that the systemic exposure to a breastfed infant is expected to be low because adalimumab is a large molecule and is degraded in the gastrointestinal tract.</w:t>
      </w:r>
      <w:r w:rsidR="00BC17F8" w:rsidRPr="00DD1F63">
        <w:rPr>
          <w:rFonts w:ascii="Times New Roman" w:hAnsi="Times New Roman" w:cs="Times New Roman"/>
          <w:sz w:val="22"/>
        </w:rPr>
        <w:t xml:space="preserve"> </w:t>
      </w:r>
      <w:r w:rsidRPr="00DD1F63">
        <w:rPr>
          <w:rFonts w:ascii="Times New Roman" w:hAnsi="Times New Roman" w:cs="Times New Roman"/>
          <w:sz w:val="22"/>
        </w:rPr>
        <w:t xml:space="preserve">However, the effects of local exposure in the gastrointestinal tract are unknown. There are no reports of adverse effects of adalimumab on the breastfed infant and no effects on milk production. The developmental and health benefits of breastfeeding should be considered along with the mother’s clinical need for adalimumab and any potential adverse effects on the breastfed child from adalimumab or from the underlying maternal condition. </w:t>
      </w:r>
    </w:p>
    <w:p w14:paraId="7AC84A39"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1F01683A" w14:textId="7D2F4D68" w:rsidR="00010D9C" w:rsidRPr="00DD1F63" w:rsidRDefault="00CA72FF" w:rsidP="00377A09">
      <w:pPr>
        <w:spacing w:after="0" w:line="240" w:lineRule="auto"/>
        <w:ind w:left="426" w:hanging="426"/>
        <w:jc w:val="left"/>
        <w:rPr>
          <w:rFonts w:ascii="Times New Roman" w:hAnsi="Times New Roman" w:cs="Times New Roman"/>
          <w:b/>
          <w:sz w:val="22"/>
        </w:rPr>
      </w:pPr>
      <w:r w:rsidRPr="00DD1F63">
        <w:rPr>
          <w:rFonts w:ascii="Times New Roman" w:hAnsi="Times New Roman" w:cs="Times New Roman"/>
          <w:b/>
          <w:sz w:val="22"/>
        </w:rPr>
        <w:t xml:space="preserve">4.7 </w:t>
      </w:r>
      <w:r w:rsidR="00CB1A3A" w:rsidRPr="00DD1F63">
        <w:rPr>
          <w:rFonts w:ascii="Times New Roman" w:hAnsi="Times New Roman" w:cs="Times New Roman"/>
          <w:b/>
          <w:sz w:val="22"/>
        </w:rPr>
        <w:tab/>
      </w:r>
      <w:r w:rsidRPr="00DD1F63">
        <w:rPr>
          <w:rFonts w:ascii="Times New Roman" w:hAnsi="Times New Roman" w:cs="Times New Roman"/>
          <w:b/>
          <w:sz w:val="22"/>
        </w:rPr>
        <w:t xml:space="preserve">Effects on ability to drive and use machines </w:t>
      </w:r>
    </w:p>
    <w:p w14:paraId="46C11606" w14:textId="70D463B1"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b/>
          <w:sz w:val="22"/>
        </w:rPr>
        <w:t xml:space="preserve"> </w:t>
      </w:r>
    </w:p>
    <w:p w14:paraId="7876C56F" w14:textId="1408345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studies on the effects on the ability to drive and use machines have been performed. </w:t>
      </w:r>
    </w:p>
    <w:p w14:paraId="19CCBB15" w14:textId="77777777" w:rsidR="00010D9C" w:rsidRPr="00DD1F63" w:rsidRDefault="00010D9C" w:rsidP="00377A09">
      <w:pPr>
        <w:spacing w:after="0" w:line="240" w:lineRule="auto"/>
        <w:ind w:left="426" w:right="375"/>
        <w:jc w:val="left"/>
        <w:rPr>
          <w:rFonts w:ascii="Times New Roman" w:hAnsi="Times New Roman" w:cs="Times New Roman"/>
          <w:sz w:val="22"/>
        </w:rPr>
      </w:pPr>
    </w:p>
    <w:p w14:paraId="7F812AAE" w14:textId="6C69305A" w:rsidR="006B7C8E" w:rsidRPr="00DD1F63" w:rsidRDefault="00CA72FF" w:rsidP="00377A09">
      <w:pPr>
        <w:pStyle w:val="Heading2"/>
        <w:keepLines w:val="0"/>
        <w:spacing w:after="0" w:line="240" w:lineRule="auto"/>
        <w:ind w:left="425" w:hanging="426"/>
        <w:rPr>
          <w:rFonts w:ascii="Times New Roman" w:hAnsi="Times New Roman" w:cs="Times New Roman"/>
          <w:sz w:val="22"/>
        </w:rPr>
      </w:pPr>
      <w:r w:rsidRPr="00DD1F63">
        <w:rPr>
          <w:rFonts w:ascii="Times New Roman" w:hAnsi="Times New Roman" w:cs="Times New Roman"/>
          <w:sz w:val="22"/>
        </w:rPr>
        <w:t xml:space="preserve">4.8 </w:t>
      </w:r>
      <w:r w:rsidR="00CB1A3A" w:rsidRPr="00DD1F63">
        <w:rPr>
          <w:rFonts w:ascii="Times New Roman" w:hAnsi="Times New Roman" w:cs="Times New Roman"/>
          <w:sz w:val="22"/>
        </w:rPr>
        <w:tab/>
      </w:r>
      <w:r w:rsidRPr="00DD1F63">
        <w:rPr>
          <w:rFonts w:ascii="Times New Roman" w:hAnsi="Times New Roman" w:cs="Times New Roman"/>
          <w:sz w:val="22"/>
        </w:rPr>
        <w:t>Adverse effects (</w:t>
      </w:r>
      <w:r w:rsidR="000217B1" w:rsidRPr="00DD1F63">
        <w:rPr>
          <w:rFonts w:ascii="Times New Roman" w:hAnsi="Times New Roman" w:cs="Times New Roman"/>
          <w:sz w:val="22"/>
        </w:rPr>
        <w:t>u</w:t>
      </w:r>
      <w:r w:rsidRPr="00DD1F63">
        <w:rPr>
          <w:rFonts w:ascii="Times New Roman" w:hAnsi="Times New Roman" w:cs="Times New Roman"/>
          <w:sz w:val="22"/>
        </w:rPr>
        <w:t xml:space="preserve">ndesirable effects) </w:t>
      </w:r>
    </w:p>
    <w:p w14:paraId="727C9375" w14:textId="77777777" w:rsidR="001812F2" w:rsidRPr="00DD1F63" w:rsidRDefault="001812F2" w:rsidP="00377A09">
      <w:pPr>
        <w:keepNext/>
        <w:spacing w:after="0" w:line="240" w:lineRule="auto"/>
        <w:ind w:left="425" w:right="370"/>
        <w:jc w:val="left"/>
        <w:rPr>
          <w:rFonts w:ascii="Times New Roman" w:hAnsi="Times New Roman" w:cs="Times New Roman"/>
          <w:sz w:val="22"/>
        </w:rPr>
      </w:pPr>
    </w:p>
    <w:p w14:paraId="79560712" w14:textId="1A70CC62"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Clinical </w:t>
      </w:r>
      <w:r w:rsidR="00663928" w:rsidRPr="00DD1F63">
        <w:rPr>
          <w:rFonts w:ascii="Times New Roman" w:hAnsi="Times New Roman" w:cs="Times New Roman"/>
        </w:rPr>
        <w:t>t</w:t>
      </w:r>
      <w:r w:rsidRPr="00DD1F63">
        <w:rPr>
          <w:rFonts w:ascii="Times New Roman" w:hAnsi="Times New Roman" w:cs="Times New Roman"/>
        </w:rPr>
        <w:t>rials</w:t>
      </w:r>
      <w:r w:rsidRPr="00DD1F63">
        <w:rPr>
          <w:rFonts w:ascii="Times New Roman" w:hAnsi="Times New Roman" w:cs="Times New Roman"/>
          <w:u w:val="none"/>
        </w:rPr>
        <w:t xml:space="preserve"> </w:t>
      </w:r>
    </w:p>
    <w:p w14:paraId="64B1EF91" w14:textId="77777777" w:rsidR="001812F2" w:rsidRPr="00DD1F63" w:rsidRDefault="001812F2" w:rsidP="00377A09">
      <w:pPr>
        <w:spacing w:after="0" w:line="240" w:lineRule="auto"/>
        <w:ind w:left="426" w:hanging="11"/>
        <w:jc w:val="left"/>
        <w:rPr>
          <w:sz w:val="22"/>
        </w:rPr>
      </w:pPr>
    </w:p>
    <w:p w14:paraId="745A2576" w14:textId="0DA5BC66" w:rsidR="006B7C8E" w:rsidRPr="00DD1F63" w:rsidRDefault="00663928"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studied in 9316 patients in controlled and open label trials. These trials included rheumatoid arthritis patients with short term and </w:t>
      </w:r>
      <w:proofErr w:type="gramStart"/>
      <w:r w:rsidR="00CA72FF" w:rsidRPr="00DD1F63">
        <w:rPr>
          <w:rFonts w:ascii="Times New Roman" w:hAnsi="Times New Roman" w:cs="Times New Roman"/>
          <w:sz w:val="22"/>
        </w:rPr>
        <w:t>long standing</w:t>
      </w:r>
      <w:proofErr w:type="gramEnd"/>
      <w:r w:rsidR="00CA72FF" w:rsidRPr="00DD1F63">
        <w:rPr>
          <w:rFonts w:ascii="Times New Roman" w:hAnsi="Times New Roman" w:cs="Times New Roman"/>
          <w:sz w:val="22"/>
        </w:rPr>
        <w:t xml:space="preserve"> disease, juvenile idiopathic arthritis (polyarticular juvenile idiopathic arthritis and </w:t>
      </w:r>
      <w:proofErr w:type="spellStart"/>
      <w:r w:rsidR="00CA72FF" w:rsidRPr="00DD1F63">
        <w:rPr>
          <w:rFonts w:ascii="Times New Roman" w:hAnsi="Times New Roman" w:cs="Times New Roman"/>
          <w:sz w:val="22"/>
        </w:rPr>
        <w:t>enthesitis</w:t>
      </w:r>
      <w:proofErr w:type="spellEnd"/>
      <w:r w:rsidR="00CA72FF" w:rsidRPr="00DD1F63">
        <w:rPr>
          <w:rFonts w:ascii="Times New Roman" w:hAnsi="Times New Roman" w:cs="Times New Roman"/>
          <w:sz w:val="22"/>
        </w:rPr>
        <w:t xml:space="preserve">-related arthritis) as well as psoriatic arthritis, ankylosing spondylitis, </w:t>
      </w:r>
      <w:r w:rsidR="00584342" w:rsidRPr="00DD1F63">
        <w:rPr>
          <w:rFonts w:ascii="Times New Roman" w:hAnsi="Times New Roman" w:cs="Times New Roman"/>
          <w:sz w:val="22"/>
        </w:rPr>
        <w:t xml:space="preserve">Crohn’s disease, ulcerative colitis, </w:t>
      </w:r>
      <w:r w:rsidR="00CA72FF" w:rsidRPr="00DD1F63">
        <w:rPr>
          <w:rFonts w:ascii="Times New Roman" w:hAnsi="Times New Roman" w:cs="Times New Roman"/>
          <w:sz w:val="22"/>
        </w:rPr>
        <w:t xml:space="preserve">psoriasis, hidradenitis suppurativa and uveitis patients. The pivotal controlled studies involved 5994 patients receiving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and 3704 patients receiving placebo or active comparator during the controlled period. </w:t>
      </w:r>
    </w:p>
    <w:p w14:paraId="02EA5375" w14:textId="77777777" w:rsidR="001812F2" w:rsidRPr="00DD1F63" w:rsidRDefault="001812F2" w:rsidP="00377A09">
      <w:pPr>
        <w:spacing w:after="0" w:line="240" w:lineRule="auto"/>
        <w:ind w:left="426" w:right="375"/>
        <w:jc w:val="left"/>
        <w:rPr>
          <w:rFonts w:ascii="Times New Roman" w:hAnsi="Times New Roman" w:cs="Times New Roman"/>
          <w:sz w:val="22"/>
        </w:rPr>
      </w:pPr>
    </w:p>
    <w:p w14:paraId="415C1DAC" w14:textId="7C114A5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proportion of patients who discontinued treatment due to adverse events during the double-blind, controlled portion of pivotal studies across all indications was 5.9% for patients taking </w:t>
      </w:r>
      <w:r w:rsidR="00663928" w:rsidRPr="00DD1F63">
        <w:rPr>
          <w:rFonts w:ascii="Times New Roman" w:hAnsi="Times New Roman" w:cs="Times New Roman"/>
          <w:sz w:val="22"/>
        </w:rPr>
        <w:t>adalimumab</w:t>
      </w:r>
      <w:r w:rsidRPr="00DD1F63">
        <w:rPr>
          <w:rFonts w:ascii="Times New Roman" w:hAnsi="Times New Roman" w:cs="Times New Roman"/>
          <w:sz w:val="22"/>
        </w:rPr>
        <w:t xml:space="preserve"> and 5.5% for control treated patients. The proportion of patients who discontinued treatment due to adverse events during the double-blind, placebo-controlled portion of RA Studies I, II, III and IV was 6.6% for patients taking </w:t>
      </w:r>
      <w:r w:rsidR="00663928" w:rsidRPr="00DD1F63">
        <w:rPr>
          <w:rFonts w:ascii="Times New Roman" w:hAnsi="Times New Roman" w:cs="Times New Roman"/>
          <w:sz w:val="22"/>
        </w:rPr>
        <w:t>adalimumab</w:t>
      </w:r>
      <w:r w:rsidRPr="00DD1F63">
        <w:rPr>
          <w:rFonts w:ascii="Times New Roman" w:hAnsi="Times New Roman" w:cs="Times New Roman"/>
          <w:sz w:val="22"/>
        </w:rPr>
        <w:t xml:space="preserve"> and 4.2% for placebo-treated patients. </w:t>
      </w:r>
    </w:p>
    <w:p w14:paraId="275D526E" w14:textId="77777777" w:rsidR="001812F2" w:rsidRPr="00DD1F63" w:rsidRDefault="001812F2" w:rsidP="00377A09">
      <w:pPr>
        <w:spacing w:after="0" w:line="240" w:lineRule="auto"/>
        <w:ind w:left="426" w:right="375"/>
        <w:jc w:val="left"/>
        <w:rPr>
          <w:rFonts w:ascii="Times New Roman" w:hAnsi="Times New Roman" w:cs="Times New Roman"/>
          <w:sz w:val="22"/>
        </w:rPr>
      </w:pPr>
    </w:p>
    <w:p w14:paraId="05EB286E" w14:textId="45FC6820"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Approximately 13% of patients can be expected to experience injection site reactions, based on the most common adverse event with adalimumab in controlled clinical studies. </w:t>
      </w:r>
    </w:p>
    <w:p w14:paraId="7F336452" w14:textId="77777777" w:rsidR="004A551F" w:rsidRPr="00DD1F63" w:rsidRDefault="004A551F" w:rsidP="00377A09">
      <w:pPr>
        <w:spacing w:after="0" w:line="240" w:lineRule="auto"/>
        <w:ind w:left="426" w:right="375"/>
        <w:jc w:val="left"/>
        <w:rPr>
          <w:rFonts w:ascii="Times New Roman" w:hAnsi="Times New Roman" w:cs="Times New Roman"/>
          <w:sz w:val="22"/>
        </w:rPr>
      </w:pPr>
    </w:p>
    <w:p w14:paraId="297AA861" w14:textId="719C8FA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Adverse events at least possibly </w:t>
      </w:r>
      <w:proofErr w:type="gramStart"/>
      <w:r w:rsidRPr="00DD1F63">
        <w:rPr>
          <w:rFonts w:ascii="Times New Roman" w:hAnsi="Times New Roman" w:cs="Times New Roman"/>
          <w:sz w:val="22"/>
        </w:rPr>
        <w:t>causally-related</w:t>
      </w:r>
      <w:proofErr w:type="gramEnd"/>
      <w:r w:rsidRPr="00DD1F63">
        <w:rPr>
          <w:rFonts w:ascii="Times New Roman" w:hAnsi="Times New Roman" w:cs="Times New Roman"/>
          <w:sz w:val="22"/>
        </w:rPr>
        <w:t xml:space="preserve"> to adalimumab for clinical studies, both clinical and laboratory, are displayed by system organ class and frequency (very common ≥ 1/10; common ≥ 1/100 to &lt;1/10; uncommon ≥ 1/1000 to &lt; 1/100); and rare ≥ 1/10000 to &lt; 1/1000 in Table 1 below. </w:t>
      </w:r>
    </w:p>
    <w:p w14:paraId="1E40E3A6" w14:textId="77777777" w:rsidR="004A551F" w:rsidRPr="00DD1F63" w:rsidRDefault="004A551F" w:rsidP="00377A09">
      <w:pPr>
        <w:spacing w:after="0" w:line="240" w:lineRule="auto"/>
        <w:ind w:left="426" w:right="375"/>
        <w:jc w:val="left"/>
        <w:rPr>
          <w:rFonts w:ascii="Times New Roman" w:hAnsi="Times New Roman" w:cs="Times New Roman"/>
          <w:sz w:val="22"/>
        </w:rPr>
      </w:pPr>
    </w:p>
    <w:p w14:paraId="2143DEB3" w14:textId="77777777" w:rsidR="00250ADD"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highest frequency seen among the various indications has been included. </w:t>
      </w:r>
    </w:p>
    <w:p w14:paraId="1D1C31DE" w14:textId="77777777" w:rsidR="004300F9" w:rsidRPr="00DD1F63" w:rsidRDefault="004300F9" w:rsidP="00377A09">
      <w:pPr>
        <w:spacing w:after="0" w:line="240" w:lineRule="auto"/>
        <w:ind w:left="426" w:right="375"/>
        <w:jc w:val="left"/>
        <w:rPr>
          <w:rFonts w:ascii="Times New Roman" w:hAnsi="Times New Roman" w:cs="Times New Roman"/>
          <w:b/>
        </w:rPr>
      </w:pPr>
    </w:p>
    <w:p w14:paraId="5F475808" w14:textId="0B7D11F5" w:rsidR="006B7C8E" w:rsidRPr="00DD1F63" w:rsidRDefault="00CA72FF" w:rsidP="00377A09">
      <w:pPr>
        <w:keepNext/>
        <w:pageBreakBefore/>
        <w:spacing w:after="0" w:line="240" w:lineRule="auto"/>
        <w:ind w:left="425" w:right="374" w:hanging="11"/>
        <w:jc w:val="left"/>
        <w:rPr>
          <w:rFonts w:ascii="Times New Roman" w:hAnsi="Times New Roman" w:cs="Times New Roman"/>
          <w:b/>
          <w:sz w:val="22"/>
        </w:rPr>
      </w:pPr>
      <w:r w:rsidRPr="00DD1F63">
        <w:rPr>
          <w:rFonts w:ascii="Times New Roman" w:hAnsi="Times New Roman" w:cs="Times New Roman"/>
          <w:b/>
          <w:sz w:val="22"/>
        </w:rPr>
        <w:lastRenderedPageBreak/>
        <w:t xml:space="preserve">Table 1: Adverse </w:t>
      </w:r>
      <w:r w:rsidR="00663928" w:rsidRPr="00DD1F63">
        <w:rPr>
          <w:rFonts w:ascii="Times New Roman" w:hAnsi="Times New Roman" w:cs="Times New Roman"/>
          <w:b/>
          <w:sz w:val="22"/>
        </w:rPr>
        <w:t>d</w:t>
      </w:r>
      <w:r w:rsidRPr="00DD1F63">
        <w:rPr>
          <w:rFonts w:ascii="Times New Roman" w:hAnsi="Times New Roman" w:cs="Times New Roman"/>
          <w:b/>
          <w:sz w:val="22"/>
        </w:rPr>
        <w:t xml:space="preserve">rug </w:t>
      </w:r>
      <w:r w:rsidR="00663928" w:rsidRPr="00DD1F63">
        <w:rPr>
          <w:rFonts w:ascii="Times New Roman" w:hAnsi="Times New Roman" w:cs="Times New Roman"/>
          <w:b/>
          <w:sz w:val="22"/>
        </w:rPr>
        <w:t>r</w:t>
      </w:r>
      <w:r w:rsidRPr="00DD1F63">
        <w:rPr>
          <w:rFonts w:ascii="Times New Roman" w:hAnsi="Times New Roman" w:cs="Times New Roman"/>
          <w:b/>
          <w:sz w:val="22"/>
        </w:rPr>
        <w:t xml:space="preserve">eactions in </w:t>
      </w:r>
      <w:r w:rsidR="00663928" w:rsidRPr="00DD1F63">
        <w:rPr>
          <w:rFonts w:ascii="Times New Roman" w:hAnsi="Times New Roman" w:cs="Times New Roman"/>
          <w:b/>
          <w:sz w:val="22"/>
        </w:rPr>
        <w:t>c</w:t>
      </w:r>
      <w:r w:rsidRPr="00DD1F63">
        <w:rPr>
          <w:rFonts w:ascii="Times New Roman" w:hAnsi="Times New Roman" w:cs="Times New Roman"/>
          <w:b/>
          <w:sz w:val="22"/>
        </w:rPr>
        <w:t xml:space="preserve">linical </w:t>
      </w:r>
      <w:r w:rsidR="00663928" w:rsidRPr="00DD1F63">
        <w:rPr>
          <w:rFonts w:ascii="Times New Roman" w:hAnsi="Times New Roman" w:cs="Times New Roman"/>
          <w:b/>
          <w:sz w:val="22"/>
        </w:rPr>
        <w:t>s</w:t>
      </w:r>
      <w:r w:rsidRPr="00DD1F63">
        <w:rPr>
          <w:rFonts w:ascii="Times New Roman" w:hAnsi="Times New Roman" w:cs="Times New Roman"/>
          <w:b/>
          <w:sz w:val="22"/>
        </w:rPr>
        <w:t xml:space="preserve">tudies </w:t>
      </w:r>
    </w:p>
    <w:p w14:paraId="68386A91" w14:textId="77777777" w:rsidR="0081130A" w:rsidRPr="00DD1F63" w:rsidRDefault="0081130A" w:rsidP="00377A09">
      <w:pPr>
        <w:keepNext/>
        <w:spacing w:after="0" w:line="240" w:lineRule="auto"/>
        <w:ind w:left="425" w:right="374" w:hanging="11"/>
        <w:jc w:val="left"/>
        <w:rPr>
          <w:rFonts w:ascii="Times New Roman" w:hAnsi="Times New Roman" w:cs="Times New Roman"/>
          <w:sz w:val="22"/>
        </w:rPr>
      </w:pPr>
    </w:p>
    <w:tbl>
      <w:tblPr>
        <w:tblStyle w:val="TableGrid1"/>
        <w:tblW w:w="8543" w:type="dxa"/>
        <w:tblInd w:w="421" w:type="dxa"/>
        <w:tblCellMar>
          <w:left w:w="57" w:type="dxa"/>
          <w:right w:w="57" w:type="dxa"/>
        </w:tblCellMar>
        <w:tblLook w:val="04A0" w:firstRow="1" w:lastRow="0" w:firstColumn="1" w:lastColumn="0" w:noHBand="0" w:noVBand="1"/>
      </w:tblPr>
      <w:tblGrid>
        <w:gridCol w:w="2142"/>
        <w:gridCol w:w="1683"/>
        <w:gridCol w:w="4718"/>
      </w:tblGrid>
      <w:tr w:rsidR="006B7C8E" w:rsidRPr="00DD1F63" w14:paraId="5B9A5440" w14:textId="77777777" w:rsidTr="0081130A">
        <w:trPr>
          <w:trHeight w:val="52"/>
        </w:trPr>
        <w:tc>
          <w:tcPr>
            <w:tcW w:w="2142" w:type="dxa"/>
            <w:tcBorders>
              <w:top w:val="single" w:sz="4" w:space="0" w:color="000000"/>
              <w:left w:val="single" w:sz="4" w:space="0" w:color="000000"/>
              <w:bottom w:val="single" w:sz="4" w:space="0" w:color="000000"/>
              <w:right w:val="single" w:sz="4" w:space="0" w:color="000000"/>
            </w:tcBorders>
          </w:tcPr>
          <w:p w14:paraId="4F09080B" w14:textId="24E93CEB" w:rsidR="006B7C8E" w:rsidRPr="00DD1F63" w:rsidRDefault="00CA72FF" w:rsidP="00377A09">
            <w:pPr>
              <w:tabs>
                <w:tab w:val="left" w:pos="172"/>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System Organ</w:t>
            </w:r>
            <w:r w:rsidR="00B1591F" w:rsidRPr="00DD1F63">
              <w:rPr>
                <w:rFonts w:ascii="Times New Roman" w:hAnsi="Times New Roman" w:cs="Times New Roman"/>
                <w:b/>
                <w:sz w:val="21"/>
                <w:szCs w:val="21"/>
              </w:rPr>
              <w:t xml:space="preserve"> </w:t>
            </w:r>
            <w:proofErr w:type="spellStart"/>
            <w:r w:rsidRPr="00DD1F63">
              <w:rPr>
                <w:rFonts w:ascii="Times New Roman" w:hAnsi="Times New Roman" w:cs="Times New Roman"/>
                <w:b/>
                <w:sz w:val="21"/>
                <w:szCs w:val="21"/>
              </w:rPr>
              <w:t>Class</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c>
          <w:tcPr>
            <w:tcW w:w="1683" w:type="dxa"/>
            <w:tcBorders>
              <w:top w:val="single" w:sz="4" w:space="0" w:color="000000"/>
              <w:left w:val="single" w:sz="4" w:space="0" w:color="000000"/>
              <w:bottom w:val="single" w:sz="4" w:space="0" w:color="000000"/>
              <w:right w:val="single" w:sz="4" w:space="0" w:color="000000"/>
            </w:tcBorders>
          </w:tcPr>
          <w:p w14:paraId="28865F5F" w14:textId="5BC9619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Frequency</w:t>
            </w:r>
          </w:p>
        </w:tc>
        <w:tc>
          <w:tcPr>
            <w:tcW w:w="4718" w:type="dxa"/>
            <w:tcBorders>
              <w:top w:val="single" w:sz="4" w:space="0" w:color="000000"/>
              <w:left w:val="single" w:sz="4" w:space="0" w:color="000000"/>
              <w:bottom w:val="single" w:sz="4" w:space="0" w:color="000000"/>
              <w:right w:val="single" w:sz="4" w:space="0" w:color="000000"/>
            </w:tcBorders>
          </w:tcPr>
          <w:p w14:paraId="46057D07" w14:textId="22D2DBA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Adverse </w:t>
            </w:r>
            <w:proofErr w:type="spellStart"/>
            <w:r w:rsidRPr="00DD1F63">
              <w:rPr>
                <w:rFonts w:ascii="Times New Roman" w:hAnsi="Times New Roman" w:cs="Times New Roman"/>
                <w:b/>
                <w:sz w:val="21"/>
                <w:szCs w:val="21"/>
              </w:rPr>
              <w:t>Reaction</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r>
      <w:tr w:rsidR="006B7C8E" w:rsidRPr="00DD1F63" w14:paraId="361667A7" w14:textId="77777777" w:rsidTr="0081130A">
        <w:trPr>
          <w:trHeight w:val="840"/>
        </w:trPr>
        <w:tc>
          <w:tcPr>
            <w:tcW w:w="2142" w:type="dxa"/>
            <w:vMerge w:val="restart"/>
            <w:tcBorders>
              <w:top w:val="single" w:sz="4" w:space="0" w:color="000000"/>
              <w:left w:val="single" w:sz="4" w:space="0" w:color="000000"/>
              <w:bottom w:val="single" w:sz="4" w:space="0" w:color="000000"/>
              <w:right w:val="single" w:sz="4" w:space="0" w:color="000000"/>
            </w:tcBorders>
          </w:tcPr>
          <w:p w14:paraId="4A9F0BDE"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Infections and infestations </w:t>
            </w:r>
          </w:p>
          <w:p w14:paraId="52971DB6"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0A5BB5B3"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7B563AB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tract infections (including lower and upper respiratory tract infection, pneumonia, sinusitis, pharyngitis, nasopharyngitis and pneumonia herpes viral) </w:t>
            </w:r>
          </w:p>
        </w:tc>
      </w:tr>
      <w:tr w:rsidR="006B7C8E" w:rsidRPr="00DD1F63" w14:paraId="132530AC" w14:textId="77777777" w:rsidTr="0081130A">
        <w:trPr>
          <w:trHeight w:val="2050"/>
        </w:trPr>
        <w:tc>
          <w:tcPr>
            <w:tcW w:w="2142" w:type="dxa"/>
            <w:vMerge/>
            <w:tcBorders>
              <w:top w:val="nil"/>
              <w:left w:val="single" w:sz="4" w:space="0" w:color="000000"/>
              <w:bottom w:val="nil"/>
              <w:right w:val="single" w:sz="4" w:space="0" w:color="000000"/>
            </w:tcBorders>
          </w:tcPr>
          <w:p w14:paraId="149332E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E15B65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520023CE"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6A6A82B4" w14:textId="555D554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systemic infections (including sepsis, candidiasis and influenza), intestinal infections (including gastroenteritis viral), skin and soft tissue infections (including paronychia, cellulitis, impetigo, necrotising fasciitis and herpes zoster), ear infections, oral infections (including herpes simplex, oral herpes and tooth infections), reproductive tract infections (including vulvovaginal mycotic infection), urinary tract infections (including pyelonephritis), fungal infections, joint infections </w:t>
            </w:r>
          </w:p>
        </w:tc>
      </w:tr>
      <w:tr w:rsidR="006B7C8E" w:rsidRPr="00DD1F63" w14:paraId="0A6F0752" w14:textId="77777777" w:rsidTr="0081130A">
        <w:trPr>
          <w:trHeight w:val="863"/>
        </w:trPr>
        <w:tc>
          <w:tcPr>
            <w:tcW w:w="2142" w:type="dxa"/>
            <w:vMerge/>
            <w:tcBorders>
              <w:top w:val="nil"/>
              <w:left w:val="single" w:sz="4" w:space="0" w:color="000000"/>
              <w:bottom w:val="single" w:sz="4" w:space="0" w:color="000000"/>
              <w:right w:val="single" w:sz="4" w:space="0" w:color="000000"/>
            </w:tcBorders>
          </w:tcPr>
          <w:p w14:paraId="14C904F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ECF257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6BDDC5A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35F4C67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opportunistic infections and tuberculosis (including coccidioidomycosis, histoplasmosis and mycobacterium avium complex infection), neurological infections (including viral meningitis), eye infections,</w:t>
            </w:r>
            <w:r w:rsidRPr="00DD1F63">
              <w:rPr>
                <w:rFonts w:ascii="Times New Roman" w:hAnsi="Times New Roman" w:cs="Times New Roman"/>
                <w:b/>
                <w:i/>
                <w:sz w:val="21"/>
                <w:szCs w:val="21"/>
              </w:rPr>
              <w:t xml:space="preserve"> </w:t>
            </w:r>
            <w:r w:rsidRPr="00DD1F63">
              <w:rPr>
                <w:rFonts w:ascii="Times New Roman" w:hAnsi="Times New Roman" w:cs="Times New Roman"/>
                <w:sz w:val="21"/>
                <w:szCs w:val="21"/>
              </w:rPr>
              <w:t xml:space="preserve">bacterial infections </w:t>
            </w:r>
          </w:p>
        </w:tc>
      </w:tr>
      <w:tr w:rsidR="006B7C8E" w:rsidRPr="00DD1F63" w14:paraId="43895A06" w14:textId="77777777" w:rsidTr="0081130A">
        <w:trPr>
          <w:trHeight w:val="485"/>
        </w:trPr>
        <w:tc>
          <w:tcPr>
            <w:tcW w:w="2142" w:type="dxa"/>
            <w:vMerge w:val="restart"/>
            <w:tcBorders>
              <w:top w:val="single" w:sz="4" w:space="0" w:color="000000"/>
              <w:left w:val="single" w:sz="4" w:space="0" w:color="000000"/>
              <w:bottom w:val="single" w:sz="4" w:space="0" w:color="000000"/>
              <w:right w:val="single" w:sz="4" w:space="0" w:color="000000"/>
            </w:tcBorders>
          </w:tcPr>
          <w:p w14:paraId="607895D3"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Neoplasms benign, </w:t>
            </w:r>
            <w:proofErr w:type="gramStart"/>
            <w:r w:rsidRPr="00DD1F63">
              <w:rPr>
                <w:rFonts w:ascii="Times New Roman" w:hAnsi="Times New Roman" w:cs="Times New Roman"/>
                <w:sz w:val="21"/>
                <w:szCs w:val="21"/>
              </w:rPr>
              <w:t>malignant</w:t>
            </w:r>
            <w:proofErr w:type="gramEnd"/>
            <w:r w:rsidRPr="00DD1F63">
              <w:rPr>
                <w:rFonts w:ascii="Times New Roman" w:hAnsi="Times New Roman" w:cs="Times New Roman"/>
                <w:sz w:val="21"/>
                <w:szCs w:val="21"/>
              </w:rPr>
              <w:t xml:space="preserve"> and unspecified </w:t>
            </w:r>
          </w:p>
          <w:p w14:paraId="0D18B2F8"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proofErr w:type="gramStart"/>
            <w:r w:rsidRPr="00DD1F63">
              <w:rPr>
                <w:rFonts w:ascii="Times New Roman" w:hAnsi="Times New Roman" w:cs="Times New Roman"/>
                <w:sz w:val="21"/>
                <w:szCs w:val="21"/>
              </w:rPr>
              <w:t>including</w:t>
            </w:r>
            <w:proofErr w:type="gramEnd"/>
            <w:r w:rsidRPr="00DD1F63">
              <w:rPr>
                <w:rFonts w:ascii="Times New Roman" w:hAnsi="Times New Roman" w:cs="Times New Roman"/>
                <w:sz w:val="21"/>
                <w:szCs w:val="21"/>
              </w:rPr>
              <w:t xml:space="preserve"> cysts and polyps)</w:t>
            </w:r>
            <w:r w:rsidRPr="00DD1F63">
              <w:rPr>
                <w:rFonts w:ascii="Times New Roman" w:hAnsi="Times New Roman" w:cs="Times New Roman"/>
                <w:b/>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07969C7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37FDB9A1"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1BC7300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benign neoplasm, skin cancer excluding melanoma (including basal cell carcinoma and squamous cell carcinoma) </w:t>
            </w:r>
          </w:p>
        </w:tc>
      </w:tr>
      <w:tr w:rsidR="006B7C8E" w:rsidRPr="00DD1F63" w14:paraId="1319A8D8" w14:textId="77777777" w:rsidTr="0081130A">
        <w:trPr>
          <w:trHeight w:val="174"/>
        </w:trPr>
        <w:tc>
          <w:tcPr>
            <w:tcW w:w="2142" w:type="dxa"/>
            <w:vMerge/>
            <w:tcBorders>
              <w:top w:val="nil"/>
              <w:left w:val="single" w:sz="4" w:space="0" w:color="000000"/>
              <w:bottom w:val="single" w:sz="4" w:space="0" w:color="000000"/>
              <w:right w:val="single" w:sz="4" w:space="0" w:color="000000"/>
            </w:tcBorders>
          </w:tcPr>
          <w:p w14:paraId="074F72D9"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0DF59A12"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2224509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6634CFE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lymphoma*, solid organ neoplasm (including breast cancer, lung neoplasm and thyroid neoplasm), melanoma* </w:t>
            </w:r>
          </w:p>
        </w:tc>
      </w:tr>
      <w:tr w:rsidR="006B7C8E" w:rsidRPr="00DD1F63" w14:paraId="7D07A237"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5A6F0F9A"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Blood and the lymphatic system disorders</w:t>
            </w:r>
            <w:r w:rsidRPr="00DD1F63">
              <w:rPr>
                <w:rFonts w:ascii="Times New Roman" w:hAnsi="Times New Roman" w:cs="Times New Roman"/>
                <w:b/>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71B67C6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p w14:paraId="00D080F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59F0916B"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leukopaenia</w:t>
            </w:r>
            <w:proofErr w:type="spellEnd"/>
            <w:r w:rsidRPr="00DD1F63">
              <w:rPr>
                <w:rFonts w:ascii="Times New Roman" w:hAnsi="Times New Roman" w:cs="Times New Roman"/>
                <w:sz w:val="21"/>
                <w:szCs w:val="21"/>
              </w:rPr>
              <w:t xml:space="preserve"> (including </w:t>
            </w:r>
            <w:proofErr w:type="spellStart"/>
            <w:r w:rsidRPr="00DD1F63">
              <w:rPr>
                <w:rFonts w:ascii="Times New Roman" w:hAnsi="Times New Roman" w:cs="Times New Roman"/>
                <w:sz w:val="21"/>
                <w:szCs w:val="21"/>
              </w:rPr>
              <w:t>neutropaenia</w:t>
            </w:r>
            <w:proofErr w:type="spellEnd"/>
            <w:r w:rsidRPr="00DD1F63">
              <w:rPr>
                <w:rFonts w:ascii="Times New Roman" w:hAnsi="Times New Roman" w:cs="Times New Roman"/>
                <w:sz w:val="21"/>
                <w:szCs w:val="21"/>
              </w:rPr>
              <w:t xml:space="preserve"> and agranulocytosis), anaemia </w:t>
            </w:r>
          </w:p>
        </w:tc>
      </w:tr>
      <w:tr w:rsidR="006B7C8E" w:rsidRPr="00DD1F63" w14:paraId="5A6B6B3B" w14:textId="77777777" w:rsidTr="0081130A">
        <w:trPr>
          <w:trHeight w:val="121"/>
        </w:trPr>
        <w:tc>
          <w:tcPr>
            <w:tcW w:w="2142" w:type="dxa"/>
            <w:vMerge/>
            <w:tcBorders>
              <w:top w:val="nil"/>
              <w:left w:val="single" w:sz="4" w:space="0" w:color="000000"/>
              <w:bottom w:val="nil"/>
              <w:right w:val="single" w:sz="4" w:space="0" w:color="000000"/>
            </w:tcBorders>
          </w:tcPr>
          <w:p w14:paraId="28E7165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444FB82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157A54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thrombocytopaenia, leucocytosis </w:t>
            </w:r>
          </w:p>
        </w:tc>
      </w:tr>
      <w:tr w:rsidR="006B7C8E" w:rsidRPr="00DD1F63" w14:paraId="457D477E" w14:textId="77777777" w:rsidTr="0081130A">
        <w:trPr>
          <w:trHeight w:val="20"/>
        </w:trPr>
        <w:tc>
          <w:tcPr>
            <w:tcW w:w="2142" w:type="dxa"/>
            <w:vMerge/>
            <w:tcBorders>
              <w:top w:val="nil"/>
              <w:left w:val="single" w:sz="4" w:space="0" w:color="000000"/>
              <w:bottom w:val="nil"/>
              <w:right w:val="single" w:sz="4" w:space="0" w:color="000000"/>
            </w:tcBorders>
          </w:tcPr>
          <w:p w14:paraId="65FD8E3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4B470298"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7E3B56C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idiopathic </w:t>
            </w:r>
            <w:proofErr w:type="spellStart"/>
            <w:r w:rsidRPr="00DD1F63">
              <w:rPr>
                <w:rFonts w:ascii="Times New Roman" w:hAnsi="Times New Roman" w:cs="Times New Roman"/>
                <w:sz w:val="21"/>
                <w:szCs w:val="21"/>
              </w:rPr>
              <w:t>thrombocytopaenic</w:t>
            </w:r>
            <w:proofErr w:type="spellEnd"/>
            <w:r w:rsidRPr="00DD1F63">
              <w:rPr>
                <w:rFonts w:ascii="Times New Roman" w:hAnsi="Times New Roman" w:cs="Times New Roman"/>
                <w:sz w:val="21"/>
                <w:szCs w:val="21"/>
              </w:rPr>
              <w:t xml:space="preserve"> purpura </w:t>
            </w:r>
          </w:p>
        </w:tc>
      </w:tr>
      <w:tr w:rsidR="006B7C8E" w:rsidRPr="00DD1F63" w14:paraId="68E7B06D" w14:textId="77777777" w:rsidTr="0081130A">
        <w:trPr>
          <w:trHeight w:val="45"/>
        </w:trPr>
        <w:tc>
          <w:tcPr>
            <w:tcW w:w="2142" w:type="dxa"/>
            <w:vMerge/>
            <w:tcBorders>
              <w:top w:val="nil"/>
              <w:left w:val="single" w:sz="4" w:space="0" w:color="000000"/>
              <w:bottom w:val="single" w:sz="4" w:space="0" w:color="000000"/>
              <w:right w:val="single" w:sz="4" w:space="0" w:color="000000"/>
            </w:tcBorders>
          </w:tcPr>
          <w:p w14:paraId="722C8AF5"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1DBBF3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Rare </w:t>
            </w:r>
          </w:p>
        </w:tc>
        <w:tc>
          <w:tcPr>
            <w:tcW w:w="4718" w:type="dxa"/>
            <w:tcBorders>
              <w:top w:val="single" w:sz="4" w:space="0" w:color="000000"/>
              <w:left w:val="single" w:sz="4" w:space="0" w:color="000000"/>
              <w:bottom w:val="single" w:sz="4" w:space="0" w:color="000000"/>
              <w:right w:val="single" w:sz="4" w:space="0" w:color="000000"/>
            </w:tcBorders>
          </w:tcPr>
          <w:p w14:paraId="564324CD"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pancytopaenia</w:t>
            </w:r>
            <w:proofErr w:type="spellEnd"/>
            <w:r w:rsidRPr="00DD1F63">
              <w:rPr>
                <w:rFonts w:ascii="Times New Roman" w:hAnsi="Times New Roman" w:cs="Times New Roman"/>
                <w:b/>
                <w:sz w:val="21"/>
                <w:szCs w:val="21"/>
              </w:rPr>
              <w:t xml:space="preserve"> </w:t>
            </w:r>
          </w:p>
        </w:tc>
      </w:tr>
      <w:tr w:rsidR="006B7C8E" w:rsidRPr="00DD1F63" w14:paraId="6A2ED8D3" w14:textId="77777777" w:rsidTr="0081130A">
        <w:trPr>
          <w:trHeight w:val="94"/>
        </w:trPr>
        <w:tc>
          <w:tcPr>
            <w:tcW w:w="2142" w:type="dxa"/>
            <w:tcBorders>
              <w:top w:val="single" w:sz="4" w:space="0" w:color="000000"/>
              <w:left w:val="single" w:sz="4" w:space="0" w:color="000000"/>
              <w:bottom w:val="single" w:sz="4" w:space="0" w:color="000000"/>
              <w:right w:val="single" w:sz="4" w:space="0" w:color="000000"/>
            </w:tcBorders>
          </w:tcPr>
          <w:p w14:paraId="1B682B4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Immune system disorders </w:t>
            </w:r>
          </w:p>
        </w:tc>
        <w:tc>
          <w:tcPr>
            <w:tcW w:w="1683" w:type="dxa"/>
            <w:tcBorders>
              <w:top w:val="single" w:sz="4" w:space="0" w:color="000000"/>
              <w:left w:val="single" w:sz="4" w:space="0" w:color="000000"/>
              <w:bottom w:val="single" w:sz="4" w:space="0" w:color="000000"/>
              <w:right w:val="single" w:sz="4" w:space="0" w:color="000000"/>
            </w:tcBorders>
          </w:tcPr>
          <w:p w14:paraId="065108E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6DD0468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hypersensitivity, allergies (including seasonal allergy) </w:t>
            </w:r>
          </w:p>
        </w:tc>
      </w:tr>
      <w:tr w:rsidR="006B7C8E" w:rsidRPr="00DD1F63" w14:paraId="19948CA9"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311A5AA7" w14:textId="20AC25A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Metabolism and nutrition disorders </w:t>
            </w:r>
          </w:p>
        </w:tc>
        <w:tc>
          <w:tcPr>
            <w:tcW w:w="1683" w:type="dxa"/>
            <w:tcBorders>
              <w:top w:val="single" w:sz="4" w:space="0" w:color="000000"/>
              <w:left w:val="single" w:sz="4" w:space="0" w:color="000000"/>
              <w:bottom w:val="single" w:sz="4" w:space="0" w:color="000000"/>
              <w:right w:val="single" w:sz="4" w:space="0" w:color="000000"/>
            </w:tcBorders>
          </w:tcPr>
          <w:p w14:paraId="5B14865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3D73ABD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lipids increased </w:t>
            </w:r>
          </w:p>
        </w:tc>
      </w:tr>
      <w:tr w:rsidR="006B7C8E" w:rsidRPr="00DD1F63" w14:paraId="2D314C6B" w14:textId="77777777" w:rsidTr="0081130A">
        <w:trPr>
          <w:trHeight w:val="361"/>
        </w:trPr>
        <w:tc>
          <w:tcPr>
            <w:tcW w:w="2142" w:type="dxa"/>
            <w:vMerge/>
            <w:tcBorders>
              <w:top w:val="nil"/>
              <w:left w:val="single" w:sz="4" w:space="0" w:color="000000"/>
              <w:bottom w:val="single" w:sz="4" w:space="0" w:color="000000"/>
              <w:right w:val="single" w:sz="4" w:space="0" w:color="000000"/>
            </w:tcBorders>
          </w:tcPr>
          <w:p w14:paraId="72E4E74A"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nil"/>
              <w:right w:val="single" w:sz="4" w:space="0" w:color="000000"/>
            </w:tcBorders>
          </w:tcPr>
          <w:p w14:paraId="5289EF0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10A4B89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nil"/>
              <w:right w:val="single" w:sz="4" w:space="0" w:color="000000"/>
            </w:tcBorders>
          </w:tcPr>
          <w:p w14:paraId="1A4A3DCB"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hypokalaemia, uric acid increased, blood sodium abnormal, hypocalcaemia, hyperglycaemia, hypophosphatemia, dehydration </w:t>
            </w:r>
          </w:p>
        </w:tc>
      </w:tr>
      <w:tr w:rsidR="006B7C8E" w:rsidRPr="00DD1F63" w14:paraId="617E5D6E" w14:textId="77777777" w:rsidTr="0081130A">
        <w:trPr>
          <w:trHeight w:val="359"/>
        </w:trPr>
        <w:tc>
          <w:tcPr>
            <w:tcW w:w="2142" w:type="dxa"/>
            <w:tcBorders>
              <w:top w:val="single" w:sz="4" w:space="0" w:color="000000"/>
              <w:left w:val="single" w:sz="4" w:space="0" w:color="000000"/>
              <w:bottom w:val="single" w:sz="4" w:space="0" w:color="000000"/>
              <w:right w:val="single" w:sz="4" w:space="0" w:color="000000"/>
            </w:tcBorders>
          </w:tcPr>
          <w:p w14:paraId="7E786E75"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Psychiatric disorders </w:t>
            </w:r>
          </w:p>
        </w:tc>
        <w:tc>
          <w:tcPr>
            <w:tcW w:w="1683" w:type="dxa"/>
            <w:tcBorders>
              <w:top w:val="single" w:sz="4" w:space="0" w:color="000000"/>
              <w:left w:val="single" w:sz="4" w:space="0" w:color="000000"/>
              <w:bottom w:val="single" w:sz="4" w:space="0" w:color="000000"/>
              <w:right w:val="single" w:sz="4" w:space="0" w:color="000000"/>
            </w:tcBorders>
          </w:tcPr>
          <w:p w14:paraId="6D3284C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461C8CF3"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50582B3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mood alterations (including depression), </w:t>
            </w:r>
            <w:proofErr w:type="gramStart"/>
            <w:r w:rsidRPr="00DD1F63">
              <w:rPr>
                <w:rFonts w:ascii="Times New Roman" w:hAnsi="Times New Roman" w:cs="Times New Roman"/>
                <w:sz w:val="21"/>
                <w:szCs w:val="21"/>
              </w:rPr>
              <w:t>anxiety,  insomnia</w:t>
            </w:r>
            <w:proofErr w:type="gramEnd"/>
            <w:r w:rsidRPr="00DD1F63">
              <w:rPr>
                <w:rFonts w:ascii="Times New Roman" w:hAnsi="Times New Roman" w:cs="Times New Roman"/>
                <w:sz w:val="21"/>
                <w:szCs w:val="21"/>
              </w:rPr>
              <w:t xml:space="preserve"> </w:t>
            </w:r>
          </w:p>
        </w:tc>
      </w:tr>
      <w:tr w:rsidR="006B7C8E" w:rsidRPr="00DD1F63" w14:paraId="5E1BA209" w14:textId="77777777" w:rsidTr="0081130A">
        <w:trPr>
          <w:trHeight w:val="142"/>
        </w:trPr>
        <w:tc>
          <w:tcPr>
            <w:tcW w:w="2142" w:type="dxa"/>
            <w:vMerge w:val="restart"/>
            <w:tcBorders>
              <w:top w:val="single" w:sz="4" w:space="0" w:color="000000"/>
              <w:left w:val="single" w:sz="4" w:space="0" w:color="000000"/>
              <w:bottom w:val="single" w:sz="4" w:space="0" w:color="000000"/>
              <w:right w:val="single" w:sz="4" w:space="0" w:color="000000"/>
            </w:tcBorders>
          </w:tcPr>
          <w:p w14:paraId="47D3223F"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Nervous system disorders </w:t>
            </w:r>
          </w:p>
          <w:p w14:paraId="09D5AA33"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4EF1BC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440A66E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headache </w:t>
            </w:r>
          </w:p>
        </w:tc>
      </w:tr>
      <w:tr w:rsidR="006B7C8E" w:rsidRPr="00DD1F63" w14:paraId="1D8BD4A5" w14:textId="77777777" w:rsidTr="0081130A">
        <w:trPr>
          <w:trHeight w:val="345"/>
        </w:trPr>
        <w:tc>
          <w:tcPr>
            <w:tcW w:w="2142" w:type="dxa"/>
            <w:vMerge/>
            <w:tcBorders>
              <w:top w:val="nil"/>
              <w:left w:val="single" w:sz="4" w:space="0" w:color="000000"/>
              <w:bottom w:val="nil"/>
              <w:right w:val="single" w:sz="4" w:space="0" w:color="000000"/>
            </w:tcBorders>
          </w:tcPr>
          <w:p w14:paraId="65240A7C"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2B3215F"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1D1409B0"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24C4660D"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paraesthesias</w:t>
            </w:r>
            <w:proofErr w:type="spellEnd"/>
            <w:r w:rsidRPr="00DD1F63">
              <w:rPr>
                <w:rFonts w:ascii="Times New Roman" w:hAnsi="Times New Roman" w:cs="Times New Roman"/>
                <w:sz w:val="21"/>
                <w:szCs w:val="21"/>
              </w:rPr>
              <w:t xml:space="preserve"> (including </w:t>
            </w:r>
            <w:proofErr w:type="spellStart"/>
            <w:r w:rsidRPr="00DD1F63">
              <w:rPr>
                <w:rFonts w:ascii="Times New Roman" w:hAnsi="Times New Roman" w:cs="Times New Roman"/>
                <w:sz w:val="21"/>
                <w:szCs w:val="21"/>
              </w:rPr>
              <w:t>hypoaesthesia</w:t>
            </w:r>
            <w:proofErr w:type="spellEnd"/>
            <w:r w:rsidRPr="00DD1F63">
              <w:rPr>
                <w:rFonts w:ascii="Times New Roman" w:hAnsi="Times New Roman" w:cs="Times New Roman"/>
                <w:sz w:val="21"/>
                <w:szCs w:val="21"/>
              </w:rPr>
              <w:t xml:space="preserve">), migraine, nerve root compression </w:t>
            </w:r>
          </w:p>
        </w:tc>
      </w:tr>
      <w:tr w:rsidR="006B7C8E" w:rsidRPr="00DD1F63" w14:paraId="12CF381D" w14:textId="77777777" w:rsidTr="0081130A">
        <w:trPr>
          <w:trHeight w:val="370"/>
        </w:trPr>
        <w:tc>
          <w:tcPr>
            <w:tcW w:w="2142" w:type="dxa"/>
            <w:vMerge/>
            <w:tcBorders>
              <w:top w:val="nil"/>
              <w:left w:val="single" w:sz="4" w:space="0" w:color="000000"/>
              <w:bottom w:val="nil"/>
              <w:right w:val="single" w:sz="4" w:space="0" w:color="000000"/>
            </w:tcBorders>
          </w:tcPr>
          <w:p w14:paraId="18698234"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22B4CA93"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CCC406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tremor, neuropathy </w:t>
            </w:r>
          </w:p>
        </w:tc>
      </w:tr>
      <w:tr w:rsidR="006B7C8E" w:rsidRPr="00DD1F63" w14:paraId="6ACDCEF5" w14:textId="77777777" w:rsidTr="0081130A">
        <w:trPr>
          <w:trHeight w:val="146"/>
        </w:trPr>
        <w:tc>
          <w:tcPr>
            <w:tcW w:w="2142" w:type="dxa"/>
            <w:vMerge/>
            <w:tcBorders>
              <w:top w:val="nil"/>
              <w:left w:val="single" w:sz="4" w:space="0" w:color="000000"/>
              <w:bottom w:val="single" w:sz="4" w:space="0" w:color="000000"/>
              <w:right w:val="single" w:sz="4" w:space="0" w:color="000000"/>
            </w:tcBorders>
          </w:tcPr>
          <w:p w14:paraId="32A866B6"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0179141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Rare </w:t>
            </w:r>
          </w:p>
        </w:tc>
        <w:tc>
          <w:tcPr>
            <w:tcW w:w="4718" w:type="dxa"/>
            <w:tcBorders>
              <w:top w:val="single" w:sz="4" w:space="0" w:color="000000"/>
              <w:left w:val="single" w:sz="4" w:space="0" w:color="000000"/>
              <w:bottom w:val="single" w:sz="4" w:space="0" w:color="000000"/>
              <w:right w:val="single" w:sz="4" w:space="0" w:color="000000"/>
            </w:tcBorders>
          </w:tcPr>
          <w:p w14:paraId="1D052E4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multiple sclerosis </w:t>
            </w:r>
          </w:p>
        </w:tc>
      </w:tr>
      <w:tr w:rsidR="006B7C8E" w:rsidRPr="00DD1F63" w14:paraId="630035B7" w14:textId="77777777" w:rsidTr="0081130A">
        <w:trPr>
          <w:trHeight w:val="322"/>
        </w:trPr>
        <w:tc>
          <w:tcPr>
            <w:tcW w:w="2142" w:type="dxa"/>
            <w:vMerge w:val="restart"/>
            <w:tcBorders>
              <w:top w:val="single" w:sz="4" w:space="0" w:color="000000"/>
              <w:left w:val="single" w:sz="4" w:space="0" w:color="000000"/>
              <w:bottom w:val="single" w:sz="4" w:space="0" w:color="000000"/>
              <w:right w:val="single" w:sz="4" w:space="0" w:color="000000"/>
            </w:tcBorders>
          </w:tcPr>
          <w:p w14:paraId="74897EEE"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Eye disorders </w:t>
            </w:r>
          </w:p>
        </w:tc>
        <w:tc>
          <w:tcPr>
            <w:tcW w:w="1683" w:type="dxa"/>
            <w:tcBorders>
              <w:top w:val="single" w:sz="4" w:space="0" w:color="000000"/>
              <w:left w:val="single" w:sz="4" w:space="0" w:color="000000"/>
              <w:bottom w:val="single" w:sz="4" w:space="0" w:color="000000"/>
              <w:right w:val="single" w:sz="4" w:space="0" w:color="000000"/>
            </w:tcBorders>
            <w:vAlign w:val="center"/>
          </w:tcPr>
          <w:p w14:paraId="59D764A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vAlign w:val="center"/>
          </w:tcPr>
          <w:p w14:paraId="373E1033" w14:textId="6B32CC3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visual impairment, conjunctivitis, blepharitis, eye swelling</w:t>
            </w:r>
          </w:p>
        </w:tc>
      </w:tr>
      <w:tr w:rsidR="006B7C8E" w:rsidRPr="00DD1F63" w14:paraId="5927530A"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1A19885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09164A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44CF20B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diplopia </w:t>
            </w:r>
          </w:p>
        </w:tc>
      </w:tr>
      <w:tr w:rsidR="006B7C8E" w:rsidRPr="00DD1F63" w14:paraId="30DCA02A" w14:textId="77777777" w:rsidTr="0081130A">
        <w:trPr>
          <w:trHeight w:val="24"/>
        </w:trPr>
        <w:tc>
          <w:tcPr>
            <w:tcW w:w="2142" w:type="dxa"/>
            <w:vMerge w:val="restart"/>
            <w:tcBorders>
              <w:top w:val="single" w:sz="4" w:space="0" w:color="000000"/>
              <w:left w:val="single" w:sz="4" w:space="0" w:color="000000"/>
              <w:bottom w:val="single" w:sz="4" w:space="0" w:color="000000"/>
              <w:right w:val="single" w:sz="4" w:space="0" w:color="000000"/>
            </w:tcBorders>
          </w:tcPr>
          <w:p w14:paraId="54A98DCF"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Ear and labyrinth disorders </w:t>
            </w:r>
          </w:p>
          <w:p w14:paraId="07B21C9D"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5700616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4A60A0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vertigo </w:t>
            </w:r>
          </w:p>
        </w:tc>
      </w:tr>
      <w:tr w:rsidR="006B7C8E" w:rsidRPr="00DD1F63" w14:paraId="72B37088" w14:textId="77777777" w:rsidTr="0081130A">
        <w:trPr>
          <w:trHeight w:val="71"/>
        </w:trPr>
        <w:tc>
          <w:tcPr>
            <w:tcW w:w="2142" w:type="dxa"/>
            <w:vMerge/>
            <w:tcBorders>
              <w:top w:val="nil"/>
              <w:left w:val="single" w:sz="4" w:space="0" w:color="000000"/>
              <w:bottom w:val="single" w:sz="4" w:space="0" w:color="000000"/>
              <w:right w:val="single" w:sz="4" w:space="0" w:color="000000"/>
            </w:tcBorders>
          </w:tcPr>
          <w:p w14:paraId="1AF9466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80D7F8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68E34AA4"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deafness, tinnitus </w:t>
            </w:r>
          </w:p>
        </w:tc>
      </w:tr>
      <w:tr w:rsidR="006B7C8E" w:rsidRPr="00DD1F63" w14:paraId="06400B27" w14:textId="77777777" w:rsidTr="0081130A">
        <w:trPr>
          <w:trHeight w:val="133"/>
        </w:trPr>
        <w:tc>
          <w:tcPr>
            <w:tcW w:w="2142" w:type="dxa"/>
            <w:vMerge w:val="restart"/>
            <w:tcBorders>
              <w:top w:val="single" w:sz="4" w:space="0" w:color="000000"/>
              <w:left w:val="single" w:sz="4" w:space="0" w:color="000000"/>
              <w:bottom w:val="single" w:sz="4" w:space="0" w:color="000000"/>
              <w:right w:val="single" w:sz="4" w:space="0" w:color="000000"/>
            </w:tcBorders>
          </w:tcPr>
          <w:p w14:paraId="68F11461"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lastRenderedPageBreak/>
              <w:t xml:space="preserve">Cardiac disorders </w:t>
            </w:r>
          </w:p>
        </w:tc>
        <w:tc>
          <w:tcPr>
            <w:tcW w:w="1683" w:type="dxa"/>
            <w:tcBorders>
              <w:top w:val="single" w:sz="4" w:space="0" w:color="000000"/>
              <w:left w:val="single" w:sz="4" w:space="0" w:color="000000"/>
              <w:bottom w:val="single" w:sz="4" w:space="0" w:color="000000"/>
              <w:right w:val="single" w:sz="4" w:space="0" w:color="000000"/>
            </w:tcBorders>
          </w:tcPr>
          <w:p w14:paraId="03A7BA9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54ACDA50" w14:textId="4AEABAC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tachycardia </w:t>
            </w:r>
          </w:p>
        </w:tc>
      </w:tr>
      <w:tr w:rsidR="006B7C8E" w:rsidRPr="00DD1F63" w14:paraId="7D69C15B" w14:textId="77777777" w:rsidTr="0081130A">
        <w:trPr>
          <w:trHeight w:val="26"/>
        </w:trPr>
        <w:tc>
          <w:tcPr>
            <w:tcW w:w="2142" w:type="dxa"/>
            <w:vMerge/>
            <w:tcBorders>
              <w:top w:val="nil"/>
              <w:left w:val="single" w:sz="4" w:space="0" w:color="000000"/>
              <w:bottom w:val="nil"/>
              <w:right w:val="single" w:sz="4" w:space="0" w:color="000000"/>
            </w:tcBorders>
          </w:tcPr>
          <w:p w14:paraId="61F893B5"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18477DF8"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9B84633"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arrhythmia, congestive heart failure </w:t>
            </w:r>
          </w:p>
        </w:tc>
      </w:tr>
      <w:tr w:rsidR="006B7C8E" w:rsidRPr="00DD1F63" w14:paraId="500533C9"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5D2BAE0D"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FC11B6F"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Rare </w:t>
            </w:r>
          </w:p>
        </w:tc>
        <w:tc>
          <w:tcPr>
            <w:tcW w:w="4718" w:type="dxa"/>
            <w:tcBorders>
              <w:top w:val="single" w:sz="4" w:space="0" w:color="000000"/>
              <w:left w:val="single" w:sz="4" w:space="0" w:color="000000"/>
              <w:bottom w:val="single" w:sz="4" w:space="0" w:color="000000"/>
              <w:right w:val="single" w:sz="4" w:space="0" w:color="000000"/>
            </w:tcBorders>
          </w:tcPr>
          <w:p w14:paraId="5E46750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cardiac arrest </w:t>
            </w:r>
          </w:p>
        </w:tc>
      </w:tr>
      <w:tr w:rsidR="006B7C8E" w:rsidRPr="00DD1F63" w14:paraId="28BF0A33"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72A08B78"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Vascular disorders </w:t>
            </w:r>
          </w:p>
        </w:tc>
        <w:tc>
          <w:tcPr>
            <w:tcW w:w="1683" w:type="dxa"/>
            <w:tcBorders>
              <w:top w:val="single" w:sz="4" w:space="0" w:color="000000"/>
              <w:left w:val="single" w:sz="4" w:space="0" w:color="000000"/>
              <w:bottom w:val="single" w:sz="4" w:space="0" w:color="000000"/>
              <w:right w:val="single" w:sz="4" w:space="0" w:color="000000"/>
            </w:tcBorders>
          </w:tcPr>
          <w:p w14:paraId="1413788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A0479B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hypertension, flushing, haematoma </w:t>
            </w:r>
          </w:p>
        </w:tc>
      </w:tr>
      <w:tr w:rsidR="006B7C8E" w:rsidRPr="00DD1F63" w14:paraId="2D738484"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43F70564"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696B66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EDF740B" w14:textId="417DF0D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vascular arterial occlusion, thrombophlebitis, aortic aneurysm </w:t>
            </w:r>
          </w:p>
        </w:tc>
      </w:tr>
      <w:tr w:rsidR="006B7C8E" w:rsidRPr="00DD1F63" w14:paraId="65C8822B"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43AF907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 </w:t>
            </w:r>
          </w:p>
        </w:tc>
        <w:tc>
          <w:tcPr>
            <w:tcW w:w="1683" w:type="dxa"/>
            <w:tcBorders>
              <w:top w:val="single" w:sz="4" w:space="0" w:color="000000"/>
              <w:left w:val="single" w:sz="4" w:space="0" w:color="000000"/>
              <w:bottom w:val="single" w:sz="4" w:space="0" w:color="000000"/>
              <w:right w:val="single" w:sz="4" w:space="0" w:color="000000"/>
            </w:tcBorders>
          </w:tcPr>
          <w:p w14:paraId="4146479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035AA0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cough, asthma, dyspnoea </w:t>
            </w:r>
          </w:p>
        </w:tc>
      </w:tr>
      <w:tr w:rsidR="006B7C8E" w:rsidRPr="00DD1F63" w14:paraId="0CAA8573" w14:textId="77777777" w:rsidTr="0081130A">
        <w:trPr>
          <w:trHeight w:val="155"/>
        </w:trPr>
        <w:tc>
          <w:tcPr>
            <w:tcW w:w="2142" w:type="dxa"/>
            <w:vMerge/>
            <w:tcBorders>
              <w:top w:val="nil"/>
              <w:left w:val="single" w:sz="4" w:space="0" w:color="000000"/>
              <w:bottom w:val="single" w:sz="4" w:space="0" w:color="000000"/>
              <w:right w:val="single" w:sz="4" w:space="0" w:color="000000"/>
            </w:tcBorders>
          </w:tcPr>
          <w:p w14:paraId="58368B3A"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F88279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65634E1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2DB8268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chronic obstructive pulmonary disease, interstitial lung disease, pneumonitis </w:t>
            </w:r>
          </w:p>
        </w:tc>
      </w:tr>
      <w:tr w:rsidR="006B7C8E" w:rsidRPr="00DD1F63" w14:paraId="1C77399A"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04CE4B0C"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Gastrointestinal disorders </w:t>
            </w:r>
          </w:p>
          <w:p w14:paraId="7921BCA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p w14:paraId="1E4F8D2B"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CE76224"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03ACEFC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abdominal pain, </w:t>
            </w:r>
            <w:proofErr w:type="gramStart"/>
            <w:r w:rsidRPr="00DD1F63">
              <w:rPr>
                <w:rFonts w:ascii="Times New Roman" w:hAnsi="Times New Roman" w:cs="Times New Roman"/>
                <w:sz w:val="21"/>
                <w:szCs w:val="21"/>
              </w:rPr>
              <w:t>nausea</w:t>
            </w:r>
            <w:proofErr w:type="gramEnd"/>
            <w:r w:rsidRPr="00DD1F63">
              <w:rPr>
                <w:rFonts w:ascii="Times New Roman" w:hAnsi="Times New Roman" w:cs="Times New Roman"/>
                <w:sz w:val="21"/>
                <w:szCs w:val="21"/>
              </w:rPr>
              <w:t xml:space="preserve"> and vomiting </w:t>
            </w:r>
          </w:p>
        </w:tc>
      </w:tr>
      <w:tr w:rsidR="006B7C8E" w:rsidRPr="00DD1F63" w14:paraId="11C3164F" w14:textId="77777777" w:rsidTr="0081130A">
        <w:trPr>
          <w:trHeight w:val="283"/>
        </w:trPr>
        <w:tc>
          <w:tcPr>
            <w:tcW w:w="2142" w:type="dxa"/>
            <w:vMerge/>
            <w:tcBorders>
              <w:top w:val="nil"/>
              <w:left w:val="single" w:sz="4" w:space="0" w:color="000000"/>
              <w:bottom w:val="nil"/>
              <w:right w:val="single" w:sz="4" w:space="0" w:color="000000"/>
            </w:tcBorders>
          </w:tcPr>
          <w:p w14:paraId="24E9850A"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2DA19E0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2C388B1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103D1108" w14:textId="50F1550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GI haemorrhage, dyspepsia,</w:t>
            </w:r>
            <w:r w:rsidR="00BC17F8" w:rsidRPr="00DD1F63">
              <w:rPr>
                <w:rFonts w:ascii="Times New Roman" w:hAnsi="Times New Roman" w:cs="Times New Roman"/>
                <w:sz w:val="21"/>
                <w:szCs w:val="21"/>
              </w:rPr>
              <w:t xml:space="preserve"> </w:t>
            </w:r>
            <w:r w:rsidRPr="00DD1F63">
              <w:rPr>
                <w:rFonts w:ascii="Times New Roman" w:hAnsi="Times New Roman" w:cs="Times New Roman"/>
                <w:sz w:val="21"/>
                <w:szCs w:val="21"/>
              </w:rPr>
              <w:t xml:space="preserve">gastroesophageal reflux disease, sicca syndrome </w:t>
            </w:r>
          </w:p>
        </w:tc>
      </w:tr>
      <w:tr w:rsidR="006B7C8E" w:rsidRPr="00DD1F63" w14:paraId="6D245F2B"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043B833C"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A26408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2887646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pancreatitis, dysphagia, face oedema </w:t>
            </w:r>
          </w:p>
        </w:tc>
      </w:tr>
      <w:tr w:rsidR="006B7C8E" w:rsidRPr="00DD1F63" w14:paraId="667B5252"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2763EFF4"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Hepato-biliary disorders </w:t>
            </w:r>
          </w:p>
        </w:tc>
        <w:tc>
          <w:tcPr>
            <w:tcW w:w="1683" w:type="dxa"/>
            <w:tcBorders>
              <w:top w:val="single" w:sz="4" w:space="0" w:color="000000"/>
              <w:left w:val="single" w:sz="4" w:space="0" w:color="000000"/>
              <w:bottom w:val="single" w:sz="4" w:space="0" w:color="000000"/>
              <w:right w:val="single" w:sz="4" w:space="0" w:color="000000"/>
            </w:tcBorders>
          </w:tcPr>
          <w:p w14:paraId="3FF93CE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57A16A64"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liver enzymes elevated </w:t>
            </w:r>
          </w:p>
        </w:tc>
      </w:tr>
      <w:tr w:rsidR="006B7C8E" w:rsidRPr="00DD1F63" w14:paraId="1B5DC61D" w14:textId="77777777" w:rsidTr="0081130A">
        <w:trPr>
          <w:trHeight w:val="162"/>
        </w:trPr>
        <w:tc>
          <w:tcPr>
            <w:tcW w:w="2142" w:type="dxa"/>
            <w:vMerge/>
            <w:tcBorders>
              <w:top w:val="nil"/>
              <w:left w:val="single" w:sz="4" w:space="0" w:color="000000"/>
              <w:bottom w:val="single" w:sz="4" w:space="0" w:color="000000"/>
              <w:right w:val="single" w:sz="4" w:space="0" w:color="000000"/>
            </w:tcBorders>
          </w:tcPr>
          <w:p w14:paraId="24120562"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265422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61A81C9F"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095EF80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cholecystitis and cholelithiasis, bilirubin increased, hepatic steatosis </w:t>
            </w:r>
          </w:p>
        </w:tc>
      </w:tr>
      <w:tr w:rsidR="006B7C8E" w:rsidRPr="00DD1F63" w14:paraId="04D85C69"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77860865"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Skin and subcutaneous tissue disorders </w:t>
            </w:r>
          </w:p>
        </w:tc>
        <w:tc>
          <w:tcPr>
            <w:tcW w:w="1683" w:type="dxa"/>
            <w:tcBorders>
              <w:top w:val="single" w:sz="4" w:space="0" w:color="000000"/>
              <w:left w:val="single" w:sz="4" w:space="0" w:color="000000"/>
              <w:bottom w:val="single" w:sz="4" w:space="0" w:color="000000"/>
              <w:right w:val="single" w:sz="4" w:space="0" w:color="000000"/>
            </w:tcBorders>
          </w:tcPr>
          <w:p w14:paraId="6BFCFDE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63A67B62"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rash (including exfoliative rash) </w:t>
            </w:r>
          </w:p>
        </w:tc>
      </w:tr>
      <w:tr w:rsidR="006B7C8E" w:rsidRPr="00DD1F63" w14:paraId="7BB5F59F" w14:textId="77777777" w:rsidTr="0081130A">
        <w:trPr>
          <w:trHeight w:val="430"/>
        </w:trPr>
        <w:tc>
          <w:tcPr>
            <w:tcW w:w="2142" w:type="dxa"/>
            <w:vMerge/>
            <w:tcBorders>
              <w:top w:val="nil"/>
              <w:left w:val="single" w:sz="4" w:space="0" w:color="000000"/>
              <w:bottom w:val="nil"/>
              <w:right w:val="single" w:sz="4" w:space="0" w:color="000000"/>
            </w:tcBorders>
          </w:tcPr>
          <w:p w14:paraId="7B5DDAA5"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5A99D61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5AB7FF3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5ECD0E99" w14:textId="55572E2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pruritus, urticaria, bruising (including purpura), dermatitis (including eczema), </w:t>
            </w:r>
            <w:proofErr w:type="spellStart"/>
            <w:r w:rsidRPr="00DD1F63">
              <w:rPr>
                <w:rFonts w:ascii="Times New Roman" w:hAnsi="Times New Roman" w:cs="Times New Roman"/>
                <w:sz w:val="21"/>
                <w:szCs w:val="21"/>
              </w:rPr>
              <w:t>onychoclasis</w:t>
            </w:r>
            <w:proofErr w:type="spellEnd"/>
            <w:r w:rsidRPr="00DD1F63">
              <w:rPr>
                <w:rFonts w:ascii="Times New Roman" w:hAnsi="Times New Roman" w:cs="Times New Roman"/>
                <w:sz w:val="21"/>
                <w:szCs w:val="21"/>
              </w:rPr>
              <w:t xml:space="preserve"> (</w:t>
            </w:r>
            <w:proofErr w:type="gramStart"/>
            <w:r w:rsidRPr="00DD1F63">
              <w:rPr>
                <w:rFonts w:ascii="Times New Roman" w:hAnsi="Times New Roman" w:cs="Times New Roman"/>
                <w:sz w:val="21"/>
                <w:szCs w:val="21"/>
              </w:rPr>
              <w:t>e.g.</w:t>
            </w:r>
            <w:proofErr w:type="gramEnd"/>
            <w:r w:rsidRPr="00DD1F63">
              <w:rPr>
                <w:rFonts w:ascii="Times New Roman" w:hAnsi="Times New Roman" w:cs="Times New Roman"/>
                <w:sz w:val="21"/>
                <w:szCs w:val="21"/>
              </w:rPr>
              <w:t xml:space="preserve"> nail disorders), </w:t>
            </w:r>
            <w:proofErr w:type="spellStart"/>
            <w:r w:rsidRPr="00DD1F63">
              <w:rPr>
                <w:rFonts w:ascii="Times New Roman" w:hAnsi="Times New Roman" w:cs="Times New Roman"/>
                <w:sz w:val="21"/>
                <w:szCs w:val="21"/>
              </w:rPr>
              <w:t>hyperhydrosis</w:t>
            </w:r>
            <w:proofErr w:type="spellEnd"/>
            <w:r w:rsidRPr="00DD1F63">
              <w:rPr>
                <w:rFonts w:ascii="Times New Roman" w:hAnsi="Times New Roman" w:cs="Times New Roman"/>
                <w:sz w:val="21"/>
                <w:szCs w:val="21"/>
              </w:rPr>
              <w:t xml:space="preserve"> </w:t>
            </w:r>
          </w:p>
        </w:tc>
      </w:tr>
      <w:tr w:rsidR="006B7C8E" w:rsidRPr="00DD1F63" w14:paraId="6F68B10C" w14:textId="77777777" w:rsidTr="0081130A">
        <w:trPr>
          <w:trHeight w:val="177"/>
        </w:trPr>
        <w:tc>
          <w:tcPr>
            <w:tcW w:w="2142" w:type="dxa"/>
            <w:vMerge/>
            <w:tcBorders>
              <w:top w:val="nil"/>
              <w:left w:val="single" w:sz="4" w:space="0" w:color="000000"/>
              <w:bottom w:val="single" w:sz="4" w:space="0" w:color="000000"/>
              <w:right w:val="single" w:sz="4" w:space="0" w:color="000000"/>
            </w:tcBorders>
          </w:tcPr>
          <w:p w14:paraId="0E9CC023" w14:textId="77777777" w:rsidR="006B7C8E" w:rsidRPr="00DD1F63" w:rsidRDefault="006B7C8E" w:rsidP="00377A09">
            <w:pPr>
              <w:spacing w:after="0" w:line="240" w:lineRule="auto"/>
              <w:ind w:left="0" w:firstLine="0"/>
              <w:jc w:val="left"/>
              <w:rPr>
                <w:rFonts w:ascii="Times New Roman" w:hAnsi="Times New Roman" w:cs="Times New Roman"/>
              </w:rPr>
            </w:pPr>
          </w:p>
        </w:tc>
        <w:tc>
          <w:tcPr>
            <w:tcW w:w="1683" w:type="dxa"/>
            <w:tcBorders>
              <w:top w:val="single" w:sz="4" w:space="0" w:color="000000"/>
              <w:left w:val="single" w:sz="4" w:space="0" w:color="000000"/>
              <w:bottom w:val="single" w:sz="4" w:space="0" w:color="000000"/>
              <w:right w:val="single" w:sz="4" w:space="0" w:color="000000"/>
            </w:tcBorders>
          </w:tcPr>
          <w:p w14:paraId="2E83BD6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3B0FFCF9" w14:textId="7BB7787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night sweats, scar </w:t>
            </w:r>
          </w:p>
        </w:tc>
      </w:tr>
      <w:tr w:rsidR="006B7C8E" w:rsidRPr="00DD1F63" w14:paraId="2D8936E5"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4EE3FDA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and connective tissue disorders </w:t>
            </w:r>
          </w:p>
        </w:tc>
        <w:tc>
          <w:tcPr>
            <w:tcW w:w="1683" w:type="dxa"/>
            <w:tcBorders>
              <w:top w:val="single" w:sz="4" w:space="0" w:color="000000"/>
              <w:left w:val="single" w:sz="4" w:space="0" w:color="000000"/>
              <w:bottom w:val="single" w:sz="4" w:space="0" w:color="000000"/>
              <w:right w:val="single" w:sz="4" w:space="0" w:color="000000"/>
            </w:tcBorders>
          </w:tcPr>
          <w:p w14:paraId="1B86DEC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201DAD2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pain </w:t>
            </w:r>
          </w:p>
        </w:tc>
      </w:tr>
      <w:tr w:rsidR="006B7C8E" w:rsidRPr="00DD1F63" w14:paraId="334581CF" w14:textId="77777777" w:rsidTr="0081130A">
        <w:trPr>
          <w:trHeight w:val="85"/>
        </w:trPr>
        <w:tc>
          <w:tcPr>
            <w:tcW w:w="2142" w:type="dxa"/>
            <w:vMerge/>
            <w:tcBorders>
              <w:top w:val="nil"/>
              <w:left w:val="single" w:sz="4" w:space="0" w:color="000000"/>
              <w:bottom w:val="nil"/>
              <w:right w:val="single" w:sz="4" w:space="0" w:color="000000"/>
            </w:tcBorders>
          </w:tcPr>
          <w:p w14:paraId="040BB4BB"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50210CA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1EEE33C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muscle spasms (including blood creatine phosphokinase increased) </w:t>
            </w:r>
          </w:p>
        </w:tc>
      </w:tr>
      <w:tr w:rsidR="006B7C8E" w:rsidRPr="00DD1F63" w14:paraId="62E6C8BE" w14:textId="77777777" w:rsidTr="0081130A">
        <w:trPr>
          <w:trHeight w:val="23"/>
        </w:trPr>
        <w:tc>
          <w:tcPr>
            <w:tcW w:w="2142" w:type="dxa"/>
            <w:vMerge/>
            <w:tcBorders>
              <w:top w:val="nil"/>
              <w:left w:val="single" w:sz="4" w:space="0" w:color="000000"/>
              <w:bottom w:val="single" w:sz="4" w:space="0" w:color="000000"/>
              <w:right w:val="single" w:sz="4" w:space="0" w:color="000000"/>
            </w:tcBorders>
          </w:tcPr>
          <w:p w14:paraId="0C91A93C"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4B161DC4"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2A80C02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285914E7"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rhabdomyolysis, </w:t>
            </w:r>
          </w:p>
          <w:p w14:paraId="7C83AF3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systemic lupus erythematosus </w:t>
            </w:r>
          </w:p>
        </w:tc>
      </w:tr>
      <w:tr w:rsidR="006B7C8E" w:rsidRPr="00DD1F63" w14:paraId="09A5EA70"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4AB01E8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Renal and urinary disorders </w:t>
            </w:r>
          </w:p>
        </w:tc>
        <w:tc>
          <w:tcPr>
            <w:tcW w:w="1683" w:type="dxa"/>
            <w:tcBorders>
              <w:top w:val="single" w:sz="4" w:space="0" w:color="000000"/>
              <w:left w:val="single" w:sz="4" w:space="0" w:color="000000"/>
              <w:bottom w:val="single" w:sz="4" w:space="0" w:color="000000"/>
              <w:right w:val="single" w:sz="4" w:space="0" w:color="000000"/>
            </w:tcBorders>
          </w:tcPr>
          <w:p w14:paraId="6190046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6D05915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haematuria, renal impairment </w:t>
            </w:r>
          </w:p>
        </w:tc>
      </w:tr>
      <w:tr w:rsidR="006B7C8E" w:rsidRPr="00DD1F63" w14:paraId="2D6F7C02"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3D1F7BC4"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BDBE71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3E3C615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nocturia </w:t>
            </w:r>
          </w:p>
        </w:tc>
      </w:tr>
      <w:tr w:rsidR="006B7C8E" w:rsidRPr="00DD1F63" w14:paraId="091FB6AF" w14:textId="77777777" w:rsidTr="0081130A">
        <w:trPr>
          <w:trHeight w:val="199"/>
        </w:trPr>
        <w:tc>
          <w:tcPr>
            <w:tcW w:w="2142" w:type="dxa"/>
            <w:tcBorders>
              <w:top w:val="single" w:sz="4" w:space="0" w:color="000000"/>
              <w:left w:val="single" w:sz="4" w:space="0" w:color="000000"/>
              <w:bottom w:val="single" w:sz="4" w:space="0" w:color="000000"/>
              <w:right w:val="single" w:sz="4" w:space="0" w:color="000000"/>
            </w:tcBorders>
          </w:tcPr>
          <w:p w14:paraId="28F5290D"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Reproductive system and breast disorders </w:t>
            </w:r>
          </w:p>
        </w:tc>
        <w:tc>
          <w:tcPr>
            <w:tcW w:w="1683" w:type="dxa"/>
            <w:tcBorders>
              <w:top w:val="single" w:sz="4" w:space="0" w:color="000000"/>
              <w:left w:val="single" w:sz="4" w:space="0" w:color="000000"/>
              <w:bottom w:val="single" w:sz="4" w:space="0" w:color="000000"/>
              <w:right w:val="single" w:sz="4" w:space="0" w:color="000000"/>
            </w:tcBorders>
          </w:tcPr>
          <w:p w14:paraId="6034A6C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5EEEC59B"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erectile dysfunction </w:t>
            </w:r>
          </w:p>
        </w:tc>
      </w:tr>
      <w:tr w:rsidR="006B7C8E" w:rsidRPr="00DD1F63" w14:paraId="25614911"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20B0163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General disorders and administration site conditions </w:t>
            </w:r>
          </w:p>
        </w:tc>
        <w:tc>
          <w:tcPr>
            <w:tcW w:w="1683" w:type="dxa"/>
            <w:tcBorders>
              <w:top w:val="single" w:sz="4" w:space="0" w:color="000000"/>
              <w:left w:val="single" w:sz="4" w:space="0" w:color="000000"/>
              <w:bottom w:val="single" w:sz="4" w:space="0" w:color="000000"/>
              <w:right w:val="single" w:sz="4" w:space="0" w:color="000000"/>
            </w:tcBorders>
          </w:tcPr>
          <w:p w14:paraId="1E51102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26E474CB"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injection site reaction (including injection site erythema) </w:t>
            </w:r>
          </w:p>
        </w:tc>
      </w:tr>
      <w:tr w:rsidR="006B7C8E" w:rsidRPr="00DD1F63" w14:paraId="2769BE04" w14:textId="77777777" w:rsidTr="0081130A">
        <w:trPr>
          <w:trHeight w:val="370"/>
        </w:trPr>
        <w:tc>
          <w:tcPr>
            <w:tcW w:w="2142" w:type="dxa"/>
            <w:vMerge/>
            <w:tcBorders>
              <w:top w:val="nil"/>
              <w:left w:val="single" w:sz="4" w:space="0" w:color="000000"/>
              <w:bottom w:val="nil"/>
              <w:right w:val="single" w:sz="4" w:space="0" w:color="000000"/>
            </w:tcBorders>
          </w:tcPr>
          <w:p w14:paraId="203CE94B"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5BCEAD1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22D38388"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chest pain, oedema </w:t>
            </w:r>
          </w:p>
        </w:tc>
      </w:tr>
      <w:tr w:rsidR="006B7C8E" w:rsidRPr="00DD1F63" w14:paraId="330D2781" w14:textId="77777777" w:rsidTr="0081130A">
        <w:trPr>
          <w:trHeight w:val="68"/>
        </w:trPr>
        <w:tc>
          <w:tcPr>
            <w:tcW w:w="2142" w:type="dxa"/>
            <w:vMerge/>
            <w:tcBorders>
              <w:top w:val="nil"/>
              <w:left w:val="single" w:sz="4" w:space="0" w:color="000000"/>
              <w:bottom w:val="single" w:sz="4" w:space="0" w:color="000000"/>
              <w:right w:val="single" w:sz="4" w:space="0" w:color="000000"/>
            </w:tcBorders>
          </w:tcPr>
          <w:p w14:paraId="1EAB6F7B"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1E074D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AEFF81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inflammation </w:t>
            </w:r>
          </w:p>
        </w:tc>
      </w:tr>
      <w:tr w:rsidR="006B7C8E" w:rsidRPr="00DD1F63" w14:paraId="7FDC7404" w14:textId="77777777" w:rsidTr="0081130A">
        <w:trPr>
          <w:trHeight w:val="103"/>
        </w:trPr>
        <w:tc>
          <w:tcPr>
            <w:tcW w:w="2142" w:type="dxa"/>
            <w:tcBorders>
              <w:top w:val="single" w:sz="4" w:space="0" w:color="000000"/>
              <w:left w:val="single" w:sz="4" w:space="0" w:color="000000"/>
              <w:bottom w:val="single" w:sz="4" w:space="0" w:color="000000"/>
              <w:right w:val="single" w:sz="4" w:space="0" w:color="000000"/>
            </w:tcBorders>
          </w:tcPr>
          <w:p w14:paraId="1AB14C98"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Investigations </w:t>
            </w:r>
          </w:p>
        </w:tc>
        <w:tc>
          <w:tcPr>
            <w:tcW w:w="1683" w:type="dxa"/>
            <w:tcBorders>
              <w:top w:val="single" w:sz="4" w:space="0" w:color="000000"/>
              <w:left w:val="single" w:sz="4" w:space="0" w:color="000000"/>
              <w:bottom w:val="single" w:sz="4" w:space="0" w:color="000000"/>
              <w:right w:val="single" w:sz="4" w:space="0" w:color="000000"/>
            </w:tcBorders>
          </w:tcPr>
          <w:p w14:paraId="1ED416B2"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2EC2BD14" w14:textId="715D513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coagulation and bleeding disorders (including activated partial thromboplastin time prolonged), autoantibody test positive (including double stranded DNA antibody), blood lactate dehydrogenase increased </w:t>
            </w:r>
          </w:p>
        </w:tc>
      </w:tr>
      <w:tr w:rsidR="006B7C8E" w:rsidRPr="00DD1F63" w14:paraId="13020E27" w14:textId="77777777" w:rsidTr="0081130A">
        <w:trPr>
          <w:trHeight w:val="21"/>
        </w:trPr>
        <w:tc>
          <w:tcPr>
            <w:tcW w:w="2142" w:type="dxa"/>
            <w:tcBorders>
              <w:top w:val="single" w:sz="4" w:space="0" w:color="000000"/>
              <w:left w:val="single" w:sz="4" w:space="0" w:color="000000"/>
              <w:bottom w:val="single" w:sz="4" w:space="0" w:color="000000"/>
              <w:right w:val="single" w:sz="4" w:space="0" w:color="000000"/>
            </w:tcBorders>
          </w:tcPr>
          <w:p w14:paraId="475BAFCB"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Injury, poisoning and procedural complications </w:t>
            </w:r>
          </w:p>
        </w:tc>
        <w:tc>
          <w:tcPr>
            <w:tcW w:w="1683" w:type="dxa"/>
            <w:tcBorders>
              <w:top w:val="single" w:sz="4" w:space="0" w:color="000000"/>
              <w:left w:val="single" w:sz="4" w:space="0" w:color="000000"/>
              <w:bottom w:val="single" w:sz="4" w:space="0" w:color="000000"/>
              <w:right w:val="single" w:sz="4" w:space="0" w:color="000000"/>
            </w:tcBorders>
          </w:tcPr>
          <w:p w14:paraId="2373DFC8"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2F5CB7C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impaired healing </w:t>
            </w:r>
          </w:p>
        </w:tc>
      </w:tr>
    </w:tbl>
    <w:p w14:paraId="50E5B9FF" w14:textId="77777777"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 </w:t>
      </w:r>
      <w:proofErr w:type="gramStart"/>
      <w:r w:rsidRPr="00DD1F63">
        <w:rPr>
          <w:rFonts w:ascii="Times New Roman" w:hAnsi="Times New Roman" w:cs="Times New Roman"/>
          <w:szCs w:val="20"/>
        </w:rPr>
        <w:t>includes</w:t>
      </w:r>
      <w:proofErr w:type="gramEnd"/>
      <w:r w:rsidRPr="00DD1F63">
        <w:rPr>
          <w:rFonts w:ascii="Times New Roman" w:hAnsi="Times New Roman" w:cs="Times New Roman"/>
          <w:szCs w:val="20"/>
        </w:rPr>
        <w:t xml:space="preserve"> open label extension studies </w:t>
      </w:r>
    </w:p>
    <w:p w14:paraId="181D3E96" w14:textId="77777777"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eastAsia="Times New Roman" w:hAnsi="Times New Roman" w:cs="Times New Roman"/>
          <w:szCs w:val="20"/>
          <w:vertAlign w:val="superscript"/>
        </w:rPr>
        <w:t>a)</w:t>
      </w:r>
      <w:r w:rsidRPr="00DD1F63">
        <w:rPr>
          <w:rFonts w:ascii="Times New Roman" w:eastAsia="Times New Roman" w:hAnsi="Times New Roman" w:cs="Times New Roman"/>
          <w:szCs w:val="20"/>
        </w:rPr>
        <w:t xml:space="preserve"> </w:t>
      </w:r>
      <w:r w:rsidRPr="00DD1F63">
        <w:rPr>
          <w:rFonts w:ascii="Times New Roman" w:hAnsi="Times New Roman" w:cs="Times New Roman"/>
          <w:szCs w:val="20"/>
        </w:rPr>
        <w:t>MedDRA</w:t>
      </w:r>
      <w:r w:rsidRPr="00DD1F63">
        <w:rPr>
          <w:rFonts w:ascii="Times New Roman" w:eastAsia="Times New Roman" w:hAnsi="Times New Roman" w:cs="Times New Roman"/>
          <w:szCs w:val="20"/>
        </w:rPr>
        <w:t xml:space="preserve"> </w:t>
      </w:r>
    </w:p>
    <w:p w14:paraId="34F6B6E4" w14:textId="77777777" w:rsidR="006B7C8E" w:rsidRPr="00DD1F63" w:rsidRDefault="00CA72FF" w:rsidP="00377A09">
      <w:pPr>
        <w:spacing w:after="0" w:line="240" w:lineRule="auto"/>
        <w:ind w:left="426" w:firstLine="0"/>
        <w:jc w:val="left"/>
        <w:rPr>
          <w:rFonts w:ascii="Times New Roman" w:hAnsi="Times New Roman" w:cs="Times New Roman"/>
          <w:szCs w:val="20"/>
        </w:rPr>
      </w:pPr>
      <w:r w:rsidRPr="00DD1F63">
        <w:rPr>
          <w:rFonts w:ascii="Times New Roman" w:eastAsia="Times New Roman" w:hAnsi="Times New Roman" w:cs="Times New Roman"/>
          <w:szCs w:val="20"/>
        </w:rPr>
        <w:t xml:space="preserve"> </w:t>
      </w:r>
    </w:p>
    <w:p w14:paraId="77D31DB8" w14:textId="7777777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Table 1 contains adverse drug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rate greater than 1% for adalimumab treated patients and medical importance assessment. </w:t>
      </w:r>
    </w:p>
    <w:p w14:paraId="131EDCE8" w14:textId="77777777" w:rsidR="00F40859" w:rsidRPr="00DD1F63" w:rsidRDefault="00F40859" w:rsidP="00377A09">
      <w:pPr>
        <w:spacing w:after="0" w:line="240" w:lineRule="auto"/>
        <w:ind w:left="426" w:firstLine="0"/>
        <w:jc w:val="left"/>
        <w:rPr>
          <w:rFonts w:ascii="Times New Roman" w:hAnsi="Times New Roman" w:cs="Times New Roman"/>
          <w:sz w:val="22"/>
        </w:rPr>
      </w:pPr>
    </w:p>
    <w:p w14:paraId="5DA6D3A1" w14:textId="3ECA3F3B" w:rsidR="006B7C8E" w:rsidRPr="00DD1F63" w:rsidRDefault="00CA72FF" w:rsidP="00377A09">
      <w:pPr>
        <w:pageBreakBefore/>
        <w:spacing w:after="0" w:line="240" w:lineRule="auto"/>
        <w:ind w:left="425" w:hanging="11"/>
        <w:jc w:val="left"/>
        <w:rPr>
          <w:rFonts w:ascii="Times New Roman" w:hAnsi="Times New Roman" w:cs="Times New Roman"/>
          <w:i/>
          <w:sz w:val="22"/>
        </w:rPr>
      </w:pPr>
      <w:r w:rsidRPr="00DD1F63">
        <w:rPr>
          <w:rFonts w:ascii="Times New Roman" w:hAnsi="Times New Roman" w:cs="Times New Roman"/>
          <w:i/>
          <w:sz w:val="22"/>
          <w:u w:val="single" w:color="000000"/>
        </w:rPr>
        <w:lastRenderedPageBreak/>
        <w:t xml:space="preserve">Rheumatoid </w:t>
      </w:r>
      <w:r w:rsidR="004D45F6" w:rsidRPr="00DD1F63">
        <w:rPr>
          <w:rFonts w:ascii="Times New Roman" w:hAnsi="Times New Roman" w:cs="Times New Roman"/>
          <w:i/>
          <w:sz w:val="22"/>
          <w:u w:val="single" w:color="000000"/>
        </w:rPr>
        <w:t>a</w:t>
      </w:r>
      <w:r w:rsidRPr="00DD1F63">
        <w:rPr>
          <w:rFonts w:ascii="Times New Roman" w:hAnsi="Times New Roman" w:cs="Times New Roman"/>
          <w:i/>
          <w:sz w:val="22"/>
          <w:u w:val="single" w:color="000000"/>
        </w:rPr>
        <w:t>rthritis</w:t>
      </w:r>
      <w:r w:rsidRPr="00DD1F63">
        <w:rPr>
          <w:rFonts w:ascii="Times New Roman" w:hAnsi="Times New Roman" w:cs="Times New Roman"/>
          <w:i/>
          <w:sz w:val="22"/>
        </w:rPr>
        <w:t xml:space="preserve"> </w:t>
      </w:r>
    </w:p>
    <w:p w14:paraId="10D17E4D" w14:textId="77777777" w:rsidR="00996223" w:rsidRPr="00DD1F63" w:rsidRDefault="00996223" w:rsidP="00377A09">
      <w:pPr>
        <w:spacing w:after="0" w:line="240" w:lineRule="auto"/>
        <w:ind w:left="426"/>
        <w:jc w:val="left"/>
        <w:rPr>
          <w:rFonts w:ascii="Times New Roman" w:hAnsi="Times New Roman" w:cs="Times New Roman"/>
          <w:sz w:val="22"/>
        </w:rPr>
      </w:pPr>
    </w:p>
    <w:p w14:paraId="7A6620F3" w14:textId="6FE88728"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Table 2 contains adverse reactions reported in at least 1% of RA patients with higher incidence (</w:t>
      </w:r>
      <w:r w:rsidR="002B5093" w:rsidRPr="00DD1F63">
        <w:rPr>
          <w:rFonts w:ascii="Times New Roman" w:hAnsi="Times New Roman" w:cs="Times New Roman"/>
          <w:sz w:val="22"/>
        </w:rPr>
        <w:t>≥</w:t>
      </w:r>
      <w:r w:rsidRPr="00DD1F63">
        <w:rPr>
          <w:rFonts w:ascii="Times New Roman" w:hAnsi="Times New Roman" w:cs="Times New Roman"/>
          <w:sz w:val="22"/>
        </w:rPr>
        <w:t xml:space="preserve"> 1%) in patients treated with adalimumab compared to control in 4 placebo-controlled RA trials (RA study I-IV). In general, the adverse reactions across all indications were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seen in RA patients. </w:t>
      </w:r>
    </w:p>
    <w:p w14:paraId="258749B5" w14:textId="77777777" w:rsidR="00136113" w:rsidRPr="00DD1F63" w:rsidRDefault="00136113" w:rsidP="00377A09">
      <w:pPr>
        <w:spacing w:after="0" w:line="240" w:lineRule="auto"/>
        <w:ind w:left="426" w:firstLine="0"/>
        <w:jc w:val="left"/>
        <w:rPr>
          <w:rFonts w:ascii="Times New Roman" w:hAnsi="Times New Roman" w:cs="Times New Roman"/>
        </w:rPr>
      </w:pPr>
    </w:p>
    <w:p w14:paraId="1FEC745F" w14:textId="2FFFDE2E" w:rsidR="00996223" w:rsidRPr="00DD1F63" w:rsidRDefault="00CA72FF" w:rsidP="00377A09">
      <w:pPr>
        <w:pStyle w:val="Heading4"/>
        <w:spacing w:after="0" w:line="240" w:lineRule="auto"/>
        <w:ind w:left="426" w:right="366"/>
        <w:rPr>
          <w:rFonts w:ascii="Times New Roman" w:hAnsi="Times New Roman" w:cs="Times New Roman"/>
          <w:b/>
          <w:u w:val="none"/>
        </w:rPr>
      </w:pPr>
      <w:r w:rsidRPr="00DD1F63">
        <w:rPr>
          <w:rFonts w:ascii="Times New Roman" w:hAnsi="Times New Roman" w:cs="Times New Roman"/>
          <w:b/>
          <w:u w:val="none"/>
        </w:rPr>
        <w:t xml:space="preserve">Table 2: Adverse </w:t>
      </w:r>
      <w:r w:rsidR="00371A28" w:rsidRPr="00DD1F63">
        <w:rPr>
          <w:rFonts w:ascii="Times New Roman" w:hAnsi="Times New Roman" w:cs="Times New Roman"/>
          <w:b/>
          <w:u w:val="none"/>
        </w:rPr>
        <w:t>r</w:t>
      </w:r>
      <w:r w:rsidRPr="00DD1F63">
        <w:rPr>
          <w:rFonts w:ascii="Times New Roman" w:hAnsi="Times New Roman" w:cs="Times New Roman"/>
          <w:b/>
          <w:u w:val="none"/>
        </w:rPr>
        <w:t xml:space="preserve">eactions reported by </w:t>
      </w:r>
      <w:r w:rsidR="00371A28" w:rsidRPr="00DD1F63">
        <w:rPr>
          <w:rFonts w:ascii="Times New Roman" w:hAnsi="Times New Roman" w:cs="Times New Roman"/>
          <w:b/>
          <w:u w:val="none"/>
        </w:rPr>
        <w:t>p</w:t>
      </w:r>
      <w:r w:rsidRPr="00DD1F63">
        <w:rPr>
          <w:rFonts w:ascii="Times New Roman" w:hAnsi="Times New Roman" w:cs="Times New Roman"/>
          <w:b/>
          <w:u w:val="none"/>
        </w:rPr>
        <w:t xml:space="preserve">atients </w:t>
      </w:r>
      <w:r w:rsidR="00371A28" w:rsidRPr="00DD1F63">
        <w:rPr>
          <w:rFonts w:ascii="Times New Roman" w:hAnsi="Times New Roman" w:cs="Times New Roman"/>
          <w:b/>
          <w:u w:val="none"/>
        </w:rPr>
        <w:t>t</w:t>
      </w:r>
      <w:r w:rsidRPr="00DD1F63">
        <w:rPr>
          <w:rFonts w:ascii="Times New Roman" w:hAnsi="Times New Roman" w:cs="Times New Roman"/>
          <w:b/>
          <w:u w:val="none"/>
        </w:rPr>
        <w:t xml:space="preserve">reated with </w:t>
      </w:r>
      <w:r w:rsidR="00371A28" w:rsidRPr="00DD1F63">
        <w:rPr>
          <w:rFonts w:ascii="Times New Roman" w:hAnsi="Times New Roman" w:cs="Times New Roman"/>
          <w:b/>
          <w:bCs/>
          <w:u w:val="none"/>
        </w:rPr>
        <w:t>adalimumab</w:t>
      </w:r>
      <w:r w:rsidRPr="00DD1F63">
        <w:rPr>
          <w:rFonts w:ascii="Times New Roman" w:hAnsi="Times New Roman" w:cs="Times New Roman"/>
          <w:b/>
          <w:u w:val="none"/>
        </w:rPr>
        <w:t xml:space="preserve"> during </w:t>
      </w:r>
      <w:r w:rsidR="00371A28" w:rsidRPr="00DD1F63">
        <w:rPr>
          <w:rFonts w:ascii="Times New Roman" w:hAnsi="Times New Roman" w:cs="Times New Roman"/>
          <w:b/>
          <w:u w:val="none"/>
        </w:rPr>
        <w:t>p</w:t>
      </w:r>
      <w:r w:rsidRPr="00DD1F63">
        <w:rPr>
          <w:rFonts w:ascii="Times New Roman" w:hAnsi="Times New Roman" w:cs="Times New Roman"/>
          <w:b/>
          <w:u w:val="none"/>
        </w:rPr>
        <w:t>lacebo</w:t>
      </w:r>
      <w:r w:rsidR="00E3256E" w:rsidRPr="00DD1F63">
        <w:rPr>
          <w:rFonts w:ascii="Times New Roman" w:hAnsi="Times New Roman" w:cs="Times New Roman"/>
          <w:b/>
          <w:u w:val="none"/>
        </w:rPr>
        <w:t>-</w:t>
      </w:r>
      <w:r w:rsidR="00371A28" w:rsidRPr="00DD1F63">
        <w:rPr>
          <w:rFonts w:ascii="Times New Roman" w:hAnsi="Times New Roman" w:cs="Times New Roman"/>
          <w:b/>
          <w:u w:val="none"/>
        </w:rPr>
        <w:t>c</w:t>
      </w:r>
      <w:r w:rsidRPr="00DD1F63">
        <w:rPr>
          <w:rFonts w:ascii="Times New Roman" w:hAnsi="Times New Roman" w:cs="Times New Roman"/>
          <w:b/>
          <w:u w:val="none"/>
        </w:rPr>
        <w:t xml:space="preserve">ontrolled </w:t>
      </w:r>
      <w:r w:rsidR="00371A28" w:rsidRPr="00DD1F63">
        <w:rPr>
          <w:rFonts w:ascii="Times New Roman" w:hAnsi="Times New Roman" w:cs="Times New Roman"/>
          <w:b/>
          <w:u w:val="none"/>
        </w:rPr>
        <w:t>p</w:t>
      </w:r>
      <w:r w:rsidRPr="00DD1F63">
        <w:rPr>
          <w:rFonts w:ascii="Times New Roman" w:hAnsi="Times New Roman" w:cs="Times New Roman"/>
          <w:b/>
          <w:u w:val="none"/>
        </w:rPr>
        <w:t xml:space="preserve">eriod of </w:t>
      </w:r>
      <w:r w:rsidR="00371A28" w:rsidRPr="00DD1F63">
        <w:rPr>
          <w:rFonts w:ascii="Times New Roman" w:hAnsi="Times New Roman" w:cs="Times New Roman"/>
          <w:b/>
          <w:u w:val="none"/>
        </w:rPr>
        <w:t>r</w:t>
      </w:r>
      <w:r w:rsidRPr="00DD1F63">
        <w:rPr>
          <w:rFonts w:ascii="Times New Roman" w:hAnsi="Times New Roman" w:cs="Times New Roman"/>
          <w:b/>
          <w:u w:val="none"/>
        </w:rPr>
        <w:t xml:space="preserve">heumatoid </w:t>
      </w:r>
      <w:r w:rsidR="00371A28" w:rsidRPr="00DD1F63">
        <w:rPr>
          <w:rFonts w:ascii="Times New Roman" w:hAnsi="Times New Roman" w:cs="Times New Roman"/>
          <w:b/>
          <w:u w:val="none"/>
        </w:rPr>
        <w:t>a</w:t>
      </w:r>
      <w:r w:rsidRPr="00DD1F63">
        <w:rPr>
          <w:rFonts w:ascii="Times New Roman" w:hAnsi="Times New Roman" w:cs="Times New Roman"/>
          <w:b/>
          <w:u w:val="none"/>
        </w:rPr>
        <w:t xml:space="preserve">rthritis </w:t>
      </w:r>
      <w:r w:rsidR="00371A28" w:rsidRPr="00DD1F63">
        <w:rPr>
          <w:rFonts w:ascii="Times New Roman" w:hAnsi="Times New Roman" w:cs="Times New Roman"/>
          <w:b/>
          <w:u w:val="none"/>
        </w:rPr>
        <w:t>s</w:t>
      </w:r>
      <w:r w:rsidRPr="00DD1F63">
        <w:rPr>
          <w:rFonts w:ascii="Times New Roman" w:hAnsi="Times New Roman" w:cs="Times New Roman"/>
          <w:b/>
          <w:u w:val="none"/>
        </w:rPr>
        <w:t xml:space="preserve">tudies </w:t>
      </w:r>
    </w:p>
    <w:p w14:paraId="487BCF9F" w14:textId="77777777" w:rsidR="00371A28" w:rsidRPr="00DD1F63" w:rsidRDefault="00371A28" w:rsidP="00377A09">
      <w:pPr>
        <w:spacing w:after="0" w:line="240" w:lineRule="auto"/>
        <w:ind w:left="11" w:hanging="11"/>
        <w:jc w:val="left"/>
      </w:pPr>
    </w:p>
    <w:tbl>
      <w:tblPr>
        <w:tblStyle w:val="TableGrid1"/>
        <w:tblW w:w="8602" w:type="dxa"/>
        <w:tblInd w:w="421" w:type="dxa"/>
        <w:tblCellMar>
          <w:left w:w="57" w:type="dxa"/>
          <w:right w:w="57" w:type="dxa"/>
        </w:tblCellMar>
        <w:tblLook w:val="04A0" w:firstRow="1" w:lastRow="0" w:firstColumn="1" w:lastColumn="0" w:noHBand="0" w:noVBand="1"/>
      </w:tblPr>
      <w:tblGrid>
        <w:gridCol w:w="2126"/>
        <w:gridCol w:w="4236"/>
        <w:gridCol w:w="1293"/>
        <w:gridCol w:w="947"/>
      </w:tblGrid>
      <w:tr w:rsidR="006B7C8E" w:rsidRPr="00DD1F63" w14:paraId="3F6C44F5" w14:textId="77777777" w:rsidTr="00D37E57">
        <w:trPr>
          <w:trHeight w:val="579"/>
        </w:trPr>
        <w:tc>
          <w:tcPr>
            <w:tcW w:w="2126" w:type="dxa"/>
            <w:tcBorders>
              <w:top w:val="single" w:sz="4" w:space="0" w:color="000000"/>
              <w:left w:val="single" w:sz="4" w:space="0" w:color="000000"/>
              <w:bottom w:val="single" w:sz="4" w:space="0" w:color="000000"/>
              <w:right w:val="single" w:sz="4" w:space="0" w:color="000000"/>
            </w:tcBorders>
            <w:vAlign w:val="center"/>
          </w:tcPr>
          <w:p w14:paraId="5CC5F861" w14:textId="0BE4601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System Organ </w:t>
            </w:r>
            <w:proofErr w:type="spellStart"/>
            <w:r w:rsidRPr="00DD1F63">
              <w:rPr>
                <w:rFonts w:ascii="Times New Roman" w:hAnsi="Times New Roman" w:cs="Times New Roman"/>
                <w:b/>
                <w:sz w:val="21"/>
                <w:szCs w:val="21"/>
              </w:rPr>
              <w:t>Class</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c>
          <w:tcPr>
            <w:tcW w:w="4236" w:type="dxa"/>
            <w:tcBorders>
              <w:top w:val="single" w:sz="4" w:space="0" w:color="000000"/>
              <w:left w:val="single" w:sz="4" w:space="0" w:color="000000"/>
              <w:bottom w:val="single" w:sz="4" w:space="0" w:color="000000"/>
              <w:right w:val="single" w:sz="4" w:space="0" w:color="000000"/>
            </w:tcBorders>
            <w:vAlign w:val="center"/>
          </w:tcPr>
          <w:p w14:paraId="31D69621" w14:textId="5346951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Adverse </w:t>
            </w:r>
            <w:proofErr w:type="spellStart"/>
            <w:r w:rsidRPr="00DD1F63">
              <w:rPr>
                <w:rFonts w:ascii="Times New Roman" w:hAnsi="Times New Roman" w:cs="Times New Roman"/>
                <w:b/>
                <w:sz w:val="21"/>
                <w:szCs w:val="21"/>
              </w:rPr>
              <w:t>Reaction</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104A3141" w14:textId="55D170A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 (N = 1380)</w:t>
            </w:r>
          </w:p>
          <w:p w14:paraId="0950461C" w14:textId="5EDCDCA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679E5C30" w14:textId="5A0A3F9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Control</w:t>
            </w:r>
          </w:p>
          <w:p w14:paraId="41438A3C" w14:textId="5636A241"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=690)</w:t>
            </w:r>
          </w:p>
          <w:p w14:paraId="571AEFBF" w14:textId="08FB710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w:t>
            </w:r>
          </w:p>
        </w:tc>
      </w:tr>
      <w:tr w:rsidR="006B7C8E" w:rsidRPr="00DD1F63" w14:paraId="0AA08AAC" w14:textId="77777777" w:rsidTr="00D37E57">
        <w:trPr>
          <w:trHeight w:val="421"/>
        </w:trPr>
        <w:tc>
          <w:tcPr>
            <w:tcW w:w="2126" w:type="dxa"/>
            <w:vMerge w:val="restart"/>
            <w:tcBorders>
              <w:top w:val="single" w:sz="4" w:space="0" w:color="000000"/>
              <w:left w:val="single" w:sz="4" w:space="0" w:color="000000"/>
              <w:bottom w:val="single" w:sz="4" w:space="0" w:color="000000"/>
              <w:right w:val="single" w:sz="4" w:space="0" w:color="000000"/>
            </w:tcBorders>
          </w:tcPr>
          <w:p w14:paraId="379E4B4A"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Infections and infestations </w:t>
            </w:r>
          </w:p>
          <w:p w14:paraId="4EBB1905"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236" w:type="dxa"/>
            <w:tcBorders>
              <w:top w:val="single" w:sz="4" w:space="0" w:color="000000"/>
              <w:left w:val="single" w:sz="4" w:space="0" w:color="000000"/>
              <w:bottom w:val="single" w:sz="4" w:space="0" w:color="000000"/>
              <w:right w:val="single" w:sz="4" w:space="0" w:color="000000"/>
            </w:tcBorders>
          </w:tcPr>
          <w:p w14:paraId="7ABBA51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tract infections (including lower and upper respiratory tract infection, pneumonia, sinusitis, pharyngitis, nasopharyngitis and pneumonia herpes viral) </w:t>
            </w:r>
          </w:p>
        </w:tc>
        <w:tc>
          <w:tcPr>
            <w:tcW w:w="1293" w:type="dxa"/>
            <w:tcBorders>
              <w:top w:val="single" w:sz="4" w:space="0" w:color="000000"/>
              <w:left w:val="single" w:sz="4" w:space="0" w:color="000000"/>
              <w:bottom w:val="single" w:sz="4" w:space="0" w:color="000000"/>
              <w:right w:val="single" w:sz="4" w:space="0" w:color="000000"/>
            </w:tcBorders>
            <w:vAlign w:val="center"/>
          </w:tcPr>
          <w:p w14:paraId="0BB84543" w14:textId="1208864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39</w:t>
            </w:r>
          </w:p>
        </w:tc>
        <w:tc>
          <w:tcPr>
            <w:tcW w:w="947" w:type="dxa"/>
            <w:tcBorders>
              <w:top w:val="single" w:sz="4" w:space="0" w:color="000000"/>
              <w:left w:val="single" w:sz="4" w:space="0" w:color="000000"/>
              <w:bottom w:val="single" w:sz="4" w:space="0" w:color="000000"/>
              <w:right w:val="single" w:sz="4" w:space="0" w:color="000000"/>
            </w:tcBorders>
            <w:vAlign w:val="center"/>
          </w:tcPr>
          <w:p w14:paraId="3745C4ED" w14:textId="6C1435A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33</w:t>
            </w:r>
          </w:p>
        </w:tc>
      </w:tr>
      <w:tr w:rsidR="006B7C8E" w:rsidRPr="00DD1F63" w14:paraId="51900D45" w14:textId="77777777" w:rsidTr="00D37E57">
        <w:trPr>
          <w:trHeight w:val="167"/>
        </w:trPr>
        <w:tc>
          <w:tcPr>
            <w:tcW w:w="2126" w:type="dxa"/>
            <w:vMerge/>
            <w:tcBorders>
              <w:top w:val="nil"/>
              <w:left w:val="single" w:sz="4" w:space="0" w:color="000000"/>
              <w:bottom w:val="nil"/>
              <w:right w:val="single" w:sz="4" w:space="0" w:color="000000"/>
            </w:tcBorders>
          </w:tcPr>
          <w:p w14:paraId="4BF4A267"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tcPr>
          <w:p w14:paraId="030732E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oral infections (including herpes simplex, oral </w:t>
            </w:r>
            <w:proofErr w:type="gramStart"/>
            <w:r w:rsidRPr="00DD1F63">
              <w:rPr>
                <w:rFonts w:ascii="Times New Roman" w:hAnsi="Times New Roman" w:cs="Times New Roman"/>
                <w:sz w:val="21"/>
                <w:szCs w:val="21"/>
              </w:rPr>
              <w:t>herpes</w:t>
            </w:r>
            <w:proofErr w:type="gramEnd"/>
            <w:r w:rsidRPr="00DD1F63">
              <w:rPr>
                <w:rFonts w:ascii="Times New Roman" w:hAnsi="Times New Roman" w:cs="Times New Roman"/>
                <w:sz w:val="21"/>
                <w:szCs w:val="21"/>
              </w:rPr>
              <w:t xml:space="preserve"> and tooth infections) </w:t>
            </w:r>
          </w:p>
        </w:tc>
        <w:tc>
          <w:tcPr>
            <w:tcW w:w="1293" w:type="dxa"/>
            <w:tcBorders>
              <w:top w:val="single" w:sz="4" w:space="0" w:color="000000"/>
              <w:left w:val="single" w:sz="4" w:space="0" w:color="000000"/>
              <w:bottom w:val="single" w:sz="4" w:space="0" w:color="000000"/>
              <w:right w:val="single" w:sz="4" w:space="0" w:color="000000"/>
            </w:tcBorders>
            <w:vAlign w:val="center"/>
          </w:tcPr>
          <w:p w14:paraId="4639319F" w14:textId="5E5BE631"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w:t>
            </w:r>
          </w:p>
        </w:tc>
        <w:tc>
          <w:tcPr>
            <w:tcW w:w="947" w:type="dxa"/>
            <w:tcBorders>
              <w:top w:val="single" w:sz="4" w:space="0" w:color="000000"/>
              <w:left w:val="single" w:sz="4" w:space="0" w:color="000000"/>
              <w:bottom w:val="single" w:sz="4" w:space="0" w:color="000000"/>
              <w:right w:val="single" w:sz="4" w:space="0" w:color="000000"/>
            </w:tcBorders>
            <w:vAlign w:val="center"/>
          </w:tcPr>
          <w:p w14:paraId="1B3168D9" w14:textId="069AD66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r>
      <w:tr w:rsidR="006B7C8E" w:rsidRPr="00DD1F63" w14:paraId="51B658D3" w14:textId="77777777" w:rsidTr="00D37E57">
        <w:trPr>
          <w:trHeight w:val="119"/>
        </w:trPr>
        <w:tc>
          <w:tcPr>
            <w:tcW w:w="2126" w:type="dxa"/>
            <w:vMerge/>
            <w:tcBorders>
              <w:top w:val="nil"/>
              <w:left w:val="single" w:sz="4" w:space="0" w:color="000000"/>
              <w:bottom w:val="single" w:sz="4" w:space="0" w:color="000000"/>
              <w:right w:val="single" w:sz="4" w:space="0" w:color="000000"/>
            </w:tcBorders>
          </w:tcPr>
          <w:p w14:paraId="1E59F20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tcPr>
          <w:p w14:paraId="7BA5ACF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reproductive tract infections (including vulvovaginal mycotic infection) </w:t>
            </w:r>
          </w:p>
        </w:tc>
        <w:tc>
          <w:tcPr>
            <w:tcW w:w="1293" w:type="dxa"/>
            <w:tcBorders>
              <w:top w:val="single" w:sz="4" w:space="0" w:color="000000"/>
              <w:left w:val="single" w:sz="4" w:space="0" w:color="000000"/>
              <w:bottom w:val="single" w:sz="4" w:space="0" w:color="000000"/>
              <w:right w:val="single" w:sz="4" w:space="0" w:color="000000"/>
            </w:tcBorders>
            <w:vAlign w:val="center"/>
          </w:tcPr>
          <w:p w14:paraId="1DEA2839" w14:textId="7D20A0E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3B15E31B" w14:textId="67CAD76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21AE4E75"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5B7A8492"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Blood and the lymphatic system disorders</w:t>
            </w:r>
            <w:r w:rsidRPr="00DD1F63">
              <w:rPr>
                <w:rFonts w:ascii="Times New Roman" w:hAnsi="Times New Roman" w:cs="Times New Roman"/>
                <w:b/>
                <w:sz w:val="21"/>
                <w:szCs w:val="21"/>
              </w:rPr>
              <w:t xml:space="preserve"> </w:t>
            </w:r>
          </w:p>
        </w:tc>
        <w:tc>
          <w:tcPr>
            <w:tcW w:w="4236" w:type="dxa"/>
            <w:tcBorders>
              <w:top w:val="single" w:sz="4" w:space="0" w:color="000000"/>
              <w:left w:val="single" w:sz="4" w:space="0" w:color="000000"/>
              <w:bottom w:val="single" w:sz="4" w:space="0" w:color="000000"/>
              <w:right w:val="single" w:sz="4" w:space="0" w:color="000000"/>
            </w:tcBorders>
            <w:vAlign w:val="center"/>
          </w:tcPr>
          <w:p w14:paraId="063CC0C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anaemia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63BCC080" w14:textId="6BB6578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13</w:t>
            </w:r>
          </w:p>
        </w:tc>
        <w:tc>
          <w:tcPr>
            <w:tcW w:w="947" w:type="dxa"/>
            <w:tcBorders>
              <w:top w:val="single" w:sz="4" w:space="0" w:color="000000"/>
              <w:left w:val="single" w:sz="4" w:space="0" w:color="000000"/>
              <w:bottom w:val="single" w:sz="4" w:space="0" w:color="000000"/>
              <w:right w:val="single" w:sz="4" w:space="0" w:color="000000"/>
            </w:tcBorders>
            <w:vAlign w:val="center"/>
          </w:tcPr>
          <w:p w14:paraId="5B31D467" w14:textId="4D485FA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57B6219C" w14:textId="77777777" w:rsidTr="00D37E57">
        <w:trPr>
          <w:trHeight w:val="247"/>
        </w:trPr>
        <w:tc>
          <w:tcPr>
            <w:tcW w:w="2126" w:type="dxa"/>
            <w:vMerge/>
            <w:tcBorders>
              <w:top w:val="nil"/>
              <w:left w:val="single" w:sz="4" w:space="0" w:color="000000"/>
              <w:bottom w:val="nil"/>
              <w:right w:val="single" w:sz="4" w:space="0" w:color="000000"/>
            </w:tcBorders>
          </w:tcPr>
          <w:p w14:paraId="3704AC94"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95D8DF2"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leukopaenia</w:t>
            </w:r>
            <w:proofErr w:type="spellEnd"/>
            <w:r w:rsidRPr="00DD1F63">
              <w:rPr>
                <w:rFonts w:ascii="Times New Roman" w:hAnsi="Times New Roman" w:cs="Times New Roman"/>
                <w:sz w:val="21"/>
                <w:szCs w:val="21"/>
              </w:rPr>
              <w:t xml:space="preserve"> (including </w:t>
            </w:r>
            <w:proofErr w:type="spellStart"/>
            <w:r w:rsidRPr="00DD1F63">
              <w:rPr>
                <w:rFonts w:ascii="Times New Roman" w:hAnsi="Times New Roman" w:cs="Times New Roman"/>
                <w:sz w:val="21"/>
                <w:szCs w:val="21"/>
              </w:rPr>
              <w:t>neutropaenia</w:t>
            </w:r>
            <w:proofErr w:type="spellEnd"/>
            <w:r w:rsidRPr="00DD1F63">
              <w:rPr>
                <w:rFonts w:ascii="Times New Roman" w:hAnsi="Times New Roman" w:cs="Times New Roman"/>
                <w:sz w:val="21"/>
                <w:szCs w:val="21"/>
              </w:rPr>
              <w:t xml:space="preserve"> and agranulocytosis) </w:t>
            </w:r>
          </w:p>
        </w:tc>
        <w:tc>
          <w:tcPr>
            <w:tcW w:w="1293" w:type="dxa"/>
            <w:tcBorders>
              <w:top w:val="single" w:sz="4" w:space="0" w:color="000000"/>
              <w:left w:val="single" w:sz="4" w:space="0" w:color="000000"/>
              <w:bottom w:val="single" w:sz="4" w:space="0" w:color="000000"/>
              <w:right w:val="single" w:sz="4" w:space="0" w:color="000000"/>
            </w:tcBorders>
            <w:vAlign w:val="center"/>
          </w:tcPr>
          <w:p w14:paraId="251B5123" w14:textId="6C89AD4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2404657D" w14:textId="78C97E6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2293FD38" w14:textId="77777777" w:rsidTr="00D37E57">
        <w:trPr>
          <w:trHeight w:val="20"/>
        </w:trPr>
        <w:tc>
          <w:tcPr>
            <w:tcW w:w="2126" w:type="dxa"/>
            <w:vMerge/>
            <w:tcBorders>
              <w:top w:val="nil"/>
              <w:left w:val="single" w:sz="4" w:space="0" w:color="000000"/>
              <w:bottom w:val="nil"/>
              <w:right w:val="single" w:sz="4" w:space="0" w:color="000000"/>
            </w:tcBorders>
          </w:tcPr>
          <w:p w14:paraId="0134362B"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B0EB097"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leucocystosis</w:t>
            </w:r>
            <w:proofErr w:type="spellEnd"/>
            <w:r w:rsidRPr="00DD1F63">
              <w:rPr>
                <w:rFonts w:ascii="Times New Roman" w:hAnsi="Times New Roman" w:cs="Times New Roman"/>
                <w:sz w:val="21"/>
                <w:szCs w:val="21"/>
              </w:rPr>
              <w:t xml:space="preserve"> </w:t>
            </w:r>
          </w:p>
        </w:tc>
        <w:tc>
          <w:tcPr>
            <w:tcW w:w="1293" w:type="dxa"/>
            <w:tcBorders>
              <w:top w:val="single" w:sz="4" w:space="0" w:color="000000"/>
              <w:left w:val="single" w:sz="4" w:space="0" w:color="000000"/>
              <w:bottom w:val="single" w:sz="4" w:space="0" w:color="000000"/>
              <w:right w:val="single" w:sz="4" w:space="0" w:color="000000"/>
            </w:tcBorders>
            <w:vAlign w:val="center"/>
          </w:tcPr>
          <w:p w14:paraId="0D9967B4" w14:textId="6503B20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947" w:type="dxa"/>
            <w:tcBorders>
              <w:top w:val="single" w:sz="4" w:space="0" w:color="000000"/>
              <w:left w:val="single" w:sz="4" w:space="0" w:color="000000"/>
              <w:bottom w:val="single" w:sz="4" w:space="0" w:color="000000"/>
              <w:right w:val="single" w:sz="4" w:space="0" w:color="000000"/>
            </w:tcBorders>
            <w:vAlign w:val="center"/>
          </w:tcPr>
          <w:p w14:paraId="512C10F9" w14:textId="59D08FD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w:t>
            </w:r>
          </w:p>
        </w:tc>
      </w:tr>
      <w:tr w:rsidR="006B7C8E" w:rsidRPr="00DD1F63" w14:paraId="7F66AEDD"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2266223D"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33C5048"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thrombocytopaenia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7BE0B6FD" w14:textId="312A8C1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947" w:type="dxa"/>
            <w:tcBorders>
              <w:top w:val="single" w:sz="4" w:space="0" w:color="000000"/>
              <w:left w:val="single" w:sz="4" w:space="0" w:color="000000"/>
              <w:bottom w:val="single" w:sz="4" w:space="0" w:color="000000"/>
              <w:right w:val="single" w:sz="4" w:space="0" w:color="000000"/>
            </w:tcBorders>
            <w:vAlign w:val="center"/>
          </w:tcPr>
          <w:p w14:paraId="76D90A22" w14:textId="484CFA3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w:t>
            </w:r>
          </w:p>
        </w:tc>
      </w:tr>
      <w:tr w:rsidR="006B7C8E" w:rsidRPr="00DD1F63" w14:paraId="069D1474"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214F3F82"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Metabolism and nutrition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7844355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lipids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6BC03A80" w14:textId="4C26E73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17</w:t>
            </w:r>
          </w:p>
        </w:tc>
        <w:tc>
          <w:tcPr>
            <w:tcW w:w="947" w:type="dxa"/>
            <w:tcBorders>
              <w:top w:val="single" w:sz="4" w:space="0" w:color="000000"/>
              <w:left w:val="single" w:sz="4" w:space="0" w:color="000000"/>
              <w:bottom w:val="single" w:sz="4" w:space="0" w:color="000000"/>
              <w:right w:val="single" w:sz="4" w:space="0" w:color="000000"/>
            </w:tcBorders>
            <w:vAlign w:val="center"/>
          </w:tcPr>
          <w:p w14:paraId="48913B4F" w14:textId="0B820D4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7EA8DD12" w14:textId="77777777" w:rsidTr="00D37E57">
        <w:trPr>
          <w:trHeight w:val="20"/>
        </w:trPr>
        <w:tc>
          <w:tcPr>
            <w:tcW w:w="2126" w:type="dxa"/>
            <w:vMerge/>
            <w:tcBorders>
              <w:top w:val="nil"/>
              <w:left w:val="single" w:sz="4" w:space="0" w:color="000000"/>
              <w:bottom w:val="nil"/>
              <w:right w:val="single" w:sz="4" w:space="0" w:color="000000"/>
            </w:tcBorders>
          </w:tcPr>
          <w:p w14:paraId="532655F2"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00BBFA6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uric acid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46824B49" w14:textId="1743B81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c>
          <w:tcPr>
            <w:tcW w:w="947" w:type="dxa"/>
            <w:tcBorders>
              <w:top w:val="single" w:sz="4" w:space="0" w:color="000000"/>
              <w:left w:val="single" w:sz="4" w:space="0" w:color="000000"/>
              <w:bottom w:val="single" w:sz="4" w:space="0" w:color="000000"/>
              <w:right w:val="single" w:sz="4" w:space="0" w:color="000000"/>
            </w:tcBorders>
            <w:vAlign w:val="center"/>
          </w:tcPr>
          <w:p w14:paraId="0F8F11C1" w14:textId="1BF9B0F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r>
      <w:tr w:rsidR="006B7C8E" w:rsidRPr="00DD1F63" w14:paraId="39FC609F" w14:textId="77777777" w:rsidTr="00D37E57">
        <w:trPr>
          <w:trHeight w:val="20"/>
        </w:trPr>
        <w:tc>
          <w:tcPr>
            <w:tcW w:w="2126" w:type="dxa"/>
            <w:vMerge/>
            <w:tcBorders>
              <w:top w:val="nil"/>
              <w:left w:val="single" w:sz="4" w:space="0" w:color="000000"/>
              <w:bottom w:val="nil"/>
              <w:right w:val="single" w:sz="4" w:space="0" w:color="000000"/>
            </w:tcBorders>
          </w:tcPr>
          <w:p w14:paraId="2F35F214"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394AA87"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blood sodium abnormal </w:t>
            </w:r>
          </w:p>
        </w:tc>
        <w:tc>
          <w:tcPr>
            <w:tcW w:w="1293" w:type="dxa"/>
            <w:tcBorders>
              <w:top w:val="single" w:sz="4" w:space="0" w:color="000000"/>
              <w:left w:val="single" w:sz="4" w:space="0" w:color="000000"/>
              <w:bottom w:val="single" w:sz="4" w:space="0" w:color="000000"/>
              <w:right w:val="single" w:sz="4" w:space="0" w:color="000000"/>
            </w:tcBorders>
            <w:vAlign w:val="center"/>
          </w:tcPr>
          <w:p w14:paraId="395EDEE6" w14:textId="55066AB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947" w:type="dxa"/>
            <w:tcBorders>
              <w:top w:val="single" w:sz="4" w:space="0" w:color="000000"/>
              <w:left w:val="single" w:sz="4" w:space="0" w:color="000000"/>
              <w:bottom w:val="single" w:sz="4" w:space="0" w:color="000000"/>
              <w:right w:val="single" w:sz="4" w:space="0" w:color="000000"/>
            </w:tcBorders>
            <w:vAlign w:val="center"/>
          </w:tcPr>
          <w:p w14:paraId="0799FFF0" w14:textId="7239B64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r>
      <w:tr w:rsidR="006B7C8E" w:rsidRPr="00DD1F63" w14:paraId="5594D2B7" w14:textId="77777777" w:rsidTr="00D37E57">
        <w:trPr>
          <w:trHeight w:val="20"/>
        </w:trPr>
        <w:tc>
          <w:tcPr>
            <w:tcW w:w="2126" w:type="dxa"/>
            <w:vMerge/>
            <w:tcBorders>
              <w:top w:val="nil"/>
              <w:left w:val="single" w:sz="4" w:space="0" w:color="000000"/>
              <w:bottom w:val="nil"/>
              <w:right w:val="single" w:sz="4" w:space="0" w:color="000000"/>
            </w:tcBorders>
          </w:tcPr>
          <w:p w14:paraId="221383B6"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61B0AFB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hypokalaemia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5250D338" w14:textId="2B1328B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01C3F4D9" w14:textId="190E142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r>
      <w:tr w:rsidR="006B7C8E" w:rsidRPr="00DD1F63" w14:paraId="780AA883" w14:textId="77777777" w:rsidTr="00D37E57">
        <w:trPr>
          <w:trHeight w:val="162"/>
        </w:trPr>
        <w:tc>
          <w:tcPr>
            <w:tcW w:w="2126" w:type="dxa"/>
            <w:vMerge/>
            <w:tcBorders>
              <w:top w:val="nil"/>
              <w:left w:val="single" w:sz="4" w:space="0" w:color="000000"/>
              <w:bottom w:val="nil"/>
              <w:right w:val="single" w:sz="4" w:space="0" w:color="000000"/>
            </w:tcBorders>
          </w:tcPr>
          <w:p w14:paraId="4964A4ED"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517FEE6"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hypophosphataemia</w:t>
            </w:r>
            <w:proofErr w:type="spellEnd"/>
            <w:r w:rsidRPr="00DD1F63">
              <w:rPr>
                <w:rFonts w:ascii="Times New Roman" w:hAnsi="Times New Roman" w:cs="Times New Roman"/>
                <w:sz w:val="21"/>
                <w:szCs w:val="21"/>
              </w:rPr>
              <w:t xml:space="preserve"> </w:t>
            </w:r>
          </w:p>
        </w:tc>
        <w:tc>
          <w:tcPr>
            <w:tcW w:w="1293" w:type="dxa"/>
            <w:tcBorders>
              <w:top w:val="single" w:sz="4" w:space="0" w:color="000000"/>
              <w:left w:val="single" w:sz="4" w:space="0" w:color="000000"/>
              <w:bottom w:val="single" w:sz="4" w:space="0" w:color="000000"/>
              <w:right w:val="single" w:sz="4" w:space="0" w:color="000000"/>
            </w:tcBorders>
            <w:vAlign w:val="center"/>
          </w:tcPr>
          <w:p w14:paraId="749A9F7C" w14:textId="4C27F8E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6AE54165" w14:textId="3485975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442D64C5"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4BEFAE4A"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4FE1AB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blood potassium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63546D92" w14:textId="040C502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38FC5A9F" w14:textId="676CD18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65D176FD" w14:textId="77777777" w:rsidTr="00D37E57">
        <w:trPr>
          <w:trHeight w:val="115"/>
        </w:trPr>
        <w:tc>
          <w:tcPr>
            <w:tcW w:w="2126" w:type="dxa"/>
            <w:tcBorders>
              <w:top w:val="single" w:sz="4" w:space="0" w:color="000000"/>
              <w:left w:val="single" w:sz="4" w:space="0" w:color="000000"/>
              <w:bottom w:val="single" w:sz="4" w:space="0" w:color="000000"/>
              <w:right w:val="single" w:sz="4" w:space="0" w:color="000000"/>
            </w:tcBorders>
          </w:tcPr>
          <w:p w14:paraId="1C7FBFB2"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Nervous system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6BE9D93E"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headache </w:t>
            </w:r>
          </w:p>
        </w:tc>
        <w:tc>
          <w:tcPr>
            <w:tcW w:w="1293" w:type="dxa"/>
            <w:tcBorders>
              <w:top w:val="single" w:sz="4" w:space="0" w:color="000000"/>
              <w:left w:val="single" w:sz="4" w:space="0" w:color="000000"/>
              <w:bottom w:val="single" w:sz="4" w:space="0" w:color="000000"/>
              <w:right w:val="single" w:sz="4" w:space="0" w:color="000000"/>
            </w:tcBorders>
            <w:vAlign w:val="center"/>
          </w:tcPr>
          <w:p w14:paraId="0540079A" w14:textId="54AFC3B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04705DF7" w14:textId="75F45E3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4A5A6C94"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2FCEB2D6"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Vascular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27AF76F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hypertension </w:t>
            </w:r>
          </w:p>
        </w:tc>
        <w:tc>
          <w:tcPr>
            <w:tcW w:w="1293" w:type="dxa"/>
            <w:tcBorders>
              <w:top w:val="single" w:sz="4" w:space="0" w:color="000000"/>
              <w:left w:val="single" w:sz="4" w:space="0" w:color="000000"/>
              <w:bottom w:val="single" w:sz="4" w:space="0" w:color="000000"/>
              <w:right w:val="single" w:sz="4" w:space="0" w:color="000000"/>
            </w:tcBorders>
            <w:vAlign w:val="center"/>
          </w:tcPr>
          <w:p w14:paraId="11729BB3" w14:textId="3ACEF4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c>
          <w:tcPr>
            <w:tcW w:w="947" w:type="dxa"/>
            <w:tcBorders>
              <w:top w:val="single" w:sz="4" w:space="0" w:color="000000"/>
              <w:left w:val="single" w:sz="4" w:space="0" w:color="000000"/>
              <w:bottom w:val="single" w:sz="4" w:space="0" w:color="000000"/>
              <w:right w:val="single" w:sz="4" w:space="0" w:color="000000"/>
            </w:tcBorders>
            <w:vAlign w:val="center"/>
          </w:tcPr>
          <w:p w14:paraId="74CBD294" w14:textId="3085519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r>
      <w:tr w:rsidR="006B7C8E" w:rsidRPr="00DD1F63" w14:paraId="2FB04331" w14:textId="77777777" w:rsidTr="00D37E57">
        <w:trPr>
          <w:trHeight w:val="102"/>
        </w:trPr>
        <w:tc>
          <w:tcPr>
            <w:tcW w:w="2126" w:type="dxa"/>
            <w:vMerge/>
            <w:tcBorders>
              <w:top w:val="nil"/>
              <w:left w:val="single" w:sz="4" w:space="0" w:color="000000"/>
              <w:bottom w:val="single" w:sz="4" w:space="0" w:color="000000"/>
              <w:right w:val="single" w:sz="4" w:space="0" w:color="000000"/>
            </w:tcBorders>
          </w:tcPr>
          <w:p w14:paraId="0A044A8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61AAD715" w14:textId="63C30B0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flushing </w:t>
            </w:r>
          </w:p>
        </w:tc>
        <w:tc>
          <w:tcPr>
            <w:tcW w:w="1293" w:type="dxa"/>
            <w:tcBorders>
              <w:top w:val="single" w:sz="4" w:space="0" w:color="000000"/>
              <w:left w:val="single" w:sz="4" w:space="0" w:color="000000"/>
              <w:bottom w:val="single" w:sz="4" w:space="0" w:color="000000"/>
              <w:right w:val="single" w:sz="4" w:space="0" w:color="000000"/>
            </w:tcBorders>
            <w:vAlign w:val="center"/>
          </w:tcPr>
          <w:p w14:paraId="720A1E83" w14:textId="05972DC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09417849" w14:textId="13C4CA3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0C0B22FB" w14:textId="77777777" w:rsidTr="00D37E57">
        <w:trPr>
          <w:trHeight w:val="14"/>
        </w:trPr>
        <w:tc>
          <w:tcPr>
            <w:tcW w:w="2126" w:type="dxa"/>
            <w:tcBorders>
              <w:top w:val="single" w:sz="4" w:space="0" w:color="000000"/>
              <w:left w:val="single" w:sz="4" w:space="0" w:color="000000"/>
              <w:bottom w:val="single" w:sz="4" w:space="0" w:color="000000"/>
              <w:right w:val="single" w:sz="4" w:space="0" w:color="000000"/>
            </w:tcBorders>
          </w:tcPr>
          <w:p w14:paraId="180E6AE5"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1748B30D" w14:textId="6BB65E6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cough </w:t>
            </w:r>
          </w:p>
        </w:tc>
        <w:tc>
          <w:tcPr>
            <w:tcW w:w="1293" w:type="dxa"/>
            <w:tcBorders>
              <w:top w:val="single" w:sz="4" w:space="0" w:color="000000"/>
              <w:left w:val="single" w:sz="4" w:space="0" w:color="000000"/>
              <w:bottom w:val="single" w:sz="4" w:space="0" w:color="000000"/>
              <w:right w:val="single" w:sz="4" w:space="0" w:color="000000"/>
            </w:tcBorders>
            <w:vAlign w:val="center"/>
          </w:tcPr>
          <w:p w14:paraId="5B09A64E" w14:textId="7F8DA6E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w:t>
            </w:r>
          </w:p>
        </w:tc>
        <w:tc>
          <w:tcPr>
            <w:tcW w:w="947" w:type="dxa"/>
            <w:tcBorders>
              <w:top w:val="single" w:sz="4" w:space="0" w:color="000000"/>
              <w:left w:val="single" w:sz="4" w:space="0" w:color="000000"/>
              <w:bottom w:val="single" w:sz="4" w:space="0" w:color="000000"/>
              <w:right w:val="single" w:sz="4" w:space="0" w:color="000000"/>
            </w:tcBorders>
            <w:vAlign w:val="center"/>
          </w:tcPr>
          <w:p w14:paraId="1C3DDB1A" w14:textId="78488B03"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r>
      <w:tr w:rsidR="002B5093" w:rsidRPr="00DD1F63" w14:paraId="1911BA68" w14:textId="77777777" w:rsidTr="00D37E57">
        <w:trPr>
          <w:trHeight w:val="20"/>
        </w:trPr>
        <w:tc>
          <w:tcPr>
            <w:tcW w:w="2126" w:type="dxa"/>
            <w:vMerge w:val="restart"/>
            <w:tcBorders>
              <w:top w:val="single" w:sz="4" w:space="0" w:color="000000"/>
              <w:left w:val="single" w:sz="4" w:space="0" w:color="000000"/>
              <w:right w:val="single" w:sz="4" w:space="0" w:color="000000"/>
            </w:tcBorders>
          </w:tcPr>
          <w:p w14:paraId="2249A2F2" w14:textId="77777777"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Gastrointestinal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7DFCD462" w14:textId="77777777" w:rsidR="002B5093" w:rsidRPr="00DD1F63" w:rsidRDefault="002B5093"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nausea and vomiting </w:t>
            </w:r>
          </w:p>
        </w:tc>
        <w:tc>
          <w:tcPr>
            <w:tcW w:w="1293" w:type="dxa"/>
            <w:tcBorders>
              <w:top w:val="single" w:sz="4" w:space="0" w:color="000000"/>
              <w:left w:val="single" w:sz="4" w:space="0" w:color="000000"/>
              <w:bottom w:val="single" w:sz="4" w:space="0" w:color="000000"/>
              <w:right w:val="single" w:sz="4" w:space="0" w:color="000000"/>
            </w:tcBorders>
            <w:vAlign w:val="center"/>
          </w:tcPr>
          <w:p w14:paraId="676CB5D3" w14:textId="1209DA9E"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w:t>
            </w:r>
          </w:p>
        </w:tc>
        <w:tc>
          <w:tcPr>
            <w:tcW w:w="947" w:type="dxa"/>
            <w:tcBorders>
              <w:top w:val="single" w:sz="4" w:space="0" w:color="000000"/>
              <w:left w:val="single" w:sz="4" w:space="0" w:color="000000"/>
              <w:bottom w:val="single" w:sz="4" w:space="0" w:color="000000"/>
              <w:right w:val="single" w:sz="4" w:space="0" w:color="000000"/>
            </w:tcBorders>
            <w:vAlign w:val="center"/>
          </w:tcPr>
          <w:p w14:paraId="5088542A" w14:textId="1F14A1DD"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11</w:t>
            </w:r>
          </w:p>
        </w:tc>
      </w:tr>
      <w:tr w:rsidR="002B5093" w:rsidRPr="00DD1F63" w14:paraId="27283C8A" w14:textId="77777777" w:rsidTr="00D37E57">
        <w:trPr>
          <w:trHeight w:val="26"/>
        </w:trPr>
        <w:tc>
          <w:tcPr>
            <w:tcW w:w="2126" w:type="dxa"/>
            <w:vMerge/>
            <w:tcBorders>
              <w:left w:val="single" w:sz="4" w:space="0" w:color="000000"/>
              <w:right w:val="single" w:sz="4" w:space="0" w:color="000000"/>
            </w:tcBorders>
          </w:tcPr>
          <w:p w14:paraId="5828F7E1" w14:textId="77777777" w:rsidR="002B5093" w:rsidRPr="00DD1F63" w:rsidRDefault="002B5093"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6BA533F" w14:textId="77777777" w:rsidR="002B5093" w:rsidRPr="00DD1F63" w:rsidRDefault="002B5093"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abdominal pain </w:t>
            </w:r>
          </w:p>
        </w:tc>
        <w:tc>
          <w:tcPr>
            <w:tcW w:w="1293" w:type="dxa"/>
            <w:tcBorders>
              <w:top w:val="single" w:sz="4" w:space="0" w:color="000000"/>
              <w:left w:val="single" w:sz="4" w:space="0" w:color="000000"/>
              <w:bottom w:val="single" w:sz="4" w:space="0" w:color="000000"/>
              <w:right w:val="single" w:sz="4" w:space="0" w:color="000000"/>
            </w:tcBorders>
            <w:vAlign w:val="center"/>
          </w:tcPr>
          <w:p w14:paraId="25186FEE" w14:textId="7592532E"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947" w:type="dxa"/>
            <w:tcBorders>
              <w:top w:val="single" w:sz="4" w:space="0" w:color="000000"/>
              <w:left w:val="single" w:sz="4" w:space="0" w:color="000000"/>
              <w:bottom w:val="single" w:sz="4" w:space="0" w:color="000000"/>
              <w:right w:val="single" w:sz="4" w:space="0" w:color="000000"/>
            </w:tcBorders>
            <w:vAlign w:val="center"/>
          </w:tcPr>
          <w:p w14:paraId="358AC159" w14:textId="098DF8E3"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r>
      <w:tr w:rsidR="002B5093" w:rsidRPr="00DD1F63" w14:paraId="0D91B183" w14:textId="77777777" w:rsidTr="00D37E57">
        <w:trPr>
          <w:trHeight w:val="20"/>
        </w:trPr>
        <w:tc>
          <w:tcPr>
            <w:tcW w:w="2126" w:type="dxa"/>
            <w:vMerge/>
            <w:tcBorders>
              <w:left w:val="single" w:sz="4" w:space="0" w:color="000000"/>
              <w:right w:val="single" w:sz="4" w:space="0" w:color="000000"/>
            </w:tcBorders>
          </w:tcPr>
          <w:p w14:paraId="4DA73F5E" w14:textId="77777777" w:rsidR="002B5093" w:rsidRPr="00DD1F63" w:rsidRDefault="002B5093"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2436CCB2" w14:textId="77777777" w:rsidR="002B5093" w:rsidRPr="00DD1F63" w:rsidRDefault="002B5093"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sicca syndrome </w:t>
            </w:r>
          </w:p>
        </w:tc>
        <w:tc>
          <w:tcPr>
            <w:tcW w:w="1293" w:type="dxa"/>
            <w:tcBorders>
              <w:top w:val="single" w:sz="4" w:space="0" w:color="000000"/>
              <w:left w:val="single" w:sz="4" w:space="0" w:color="000000"/>
              <w:bottom w:val="single" w:sz="4" w:space="0" w:color="000000"/>
              <w:right w:val="single" w:sz="4" w:space="0" w:color="000000"/>
            </w:tcBorders>
            <w:vAlign w:val="center"/>
          </w:tcPr>
          <w:p w14:paraId="65579072" w14:textId="2691C29B"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6B4D3FB3" w14:textId="40E3793E"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r>
      <w:tr w:rsidR="002B5093" w:rsidRPr="00DD1F63" w14:paraId="6992F632" w14:textId="77777777" w:rsidTr="00D37E57">
        <w:trPr>
          <w:trHeight w:val="370"/>
        </w:trPr>
        <w:tc>
          <w:tcPr>
            <w:tcW w:w="2126" w:type="dxa"/>
            <w:vMerge/>
            <w:tcBorders>
              <w:left w:val="single" w:sz="4" w:space="0" w:color="000000"/>
              <w:bottom w:val="single" w:sz="4" w:space="0" w:color="000000"/>
              <w:right w:val="single" w:sz="4" w:space="0" w:color="000000"/>
            </w:tcBorders>
          </w:tcPr>
          <w:p w14:paraId="7E5EC30D" w14:textId="77777777" w:rsidR="002B5093" w:rsidRPr="00DD1F63" w:rsidRDefault="002B5093"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146DC6A2" w14:textId="77777777" w:rsidR="002B5093" w:rsidRPr="00DD1F63" w:rsidRDefault="002B5093"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GI haemorrhage </w:t>
            </w:r>
          </w:p>
        </w:tc>
        <w:tc>
          <w:tcPr>
            <w:tcW w:w="1293" w:type="dxa"/>
            <w:tcBorders>
              <w:top w:val="single" w:sz="4" w:space="0" w:color="000000"/>
              <w:left w:val="single" w:sz="4" w:space="0" w:color="000000"/>
              <w:bottom w:val="single" w:sz="4" w:space="0" w:color="000000"/>
              <w:right w:val="single" w:sz="4" w:space="0" w:color="000000"/>
            </w:tcBorders>
            <w:vAlign w:val="center"/>
          </w:tcPr>
          <w:p w14:paraId="5269E089" w14:textId="71AF1D8E"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42D7BDA3" w14:textId="660DCF36" w:rsidR="002B5093" w:rsidRPr="00DD1F63" w:rsidRDefault="002B509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6AF3E84B" w14:textId="77777777" w:rsidTr="00D37E57">
        <w:trPr>
          <w:trHeight w:val="14"/>
        </w:trPr>
        <w:tc>
          <w:tcPr>
            <w:tcW w:w="2126" w:type="dxa"/>
            <w:tcBorders>
              <w:top w:val="single" w:sz="4" w:space="0" w:color="000000"/>
              <w:left w:val="single" w:sz="4" w:space="0" w:color="000000"/>
              <w:bottom w:val="single" w:sz="4" w:space="0" w:color="000000"/>
              <w:right w:val="single" w:sz="4" w:space="0" w:color="000000"/>
            </w:tcBorders>
          </w:tcPr>
          <w:p w14:paraId="45FBD02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Hepato-biliary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686D48E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liver enzymes elevated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43928C80" w14:textId="3AD349E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w:t>
            </w:r>
          </w:p>
        </w:tc>
        <w:tc>
          <w:tcPr>
            <w:tcW w:w="947" w:type="dxa"/>
            <w:tcBorders>
              <w:top w:val="single" w:sz="4" w:space="0" w:color="000000"/>
              <w:left w:val="single" w:sz="4" w:space="0" w:color="000000"/>
              <w:bottom w:val="single" w:sz="4" w:space="0" w:color="000000"/>
              <w:right w:val="single" w:sz="4" w:space="0" w:color="000000"/>
            </w:tcBorders>
            <w:vAlign w:val="center"/>
          </w:tcPr>
          <w:p w14:paraId="6824E862" w14:textId="56C7AD83"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3FD3DD49" w14:textId="77777777" w:rsidTr="00D37E57">
        <w:trPr>
          <w:trHeight w:val="370"/>
        </w:trPr>
        <w:tc>
          <w:tcPr>
            <w:tcW w:w="2126" w:type="dxa"/>
            <w:vMerge w:val="restart"/>
            <w:tcBorders>
              <w:top w:val="single" w:sz="4" w:space="0" w:color="000000"/>
              <w:left w:val="single" w:sz="4" w:space="0" w:color="000000"/>
              <w:bottom w:val="single" w:sz="4" w:space="0" w:color="000000"/>
              <w:right w:val="single" w:sz="4" w:space="0" w:color="000000"/>
            </w:tcBorders>
          </w:tcPr>
          <w:p w14:paraId="2A236648"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Skin and subcutaneous tissue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2B179453"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rash (including exfoliative rash) </w:t>
            </w:r>
          </w:p>
        </w:tc>
        <w:tc>
          <w:tcPr>
            <w:tcW w:w="1293" w:type="dxa"/>
            <w:tcBorders>
              <w:top w:val="single" w:sz="4" w:space="0" w:color="000000"/>
              <w:left w:val="single" w:sz="4" w:space="0" w:color="000000"/>
              <w:bottom w:val="single" w:sz="4" w:space="0" w:color="000000"/>
              <w:right w:val="single" w:sz="4" w:space="0" w:color="000000"/>
            </w:tcBorders>
            <w:vAlign w:val="center"/>
          </w:tcPr>
          <w:p w14:paraId="42A20886" w14:textId="45585F1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5D2DC462" w14:textId="6A43FF4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w:t>
            </w:r>
          </w:p>
        </w:tc>
      </w:tr>
      <w:tr w:rsidR="006B7C8E" w:rsidRPr="00DD1F63" w14:paraId="191465DC" w14:textId="77777777" w:rsidTr="00D37E57">
        <w:trPr>
          <w:trHeight w:val="20"/>
        </w:trPr>
        <w:tc>
          <w:tcPr>
            <w:tcW w:w="2126" w:type="dxa"/>
            <w:vMerge/>
            <w:tcBorders>
              <w:top w:val="nil"/>
              <w:left w:val="single" w:sz="4" w:space="0" w:color="000000"/>
              <w:bottom w:val="nil"/>
              <w:right w:val="single" w:sz="4" w:space="0" w:color="000000"/>
            </w:tcBorders>
          </w:tcPr>
          <w:p w14:paraId="3DDD12C2"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6525832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pruritus </w:t>
            </w:r>
          </w:p>
        </w:tc>
        <w:tc>
          <w:tcPr>
            <w:tcW w:w="1293" w:type="dxa"/>
            <w:tcBorders>
              <w:top w:val="single" w:sz="4" w:space="0" w:color="000000"/>
              <w:left w:val="single" w:sz="4" w:space="0" w:color="000000"/>
              <w:bottom w:val="single" w:sz="4" w:space="0" w:color="000000"/>
              <w:right w:val="single" w:sz="4" w:space="0" w:color="000000"/>
            </w:tcBorders>
            <w:vAlign w:val="center"/>
          </w:tcPr>
          <w:p w14:paraId="6B245CFB" w14:textId="4DA4C9B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6D0FFAC6" w14:textId="45DB4E8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6445DC29" w14:textId="77777777" w:rsidTr="00D37E57">
        <w:trPr>
          <w:trHeight w:val="20"/>
        </w:trPr>
        <w:tc>
          <w:tcPr>
            <w:tcW w:w="2126" w:type="dxa"/>
            <w:vMerge/>
            <w:tcBorders>
              <w:top w:val="nil"/>
              <w:left w:val="single" w:sz="4" w:space="0" w:color="000000"/>
              <w:bottom w:val="nil"/>
              <w:right w:val="single" w:sz="4" w:space="0" w:color="000000"/>
            </w:tcBorders>
          </w:tcPr>
          <w:p w14:paraId="3E945A0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5C4D8AD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dermatitis (including eczema) </w:t>
            </w:r>
          </w:p>
        </w:tc>
        <w:tc>
          <w:tcPr>
            <w:tcW w:w="1293" w:type="dxa"/>
            <w:tcBorders>
              <w:top w:val="single" w:sz="4" w:space="0" w:color="000000"/>
              <w:left w:val="single" w:sz="4" w:space="0" w:color="000000"/>
              <w:bottom w:val="single" w:sz="4" w:space="0" w:color="000000"/>
              <w:right w:val="single" w:sz="4" w:space="0" w:color="000000"/>
            </w:tcBorders>
            <w:vAlign w:val="center"/>
          </w:tcPr>
          <w:p w14:paraId="25D52A76" w14:textId="0960F4E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7DCAB31A" w14:textId="67A0038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59754AA3"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671C0A8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9CBC923"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bruising (including purpura) </w:t>
            </w:r>
          </w:p>
        </w:tc>
        <w:tc>
          <w:tcPr>
            <w:tcW w:w="1293" w:type="dxa"/>
            <w:tcBorders>
              <w:top w:val="single" w:sz="4" w:space="0" w:color="000000"/>
              <w:left w:val="single" w:sz="4" w:space="0" w:color="000000"/>
              <w:bottom w:val="single" w:sz="4" w:space="0" w:color="000000"/>
              <w:right w:val="single" w:sz="4" w:space="0" w:color="000000"/>
            </w:tcBorders>
            <w:vAlign w:val="center"/>
          </w:tcPr>
          <w:p w14:paraId="59F00820" w14:textId="00B53CE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6874873E" w14:textId="43EEF783"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w:t>
            </w:r>
          </w:p>
        </w:tc>
      </w:tr>
      <w:tr w:rsidR="006B7C8E" w:rsidRPr="00DD1F63" w14:paraId="7D3E3C0B" w14:textId="77777777" w:rsidTr="00D37E57">
        <w:trPr>
          <w:trHeight w:val="41"/>
        </w:trPr>
        <w:tc>
          <w:tcPr>
            <w:tcW w:w="2126" w:type="dxa"/>
            <w:vMerge w:val="restart"/>
            <w:tcBorders>
              <w:top w:val="single" w:sz="4" w:space="0" w:color="000000"/>
              <w:left w:val="single" w:sz="4" w:space="0" w:color="000000"/>
              <w:bottom w:val="single" w:sz="4" w:space="0" w:color="000000"/>
              <w:right w:val="single" w:sz="4" w:space="0" w:color="000000"/>
            </w:tcBorders>
          </w:tcPr>
          <w:p w14:paraId="03BD2563"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connective tissue and bone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0A4FF619"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pain </w:t>
            </w:r>
          </w:p>
        </w:tc>
        <w:tc>
          <w:tcPr>
            <w:tcW w:w="1293" w:type="dxa"/>
            <w:tcBorders>
              <w:top w:val="single" w:sz="4" w:space="0" w:color="000000"/>
              <w:left w:val="single" w:sz="4" w:space="0" w:color="000000"/>
              <w:bottom w:val="single" w:sz="4" w:space="0" w:color="000000"/>
              <w:right w:val="single" w:sz="4" w:space="0" w:color="000000"/>
            </w:tcBorders>
            <w:vAlign w:val="center"/>
          </w:tcPr>
          <w:p w14:paraId="38A0DA39" w14:textId="419A24E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0DE09EF1" w14:textId="5186555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w:t>
            </w:r>
          </w:p>
        </w:tc>
      </w:tr>
      <w:tr w:rsidR="006B7C8E" w:rsidRPr="00DD1F63" w14:paraId="242FDD7F"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5792708D"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27F4A31F"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muscle spasms (including blood creatine phosphokinase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6F22A431" w14:textId="2985810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1F01D407" w14:textId="01B4359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19BEF5D3" w14:textId="77777777" w:rsidTr="00D37E57">
        <w:trPr>
          <w:trHeight w:val="28"/>
        </w:trPr>
        <w:tc>
          <w:tcPr>
            <w:tcW w:w="2126" w:type="dxa"/>
            <w:vMerge w:val="restart"/>
            <w:tcBorders>
              <w:top w:val="single" w:sz="4" w:space="0" w:color="000000"/>
              <w:left w:val="single" w:sz="4" w:space="0" w:color="000000"/>
              <w:bottom w:val="single" w:sz="4" w:space="0" w:color="000000"/>
              <w:right w:val="single" w:sz="4" w:space="0" w:color="000000"/>
            </w:tcBorders>
          </w:tcPr>
          <w:p w14:paraId="5B511984"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Renal and urinary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514CC8A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haematuria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09B97CA4" w14:textId="7978132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w:t>
            </w:r>
          </w:p>
        </w:tc>
        <w:tc>
          <w:tcPr>
            <w:tcW w:w="947" w:type="dxa"/>
            <w:tcBorders>
              <w:top w:val="single" w:sz="4" w:space="0" w:color="000000"/>
              <w:left w:val="single" w:sz="4" w:space="0" w:color="000000"/>
              <w:bottom w:val="single" w:sz="4" w:space="0" w:color="000000"/>
              <w:right w:val="single" w:sz="4" w:space="0" w:color="000000"/>
            </w:tcBorders>
            <w:vAlign w:val="center"/>
          </w:tcPr>
          <w:p w14:paraId="2BEF633D" w14:textId="0E84B03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1175A5FB"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4DE9714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0FAA76A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renal impairment </w:t>
            </w:r>
          </w:p>
        </w:tc>
        <w:tc>
          <w:tcPr>
            <w:tcW w:w="1293" w:type="dxa"/>
            <w:tcBorders>
              <w:top w:val="single" w:sz="4" w:space="0" w:color="000000"/>
              <w:left w:val="single" w:sz="4" w:space="0" w:color="000000"/>
              <w:bottom w:val="single" w:sz="4" w:space="0" w:color="000000"/>
              <w:right w:val="single" w:sz="4" w:space="0" w:color="000000"/>
            </w:tcBorders>
            <w:vAlign w:val="center"/>
          </w:tcPr>
          <w:p w14:paraId="199776D5" w14:textId="1368288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c>
          <w:tcPr>
            <w:tcW w:w="947" w:type="dxa"/>
            <w:tcBorders>
              <w:top w:val="single" w:sz="4" w:space="0" w:color="000000"/>
              <w:left w:val="single" w:sz="4" w:space="0" w:color="000000"/>
              <w:bottom w:val="single" w:sz="4" w:space="0" w:color="000000"/>
              <w:right w:val="single" w:sz="4" w:space="0" w:color="000000"/>
            </w:tcBorders>
            <w:vAlign w:val="center"/>
          </w:tcPr>
          <w:p w14:paraId="62B694C1" w14:textId="1DE7D65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55B99AFA" w14:textId="77777777" w:rsidTr="00D37E57">
        <w:trPr>
          <w:trHeight w:val="279"/>
        </w:trPr>
        <w:tc>
          <w:tcPr>
            <w:tcW w:w="2126" w:type="dxa"/>
            <w:vMerge w:val="restart"/>
            <w:tcBorders>
              <w:top w:val="single" w:sz="4" w:space="0" w:color="000000"/>
              <w:left w:val="single" w:sz="4" w:space="0" w:color="000000"/>
              <w:bottom w:val="single" w:sz="4" w:space="0" w:color="000000"/>
              <w:right w:val="single" w:sz="4" w:space="0" w:color="000000"/>
            </w:tcBorders>
          </w:tcPr>
          <w:p w14:paraId="696D36F1"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General disorders and administration site conditions </w:t>
            </w:r>
          </w:p>
        </w:tc>
        <w:tc>
          <w:tcPr>
            <w:tcW w:w="4236" w:type="dxa"/>
            <w:tcBorders>
              <w:top w:val="single" w:sz="4" w:space="0" w:color="000000"/>
              <w:left w:val="single" w:sz="4" w:space="0" w:color="000000"/>
              <w:bottom w:val="single" w:sz="4" w:space="0" w:color="000000"/>
              <w:right w:val="single" w:sz="4" w:space="0" w:color="000000"/>
            </w:tcBorders>
            <w:vAlign w:val="center"/>
          </w:tcPr>
          <w:p w14:paraId="1DE1B49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injection site reaction (including injection site erythema) </w:t>
            </w:r>
          </w:p>
        </w:tc>
        <w:tc>
          <w:tcPr>
            <w:tcW w:w="1293" w:type="dxa"/>
            <w:tcBorders>
              <w:top w:val="single" w:sz="4" w:space="0" w:color="000000"/>
              <w:left w:val="single" w:sz="4" w:space="0" w:color="000000"/>
              <w:bottom w:val="single" w:sz="4" w:space="0" w:color="000000"/>
              <w:right w:val="single" w:sz="4" w:space="0" w:color="000000"/>
            </w:tcBorders>
            <w:vAlign w:val="center"/>
          </w:tcPr>
          <w:p w14:paraId="76D8B933" w14:textId="6217189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20</w:t>
            </w:r>
          </w:p>
        </w:tc>
        <w:tc>
          <w:tcPr>
            <w:tcW w:w="947" w:type="dxa"/>
            <w:tcBorders>
              <w:top w:val="single" w:sz="4" w:space="0" w:color="000000"/>
              <w:left w:val="single" w:sz="4" w:space="0" w:color="000000"/>
              <w:bottom w:val="single" w:sz="4" w:space="0" w:color="000000"/>
              <w:right w:val="single" w:sz="4" w:space="0" w:color="000000"/>
            </w:tcBorders>
            <w:vAlign w:val="center"/>
          </w:tcPr>
          <w:p w14:paraId="7345BEE7" w14:textId="2B16D67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13</w:t>
            </w:r>
          </w:p>
        </w:tc>
      </w:tr>
      <w:tr w:rsidR="006B7C8E" w:rsidRPr="00DD1F63" w14:paraId="00B69E7E"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4C7B5AC9"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356B56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oedema </w:t>
            </w:r>
          </w:p>
        </w:tc>
        <w:tc>
          <w:tcPr>
            <w:tcW w:w="1293" w:type="dxa"/>
            <w:tcBorders>
              <w:top w:val="single" w:sz="4" w:space="0" w:color="000000"/>
              <w:left w:val="single" w:sz="4" w:space="0" w:color="000000"/>
              <w:bottom w:val="single" w:sz="4" w:space="0" w:color="000000"/>
              <w:right w:val="single" w:sz="4" w:space="0" w:color="000000"/>
            </w:tcBorders>
            <w:vAlign w:val="center"/>
          </w:tcPr>
          <w:p w14:paraId="207AD95C" w14:textId="262E278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23F17232" w14:textId="53AF953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11FE8755"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78EAEF55"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Investigations </w:t>
            </w:r>
          </w:p>
        </w:tc>
        <w:tc>
          <w:tcPr>
            <w:tcW w:w="4236" w:type="dxa"/>
            <w:tcBorders>
              <w:top w:val="single" w:sz="4" w:space="0" w:color="000000"/>
              <w:left w:val="single" w:sz="4" w:space="0" w:color="000000"/>
              <w:bottom w:val="single" w:sz="4" w:space="0" w:color="000000"/>
              <w:right w:val="single" w:sz="4" w:space="0" w:color="000000"/>
            </w:tcBorders>
            <w:vAlign w:val="center"/>
          </w:tcPr>
          <w:p w14:paraId="67EC8C7C"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coagulation and bleeding disorders (including activated partial thromboplastin time prolonged)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78D6591E" w14:textId="11FC9F7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w:t>
            </w:r>
          </w:p>
        </w:tc>
        <w:tc>
          <w:tcPr>
            <w:tcW w:w="947" w:type="dxa"/>
            <w:tcBorders>
              <w:top w:val="single" w:sz="4" w:space="0" w:color="000000"/>
              <w:left w:val="single" w:sz="4" w:space="0" w:color="000000"/>
              <w:bottom w:val="single" w:sz="4" w:space="0" w:color="000000"/>
              <w:right w:val="single" w:sz="4" w:space="0" w:color="000000"/>
            </w:tcBorders>
            <w:vAlign w:val="center"/>
          </w:tcPr>
          <w:p w14:paraId="5225DF90" w14:textId="237EB0C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55092BC5" w14:textId="77777777" w:rsidTr="00D37E57">
        <w:trPr>
          <w:trHeight w:val="47"/>
        </w:trPr>
        <w:tc>
          <w:tcPr>
            <w:tcW w:w="2126" w:type="dxa"/>
            <w:vMerge/>
            <w:tcBorders>
              <w:top w:val="nil"/>
              <w:left w:val="single" w:sz="4" w:space="0" w:color="000000"/>
              <w:bottom w:val="single" w:sz="4" w:space="0" w:color="000000"/>
              <w:right w:val="single" w:sz="4" w:space="0" w:color="000000"/>
            </w:tcBorders>
          </w:tcPr>
          <w:p w14:paraId="6C9A908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00A89F23"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blood lactate dehydrogenase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5FEDA574" w14:textId="4E50E1F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3AF145A2" w14:textId="0FF99D7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bl>
    <w:p w14:paraId="5BE10F30" w14:textId="2F58D30B" w:rsidR="006B7C8E" w:rsidRPr="00DD1F63" w:rsidRDefault="00CA72FF" w:rsidP="00377A09">
      <w:pPr>
        <w:pStyle w:val="ListParagraph"/>
        <w:numPr>
          <w:ilvl w:val="0"/>
          <w:numId w:val="19"/>
        </w:numPr>
        <w:spacing w:after="0" w:line="240" w:lineRule="auto"/>
        <w:ind w:left="709" w:right="367" w:hanging="283"/>
        <w:jc w:val="left"/>
        <w:rPr>
          <w:rFonts w:ascii="Times New Roman" w:hAnsi="Times New Roman" w:cs="Times New Roman"/>
          <w:szCs w:val="20"/>
        </w:rPr>
      </w:pPr>
      <w:r w:rsidRPr="00DD1F63">
        <w:rPr>
          <w:rFonts w:ascii="Times New Roman" w:hAnsi="Times New Roman" w:cs="Times New Roman"/>
          <w:szCs w:val="20"/>
        </w:rPr>
        <w:t xml:space="preserve">MedDRA </w:t>
      </w:r>
    </w:p>
    <w:p w14:paraId="1B3DDD20" w14:textId="77777777" w:rsidR="00E3256E" w:rsidRPr="00DD1F63" w:rsidRDefault="00E3256E" w:rsidP="00377A09">
      <w:pPr>
        <w:pStyle w:val="ListParagraph"/>
        <w:spacing w:after="0" w:line="240" w:lineRule="auto"/>
        <w:ind w:left="426" w:right="367" w:firstLine="0"/>
        <w:jc w:val="left"/>
        <w:rPr>
          <w:rFonts w:ascii="Times New Roman" w:hAnsi="Times New Roman" w:cs="Times New Roman"/>
          <w:szCs w:val="20"/>
        </w:rPr>
      </w:pPr>
    </w:p>
    <w:p w14:paraId="6410907B" w14:textId="54A0AFF1" w:rsidR="006B7C8E" w:rsidRPr="00DD1F63" w:rsidRDefault="00CA72FF" w:rsidP="00377A09">
      <w:pPr>
        <w:spacing w:after="0" w:line="240" w:lineRule="auto"/>
        <w:ind w:left="426"/>
        <w:jc w:val="left"/>
        <w:rPr>
          <w:rFonts w:ascii="Times New Roman" w:hAnsi="Times New Roman" w:cs="Times New Roman"/>
          <w:i/>
          <w:sz w:val="22"/>
        </w:rPr>
      </w:pPr>
      <w:r w:rsidRPr="00DD1F63">
        <w:rPr>
          <w:rFonts w:ascii="Times New Roman" w:hAnsi="Times New Roman" w:cs="Times New Roman"/>
          <w:i/>
          <w:sz w:val="22"/>
          <w:u w:val="single" w:color="000000"/>
        </w:rPr>
        <w:t xml:space="preserve">Polyarticular </w:t>
      </w:r>
      <w:r w:rsidR="00371A28" w:rsidRPr="00DD1F63">
        <w:rPr>
          <w:rFonts w:ascii="Times New Roman" w:hAnsi="Times New Roman" w:cs="Times New Roman"/>
          <w:i/>
          <w:sz w:val="22"/>
          <w:u w:val="single" w:color="000000"/>
        </w:rPr>
        <w:t>j</w:t>
      </w:r>
      <w:r w:rsidRPr="00DD1F63">
        <w:rPr>
          <w:rFonts w:ascii="Times New Roman" w:hAnsi="Times New Roman" w:cs="Times New Roman"/>
          <w:i/>
          <w:sz w:val="22"/>
          <w:u w:val="single" w:color="000000"/>
        </w:rPr>
        <w:t xml:space="preserve">uvenile </w:t>
      </w:r>
      <w:r w:rsidR="00371A28" w:rsidRPr="00DD1F63">
        <w:rPr>
          <w:rFonts w:ascii="Times New Roman" w:hAnsi="Times New Roman" w:cs="Times New Roman"/>
          <w:i/>
          <w:sz w:val="22"/>
          <w:u w:val="single" w:color="000000"/>
        </w:rPr>
        <w:t>i</w:t>
      </w:r>
      <w:r w:rsidRPr="00DD1F63">
        <w:rPr>
          <w:rFonts w:ascii="Times New Roman" w:hAnsi="Times New Roman" w:cs="Times New Roman"/>
          <w:i/>
          <w:sz w:val="22"/>
          <w:u w:val="single" w:color="000000"/>
        </w:rPr>
        <w:t xml:space="preserve">diopathic </w:t>
      </w:r>
      <w:r w:rsidR="00371A28" w:rsidRPr="00DD1F63">
        <w:rPr>
          <w:rFonts w:ascii="Times New Roman" w:hAnsi="Times New Roman" w:cs="Times New Roman"/>
          <w:i/>
          <w:sz w:val="22"/>
          <w:u w:val="single" w:color="000000"/>
        </w:rPr>
        <w:t>a</w:t>
      </w:r>
      <w:r w:rsidRPr="00DD1F63">
        <w:rPr>
          <w:rFonts w:ascii="Times New Roman" w:hAnsi="Times New Roman" w:cs="Times New Roman"/>
          <w:i/>
          <w:sz w:val="22"/>
          <w:u w:val="single" w:color="000000"/>
        </w:rPr>
        <w:t>rthritis</w:t>
      </w:r>
      <w:r w:rsidRPr="00DD1F63">
        <w:rPr>
          <w:rFonts w:ascii="Times New Roman" w:hAnsi="Times New Roman" w:cs="Times New Roman"/>
          <w:i/>
          <w:sz w:val="22"/>
        </w:rPr>
        <w:t xml:space="preserve"> </w:t>
      </w:r>
    </w:p>
    <w:p w14:paraId="5A6F82C6" w14:textId="77777777" w:rsidR="00E3256E" w:rsidRPr="00DD1F63" w:rsidRDefault="00E3256E" w:rsidP="00377A09">
      <w:pPr>
        <w:spacing w:after="0" w:line="240" w:lineRule="auto"/>
        <w:ind w:left="426"/>
        <w:jc w:val="left"/>
        <w:rPr>
          <w:rFonts w:ascii="Times New Roman" w:hAnsi="Times New Roman" w:cs="Times New Roman"/>
          <w:sz w:val="22"/>
        </w:rPr>
      </w:pPr>
    </w:p>
    <w:p w14:paraId="6A83BC09" w14:textId="02F8DE0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general, the adverse events in paediatric patients were similar in frequency and type to those seen in adult patients. </w:t>
      </w:r>
    </w:p>
    <w:p w14:paraId="206B05FE"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3AA88B5E" w14:textId="338A915C" w:rsidR="00E3256E" w:rsidRPr="00DD1F63" w:rsidRDefault="00CA72FF" w:rsidP="00377A09">
      <w:pPr>
        <w:spacing w:after="0" w:line="240" w:lineRule="auto"/>
        <w:ind w:left="426"/>
        <w:jc w:val="left"/>
        <w:rPr>
          <w:rFonts w:ascii="Times New Roman" w:hAnsi="Times New Roman" w:cs="Times New Roman"/>
          <w:i/>
          <w:sz w:val="22"/>
          <w:u w:val="single" w:color="000000"/>
        </w:rPr>
      </w:pPr>
      <w:r w:rsidRPr="00DD1F63">
        <w:rPr>
          <w:rFonts w:ascii="Times New Roman" w:hAnsi="Times New Roman" w:cs="Times New Roman"/>
          <w:i/>
          <w:sz w:val="22"/>
          <w:u w:val="single" w:color="000000"/>
        </w:rPr>
        <w:t xml:space="preserve">Hidradenitis </w:t>
      </w:r>
      <w:r w:rsidR="00D9794B" w:rsidRPr="00DD1F63">
        <w:rPr>
          <w:rFonts w:ascii="Times New Roman" w:hAnsi="Times New Roman" w:cs="Times New Roman"/>
          <w:i/>
          <w:sz w:val="22"/>
          <w:u w:val="single" w:color="000000"/>
        </w:rPr>
        <w:t>s</w:t>
      </w:r>
      <w:r w:rsidRPr="00DD1F63">
        <w:rPr>
          <w:rFonts w:ascii="Times New Roman" w:hAnsi="Times New Roman" w:cs="Times New Roman"/>
          <w:i/>
          <w:sz w:val="22"/>
          <w:u w:val="single" w:color="000000"/>
        </w:rPr>
        <w:t>uppurativa</w:t>
      </w:r>
    </w:p>
    <w:p w14:paraId="5AD1A10D" w14:textId="44D1AB61"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i/>
          <w:sz w:val="22"/>
        </w:rPr>
        <w:t xml:space="preserve"> </w:t>
      </w:r>
    </w:p>
    <w:p w14:paraId="371C4C43" w14:textId="59F78138" w:rsidR="006B7C8E" w:rsidRPr="00DD1F63" w:rsidRDefault="00CA72FF" w:rsidP="00377A09">
      <w:pPr>
        <w:spacing w:after="0" w:line="240" w:lineRule="auto"/>
        <w:ind w:left="426" w:right="375"/>
        <w:jc w:val="left"/>
        <w:rPr>
          <w:rFonts w:ascii="Times New Roman" w:hAnsi="Times New Roman" w:cs="Times New Roman"/>
          <w:i/>
          <w:sz w:val="22"/>
        </w:rPr>
      </w:pPr>
      <w:r w:rsidRPr="00DD1F63">
        <w:rPr>
          <w:rFonts w:ascii="Times New Roman" w:hAnsi="Times New Roman" w:cs="Times New Roman"/>
          <w:sz w:val="22"/>
        </w:rPr>
        <w:t xml:space="preserve">The safety profile for patients with hidradenitis suppurativa treated with </w:t>
      </w:r>
      <w:r w:rsidR="001257CB" w:rsidRPr="00DD1F63">
        <w:rPr>
          <w:rFonts w:ascii="Times New Roman" w:hAnsi="Times New Roman" w:cs="Times New Roman"/>
          <w:sz w:val="22"/>
        </w:rPr>
        <w:t>adalimumab</w:t>
      </w:r>
      <w:r w:rsidRPr="00DD1F63">
        <w:rPr>
          <w:rFonts w:ascii="Times New Roman" w:hAnsi="Times New Roman" w:cs="Times New Roman"/>
          <w:sz w:val="22"/>
        </w:rPr>
        <w:t xml:space="preserve"> weekly was consistent with the known safety profile of </w:t>
      </w:r>
      <w:r w:rsidR="00BC17F8" w:rsidRPr="00DD1F63">
        <w:rPr>
          <w:rFonts w:ascii="Times New Roman" w:hAnsi="Times New Roman" w:cs="Times New Roman"/>
          <w:sz w:val="22"/>
        </w:rPr>
        <w:t>adalimumab</w:t>
      </w:r>
      <w:r w:rsidRPr="00DD1F63">
        <w:rPr>
          <w:rFonts w:ascii="Times New Roman" w:hAnsi="Times New Roman" w:cs="Times New Roman"/>
          <w:sz w:val="22"/>
        </w:rPr>
        <w:t>.</w:t>
      </w:r>
      <w:r w:rsidRPr="00DD1F63">
        <w:rPr>
          <w:rFonts w:ascii="Times New Roman" w:hAnsi="Times New Roman" w:cs="Times New Roman"/>
          <w:i/>
          <w:sz w:val="22"/>
        </w:rPr>
        <w:t xml:space="preserve"> </w:t>
      </w:r>
    </w:p>
    <w:p w14:paraId="2732BD05"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53A66654" w14:textId="608A3F35"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i/>
          <w:sz w:val="22"/>
          <w:u w:val="single" w:color="000000"/>
        </w:rPr>
        <w:t>Uveitis</w:t>
      </w:r>
      <w:r w:rsidRPr="00DD1F63">
        <w:rPr>
          <w:rFonts w:ascii="Times New Roman" w:hAnsi="Times New Roman" w:cs="Times New Roman"/>
          <w:sz w:val="22"/>
        </w:rPr>
        <w:t xml:space="preserve"> </w:t>
      </w:r>
    </w:p>
    <w:p w14:paraId="32A7BEA7" w14:textId="77777777" w:rsidR="00E3256E" w:rsidRPr="00DD1F63" w:rsidRDefault="00E3256E" w:rsidP="00377A09">
      <w:pPr>
        <w:spacing w:after="0" w:line="240" w:lineRule="auto"/>
        <w:ind w:left="426"/>
        <w:jc w:val="left"/>
        <w:rPr>
          <w:rFonts w:ascii="Times New Roman" w:hAnsi="Times New Roman" w:cs="Times New Roman"/>
          <w:sz w:val="22"/>
        </w:rPr>
      </w:pPr>
    </w:p>
    <w:p w14:paraId="31B08300" w14:textId="135DD1E3"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profile for patients with non-infectious uveitis treated with </w:t>
      </w:r>
      <w:r w:rsidR="001257CB" w:rsidRPr="00DD1F63">
        <w:rPr>
          <w:rFonts w:ascii="Times New Roman" w:hAnsi="Times New Roman" w:cs="Times New Roman"/>
          <w:sz w:val="22"/>
        </w:rPr>
        <w:t>adalimumab</w:t>
      </w:r>
      <w:r w:rsidRPr="00DD1F63">
        <w:rPr>
          <w:rFonts w:ascii="Times New Roman" w:hAnsi="Times New Roman" w:cs="Times New Roman"/>
          <w:sz w:val="22"/>
        </w:rPr>
        <w:t xml:space="preserve"> was consistent with the known safety profile of </w:t>
      </w:r>
      <w:r w:rsidR="001257CB" w:rsidRPr="00DD1F63">
        <w:rPr>
          <w:rFonts w:ascii="Times New Roman" w:hAnsi="Times New Roman" w:cs="Times New Roman"/>
          <w:sz w:val="22"/>
        </w:rPr>
        <w:t>adalimumab</w:t>
      </w:r>
      <w:r w:rsidRPr="00DD1F63">
        <w:rPr>
          <w:rFonts w:ascii="Times New Roman" w:hAnsi="Times New Roman" w:cs="Times New Roman"/>
          <w:sz w:val="22"/>
        </w:rPr>
        <w:t>.</w:t>
      </w:r>
    </w:p>
    <w:p w14:paraId="5B9E72B6"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68A3968B" w14:textId="6849E3CF" w:rsidR="006B7C8E" w:rsidRPr="00DD1F63" w:rsidRDefault="00CA72FF" w:rsidP="00377A09">
      <w:pPr>
        <w:spacing w:after="0" w:line="240" w:lineRule="auto"/>
        <w:ind w:left="426"/>
        <w:jc w:val="left"/>
        <w:rPr>
          <w:rFonts w:ascii="Times New Roman" w:hAnsi="Times New Roman" w:cs="Times New Roman"/>
          <w:b/>
          <w:i/>
          <w:sz w:val="22"/>
        </w:rPr>
      </w:pPr>
      <w:r w:rsidRPr="00DD1F63">
        <w:rPr>
          <w:rFonts w:ascii="Times New Roman" w:hAnsi="Times New Roman" w:cs="Times New Roman"/>
          <w:i/>
          <w:sz w:val="22"/>
          <w:u w:val="single" w:color="000000"/>
        </w:rPr>
        <w:t>Study V (DE013)</w:t>
      </w:r>
      <w:r w:rsidRPr="00DD1F63">
        <w:rPr>
          <w:rFonts w:ascii="Times New Roman" w:hAnsi="Times New Roman" w:cs="Times New Roman"/>
          <w:b/>
          <w:i/>
          <w:sz w:val="22"/>
        </w:rPr>
        <w:t xml:space="preserve"> </w:t>
      </w:r>
    </w:p>
    <w:p w14:paraId="75B55F8D" w14:textId="77777777" w:rsidR="00E3256E" w:rsidRPr="00DD1F63" w:rsidRDefault="00E3256E" w:rsidP="00377A09">
      <w:pPr>
        <w:spacing w:after="0" w:line="240" w:lineRule="auto"/>
        <w:ind w:left="426"/>
        <w:jc w:val="left"/>
        <w:rPr>
          <w:rFonts w:ascii="Times New Roman" w:hAnsi="Times New Roman" w:cs="Times New Roman"/>
          <w:sz w:val="22"/>
        </w:rPr>
      </w:pPr>
    </w:p>
    <w:p w14:paraId="3A1F04EA" w14:textId="66DA4F6C" w:rsidR="00E3256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profile for patients with rheumatoid arthritis treated with </w:t>
      </w:r>
      <w:r w:rsidR="001257CB" w:rsidRPr="00DD1F63">
        <w:rPr>
          <w:rFonts w:ascii="Times New Roman" w:hAnsi="Times New Roman" w:cs="Times New Roman"/>
          <w:sz w:val="22"/>
        </w:rPr>
        <w:t>adalimumab</w:t>
      </w:r>
      <w:r w:rsidRPr="00DD1F63">
        <w:rPr>
          <w:rFonts w:ascii="Times New Roman" w:hAnsi="Times New Roman" w:cs="Times New Roman"/>
          <w:sz w:val="22"/>
        </w:rPr>
        <w:t xml:space="preserve"> for up to 10 years was consistent with the known safety profile of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 The following adverse events were observed in the study: RA (worsening of RA) in 32.6% patients (corresponding to 13.2 events per 100 patient years), arthralgia in 19.5% (5.9 E/100 PY), bronchitis in 16.2% (5.4 E/100 PY), diarrhoea in 15.1% (4.0 E/100 PY), fatigue in 14.1% (3.1 E/100 PY), pain in extremity in 10.6% (2.5 E/100 PY), osteoarthritis in 10.5% (3.1 E/100 PY), dizziness in 9.8% (2.4 E/100 PY), contusion in 7.3% (1.6 E/100 PY), fall in 6.7% (1.6 E/100 PY), cataract in 6% (1.5 E/100 PY), and tendonitis in 6% (1.5 E/100 PY). These events were not considered adverse drug reactions in that they were not observed in a statistically significantly higher percentage of patients in the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group than in the control (methotrexate) group.</w:t>
      </w:r>
    </w:p>
    <w:p w14:paraId="66D337F2" w14:textId="4A1F9EE1"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50163CDE" w14:textId="530C636B" w:rsidR="006B7C8E" w:rsidRPr="00DD1F63" w:rsidRDefault="00CA72FF"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Description of selected adverse reactions</w:t>
      </w:r>
      <w:r w:rsidRPr="00DD1F63">
        <w:rPr>
          <w:rFonts w:ascii="Times New Roman" w:hAnsi="Times New Roman" w:cs="Times New Roman"/>
          <w:sz w:val="22"/>
        </w:rPr>
        <w:t xml:space="preserve"> </w:t>
      </w:r>
    </w:p>
    <w:p w14:paraId="1D4ED49E" w14:textId="77777777" w:rsidR="00E3256E" w:rsidRPr="00DD1F63" w:rsidRDefault="00E3256E" w:rsidP="00377A09">
      <w:pPr>
        <w:spacing w:after="0" w:line="240" w:lineRule="auto"/>
        <w:ind w:left="426"/>
        <w:jc w:val="left"/>
        <w:rPr>
          <w:rFonts w:ascii="Times New Roman" w:hAnsi="Times New Roman" w:cs="Times New Roman"/>
          <w:sz w:val="22"/>
        </w:rPr>
      </w:pPr>
    </w:p>
    <w:p w14:paraId="0029F774" w14:textId="24CF1E01"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Injection </w:t>
      </w:r>
      <w:r w:rsidR="00BF35CD" w:rsidRPr="00DD1F63">
        <w:rPr>
          <w:rFonts w:ascii="Times New Roman" w:hAnsi="Times New Roman" w:cs="Times New Roman"/>
          <w:i/>
          <w:iCs/>
        </w:rPr>
        <w:t>s</w:t>
      </w:r>
      <w:r w:rsidRPr="00DD1F63">
        <w:rPr>
          <w:rFonts w:ascii="Times New Roman" w:hAnsi="Times New Roman" w:cs="Times New Roman"/>
          <w:i/>
          <w:iCs/>
        </w:rPr>
        <w:t xml:space="preserve">ite </w:t>
      </w:r>
      <w:r w:rsidR="00BF35CD" w:rsidRPr="00DD1F63">
        <w:rPr>
          <w:rFonts w:ascii="Times New Roman" w:hAnsi="Times New Roman" w:cs="Times New Roman"/>
          <w:i/>
          <w:iCs/>
        </w:rPr>
        <w:t>r</w:t>
      </w:r>
      <w:r w:rsidRPr="00DD1F63">
        <w:rPr>
          <w:rFonts w:ascii="Times New Roman" w:hAnsi="Times New Roman" w:cs="Times New Roman"/>
          <w:i/>
          <w:iCs/>
        </w:rPr>
        <w:t>eactions</w:t>
      </w:r>
      <w:r w:rsidRPr="00DD1F63">
        <w:rPr>
          <w:rFonts w:ascii="Times New Roman" w:hAnsi="Times New Roman" w:cs="Times New Roman"/>
          <w:i/>
          <w:iCs/>
          <w:u w:val="none"/>
        </w:rPr>
        <w:t xml:space="preserve"> </w:t>
      </w:r>
    </w:p>
    <w:p w14:paraId="418EBA35" w14:textId="77777777" w:rsidR="00E3256E" w:rsidRPr="00DD1F63" w:rsidRDefault="00E3256E" w:rsidP="00377A09">
      <w:pPr>
        <w:spacing w:after="0" w:line="240" w:lineRule="auto"/>
        <w:ind w:left="426" w:hanging="11"/>
        <w:jc w:val="left"/>
        <w:rPr>
          <w:sz w:val="22"/>
        </w:rPr>
      </w:pPr>
    </w:p>
    <w:p w14:paraId="6506D8B5" w14:textId="38BED60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pivotal controlled trials in adults and children, 12.9% of patients treated with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 developed injection site reactions (erythema and/or itching, haemorrhage, pain or swelling), compared to 7.3% of patients receiving control treatments. Most injection site reactions were described as mild and generally did not necessitate drug discontinuation. </w:t>
      </w:r>
    </w:p>
    <w:p w14:paraId="6E527889"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52B4811B" w14:textId="640C38DD" w:rsidR="006B7C8E" w:rsidRPr="00DD1F63" w:rsidRDefault="00CA72FF" w:rsidP="00377A09">
      <w:pPr>
        <w:pStyle w:val="Heading3"/>
        <w:keepLines w:val="0"/>
        <w:spacing w:after="0" w:line="240" w:lineRule="auto"/>
        <w:ind w:left="426"/>
        <w:rPr>
          <w:rFonts w:ascii="Times New Roman" w:hAnsi="Times New Roman" w:cs="Times New Roman"/>
          <w:i/>
          <w:iCs/>
          <w:u w:val="none"/>
        </w:rPr>
      </w:pPr>
      <w:r w:rsidRPr="00DD1F63">
        <w:rPr>
          <w:rFonts w:ascii="Times New Roman" w:hAnsi="Times New Roman" w:cs="Times New Roman"/>
          <w:i/>
          <w:iCs/>
        </w:rPr>
        <w:lastRenderedPageBreak/>
        <w:t>Infections</w:t>
      </w:r>
      <w:r w:rsidRPr="00DD1F63">
        <w:rPr>
          <w:rFonts w:ascii="Times New Roman" w:hAnsi="Times New Roman" w:cs="Times New Roman"/>
          <w:i/>
          <w:iCs/>
          <w:u w:val="none"/>
        </w:rPr>
        <w:t xml:space="preserve"> </w:t>
      </w:r>
    </w:p>
    <w:p w14:paraId="43EE50E0" w14:textId="77777777" w:rsidR="00E3256E" w:rsidRPr="00DD1F63" w:rsidRDefault="00E3256E" w:rsidP="00377A09">
      <w:pPr>
        <w:keepNext/>
        <w:spacing w:after="0" w:line="240" w:lineRule="auto"/>
        <w:ind w:left="425" w:hanging="11"/>
        <w:jc w:val="left"/>
        <w:rPr>
          <w:rFonts w:ascii="Times New Roman" w:hAnsi="Times New Roman" w:cs="Times New Roman"/>
          <w:sz w:val="22"/>
        </w:rPr>
      </w:pPr>
    </w:p>
    <w:p w14:paraId="71C9B981" w14:textId="6B977372"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pivotal controlled trials in adults and children, the rate of infection was 1.51 per patient year in the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1.46 per patient year in the control treated patients. The infections consisted primarily of nasopharyngitis, upper respiratory tract infections and sinusitis. Most patients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 after the infection resolved. The incidence of serious infections was 0.04 per patient year in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0.03 per patient year in control treated patients. </w:t>
      </w:r>
    </w:p>
    <w:p w14:paraId="62DE7BC1"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C3E788D" w14:textId="010681E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controlled and open label adult and paediatric studies with </w:t>
      </w:r>
      <w:r w:rsidR="00BF35CD" w:rsidRPr="00DD1F63">
        <w:rPr>
          <w:rFonts w:ascii="Times New Roman" w:hAnsi="Times New Roman" w:cs="Times New Roman"/>
          <w:sz w:val="22"/>
        </w:rPr>
        <w:t>adalimumab</w:t>
      </w:r>
      <w:r w:rsidRPr="00DD1F63">
        <w:rPr>
          <w:rFonts w:ascii="Times New Roman" w:hAnsi="Times New Roman" w:cs="Times New Roman"/>
          <w:sz w:val="22"/>
        </w:rPr>
        <w:t>, serious infections (including fatal infections, which occurred rarely) have been reported, which include reports of tuberculosis (including miliary and extrapulmonary locations) and invasive opportunistic infections (</w:t>
      </w:r>
      <w:proofErr w:type="gramStart"/>
      <w:r w:rsidRPr="00DD1F63">
        <w:rPr>
          <w:rFonts w:ascii="Times New Roman" w:hAnsi="Times New Roman" w:cs="Times New Roman"/>
          <w:sz w:val="22"/>
        </w:rPr>
        <w:t>e.g.</w:t>
      </w:r>
      <w:proofErr w:type="gramEnd"/>
      <w:r w:rsidRPr="00DD1F63">
        <w:rPr>
          <w:rFonts w:ascii="Times New Roman" w:hAnsi="Times New Roman" w:cs="Times New Roman"/>
          <w:sz w:val="22"/>
        </w:rPr>
        <w:t xml:space="preserve"> disseminated histoplasmosis, pneumocystis carinii pneumonia, aspergillosis and listeriosis). Most, but not </w:t>
      </w:r>
      <w:proofErr w:type="gramStart"/>
      <w:r w:rsidRPr="00DD1F63">
        <w:rPr>
          <w:rFonts w:ascii="Times New Roman" w:hAnsi="Times New Roman" w:cs="Times New Roman"/>
          <w:sz w:val="22"/>
        </w:rPr>
        <w:t>all of</w:t>
      </w:r>
      <w:proofErr w:type="gramEnd"/>
      <w:r w:rsidRPr="00DD1F63">
        <w:rPr>
          <w:rFonts w:ascii="Times New Roman" w:hAnsi="Times New Roman" w:cs="Times New Roman"/>
          <w:sz w:val="22"/>
        </w:rPr>
        <w:t xml:space="preserve"> the cases of tuberculosis occurred within the first eight months after initiation of therapy and may reflect recrudescence of latent disease. </w:t>
      </w:r>
    </w:p>
    <w:p w14:paraId="53B938E8"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53A3801B" w14:textId="03C8EE42"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Malignancies</w:t>
      </w:r>
      <w:r w:rsidRPr="00DD1F63">
        <w:rPr>
          <w:rFonts w:ascii="Times New Roman" w:hAnsi="Times New Roman" w:cs="Times New Roman"/>
          <w:i/>
          <w:iCs/>
          <w:u w:val="none"/>
        </w:rPr>
        <w:t xml:space="preserve"> </w:t>
      </w:r>
    </w:p>
    <w:p w14:paraId="4E690283" w14:textId="77777777" w:rsidR="00E3256E" w:rsidRPr="00DD1F63" w:rsidRDefault="00E3256E" w:rsidP="00377A09">
      <w:pPr>
        <w:spacing w:after="0" w:line="240" w:lineRule="auto"/>
        <w:ind w:left="426" w:hanging="11"/>
        <w:jc w:val="left"/>
        <w:rPr>
          <w:sz w:val="22"/>
        </w:rPr>
      </w:pPr>
    </w:p>
    <w:p w14:paraId="35CF0BE5" w14:textId="091F5529" w:rsidR="00E3256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During the </w:t>
      </w:r>
      <w:r w:rsidRPr="00DD1F63">
        <w:rPr>
          <w:rFonts w:ascii="Times New Roman" w:hAnsi="Times New Roman" w:cs="Times New Roman"/>
          <w:sz w:val="22"/>
          <w:u w:val="single" w:color="000000"/>
        </w:rPr>
        <w:t xml:space="preserve">controlled portions of pivotal </w:t>
      </w:r>
      <w:r w:rsidR="00E963EC" w:rsidRPr="00DD1F63">
        <w:rPr>
          <w:rFonts w:ascii="Times New Roman" w:hAnsi="Times New Roman" w:cs="Times New Roman"/>
          <w:sz w:val="22"/>
        </w:rPr>
        <w:t>adalimumab</w:t>
      </w:r>
      <w:r w:rsidRPr="00DD1F63">
        <w:rPr>
          <w:rFonts w:ascii="Times New Roman" w:hAnsi="Times New Roman" w:cs="Times New Roman"/>
          <w:sz w:val="22"/>
          <w:u w:val="single" w:color="000000"/>
        </w:rPr>
        <w:t xml:space="preserve"> trials</w:t>
      </w:r>
      <w:r w:rsidRPr="00DD1F63">
        <w:rPr>
          <w:rFonts w:ascii="Times New Roman" w:hAnsi="Times New Roman" w:cs="Times New Roman"/>
          <w:sz w:val="22"/>
        </w:rPr>
        <w:t xml:space="preserve"> in adults at least 12 weeks in duration in patients with moderately to severely active rheumatoid arthritis, psoriatic arthritis, ankylosing spondylitis, </w:t>
      </w:r>
      <w:r w:rsidR="00584342" w:rsidRPr="00DD1F63">
        <w:rPr>
          <w:rFonts w:ascii="Times New Roman" w:hAnsi="Times New Roman" w:cs="Times New Roman"/>
          <w:sz w:val="22"/>
        </w:rPr>
        <w:t xml:space="preserve">Crohn’s disease, ulcerative colitis, </w:t>
      </w:r>
      <w:r w:rsidRPr="00DD1F63">
        <w:rPr>
          <w:rFonts w:ascii="Times New Roman" w:hAnsi="Times New Roman" w:cs="Times New Roman"/>
          <w:sz w:val="22"/>
        </w:rPr>
        <w:t xml:space="preserve">psoriasis, hidradenitis suppurativa and uveitis malignancies, other than lymphoma and non-melanoma skin cancer, were observed at a rate (95% confidence interval) of 6.9 (4.4, 10.6) per 1000 patients years among 5196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-treated patients versus a rate of 6.4 (3.5, 11.9) per 1000 patient years among 3347 control patients (median duration of treatment was 4.0 months for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and 3.9 months for control-treated patients).</w:t>
      </w:r>
    </w:p>
    <w:p w14:paraId="522F2E19" w14:textId="38F3CA5D" w:rsidR="006B7C8E" w:rsidRPr="00DD1F63" w:rsidRDefault="006B7C8E" w:rsidP="00377A09">
      <w:pPr>
        <w:spacing w:after="0" w:line="240" w:lineRule="auto"/>
        <w:ind w:left="426" w:right="375"/>
        <w:jc w:val="left"/>
        <w:rPr>
          <w:rFonts w:ascii="Times New Roman" w:hAnsi="Times New Roman" w:cs="Times New Roman"/>
          <w:sz w:val="22"/>
        </w:rPr>
      </w:pPr>
    </w:p>
    <w:p w14:paraId="1615F668" w14:textId="54F7052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rate (95% confidence interval) of non-melanoma (basal cell and squamous cell) skin cancers was 8.9 (6.1, 13.1) per 1000 patient years among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3.2 (1.3, 7.7) per 1000 patient years among control patients. Of these skin cancers, squamous cell carcinomas occurred at rates (95% confidence interval) of 2.7 (1.4, 5.5) per 1000 patient years among </w:t>
      </w:r>
      <w:r w:rsidR="00635C2E" w:rsidRPr="00DD1F63">
        <w:rPr>
          <w:rFonts w:ascii="Times New Roman" w:hAnsi="Times New Roman" w:cs="Times New Roman"/>
          <w:sz w:val="22"/>
        </w:rPr>
        <w:t>adalimumab</w:t>
      </w:r>
      <w:r w:rsidRPr="00DD1F63">
        <w:rPr>
          <w:rFonts w:ascii="Times New Roman" w:hAnsi="Times New Roman" w:cs="Times New Roman"/>
          <w:sz w:val="22"/>
        </w:rPr>
        <w:t>-treated patients and 0.6 (0.1, 4.6)</w:t>
      </w:r>
      <w:r w:rsidRPr="00DD1F63">
        <w:rPr>
          <w:rFonts w:ascii="Times New Roman" w:hAnsi="Times New Roman" w:cs="Times New Roman"/>
          <w:b/>
          <w:sz w:val="22"/>
        </w:rPr>
        <w:t xml:space="preserve"> </w:t>
      </w:r>
      <w:r w:rsidRPr="00DD1F63">
        <w:rPr>
          <w:rFonts w:ascii="Times New Roman" w:hAnsi="Times New Roman" w:cs="Times New Roman"/>
          <w:sz w:val="22"/>
        </w:rPr>
        <w:t xml:space="preserve">per 1000 patient years among control patients. </w:t>
      </w:r>
    </w:p>
    <w:p w14:paraId="4B162885"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639ABBA3" w14:textId="238E8BF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rate (95% confidence interval) of lymphomas was 0.7 (0.2, 2.7) per 1000 patient years among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0.6 (0.1, 4.6) per 1000 patient years among control patients. </w:t>
      </w:r>
    </w:p>
    <w:p w14:paraId="794B9AB6"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421D3D79" w14:textId="647B38B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When combining controlled portions of these trials and ongoing open label extension studies with a median duration of approximately 3.3 years including 6279 patients and over 26045 patient years of therapy, the observed rate of malignancies, other than lymphoma and non-melanoma skin cancers is approximately 8.6 per 1000 patient years. The observed rate of non-melanoma skin cancers is approximately 9.8 per 1000 patient years and the observed rate of lymphomas is approximately 1.3 per 1000 patient years. </w:t>
      </w:r>
    </w:p>
    <w:p w14:paraId="663AD2D0"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76CC1BF4" w14:textId="2E9BEC1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No malignancies were observed in 217 paediatric patients with an exposure of 610.4 patient years during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trials in patients with juvenile idiopathic arthritis (polyarticular juvenile idiopathic arthritis 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w:t>
      </w:r>
    </w:p>
    <w:p w14:paraId="0F59470C" w14:textId="67879DCB" w:rsidR="006B7C8E" w:rsidRPr="00DD1F63" w:rsidRDefault="006B7C8E" w:rsidP="00377A09">
      <w:pPr>
        <w:spacing w:after="0" w:line="240" w:lineRule="auto"/>
        <w:ind w:left="426" w:right="375" w:firstLine="0"/>
        <w:jc w:val="left"/>
        <w:rPr>
          <w:rFonts w:ascii="Times New Roman" w:hAnsi="Times New Roman" w:cs="Times New Roman"/>
          <w:sz w:val="22"/>
        </w:rPr>
      </w:pPr>
    </w:p>
    <w:p w14:paraId="13A222DD" w14:textId="11BD228B" w:rsidR="00584342" w:rsidRPr="00DD1F63" w:rsidRDefault="00584342" w:rsidP="00377A09">
      <w:pPr>
        <w:spacing w:after="0" w:line="240" w:lineRule="auto"/>
        <w:ind w:left="426" w:right="375" w:firstLine="0"/>
        <w:jc w:val="left"/>
        <w:rPr>
          <w:rFonts w:ascii="Times New Roman" w:hAnsi="Times New Roman" w:cs="Times New Roman"/>
          <w:sz w:val="22"/>
        </w:rPr>
      </w:pPr>
      <w:r w:rsidRPr="00DD1F63">
        <w:rPr>
          <w:rFonts w:ascii="Times New Roman" w:hAnsi="Times New Roman" w:cs="Times New Roman"/>
          <w:sz w:val="22"/>
        </w:rPr>
        <w:t xml:space="preserve">In addition, no malignancies were observed in 192 paediatric patients with an exposure of 258.9 patient years during </w:t>
      </w:r>
      <w:proofErr w:type="gramStart"/>
      <w:r w:rsidRPr="00DD1F63">
        <w:rPr>
          <w:rFonts w:ascii="Times New Roman" w:hAnsi="Times New Roman" w:cs="Times New Roman"/>
          <w:sz w:val="22"/>
        </w:rPr>
        <w:t>a</w:t>
      </w:r>
      <w:proofErr w:type="gramEnd"/>
      <w:r w:rsidRPr="00DD1F63">
        <w:rPr>
          <w:rFonts w:ascii="Times New Roman" w:hAnsi="Times New Roman" w:cs="Times New Roman"/>
          <w:sz w:val="22"/>
        </w:rPr>
        <w:t xml:space="preserve">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trial in paediatric patients with Crohn’s disease. </w:t>
      </w:r>
    </w:p>
    <w:p w14:paraId="58BD67D6" w14:textId="77777777" w:rsidR="00584342" w:rsidRPr="00DD1F63" w:rsidRDefault="00584342" w:rsidP="00377A09">
      <w:pPr>
        <w:spacing w:after="0" w:line="240" w:lineRule="auto"/>
        <w:ind w:left="426" w:right="375" w:firstLine="0"/>
        <w:jc w:val="left"/>
        <w:rPr>
          <w:rFonts w:ascii="Times New Roman" w:hAnsi="Times New Roman" w:cs="Times New Roman"/>
          <w:sz w:val="22"/>
        </w:rPr>
      </w:pPr>
    </w:p>
    <w:p w14:paraId="6F073DF2" w14:textId="7D6BEDC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malignancies were observed in 77 paediatric patients with an exposure of 80.0 patient years during </w:t>
      </w:r>
      <w:r w:rsidR="002C78E9" w:rsidRPr="00DD1F63">
        <w:rPr>
          <w:rFonts w:ascii="Times New Roman" w:hAnsi="Times New Roman" w:cs="Times New Roman"/>
          <w:sz w:val="22"/>
        </w:rPr>
        <w:t>an</w:t>
      </w:r>
      <w:r w:rsidRPr="00DD1F63">
        <w:rPr>
          <w:rFonts w:ascii="Times New Roman" w:hAnsi="Times New Roman" w:cs="Times New Roman"/>
          <w:sz w:val="22"/>
        </w:rPr>
        <w:t xml:space="preserve">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trial in paediatric patients with plaque psoriasis.</w:t>
      </w:r>
    </w:p>
    <w:p w14:paraId="6407CAF3"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03E05BA9" w14:textId="4CBCBDEF"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post marketing experience from January 2003 to December 2010, predominantly in patients with rheumatoid arthritis, the reported rate of malignancies is approximately 2.7 per 1000 patient years. The reported rates for non-melanoma skins cancers and lymphomas </w:t>
      </w:r>
      <w:proofErr w:type="gramStart"/>
      <w:r w:rsidRPr="00DD1F63">
        <w:rPr>
          <w:rFonts w:ascii="Times New Roman" w:hAnsi="Times New Roman" w:cs="Times New Roman"/>
          <w:sz w:val="22"/>
        </w:rPr>
        <w:t>is</w:t>
      </w:r>
      <w:proofErr w:type="gramEnd"/>
      <w:r w:rsidRPr="00DD1F63">
        <w:rPr>
          <w:rFonts w:ascii="Times New Roman" w:hAnsi="Times New Roman" w:cs="Times New Roman"/>
          <w:sz w:val="22"/>
        </w:rPr>
        <w:t xml:space="preserve"> approximately 0.3 per 1000 patient years. </w:t>
      </w:r>
    </w:p>
    <w:p w14:paraId="7FCF650B" w14:textId="77777777" w:rsidR="002C78E9" w:rsidRPr="00DD1F63" w:rsidRDefault="002C78E9" w:rsidP="00377A09">
      <w:pPr>
        <w:spacing w:after="0" w:line="240" w:lineRule="auto"/>
        <w:ind w:left="426" w:right="375"/>
        <w:jc w:val="left"/>
        <w:rPr>
          <w:rFonts w:ascii="Times New Roman" w:hAnsi="Times New Roman" w:cs="Times New Roman"/>
          <w:sz w:val="22"/>
        </w:rPr>
      </w:pPr>
    </w:p>
    <w:p w14:paraId="512927DA" w14:textId="26BBE187" w:rsidR="006B7C8E" w:rsidRPr="00DD1F63" w:rsidRDefault="00CA72FF" w:rsidP="00377A09">
      <w:pPr>
        <w:spacing w:after="0" w:line="240" w:lineRule="auto"/>
        <w:ind w:left="426" w:right="49"/>
        <w:jc w:val="left"/>
        <w:rPr>
          <w:rFonts w:ascii="Times New Roman" w:hAnsi="Times New Roman" w:cs="Times New Roman"/>
          <w:b/>
          <w:sz w:val="22"/>
        </w:rPr>
      </w:pPr>
      <w:r w:rsidRPr="00DD1F63">
        <w:rPr>
          <w:rFonts w:ascii="Times New Roman" w:hAnsi="Times New Roman" w:cs="Times New Roman"/>
          <w:sz w:val="22"/>
        </w:rPr>
        <w:t>Rare post marketing cases of hepatosplenic T-cell lymphoma have been reported in patients treated with adalimumab (s</w:t>
      </w:r>
      <w:r w:rsidR="00635C2E" w:rsidRPr="00DD1F63">
        <w:rPr>
          <w:rFonts w:ascii="Times New Roman" w:hAnsi="Times New Roman" w:cs="Times New Roman"/>
          <w:sz w:val="22"/>
        </w:rPr>
        <w:t xml:space="preserve">ee </w:t>
      </w:r>
      <w:r w:rsidR="002C78E9" w:rsidRPr="00DD1F63">
        <w:rPr>
          <w:rFonts w:ascii="Times New Roman" w:hAnsi="Times New Roman" w:cs="Times New Roman"/>
          <w:sz w:val="22"/>
        </w:rPr>
        <w:t xml:space="preserve">section </w:t>
      </w:r>
      <w:r w:rsidR="00635C2E" w:rsidRPr="00DD1F63">
        <w:rPr>
          <w:rFonts w:ascii="Times New Roman" w:hAnsi="Times New Roman" w:cs="Times New Roman"/>
          <w:sz w:val="22"/>
        </w:rPr>
        <w:t xml:space="preserve">4.4 </w:t>
      </w:r>
      <w:r w:rsidR="002C78E9" w:rsidRPr="00DD1F63">
        <w:rPr>
          <w:rFonts w:ascii="Times New Roman" w:hAnsi="Times New Roman" w:cs="Times New Roman"/>
          <w:sz w:val="22"/>
        </w:rPr>
        <w:t>S</w:t>
      </w:r>
      <w:r w:rsidR="00635C2E" w:rsidRPr="00DD1F63">
        <w:rPr>
          <w:rFonts w:ascii="Times New Roman" w:hAnsi="Times New Roman" w:cs="Times New Roman"/>
          <w:sz w:val="22"/>
        </w:rPr>
        <w:t>pecial warnings and precautions for use</w:t>
      </w:r>
      <w:r w:rsidRPr="00DD1F63">
        <w:rPr>
          <w:rFonts w:ascii="Times New Roman" w:hAnsi="Times New Roman" w:cs="Times New Roman"/>
          <w:bCs/>
          <w:sz w:val="22"/>
        </w:rPr>
        <w:t xml:space="preserve">). </w:t>
      </w:r>
    </w:p>
    <w:p w14:paraId="4E70C5FF"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32EABEA5" w14:textId="5768B7A7"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Autoantibodies</w:t>
      </w:r>
      <w:r w:rsidRPr="00DD1F63">
        <w:rPr>
          <w:rFonts w:ascii="Times New Roman" w:hAnsi="Times New Roman" w:cs="Times New Roman"/>
          <w:i/>
          <w:iCs/>
          <w:u w:val="none"/>
        </w:rPr>
        <w:t xml:space="preserve"> </w:t>
      </w:r>
    </w:p>
    <w:p w14:paraId="675A70B6" w14:textId="77777777" w:rsidR="00E3256E" w:rsidRPr="00DD1F63" w:rsidRDefault="00E3256E" w:rsidP="00377A09">
      <w:pPr>
        <w:spacing w:after="0" w:line="240" w:lineRule="auto"/>
        <w:ind w:left="426" w:hanging="11"/>
        <w:jc w:val="left"/>
        <w:rPr>
          <w:sz w:val="22"/>
        </w:rPr>
      </w:pPr>
    </w:p>
    <w:p w14:paraId="1769119F" w14:textId="4994F98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had serum samples tested for autoantibodies at multiple time points in rheumatoid arthritis studies I – V. In these adequate and well-controlled trials, 11.9% of patients treated with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and 8.1% of placebo and active control treated patients that had negative baseline antinuclear antibody titres reported positive titres at Week 24. Two patients out of 3989 treated with </w:t>
      </w:r>
      <w:r w:rsidR="000209D8" w:rsidRPr="00DD1F63">
        <w:rPr>
          <w:rFonts w:ascii="Times New Roman" w:hAnsi="Times New Roman" w:cs="Times New Roman"/>
          <w:sz w:val="22"/>
        </w:rPr>
        <w:t>adalimumab</w:t>
      </w:r>
      <w:r w:rsidRPr="00DD1F63">
        <w:rPr>
          <w:rFonts w:ascii="Times New Roman" w:hAnsi="Times New Roman" w:cs="Times New Roman"/>
          <w:sz w:val="22"/>
        </w:rPr>
        <w:t xml:space="preserve"> in all rheumatoid and psoriatic arthritis, and ankylosing spondylitis studies developed clinical signs suggestive of new</w:t>
      </w:r>
      <w:r w:rsidR="000209D8" w:rsidRPr="00DD1F63">
        <w:rPr>
          <w:rFonts w:ascii="Times New Roman" w:hAnsi="Times New Roman" w:cs="Times New Roman"/>
          <w:sz w:val="22"/>
        </w:rPr>
        <w:t>-</w:t>
      </w:r>
      <w:r w:rsidRPr="00DD1F63">
        <w:rPr>
          <w:rFonts w:ascii="Times New Roman" w:hAnsi="Times New Roman" w:cs="Times New Roman"/>
          <w:sz w:val="22"/>
        </w:rPr>
        <w:t xml:space="preserve">onset lupus-like syndrome. The patients improved following discontinuation of therapy. No patients developed lupus nephritis or central nervous system symptoms. The impact of long-term treatment with </w:t>
      </w:r>
      <w:r w:rsidR="000209D8" w:rsidRPr="00DD1F63">
        <w:rPr>
          <w:rFonts w:ascii="Times New Roman" w:hAnsi="Times New Roman" w:cs="Times New Roman"/>
          <w:sz w:val="22"/>
        </w:rPr>
        <w:t>adalimumab</w:t>
      </w:r>
      <w:r w:rsidRPr="00DD1F63">
        <w:rPr>
          <w:rFonts w:ascii="Times New Roman" w:hAnsi="Times New Roman" w:cs="Times New Roman"/>
          <w:sz w:val="22"/>
        </w:rPr>
        <w:t xml:space="preserve"> on the development of autoimmune diseases is unknown. </w:t>
      </w:r>
    </w:p>
    <w:p w14:paraId="43EAF64F" w14:textId="77777777" w:rsidR="00E3256E" w:rsidRPr="00DD1F63" w:rsidRDefault="00E3256E" w:rsidP="00377A09">
      <w:pPr>
        <w:spacing w:after="0" w:line="240" w:lineRule="auto"/>
        <w:ind w:left="426" w:right="375"/>
        <w:jc w:val="left"/>
        <w:rPr>
          <w:rFonts w:ascii="Times New Roman" w:hAnsi="Times New Roman" w:cs="Times New Roman"/>
          <w:sz w:val="22"/>
        </w:rPr>
      </w:pPr>
    </w:p>
    <w:p w14:paraId="34D5CB51" w14:textId="27F809F8"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Psoriasis: New onset and Worsening</w:t>
      </w:r>
      <w:r w:rsidRPr="00DD1F63">
        <w:rPr>
          <w:rFonts w:ascii="Times New Roman" w:hAnsi="Times New Roman" w:cs="Times New Roman"/>
          <w:i/>
          <w:iCs/>
          <w:u w:val="none"/>
        </w:rPr>
        <w:t xml:space="preserve"> </w:t>
      </w:r>
    </w:p>
    <w:p w14:paraId="71A33DB1" w14:textId="77777777" w:rsidR="00E3256E" w:rsidRPr="00DD1F63" w:rsidRDefault="00E3256E" w:rsidP="00377A09">
      <w:pPr>
        <w:spacing w:after="0" w:line="240" w:lineRule="auto"/>
        <w:ind w:left="426" w:hanging="11"/>
        <w:jc w:val="left"/>
        <w:rPr>
          <w:sz w:val="22"/>
        </w:rPr>
      </w:pPr>
    </w:p>
    <w:p w14:paraId="2A09CBEC" w14:textId="412C1398" w:rsidR="00E3256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Cases of new onset psoriasis, including pustular psoriasis and palmoplantar psoriasis, and cases of worsening of pre-existing psoriasis have been reported with the use of TNF blockers, including </w:t>
      </w:r>
      <w:r w:rsidR="00C8485A" w:rsidRPr="00DD1F63">
        <w:rPr>
          <w:rFonts w:ascii="Times New Roman" w:hAnsi="Times New Roman" w:cs="Times New Roman"/>
          <w:sz w:val="22"/>
        </w:rPr>
        <w:t>adalimumab</w:t>
      </w:r>
      <w:r w:rsidRPr="00DD1F63">
        <w:rPr>
          <w:rFonts w:ascii="Times New Roman" w:hAnsi="Times New Roman" w:cs="Times New Roman"/>
          <w:sz w:val="22"/>
        </w:rPr>
        <w:t xml:space="preserve">.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w:t>
      </w:r>
      <w:r w:rsidR="00AE3085" w:rsidRPr="00DD1F63">
        <w:rPr>
          <w:rFonts w:ascii="Times New Roman" w:hAnsi="Times New Roman" w:cs="Times New Roman"/>
          <w:sz w:val="22"/>
        </w:rPr>
        <w:t>adalimumab</w:t>
      </w:r>
      <w:r w:rsidRPr="00DD1F63">
        <w:rPr>
          <w:rFonts w:ascii="Times New Roman" w:hAnsi="Times New Roman" w:cs="Times New Roman"/>
          <w:sz w:val="22"/>
        </w:rPr>
        <w:t xml:space="preserve"> should be considered for severe cases and those that do not improve or that worsen despite topical treatments.</w:t>
      </w:r>
    </w:p>
    <w:p w14:paraId="08E5B201" w14:textId="509CCA4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6EEA8017" w14:textId="244BF054"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Liver </w:t>
      </w:r>
      <w:r w:rsidR="00AE3085" w:rsidRPr="00DD1F63">
        <w:rPr>
          <w:rFonts w:ascii="Times New Roman" w:hAnsi="Times New Roman" w:cs="Times New Roman"/>
          <w:i/>
          <w:iCs/>
        </w:rPr>
        <w:t>e</w:t>
      </w:r>
      <w:r w:rsidRPr="00DD1F63">
        <w:rPr>
          <w:rFonts w:ascii="Times New Roman" w:hAnsi="Times New Roman" w:cs="Times New Roman"/>
          <w:i/>
          <w:iCs/>
        </w:rPr>
        <w:t xml:space="preserve">nzyme </w:t>
      </w:r>
      <w:r w:rsidR="00AE3085" w:rsidRPr="00DD1F63">
        <w:rPr>
          <w:rFonts w:ascii="Times New Roman" w:hAnsi="Times New Roman" w:cs="Times New Roman"/>
          <w:i/>
          <w:iCs/>
        </w:rPr>
        <w:t>e</w:t>
      </w:r>
      <w:r w:rsidRPr="00DD1F63">
        <w:rPr>
          <w:rFonts w:ascii="Times New Roman" w:hAnsi="Times New Roman" w:cs="Times New Roman"/>
          <w:i/>
          <w:iCs/>
        </w:rPr>
        <w:t>levations</w:t>
      </w:r>
      <w:r w:rsidRPr="00DD1F63">
        <w:rPr>
          <w:rFonts w:ascii="Times New Roman" w:hAnsi="Times New Roman" w:cs="Times New Roman"/>
          <w:i/>
          <w:iCs/>
          <w:u w:val="none"/>
        </w:rPr>
        <w:t xml:space="preserve"> </w:t>
      </w:r>
    </w:p>
    <w:p w14:paraId="50279336" w14:textId="77777777" w:rsidR="00E3256E" w:rsidRPr="00DD1F63" w:rsidRDefault="00E3256E" w:rsidP="00377A09">
      <w:pPr>
        <w:spacing w:after="0" w:line="240" w:lineRule="auto"/>
        <w:ind w:left="426" w:hanging="11"/>
        <w:jc w:val="left"/>
        <w:rPr>
          <w:sz w:val="22"/>
        </w:rPr>
      </w:pPr>
    </w:p>
    <w:p w14:paraId="15F41D27" w14:textId="0388FC5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rPr>
        <w:t xml:space="preserve">Rheumatoid </w:t>
      </w:r>
      <w:r w:rsidR="00AE3085" w:rsidRPr="00DD1F63">
        <w:rPr>
          <w:rFonts w:ascii="Times New Roman" w:hAnsi="Times New Roman" w:cs="Times New Roman"/>
          <w:i/>
          <w:sz w:val="22"/>
        </w:rPr>
        <w:t>a</w:t>
      </w:r>
      <w:r w:rsidRPr="00DD1F63">
        <w:rPr>
          <w:rFonts w:ascii="Times New Roman" w:hAnsi="Times New Roman" w:cs="Times New Roman"/>
          <w:i/>
          <w:sz w:val="22"/>
        </w:rPr>
        <w:t xml:space="preserve">rthritis and </w:t>
      </w:r>
      <w:r w:rsidR="009D6CA5" w:rsidRPr="00DD1F63">
        <w:rPr>
          <w:rFonts w:ascii="Times New Roman" w:hAnsi="Times New Roman" w:cs="Times New Roman"/>
          <w:i/>
          <w:sz w:val="22"/>
        </w:rPr>
        <w:t>p</w:t>
      </w:r>
      <w:r w:rsidRPr="00DD1F63">
        <w:rPr>
          <w:rFonts w:ascii="Times New Roman" w:hAnsi="Times New Roman" w:cs="Times New Roman"/>
          <w:i/>
          <w:sz w:val="22"/>
        </w:rPr>
        <w:t xml:space="preserve">soriatic </w:t>
      </w:r>
      <w:r w:rsidR="009D6CA5" w:rsidRPr="00DD1F63">
        <w:rPr>
          <w:rFonts w:ascii="Times New Roman" w:hAnsi="Times New Roman" w:cs="Times New Roman"/>
          <w:i/>
          <w:sz w:val="22"/>
        </w:rPr>
        <w:t>a</w:t>
      </w:r>
      <w:r w:rsidRPr="00DD1F63">
        <w:rPr>
          <w:rFonts w:ascii="Times New Roman" w:hAnsi="Times New Roman" w:cs="Times New Roman"/>
          <w:i/>
          <w:sz w:val="22"/>
        </w:rPr>
        <w:t xml:space="preserve">rthritis </w:t>
      </w:r>
      <w:r w:rsidR="009D6CA5" w:rsidRPr="00DD1F63">
        <w:rPr>
          <w:rFonts w:ascii="Times New Roman" w:hAnsi="Times New Roman" w:cs="Times New Roman"/>
          <w:i/>
          <w:sz w:val="22"/>
        </w:rPr>
        <w:t>c</w:t>
      </w:r>
      <w:r w:rsidRPr="00DD1F63">
        <w:rPr>
          <w:rFonts w:ascii="Times New Roman" w:hAnsi="Times New Roman" w:cs="Times New Roman"/>
          <w:i/>
          <w:sz w:val="22"/>
        </w:rPr>
        <w:t xml:space="preserve">linical </w:t>
      </w:r>
      <w:r w:rsidR="009D6CA5" w:rsidRPr="00DD1F63">
        <w:rPr>
          <w:rFonts w:ascii="Times New Roman" w:hAnsi="Times New Roman" w:cs="Times New Roman"/>
          <w:i/>
          <w:sz w:val="22"/>
        </w:rPr>
        <w:t>t</w:t>
      </w:r>
      <w:r w:rsidRPr="00DD1F63">
        <w:rPr>
          <w:rFonts w:ascii="Times New Roman" w:hAnsi="Times New Roman" w:cs="Times New Roman"/>
          <w:i/>
          <w:sz w:val="22"/>
        </w:rPr>
        <w:t>rials:</w:t>
      </w:r>
      <w:r w:rsidRPr="00DD1F63">
        <w:rPr>
          <w:rFonts w:ascii="Times New Roman" w:hAnsi="Times New Roman" w:cs="Times New Roman"/>
          <w:sz w:val="22"/>
        </w:rPr>
        <w:t xml:space="preserve"> In controlled Phase 3 trials of </w:t>
      </w:r>
      <w:r w:rsidR="009D6CA5" w:rsidRPr="00DD1F63">
        <w:rPr>
          <w:rFonts w:ascii="Times New Roman" w:hAnsi="Times New Roman" w:cs="Times New Roman"/>
          <w:sz w:val="22"/>
        </w:rPr>
        <w:t>adalimumab</w:t>
      </w:r>
      <w:r w:rsidR="004E2296" w:rsidRPr="00DD1F63">
        <w:rPr>
          <w:rFonts w:ascii="Times New Roman" w:hAnsi="Times New Roman" w:cs="Times New Roman"/>
          <w:sz w:val="22"/>
        </w:rPr>
        <w:t xml:space="preserve"> </w:t>
      </w:r>
      <w:r w:rsidRPr="00DD1F63">
        <w:rPr>
          <w:rFonts w:ascii="Times New Roman" w:hAnsi="Times New Roman" w:cs="Times New Roman"/>
          <w:sz w:val="22"/>
        </w:rPr>
        <w:t xml:space="preserve">(40 mg fortnightly), in patients with RA and PsA with a control period duration ranging from 4 to 104 weeks, ALT elevations ≥ 3 x ULN occurred in 3.7% of </w:t>
      </w:r>
      <w:r w:rsidR="009D6CA5"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1.6% of control-treated patients. Since many of the patients in these trials were also taking medications that cause liver enzyme elevations (e.g., NSAIDS, MTX), the relationship between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 xml:space="preserve">and the liver enzyme elevations is not clear. </w:t>
      </w:r>
    </w:p>
    <w:p w14:paraId="7034D266" w14:textId="77777777" w:rsidR="00F80E95" w:rsidRPr="00DD1F63" w:rsidRDefault="00F80E95" w:rsidP="00377A09">
      <w:pPr>
        <w:spacing w:after="0" w:line="240" w:lineRule="auto"/>
        <w:ind w:left="426" w:right="375"/>
        <w:jc w:val="left"/>
        <w:rPr>
          <w:rFonts w:ascii="Times New Roman" w:hAnsi="Times New Roman" w:cs="Times New Roman"/>
          <w:sz w:val="22"/>
        </w:rPr>
      </w:pPr>
    </w:p>
    <w:p w14:paraId="510F1CA9" w14:textId="776165D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rPr>
        <w:t xml:space="preserve">Juvenile </w:t>
      </w:r>
      <w:r w:rsidR="009D6CA5" w:rsidRPr="00DD1F63">
        <w:rPr>
          <w:rFonts w:ascii="Times New Roman" w:hAnsi="Times New Roman" w:cs="Times New Roman"/>
          <w:i/>
          <w:sz w:val="22"/>
        </w:rPr>
        <w:t>i</w:t>
      </w:r>
      <w:r w:rsidRPr="00DD1F63">
        <w:rPr>
          <w:rFonts w:ascii="Times New Roman" w:hAnsi="Times New Roman" w:cs="Times New Roman"/>
          <w:i/>
          <w:sz w:val="22"/>
        </w:rPr>
        <w:t xml:space="preserve">diopathic </w:t>
      </w:r>
      <w:r w:rsidR="009D6CA5" w:rsidRPr="00DD1F63">
        <w:rPr>
          <w:rFonts w:ascii="Times New Roman" w:hAnsi="Times New Roman" w:cs="Times New Roman"/>
          <w:i/>
          <w:sz w:val="22"/>
        </w:rPr>
        <w:t>a</w:t>
      </w:r>
      <w:r w:rsidRPr="00DD1F63">
        <w:rPr>
          <w:rFonts w:ascii="Times New Roman" w:hAnsi="Times New Roman" w:cs="Times New Roman"/>
          <w:i/>
          <w:sz w:val="22"/>
        </w:rPr>
        <w:t xml:space="preserve">rthritis </w:t>
      </w:r>
      <w:r w:rsidR="009D6CA5" w:rsidRPr="00DD1F63">
        <w:rPr>
          <w:rFonts w:ascii="Times New Roman" w:hAnsi="Times New Roman" w:cs="Times New Roman"/>
          <w:i/>
          <w:sz w:val="22"/>
        </w:rPr>
        <w:t>c</w:t>
      </w:r>
      <w:r w:rsidRPr="00DD1F63">
        <w:rPr>
          <w:rFonts w:ascii="Times New Roman" w:hAnsi="Times New Roman" w:cs="Times New Roman"/>
          <w:i/>
          <w:sz w:val="22"/>
        </w:rPr>
        <w:t xml:space="preserve">linical </w:t>
      </w:r>
      <w:r w:rsidR="009D6CA5" w:rsidRPr="00DD1F63">
        <w:rPr>
          <w:rFonts w:ascii="Times New Roman" w:hAnsi="Times New Roman" w:cs="Times New Roman"/>
          <w:i/>
          <w:sz w:val="22"/>
        </w:rPr>
        <w:t>t</w:t>
      </w:r>
      <w:r w:rsidRPr="00DD1F63">
        <w:rPr>
          <w:rFonts w:ascii="Times New Roman" w:hAnsi="Times New Roman" w:cs="Times New Roman"/>
          <w:i/>
          <w:sz w:val="22"/>
        </w:rPr>
        <w:t>rial:</w:t>
      </w:r>
      <w:r w:rsidRPr="00DD1F63">
        <w:rPr>
          <w:rFonts w:ascii="Times New Roman" w:hAnsi="Times New Roman" w:cs="Times New Roman"/>
          <w:sz w:val="22"/>
        </w:rPr>
        <w:t xml:space="preserve"> In a controlled Phase 3 trial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in patients with polyarticular JIA who were 4 to 17 years 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who were 6 to 17 years, ALT elevations ≥ 3 x ULN occurred in 6.1%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1.3% of control-treated patients. Most ALT elevations occurred with concomitant methotrexate use. No ALT elevations ≥ 3 x ULN occurred in the Phase 3 trial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in patients with polyarticular JIA who were 2 to &lt; 4 years or aged 4 years and above weighing &lt;15 kg. </w:t>
      </w:r>
    </w:p>
    <w:p w14:paraId="6D4EA160" w14:textId="77777777" w:rsidR="00F80E95" w:rsidRPr="00DD1F63" w:rsidRDefault="00F80E95" w:rsidP="00377A09">
      <w:pPr>
        <w:spacing w:after="0" w:line="240" w:lineRule="auto"/>
        <w:ind w:left="426" w:right="375"/>
        <w:jc w:val="left"/>
        <w:rPr>
          <w:rFonts w:ascii="Times New Roman" w:hAnsi="Times New Roman" w:cs="Times New Roman"/>
          <w:sz w:val="22"/>
        </w:rPr>
      </w:pPr>
    </w:p>
    <w:p w14:paraId="4BCB61C6" w14:textId="4F7E50A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u w:color="000000"/>
        </w:rPr>
        <w:t xml:space="preserve">Ankylosing </w:t>
      </w:r>
      <w:r w:rsidR="00222598" w:rsidRPr="00DD1F63">
        <w:rPr>
          <w:rFonts w:ascii="Times New Roman" w:hAnsi="Times New Roman" w:cs="Times New Roman"/>
          <w:i/>
          <w:sz w:val="22"/>
          <w:u w:color="000000"/>
        </w:rPr>
        <w:t>s</w:t>
      </w:r>
      <w:r w:rsidRPr="00DD1F63">
        <w:rPr>
          <w:rFonts w:ascii="Times New Roman" w:hAnsi="Times New Roman" w:cs="Times New Roman"/>
          <w:i/>
          <w:sz w:val="22"/>
          <w:u w:color="000000"/>
        </w:rPr>
        <w:t xml:space="preserve">pondylitis </w:t>
      </w:r>
      <w:r w:rsidR="00222598"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222598" w:rsidRPr="00DD1F63">
        <w:rPr>
          <w:rFonts w:ascii="Times New Roman" w:hAnsi="Times New Roman" w:cs="Times New Roman"/>
          <w:i/>
          <w:sz w:val="22"/>
          <w:u w:color="000000"/>
        </w:rPr>
        <w:t>t</w:t>
      </w:r>
      <w:r w:rsidRPr="00DD1F63">
        <w:rPr>
          <w:rFonts w:ascii="Times New Roman" w:hAnsi="Times New Roman" w:cs="Times New Roman"/>
          <w:i/>
          <w:sz w:val="22"/>
          <w:u w:color="000000"/>
        </w:rPr>
        <w:t>rials:</w:t>
      </w:r>
      <w:r w:rsidRPr="00DD1F63">
        <w:rPr>
          <w:rFonts w:ascii="Times New Roman" w:hAnsi="Times New Roman" w:cs="Times New Roman"/>
          <w:sz w:val="22"/>
        </w:rPr>
        <w:t xml:space="preserve"> In controlled Phase 3 trials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(40 mg fortnightly), in patients with ankylosing spondylitis with a control period of 12 to 24 weeks, ALT elevations ≥ 3 x ULN occurred in 2.44% of </w:t>
      </w:r>
      <w:r w:rsidR="007269A2"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0.66% of control-treated patients. </w:t>
      </w:r>
    </w:p>
    <w:p w14:paraId="0384CEA2" w14:textId="77777777" w:rsidR="00F80E95" w:rsidRPr="00DD1F63" w:rsidRDefault="00F80E95" w:rsidP="00377A09">
      <w:pPr>
        <w:spacing w:after="0" w:line="240" w:lineRule="auto"/>
        <w:ind w:left="426" w:right="375"/>
        <w:jc w:val="left"/>
        <w:rPr>
          <w:rFonts w:ascii="Times New Roman" w:hAnsi="Times New Roman" w:cs="Times New Roman"/>
          <w:sz w:val="22"/>
        </w:rPr>
      </w:pPr>
    </w:p>
    <w:p w14:paraId="77CBE37E" w14:textId="29105E62" w:rsidR="00F80E95"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rPr>
        <w:lastRenderedPageBreak/>
        <w:t xml:space="preserve">Hidradenitis </w:t>
      </w:r>
      <w:r w:rsidR="00222598" w:rsidRPr="00DD1F63">
        <w:rPr>
          <w:rFonts w:ascii="Times New Roman" w:hAnsi="Times New Roman" w:cs="Times New Roman"/>
          <w:i/>
          <w:sz w:val="22"/>
        </w:rPr>
        <w:t>s</w:t>
      </w:r>
      <w:r w:rsidRPr="00DD1F63">
        <w:rPr>
          <w:rFonts w:ascii="Times New Roman" w:hAnsi="Times New Roman" w:cs="Times New Roman"/>
          <w:i/>
          <w:sz w:val="22"/>
        </w:rPr>
        <w:t xml:space="preserve">uppurativa </w:t>
      </w:r>
      <w:r w:rsidR="00222598" w:rsidRPr="00DD1F63">
        <w:rPr>
          <w:rFonts w:ascii="Times New Roman" w:hAnsi="Times New Roman" w:cs="Times New Roman"/>
          <w:i/>
          <w:sz w:val="22"/>
        </w:rPr>
        <w:t>c</w:t>
      </w:r>
      <w:r w:rsidRPr="00DD1F63">
        <w:rPr>
          <w:rFonts w:ascii="Times New Roman" w:hAnsi="Times New Roman" w:cs="Times New Roman"/>
          <w:i/>
          <w:sz w:val="22"/>
        </w:rPr>
        <w:t xml:space="preserve">linical </w:t>
      </w:r>
      <w:r w:rsidR="00222598" w:rsidRPr="00DD1F63">
        <w:rPr>
          <w:rFonts w:ascii="Times New Roman" w:hAnsi="Times New Roman" w:cs="Times New Roman"/>
          <w:i/>
          <w:sz w:val="22"/>
        </w:rPr>
        <w:t>t</w:t>
      </w:r>
      <w:r w:rsidRPr="00DD1F63">
        <w:rPr>
          <w:rFonts w:ascii="Times New Roman" w:hAnsi="Times New Roman" w:cs="Times New Roman"/>
          <w:i/>
          <w:sz w:val="22"/>
        </w:rPr>
        <w:t>rials:</w:t>
      </w:r>
      <w:r w:rsidRPr="00DD1F63">
        <w:rPr>
          <w:rFonts w:ascii="Times New Roman" w:hAnsi="Times New Roman" w:cs="Times New Roman"/>
          <w:sz w:val="22"/>
        </w:rPr>
        <w:t xml:space="preserve"> In controlled trials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(initial doses of 160 mg at Week 0 and 80 mg at Week 2, followed by 40 mg every week starting at Week 4), in patients with hidradenitis suppurativa with a control period duration ranging from 12 to 16 weeks, ALT elevations ≥ 3 x ULN occurred in 0.3% of </w:t>
      </w:r>
      <w:r w:rsidR="007269A2"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0.6% of control-treated patients. </w:t>
      </w:r>
    </w:p>
    <w:p w14:paraId="16DDA81F" w14:textId="08E00830" w:rsidR="00FE7BC7" w:rsidRPr="00DD1F63" w:rsidRDefault="00FE7BC7" w:rsidP="00377A09">
      <w:pPr>
        <w:spacing w:after="0" w:line="240" w:lineRule="auto"/>
        <w:ind w:left="426" w:right="375"/>
        <w:jc w:val="left"/>
        <w:rPr>
          <w:rFonts w:ascii="Times New Roman" w:hAnsi="Times New Roman" w:cs="Times New Roman"/>
          <w:b/>
          <w:sz w:val="22"/>
        </w:rPr>
      </w:pPr>
    </w:p>
    <w:p w14:paraId="15A6D7C8" w14:textId="7A1FA91A" w:rsidR="00584342" w:rsidRPr="00DD1F63" w:rsidRDefault="00584342" w:rsidP="00377A09">
      <w:pPr>
        <w:spacing w:after="0" w:line="240" w:lineRule="auto"/>
        <w:ind w:left="426" w:right="375"/>
        <w:jc w:val="left"/>
        <w:rPr>
          <w:rFonts w:ascii="Times New Roman" w:hAnsi="Times New Roman" w:cs="Times New Roman"/>
          <w:bCs/>
          <w:spacing w:val="2"/>
          <w:sz w:val="22"/>
        </w:rPr>
      </w:pPr>
      <w:r w:rsidRPr="00DD1F63">
        <w:rPr>
          <w:rFonts w:ascii="Times New Roman" w:hAnsi="Times New Roman" w:cs="Times New Roman"/>
          <w:bCs/>
          <w:i/>
          <w:iCs/>
          <w:spacing w:val="2"/>
          <w:sz w:val="22"/>
        </w:rPr>
        <w:t xml:space="preserve">Crohn’s Disease Clinical Trials: </w:t>
      </w:r>
      <w:r w:rsidRPr="00DD1F63">
        <w:rPr>
          <w:rFonts w:ascii="Times New Roman" w:hAnsi="Times New Roman" w:cs="Times New Roman"/>
          <w:bCs/>
          <w:spacing w:val="2"/>
          <w:sz w:val="22"/>
        </w:rPr>
        <w:t xml:space="preserve">In controlled Phase 3 trials of </w:t>
      </w:r>
      <w:r w:rsidR="00910E5C" w:rsidRPr="00DD1F63">
        <w:rPr>
          <w:rFonts w:ascii="Times New Roman" w:hAnsi="Times New Roman" w:cs="Times New Roman"/>
          <w:spacing w:val="2"/>
          <w:sz w:val="22"/>
        </w:rPr>
        <w:t xml:space="preserve">adalimumab </w:t>
      </w:r>
      <w:r w:rsidRPr="00DD1F63">
        <w:rPr>
          <w:rFonts w:ascii="Times New Roman" w:hAnsi="Times New Roman" w:cs="Times New Roman"/>
          <w:bCs/>
          <w:spacing w:val="2"/>
          <w:sz w:val="22"/>
        </w:rPr>
        <w:t xml:space="preserve">(initial doses of 160 mg and 80 mg, or 80 mg and 40 mg on Days 1 and 15, respectively, followed by 40 mg fortnightly), in patients with Crohn’s disease with a control period duration ranging from 4 to 52 weeks, ALT elevations ≥ 3 x ULN occurred in 0.9% of </w:t>
      </w:r>
      <w:r w:rsidR="00910E5C" w:rsidRPr="00DD1F63">
        <w:rPr>
          <w:rFonts w:ascii="Times New Roman" w:hAnsi="Times New Roman" w:cs="Times New Roman"/>
          <w:spacing w:val="2"/>
          <w:sz w:val="22"/>
        </w:rPr>
        <w:t>adalimumab</w:t>
      </w:r>
      <w:r w:rsidRPr="00DD1F63">
        <w:rPr>
          <w:rFonts w:ascii="Times New Roman" w:hAnsi="Times New Roman" w:cs="Times New Roman"/>
          <w:bCs/>
          <w:spacing w:val="2"/>
          <w:sz w:val="22"/>
        </w:rPr>
        <w:t>-treated patients and 0.9% of control-treated patients.</w:t>
      </w:r>
    </w:p>
    <w:p w14:paraId="62A70186" w14:textId="5C55193D" w:rsidR="00584342" w:rsidRPr="00DD1F63" w:rsidRDefault="00584342" w:rsidP="00377A09">
      <w:pPr>
        <w:spacing w:after="0" w:line="240" w:lineRule="auto"/>
        <w:ind w:left="426" w:right="375"/>
        <w:jc w:val="left"/>
        <w:rPr>
          <w:rFonts w:ascii="Times New Roman" w:hAnsi="Times New Roman" w:cs="Times New Roman"/>
          <w:bCs/>
          <w:sz w:val="22"/>
        </w:rPr>
      </w:pPr>
    </w:p>
    <w:p w14:paraId="47B6261B" w14:textId="44D96726" w:rsidR="00584342" w:rsidRPr="00DD1F63" w:rsidRDefault="00584342" w:rsidP="00377A09">
      <w:pPr>
        <w:spacing w:after="0" w:line="240" w:lineRule="auto"/>
        <w:ind w:left="426" w:right="375"/>
        <w:jc w:val="left"/>
        <w:rPr>
          <w:rFonts w:ascii="Times New Roman" w:hAnsi="Times New Roman" w:cs="Times New Roman"/>
          <w:bCs/>
          <w:sz w:val="22"/>
        </w:rPr>
      </w:pPr>
      <w:r w:rsidRPr="00DD1F63">
        <w:rPr>
          <w:rFonts w:ascii="Times New Roman" w:hAnsi="Times New Roman" w:cs="Times New Roman"/>
          <w:bCs/>
          <w:i/>
          <w:iCs/>
          <w:sz w:val="22"/>
        </w:rPr>
        <w:t xml:space="preserve">Paediatric Crohn’s Disease Clinical Trial: </w:t>
      </w:r>
      <w:r w:rsidRPr="00DD1F63">
        <w:rPr>
          <w:rFonts w:ascii="Times New Roman" w:hAnsi="Times New Roman" w:cs="Times New Roman"/>
          <w:bCs/>
          <w:sz w:val="22"/>
        </w:rPr>
        <w:t xml:space="preserve">In the Phase 3 trial of </w:t>
      </w:r>
      <w:r w:rsidR="00910E5C" w:rsidRPr="00DD1F63">
        <w:rPr>
          <w:rFonts w:ascii="Times New Roman" w:hAnsi="Times New Roman" w:cs="Times New Roman"/>
          <w:sz w:val="22"/>
        </w:rPr>
        <w:t xml:space="preserve">adalimumab </w:t>
      </w:r>
      <w:r w:rsidRPr="00DD1F63">
        <w:rPr>
          <w:rFonts w:ascii="Times New Roman" w:hAnsi="Times New Roman" w:cs="Times New Roman"/>
          <w:bCs/>
          <w:sz w:val="22"/>
        </w:rPr>
        <w:t>in patients with paediatric Crohn’s disease which evaluated efficacy and safety of two body weight adjusted maintenance dose regimens following body weight adjusted induction therapy up to 52 weeks of treatment, ALT elevations ≥ 3 x ULN occurred in 2.6% (5/192) of patients of whom 4 were receiving concomitant immunosuppressants at baseline.</w:t>
      </w:r>
    </w:p>
    <w:p w14:paraId="6B70347A" w14:textId="33F86E48" w:rsidR="00584342" w:rsidRPr="00DD1F63" w:rsidRDefault="00584342" w:rsidP="00377A09">
      <w:pPr>
        <w:spacing w:after="0" w:line="240" w:lineRule="auto"/>
        <w:ind w:left="426" w:right="375"/>
        <w:jc w:val="left"/>
        <w:rPr>
          <w:rFonts w:ascii="Times New Roman" w:hAnsi="Times New Roman" w:cs="Times New Roman"/>
          <w:bCs/>
          <w:sz w:val="22"/>
        </w:rPr>
      </w:pPr>
    </w:p>
    <w:p w14:paraId="5CAB7DD2" w14:textId="485DDFB5" w:rsidR="00584342" w:rsidRPr="00DD1F63" w:rsidRDefault="00584342" w:rsidP="00377A09">
      <w:pPr>
        <w:spacing w:after="0" w:line="240" w:lineRule="auto"/>
        <w:ind w:left="426" w:right="375"/>
        <w:jc w:val="left"/>
        <w:rPr>
          <w:rFonts w:ascii="Times New Roman" w:hAnsi="Times New Roman" w:cs="Times New Roman"/>
          <w:bCs/>
          <w:sz w:val="22"/>
        </w:rPr>
      </w:pPr>
      <w:r w:rsidRPr="00DD1F63">
        <w:rPr>
          <w:rFonts w:ascii="Times New Roman" w:hAnsi="Times New Roman" w:cs="Times New Roman"/>
          <w:bCs/>
          <w:i/>
          <w:iCs/>
          <w:spacing w:val="2"/>
          <w:sz w:val="22"/>
        </w:rPr>
        <w:t xml:space="preserve">Ulcerative Colitis Clinical Trials: </w:t>
      </w:r>
      <w:r w:rsidRPr="00DD1F63">
        <w:rPr>
          <w:rFonts w:ascii="Times New Roman" w:hAnsi="Times New Roman" w:cs="Times New Roman"/>
          <w:bCs/>
          <w:spacing w:val="2"/>
          <w:sz w:val="22"/>
        </w:rPr>
        <w:t xml:space="preserve">In controlled Phase 3 trials of </w:t>
      </w:r>
      <w:r w:rsidR="00910E5C" w:rsidRPr="00DD1F63">
        <w:rPr>
          <w:rFonts w:ascii="Times New Roman" w:hAnsi="Times New Roman" w:cs="Times New Roman"/>
          <w:spacing w:val="2"/>
          <w:sz w:val="22"/>
        </w:rPr>
        <w:t xml:space="preserve">adalimumab </w:t>
      </w:r>
      <w:r w:rsidRPr="00DD1F63">
        <w:rPr>
          <w:rFonts w:ascii="Times New Roman" w:hAnsi="Times New Roman" w:cs="Times New Roman"/>
          <w:bCs/>
          <w:spacing w:val="2"/>
          <w:sz w:val="22"/>
        </w:rPr>
        <w:t>(initial doses of 160 mg and 80 mg on Days 1 and 15 respectively, followed by 40 mg fortnightly), in patients with ulcerative colitis with a control period duration</w:t>
      </w:r>
      <w:r w:rsidRPr="00DD1F63">
        <w:rPr>
          <w:rFonts w:ascii="Times New Roman" w:hAnsi="Times New Roman" w:cs="Times New Roman"/>
          <w:bCs/>
          <w:sz w:val="22"/>
        </w:rPr>
        <w:t xml:space="preserve"> ranging from 1 to 52 weeks, ALT elevations ≥ 3 x ULN occurred in 1.5% of </w:t>
      </w:r>
      <w:r w:rsidR="00910E5C" w:rsidRPr="00DD1F63">
        <w:rPr>
          <w:rFonts w:ascii="Times New Roman" w:hAnsi="Times New Roman" w:cs="Times New Roman"/>
          <w:sz w:val="22"/>
        </w:rPr>
        <w:t>adalimumab</w:t>
      </w:r>
      <w:r w:rsidRPr="00DD1F63">
        <w:rPr>
          <w:rFonts w:ascii="Times New Roman" w:hAnsi="Times New Roman" w:cs="Times New Roman"/>
          <w:bCs/>
          <w:sz w:val="22"/>
        </w:rPr>
        <w:t>-treated patients and 1.0% of control-treated patients.</w:t>
      </w:r>
    </w:p>
    <w:p w14:paraId="22B40DC3" w14:textId="77777777" w:rsidR="00F80E95" w:rsidRPr="00DD1F63" w:rsidRDefault="00F80E95" w:rsidP="00377A09">
      <w:pPr>
        <w:spacing w:after="0" w:line="240" w:lineRule="auto"/>
        <w:ind w:left="426" w:right="375"/>
        <w:jc w:val="left"/>
        <w:rPr>
          <w:rFonts w:ascii="Times New Roman" w:hAnsi="Times New Roman" w:cs="Times New Roman"/>
          <w:bCs/>
          <w:sz w:val="22"/>
        </w:rPr>
      </w:pPr>
    </w:p>
    <w:p w14:paraId="469927B7" w14:textId="158D7C17" w:rsidR="006B7C8E" w:rsidRPr="00DD1F63" w:rsidRDefault="00CA72FF" w:rsidP="00377A09">
      <w:pPr>
        <w:tabs>
          <w:tab w:val="left" w:pos="8789"/>
        </w:tabs>
        <w:spacing w:after="0" w:line="240" w:lineRule="auto"/>
        <w:ind w:left="426" w:right="49"/>
        <w:jc w:val="left"/>
        <w:rPr>
          <w:rFonts w:ascii="Times New Roman" w:hAnsi="Times New Roman" w:cs="Times New Roman"/>
          <w:spacing w:val="4"/>
          <w:sz w:val="22"/>
        </w:rPr>
      </w:pPr>
      <w:r w:rsidRPr="00DD1F63">
        <w:rPr>
          <w:rFonts w:ascii="Times New Roman" w:hAnsi="Times New Roman" w:cs="Times New Roman"/>
          <w:i/>
          <w:sz w:val="22"/>
          <w:u w:color="000000"/>
        </w:rPr>
        <w:t xml:space="preserve">Psoriasis </w:t>
      </w:r>
      <w:r w:rsidR="00D160DB"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D160DB" w:rsidRPr="00DD1F63">
        <w:rPr>
          <w:rFonts w:ascii="Times New Roman" w:hAnsi="Times New Roman" w:cs="Times New Roman"/>
          <w:i/>
          <w:sz w:val="22"/>
          <w:u w:color="000000"/>
        </w:rPr>
        <w:t>t</w:t>
      </w:r>
      <w:r w:rsidRPr="00DD1F63">
        <w:rPr>
          <w:rFonts w:ascii="Times New Roman" w:hAnsi="Times New Roman" w:cs="Times New Roman"/>
          <w:i/>
          <w:sz w:val="22"/>
          <w:u w:color="000000"/>
        </w:rPr>
        <w:t>ria</w:t>
      </w:r>
      <w:r w:rsidR="00357FE8" w:rsidRPr="00DD1F63">
        <w:rPr>
          <w:rFonts w:ascii="Times New Roman" w:hAnsi="Times New Roman" w:cs="Times New Roman"/>
          <w:i/>
          <w:sz w:val="22"/>
          <w:u w:color="000000"/>
        </w:rPr>
        <w:t>l</w:t>
      </w:r>
      <w:r w:rsidRPr="00DD1F63">
        <w:rPr>
          <w:rFonts w:ascii="Times New Roman" w:hAnsi="Times New Roman" w:cs="Times New Roman"/>
          <w:i/>
          <w:sz w:val="22"/>
          <w:u w:color="000000"/>
        </w:rPr>
        <w:t>s:</w:t>
      </w:r>
      <w:r w:rsidRPr="00DD1F63">
        <w:rPr>
          <w:rFonts w:ascii="Times New Roman" w:hAnsi="Times New Roman" w:cs="Times New Roman"/>
          <w:sz w:val="22"/>
        </w:rPr>
        <w:t xml:space="preserve"> In controlled Phase 3 trials of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(initial dose of 80 mg then 40 mg </w:t>
      </w:r>
      <w:r w:rsidRPr="00DD1F63">
        <w:rPr>
          <w:rFonts w:ascii="Times New Roman" w:hAnsi="Times New Roman" w:cs="Times New Roman"/>
          <w:spacing w:val="4"/>
          <w:sz w:val="22"/>
        </w:rPr>
        <w:t xml:space="preserve">fortnightly), in patients with plaque psoriasis with control a period duration ranging from 12 to 24 weeks, ALT elevations ≥ 3 x ULN occurred in 1.8% of </w:t>
      </w:r>
      <w:r w:rsidR="00D160DB" w:rsidRPr="00DD1F63">
        <w:rPr>
          <w:rFonts w:ascii="Times New Roman" w:hAnsi="Times New Roman" w:cs="Times New Roman"/>
          <w:spacing w:val="4"/>
          <w:sz w:val="22"/>
        </w:rPr>
        <w:t>adalimumab</w:t>
      </w:r>
      <w:r w:rsidRPr="00DD1F63">
        <w:rPr>
          <w:rFonts w:ascii="Times New Roman" w:hAnsi="Times New Roman" w:cs="Times New Roman"/>
          <w:spacing w:val="4"/>
          <w:sz w:val="22"/>
        </w:rPr>
        <w:t xml:space="preserve">-treated patients and 1.8% of control-treated patients. </w:t>
      </w:r>
    </w:p>
    <w:p w14:paraId="00AA50AA"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7C957D01" w14:textId="5D440ABC"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u w:color="000000"/>
        </w:rPr>
        <w:t xml:space="preserve">Paediatric </w:t>
      </w:r>
      <w:r w:rsidR="00D160DB" w:rsidRPr="00DD1F63">
        <w:rPr>
          <w:rFonts w:ascii="Times New Roman" w:hAnsi="Times New Roman" w:cs="Times New Roman"/>
          <w:i/>
          <w:sz w:val="22"/>
          <w:u w:color="000000"/>
        </w:rPr>
        <w:t>p</w:t>
      </w:r>
      <w:r w:rsidRPr="00DD1F63">
        <w:rPr>
          <w:rFonts w:ascii="Times New Roman" w:hAnsi="Times New Roman" w:cs="Times New Roman"/>
          <w:i/>
          <w:sz w:val="22"/>
          <w:u w:color="000000"/>
        </w:rPr>
        <w:t xml:space="preserve">atients with </w:t>
      </w:r>
      <w:r w:rsidR="00D160DB" w:rsidRPr="00DD1F63">
        <w:rPr>
          <w:rFonts w:ascii="Times New Roman" w:hAnsi="Times New Roman" w:cs="Times New Roman"/>
          <w:i/>
          <w:sz w:val="22"/>
          <w:u w:color="000000"/>
        </w:rPr>
        <w:t>p</w:t>
      </w:r>
      <w:r w:rsidRPr="00DD1F63">
        <w:rPr>
          <w:rFonts w:ascii="Times New Roman" w:hAnsi="Times New Roman" w:cs="Times New Roman"/>
          <w:i/>
          <w:sz w:val="22"/>
          <w:u w:color="000000"/>
        </w:rPr>
        <w:t xml:space="preserve">laque </w:t>
      </w:r>
      <w:r w:rsidR="00D160DB" w:rsidRPr="00DD1F63">
        <w:rPr>
          <w:rFonts w:ascii="Times New Roman" w:hAnsi="Times New Roman" w:cs="Times New Roman"/>
          <w:i/>
          <w:sz w:val="22"/>
          <w:u w:color="000000"/>
        </w:rPr>
        <w:t>p</w:t>
      </w:r>
      <w:r w:rsidRPr="00DD1F63">
        <w:rPr>
          <w:rFonts w:ascii="Times New Roman" w:hAnsi="Times New Roman" w:cs="Times New Roman"/>
          <w:i/>
          <w:sz w:val="22"/>
          <w:u w:color="000000"/>
        </w:rPr>
        <w:t xml:space="preserve">soriasis </w:t>
      </w:r>
      <w:r w:rsidR="00D160DB"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D160DB" w:rsidRPr="00DD1F63">
        <w:rPr>
          <w:rFonts w:ascii="Times New Roman" w:hAnsi="Times New Roman" w:cs="Times New Roman"/>
          <w:i/>
          <w:sz w:val="22"/>
          <w:u w:color="000000"/>
        </w:rPr>
        <w:t>t</w:t>
      </w:r>
      <w:r w:rsidRPr="00DD1F63">
        <w:rPr>
          <w:rFonts w:ascii="Times New Roman" w:hAnsi="Times New Roman" w:cs="Times New Roman"/>
          <w:i/>
          <w:sz w:val="22"/>
          <w:u w:color="000000"/>
        </w:rPr>
        <w:t>rial:</w:t>
      </w:r>
      <w:r w:rsidRPr="00DD1F63">
        <w:rPr>
          <w:rFonts w:ascii="Times New Roman" w:hAnsi="Times New Roman" w:cs="Times New Roman"/>
          <w:sz w:val="22"/>
        </w:rPr>
        <w:t xml:space="preserve"> No ALT elevations ≥ 3 x ULN occurred in the Phase 3 trial. </w:t>
      </w:r>
    </w:p>
    <w:p w14:paraId="16A44A60"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0DE9944A" w14:textId="5746C6EC"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u w:color="000000"/>
        </w:rPr>
        <w:t xml:space="preserve">Uveitis </w:t>
      </w:r>
      <w:r w:rsidR="00D160DB"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D160DB" w:rsidRPr="00DD1F63">
        <w:rPr>
          <w:rFonts w:ascii="Times New Roman" w:hAnsi="Times New Roman" w:cs="Times New Roman"/>
          <w:i/>
          <w:sz w:val="22"/>
          <w:u w:color="000000"/>
        </w:rPr>
        <w:t>t</w:t>
      </w:r>
      <w:r w:rsidRPr="00DD1F63">
        <w:rPr>
          <w:rFonts w:ascii="Times New Roman" w:hAnsi="Times New Roman" w:cs="Times New Roman"/>
          <w:i/>
          <w:sz w:val="22"/>
          <w:u w:color="000000"/>
        </w:rPr>
        <w:t>rials:</w:t>
      </w:r>
      <w:r w:rsidRPr="00DD1F63">
        <w:rPr>
          <w:rFonts w:ascii="Times New Roman" w:hAnsi="Times New Roman" w:cs="Times New Roman"/>
          <w:sz w:val="22"/>
        </w:rPr>
        <w:t xml:space="preserve"> In controlled trials of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(initial doses of 80 mg at Week 0 followed by</w:t>
      </w:r>
      <w:r w:rsidR="005C179A" w:rsidRPr="00DD1F63">
        <w:rPr>
          <w:rFonts w:ascii="Times New Roman" w:hAnsi="Times New Roman" w:cs="Times New Roman"/>
          <w:sz w:val="22"/>
        </w:rPr>
        <w:t xml:space="preserve"> </w:t>
      </w:r>
      <w:r w:rsidRPr="00DD1F63">
        <w:rPr>
          <w:rFonts w:ascii="Times New Roman" w:hAnsi="Times New Roman" w:cs="Times New Roman"/>
          <w:sz w:val="22"/>
        </w:rPr>
        <w:t xml:space="preserve">40 mg fortnightly starting at Week 1) in patients with uveitis with an exposure of 165.4 patient years and 119.8 patient years in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-treated and control-treated patients, respectively, ALT elevations ≥ 3 x ULN occurred in 2.4% of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2.4% of control-treated patients. </w:t>
      </w:r>
    </w:p>
    <w:p w14:paraId="282413FB"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54EA9759" w14:textId="0B1F529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all indications patients with raised ALT were asymptomatic and in most </w:t>
      </w:r>
      <w:proofErr w:type="gramStart"/>
      <w:r w:rsidRPr="00DD1F63">
        <w:rPr>
          <w:rFonts w:ascii="Times New Roman" w:hAnsi="Times New Roman" w:cs="Times New Roman"/>
          <w:sz w:val="22"/>
        </w:rPr>
        <w:t>cases</w:t>
      </w:r>
      <w:proofErr w:type="gramEnd"/>
      <w:r w:rsidRPr="00DD1F63">
        <w:rPr>
          <w:rFonts w:ascii="Times New Roman" w:hAnsi="Times New Roman" w:cs="Times New Roman"/>
          <w:sz w:val="22"/>
        </w:rPr>
        <w:t xml:space="preserve"> elevations were transient and resolved on continued treatment. However, there have been very rare post marketing reports of severe hepatic reactions including liver failure in patients receiving TNF blockers, including adalimumab. The causal relationship to adalimumab treatment remains unclear. </w:t>
      </w:r>
    </w:p>
    <w:p w14:paraId="32A798DE" w14:textId="6C9DC73E" w:rsidR="005C179A" w:rsidRPr="00DD1F63" w:rsidRDefault="005C179A" w:rsidP="00377A09">
      <w:pPr>
        <w:spacing w:after="0" w:line="240" w:lineRule="auto"/>
        <w:ind w:left="426" w:right="375"/>
        <w:jc w:val="left"/>
        <w:rPr>
          <w:rFonts w:ascii="Times New Roman" w:hAnsi="Times New Roman" w:cs="Times New Roman"/>
          <w:sz w:val="22"/>
        </w:rPr>
      </w:pPr>
    </w:p>
    <w:p w14:paraId="7BF19593" w14:textId="2632A205" w:rsidR="00220908" w:rsidRPr="00DD1F63" w:rsidRDefault="00220908" w:rsidP="00377A09">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Concurrent Treatment with Azathioprine/6-Mercaptopurine</w:t>
      </w:r>
    </w:p>
    <w:p w14:paraId="1C2ECD45" w14:textId="6D4A7D0D" w:rsidR="00220908" w:rsidRPr="00DD1F63" w:rsidRDefault="00220908" w:rsidP="00377A09">
      <w:pPr>
        <w:spacing w:after="0" w:line="240" w:lineRule="auto"/>
        <w:ind w:left="426" w:right="375"/>
        <w:jc w:val="left"/>
        <w:rPr>
          <w:rFonts w:ascii="Times New Roman" w:hAnsi="Times New Roman" w:cs="Times New Roman"/>
          <w:sz w:val="22"/>
        </w:rPr>
      </w:pPr>
    </w:p>
    <w:p w14:paraId="5DAC44FF" w14:textId="698188B1" w:rsidR="00220908" w:rsidRPr="00DD1F63" w:rsidRDefault="00220908"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adult Crohn’s disease studies, higher incidences of malignant and serious infection-related adverse events were seen with the combination of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and azathioprine/6-mercaptopurine compared with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alone.</w:t>
      </w:r>
    </w:p>
    <w:p w14:paraId="04AB08B0" w14:textId="77777777" w:rsidR="00220908" w:rsidRPr="00DD1F63" w:rsidRDefault="00220908" w:rsidP="00377A09">
      <w:pPr>
        <w:spacing w:after="0" w:line="240" w:lineRule="auto"/>
        <w:ind w:left="426" w:right="375"/>
        <w:jc w:val="left"/>
        <w:rPr>
          <w:rFonts w:ascii="Times New Roman" w:hAnsi="Times New Roman" w:cs="Times New Roman"/>
          <w:sz w:val="22"/>
        </w:rPr>
      </w:pPr>
    </w:p>
    <w:p w14:paraId="6F937BBA" w14:textId="4C839C3F" w:rsidR="006B7C8E" w:rsidRPr="00DD1F63" w:rsidRDefault="00CA72FF" w:rsidP="00377A09">
      <w:pPr>
        <w:pStyle w:val="Heading3"/>
        <w:pageBreakBefore/>
        <w:spacing w:after="0" w:line="240" w:lineRule="auto"/>
        <w:ind w:left="425" w:hanging="11"/>
        <w:rPr>
          <w:rFonts w:ascii="Times New Roman" w:hAnsi="Times New Roman" w:cs="Times New Roman"/>
          <w:u w:val="none"/>
        </w:rPr>
      </w:pPr>
      <w:r w:rsidRPr="00DD1F63">
        <w:rPr>
          <w:rFonts w:ascii="Times New Roman" w:hAnsi="Times New Roman" w:cs="Times New Roman"/>
        </w:rPr>
        <w:lastRenderedPageBreak/>
        <w:t xml:space="preserve">Polyarticular </w:t>
      </w:r>
      <w:r w:rsidR="00D160DB" w:rsidRPr="00DD1F63">
        <w:rPr>
          <w:rFonts w:ascii="Times New Roman" w:hAnsi="Times New Roman" w:cs="Times New Roman"/>
        </w:rPr>
        <w:t>j</w:t>
      </w:r>
      <w:r w:rsidRPr="00DD1F63">
        <w:rPr>
          <w:rFonts w:ascii="Times New Roman" w:hAnsi="Times New Roman" w:cs="Times New Roman"/>
        </w:rPr>
        <w:t xml:space="preserve">uvenile </w:t>
      </w:r>
      <w:r w:rsidR="00D160DB" w:rsidRPr="00DD1F63">
        <w:rPr>
          <w:rFonts w:ascii="Times New Roman" w:hAnsi="Times New Roman" w:cs="Times New Roman"/>
        </w:rPr>
        <w:t>i</w:t>
      </w:r>
      <w:r w:rsidRPr="00DD1F63">
        <w:rPr>
          <w:rFonts w:ascii="Times New Roman" w:hAnsi="Times New Roman" w:cs="Times New Roman"/>
        </w:rPr>
        <w:t xml:space="preserve">diopathic </w:t>
      </w:r>
      <w:r w:rsidR="00D160DB" w:rsidRPr="00DD1F63">
        <w:rPr>
          <w:rFonts w:ascii="Times New Roman" w:hAnsi="Times New Roman" w:cs="Times New Roman"/>
        </w:rPr>
        <w:t>a</w:t>
      </w:r>
      <w:r w:rsidRPr="00DD1F63">
        <w:rPr>
          <w:rFonts w:ascii="Times New Roman" w:hAnsi="Times New Roman" w:cs="Times New Roman"/>
        </w:rPr>
        <w:t xml:space="preserve">rthritis </w:t>
      </w:r>
      <w:r w:rsidR="00D160DB" w:rsidRPr="00DD1F63">
        <w:rPr>
          <w:rFonts w:ascii="Times New Roman" w:hAnsi="Times New Roman" w:cs="Times New Roman"/>
        </w:rPr>
        <w:t>c</w:t>
      </w:r>
      <w:r w:rsidRPr="00DD1F63">
        <w:rPr>
          <w:rFonts w:ascii="Times New Roman" w:hAnsi="Times New Roman" w:cs="Times New Roman"/>
        </w:rPr>
        <w:t xml:space="preserve">linical </w:t>
      </w:r>
      <w:r w:rsidR="00D160DB" w:rsidRPr="00DD1F63">
        <w:rPr>
          <w:rFonts w:ascii="Times New Roman" w:hAnsi="Times New Roman" w:cs="Times New Roman"/>
        </w:rPr>
        <w:t>t</w:t>
      </w:r>
      <w:r w:rsidRPr="00DD1F63">
        <w:rPr>
          <w:rFonts w:ascii="Times New Roman" w:hAnsi="Times New Roman" w:cs="Times New Roman"/>
        </w:rPr>
        <w:t>rials</w:t>
      </w:r>
      <w:r w:rsidRPr="00DD1F63">
        <w:rPr>
          <w:rFonts w:ascii="Times New Roman" w:hAnsi="Times New Roman" w:cs="Times New Roman"/>
          <w:u w:val="none"/>
        </w:rPr>
        <w:t xml:space="preserve"> </w:t>
      </w:r>
    </w:p>
    <w:p w14:paraId="3CDDA2AD" w14:textId="77777777" w:rsidR="005C179A" w:rsidRPr="00DD1F63" w:rsidRDefault="005C179A" w:rsidP="00377A09">
      <w:pPr>
        <w:spacing w:after="0" w:line="240" w:lineRule="auto"/>
        <w:ind w:left="426" w:hanging="11"/>
        <w:jc w:val="left"/>
        <w:rPr>
          <w:sz w:val="22"/>
        </w:rPr>
      </w:pPr>
    </w:p>
    <w:p w14:paraId="07FE8017" w14:textId="5EF6EB7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general, the adverse reactions in patients with polyarticular juvenile idiopathic arthritis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Studies I and II) were similar in frequency and type to those seen in adult patients. Important findings and differences from adults are discussed in the following paragraphs. </w:t>
      </w:r>
    </w:p>
    <w:p w14:paraId="41B538F5"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4984AD06" w14:textId="6126E19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was studied in 171 patients, 4 to 17 years of age, with polyarticular juvenile idiopathic arthritis. Severe adverse reactions reported in the study included neutropenia, streptococcal pharyngitis, increased aminotransferases, herpes zoster, myositis, metrorrhagia and appendicitis. Serious infections were observed in 4% of patients within approximately 2 years of initiation of treatment with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and included cases of herpes simplex, pneumonia, urinary tract infection, pharyngitis, and herpes zoster. </w:t>
      </w:r>
    </w:p>
    <w:p w14:paraId="0334E0DE"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01EEA1A4" w14:textId="1F2CDA7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45% of patients experienced an infection while receiving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with or without concomitant methotrexate in the first 16 weeks of treatment. The types of infections reported in polyarticular juvenile idiopathic arthritis (JIA) patients were generally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commonly seen in outpatient polyarticular JIA populations. Upon initiation of treatment, the most common adverse reactions occurring in this patient population treated with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were injection site pain and injection site reaction (19% and 16%, respectively). A less commonly reported adverse event in patients receiving </w:t>
      </w:r>
      <w:r w:rsidR="00E321C7" w:rsidRPr="00DD1F63">
        <w:rPr>
          <w:rFonts w:ascii="Times New Roman" w:hAnsi="Times New Roman" w:cs="Times New Roman"/>
          <w:sz w:val="22"/>
        </w:rPr>
        <w:t>adalimumab</w:t>
      </w:r>
      <w:r w:rsidRPr="00DD1F63">
        <w:rPr>
          <w:rFonts w:ascii="Times New Roman" w:hAnsi="Times New Roman" w:cs="Times New Roman"/>
          <w:sz w:val="22"/>
        </w:rPr>
        <w:t xml:space="preserve"> was granuloma annulare which did not lead to discontinuation of </w:t>
      </w:r>
      <w:r w:rsidR="00E321C7" w:rsidRPr="00DD1F63">
        <w:rPr>
          <w:rFonts w:ascii="Times New Roman" w:hAnsi="Times New Roman" w:cs="Times New Roman"/>
          <w:sz w:val="22"/>
        </w:rPr>
        <w:t>adalimumab</w:t>
      </w:r>
      <w:r w:rsidRPr="00DD1F63">
        <w:rPr>
          <w:rFonts w:ascii="Times New Roman" w:hAnsi="Times New Roman" w:cs="Times New Roman"/>
          <w:sz w:val="22"/>
        </w:rPr>
        <w:t xml:space="preserve"> treatment. </w:t>
      </w:r>
    </w:p>
    <w:p w14:paraId="7978EC51"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3ABBB79E" w14:textId="5B00D1F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first 48 weeks of treatment 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non-serious hypersensitivity reactions were seen in approximately 6% of patients and included primarily localised allergic hypersensitivity reactions and allergic rash. Isolated mild to moderate elevations of liver aminotransferases (ALT more common than AST) were observed in patients with polyarticular JIA exposed to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alone; liver function tests (LFT) elevations were more frequent among those treated with the combination of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and methotrexate. In general, these elevations did not lead to discontinuation of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treatment. </w:t>
      </w:r>
    </w:p>
    <w:p w14:paraId="66F9A894"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4E7FF43A" w14:textId="4984AC4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10% of patients treated with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who had negative baseline anti-dsDNA antibodies developed positive titres after 48 weeks of treatment. No patient developed clinical signs of autoimmunity during the clinical trial. </w:t>
      </w:r>
    </w:p>
    <w:p w14:paraId="2F028751"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1DC93F05" w14:textId="4C40422F"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Approximately 15% of patients treated with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developed mild-to-moderate elevations of creatine phosphokinase (CPK) 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Elevations exceeding 5 times the upper limit of normal were observed in several patients. CPK levels decreased or returned to normal in all patients. Most patients were able to continue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without interruption. </w:t>
      </w:r>
    </w:p>
    <w:p w14:paraId="2485F6BC"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4C837683" w14:textId="4CFB60AA"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was studied in 32 patients who were 2 to &lt;4 years of age or 4 years of age and older weighing &lt;15 kg with polyarticular JIA. Thirty-one of 32 patients (97%) received the required minimum of 24 weeks of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treatment. Patients were able to continue up to a maximum of 120 weeks of treatment. The safety profile for this patient population was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the safety profile seen in patients 4 to 17 years of age with polyarticular JIA. </w:t>
      </w:r>
    </w:p>
    <w:p w14:paraId="2CB50F62"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6A66554E" w14:textId="513873E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78% of patients experienced an infection while receiving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These included nasopharyngitis, bronchitis, upper respiratory tract infection, otitis media, and were mostly mild to moderate in severity. Serious infections were observed in 9% of patients receiving </w:t>
      </w:r>
      <w:r w:rsidR="005B64AC" w:rsidRPr="00DD1F63">
        <w:rPr>
          <w:rFonts w:ascii="Times New Roman" w:hAnsi="Times New Roman" w:cs="Times New Roman"/>
          <w:sz w:val="22"/>
        </w:rPr>
        <w:t>adalimumab</w:t>
      </w:r>
      <w:r w:rsidRPr="00DD1F63">
        <w:rPr>
          <w:rFonts w:ascii="Times New Roman" w:hAnsi="Times New Roman" w:cs="Times New Roman"/>
          <w:sz w:val="22"/>
        </w:rPr>
        <w:t xml:space="preserve"> in the study and included dental caries, rotavirus gastroenteritis, and varicella. </w:t>
      </w:r>
    </w:p>
    <w:p w14:paraId="7C9FE70C"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72E389BE" w14:textId="40603C5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non-serious allergic reactions were observed in 6% of patients and included intermittent urticaria and rash, which were all mild in severity. </w:t>
      </w:r>
    </w:p>
    <w:p w14:paraId="5EA32682" w14:textId="77777777" w:rsidR="005C179A" w:rsidRPr="00DD1F63" w:rsidRDefault="005C179A" w:rsidP="00377A09">
      <w:pPr>
        <w:spacing w:after="0" w:line="240" w:lineRule="auto"/>
        <w:ind w:left="426" w:right="375"/>
        <w:jc w:val="left"/>
        <w:rPr>
          <w:rFonts w:ascii="Times New Roman" w:hAnsi="Times New Roman" w:cs="Times New Roman"/>
          <w:sz w:val="22"/>
        </w:rPr>
      </w:pPr>
    </w:p>
    <w:p w14:paraId="258D6035" w14:textId="776675AC" w:rsidR="005B64AC"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rPr>
        <w:t xml:space="preserve">Additional </w:t>
      </w:r>
      <w:r w:rsidR="005B64AC" w:rsidRPr="00DD1F63">
        <w:rPr>
          <w:rFonts w:ascii="Times New Roman" w:hAnsi="Times New Roman" w:cs="Times New Roman"/>
        </w:rPr>
        <w:t>a</w:t>
      </w:r>
      <w:r w:rsidRPr="00DD1F63">
        <w:rPr>
          <w:rFonts w:ascii="Times New Roman" w:hAnsi="Times New Roman" w:cs="Times New Roman"/>
        </w:rPr>
        <w:t xml:space="preserve">dverse </w:t>
      </w:r>
      <w:r w:rsidR="005B64AC" w:rsidRPr="00DD1F63">
        <w:rPr>
          <w:rFonts w:ascii="Times New Roman" w:hAnsi="Times New Roman" w:cs="Times New Roman"/>
        </w:rPr>
        <w:t>r</w:t>
      </w:r>
      <w:r w:rsidRPr="00DD1F63">
        <w:rPr>
          <w:rFonts w:ascii="Times New Roman" w:hAnsi="Times New Roman" w:cs="Times New Roman"/>
        </w:rPr>
        <w:t xml:space="preserve">eactions from </w:t>
      </w:r>
      <w:r w:rsidR="005B64AC" w:rsidRPr="00DD1F63">
        <w:rPr>
          <w:rFonts w:ascii="Times New Roman" w:hAnsi="Times New Roman" w:cs="Times New Roman"/>
        </w:rPr>
        <w:t>p</w:t>
      </w:r>
      <w:r w:rsidRPr="00DD1F63">
        <w:rPr>
          <w:rFonts w:ascii="Times New Roman" w:hAnsi="Times New Roman" w:cs="Times New Roman"/>
        </w:rPr>
        <w:t xml:space="preserve">ost marketing </w:t>
      </w:r>
      <w:r w:rsidR="005B64AC" w:rsidRPr="00DD1F63">
        <w:rPr>
          <w:rFonts w:ascii="Times New Roman" w:hAnsi="Times New Roman" w:cs="Times New Roman"/>
        </w:rPr>
        <w:t>s</w:t>
      </w:r>
      <w:r w:rsidRPr="00DD1F63">
        <w:rPr>
          <w:rFonts w:ascii="Times New Roman" w:hAnsi="Times New Roman" w:cs="Times New Roman"/>
        </w:rPr>
        <w:t xml:space="preserve">urveillance or </w:t>
      </w:r>
      <w:r w:rsidR="005B64AC" w:rsidRPr="00DD1F63">
        <w:rPr>
          <w:rFonts w:ascii="Times New Roman" w:hAnsi="Times New Roman" w:cs="Times New Roman"/>
        </w:rPr>
        <w:t>p</w:t>
      </w:r>
      <w:r w:rsidRPr="00DD1F63">
        <w:rPr>
          <w:rFonts w:ascii="Times New Roman" w:hAnsi="Times New Roman" w:cs="Times New Roman"/>
        </w:rPr>
        <w:t xml:space="preserve">hase IV </w:t>
      </w:r>
      <w:r w:rsidR="005B64AC" w:rsidRPr="00DD1F63">
        <w:rPr>
          <w:rFonts w:ascii="Times New Roman" w:hAnsi="Times New Roman" w:cs="Times New Roman"/>
        </w:rPr>
        <w:t>c</w:t>
      </w:r>
      <w:r w:rsidRPr="00DD1F63">
        <w:rPr>
          <w:rFonts w:ascii="Times New Roman" w:hAnsi="Times New Roman" w:cs="Times New Roman"/>
        </w:rPr>
        <w:t xml:space="preserve">linical </w:t>
      </w:r>
      <w:r w:rsidR="005B64AC" w:rsidRPr="00DD1F63">
        <w:rPr>
          <w:rFonts w:ascii="Times New Roman" w:hAnsi="Times New Roman" w:cs="Times New Roman"/>
        </w:rPr>
        <w:t>t</w:t>
      </w:r>
      <w:r w:rsidRPr="00DD1F63">
        <w:rPr>
          <w:rFonts w:ascii="Times New Roman" w:hAnsi="Times New Roman" w:cs="Times New Roman"/>
        </w:rPr>
        <w:t>rials</w:t>
      </w:r>
    </w:p>
    <w:p w14:paraId="1E283A42" w14:textId="58ADFB45"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4C0CB2F5" w14:textId="69A78EEB" w:rsidR="00C60257"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Adverse events have been reported during post-approval use of </w:t>
      </w:r>
      <w:r w:rsidR="005B64AC" w:rsidRPr="00DD1F63">
        <w:rPr>
          <w:rFonts w:ascii="Times New Roman" w:hAnsi="Times New Roman" w:cs="Times New Roman"/>
          <w:sz w:val="22"/>
        </w:rPr>
        <w:t>adalimumab</w:t>
      </w:r>
      <w:r w:rsidRPr="00DD1F63">
        <w:rPr>
          <w:rFonts w:ascii="Times New Roman" w:hAnsi="Times New Roman" w:cs="Times New Roman"/>
          <w:sz w:val="22"/>
        </w:rPr>
        <w:t xml:space="preserve">. Because these events are reported voluntarily from a population of uncertain size, it is not always possible to reliably estimate their frequency or establish a causal relationship to </w:t>
      </w:r>
      <w:r w:rsidR="005B64AC" w:rsidRPr="00DD1F63">
        <w:rPr>
          <w:rFonts w:ascii="Times New Roman" w:hAnsi="Times New Roman" w:cs="Times New Roman"/>
          <w:sz w:val="22"/>
        </w:rPr>
        <w:t>adalimumab</w:t>
      </w:r>
      <w:r w:rsidRPr="00DD1F63">
        <w:rPr>
          <w:rFonts w:ascii="Times New Roman" w:hAnsi="Times New Roman" w:cs="Times New Roman"/>
          <w:sz w:val="22"/>
        </w:rPr>
        <w:t xml:space="preserve"> exposure. </w:t>
      </w:r>
    </w:p>
    <w:p w14:paraId="3AD0A390" w14:textId="77777777" w:rsidR="00C60257" w:rsidRPr="00DD1F63" w:rsidRDefault="00C60257" w:rsidP="00377A09">
      <w:pPr>
        <w:spacing w:after="0" w:line="240" w:lineRule="auto"/>
        <w:ind w:left="426" w:right="375"/>
        <w:jc w:val="left"/>
        <w:rPr>
          <w:rFonts w:ascii="Times New Roman" w:hAnsi="Times New Roman" w:cs="Times New Roman"/>
        </w:rPr>
      </w:pPr>
    </w:p>
    <w:tbl>
      <w:tblPr>
        <w:tblStyle w:val="TableGrid1"/>
        <w:tblW w:w="8602" w:type="dxa"/>
        <w:tblInd w:w="421" w:type="dxa"/>
        <w:tblCellMar>
          <w:left w:w="57" w:type="dxa"/>
          <w:right w:w="57" w:type="dxa"/>
        </w:tblCellMar>
        <w:tblLook w:val="04A0" w:firstRow="1" w:lastRow="0" w:firstColumn="1" w:lastColumn="0" w:noHBand="0" w:noVBand="1"/>
      </w:tblPr>
      <w:tblGrid>
        <w:gridCol w:w="4075"/>
        <w:gridCol w:w="4527"/>
      </w:tblGrid>
      <w:tr w:rsidR="00C60257" w:rsidRPr="00DD1F63" w14:paraId="79A2000E" w14:textId="77777777" w:rsidTr="003F186E">
        <w:trPr>
          <w:trHeight w:val="146"/>
        </w:trPr>
        <w:tc>
          <w:tcPr>
            <w:tcW w:w="8602" w:type="dxa"/>
            <w:gridSpan w:val="2"/>
            <w:tcBorders>
              <w:top w:val="single" w:sz="4" w:space="0" w:color="000000"/>
              <w:left w:val="single" w:sz="4" w:space="0" w:color="000000"/>
              <w:bottom w:val="single" w:sz="4" w:space="0" w:color="000000"/>
              <w:right w:val="single" w:sz="4" w:space="0" w:color="000000"/>
            </w:tcBorders>
          </w:tcPr>
          <w:p w14:paraId="6709AF96" w14:textId="4AB4C053" w:rsidR="00C60257" w:rsidRPr="00DD1F63" w:rsidRDefault="00C60257" w:rsidP="00377A09">
            <w:pPr>
              <w:tabs>
                <w:tab w:val="center" w:pos="4723"/>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3:</w:t>
            </w:r>
            <w:r w:rsidR="00EF4105"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Additional adverse reactions from post marketing surveillance or phase IV clinical trials </w:t>
            </w:r>
          </w:p>
        </w:tc>
      </w:tr>
      <w:tr w:rsidR="00C60257" w:rsidRPr="00DD1F63" w14:paraId="1A7F8B2D" w14:textId="77777777" w:rsidTr="003F186E">
        <w:trPr>
          <w:trHeight w:val="98"/>
        </w:trPr>
        <w:tc>
          <w:tcPr>
            <w:tcW w:w="4075" w:type="dxa"/>
            <w:tcBorders>
              <w:top w:val="single" w:sz="4" w:space="0" w:color="000000"/>
              <w:left w:val="single" w:sz="4" w:space="0" w:color="000000"/>
              <w:bottom w:val="single" w:sz="4" w:space="0" w:color="000000"/>
              <w:right w:val="single" w:sz="4" w:space="0" w:color="000000"/>
            </w:tcBorders>
          </w:tcPr>
          <w:p w14:paraId="56E90EDF" w14:textId="13431815"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Body system </w:t>
            </w:r>
          </w:p>
        </w:tc>
        <w:tc>
          <w:tcPr>
            <w:tcW w:w="4527" w:type="dxa"/>
            <w:tcBorders>
              <w:top w:val="single" w:sz="4" w:space="0" w:color="000000"/>
              <w:left w:val="single" w:sz="4" w:space="0" w:color="000000"/>
              <w:bottom w:val="single" w:sz="4" w:space="0" w:color="000000"/>
              <w:right w:val="single" w:sz="4" w:space="0" w:color="000000"/>
            </w:tcBorders>
          </w:tcPr>
          <w:p w14:paraId="45EC6F88" w14:textId="0FFF8EA3"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Adverse reaction </w:t>
            </w:r>
          </w:p>
        </w:tc>
      </w:tr>
      <w:tr w:rsidR="00C60257" w:rsidRPr="00DD1F63" w14:paraId="2C806285"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2A0AFDDD"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Infections and infestations </w:t>
            </w:r>
          </w:p>
        </w:tc>
        <w:tc>
          <w:tcPr>
            <w:tcW w:w="4527" w:type="dxa"/>
            <w:tcBorders>
              <w:top w:val="single" w:sz="4" w:space="0" w:color="000000"/>
              <w:left w:val="single" w:sz="4" w:space="0" w:color="000000"/>
              <w:bottom w:val="single" w:sz="4" w:space="0" w:color="000000"/>
              <w:right w:val="single" w:sz="4" w:space="0" w:color="000000"/>
            </w:tcBorders>
          </w:tcPr>
          <w:p w14:paraId="02B9C9D3"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Diverticulitis </w:t>
            </w:r>
          </w:p>
        </w:tc>
      </w:tr>
      <w:tr w:rsidR="00C60257" w:rsidRPr="00DD1F63" w14:paraId="52BA9429" w14:textId="77777777" w:rsidTr="003F186E">
        <w:trPr>
          <w:trHeight w:val="591"/>
        </w:trPr>
        <w:tc>
          <w:tcPr>
            <w:tcW w:w="4075" w:type="dxa"/>
            <w:tcBorders>
              <w:top w:val="single" w:sz="4" w:space="0" w:color="000000"/>
              <w:left w:val="single" w:sz="4" w:space="0" w:color="000000"/>
              <w:bottom w:val="single" w:sz="4" w:space="0" w:color="000000"/>
              <w:right w:val="single" w:sz="4" w:space="0" w:color="000000"/>
            </w:tcBorders>
          </w:tcPr>
          <w:p w14:paraId="54504B01"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Neoplasms benign, </w:t>
            </w:r>
            <w:proofErr w:type="gramStart"/>
            <w:r w:rsidRPr="00DD1F63">
              <w:rPr>
                <w:rFonts w:ascii="Times New Roman" w:hAnsi="Times New Roman" w:cs="Times New Roman"/>
                <w:sz w:val="21"/>
                <w:szCs w:val="21"/>
              </w:rPr>
              <w:t>malignant</w:t>
            </w:r>
            <w:proofErr w:type="gramEnd"/>
            <w:r w:rsidRPr="00DD1F63">
              <w:rPr>
                <w:rFonts w:ascii="Times New Roman" w:hAnsi="Times New Roman" w:cs="Times New Roman"/>
                <w:sz w:val="21"/>
                <w:szCs w:val="21"/>
              </w:rPr>
              <w:t xml:space="preserve"> and unspecified </w:t>
            </w:r>
          </w:p>
          <w:p w14:paraId="275A492B"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proofErr w:type="gramStart"/>
            <w:r w:rsidRPr="00DD1F63">
              <w:rPr>
                <w:rFonts w:ascii="Times New Roman" w:hAnsi="Times New Roman" w:cs="Times New Roman"/>
                <w:sz w:val="21"/>
                <w:szCs w:val="21"/>
              </w:rPr>
              <w:t>including</w:t>
            </w:r>
            <w:proofErr w:type="gramEnd"/>
            <w:r w:rsidRPr="00DD1F63">
              <w:rPr>
                <w:rFonts w:ascii="Times New Roman" w:hAnsi="Times New Roman" w:cs="Times New Roman"/>
                <w:sz w:val="21"/>
                <w:szCs w:val="21"/>
              </w:rPr>
              <w:t xml:space="preserve"> cysts and polyps) </w:t>
            </w:r>
          </w:p>
        </w:tc>
        <w:tc>
          <w:tcPr>
            <w:tcW w:w="4527" w:type="dxa"/>
            <w:tcBorders>
              <w:top w:val="single" w:sz="4" w:space="0" w:color="000000"/>
              <w:left w:val="single" w:sz="4" w:space="0" w:color="000000"/>
              <w:bottom w:val="single" w:sz="4" w:space="0" w:color="000000"/>
              <w:right w:val="single" w:sz="4" w:space="0" w:color="000000"/>
            </w:tcBorders>
          </w:tcPr>
          <w:p w14:paraId="4DB5CE5D"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Hepatosplenic T-cell lymphoma, leukaemia, Merkel Cell Carcinoma (neuroendocrine carcinoma of the skin), Kaposi’s sarcoma* </w:t>
            </w:r>
          </w:p>
        </w:tc>
      </w:tr>
      <w:tr w:rsidR="00C60257" w:rsidRPr="00DD1F63" w14:paraId="58CB6AB3" w14:textId="77777777" w:rsidTr="003F186E">
        <w:trPr>
          <w:trHeight w:val="21"/>
        </w:trPr>
        <w:tc>
          <w:tcPr>
            <w:tcW w:w="4075" w:type="dxa"/>
            <w:tcBorders>
              <w:top w:val="single" w:sz="4" w:space="0" w:color="000000"/>
              <w:left w:val="single" w:sz="4" w:space="0" w:color="000000"/>
              <w:bottom w:val="single" w:sz="4" w:space="0" w:color="000000"/>
              <w:right w:val="single" w:sz="4" w:space="0" w:color="000000"/>
            </w:tcBorders>
          </w:tcPr>
          <w:p w14:paraId="5AD2C295"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Immune system disorders </w:t>
            </w:r>
          </w:p>
        </w:tc>
        <w:tc>
          <w:tcPr>
            <w:tcW w:w="4527" w:type="dxa"/>
            <w:tcBorders>
              <w:top w:val="single" w:sz="4" w:space="0" w:color="000000"/>
              <w:left w:val="single" w:sz="4" w:space="0" w:color="000000"/>
              <w:bottom w:val="single" w:sz="4" w:space="0" w:color="000000"/>
              <w:right w:val="single" w:sz="4" w:space="0" w:color="000000"/>
            </w:tcBorders>
          </w:tcPr>
          <w:p w14:paraId="627FB83A"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Anaphylaxis, sarcoidosis </w:t>
            </w:r>
          </w:p>
        </w:tc>
      </w:tr>
      <w:tr w:rsidR="00C60257" w:rsidRPr="00DD1F63" w14:paraId="4E234C4C" w14:textId="77777777" w:rsidTr="003F186E">
        <w:trPr>
          <w:trHeight w:val="69"/>
        </w:trPr>
        <w:tc>
          <w:tcPr>
            <w:tcW w:w="4075" w:type="dxa"/>
            <w:tcBorders>
              <w:top w:val="single" w:sz="4" w:space="0" w:color="000000"/>
              <w:left w:val="single" w:sz="4" w:space="0" w:color="000000"/>
              <w:bottom w:val="single" w:sz="4" w:space="0" w:color="000000"/>
              <w:right w:val="single" w:sz="4" w:space="0" w:color="000000"/>
            </w:tcBorders>
          </w:tcPr>
          <w:p w14:paraId="0EC948DF"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Nervous System disorders </w:t>
            </w:r>
          </w:p>
        </w:tc>
        <w:tc>
          <w:tcPr>
            <w:tcW w:w="4527" w:type="dxa"/>
            <w:tcBorders>
              <w:top w:val="single" w:sz="4" w:space="0" w:color="000000"/>
              <w:left w:val="single" w:sz="4" w:space="0" w:color="000000"/>
              <w:bottom w:val="single" w:sz="4" w:space="0" w:color="000000"/>
              <w:right w:val="single" w:sz="4" w:space="0" w:color="000000"/>
            </w:tcBorders>
          </w:tcPr>
          <w:p w14:paraId="5AFD3F71"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Cerebrovascular accident, Demyelinating disorders, </w:t>
            </w:r>
          </w:p>
          <w:p w14:paraId="4077C73D"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proofErr w:type="gramStart"/>
            <w:r w:rsidRPr="00DD1F63">
              <w:rPr>
                <w:rFonts w:ascii="Times New Roman" w:hAnsi="Times New Roman" w:cs="Times New Roman"/>
                <w:sz w:val="21"/>
                <w:szCs w:val="21"/>
              </w:rPr>
              <w:t>e.g.</w:t>
            </w:r>
            <w:proofErr w:type="gramEnd"/>
            <w:r w:rsidRPr="00DD1F63">
              <w:rPr>
                <w:rFonts w:ascii="Times New Roman" w:hAnsi="Times New Roman" w:cs="Times New Roman"/>
                <w:sz w:val="21"/>
                <w:szCs w:val="21"/>
              </w:rPr>
              <w:t xml:space="preserve"> optic neuritis, Guillain-Barré syndrome) </w:t>
            </w:r>
          </w:p>
        </w:tc>
      </w:tr>
      <w:tr w:rsidR="00C60257" w:rsidRPr="00DD1F63" w14:paraId="2A037186"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3B32D0FB"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Cardiac disorders </w:t>
            </w:r>
          </w:p>
        </w:tc>
        <w:tc>
          <w:tcPr>
            <w:tcW w:w="4527" w:type="dxa"/>
            <w:tcBorders>
              <w:top w:val="single" w:sz="4" w:space="0" w:color="000000"/>
              <w:left w:val="single" w:sz="4" w:space="0" w:color="000000"/>
              <w:bottom w:val="single" w:sz="4" w:space="0" w:color="000000"/>
              <w:right w:val="single" w:sz="4" w:space="0" w:color="000000"/>
            </w:tcBorders>
          </w:tcPr>
          <w:p w14:paraId="27881111"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Myocardial infarction </w:t>
            </w:r>
          </w:p>
        </w:tc>
      </w:tr>
      <w:tr w:rsidR="00522F9F" w:rsidRPr="00DD1F63" w14:paraId="57868C86"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3837D885" w14:textId="5E83B409" w:rsidR="00522F9F" w:rsidRPr="00DD1F63" w:rsidRDefault="00522F9F" w:rsidP="00377A09">
            <w:pPr>
              <w:spacing w:after="0" w:line="240" w:lineRule="auto"/>
              <w:ind w:left="0" w:firstLine="0"/>
              <w:jc w:val="left"/>
              <w:rPr>
                <w:rFonts w:ascii="Times New Roman" w:hAnsi="Times New Roman" w:cs="Times New Roman"/>
                <w:sz w:val="21"/>
                <w:szCs w:val="21"/>
              </w:rPr>
            </w:pPr>
            <w:r w:rsidRPr="00522F9F">
              <w:rPr>
                <w:rFonts w:ascii="Times New Roman" w:hAnsi="Times New Roman" w:cs="Times New Roman"/>
                <w:sz w:val="21"/>
                <w:szCs w:val="21"/>
              </w:rPr>
              <w:t>Vascular disorders</w:t>
            </w:r>
          </w:p>
        </w:tc>
        <w:tc>
          <w:tcPr>
            <w:tcW w:w="4527" w:type="dxa"/>
            <w:tcBorders>
              <w:top w:val="single" w:sz="4" w:space="0" w:color="000000"/>
              <w:left w:val="single" w:sz="4" w:space="0" w:color="000000"/>
              <w:bottom w:val="single" w:sz="4" w:space="0" w:color="000000"/>
              <w:right w:val="single" w:sz="4" w:space="0" w:color="000000"/>
            </w:tcBorders>
          </w:tcPr>
          <w:p w14:paraId="517A2FBF" w14:textId="61E2E4DD" w:rsidR="00522F9F" w:rsidRPr="00DD1F63" w:rsidRDefault="00522F9F" w:rsidP="00377A09">
            <w:pPr>
              <w:spacing w:after="0" w:line="240" w:lineRule="auto"/>
              <w:ind w:left="0" w:firstLine="0"/>
              <w:jc w:val="left"/>
              <w:rPr>
                <w:rFonts w:ascii="Times New Roman" w:hAnsi="Times New Roman" w:cs="Times New Roman"/>
                <w:sz w:val="21"/>
                <w:szCs w:val="21"/>
              </w:rPr>
            </w:pPr>
            <w:r w:rsidRPr="002B7AA1">
              <w:rPr>
                <w:rFonts w:ascii="Times New Roman" w:hAnsi="Times New Roman" w:cs="Times New Roman"/>
                <w:sz w:val="21"/>
                <w:szCs w:val="21"/>
              </w:rPr>
              <w:t>Thrombosis</w:t>
            </w:r>
          </w:p>
        </w:tc>
      </w:tr>
      <w:tr w:rsidR="00C60257" w:rsidRPr="00DD1F63" w14:paraId="0D26300C" w14:textId="77777777" w:rsidTr="003F186E">
        <w:trPr>
          <w:trHeight w:val="87"/>
        </w:trPr>
        <w:tc>
          <w:tcPr>
            <w:tcW w:w="4075" w:type="dxa"/>
            <w:tcBorders>
              <w:top w:val="single" w:sz="4" w:space="0" w:color="000000"/>
              <w:left w:val="single" w:sz="4" w:space="0" w:color="000000"/>
              <w:bottom w:val="single" w:sz="4" w:space="0" w:color="000000"/>
              <w:right w:val="single" w:sz="4" w:space="0" w:color="000000"/>
            </w:tcBorders>
          </w:tcPr>
          <w:p w14:paraId="6126EBEF"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 </w:t>
            </w:r>
          </w:p>
        </w:tc>
        <w:tc>
          <w:tcPr>
            <w:tcW w:w="4527" w:type="dxa"/>
            <w:tcBorders>
              <w:top w:val="single" w:sz="4" w:space="0" w:color="000000"/>
              <w:left w:val="single" w:sz="4" w:space="0" w:color="000000"/>
              <w:bottom w:val="single" w:sz="4" w:space="0" w:color="000000"/>
              <w:right w:val="single" w:sz="4" w:space="0" w:color="000000"/>
            </w:tcBorders>
          </w:tcPr>
          <w:p w14:paraId="2D3609E4"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Pulmonary embolism, pulmonary fibrosis, pleural effusion </w:t>
            </w:r>
          </w:p>
        </w:tc>
      </w:tr>
      <w:tr w:rsidR="00C60257" w:rsidRPr="00DD1F63" w14:paraId="55781E98"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0D0DE307"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Gastrointestinal disorders </w:t>
            </w:r>
          </w:p>
        </w:tc>
        <w:tc>
          <w:tcPr>
            <w:tcW w:w="4527" w:type="dxa"/>
            <w:tcBorders>
              <w:top w:val="single" w:sz="4" w:space="0" w:color="000000"/>
              <w:left w:val="single" w:sz="4" w:space="0" w:color="000000"/>
              <w:bottom w:val="single" w:sz="4" w:space="0" w:color="000000"/>
              <w:right w:val="single" w:sz="4" w:space="0" w:color="000000"/>
            </w:tcBorders>
          </w:tcPr>
          <w:p w14:paraId="68CB2C87"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Intestinal perforation </w:t>
            </w:r>
          </w:p>
        </w:tc>
      </w:tr>
      <w:tr w:rsidR="00C60257" w:rsidRPr="00DD1F63" w14:paraId="2C89751F" w14:textId="77777777" w:rsidTr="003F186E">
        <w:trPr>
          <w:trHeight w:val="73"/>
        </w:trPr>
        <w:tc>
          <w:tcPr>
            <w:tcW w:w="4075" w:type="dxa"/>
            <w:tcBorders>
              <w:top w:val="single" w:sz="4" w:space="0" w:color="000000"/>
              <w:left w:val="single" w:sz="4" w:space="0" w:color="000000"/>
              <w:bottom w:val="single" w:sz="4" w:space="0" w:color="000000"/>
              <w:right w:val="single" w:sz="4" w:space="0" w:color="000000"/>
            </w:tcBorders>
          </w:tcPr>
          <w:p w14:paraId="7C3A881A"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Hepato-biliary disorders </w:t>
            </w:r>
          </w:p>
        </w:tc>
        <w:tc>
          <w:tcPr>
            <w:tcW w:w="4527" w:type="dxa"/>
            <w:tcBorders>
              <w:top w:val="single" w:sz="4" w:space="0" w:color="000000"/>
              <w:left w:val="single" w:sz="4" w:space="0" w:color="000000"/>
              <w:bottom w:val="single" w:sz="4" w:space="0" w:color="000000"/>
              <w:right w:val="single" w:sz="4" w:space="0" w:color="000000"/>
            </w:tcBorders>
          </w:tcPr>
          <w:p w14:paraId="6C845A4F" w14:textId="17EFA86C"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Reactivation of hepatitis B, liver failure, hepatitis </w:t>
            </w:r>
          </w:p>
        </w:tc>
      </w:tr>
      <w:tr w:rsidR="00C60257" w:rsidRPr="00DD1F63" w14:paraId="59CA1479" w14:textId="77777777" w:rsidTr="003F186E">
        <w:trPr>
          <w:trHeight w:val="1127"/>
        </w:trPr>
        <w:tc>
          <w:tcPr>
            <w:tcW w:w="4075" w:type="dxa"/>
            <w:tcBorders>
              <w:top w:val="single" w:sz="4" w:space="0" w:color="000000"/>
              <w:left w:val="single" w:sz="4" w:space="0" w:color="000000"/>
              <w:bottom w:val="single" w:sz="4" w:space="0" w:color="000000"/>
              <w:right w:val="single" w:sz="4" w:space="0" w:color="000000"/>
            </w:tcBorders>
          </w:tcPr>
          <w:p w14:paraId="305EF9CF"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Skin and subcutaneous tissue disorders </w:t>
            </w:r>
          </w:p>
        </w:tc>
        <w:tc>
          <w:tcPr>
            <w:tcW w:w="4527" w:type="dxa"/>
            <w:tcBorders>
              <w:top w:val="single" w:sz="4" w:space="0" w:color="000000"/>
              <w:left w:val="single" w:sz="4" w:space="0" w:color="000000"/>
              <w:bottom w:val="single" w:sz="4" w:space="0" w:color="000000"/>
              <w:right w:val="single" w:sz="4" w:space="0" w:color="000000"/>
            </w:tcBorders>
          </w:tcPr>
          <w:p w14:paraId="46A241FB"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Alopecia, angioedema, cutaneous vasculitis, new onset or worsening of psoriasis (including palmoplantar pustular psoriasis), erythema multiforme, Stevens Johnson Syndrome, lichenoid skin reaction* </w:t>
            </w:r>
          </w:p>
        </w:tc>
      </w:tr>
      <w:tr w:rsidR="00C60257" w:rsidRPr="00DD1F63" w14:paraId="538030EF" w14:textId="77777777" w:rsidTr="003F186E">
        <w:trPr>
          <w:trHeight w:val="56"/>
        </w:trPr>
        <w:tc>
          <w:tcPr>
            <w:tcW w:w="4075" w:type="dxa"/>
            <w:tcBorders>
              <w:top w:val="single" w:sz="4" w:space="0" w:color="000000"/>
              <w:left w:val="single" w:sz="4" w:space="0" w:color="000000"/>
              <w:bottom w:val="single" w:sz="4" w:space="0" w:color="000000"/>
              <w:right w:val="single" w:sz="4" w:space="0" w:color="000000"/>
            </w:tcBorders>
          </w:tcPr>
          <w:p w14:paraId="38803B14"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and connective tissue disorders </w:t>
            </w:r>
          </w:p>
        </w:tc>
        <w:tc>
          <w:tcPr>
            <w:tcW w:w="4527" w:type="dxa"/>
            <w:tcBorders>
              <w:top w:val="single" w:sz="4" w:space="0" w:color="000000"/>
              <w:left w:val="single" w:sz="4" w:space="0" w:color="000000"/>
              <w:bottom w:val="single" w:sz="4" w:space="0" w:color="000000"/>
              <w:right w:val="single" w:sz="4" w:space="0" w:color="000000"/>
            </w:tcBorders>
          </w:tcPr>
          <w:p w14:paraId="2A672EEE"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Lupus-like syndrome </w:t>
            </w:r>
          </w:p>
        </w:tc>
      </w:tr>
      <w:tr w:rsidR="00C60257" w:rsidRPr="00DD1F63" w14:paraId="326E5DC2" w14:textId="77777777" w:rsidTr="003F186E">
        <w:trPr>
          <w:trHeight w:val="89"/>
        </w:trPr>
        <w:tc>
          <w:tcPr>
            <w:tcW w:w="4075" w:type="dxa"/>
            <w:tcBorders>
              <w:top w:val="single" w:sz="4" w:space="0" w:color="000000"/>
              <w:left w:val="single" w:sz="4" w:space="0" w:color="000000"/>
              <w:bottom w:val="single" w:sz="4" w:space="0" w:color="000000"/>
              <w:right w:val="single" w:sz="4" w:space="0" w:color="000000"/>
            </w:tcBorders>
          </w:tcPr>
          <w:p w14:paraId="77E21DCF"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General disorders and administration site conditions </w:t>
            </w:r>
          </w:p>
        </w:tc>
        <w:tc>
          <w:tcPr>
            <w:tcW w:w="4527" w:type="dxa"/>
            <w:tcBorders>
              <w:top w:val="single" w:sz="4" w:space="0" w:color="000000"/>
              <w:left w:val="single" w:sz="4" w:space="0" w:color="000000"/>
              <w:bottom w:val="single" w:sz="4" w:space="0" w:color="000000"/>
              <w:right w:val="single" w:sz="4" w:space="0" w:color="000000"/>
            </w:tcBorders>
          </w:tcPr>
          <w:p w14:paraId="389E7800" w14:textId="77777777"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Pyrexia </w:t>
            </w:r>
          </w:p>
        </w:tc>
      </w:tr>
      <w:tr w:rsidR="00C60257" w:rsidRPr="00DD1F63" w14:paraId="2949CEFD" w14:textId="77777777" w:rsidTr="003F186E">
        <w:trPr>
          <w:trHeight w:val="42"/>
        </w:trPr>
        <w:tc>
          <w:tcPr>
            <w:tcW w:w="8602" w:type="dxa"/>
            <w:gridSpan w:val="2"/>
            <w:tcBorders>
              <w:top w:val="single" w:sz="4" w:space="0" w:color="000000"/>
              <w:left w:val="single" w:sz="4" w:space="0" w:color="000000"/>
              <w:bottom w:val="single" w:sz="4" w:space="0" w:color="000000"/>
              <w:right w:val="single" w:sz="4" w:space="0" w:color="000000"/>
            </w:tcBorders>
          </w:tcPr>
          <w:p w14:paraId="4F0FB970" w14:textId="5A0FAEBF" w:rsidR="00C60257" w:rsidRPr="00DD1F63" w:rsidRDefault="00C60257"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roofErr w:type="gramStart"/>
            <w:r w:rsidRPr="00DD1F63">
              <w:rPr>
                <w:rFonts w:ascii="Times New Roman" w:hAnsi="Times New Roman" w:cs="Times New Roman"/>
                <w:sz w:val="21"/>
                <w:szCs w:val="21"/>
              </w:rPr>
              <w:t>occurring</w:t>
            </w:r>
            <w:proofErr w:type="gramEnd"/>
            <w:r w:rsidRPr="00DD1F63">
              <w:rPr>
                <w:rFonts w:ascii="Times New Roman" w:hAnsi="Times New Roman" w:cs="Times New Roman"/>
                <w:sz w:val="21"/>
                <w:szCs w:val="21"/>
              </w:rPr>
              <w:t xml:space="preserve"> in patients receiving a TNF-antagonist including </w:t>
            </w:r>
            <w:r w:rsidR="007269A2" w:rsidRPr="00DD1F63">
              <w:rPr>
                <w:rFonts w:ascii="Times New Roman" w:hAnsi="Times New Roman" w:cs="Times New Roman"/>
                <w:sz w:val="21"/>
                <w:szCs w:val="21"/>
              </w:rPr>
              <w:t>adalimumab</w:t>
            </w:r>
          </w:p>
        </w:tc>
      </w:tr>
    </w:tbl>
    <w:p w14:paraId="1F6BE35A" w14:textId="06C3741B" w:rsidR="00A53F00" w:rsidRPr="00DD1F63" w:rsidRDefault="00A53F00" w:rsidP="00377A09">
      <w:pPr>
        <w:spacing w:after="0" w:line="240" w:lineRule="auto"/>
        <w:ind w:left="0" w:right="375" w:firstLine="0"/>
        <w:jc w:val="left"/>
        <w:rPr>
          <w:rFonts w:ascii="Times New Roman" w:hAnsi="Times New Roman" w:cs="Times New Roman"/>
        </w:rPr>
      </w:pPr>
    </w:p>
    <w:p w14:paraId="1D567891" w14:textId="6EF92A9C" w:rsidR="00862E5C" w:rsidRPr="00DD1F63" w:rsidRDefault="00862E5C" w:rsidP="00377A09">
      <w:pPr>
        <w:keepNext/>
        <w:spacing w:after="0" w:line="240" w:lineRule="auto"/>
        <w:ind w:left="425" w:hanging="11"/>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D74F94" w:rsidRPr="00D74F94">
        <w:rPr>
          <w:rFonts w:ascii="Times New Roman" w:hAnsi="Times New Roman" w:cs="Times New Roman"/>
          <w:sz w:val="22"/>
          <w:u w:val="single"/>
        </w:rPr>
        <w:t>Ciptunec</w:t>
      </w:r>
      <w:proofErr w:type="spellEnd"/>
      <w:r w:rsidR="00D74F94" w:rsidRPr="00D74F94" w:rsidDel="00D74F94">
        <w:rPr>
          <w:rFonts w:ascii="Times New Roman" w:hAnsi="Times New Roman" w:cs="Times New Roman"/>
          <w:sz w:val="22"/>
          <w:u w:val="single"/>
        </w:rPr>
        <w:t xml:space="preserve"> </w:t>
      </w:r>
      <w:r w:rsidRPr="00DD1F63">
        <w:rPr>
          <w:rFonts w:ascii="Times New Roman" w:hAnsi="Times New Roman" w:cs="Times New Roman"/>
          <w:sz w:val="22"/>
          <w:u w:val="single"/>
        </w:rPr>
        <w:t>with Humira</w:t>
      </w:r>
      <w:r w:rsidRPr="00DD1F63">
        <w:rPr>
          <w:rFonts w:ascii="Times New Roman" w:hAnsi="Times New Roman" w:cs="Times New Roman"/>
          <w:sz w:val="22"/>
          <w:u w:val="single"/>
          <w:vertAlign w:val="superscript"/>
        </w:rPr>
        <w:t>®</w:t>
      </w:r>
      <w:r w:rsidRPr="00DD1F63">
        <w:rPr>
          <w:rFonts w:ascii="Times New Roman" w:hAnsi="Times New Roman" w:cs="Times New Roman"/>
          <w:sz w:val="22"/>
          <w:u w:val="single"/>
        </w:rPr>
        <w:t xml:space="preserve"> </w:t>
      </w:r>
    </w:p>
    <w:p w14:paraId="195C2579" w14:textId="77777777" w:rsidR="00862E5C" w:rsidRPr="00DD1F63" w:rsidRDefault="00862E5C" w:rsidP="00377A09">
      <w:pPr>
        <w:keepNext/>
        <w:spacing w:after="0" w:line="240" w:lineRule="auto"/>
        <w:ind w:left="425" w:hanging="11"/>
        <w:jc w:val="left"/>
        <w:rPr>
          <w:rFonts w:ascii="Times New Roman" w:hAnsi="Times New Roman" w:cs="Times New Roman"/>
          <w:sz w:val="22"/>
        </w:rPr>
      </w:pPr>
    </w:p>
    <w:p w14:paraId="7F1661C7" w14:textId="100F118B" w:rsidR="00862E5C" w:rsidRPr="00DD1F63" w:rsidRDefault="00D74F94" w:rsidP="00377A09">
      <w:pPr>
        <w:spacing w:after="0" w:line="240" w:lineRule="auto"/>
        <w:ind w:left="426"/>
        <w:jc w:val="left"/>
        <w:rPr>
          <w:rFonts w:ascii="Times New Roman" w:hAnsi="Times New Roman" w:cs="Times New Roman"/>
          <w:sz w:val="22"/>
        </w:rPr>
      </w:pPr>
      <w:proofErr w:type="spellStart"/>
      <w:r w:rsidRPr="00D74F94">
        <w:rPr>
          <w:rFonts w:ascii="Times New Roman" w:hAnsi="Times New Roman" w:cs="Times New Roman"/>
          <w:sz w:val="22"/>
        </w:rPr>
        <w:t>Ciptunec</w:t>
      </w:r>
      <w:proofErr w:type="spellEnd"/>
      <w:r w:rsidRPr="00D74F94" w:rsidDel="00D74F94">
        <w:rPr>
          <w:rFonts w:ascii="Times New Roman" w:hAnsi="Times New Roman" w:cs="Times New Roman"/>
          <w:sz w:val="22"/>
        </w:rPr>
        <w:t xml:space="preserve"> </w:t>
      </w:r>
      <w:proofErr w:type="spellStart"/>
      <w:r w:rsidR="00862E5C" w:rsidRPr="00DD1F63">
        <w:rPr>
          <w:rFonts w:ascii="Times New Roman" w:hAnsi="Times New Roman" w:cs="Times New Roman"/>
          <w:sz w:val="22"/>
        </w:rPr>
        <w:t>PsO</w:t>
      </w:r>
      <w:proofErr w:type="spellEnd"/>
      <w:r w:rsidR="00862E5C" w:rsidRPr="00DD1F63">
        <w:rPr>
          <w:rFonts w:ascii="Times New Roman" w:hAnsi="Times New Roman" w:cs="Times New Roman"/>
          <w:sz w:val="22"/>
        </w:rPr>
        <w:t xml:space="preserve"> study showed clinical equivalence between </w:t>
      </w:r>
      <w:proofErr w:type="spellStart"/>
      <w:r w:rsidRPr="00D74F94">
        <w:rPr>
          <w:rFonts w:ascii="Times New Roman" w:hAnsi="Times New Roman" w:cs="Times New Roman"/>
          <w:sz w:val="22"/>
        </w:rPr>
        <w:t>Ciptunec</w:t>
      </w:r>
      <w:proofErr w:type="spellEnd"/>
      <w:r w:rsidRPr="00D74F94" w:rsidDel="00D74F94">
        <w:rPr>
          <w:rFonts w:ascii="Times New Roman" w:hAnsi="Times New Roman" w:cs="Times New Roman"/>
          <w:sz w:val="22"/>
        </w:rPr>
        <w:t xml:space="preserve"> </w:t>
      </w:r>
      <w:r w:rsidR="00862E5C" w:rsidRPr="00DD1F63">
        <w:rPr>
          <w:rFonts w:ascii="Times New Roman" w:hAnsi="Times New Roman" w:cs="Times New Roman"/>
          <w:sz w:val="22"/>
        </w:rPr>
        <w:t>and Humira</w:t>
      </w:r>
      <w:r w:rsidR="00862E5C" w:rsidRPr="00DD1F63">
        <w:rPr>
          <w:rFonts w:ascii="Times New Roman" w:hAnsi="Times New Roman" w:cs="Times New Roman"/>
          <w:sz w:val="22"/>
          <w:vertAlign w:val="superscript"/>
        </w:rPr>
        <w:t>®</w:t>
      </w:r>
      <w:r w:rsidR="00862E5C" w:rsidRPr="00DD1F63">
        <w:rPr>
          <w:rFonts w:ascii="Times New Roman" w:hAnsi="Times New Roman" w:cs="Times New Roman"/>
          <w:sz w:val="22"/>
        </w:rPr>
        <w:t xml:space="preserve"> (see section 5.1 Pharmacodynamic properties, Clinical trials). Table </w:t>
      </w:r>
      <w:r w:rsidR="00127F14" w:rsidRPr="00DD1F63">
        <w:rPr>
          <w:rFonts w:ascii="Times New Roman" w:hAnsi="Times New Roman" w:cs="Times New Roman"/>
          <w:sz w:val="22"/>
        </w:rPr>
        <w:t>4</w:t>
      </w:r>
      <w:r w:rsidR="00862E5C" w:rsidRPr="00DD1F63">
        <w:rPr>
          <w:rFonts w:ascii="Times New Roman" w:hAnsi="Times New Roman" w:cs="Times New Roman"/>
          <w:sz w:val="22"/>
        </w:rPr>
        <w:t xml:space="preserve"> below show comparative data for adverse events between </w:t>
      </w:r>
      <w:proofErr w:type="spellStart"/>
      <w:r w:rsidRPr="00D74F94">
        <w:rPr>
          <w:rFonts w:ascii="Times New Roman" w:hAnsi="Times New Roman" w:cs="Times New Roman"/>
          <w:sz w:val="22"/>
        </w:rPr>
        <w:t>Ciptunec</w:t>
      </w:r>
      <w:proofErr w:type="spellEnd"/>
      <w:r w:rsidRPr="00D74F94" w:rsidDel="00D74F94">
        <w:rPr>
          <w:rFonts w:ascii="Times New Roman" w:hAnsi="Times New Roman" w:cs="Times New Roman"/>
          <w:sz w:val="22"/>
        </w:rPr>
        <w:t xml:space="preserve"> </w:t>
      </w:r>
      <w:r w:rsidR="00862E5C" w:rsidRPr="00DD1F63">
        <w:rPr>
          <w:rFonts w:ascii="Times New Roman" w:hAnsi="Times New Roman" w:cs="Times New Roman"/>
          <w:sz w:val="22"/>
        </w:rPr>
        <w:t>and Humira</w:t>
      </w:r>
      <w:r w:rsidR="00862E5C" w:rsidRPr="00DD1F63">
        <w:rPr>
          <w:rFonts w:ascii="Times New Roman" w:hAnsi="Times New Roman" w:cs="Times New Roman"/>
          <w:sz w:val="22"/>
          <w:vertAlign w:val="superscript"/>
        </w:rPr>
        <w:t>®</w:t>
      </w:r>
      <w:r w:rsidR="00862E5C" w:rsidRPr="00DD1F63">
        <w:rPr>
          <w:rFonts w:ascii="Times New Roman" w:hAnsi="Times New Roman" w:cs="Times New Roman"/>
          <w:sz w:val="22"/>
        </w:rPr>
        <w:t xml:space="preserve"> from the </w:t>
      </w:r>
      <w:proofErr w:type="spellStart"/>
      <w:r w:rsidR="00862E5C" w:rsidRPr="00DD1F63">
        <w:rPr>
          <w:rFonts w:ascii="Times New Roman" w:hAnsi="Times New Roman" w:cs="Times New Roman"/>
          <w:sz w:val="22"/>
        </w:rPr>
        <w:t>PsO</w:t>
      </w:r>
      <w:proofErr w:type="spellEnd"/>
      <w:r w:rsidR="00862E5C" w:rsidRPr="00DD1F63">
        <w:rPr>
          <w:rFonts w:ascii="Times New Roman" w:hAnsi="Times New Roman" w:cs="Times New Roman"/>
          <w:sz w:val="22"/>
        </w:rPr>
        <w:t xml:space="preserve"> study. </w:t>
      </w:r>
    </w:p>
    <w:p w14:paraId="18B212CB" w14:textId="77777777" w:rsidR="00862E5C" w:rsidRPr="00DD1F63" w:rsidRDefault="00862E5C" w:rsidP="00377A09">
      <w:pPr>
        <w:spacing w:after="0" w:line="240" w:lineRule="auto"/>
        <w:ind w:left="426"/>
        <w:jc w:val="left"/>
        <w:rPr>
          <w:rFonts w:ascii="Times New Roman" w:hAnsi="Times New Roman" w:cs="Times New Roman"/>
          <w:sz w:val="22"/>
        </w:rPr>
      </w:pPr>
    </w:p>
    <w:p w14:paraId="0287C732" w14:textId="6BC0E6ED" w:rsidR="00862E5C" w:rsidRPr="00DD1F63" w:rsidRDefault="00862E5C"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data in Table </w:t>
      </w:r>
      <w:r w:rsidR="00127F14" w:rsidRPr="00DD1F63">
        <w:rPr>
          <w:rFonts w:ascii="Times New Roman" w:hAnsi="Times New Roman" w:cs="Times New Roman"/>
          <w:sz w:val="22"/>
        </w:rPr>
        <w:t>4</w:t>
      </w:r>
      <w:r w:rsidRPr="00DD1F63">
        <w:rPr>
          <w:rFonts w:ascii="Times New Roman" w:hAnsi="Times New Roman" w:cs="Times New Roman"/>
          <w:sz w:val="22"/>
        </w:rPr>
        <w:t xml:space="preserve"> reflects exposure to </w:t>
      </w:r>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r w:rsidRPr="00DD1F63">
        <w:rPr>
          <w:rFonts w:ascii="Times New Roman" w:hAnsi="Times New Roman" w:cs="Times New Roman"/>
          <w:sz w:val="22"/>
        </w:rPr>
        <w:t xml:space="preserve">/ </w:t>
      </w:r>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r w:rsidRPr="00DD1F63">
        <w:rPr>
          <w:rFonts w:ascii="Times New Roman" w:hAnsi="Times New Roman" w:cs="Times New Roman"/>
          <w:sz w:val="22"/>
        </w:rPr>
        <w:t>in 197 subjects,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in 98 subjects, 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r w:rsidRPr="00DD1F63">
        <w:rPr>
          <w:rFonts w:ascii="Times New Roman" w:hAnsi="Times New Roman" w:cs="Times New Roman"/>
          <w:sz w:val="22"/>
        </w:rPr>
        <w:t xml:space="preserve">in 97 subjects in 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treated at the recommended dose and schedule for a median of 10</w:t>
      </w:r>
      <w:r w:rsidR="003A68E2" w:rsidRPr="00DD1F63">
        <w:rPr>
          <w:rFonts w:ascii="Times New Roman" w:hAnsi="Times New Roman" w:cs="Times New Roman"/>
          <w:sz w:val="22"/>
        </w:rPr>
        <w:t>-</w:t>
      </w:r>
      <w:r w:rsidRPr="00DD1F63">
        <w:rPr>
          <w:rFonts w:ascii="Times New Roman" w:hAnsi="Times New Roman" w:cs="Times New Roman"/>
          <w:sz w:val="22"/>
        </w:rPr>
        <w:t xml:space="preserve">40 mg doses (see section 5.1 Clinical trials). </w:t>
      </w:r>
    </w:p>
    <w:p w14:paraId="2DF18DA6" w14:textId="77777777" w:rsidR="00862E5C" w:rsidRPr="00DD1F63" w:rsidRDefault="00862E5C" w:rsidP="00377A09">
      <w:pPr>
        <w:spacing w:after="0" w:line="240" w:lineRule="auto"/>
        <w:ind w:left="426"/>
        <w:jc w:val="left"/>
        <w:rPr>
          <w:rFonts w:ascii="Times New Roman" w:hAnsi="Times New Roman" w:cs="Times New Roman"/>
          <w:sz w:val="22"/>
        </w:rPr>
      </w:pPr>
    </w:p>
    <w:p w14:paraId="26D3F3E6" w14:textId="05C091E3" w:rsidR="00862E5C" w:rsidRPr="00DD1F63" w:rsidRDefault="00862E5C"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overall safety profiles of the </w:t>
      </w:r>
      <w:proofErr w:type="spellStart"/>
      <w:r w:rsidR="00D74F94" w:rsidRPr="00D74F94">
        <w:rPr>
          <w:rFonts w:ascii="Times New Roman" w:hAnsi="Times New Roman" w:cs="Times New Roman"/>
          <w:sz w:val="22"/>
        </w:rPr>
        <w:t>Ciptunec</w:t>
      </w:r>
      <w:proofErr w:type="spellEnd"/>
      <w:r w:rsidRPr="00DD1F63">
        <w:rPr>
          <w:rFonts w:ascii="Times New Roman" w:hAnsi="Times New Roman" w:cs="Times New Roman"/>
          <w:sz w:val="22"/>
        </w:rPr>
        <w:t xml:space="preserve">/ </w:t>
      </w:r>
      <w:proofErr w:type="spellStart"/>
      <w:r w:rsidR="00D74F94" w:rsidRPr="00D74F94">
        <w:rPr>
          <w:rFonts w:ascii="Times New Roman" w:hAnsi="Times New Roman" w:cs="Times New Roman"/>
          <w:sz w:val="22"/>
        </w:rPr>
        <w:t>Ciptunec</w:t>
      </w:r>
      <w:proofErr w:type="spellEnd"/>
      <w:r w:rsidRPr="00DD1F63">
        <w:rPr>
          <w:rFonts w:ascii="Times New Roman" w:hAnsi="Times New Roman" w:cs="Times New Roman"/>
          <w:sz w:val="22"/>
        </w:rPr>
        <w:t>,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and Humira</w:t>
      </w:r>
      <w:r w:rsidRPr="00DD1F63">
        <w:rPr>
          <w:rFonts w:ascii="Times New Roman" w:hAnsi="Times New Roman" w:cs="Times New Roman"/>
          <w:sz w:val="22"/>
          <w:vertAlign w:val="superscript"/>
        </w:rPr>
        <w:t>®</w:t>
      </w:r>
      <w:r w:rsidRPr="00DD1F63">
        <w:rPr>
          <w:rFonts w:ascii="Times New Roman" w:hAnsi="Times New Roman" w:cs="Times New Roman"/>
          <w:sz w:val="22"/>
        </w:rPr>
        <w:t>/</w:t>
      </w:r>
      <w:r w:rsidR="00D74F94" w:rsidRPr="00D74F94">
        <w:t xml:space="preserve"> </w:t>
      </w:r>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r w:rsidRPr="00DD1F63">
        <w:rPr>
          <w:rFonts w:ascii="Times New Roman" w:hAnsi="Times New Roman" w:cs="Times New Roman"/>
          <w:sz w:val="22"/>
        </w:rPr>
        <w:t>groups were similar.</w:t>
      </w:r>
    </w:p>
    <w:p w14:paraId="57E84778" w14:textId="050AAAC7" w:rsidR="00862E5C" w:rsidRPr="00DD1F63" w:rsidRDefault="00862E5C" w:rsidP="00377A09">
      <w:pPr>
        <w:spacing w:after="0" w:line="240" w:lineRule="auto"/>
        <w:ind w:left="426"/>
        <w:jc w:val="left"/>
        <w:rPr>
          <w:rFonts w:ascii="Times New Roman" w:hAnsi="Times New Roman" w:cs="Times New Roman"/>
          <w:sz w:val="22"/>
        </w:rPr>
      </w:pPr>
    </w:p>
    <w:p w14:paraId="05464227" w14:textId="2F0BED65" w:rsidR="00862E5C" w:rsidRPr="00DD1F63" w:rsidRDefault="00862E5C" w:rsidP="00377A09">
      <w:pPr>
        <w:spacing w:after="0" w:line="240" w:lineRule="auto"/>
        <w:ind w:left="426"/>
        <w:jc w:val="left"/>
        <w:rPr>
          <w:rFonts w:ascii="Times New Roman" w:hAnsi="Times New Roman" w:cs="Times New Roman"/>
          <w:b/>
          <w:bCs/>
          <w:sz w:val="22"/>
        </w:rPr>
      </w:pPr>
      <w:r w:rsidRPr="00DD1F63">
        <w:rPr>
          <w:rFonts w:ascii="Times New Roman" w:hAnsi="Times New Roman" w:cs="Times New Roman"/>
          <w:b/>
          <w:bCs/>
          <w:sz w:val="22"/>
        </w:rPr>
        <w:t xml:space="preserve">Table </w:t>
      </w:r>
      <w:r w:rsidR="00127F14" w:rsidRPr="00DD1F63">
        <w:rPr>
          <w:rFonts w:ascii="Times New Roman" w:hAnsi="Times New Roman" w:cs="Times New Roman"/>
          <w:b/>
          <w:bCs/>
          <w:sz w:val="22"/>
        </w:rPr>
        <w:t>4</w:t>
      </w:r>
      <w:r w:rsidRPr="00DD1F63">
        <w:rPr>
          <w:rFonts w:ascii="Times New Roman" w:hAnsi="Times New Roman" w:cs="Times New Roman"/>
          <w:b/>
          <w:bCs/>
          <w:sz w:val="22"/>
        </w:rPr>
        <w:t xml:space="preserve">. Adverse events reported by ≥ </w:t>
      </w:r>
      <w:r w:rsidR="0085306A" w:rsidRPr="00DD1F63">
        <w:rPr>
          <w:rFonts w:ascii="Times New Roman" w:hAnsi="Times New Roman" w:cs="Times New Roman"/>
          <w:b/>
          <w:bCs/>
          <w:sz w:val="22"/>
        </w:rPr>
        <w:t>1</w:t>
      </w:r>
      <w:r w:rsidRPr="00DD1F63">
        <w:rPr>
          <w:rFonts w:ascii="Times New Roman" w:hAnsi="Times New Roman" w:cs="Times New Roman"/>
          <w:b/>
          <w:bCs/>
          <w:sz w:val="22"/>
        </w:rPr>
        <w:t xml:space="preserve"> % of patients treated with </w:t>
      </w:r>
      <w:proofErr w:type="spellStart"/>
      <w:r w:rsidR="00D74F94" w:rsidRPr="00D74F94">
        <w:rPr>
          <w:rFonts w:ascii="Times New Roman" w:hAnsi="Times New Roman" w:cs="Times New Roman"/>
          <w:b/>
          <w:bCs/>
          <w:sz w:val="22"/>
        </w:rPr>
        <w:t>Ciptunec</w:t>
      </w:r>
      <w:proofErr w:type="spellEnd"/>
      <w:r w:rsidRPr="00DD1F63">
        <w:rPr>
          <w:rFonts w:ascii="Times New Roman" w:hAnsi="Times New Roman" w:cs="Times New Roman"/>
          <w:b/>
          <w:bCs/>
          <w:sz w:val="22"/>
        </w:rPr>
        <w:t xml:space="preserve">, adalimumab or adalimumab switched to </w:t>
      </w:r>
      <w:proofErr w:type="spellStart"/>
      <w:r w:rsidR="00D74F94" w:rsidRPr="00D74F94">
        <w:rPr>
          <w:rFonts w:ascii="Times New Roman" w:hAnsi="Times New Roman" w:cs="Times New Roman"/>
          <w:b/>
          <w:bCs/>
          <w:sz w:val="22"/>
        </w:rPr>
        <w:t>Ciptunec</w:t>
      </w:r>
      <w:proofErr w:type="spellEnd"/>
      <w:r w:rsidR="00D74F94" w:rsidRPr="00D74F94" w:rsidDel="00D74F94">
        <w:rPr>
          <w:rFonts w:ascii="Times New Roman" w:hAnsi="Times New Roman" w:cs="Times New Roman"/>
          <w:b/>
          <w:bCs/>
          <w:sz w:val="22"/>
        </w:rPr>
        <w:t xml:space="preserve"> </w:t>
      </w:r>
      <w:r w:rsidRPr="00DD1F63">
        <w:rPr>
          <w:rFonts w:ascii="Times New Roman" w:hAnsi="Times New Roman" w:cs="Times New Roman"/>
          <w:b/>
          <w:bCs/>
          <w:sz w:val="22"/>
        </w:rPr>
        <w:t>in psoriasis study</w:t>
      </w:r>
    </w:p>
    <w:p w14:paraId="3EC1A410" w14:textId="25BFE0D7" w:rsidR="00862E5C" w:rsidRPr="00DD1F63" w:rsidRDefault="00862E5C" w:rsidP="00377A09">
      <w:pPr>
        <w:spacing w:after="0" w:line="240" w:lineRule="auto"/>
        <w:jc w:val="left"/>
        <w:rPr>
          <w:rFonts w:ascii="Times New Roman" w:hAnsi="Times New Roman" w:cs="Times New Roman"/>
          <w:b/>
          <w:bCs/>
        </w:rPr>
      </w:pPr>
    </w:p>
    <w:tbl>
      <w:tblPr>
        <w:tblStyle w:val="TableGrid0"/>
        <w:tblW w:w="9527" w:type="dxa"/>
        <w:tblInd w:w="421" w:type="dxa"/>
        <w:tblLook w:val="04A0" w:firstRow="1" w:lastRow="0" w:firstColumn="1" w:lastColumn="0" w:noHBand="0" w:noVBand="1"/>
      </w:tblPr>
      <w:tblGrid>
        <w:gridCol w:w="4344"/>
        <w:gridCol w:w="1474"/>
        <w:gridCol w:w="1802"/>
        <w:gridCol w:w="1907"/>
      </w:tblGrid>
      <w:tr w:rsidR="007227A4" w:rsidRPr="00DD1F63" w14:paraId="177D1513" w14:textId="77777777" w:rsidTr="00D85673">
        <w:trPr>
          <w:trHeight w:val="283"/>
        </w:trPr>
        <w:tc>
          <w:tcPr>
            <w:tcW w:w="4398" w:type="dxa"/>
            <w:vAlign w:val="center"/>
          </w:tcPr>
          <w:p w14:paraId="15B5D2C1" w14:textId="77777777" w:rsidR="007227A4" w:rsidRPr="00DD1F63" w:rsidRDefault="007227A4" w:rsidP="00377A09">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lastRenderedPageBreak/>
              <w:t>Adverse events (preferred term)</w:t>
            </w:r>
          </w:p>
        </w:tc>
        <w:tc>
          <w:tcPr>
            <w:tcW w:w="1485" w:type="dxa"/>
            <w:vAlign w:val="center"/>
          </w:tcPr>
          <w:p w14:paraId="7B62F98C" w14:textId="742E3513" w:rsidR="007227A4" w:rsidRPr="00DD1F63" w:rsidRDefault="00D74F94" w:rsidP="00377A09">
            <w:pPr>
              <w:spacing w:after="0" w:line="240" w:lineRule="auto"/>
              <w:ind w:left="11" w:hanging="11"/>
              <w:jc w:val="left"/>
              <w:rPr>
                <w:rFonts w:ascii="Times New Roman" w:hAnsi="Times New Roman" w:cs="Times New Roman"/>
                <w:b/>
                <w:bCs/>
                <w:sz w:val="21"/>
                <w:szCs w:val="21"/>
              </w:rPr>
            </w:pPr>
            <w:proofErr w:type="spellStart"/>
            <w:r w:rsidRPr="00D74F94">
              <w:rPr>
                <w:rFonts w:ascii="Times New Roman" w:hAnsi="Times New Roman" w:cs="Times New Roman"/>
                <w:b/>
                <w:bCs/>
                <w:sz w:val="21"/>
                <w:szCs w:val="21"/>
              </w:rPr>
              <w:t>Ciptunec</w:t>
            </w:r>
            <w:proofErr w:type="spellEnd"/>
            <w:r w:rsidR="007227A4" w:rsidRPr="00DD1F63">
              <w:rPr>
                <w:rFonts w:ascii="Times New Roman" w:hAnsi="Times New Roman" w:cs="Times New Roman"/>
                <w:b/>
                <w:bCs/>
                <w:sz w:val="21"/>
                <w:szCs w:val="21"/>
                <w:lang w:val="en-US"/>
              </w:rPr>
              <w:t>/</w:t>
            </w:r>
            <w:r>
              <w:rPr>
                <w:rFonts w:ascii="Times New Roman" w:hAnsi="Times New Roman" w:cs="Times New Roman"/>
                <w:b/>
                <w:bCs/>
                <w:sz w:val="21"/>
                <w:szCs w:val="21"/>
                <w:lang w:val="en-US"/>
              </w:rPr>
              <w:t xml:space="preserve"> </w:t>
            </w:r>
            <w:proofErr w:type="spellStart"/>
            <w:r w:rsidRPr="00D74F94">
              <w:rPr>
                <w:rFonts w:ascii="Times New Roman" w:hAnsi="Times New Roman" w:cs="Times New Roman"/>
                <w:b/>
                <w:bCs/>
                <w:sz w:val="21"/>
                <w:szCs w:val="21"/>
              </w:rPr>
              <w:t>Ciptunec</w:t>
            </w:r>
            <w:proofErr w:type="spellEnd"/>
            <w:r w:rsidR="007227A4" w:rsidRPr="00DD1F63">
              <w:rPr>
                <w:rFonts w:ascii="Times New Roman" w:hAnsi="Times New Roman" w:cs="Times New Roman"/>
                <w:b/>
                <w:bCs/>
                <w:sz w:val="21"/>
                <w:szCs w:val="21"/>
                <w:lang w:val="en-US"/>
              </w:rPr>
              <w:t xml:space="preserve"> </w:t>
            </w:r>
          </w:p>
          <w:p w14:paraId="1F0C5BFC" w14:textId="77777777" w:rsidR="007227A4" w:rsidRPr="00DD1F63" w:rsidRDefault="007227A4" w:rsidP="00377A09">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(n =197)</w:t>
            </w:r>
          </w:p>
        </w:tc>
        <w:tc>
          <w:tcPr>
            <w:tcW w:w="1822" w:type="dxa"/>
            <w:vAlign w:val="center"/>
          </w:tcPr>
          <w:p w14:paraId="7A2A4AD2" w14:textId="46E7D65E" w:rsidR="00D74F94" w:rsidRDefault="007227A4" w:rsidP="00377A09">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Humira</w:t>
            </w:r>
            <w:r w:rsidRPr="00DD1F63">
              <w:rPr>
                <w:rFonts w:ascii="Times New Roman" w:hAnsi="Times New Roman" w:cs="Times New Roman"/>
                <w:b/>
                <w:bCs/>
                <w:sz w:val="21"/>
                <w:szCs w:val="21"/>
                <w:vertAlign w:val="superscript"/>
              </w:rPr>
              <w:t>®</w:t>
            </w:r>
            <w:r w:rsidRPr="00DD1F63">
              <w:rPr>
                <w:rFonts w:ascii="Times New Roman" w:hAnsi="Times New Roman" w:cs="Times New Roman"/>
                <w:b/>
                <w:bCs/>
                <w:sz w:val="21"/>
                <w:szCs w:val="21"/>
              </w:rPr>
              <w:t xml:space="preserve">/ </w:t>
            </w:r>
            <w:proofErr w:type="spellStart"/>
            <w:r w:rsidR="00D74F94" w:rsidRPr="00D74F94">
              <w:rPr>
                <w:rFonts w:ascii="Times New Roman" w:hAnsi="Times New Roman" w:cs="Times New Roman"/>
                <w:b/>
                <w:bCs/>
                <w:sz w:val="21"/>
                <w:szCs w:val="21"/>
              </w:rPr>
              <w:t>Ciptunec</w:t>
            </w:r>
            <w:proofErr w:type="spellEnd"/>
          </w:p>
          <w:p w14:paraId="275EA3C3" w14:textId="36D08FD2" w:rsidR="007227A4" w:rsidRPr="00DD1F63" w:rsidRDefault="007227A4" w:rsidP="00377A09">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 xml:space="preserve"> (n = 97)</w:t>
            </w:r>
          </w:p>
        </w:tc>
        <w:tc>
          <w:tcPr>
            <w:tcW w:w="1822" w:type="dxa"/>
            <w:vAlign w:val="center"/>
          </w:tcPr>
          <w:p w14:paraId="38318A38" w14:textId="473AF1FD" w:rsidR="007227A4" w:rsidRPr="00DD1F63" w:rsidRDefault="007227A4" w:rsidP="00377A09">
            <w:pPr>
              <w:spacing w:after="0" w:line="240" w:lineRule="auto"/>
              <w:ind w:left="11" w:hanging="11"/>
              <w:jc w:val="left"/>
              <w:rPr>
                <w:rFonts w:ascii="Times New Roman" w:hAnsi="Times New Roman" w:cs="Times New Roman"/>
                <w:b/>
                <w:bCs/>
                <w:sz w:val="21"/>
                <w:szCs w:val="21"/>
                <w:vertAlign w:val="superscript"/>
              </w:rPr>
            </w:pPr>
            <w:r w:rsidRPr="00DD1F63">
              <w:rPr>
                <w:rFonts w:ascii="Times New Roman" w:hAnsi="Times New Roman" w:cs="Times New Roman"/>
                <w:b/>
                <w:bCs/>
                <w:sz w:val="21"/>
                <w:szCs w:val="21"/>
              </w:rPr>
              <w:t>Humira</w:t>
            </w:r>
            <w:r w:rsidRPr="00DD1F63">
              <w:rPr>
                <w:rFonts w:ascii="Times New Roman" w:hAnsi="Times New Roman" w:cs="Times New Roman"/>
                <w:b/>
                <w:bCs/>
                <w:sz w:val="21"/>
                <w:szCs w:val="21"/>
                <w:vertAlign w:val="superscript"/>
              </w:rPr>
              <w:t>®</w:t>
            </w:r>
            <w:r w:rsidRPr="00DD1F63">
              <w:rPr>
                <w:rFonts w:ascii="Times New Roman" w:hAnsi="Times New Roman" w:cs="Times New Roman"/>
                <w:b/>
                <w:bCs/>
                <w:sz w:val="21"/>
                <w:szCs w:val="21"/>
              </w:rPr>
              <w:t>/Humira</w:t>
            </w:r>
            <w:r w:rsidRPr="00DD1F63">
              <w:rPr>
                <w:rFonts w:ascii="Times New Roman" w:hAnsi="Times New Roman" w:cs="Times New Roman"/>
                <w:b/>
                <w:bCs/>
                <w:sz w:val="21"/>
                <w:szCs w:val="21"/>
                <w:vertAlign w:val="superscript"/>
              </w:rPr>
              <w:t>®</w:t>
            </w:r>
          </w:p>
          <w:p w14:paraId="5F905E9C" w14:textId="77777777" w:rsidR="007227A4" w:rsidRPr="00DD1F63" w:rsidRDefault="007227A4" w:rsidP="00377A09">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(n = 98)</w:t>
            </w:r>
          </w:p>
        </w:tc>
      </w:tr>
      <w:tr w:rsidR="007227A4" w:rsidRPr="00DD1F63" w14:paraId="34AD62E1" w14:textId="77777777" w:rsidTr="00D85673">
        <w:trPr>
          <w:trHeight w:val="283"/>
        </w:trPr>
        <w:tc>
          <w:tcPr>
            <w:tcW w:w="4398" w:type="dxa"/>
            <w:vAlign w:val="center"/>
          </w:tcPr>
          <w:p w14:paraId="349E4043" w14:textId="3EE731B0" w:rsidR="007227A4" w:rsidRPr="00DD1F63" w:rsidRDefault="007227A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Blood and lymphatic system Disorders</w:t>
            </w:r>
          </w:p>
        </w:tc>
        <w:tc>
          <w:tcPr>
            <w:tcW w:w="1485" w:type="dxa"/>
            <w:vAlign w:val="center"/>
          </w:tcPr>
          <w:p w14:paraId="36141352"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1B2DFBFE"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3B36077B" w14:textId="45F744F7"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2A3624DC" w14:textId="77777777" w:rsidTr="00D85673">
        <w:trPr>
          <w:trHeight w:val="283"/>
        </w:trPr>
        <w:tc>
          <w:tcPr>
            <w:tcW w:w="4398" w:type="dxa"/>
            <w:vAlign w:val="center"/>
          </w:tcPr>
          <w:p w14:paraId="3D250A76" w14:textId="3FD747ED" w:rsidR="007227A4" w:rsidRPr="00DD1F63" w:rsidRDefault="007227A4" w:rsidP="00377A09">
            <w:pPr>
              <w:spacing w:after="0" w:line="240" w:lineRule="auto"/>
              <w:ind w:left="308" w:hanging="11"/>
              <w:jc w:val="left"/>
              <w:rPr>
                <w:rFonts w:ascii="Times New Roman" w:hAnsi="Times New Roman" w:cs="Times New Roman"/>
                <w:sz w:val="21"/>
                <w:szCs w:val="21"/>
              </w:rPr>
            </w:pPr>
            <w:r w:rsidRPr="00DD1F63">
              <w:rPr>
                <w:rFonts w:ascii="Times New Roman" w:eastAsiaTheme="minorEastAsia" w:hAnsi="Times New Roman" w:cs="Times New Roman"/>
                <w:color w:val="auto"/>
                <w:sz w:val="21"/>
                <w:szCs w:val="21"/>
              </w:rPr>
              <w:t>Anaemia</w:t>
            </w:r>
          </w:p>
        </w:tc>
        <w:tc>
          <w:tcPr>
            <w:tcW w:w="1485" w:type="dxa"/>
            <w:vAlign w:val="center"/>
          </w:tcPr>
          <w:p w14:paraId="510F2336" w14:textId="0550C94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14237F5B" w14:textId="27D69DA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CC6C05C" w14:textId="275CBA0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16B48CB7" w14:textId="77777777" w:rsidTr="00D85673">
        <w:trPr>
          <w:trHeight w:val="283"/>
        </w:trPr>
        <w:tc>
          <w:tcPr>
            <w:tcW w:w="4398" w:type="dxa"/>
            <w:vAlign w:val="center"/>
          </w:tcPr>
          <w:p w14:paraId="59C8FFB9" w14:textId="1580040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Leukopenia</w:t>
            </w:r>
          </w:p>
        </w:tc>
        <w:tc>
          <w:tcPr>
            <w:tcW w:w="1485" w:type="dxa"/>
            <w:vAlign w:val="center"/>
          </w:tcPr>
          <w:p w14:paraId="0F0742F0" w14:textId="2B5A55B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23A4FC99" w14:textId="43975B3F"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49FA5CA" w14:textId="20944CD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005F8819" w14:textId="77777777" w:rsidTr="00D85673">
        <w:trPr>
          <w:trHeight w:val="283"/>
        </w:trPr>
        <w:tc>
          <w:tcPr>
            <w:tcW w:w="4398" w:type="dxa"/>
            <w:vAlign w:val="center"/>
          </w:tcPr>
          <w:p w14:paraId="147F1845" w14:textId="58D71954"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Cardiac disorders</w:t>
            </w:r>
          </w:p>
        </w:tc>
        <w:tc>
          <w:tcPr>
            <w:tcW w:w="1485" w:type="dxa"/>
            <w:vAlign w:val="center"/>
          </w:tcPr>
          <w:p w14:paraId="6AD2DD11"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106DDF43"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3677B263" w14:textId="4215E2B2"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346B2411" w14:textId="77777777" w:rsidTr="00D85673">
        <w:trPr>
          <w:trHeight w:val="283"/>
        </w:trPr>
        <w:tc>
          <w:tcPr>
            <w:tcW w:w="4398" w:type="dxa"/>
            <w:vAlign w:val="center"/>
          </w:tcPr>
          <w:p w14:paraId="4D549548" w14:textId="0966108B"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Tachycardia</w:t>
            </w:r>
          </w:p>
        </w:tc>
        <w:tc>
          <w:tcPr>
            <w:tcW w:w="1485" w:type="dxa"/>
            <w:vAlign w:val="center"/>
          </w:tcPr>
          <w:p w14:paraId="40EFC1D9" w14:textId="74549C7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373025ED" w14:textId="6D042CB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8EC81BD" w14:textId="5434696E"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36CEB1E9" w14:textId="77777777" w:rsidTr="00D85673">
        <w:trPr>
          <w:trHeight w:val="283"/>
        </w:trPr>
        <w:tc>
          <w:tcPr>
            <w:tcW w:w="4398" w:type="dxa"/>
            <w:vAlign w:val="center"/>
          </w:tcPr>
          <w:p w14:paraId="71761D49" w14:textId="2DE9453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Ventricular extrasystoles</w:t>
            </w:r>
          </w:p>
        </w:tc>
        <w:tc>
          <w:tcPr>
            <w:tcW w:w="1485" w:type="dxa"/>
            <w:vAlign w:val="center"/>
          </w:tcPr>
          <w:p w14:paraId="5B4E6138" w14:textId="79BD9206"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43BA409" w14:textId="7897F40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8F48A2B" w14:textId="787A8AEF"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7609B598" w14:textId="77777777" w:rsidTr="00D85673">
        <w:trPr>
          <w:trHeight w:val="283"/>
        </w:trPr>
        <w:tc>
          <w:tcPr>
            <w:tcW w:w="4398" w:type="dxa"/>
            <w:vAlign w:val="center"/>
          </w:tcPr>
          <w:p w14:paraId="2AC0E1E2" w14:textId="1D9D0511"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Eye disorders</w:t>
            </w:r>
          </w:p>
        </w:tc>
        <w:tc>
          <w:tcPr>
            <w:tcW w:w="1485" w:type="dxa"/>
            <w:vAlign w:val="center"/>
          </w:tcPr>
          <w:p w14:paraId="44A66C8C"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5D973E2D"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3F9F21B5" w14:textId="0D47ECB0"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5A2D9AC0" w14:textId="77777777" w:rsidTr="00D85673">
        <w:trPr>
          <w:trHeight w:val="283"/>
        </w:trPr>
        <w:tc>
          <w:tcPr>
            <w:tcW w:w="4398" w:type="dxa"/>
            <w:vAlign w:val="center"/>
          </w:tcPr>
          <w:p w14:paraId="2D1CD8BB" w14:textId="0271DCD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Cataract</w:t>
            </w:r>
          </w:p>
        </w:tc>
        <w:tc>
          <w:tcPr>
            <w:tcW w:w="1485" w:type="dxa"/>
            <w:vAlign w:val="center"/>
          </w:tcPr>
          <w:p w14:paraId="46B338AE" w14:textId="1030E88A"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20854EF" w14:textId="3F55B765"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64924546" w14:textId="56697F8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581A59D" w14:textId="77777777" w:rsidTr="00D85673">
        <w:trPr>
          <w:trHeight w:val="283"/>
        </w:trPr>
        <w:tc>
          <w:tcPr>
            <w:tcW w:w="4398" w:type="dxa"/>
            <w:vAlign w:val="center"/>
          </w:tcPr>
          <w:p w14:paraId="39EDE13E" w14:textId="07B5F3CD"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Keratitis</w:t>
            </w:r>
          </w:p>
        </w:tc>
        <w:tc>
          <w:tcPr>
            <w:tcW w:w="1485" w:type="dxa"/>
            <w:vAlign w:val="center"/>
          </w:tcPr>
          <w:p w14:paraId="75E6DAFE" w14:textId="284F003E"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0F1322B" w14:textId="79C910F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346C4074" w14:textId="319C56F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B2C0BF0" w14:textId="77777777" w:rsidTr="00D85673">
        <w:trPr>
          <w:trHeight w:val="283"/>
        </w:trPr>
        <w:tc>
          <w:tcPr>
            <w:tcW w:w="4398" w:type="dxa"/>
            <w:vAlign w:val="center"/>
          </w:tcPr>
          <w:p w14:paraId="6BAE0AA3" w14:textId="18563977"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Gastrointestinal disorders</w:t>
            </w:r>
          </w:p>
        </w:tc>
        <w:tc>
          <w:tcPr>
            <w:tcW w:w="1485" w:type="dxa"/>
            <w:vAlign w:val="center"/>
          </w:tcPr>
          <w:p w14:paraId="0EDB065B"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4D58ECD9"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038F7D58" w14:textId="0D0C1821"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544C250D" w14:textId="77777777" w:rsidTr="00D85673">
        <w:trPr>
          <w:trHeight w:val="283"/>
        </w:trPr>
        <w:tc>
          <w:tcPr>
            <w:tcW w:w="4398" w:type="dxa"/>
            <w:vAlign w:val="center"/>
          </w:tcPr>
          <w:p w14:paraId="6C84C4C9" w14:textId="51003BCE"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Abdominal hernia</w:t>
            </w:r>
          </w:p>
        </w:tc>
        <w:tc>
          <w:tcPr>
            <w:tcW w:w="1485" w:type="dxa"/>
            <w:vAlign w:val="center"/>
          </w:tcPr>
          <w:p w14:paraId="3C7E443D" w14:textId="55C0A14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A7DD759" w14:textId="59F854C5"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530C9D51" w14:textId="26D8EEF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4424B0AE" w14:textId="77777777" w:rsidTr="00D85673">
        <w:trPr>
          <w:trHeight w:val="283"/>
        </w:trPr>
        <w:tc>
          <w:tcPr>
            <w:tcW w:w="4398" w:type="dxa"/>
            <w:vAlign w:val="center"/>
          </w:tcPr>
          <w:p w14:paraId="280258A2" w14:textId="27639DCC"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Abdominal pain</w:t>
            </w:r>
          </w:p>
        </w:tc>
        <w:tc>
          <w:tcPr>
            <w:tcW w:w="1485" w:type="dxa"/>
            <w:vAlign w:val="center"/>
          </w:tcPr>
          <w:p w14:paraId="7D0F01AF" w14:textId="6B538A8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03EF2C48" w14:textId="7EF694B0"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3C097AD" w14:textId="54B32BEE"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3B4DAA89" w14:textId="77777777" w:rsidTr="00D85673">
        <w:trPr>
          <w:trHeight w:val="283"/>
        </w:trPr>
        <w:tc>
          <w:tcPr>
            <w:tcW w:w="4398" w:type="dxa"/>
            <w:vAlign w:val="center"/>
          </w:tcPr>
          <w:p w14:paraId="1994D01D" w14:textId="5F0E6611"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Abdominal pain upper</w:t>
            </w:r>
          </w:p>
        </w:tc>
        <w:tc>
          <w:tcPr>
            <w:tcW w:w="1485" w:type="dxa"/>
            <w:vAlign w:val="center"/>
          </w:tcPr>
          <w:p w14:paraId="7D00B1D0" w14:textId="78A93D5F"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D7B4DC8" w14:textId="0FA465A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1EB26B21" w14:textId="30DC0F6F"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903B00" w:rsidRPr="00DD1F63">
              <w:rPr>
                <w:rFonts w:ascii="Times New Roman" w:hAnsi="Times New Roman" w:cs="Times New Roman"/>
                <w:sz w:val="21"/>
                <w:szCs w:val="21"/>
              </w:rPr>
              <w:t xml:space="preserve"> %</w:t>
            </w:r>
          </w:p>
        </w:tc>
      </w:tr>
      <w:tr w:rsidR="007227A4" w:rsidRPr="00DD1F63" w14:paraId="38A69CF1" w14:textId="77777777" w:rsidTr="00D85673">
        <w:trPr>
          <w:trHeight w:val="283"/>
        </w:trPr>
        <w:tc>
          <w:tcPr>
            <w:tcW w:w="4398" w:type="dxa"/>
            <w:vAlign w:val="center"/>
          </w:tcPr>
          <w:p w14:paraId="55C861A2" w14:textId="417C7DBA"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Diarrhoea</w:t>
            </w:r>
          </w:p>
        </w:tc>
        <w:tc>
          <w:tcPr>
            <w:tcW w:w="1485" w:type="dxa"/>
            <w:vAlign w:val="center"/>
          </w:tcPr>
          <w:p w14:paraId="0356656A" w14:textId="0548DA6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6AD8B6F" w14:textId="56EFB3C0"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47D33A7" w14:textId="44CFC323"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5.1</w:t>
            </w:r>
            <w:r w:rsidR="00903B00" w:rsidRPr="00DD1F63">
              <w:rPr>
                <w:rFonts w:ascii="Times New Roman" w:hAnsi="Times New Roman" w:cs="Times New Roman"/>
                <w:sz w:val="21"/>
                <w:szCs w:val="21"/>
              </w:rPr>
              <w:t xml:space="preserve"> %</w:t>
            </w:r>
          </w:p>
        </w:tc>
      </w:tr>
      <w:tr w:rsidR="007227A4" w:rsidRPr="00DD1F63" w14:paraId="77DCFC05" w14:textId="77777777" w:rsidTr="00D85673">
        <w:trPr>
          <w:trHeight w:val="283"/>
        </w:trPr>
        <w:tc>
          <w:tcPr>
            <w:tcW w:w="4398" w:type="dxa"/>
            <w:vAlign w:val="center"/>
          </w:tcPr>
          <w:p w14:paraId="18802912" w14:textId="1589A03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Dyspepsia</w:t>
            </w:r>
          </w:p>
        </w:tc>
        <w:tc>
          <w:tcPr>
            <w:tcW w:w="1485" w:type="dxa"/>
            <w:vAlign w:val="center"/>
          </w:tcPr>
          <w:p w14:paraId="07B45462" w14:textId="717DEF40"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280F6C10" w14:textId="07506CC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C15F9F6" w14:textId="3369D1F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2CBE918D" w14:textId="77777777" w:rsidTr="00D85673">
        <w:trPr>
          <w:trHeight w:val="283"/>
        </w:trPr>
        <w:tc>
          <w:tcPr>
            <w:tcW w:w="4398" w:type="dxa"/>
            <w:vAlign w:val="center"/>
          </w:tcPr>
          <w:p w14:paraId="49BFF08F" w14:textId="3C6D5703"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Gastrointestinal disorder</w:t>
            </w:r>
          </w:p>
        </w:tc>
        <w:tc>
          <w:tcPr>
            <w:tcW w:w="1485" w:type="dxa"/>
            <w:vAlign w:val="center"/>
          </w:tcPr>
          <w:p w14:paraId="637C7D55" w14:textId="7DA8584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18AEA338" w14:textId="3E5079EF"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39E1087C" w14:textId="3062985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0214ACD1" w14:textId="77777777" w:rsidTr="00D85673">
        <w:trPr>
          <w:trHeight w:val="283"/>
        </w:trPr>
        <w:tc>
          <w:tcPr>
            <w:tcW w:w="4398" w:type="dxa"/>
            <w:vAlign w:val="center"/>
          </w:tcPr>
          <w:p w14:paraId="2A790E82" w14:textId="0E12335D"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Gastrointestinal inflammation</w:t>
            </w:r>
          </w:p>
        </w:tc>
        <w:tc>
          <w:tcPr>
            <w:tcW w:w="1485" w:type="dxa"/>
            <w:vAlign w:val="center"/>
          </w:tcPr>
          <w:p w14:paraId="012E55CA" w14:textId="517A5B1A"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03E1EFDB" w14:textId="5E05E210"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99DE193" w14:textId="22BE760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2535FFFC" w14:textId="77777777" w:rsidTr="00D85673">
        <w:trPr>
          <w:trHeight w:val="283"/>
        </w:trPr>
        <w:tc>
          <w:tcPr>
            <w:tcW w:w="4398" w:type="dxa"/>
            <w:vAlign w:val="center"/>
          </w:tcPr>
          <w:p w14:paraId="1AFB7CA7" w14:textId="36758BA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proofErr w:type="spellStart"/>
            <w:r w:rsidRPr="00DD1F63">
              <w:rPr>
                <w:rFonts w:ascii="Times New Roman" w:eastAsiaTheme="minorEastAsia" w:hAnsi="Times New Roman" w:cs="Times New Roman"/>
                <w:color w:val="auto"/>
                <w:sz w:val="21"/>
                <w:szCs w:val="21"/>
              </w:rPr>
              <w:t>Gastrooesophageal</w:t>
            </w:r>
            <w:proofErr w:type="spellEnd"/>
            <w:r w:rsidRPr="00DD1F63">
              <w:rPr>
                <w:rFonts w:ascii="Times New Roman" w:eastAsiaTheme="minorEastAsia" w:hAnsi="Times New Roman" w:cs="Times New Roman"/>
                <w:color w:val="auto"/>
                <w:sz w:val="21"/>
                <w:szCs w:val="21"/>
              </w:rPr>
              <w:t xml:space="preserve"> reflux disease</w:t>
            </w:r>
          </w:p>
        </w:tc>
        <w:tc>
          <w:tcPr>
            <w:tcW w:w="1485" w:type="dxa"/>
            <w:vAlign w:val="center"/>
          </w:tcPr>
          <w:p w14:paraId="3CE9E2D7" w14:textId="7FC39C5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75B20DF" w14:textId="0E51008F"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3B03994" w14:textId="548F30B6"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483E5325" w14:textId="77777777" w:rsidTr="00D85673">
        <w:trPr>
          <w:trHeight w:val="283"/>
        </w:trPr>
        <w:tc>
          <w:tcPr>
            <w:tcW w:w="4398" w:type="dxa"/>
            <w:vAlign w:val="center"/>
          </w:tcPr>
          <w:p w14:paraId="4D186643" w14:textId="46B5408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Large intestine polyp</w:t>
            </w:r>
          </w:p>
        </w:tc>
        <w:tc>
          <w:tcPr>
            <w:tcW w:w="1485" w:type="dxa"/>
            <w:vAlign w:val="center"/>
          </w:tcPr>
          <w:p w14:paraId="3C17F6D3" w14:textId="144C89E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7CCFF06" w14:textId="5752A626"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E64D85C" w14:textId="18BCF41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180C10A4" w14:textId="77777777" w:rsidTr="00D85673">
        <w:trPr>
          <w:trHeight w:val="283"/>
        </w:trPr>
        <w:tc>
          <w:tcPr>
            <w:tcW w:w="4398" w:type="dxa"/>
            <w:vAlign w:val="center"/>
          </w:tcPr>
          <w:p w14:paraId="66F5A518" w14:textId="2269D629"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Nausea</w:t>
            </w:r>
          </w:p>
        </w:tc>
        <w:tc>
          <w:tcPr>
            <w:tcW w:w="1485" w:type="dxa"/>
            <w:vAlign w:val="center"/>
          </w:tcPr>
          <w:p w14:paraId="78CB6DAC" w14:textId="23ED12F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DF53FD7" w14:textId="58FD43D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F3B452A" w14:textId="071FFB6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A5F1E7B" w14:textId="77777777" w:rsidTr="00D85673">
        <w:trPr>
          <w:trHeight w:val="283"/>
        </w:trPr>
        <w:tc>
          <w:tcPr>
            <w:tcW w:w="4398" w:type="dxa"/>
            <w:vAlign w:val="center"/>
          </w:tcPr>
          <w:p w14:paraId="43BDF838" w14:textId="005215B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Vomiting</w:t>
            </w:r>
          </w:p>
        </w:tc>
        <w:tc>
          <w:tcPr>
            <w:tcW w:w="1485" w:type="dxa"/>
            <w:vAlign w:val="center"/>
          </w:tcPr>
          <w:p w14:paraId="69E85A9A" w14:textId="70FC5AA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0F9BBA7" w14:textId="1C2EE0B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11E8B31E" w14:textId="4D704FF5"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1707BA42" w14:textId="77777777" w:rsidTr="00D85673">
        <w:trPr>
          <w:trHeight w:val="283"/>
        </w:trPr>
        <w:tc>
          <w:tcPr>
            <w:tcW w:w="4398" w:type="dxa"/>
            <w:vAlign w:val="center"/>
          </w:tcPr>
          <w:p w14:paraId="56A0960E" w14:textId="7B71BB9A"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General disorders and administration site conditions</w:t>
            </w:r>
          </w:p>
        </w:tc>
        <w:tc>
          <w:tcPr>
            <w:tcW w:w="1485" w:type="dxa"/>
            <w:vAlign w:val="center"/>
          </w:tcPr>
          <w:p w14:paraId="69A971AC"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33561129"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247AC47A" w14:textId="08031E2C"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6FA5EF1E" w14:textId="77777777" w:rsidTr="00D85673">
        <w:trPr>
          <w:trHeight w:val="283"/>
        </w:trPr>
        <w:tc>
          <w:tcPr>
            <w:tcW w:w="4398" w:type="dxa"/>
            <w:vAlign w:val="center"/>
          </w:tcPr>
          <w:p w14:paraId="41E8BB9A" w14:textId="3AF0B59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Injection site reaction</w:t>
            </w:r>
          </w:p>
        </w:tc>
        <w:tc>
          <w:tcPr>
            <w:tcW w:w="1485" w:type="dxa"/>
            <w:vAlign w:val="center"/>
          </w:tcPr>
          <w:p w14:paraId="1871ECE6" w14:textId="68B844AA"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15.7</w:t>
            </w:r>
            <w:r w:rsidR="00903B00" w:rsidRPr="00DD1F63">
              <w:rPr>
                <w:rFonts w:ascii="Times New Roman" w:hAnsi="Times New Roman" w:cs="Times New Roman"/>
                <w:sz w:val="21"/>
                <w:szCs w:val="21"/>
              </w:rPr>
              <w:t xml:space="preserve"> %</w:t>
            </w:r>
          </w:p>
        </w:tc>
        <w:tc>
          <w:tcPr>
            <w:tcW w:w="1822" w:type="dxa"/>
            <w:vAlign w:val="center"/>
          </w:tcPr>
          <w:p w14:paraId="46C4AC6E" w14:textId="002F25B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11.3</w:t>
            </w:r>
            <w:r w:rsidR="00903B00" w:rsidRPr="00DD1F63">
              <w:rPr>
                <w:rFonts w:ascii="Times New Roman" w:hAnsi="Times New Roman" w:cs="Times New Roman"/>
                <w:sz w:val="21"/>
                <w:szCs w:val="21"/>
              </w:rPr>
              <w:t xml:space="preserve"> %</w:t>
            </w:r>
          </w:p>
        </w:tc>
        <w:tc>
          <w:tcPr>
            <w:tcW w:w="1822" w:type="dxa"/>
            <w:vAlign w:val="center"/>
          </w:tcPr>
          <w:p w14:paraId="6599E0E2" w14:textId="4717BE52" w:rsidR="007227A4" w:rsidRPr="00DD1F63" w:rsidRDefault="003573BC" w:rsidP="00377A09">
            <w:pPr>
              <w:spacing w:after="0" w:line="240" w:lineRule="auto"/>
              <w:ind w:left="11" w:hanging="11"/>
              <w:jc w:val="left"/>
              <w:rPr>
                <w:rFonts w:ascii="Times New Roman" w:hAnsi="Times New Roman" w:cs="Times New Roman"/>
                <w:sz w:val="21"/>
                <w:szCs w:val="21"/>
              </w:rPr>
            </w:pPr>
            <w:r>
              <w:rPr>
                <w:rFonts w:ascii="Times New Roman" w:hAnsi="Times New Roman" w:cs="Times New Roman"/>
                <w:sz w:val="21"/>
                <w:szCs w:val="21"/>
              </w:rPr>
              <w:t>10.2</w:t>
            </w:r>
            <w:r w:rsidR="00903B00" w:rsidRPr="00DD1F63">
              <w:rPr>
                <w:rFonts w:ascii="Times New Roman" w:hAnsi="Times New Roman" w:cs="Times New Roman"/>
                <w:sz w:val="21"/>
                <w:szCs w:val="21"/>
              </w:rPr>
              <w:t xml:space="preserve"> %</w:t>
            </w:r>
          </w:p>
        </w:tc>
      </w:tr>
      <w:tr w:rsidR="007227A4" w:rsidRPr="00DD1F63" w14:paraId="156B873B" w14:textId="77777777" w:rsidTr="00D85673">
        <w:trPr>
          <w:trHeight w:val="283"/>
        </w:trPr>
        <w:tc>
          <w:tcPr>
            <w:tcW w:w="4398" w:type="dxa"/>
            <w:vAlign w:val="center"/>
          </w:tcPr>
          <w:p w14:paraId="756ED5C5" w14:textId="2827728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Oedema peripheral</w:t>
            </w:r>
          </w:p>
        </w:tc>
        <w:tc>
          <w:tcPr>
            <w:tcW w:w="1485" w:type="dxa"/>
            <w:vAlign w:val="center"/>
          </w:tcPr>
          <w:p w14:paraId="380BE3C6" w14:textId="0616C10E"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936FBDB" w14:textId="31F8E97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3B2DEA7D" w14:textId="35222B1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B3F0F5B" w14:textId="77777777" w:rsidTr="00D85673">
        <w:trPr>
          <w:trHeight w:val="283"/>
        </w:trPr>
        <w:tc>
          <w:tcPr>
            <w:tcW w:w="4398" w:type="dxa"/>
            <w:vAlign w:val="center"/>
          </w:tcPr>
          <w:p w14:paraId="50E6BAB2" w14:textId="4CECE68E"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Pyrexia</w:t>
            </w:r>
          </w:p>
        </w:tc>
        <w:tc>
          <w:tcPr>
            <w:tcW w:w="1485" w:type="dxa"/>
            <w:vAlign w:val="center"/>
          </w:tcPr>
          <w:p w14:paraId="3E95308E" w14:textId="7ADCD50B"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3C69AE64" w14:textId="04E5FB3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C749505" w14:textId="05E315F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323696F" w14:textId="77777777" w:rsidTr="00D85673">
        <w:trPr>
          <w:trHeight w:val="283"/>
        </w:trPr>
        <w:tc>
          <w:tcPr>
            <w:tcW w:w="4398" w:type="dxa"/>
            <w:vAlign w:val="center"/>
          </w:tcPr>
          <w:p w14:paraId="6EC82B5B" w14:textId="56AC7D48"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Hepatobiliary disorders</w:t>
            </w:r>
          </w:p>
        </w:tc>
        <w:tc>
          <w:tcPr>
            <w:tcW w:w="1485" w:type="dxa"/>
            <w:vAlign w:val="center"/>
          </w:tcPr>
          <w:p w14:paraId="1034403E"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5C919D39"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3F913981" w14:textId="4A0AB5BE"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31A91809" w14:textId="77777777" w:rsidTr="00D85673">
        <w:trPr>
          <w:trHeight w:val="283"/>
        </w:trPr>
        <w:tc>
          <w:tcPr>
            <w:tcW w:w="4398" w:type="dxa"/>
            <w:vAlign w:val="center"/>
          </w:tcPr>
          <w:p w14:paraId="5D9BCC70" w14:textId="2CD262ED"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Hepatic steatosis</w:t>
            </w:r>
          </w:p>
        </w:tc>
        <w:tc>
          <w:tcPr>
            <w:tcW w:w="1485" w:type="dxa"/>
            <w:vAlign w:val="center"/>
          </w:tcPr>
          <w:p w14:paraId="3CFECEB6" w14:textId="73CE8C4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28913AE" w14:textId="55E8810B"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164CF6C9" w14:textId="53AB699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3F5B7D40" w14:textId="77777777" w:rsidTr="00D85673">
        <w:trPr>
          <w:trHeight w:val="283"/>
        </w:trPr>
        <w:tc>
          <w:tcPr>
            <w:tcW w:w="4398" w:type="dxa"/>
            <w:vAlign w:val="center"/>
          </w:tcPr>
          <w:p w14:paraId="5F5363A8" w14:textId="05D2974B"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Immune system disorders</w:t>
            </w:r>
          </w:p>
        </w:tc>
        <w:tc>
          <w:tcPr>
            <w:tcW w:w="1485" w:type="dxa"/>
            <w:vAlign w:val="center"/>
          </w:tcPr>
          <w:p w14:paraId="1D230B49"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13B8FB65"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6474AE88" w14:textId="767E4BBE"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4733BB5D" w14:textId="77777777" w:rsidTr="00D85673">
        <w:trPr>
          <w:trHeight w:val="283"/>
        </w:trPr>
        <w:tc>
          <w:tcPr>
            <w:tcW w:w="4398" w:type="dxa"/>
            <w:vAlign w:val="center"/>
          </w:tcPr>
          <w:p w14:paraId="1A5D1ADA" w14:textId="0E9DDFA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Allergy to metals</w:t>
            </w:r>
          </w:p>
        </w:tc>
        <w:tc>
          <w:tcPr>
            <w:tcW w:w="1485" w:type="dxa"/>
            <w:vAlign w:val="center"/>
          </w:tcPr>
          <w:p w14:paraId="00DBEE92" w14:textId="71FDF96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957AA97" w14:textId="3756C050"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105C148F" w14:textId="161C7E5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12382D1" w14:textId="77777777" w:rsidTr="00D85673">
        <w:trPr>
          <w:trHeight w:val="283"/>
        </w:trPr>
        <w:tc>
          <w:tcPr>
            <w:tcW w:w="4398" w:type="dxa"/>
            <w:vAlign w:val="center"/>
          </w:tcPr>
          <w:p w14:paraId="3591D3C1" w14:textId="49DCD3F4"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Infections and infestations</w:t>
            </w:r>
          </w:p>
        </w:tc>
        <w:tc>
          <w:tcPr>
            <w:tcW w:w="1485" w:type="dxa"/>
            <w:vAlign w:val="center"/>
          </w:tcPr>
          <w:p w14:paraId="36756383"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04D86CA7"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50776E9B" w14:textId="52EBE7BB"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6B6DB437" w14:textId="77777777" w:rsidTr="00D85673">
        <w:trPr>
          <w:trHeight w:val="283"/>
        </w:trPr>
        <w:tc>
          <w:tcPr>
            <w:tcW w:w="4398" w:type="dxa"/>
            <w:vAlign w:val="center"/>
          </w:tcPr>
          <w:p w14:paraId="30ED0F5A" w14:textId="2C586F5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Bronchitis</w:t>
            </w:r>
          </w:p>
        </w:tc>
        <w:tc>
          <w:tcPr>
            <w:tcW w:w="1485" w:type="dxa"/>
            <w:vAlign w:val="center"/>
          </w:tcPr>
          <w:p w14:paraId="1172C3EB" w14:textId="5E27180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3998EBCC" w14:textId="1CD0E71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7AD2C823" w14:textId="153EE39B"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903B00" w:rsidRPr="00DD1F63">
              <w:rPr>
                <w:rFonts w:ascii="Times New Roman" w:hAnsi="Times New Roman" w:cs="Times New Roman"/>
                <w:sz w:val="21"/>
                <w:szCs w:val="21"/>
              </w:rPr>
              <w:t xml:space="preserve"> %</w:t>
            </w:r>
          </w:p>
        </w:tc>
      </w:tr>
      <w:tr w:rsidR="007227A4" w:rsidRPr="00DD1F63" w14:paraId="0D008E01" w14:textId="77777777" w:rsidTr="00D85673">
        <w:trPr>
          <w:trHeight w:val="283"/>
        </w:trPr>
        <w:tc>
          <w:tcPr>
            <w:tcW w:w="4398" w:type="dxa"/>
            <w:vAlign w:val="center"/>
          </w:tcPr>
          <w:p w14:paraId="4E4DCD16" w14:textId="27EB1923"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Conjunctivitis</w:t>
            </w:r>
          </w:p>
        </w:tc>
        <w:tc>
          <w:tcPr>
            <w:tcW w:w="1485" w:type="dxa"/>
            <w:vAlign w:val="center"/>
          </w:tcPr>
          <w:p w14:paraId="19C1AABF" w14:textId="28AE814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5E886809" w14:textId="49A1938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903B00" w:rsidRPr="00DD1F63">
              <w:rPr>
                <w:rFonts w:ascii="Times New Roman" w:hAnsi="Times New Roman" w:cs="Times New Roman"/>
                <w:sz w:val="21"/>
                <w:szCs w:val="21"/>
              </w:rPr>
              <w:t xml:space="preserve"> %</w:t>
            </w:r>
          </w:p>
        </w:tc>
        <w:tc>
          <w:tcPr>
            <w:tcW w:w="1822" w:type="dxa"/>
            <w:vAlign w:val="center"/>
          </w:tcPr>
          <w:p w14:paraId="35C02E7D" w14:textId="56A6422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242690CD" w14:textId="77777777" w:rsidTr="00D85673">
        <w:trPr>
          <w:trHeight w:val="283"/>
        </w:trPr>
        <w:tc>
          <w:tcPr>
            <w:tcW w:w="4398" w:type="dxa"/>
            <w:vAlign w:val="center"/>
          </w:tcPr>
          <w:p w14:paraId="23931A3D" w14:textId="3B1FF65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Cystitis</w:t>
            </w:r>
          </w:p>
        </w:tc>
        <w:tc>
          <w:tcPr>
            <w:tcW w:w="1485" w:type="dxa"/>
            <w:vAlign w:val="center"/>
          </w:tcPr>
          <w:p w14:paraId="5D625A45" w14:textId="4344489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12C99A89" w14:textId="2DA1260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12DE72E" w14:textId="1A3C2F8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5E4E14DF" w14:textId="77777777" w:rsidTr="00D85673">
        <w:trPr>
          <w:trHeight w:val="283"/>
        </w:trPr>
        <w:tc>
          <w:tcPr>
            <w:tcW w:w="4398" w:type="dxa"/>
            <w:vAlign w:val="center"/>
          </w:tcPr>
          <w:p w14:paraId="78056592" w14:textId="3958FE46"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Fungal infection</w:t>
            </w:r>
          </w:p>
        </w:tc>
        <w:tc>
          <w:tcPr>
            <w:tcW w:w="1485" w:type="dxa"/>
            <w:vAlign w:val="center"/>
          </w:tcPr>
          <w:p w14:paraId="02168907" w14:textId="11F86A9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60B5E944" w14:textId="021D27A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3593961A" w14:textId="3387DA03"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EEA21FB" w14:textId="77777777" w:rsidTr="00D85673">
        <w:trPr>
          <w:trHeight w:val="283"/>
        </w:trPr>
        <w:tc>
          <w:tcPr>
            <w:tcW w:w="4398" w:type="dxa"/>
            <w:vAlign w:val="center"/>
          </w:tcPr>
          <w:p w14:paraId="1DBE9437" w14:textId="5A5004D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Genital infection fungal</w:t>
            </w:r>
          </w:p>
        </w:tc>
        <w:tc>
          <w:tcPr>
            <w:tcW w:w="1485" w:type="dxa"/>
            <w:vAlign w:val="center"/>
          </w:tcPr>
          <w:p w14:paraId="3348C857" w14:textId="7DC3677A"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2FD2056" w14:textId="4C65A19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0A3A7A97" w14:textId="71F5EC4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653922E4" w14:textId="77777777" w:rsidTr="00D85673">
        <w:trPr>
          <w:trHeight w:val="283"/>
        </w:trPr>
        <w:tc>
          <w:tcPr>
            <w:tcW w:w="4398" w:type="dxa"/>
            <w:vAlign w:val="center"/>
          </w:tcPr>
          <w:p w14:paraId="43335F90" w14:textId="332B09C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Laryngitis</w:t>
            </w:r>
          </w:p>
        </w:tc>
        <w:tc>
          <w:tcPr>
            <w:tcW w:w="1485" w:type="dxa"/>
            <w:vAlign w:val="center"/>
          </w:tcPr>
          <w:p w14:paraId="24E5F4AD" w14:textId="0275933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50EC6852" w14:textId="739D8CE7"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4E850C3" w14:textId="7E3377A6"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3EC375D" w14:textId="77777777" w:rsidTr="00D85673">
        <w:trPr>
          <w:trHeight w:val="283"/>
        </w:trPr>
        <w:tc>
          <w:tcPr>
            <w:tcW w:w="4398" w:type="dxa"/>
            <w:vAlign w:val="center"/>
          </w:tcPr>
          <w:p w14:paraId="35613DC4" w14:textId="55AAEC0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Nasopharyngitis</w:t>
            </w:r>
          </w:p>
        </w:tc>
        <w:tc>
          <w:tcPr>
            <w:tcW w:w="1485" w:type="dxa"/>
            <w:vAlign w:val="center"/>
          </w:tcPr>
          <w:p w14:paraId="6E8B53CE" w14:textId="1782044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11.7</w:t>
            </w:r>
            <w:r w:rsidR="00903B00" w:rsidRPr="00DD1F63">
              <w:rPr>
                <w:rFonts w:ascii="Times New Roman" w:hAnsi="Times New Roman" w:cs="Times New Roman"/>
                <w:sz w:val="21"/>
                <w:szCs w:val="21"/>
              </w:rPr>
              <w:t xml:space="preserve"> %</w:t>
            </w:r>
          </w:p>
        </w:tc>
        <w:tc>
          <w:tcPr>
            <w:tcW w:w="1822" w:type="dxa"/>
            <w:vAlign w:val="center"/>
          </w:tcPr>
          <w:p w14:paraId="59F8047C" w14:textId="1732E711"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5.2</w:t>
            </w:r>
            <w:r w:rsidR="002A4DB0" w:rsidRPr="00DD1F63">
              <w:rPr>
                <w:rFonts w:ascii="Times New Roman" w:hAnsi="Times New Roman" w:cs="Times New Roman"/>
                <w:sz w:val="21"/>
                <w:szCs w:val="21"/>
              </w:rPr>
              <w:t xml:space="preserve"> %</w:t>
            </w:r>
          </w:p>
        </w:tc>
        <w:tc>
          <w:tcPr>
            <w:tcW w:w="1822" w:type="dxa"/>
            <w:vAlign w:val="center"/>
          </w:tcPr>
          <w:p w14:paraId="721AEA3D" w14:textId="16D728C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4.1</w:t>
            </w:r>
            <w:r w:rsidR="002A4DB0" w:rsidRPr="00DD1F63">
              <w:rPr>
                <w:rFonts w:ascii="Times New Roman" w:hAnsi="Times New Roman" w:cs="Times New Roman"/>
                <w:sz w:val="21"/>
                <w:szCs w:val="21"/>
              </w:rPr>
              <w:t xml:space="preserve"> %</w:t>
            </w:r>
          </w:p>
        </w:tc>
      </w:tr>
      <w:tr w:rsidR="007227A4" w:rsidRPr="00DD1F63" w14:paraId="0C2B0491" w14:textId="77777777" w:rsidTr="00D85673">
        <w:trPr>
          <w:trHeight w:val="283"/>
        </w:trPr>
        <w:tc>
          <w:tcPr>
            <w:tcW w:w="4398" w:type="dxa"/>
            <w:vAlign w:val="center"/>
          </w:tcPr>
          <w:p w14:paraId="2CB36AAA" w14:textId="736DAF7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Onychomycosis</w:t>
            </w:r>
          </w:p>
        </w:tc>
        <w:tc>
          <w:tcPr>
            <w:tcW w:w="1485" w:type="dxa"/>
            <w:vAlign w:val="center"/>
          </w:tcPr>
          <w:p w14:paraId="7A0FB9DF" w14:textId="57443D9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D43519D" w14:textId="6FFAFDBA"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85A901B" w14:textId="0AE4B3C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3DF43D3" w14:textId="77777777" w:rsidTr="00D85673">
        <w:trPr>
          <w:trHeight w:val="283"/>
        </w:trPr>
        <w:tc>
          <w:tcPr>
            <w:tcW w:w="4398" w:type="dxa"/>
            <w:vAlign w:val="center"/>
          </w:tcPr>
          <w:p w14:paraId="2126109A" w14:textId="25DACF4C"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Oral herpes</w:t>
            </w:r>
          </w:p>
        </w:tc>
        <w:tc>
          <w:tcPr>
            <w:tcW w:w="1485" w:type="dxa"/>
            <w:vAlign w:val="center"/>
          </w:tcPr>
          <w:p w14:paraId="4C57B039" w14:textId="02D249E4"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c>
          <w:tcPr>
            <w:tcW w:w="1822" w:type="dxa"/>
            <w:vAlign w:val="center"/>
          </w:tcPr>
          <w:p w14:paraId="3CF5F1E3" w14:textId="58696CD2"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B105119" w14:textId="5F808896"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3B5C92FE" w14:textId="77777777" w:rsidTr="00D85673">
        <w:trPr>
          <w:trHeight w:val="283"/>
        </w:trPr>
        <w:tc>
          <w:tcPr>
            <w:tcW w:w="4398" w:type="dxa"/>
            <w:vAlign w:val="center"/>
          </w:tcPr>
          <w:p w14:paraId="118D3E6E" w14:textId="169F450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Periodontitis</w:t>
            </w:r>
          </w:p>
        </w:tc>
        <w:tc>
          <w:tcPr>
            <w:tcW w:w="1485" w:type="dxa"/>
            <w:vAlign w:val="center"/>
          </w:tcPr>
          <w:p w14:paraId="72A0C5C5" w14:textId="6104BA3B"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2EEC6314" w14:textId="0D695E2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CCFFF2B" w14:textId="1E4E97AD"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5C36796C" w14:textId="77777777" w:rsidTr="00D85673">
        <w:trPr>
          <w:trHeight w:val="283"/>
        </w:trPr>
        <w:tc>
          <w:tcPr>
            <w:tcW w:w="4398" w:type="dxa"/>
            <w:vAlign w:val="center"/>
          </w:tcPr>
          <w:p w14:paraId="0E80BE88" w14:textId="4095B318"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Pharyngitis</w:t>
            </w:r>
          </w:p>
        </w:tc>
        <w:tc>
          <w:tcPr>
            <w:tcW w:w="1485" w:type="dxa"/>
            <w:vAlign w:val="center"/>
          </w:tcPr>
          <w:p w14:paraId="7C1A11E3" w14:textId="481D8B95"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c>
          <w:tcPr>
            <w:tcW w:w="1822" w:type="dxa"/>
            <w:vAlign w:val="center"/>
          </w:tcPr>
          <w:p w14:paraId="020A40E2" w14:textId="3080B4C3"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5.2</w:t>
            </w:r>
            <w:r w:rsidR="002A4DB0" w:rsidRPr="00DD1F63">
              <w:rPr>
                <w:rFonts w:ascii="Times New Roman" w:hAnsi="Times New Roman" w:cs="Times New Roman"/>
                <w:sz w:val="21"/>
                <w:szCs w:val="21"/>
              </w:rPr>
              <w:t xml:space="preserve"> %</w:t>
            </w:r>
          </w:p>
        </w:tc>
        <w:tc>
          <w:tcPr>
            <w:tcW w:w="1822" w:type="dxa"/>
            <w:vAlign w:val="center"/>
          </w:tcPr>
          <w:p w14:paraId="0F2D314C" w14:textId="54A36A51"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r>
      <w:tr w:rsidR="007227A4" w:rsidRPr="00DD1F63" w14:paraId="6ED28C3A" w14:textId="77777777" w:rsidTr="00D85673">
        <w:trPr>
          <w:trHeight w:val="283"/>
        </w:trPr>
        <w:tc>
          <w:tcPr>
            <w:tcW w:w="4398" w:type="dxa"/>
            <w:vAlign w:val="center"/>
          </w:tcPr>
          <w:p w14:paraId="42542547" w14:textId="6754FE16"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lastRenderedPageBreak/>
              <w:t>Respiratory tract infection viral</w:t>
            </w:r>
          </w:p>
        </w:tc>
        <w:tc>
          <w:tcPr>
            <w:tcW w:w="1485" w:type="dxa"/>
            <w:vAlign w:val="center"/>
          </w:tcPr>
          <w:p w14:paraId="3126E591" w14:textId="1C327839"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07565B7" w14:textId="573AF188"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3C41BE2C" w14:textId="0B50CB8C" w:rsidR="007227A4" w:rsidRPr="00DD1F63" w:rsidRDefault="00A71FED"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78037BB3" w14:textId="77777777" w:rsidTr="00D85673">
        <w:trPr>
          <w:trHeight w:val="283"/>
        </w:trPr>
        <w:tc>
          <w:tcPr>
            <w:tcW w:w="4398" w:type="dxa"/>
            <w:vAlign w:val="center"/>
          </w:tcPr>
          <w:p w14:paraId="47E18B40" w14:textId="3922B80B"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Rhinitis</w:t>
            </w:r>
          </w:p>
        </w:tc>
        <w:tc>
          <w:tcPr>
            <w:tcW w:w="1485" w:type="dxa"/>
            <w:vAlign w:val="center"/>
          </w:tcPr>
          <w:p w14:paraId="32A7F2DD" w14:textId="359D64D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25DEB655" w14:textId="72337C86"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701CCF3D" w14:textId="3C3D25C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FB72602" w14:textId="77777777" w:rsidTr="00D85673">
        <w:trPr>
          <w:trHeight w:val="283"/>
        </w:trPr>
        <w:tc>
          <w:tcPr>
            <w:tcW w:w="4398" w:type="dxa"/>
            <w:vAlign w:val="center"/>
          </w:tcPr>
          <w:p w14:paraId="5A134771" w14:textId="72EC4F4B"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Sinusitis</w:t>
            </w:r>
          </w:p>
        </w:tc>
        <w:tc>
          <w:tcPr>
            <w:tcW w:w="1485" w:type="dxa"/>
            <w:vAlign w:val="center"/>
          </w:tcPr>
          <w:p w14:paraId="30A8A832" w14:textId="10DE275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c>
          <w:tcPr>
            <w:tcW w:w="1822" w:type="dxa"/>
            <w:vAlign w:val="center"/>
          </w:tcPr>
          <w:p w14:paraId="31437068" w14:textId="35991B3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c>
          <w:tcPr>
            <w:tcW w:w="1822" w:type="dxa"/>
            <w:vAlign w:val="center"/>
          </w:tcPr>
          <w:p w14:paraId="51496074" w14:textId="4DB5CD32"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r>
      <w:tr w:rsidR="007227A4" w:rsidRPr="00DD1F63" w14:paraId="3BCB4C70" w14:textId="77777777" w:rsidTr="00D85673">
        <w:trPr>
          <w:trHeight w:val="283"/>
        </w:trPr>
        <w:tc>
          <w:tcPr>
            <w:tcW w:w="4398" w:type="dxa"/>
            <w:vAlign w:val="center"/>
          </w:tcPr>
          <w:p w14:paraId="179B5133" w14:textId="1EF5164A"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Tinea barbae</w:t>
            </w:r>
          </w:p>
        </w:tc>
        <w:tc>
          <w:tcPr>
            <w:tcW w:w="1485" w:type="dxa"/>
            <w:vAlign w:val="center"/>
          </w:tcPr>
          <w:p w14:paraId="3C86CAD9" w14:textId="528DC43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1F546B2" w14:textId="23AC5B2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A20BEF3" w14:textId="2631A85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2F260407" w14:textId="77777777" w:rsidTr="00D85673">
        <w:trPr>
          <w:trHeight w:val="283"/>
        </w:trPr>
        <w:tc>
          <w:tcPr>
            <w:tcW w:w="4398" w:type="dxa"/>
            <w:vAlign w:val="center"/>
          </w:tcPr>
          <w:p w14:paraId="4CA7712B" w14:textId="2891F3AB"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Tonsillitis</w:t>
            </w:r>
          </w:p>
        </w:tc>
        <w:tc>
          <w:tcPr>
            <w:tcW w:w="1485" w:type="dxa"/>
            <w:vAlign w:val="center"/>
          </w:tcPr>
          <w:p w14:paraId="4EAD6F63" w14:textId="5A1485F2"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F59D942" w14:textId="60637B6A"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E9710F6" w14:textId="63827DE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CF3FC6F" w14:textId="77777777" w:rsidTr="00D85673">
        <w:trPr>
          <w:trHeight w:val="283"/>
        </w:trPr>
        <w:tc>
          <w:tcPr>
            <w:tcW w:w="4398" w:type="dxa"/>
            <w:vAlign w:val="center"/>
          </w:tcPr>
          <w:p w14:paraId="23E86F3E" w14:textId="271E518E"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Tonsillitis bacterial</w:t>
            </w:r>
          </w:p>
        </w:tc>
        <w:tc>
          <w:tcPr>
            <w:tcW w:w="1485" w:type="dxa"/>
            <w:vAlign w:val="center"/>
          </w:tcPr>
          <w:p w14:paraId="27006D06" w14:textId="2025E6E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147D387" w14:textId="69191FA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6634E4E" w14:textId="03DF8EA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2EDAA84" w14:textId="77777777" w:rsidTr="00D85673">
        <w:trPr>
          <w:trHeight w:val="283"/>
        </w:trPr>
        <w:tc>
          <w:tcPr>
            <w:tcW w:w="4398" w:type="dxa"/>
            <w:vAlign w:val="center"/>
          </w:tcPr>
          <w:p w14:paraId="7D99BE03" w14:textId="06C635CC"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Upper respiratory tract infection</w:t>
            </w:r>
          </w:p>
        </w:tc>
        <w:tc>
          <w:tcPr>
            <w:tcW w:w="1485" w:type="dxa"/>
            <w:vAlign w:val="center"/>
          </w:tcPr>
          <w:p w14:paraId="0E1B72DA" w14:textId="326F64D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4.6</w:t>
            </w:r>
            <w:r w:rsidR="002A4DB0" w:rsidRPr="00DD1F63">
              <w:rPr>
                <w:rFonts w:ascii="Times New Roman" w:hAnsi="Times New Roman" w:cs="Times New Roman"/>
                <w:sz w:val="21"/>
                <w:szCs w:val="21"/>
              </w:rPr>
              <w:t xml:space="preserve"> %</w:t>
            </w:r>
          </w:p>
        </w:tc>
        <w:tc>
          <w:tcPr>
            <w:tcW w:w="1822" w:type="dxa"/>
            <w:vAlign w:val="center"/>
          </w:tcPr>
          <w:p w14:paraId="48AF0CE0" w14:textId="767D8332"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4E11CF1D" w14:textId="481EFA3E"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r>
      <w:tr w:rsidR="007227A4" w:rsidRPr="00DD1F63" w14:paraId="3F6DA97F" w14:textId="77777777" w:rsidTr="00D85673">
        <w:trPr>
          <w:trHeight w:val="283"/>
        </w:trPr>
        <w:tc>
          <w:tcPr>
            <w:tcW w:w="4398" w:type="dxa"/>
            <w:vAlign w:val="center"/>
          </w:tcPr>
          <w:p w14:paraId="5796CEE7" w14:textId="5D1C3F0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Viral upper respiratory tract infection</w:t>
            </w:r>
          </w:p>
        </w:tc>
        <w:tc>
          <w:tcPr>
            <w:tcW w:w="1485" w:type="dxa"/>
            <w:vAlign w:val="center"/>
          </w:tcPr>
          <w:p w14:paraId="4F8C4B35" w14:textId="6772F7B6"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1EDE6924" w14:textId="4095DD2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542E218B" w14:textId="505116E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53DA1CFF" w14:textId="77777777" w:rsidTr="00D85673">
        <w:trPr>
          <w:trHeight w:val="283"/>
        </w:trPr>
        <w:tc>
          <w:tcPr>
            <w:tcW w:w="4398" w:type="dxa"/>
            <w:vAlign w:val="center"/>
          </w:tcPr>
          <w:p w14:paraId="20FED64F" w14:textId="6BA9AC83"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Injury, poisoning and procedural complications</w:t>
            </w:r>
          </w:p>
        </w:tc>
        <w:tc>
          <w:tcPr>
            <w:tcW w:w="1485" w:type="dxa"/>
            <w:vAlign w:val="center"/>
          </w:tcPr>
          <w:p w14:paraId="6B70543C"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678CC0B4"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4F5C8333" w14:textId="7AC45EA6"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666C0B6E" w14:textId="77777777" w:rsidTr="00D85673">
        <w:trPr>
          <w:trHeight w:val="283"/>
        </w:trPr>
        <w:tc>
          <w:tcPr>
            <w:tcW w:w="4398" w:type="dxa"/>
            <w:vAlign w:val="center"/>
          </w:tcPr>
          <w:p w14:paraId="14B46655" w14:textId="6A823022"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Facial bones fracture</w:t>
            </w:r>
          </w:p>
        </w:tc>
        <w:tc>
          <w:tcPr>
            <w:tcW w:w="1485" w:type="dxa"/>
            <w:vAlign w:val="center"/>
          </w:tcPr>
          <w:p w14:paraId="67C6901C" w14:textId="51E9571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D2721CE" w14:textId="7FBE004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7937C14" w14:textId="371D096B"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D850C94" w14:textId="77777777" w:rsidTr="00D85673">
        <w:trPr>
          <w:trHeight w:val="283"/>
        </w:trPr>
        <w:tc>
          <w:tcPr>
            <w:tcW w:w="4398" w:type="dxa"/>
            <w:vAlign w:val="center"/>
          </w:tcPr>
          <w:p w14:paraId="0561C6A6" w14:textId="25AF4D6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Ligament rupture</w:t>
            </w:r>
          </w:p>
        </w:tc>
        <w:tc>
          <w:tcPr>
            <w:tcW w:w="1485" w:type="dxa"/>
            <w:vAlign w:val="center"/>
          </w:tcPr>
          <w:p w14:paraId="130E78F1" w14:textId="6FFF2A1B"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07C5C58" w14:textId="2AFF3EA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D427697" w14:textId="1D13556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4AD4D4CA" w14:textId="77777777" w:rsidTr="00D85673">
        <w:trPr>
          <w:trHeight w:val="283"/>
        </w:trPr>
        <w:tc>
          <w:tcPr>
            <w:tcW w:w="4398" w:type="dxa"/>
            <w:vAlign w:val="center"/>
          </w:tcPr>
          <w:p w14:paraId="43613710" w14:textId="20D81D84"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Ligament sprain</w:t>
            </w:r>
          </w:p>
        </w:tc>
        <w:tc>
          <w:tcPr>
            <w:tcW w:w="1485" w:type="dxa"/>
            <w:vAlign w:val="center"/>
          </w:tcPr>
          <w:p w14:paraId="038A333D" w14:textId="09C0F86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5342722" w14:textId="4B05B3D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7DC5724" w14:textId="34D25DE9"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F4C95E4" w14:textId="77777777" w:rsidTr="00D85673">
        <w:trPr>
          <w:trHeight w:val="283"/>
        </w:trPr>
        <w:tc>
          <w:tcPr>
            <w:tcW w:w="4398" w:type="dxa"/>
            <w:vAlign w:val="center"/>
          </w:tcPr>
          <w:p w14:paraId="7A9E7134" w14:textId="6D8067D9"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Skin wound</w:t>
            </w:r>
          </w:p>
        </w:tc>
        <w:tc>
          <w:tcPr>
            <w:tcW w:w="1485" w:type="dxa"/>
            <w:vAlign w:val="center"/>
          </w:tcPr>
          <w:p w14:paraId="2B69E0F0" w14:textId="05697CB4"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85448B8" w14:textId="3AE1BCB0"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17E71335" w14:textId="011087BB"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46A05D3D" w14:textId="77777777" w:rsidTr="00D85673">
        <w:trPr>
          <w:trHeight w:val="283"/>
        </w:trPr>
        <w:tc>
          <w:tcPr>
            <w:tcW w:w="4398" w:type="dxa"/>
            <w:vAlign w:val="center"/>
          </w:tcPr>
          <w:p w14:paraId="1E384448" w14:textId="76A0A4C1"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Metabolism and nutrition disorders</w:t>
            </w:r>
          </w:p>
        </w:tc>
        <w:tc>
          <w:tcPr>
            <w:tcW w:w="1485" w:type="dxa"/>
            <w:vAlign w:val="center"/>
          </w:tcPr>
          <w:p w14:paraId="6FA03527"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7124F26C"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7023FF71" w14:textId="5064D058"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7771DE99" w14:textId="77777777" w:rsidTr="00D85673">
        <w:trPr>
          <w:trHeight w:val="283"/>
        </w:trPr>
        <w:tc>
          <w:tcPr>
            <w:tcW w:w="4398" w:type="dxa"/>
            <w:vAlign w:val="center"/>
          </w:tcPr>
          <w:p w14:paraId="678B9E9B" w14:textId="75DDBAF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Dyslipidaemia</w:t>
            </w:r>
          </w:p>
        </w:tc>
        <w:tc>
          <w:tcPr>
            <w:tcW w:w="1485" w:type="dxa"/>
            <w:vAlign w:val="center"/>
          </w:tcPr>
          <w:p w14:paraId="72508BFA" w14:textId="7233B199"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6FCEA3F0" w14:textId="4431424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716F6B3" w14:textId="30C88160"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296272B" w14:textId="77777777" w:rsidTr="00D85673">
        <w:trPr>
          <w:trHeight w:val="283"/>
        </w:trPr>
        <w:tc>
          <w:tcPr>
            <w:tcW w:w="4398" w:type="dxa"/>
            <w:vAlign w:val="center"/>
          </w:tcPr>
          <w:p w14:paraId="74979A68" w14:textId="1238F83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Hypercholesterolaemia</w:t>
            </w:r>
          </w:p>
        </w:tc>
        <w:tc>
          <w:tcPr>
            <w:tcW w:w="1485" w:type="dxa"/>
            <w:vAlign w:val="center"/>
          </w:tcPr>
          <w:p w14:paraId="770B79E5" w14:textId="171802B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33E5725B" w14:textId="0F2CDAD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E50389C" w14:textId="46D4DC20"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A1515BB" w14:textId="77777777" w:rsidTr="00D85673">
        <w:trPr>
          <w:trHeight w:val="283"/>
        </w:trPr>
        <w:tc>
          <w:tcPr>
            <w:tcW w:w="4398" w:type="dxa"/>
            <w:vAlign w:val="center"/>
          </w:tcPr>
          <w:p w14:paraId="338F94FF" w14:textId="5D29117D"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proofErr w:type="spellStart"/>
            <w:r w:rsidRPr="00DD1F63">
              <w:rPr>
                <w:rFonts w:ascii="Times New Roman" w:eastAsiaTheme="minorEastAsia" w:hAnsi="Times New Roman" w:cs="Times New Roman"/>
                <w:color w:val="auto"/>
                <w:sz w:val="21"/>
                <w:szCs w:val="21"/>
              </w:rPr>
              <w:t>Hypertriglyceridaemia</w:t>
            </w:r>
            <w:proofErr w:type="spellEnd"/>
          </w:p>
        </w:tc>
        <w:tc>
          <w:tcPr>
            <w:tcW w:w="1485" w:type="dxa"/>
            <w:vAlign w:val="center"/>
          </w:tcPr>
          <w:p w14:paraId="2653C411" w14:textId="6F0D85E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4057D0D" w14:textId="74D7A7D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6959A50" w14:textId="104DEB26"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476A08E" w14:textId="77777777" w:rsidTr="00D85673">
        <w:trPr>
          <w:trHeight w:val="283"/>
        </w:trPr>
        <w:tc>
          <w:tcPr>
            <w:tcW w:w="4398" w:type="dxa"/>
            <w:vAlign w:val="center"/>
          </w:tcPr>
          <w:p w14:paraId="21C8453E" w14:textId="30B0AEEF"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Musculoskeletal and connective tissue disorders</w:t>
            </w:r>
          </w:p>
        </w:tc>
        <w:tc>
          <w:tcPr>
            <w:tcW w:w="1485" w:type="dxa"/>
            <w:vAlign w:val="center"/>
          </w:tcPr>
          <w:p w14:paraId="1B151898"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239D54F8"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135D341F" w14:textId="7A030479"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73C1061A" w14:textId="77777777" w:rsidTr="00D85673">
        <w:trPr>
          <w:trHeight w:val="283"/>
        </w:trPr>
        <w:tc>
          <w:tcPr>
            <w:tcW w:w="4398" w:type="dxa"/>
            <w:vAlign w:val="center"/>
          </w:tcPr>
          <w:p w14:paraId="2064198C" w14:textId="2F7B8B3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Arthralgia</w:t>
            </w:r>
          </w:p>
        </w:tc>
        <w:tc>
          <w:tcPr>
            <w:tcW w:w="1485" w:type="dxa"/>
            <w:vAlign w:val="center"/>
          </w:tcPr>
          <w:p w14:paraId="3B34E487" w14:textId="1842CBC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30FCDD25" w14:textId="559042E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772FF29F" w14:textId="1A632E79"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00E9471C" w14:textId="77777777" w:rsidTr="00D85673">
        <w:trPr>
          <w:trHeight w:val="283"/>
        </w:trPr>
        <w:tc>
          <w:tcPr>
            <w:tcW w:w="4398" w:type="dxa"/>
            <w:vAlign w:val="center"/>
          </w:tcPr>
          <w:p w14:paraId="314A765B" w14:textId="12A77F7B"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Back pain</w:t>
            </w:r>
          </w:p>
        </w:tc>
        <w:tc>
          <w:tcPr>
            <w:tcW w:w="1485" w:type="dxa"/>
            <w:vAlign w:val="center"/>
          </w:tcPr>
          <w:p w14:paraId="10AB4B04" w14:textId="69FAA548"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462B2BC" w14:textId="4FA3A66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66996A5" w14:textId="5432AE4E"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9C45C48" w14:textId="77777777" w:rsidTr="00D85673">
        <w:trPr>
          <w:trHeight w:val="283"/>
        </w:trPr>
        <w:tc>
          <w:tcPr>
            <w:tcW w:w="4398" w:type="dxa"/>
            <w:vAlign w:val="center"/>
          </w:tcPr>
          <w:p w14:paraId="64C2A015" w14:textId="1810521B"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Groin pain</w:t>
            </w:r>
          </w:p>
        </w:tc>
        <w:tc>
          <w:tcPr>
            <w:tcW w:w="1485" w:type="dxa"/>
            <w:vAlign w:val="center"/>
          </w:tcPr>
          <w:p w14:paraId="19843E44" w14:textId="3755C2B9"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B499175" w14:textId="701C0B9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1557B1E" w14:textId="7EF6B97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5E692EB" w14:textId="77777777" w:rsidTr="00D85673">
        <w:trPr>
          <w:trHeight w:val="283"/>
        </w:trPr>
        <w:tc>
          <w:tcPr>
            <w:tcW w:w="4398" w:type="dxa"/>
            <w:vAlign w:val="center"/>
          </w:tcPr>
          <w:p w14:paraId="00AD7543" w14:textId="1C1CC3DA"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Joint swelling</w:t>
            </w:r>
          </w:p>
        </w:tc>
        <w:tc>
          <w:tcPr>
            <w:tcW w:w="1485" w:type="dxa"/>
            <w:vAlign w:val="center"/>
          </w:tcPr>
          <w:p w14:paraId="1978365A" w14:textId="5A36CB72"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476A985" w14:textId="0327C8EE"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3C9D837" w14:textId="2854173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520454E" w14:textId="77777777" w:rsidTr="00D85673">
        <w:trPr>
          <w:trHeight w:val="283"/>
        </w:trPr>
        <w:tc>
          <w:tcPr>
            <w:tcW w:w="4398" w:type="dxa"/>
            <w:vAlign w:val="center"/>
          </w:tcPr>
          <w:p w14:paraId="1C93D21B" w14:textId="1FD80BB4"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Musculoskeletal pain</w:t>
            </w:r>
          </w:p>
        </w:tc>
        <w:tc>
          <w:tcPr>
            <w:tcW w:w="1485" w:type="dxa"/>
            <w:vAlign w:val="center"/>
          </w:tcPr>
          <w:p w14:paraId="6DF02827" w14:textId="3D0C9BF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252B39C2" w14:textId="27C90A0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14151E9" w14:textId="6693B06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097901DD" w14:textId="77777777" w:rsidTr="00D85673">
        <w:trPr>
          <w:trHeight w:val="283"/>
        </w:trPr>
        <w:tc>
          <w:tcPr>
            <w:tcW w:w="4398" w:type="dxa"/>
            <w:vAlign w:val="center"/>
          </w:tcPr>
          <w:p w14:paraId="56E28859" w14:textId="4CC8A1C2"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Myalgia</w:t>
            </w:r>
          </w:p>
        </w:tc>
        <w:tc>
          <w:tcPr>
            <w:tcW w:w="1485" w:type="dxa"/>
            <w:vAlign w:val="center"/>
          </w:tcPr>
          <w:p w14:paraId="4B95A309" w14:textId="4AE40A4E"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FE5032B" w14:textId="296C41D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69C6EE7" w14:textId="392646A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B2FF3C8" w14:textId="77777777" w:rsidTr="00D85673">
        <w:trPr>
          <w:trHeight w:val="283"/>
        </w:trPr>
        <w:tc>
          <w:tcPr>
            <w:tcW w:w="4398" w:type="dxa"/>
            <w:vAlign w:val="center"/>
          </w:tcPr>
          <w:p w14:paraId="41821073" w14:textId="2449093E"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Osteoarthritis</w:t>
            </w:r>
          </w:p>
        </w:tc>
        <w:tc>
          <w:tcPr>
            <w:tcW w:w="1485" w:type="dxa"/>
            <w:vAlign w:val="center"/>
          </w:tcPr>
          <w:p w14:paraId="35BDD270" w14:textId="0C70FF9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A404F6A" w14:textId="660ACB14"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4E3ED12D" w14:textId="471D9C1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34E670F" w14:textId="77777777" w:rsidTr="00D85673">
        <w:trPr>
          <w:trHeight w:val="283"/>
        </w:trPr>
        <w:tc>
          <w:tcPr>
            <w:tcW w:w="4398" w:type="dxa"/>
            <w:vAlign w:val="center"/>
          </w:tcPr>
          <w:p w14:paraId="0D3DB08D" w14:textId="23970AB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Psoriatic arthropathy</w:t>
            </w:r>
          </w:p>
        </w:tc>
        <w:tc>
          <w:tcPr>
            <w:tcW w:w="1485" w:type="dxa"/>
            <w:vAlign w:val="center"/>
          </w:tcPr>
          <w:p w14:paraId="12AAC91F" w14:textId="55F96EA0"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4934959" w14:textId="5D15D54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CF27112" w14:textId="29A3E6E0"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B7FB5AD" w14:textId="77777777" w:rsidTr="00D85673">
        <w:trPr>
          <w:trHeight w:val="283"/>
        </w:trPr>
        <w:tc>
          <w:tcPr>
            <w:tcW w:w="4398" w:type="dxa"/>
            <w:vAlign w:val="center"/>
          </w:tcPr>
          <w:p w14:paraId="6E0B7725" w14:textId="69ACD9F4"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Spinal pain</w:t>
            </w:r>
          </w:p>
        </w:tc>
        <w:tc>
          <w:tcPr>
            <w:tcW w:w="1485" w:type="dxa"/>
            <w:vAlign w:val="center"/>
          </w:tcPr>
          <w:p w14:paraId="48E6A7FF" w14:textId="0FDCF04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B04FDF2" w14:textId="29FB740B"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3C7CEA8" w14:textId="2E9F9B12"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46F66AF2" w14:textId="77777777" w:rsidTr="00D85673">
        <w:trPr>
          <w:trHeight w:val="283"/>
        </w:trPr>
        <w:tc>
          <w:tcPr>
            <w:tcW w:w="4398" w:type="dxa"/>
            <w:vAlign w:val="center"/>
          </w:tcPr>
          <w:p w14:paraId="32DA20BB" w14:textId="27D092BD"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Nervous system disorders</w:t>
            </w:r>
          </w:p>
        </w:tc>
        <w:tc>
          <w:tcPr>
            <w:tcW w:w="1485" w:type="dxa"/>
            <w:vAlign w:val="center"/>
          </w:tcPr>
          <w:p w14:paraId="75266864"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6A3A62E0"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5D7FC8F3" w14:textId="3C23E553"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23A3F969" w14:textId="77777777" w:rsidTr="00D85673">
        <w:trPr>
          <w:trHeight w:val="283"/>
        </w:trPr>
        <w:tc>
          <w:tcPr>
            <w:tcW w:w="4398" w:type="dxa"/>
            <w:vAlign w:val="center"/>
          </w:tcPr>
          <w:p w14:paraId="0F36AA40" w14:textId="3D70DCD8"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Headache</w:t>
            </w:r>
          </w:p>
        </w:tc>
        <w:tc>
          <w:tcPr>
            <w:tcW w:w="1485" w:type="dxa"/>
            <w:vAlign w:val="center"/>
          </w:tcPr>
          <w:p w14:paraId="3F2E0C0D" w14:textId="3C0CC98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2.5</w:t>
            </w:r>
            <w:r w:rsidR="002A4DB0" w:rsidRPr="00DD1F63">
              <w:rPr>
                <w:rFonts w:ascii="Times New Roman" w:hAnsi="Times New Roman" w:cs="Times New Roman"/>
                <w:sz w:val="21"/>
                <w:szCs w:val="21"/>
              </w:rPr>
              <w:t xml:space="preserve"> %</w:t>
            </w:r>
          </w:p>
        </w:tc>
        <w:tc>
          <w:tcPr>
            <w:tcW w:w="1822" w:type="dxa"/>
            <w:vAlign w:val="center"/>
          </w:tcPr>
          <w:p w14:paraId="0354AEFF" w14:textId="519CC8B0"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64912E67" w14:textId="06CBF70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r>
      <w:tr w:rsidR="007227A4" w:rsidRPr="00DD1F63" w14:paraId="11B25E5F" w14:textId="77777777" w:rsidTr="00D85673">
        <w:trPr>
          <w:trHeight w:val="283"/>
        </w:trPr>
        <w:tc>
          <w:tcPr>
            <w:tcW w:w="4398" w:type="dxa"/>
            <w:vAlign w:val="center"/>
          </w:tcPr>
          <w:p w14:paraId="1C23ACB0" w14:textId="5A644166"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Sciatica</w:t>
            </w:r>
          </w:p>
        </w:tc>
        <w:tc>
          <w:tcPr>
            <w:tcW w:w="1485" w:type="dxa"/>
            <w:vAlign w:val="center"/>
          </w:tcPr>
          <w:p w14:paraId="1FA4976F" w14:textId="59D1BC3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DBD9B89" w14:textId="5E2F361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8523958" w14:textId="543A1612"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73C53A6C" w14:textId="77777777" w:rsidTr="00D85673">
        <w:trPr>
          <w:trHeight w:val="283"/>
        </w:trPr>
        <w:tc>
          <w:tcPr>
            <w:tcW w:w="4398" w:type="dxa"/>
            <w:vAlign w:val="center"/>
          </w:tcPr>
          <w:p w14:paraId="11AAEAC2" w14:textId="392023F5"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Renal and urinary disorders</w:t>
            </w:r>
          </w:p>
        </w:tc>
        <w:tc>
          <w:tcPr>
            <w:tcW w:w="1485" w:type="dxa"/>
            <w:vAlign w:val="center"/>
          </w:tcPr>
          <w:p w14:paraId="64FCBEBC"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4A9E0171"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4F2E1D38" w14:textId="6E2A65E3"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1179A233" w14:textId="77777777" w:rsidTr="00D85673">
        <w:trPr>
          <w:trHeight w:val="283"/>
        </w:trPr>
        <w:tc>
          <w:tcPr>
            <w:tcW w:w="4398" w:type="dxa"/>
            <w:vAlign w:val="center"/>
          </w:tcPr>
          <w:p w14:paraId="033265A4" w14:textId="6FBB979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Haematuria</w:t>
            </w:r>
          </w:p>
        </w:tc>
        <w:tc>
          <w:tcPr>
            <w:tcW w:w="1485" w:type="dxa"/>
            <w:vAlign w:val="center"/>
          </w:tcPr>
          <w:p w14:paraId="3F71E88B" w14:textId="536D9FF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1.5</w:t>
            </w:r>
            <w:r w:rsidR="002A4DB0" w:rsidRPr="00DD1F63">
              <w:rPr>
                <w:rFonts w:ascii="Times New Roman" w:hAnsi="Times New Roman" w:cs="Times New Roman"/>
                <w:sz w:val="21"/>
                <w:szCs w:val="21"/>
              </w:rPr>
              <w:t xml:space="preserve"> %</w:t>
            </w:r>
          </w:p>
        </w:tc>
        <w:tc>
          <w:tcPr>
            <w:tcW w:w="1822" w:type="dxa"/>
            <w:vAlign w:val="center"/>
          </w:tcPr>
          <w:p w14:paraId="5E53D84A" w14:textId="2F9E57AA"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FF2FD89" w14:textId="6895F08B"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134BEC5" w14:textId="77777777" w:rsidTr="00D85673">
        <w:trPr>
          <w:trHeight w:val="283"/>
        </w:trPr>
        <w:tc>
          <w:tcPr>
            <w:tcW w:w="4398" w:type="dxa"/>
            <w:vAlign w:val="center"/>
          </w:tcPr>
          <w:p w14:paraId="5718ACDE" w14:textId="799D81C9"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Ketonuria</w:t>
            </w:r>
          </w:p>
        </w:tc>
        <w:tc>
          <w:tcPr>
            <w:tcW w:w="1485" w:type="dxa"/>
            <w:vAlign w:val="center"/>
          </w:tcPr>
          <w:p w14:paraId="68ACA8CC" w14:textId="5B39F1E4"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0E97A4F" w14:textId="59019929"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42D48662" w14:textId="2D5D91D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5D5AB28F" w14:textId="77777777" w:rsidTr="00D85673">
        <w:trPr>
          <w:trHeight w:val="283"/>
        </w:trPr>
        <w:tc>
          <w:tcPr>
            <w:tcW w:w="4398" w:type="dxa"/>
            <w:vAlign w:val="center"/>
          </w:tcPr>
          <w:p w14:paraId="7156AFCA" w14:textId="293FFD37"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Leukocyturia</w:t>
            </w:r>
          </w:p>
        </w:tc>
        <w:tc>
          <w:tcPr>
            <w:tcW w:w="1485" w:type="dxa"/>
            <w:vAlign w:val="center"/>
          </w:tcPr>
          <w:p w14:paraId="25A2CD7F" w14:textId="79B1883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72F55BD" w14:textId="2AC30038"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1B25760" w14:textId="15EC293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3C68015C" w14:textId="77777777" w:rsidTr="00D85673">
        <w:trPr>
          <w:trHeight w:val="283"/>
        </w:trPr>
        <w:tc>
          <w:tcPr>
            <w:tcW w:w="4398" w:type="dxa"/>
            <w:vAlign w:val="center"/>
          </w:tcPr>
          <w:p w14:paraId="2AC74D4F" w14:textId="6641997D"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Reproductive system and breast disorders</w:t>
            </w:r>
          </w:p>
        </w:tc>
        <w:tc>
          <w:tcPr>
            <w:tcW w:w="1485" w:type="dxa"/>
            <w:vAlign w:val="center"/>
          </w:tcPr>
          <w:p w14:paraId="3AEDA5DE"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67A16C7F"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4A010B24" w14:textId="4F0DCE2D"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15292F1B" w14:textId="77777777" w:rsidTr="00D85673">
        <w:trPr>
          <w:trHeight w:val="283"/>
        </w:trPr>
        <w:tc>
          <w:tcPr>
            <w:tcW w:w="4398" w:type="dxa"/>
            <w:vAlign w:val="center"/>
          </w:tcPr>
          <w:p w14:paraId="70074202" w14:textId="07FD9E91"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Benign prostatic hyperplasia</w:t>
            </w:r>
          </w:p>
        </w:tc>
        <w:tc>
          <w:tcPr>
            <w:tcW w:w="1485" w:type="dxa"/>
            <w:vAlign w:val="center"/>
          </w:tcPr>
          <w:p w14:paraId="617C39F7" w14:textId="74ED386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24D32F8" w14:textId="22152503" w:rsidR="007227A4" w:rsidRPr="00DD1F63" w:rsidRDefault="008350B2" w:rsidP="00377A09">
            <w:pPr>
              <w:spacing w:after="0" w:line="240" w:lineRule="auto"/>
              <w:ind w:left="11" w:hanging="11"/>
              <w:jc w:val="left"/>
              <w:rPr>
                <w:rFonts w:ascii="Times New Roman" w:hAnsi="Times New Roman" w:cs="Times New Roman"/>
                <w:sz w:val="21"/>
                <w:szCs w:val="21"/>
              </w:rPr>
            </w:pPr>
            <w:r>
              <w:rPr>
                <w:rFonts w:ascii="Times New Roman" w:hAnsi="Times New Roman" w:cs="Times New Roman"/>
                <w:sz w:val="21"/>
                <w:szCs w:val="21"/>
              </w:rPr>
              <w:t>1.</w:t>
            </w:r>
            <w:r w:rsidR="00591074"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5C8A0A7" w14:textId="2DA471B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21F7B7C3" w14:textId="77777777" w:rsidTr="00D85673">
        <w:trPr>
          <w:trHeight w:val="283"/>
        </w:trPr>
        <w:tc>
          <w:tcPr>
            <w:tcW w:w="4398" w:type="dxa"/>
            <w:vAlign w:val="center"/>
          </w:tcPr>
          <w:p w14:paraId="0EBF299E" w14:textId="26BC0772"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Prostatitis</w:t>
            </w:r>
          </w:p>
        </w:tc>
        <w:tc>
          <w:tcPr>
            <w:tcW w:w="1485" w:type="dxa"/>
            <w:vAlign w:val="center"/>
          </w:tcPr>
          <w:p w14:paraId="56AC456C" w14:textId="18AC6CC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6FD1156" w14:textId="29D4DCB7"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29F034D3" w14:textId="66241F96"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446842F5" w14:textId="77777777" w:rsidTr="00D85673">
        <w:trPr>
          <w:trHeight w:val="283"/>
        </w:trPr>
        <w:tc>
          <w:tcPr>
            <w:tcW w:w="4398" w:type="dxa"/>
            <w:vAlign w:val="center"/>
          </w:tcPr>
          <w:p w14:paraId="314C0240" w14:textId="4B9DDDCB"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w:t>
            </w:r>
          </w:p>
        </w:tc>
        <w:tc>
          <w:tcPr>
            <w:tcW w:w="1485" w:type="dxa"/>
            <w:vAlign w:val="center"/>
          </w:tcPr>
          <w:p w14:paraId="4BFF2E03"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1688FB5F"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1794FDFD" w14:textId="3CA09440"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00110D10" w14:textId="77777777" w:rsidTr="00D85673">
        <w:trPr>
          <w:trHeight w:val="283"/>
        </w:trPr>
        <w:tc>
          <w:tcPr>
            <w:tcW w:w="4398" w:type="dxa"/>
            <w:vAlign w:val="center"/>
          </w:tcPr>
          <w:p w14:paraId="6E4CB1E5" w14:textId="355CF4D8"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Asthma</w:t>
            </w:r>
          </w:p>
        </w:tc>
        <w:tc>
          <w:tcPr>
            <w:tcW w:w="1485" w:type="dxa"/>
            <w:vAlign w:val="center"/>
          </w:tcPr>
          <w:p w14:paraId="0F517DBA" w14:textId="12DCA5C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F6232C5" w14:textId="35D13098"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45112D3" w14:textId="3541F48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BDE279E" w14:textId="77777777" w:rsidTr="00D85673">
        <w:trPr>
          <w:trHeight w:val="283"/>
        </w:trPr>
        <w:tc>
          <w:tcPr>
            <w:tcW w:w="4398" w:type="dxa"/>
            <w:vAlign w:val="center"/>
          </w:tcPr>
          <w:p w14:paraId="73AA1D7C" w14:textId="4F01C09C"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Chronic obstructive pulmonary disease</w:t>
            </w:r>
          </w:p>
        </w:tc>
        <w:tc>
          <w:tcPr>
            <w:tcW w:w="1485" w:type="dxa"/>
            <w:vAlign w:val="center"/>
          </w:tcPr>
          <w:p w14:paraId="603A0A9E" w14:textId="3E4E0F6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F73E7F2" w14:textId="53B16C4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DB630E2" w14:textId="5894EBA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37FC6687" w14:textId="77777777" w:rsidTr="00D85673">
        <w:trPr>
          <w:trHeight w:val="283"/>
        </w:trPr>
        <w:tc>
          <w:tcPr>
            <w:tcW w:w="4398" w:type="dxa"/>
            <w:vAlign w:val="center"/>
          </w:tcPr>
          <w:p w14:paraId="1C5A4892" w14:textId="6C9A9306"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Cough</w:t>
            </w:r>
          </w:p>
        </w:tc>
        <w:tc>
          <w:tcPr>
            <w:tcW w:w="1485" w:type="dxa"/>
            <w:vAlign w:val="center"/>
          </w:tcPr>
          <w:p w14:paraId="4E9EBB2A" w14:textId="6420BD5B"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F6B0D5B" w14:textId="570D3089"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A7F27F4" w14:textId="300BE7D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1D2730B" w14:textId="77777777" w:rsidTr="00D85673">
        <w:trPr>
          <w:trHeight w:val="283"/>
        </w:trPr>
        <w:tc>
          <w:tcPr>
            <w:tcW w:w="4398" w:type="dxa"/>
            <w:vAlign w:val="center"/>
          </w:tcPr>
          <w:p w14:paraId="1E4A8B15" w14:textId="40F3CD60"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Oropharyngeal pain</w:t>
            </w:r>
          </w:p>
        </w:tc>
        <w:tc>
          <w:tcPr>
            <w:tcW w:w="1485" w:type="dxa"/>
            <w:vAlign w:val="center"/>
          </w:tcPr>
          <w:p w14:paraId="2CC66093" w14:textId="53CAD8EF"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DCD5154" w14:textId="27F125E3"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173A6DE" w14:textId="69473FDE"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0F8AF01F" w14:textId="77777777" w:rsidTr="00D85673">
        <w:trPr>
          <w:trHeight w:val="283"/>
        </w:trPr>
        <w:tc>
          <w:tcPr>
            <w:tcW w:w="4398" w:type="dxa"/>
            <w:vAlign w:val="center"/>
          </w:tcPr>
          <w:p w14:paraId="4E56344A" w14:textId="04B5D961"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Rhinorrhoea</w:t>
            </w:r>
          </w:p>
        </w:tc>
        <w:tc>
          <w:tcPr>
            <w:tcW w:w="1485" w:type="dxa"/>
            <w:vAlign w:val="center"/>
          </w:tcPr>
          <w:p w14:paraId="5C20CAAE" w14:textId="6D6A0FA5"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CA1D250" w14:textId="18E731A4"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710C6035" w14:textId="78682E6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18858D43" w14:textId="77777777" w:rsidTr="00D85673">
        <w:trPr>
          <w:trHeight w:val="283"/>
        </w:trPr>
        <w:tc>
          <w:tcPr>
            <w:tcW w:w="4398" w:type="dxa"/>
            <w:vAlign w:val="center"/>
          </w:tcPr>
          <w:p w14:paraId="69C7CD04" w14:textId="105E2EFF"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Tonsillar hypertrophy</w:t>
            </w:r>
          </w:p>
        </w:tc>
        <w:tc>
          <w:tcPr>
            <w:tcW w:w="1485" w:type="dxa"/>
            <w:vAlign w:val="center"/>
          </w:tcPr>
          <w:p w14:paraId="311109BE" w14:textId="4FCA013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FB5C1C5" w14:textId="139E3B88"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75AF8F18" w14:textId="385E96FD"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E845430" w14:textId="77777777" w:rsidTr="00D85673">
        <w:trPr>
          <w:trHeight w:val="283"/>
        </w:trPr>
        <w:tc>
          <w:tcPr>
            <w:tcW w:w="4398" w:type="dxa"/>
            <w:vAlign w:val="center"/>
          </w:tcPr>
          <w:p w14:paraId="0591E7F6" w14:textId="103F735C"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lastRenderedPageBreak/>
              <w:t>Skin and subcutaneous tissue disorders</w:t>
            </w:r>
          </w:p>
        </w:tc>
        <w:tc>
          <w:tcPr>
            <w:tcW w:w="1485" w:type="dxa"/>
            <w:vAlign w:val="center"/>
          </w:tcPr>
          <w:p w14:paraId="497C7ADE"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65E3C970"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478280D2" w14:textId="4F0563F4"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4D0C2DD0" w14:textId="77777777" w:rsidTr="00D85673">
        <w:trPr>
          <w:trHeight w:val="283"/>
        </w:trPr>
        <w:tc>
          <w:tcPr>
            <w:tcW w:w="4398" w:type="dxa"/>
            <w:vAlign w:val="center"/>
          </w:tcPr>
          <w:p w14:paraId="2DD41344" w14:textId="48BDC26D"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Dermatitis contact</w:t>
            </w:r>
          </w:p>
        </w:tc>
        <w:tc>
          <w:tcPr>
            <w:tcW w:w="1485" w:type="dxa"/>
            <w:vAlign w:val="center"/>
          </w:tcPr>
          <w:p w14:paraId="3BF3EDE0" w14:textId="1FD345CC"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7E9EA728" w14:textId="07296D71"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7F97083" w14:textId="5B5842B8" w:rsidR="007227A4" w:rsidRPr="00DD1F63" w:rsidRDefault="00591074"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3B549DC" w14:textId="77777777" w:rsidTr="00D85673">
        <w:trPr>
          <w:trHeight w:val="283"/>
        </w:trPr>
        <w:tc>
          <w:tcPr>
            <w:tcW w:w="4398" w:type="dxa"/>
            <w:vAlign w:val="center"/>
          </w:tcPr>
          <w:p w14:paraId="1E9A5825" w14:textId="4A1297BA"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Hyperhidrosis</w:t>
            </w:r>
          </w:p>
        </w:tc>
        <w:tc>
          <w:tcPr>
            <w:tcW w:w="1485" w:type="dxa"/>
            <w:vAlign w:val="center"/>
          </w:tcPr>
          <w:p w14:paraId="22343E30" w14:textId="64046F4C"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6903D301" w14:textId="192EAA60"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9427A80" w14:textId="2E4AF0B4"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F23D777" w14:textId="77777777" w:rsidTr="00D85673">
        <w:trPr>
          <w:trHeight w:val="283"/>
        </w:trPr>
        <w:tc>
          <w:tcPr>
            <w:tcW w:w="4398" w:type="dxa"/>
            <w:vAlign w:val="center"/>
          </w:tcPr>
          <w:p w14:paraId="35641280" w14:textId="7A3E24D2"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Pruritus</w:t>
            </w:r>
          </w:p>
        </w:tc>
        <w:tc>
          <w:tcPr>
            <w:tcW w:w="1485" w:type="dxa"/>
            <w:vAlign w:val="center"/>
          </w:tcPr>
          <w:p w14:paraId="5B2677BD" w14:textId="0C00FC57"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577AF4F" w14:textId="1CDD4C02"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DCC732F" w14:textId="70B99741"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709A033B" w14:textId="77777777" w:rsidTr="00D85673">
        <w:trPr>
          <w:trHeight w:val="283"/>
        </w:trPr>
        <w:tc>
          <w:tcPr>
            <w:tcW w:w="4398" w:type="dxa"/>
            <w:vAlign w:val="center"/>
          </w:tcPr>
          <w:p w14:paraId="6C457A9C" w14:textId="2792AE9C"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Psoriasis</w:t>
            </w:r>
          </w:p>
        </w:tc>
        <w:tc>
          <w:tcPr>
            <w:tcW w:w="1485" w:type="dxa"/>
            <w:vAlign w:val="center"/>
          </w:tcPr>
          <w:p w14:paraId="407DB4E6" w14:textId="1AEC911A"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612367D1" w14:textId="008748EC"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3191A9B5" w14:textId="61053B3B"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r>
      <w:tr w:rsidR="007227A4" w:rsidRPr="00DD1F63" w14:paraId="25E56C33" w14:textId="77777777" w:rsidTr="00D85673">
        <w:trPr>
          <w:trHeight w:val="283"/>
        </w:trPr>
        <w:tc>
          <w:tcPr>
            <w:tcW w:w="4398" w:type="dxa"/>
            <w:vAlign w:val="center"/>
          </w:tcPr>
          <w:p w14:paraId="03D0D9B1" w14:textId="425D5232"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Rash macular</w:t>
            </w:r>
          </w:p>
        </w:tc>
        <w:tc>
          <w:tcPr>
            <w:tcW w:w="1485" w:type="dxa"/>
            <w:vAlign w:val="center"/>
          </w:tcPr>
          <w:p w14:paraId="7E3C087B" w14:textId="72468894"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D76A072" w14:textId="16F295AC"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01E44D4" w14:textId="73649D5B"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7FD53FE9" w14:textId="77777777" w:rsidTr="00D85673">
        <w:trPr>
          <w:trHeight w:val="283"/>
        </w:trPr>
        <w:tc>
          <w:tcPr>
            <w:tcW w:w="4398" w:type="dxa"/>
            <w:vAlign w:val="center"/>
          </w:tcPr>
          <w:p w14:paraId="322510DE" w14:textId="09DA2545"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Skin exfoliation</w:t>
            </w:r>
          </w:p>
        </w:tc>
        <w:tc>
          <w:tcPr>
            <w:tcW w:w="1485" w:type="dxa"/>
            <w:vAlign w:val="center"/>
          </w:tcPr>
          <w:p w14:paraId="5304F5D4" w14:textId="75F59CE6"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F23C639" w14:textId="6A9112AC"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057B66A" w14:textId="5A8638B5"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3C8A619C" w14:textId="77777777" w:rsidTr="00D85673">
        <w:trPr>
          <w:trHeight w:val="283"/>
        </w:trPr>
        <w:tc>
          <w:tcPr>
            <w:tcW w:w="4398" w:type="dxa"/>
            <w:vAlign w:val="center"/>
          </w:tcPr>
          <w:p w14:paraId="29510847" w14:textId="145276D0"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Urticaria</w:t>
            </w:r>
          </w:p>
        </w:tc>
        <w:tc>
          <w:tcPr>
            <w:tcW w:w="1485" w:type="dxa"/>
            <w:vAlign w:val="center"/>
          </w:tcPr>
          <w:p w14:paraId="24B74BB5" w14:textId="6A3A6AFE"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43294BDF" w14:textId="5E277A0C"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26E03646" w14:textId="2B820E27"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D348FF3" w14:textId="77777777" w:rsidTr="00D85673">
        <w:trPr>
          <w:trHeight w:val="283"/>
        </w:trPr>
        <w:tc>
          <w:tcPr>
            <w:tcW w:w="4398" w:type="dxa"/>
            <w:vAlign w:val="center"/>
          </w:tcPr>
          <w:p w14:paraId="3D69F782" w14:textId="4D7E8A8C" w:rsidR="007227A4" w:rsidRPr="00DD1F63" w:rsidRDefault="007227A4" w:rsidP="00377A09">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Vascular disorders</w:t>
            </w:r>
          </w:p>
        </w:tc>
        <w:tc>
          <w:tcPr>
            <w:tcW w:w="1485" w:type="dxa"/>
            <w:vAlign w:val="center"/>
          </w:tcPr>
          <w:p w14:paraId="25490E92"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043886E2" w14:textId="77777777" w:rsidR="007227A4" w:rsidRPr="00DD1F63" w:rsidRDefault="007227A4" w:rsidP="00377A09">
            <w:pPr>
              <w:spacing w:after="0" w:line="240" w:lineRule="auto"/>
              <w:ind w:left="11" w:hanging="11"/>
              <w:jc w:val="left"/>
              <w:rPr>
                <w:rFonts w:ascii="Times New Roman" w:hAnsi="Times New Roman" w:cs="Times New Roman"/>
                <w:sz w:val="21"/>
                <w:szCs w:val="21"/>
              </w:rPr>
            </w:pPr>
          </w:p>
        </w:tc>
        <w:tc>
          <w:tcPr>
            <w:tcW w:w="1822" w:type="dxa"/>
            <w:vAlign w:val="center"/>
          </w:tcPr>
          <w:p w14:paraId="7EC0B06E" w14:textId="48265EEF" w:rsidR="007227A4" w:rsidRPr="00DD1F63" w:rsidRDefault="007227A4" w:rsidP="00377A09">
            <w:pPr>
              <w:spacing w:after="0" w:line="240" w:lineRule="auto"/>
              <w:ind w:left="11" w:hanging="11"/>
              <w:jc w:val="left"/>
              <w:rPr>
                <w:rFonts w:ascii="Times New Roman" w:hAnsi="Times New Roman" w:cs="Times New Roman"/>
                <w:sz w:val="21"/>
                <w:szCs w:val="21"/>
              </w:rPr>
            </w:pPr>
          </w:p>
        </w:tc>
      </w:tr>
      <w:tr w:rsidR="007227A4" w:rsidRPr="00DD1F63" w14:paraId="0DFA6036" w14:textId="77777777" w:rsidTr="00D85673">
        <w:trPr>
          <w:trHeight w:val="283"/>
        </w:trPr>
        <w:tc>
          <w:tcPr>
            <w:tcW w:w="4398" w:type="dxa"/>
            <w:vAlign w:val="center"/>
          </w:tcPr>
          <w:p w14:paraId="0C998625" w14:textId="37413596"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Haematoma</w:t>
            </w:r>
          </w:p>
        </w:tc>
        <w:tc>
          <w:tcPr>
            <w:tcW w:w="1485" w:type="dxa"/>
            <w:vAlign w:val="center"/>
          </w:tcPr>
          <w:p w14:paraId="78BBEB7E" w14:textId="3765C84F"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689E110D" w14:textId="56C245E1"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C462780" w14:textId="75FFB801"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79D70B48" w14:textId="77777777" w:rsidTr="00D85673">
        <w:trPr>
          <w:trHeight w:val="283"/>
        </w:trPr>
        <w:tc>
          <w:tcPr>
            <w:tcW w:w="4398" w:type="dxa"/>
            <w:vAlign w:val="center"/>
          </w:tcPr>
          <w:p w14:paraId="6B069E15" w14:textId="161D895C"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Hypertension</w:t>
            </w:r>
          </w:p>
        </w:tc>
        <w:tc>
          <w:tcPr>
            <w:tcW w:w="1485" w:type="dxa"/>
            <w:vAlign w:val="center"/>
          </w:tcPr>
          <w:p w14:paraId="77EB7533" w14:textId="1BD77F9B" w:rsidR="007227A4" w:rsidRPr="00DD1F63" w:rsidRDefault="002520F1" w:rsidP="00377A09">
            <w:pPr>
              <w:spacing w:after="0" w:line="240" w:lineRule="auto"/>
              <w:ind w:left="11" w:hanging="11"/>
              <w:jc w:val="left"/>
              <w:rPr>
                <w:rFonts w:ascii="Times New Roman" w:hAnsi="Times New Roman" w:cs="Times New Roman"/>
                <w:sz w:val="21"/>
                <w:szCs w:val="21"/>
              </w:rPr>
            </w:pPr>
            <w:r>
              <w:rPr>
                <w:rFonts w:ascii="Times New Roman" w:hAnsi="Times New Roman" w:cs="Times New Roman"/>
                <w:sz w:val="21"/>
                <w:szCs w:val="21"/>
              </w:rPr>
              <w:t>1.</w:t>
            </w:r>
            <w:r w:rsidR="00903B00" w:rsidRPr="00DD1F63">
              <w:rPr>
                <w:rFonts w:ascii="Times New Roman" w:hAnsi="Times New Roman" w:cs="Times New Roman"/>
                <w:sz w:val="21"/>
                <w:szCs w:val="21"/>
              </w:rPr>
              <w:t>5</w:t>
            </w:r>
            <w:r w:rsidR="002A4DB0" w:rsidRPr="00DD1F63">
              <w:rPr>
                <w:rFonts w:ascii="Times New Roman" w:hAnsi="Times New Roman" w:cs="Times New Roman"/>
                <w:sz w:val="21"/>
                <w:szCs w:val="21"/>
              </w:rPr>
              <w:t xml:space="preserve"> %</w:t>
            </w:r>
          </w:p>
        </w:tc>
        <w:tc>
          <w:tcPr>
            <w:tcW w:w="1822" w:type="dxa"/>
            <w:vAlign w:val="center"/>
          </w:tcPr>
          <w:p w14:paraId="282DB294" w14:textId="19A8C3CF"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1EFC232F" w14:textId="7A6CA28E"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4.1</w:t>
            </w:r>
            <w:r w:rsidR="002A4DB0" w:rsidRPr="00DD1F63">
              <w:rPr>
                <w:rFonts w:ascii="Times New Roman" w:hAnsi="Times New Roman" w:cs="Times New Roman"/>
                <w:sz w:val="21"/>
                <w:szCs w:val="21"/>
              </w:rPr>
              <w:t xml:space="preserve"> %</w:t>
            </w:r>
          </w:p>
        </w:tc>
      </w:tr>
      <w:tr w:rsidR="007227A4" w:rsidRPr="00DD1F63" w14:paraId="49394886" w14:textId="77777777" w:rsidTr="00D85673">
        <w:trPr>
          <w:trHeight w:val="283"/>
        </w:trPr>
        <w:tc>
          <w:tcPr>
            <w:tcW w:w="4398" w:type="dxa"/>
            <w:vAlign w:val="center"/>
          </w:tcPr>
          <w:p w14:paraId="0B1013B9" w14:textId="16F1B860" w:rsidR="007227A4" w:rsidRPr="00DD1F63" w:rsidRDefault="007227A4" w:rsidP="00377A09">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White coat hypertension</w:t>
            </w:r>
          </w:p>
        </w:tc>
        <w:tc>
          <w:tcPr>
            <w:tcW w:w="1485" w:type="dxa"/>
            <w:vAlign w:val="center"/>
          </w:tcPr>
          <w:p w14:paraId="02D14633" w14:textId="34A510EE"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03AF898" w14:textId="3B87514E"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317EC987" w14:textId="5146E4D1" w:rsidR="007227A4" w:rsidRPr="00DD1F63" w:rsidRDefault="00903B00" w:rsidP="00377A09">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bl>
    <w:p w14:paraId="6B1439C0" w14:textId="77777777" w:rsidR="00862E5C" w:rsidRPr="00DD1F63" w:rsidRDefault="00862E5C" w:rsidP="00377A09">
      <w:pPr>
        <w:spacing w:after="0" w:line="240" w:lineRule="auto"/>
        <w:ind w:left="0" w:right="375" w:firstLine="0"/>
        <w:jc w:val="left"/>
        <w:rPr>
          <w:rFonts w:ascii="Times New Roman" w:hAnsi="Times New Roman" w:cs="Times New Roman"/>
        </w:rPr>
      </w:pPr>
    </w:p>
    <w:p w14:paraId="0951F25A" w14:textId="77777777" w:rsidR="00862E5C" w:rsidRPr="00DD1F63" w:rsidRDefault="00862E5C" w:rsidP="00377A09">
      <w:pPr>
        <w:pStyle w:val="Heading3"/>
        <w:spacing w:after="0" w:line="240" w:lineRule="auto"/>
        <w:ind w:left="426" w:right="366"/>
        <w:rPr>
          <w:rFonts w:ascii="Times New Roman" w:hAnsi="Times New Roman" w:cs="Times New Roman"/>
          <w:bCs/>
        </w:rPr>
      </w:pPr>
      <w:r w:rsidRPr="00DD1F63">
        <w:rPr>
          <w:rFonts w:ascii="Times New Roman" w:hAnsi="Times New Roman" w:cs="Times New Roman"/>
          <w:bCs/>
        </w:rPr>
        <w:t xml:space="preserve">Reporting suspected adverse effects </w:t>
      </w:r>
    </w:p>
    <w:p w14:paraId="27CB1EF8" w14:textId="77777777" w:rsidR="00862E5C" w:rsidRPr="00DD1F63" w:rsidRDefault="00862E5C" w:rsidP="00377A09">
      <w:pPr>
        <w:spacing w:after="0" w:line="240" w:lineRule="auto"/>
        <w:ind w:left="426" w:hanging="11"/>
        <w:jc w:val="left"/>
        <w:rPr>
          <w:sz w:val="22"/>
        </w:rPr>
      </w:pPr>
    </w:p>
    <w:p w14:paraId="366FD361" w14:textId="77777777" w:rsidR="00862E5C" w:rsidRPr="00DD1F63" w:rsidRDefault="00862E5C" w:rsidP="00377A09">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DD1F63">
          <w:rPr>
            <w:rStyle w:val="Hyperlink"/>
            <w:rFonts w:ascii="Times New Roman" w:hAnsi="Times New Roman" w:cs="Times New Roman"/>
            <w:sz w:val="22"/>
          </w:rPr>
          <w:t>http://www.tga.gov.au/reporting-problems</w:t>
        </w:r>
      </w:hyperlink>
      <w:r w:rsidRPr="00DD1F63">
        <w:rPr>
          <w:rFonts w:ascii="Times New Roman" w:hAnsi="Times New Roman" w:cs="Times New Roman"/>
          <w:sz w:val="22"/>
        </w:rPr>
        <w:t xml:space="preserve">. </w:t>
      </w:r>
    </w:p>
    <w:p w14:paraId="7EB88EF9" w14:textId="77777777" w:rsidR="00862E5C" w:rsidRPr="00DD1F63" w:rsidRDefault="00862E5C" w:rsidP="00377A09">
      <w:pPr>
        <w:spacing w:after="0" w:line="240" w:lineRule="auto"/>
        <w:ind w:left="0" w:right="375" w:firstLine="0"/>
        <w:jc w:val="left"/>
        <w:rPr>
          <w:rFonts w:ascii="Times New Roman" w:hAnsi="Times New Roman" w:cs="Times New Roman"/>
        </w:rPr>
      </w:pPr>
    </w:p>
    <w:p w14:paraId="68FF8A96" w14:textId="29B59D99" w:rsidR="006B7C8E" w:rsidRPr="00DD1F63" w:rsidRDefault="00CA72FF" w:rsidP="00377A09">
      <w:pPr>
        <w:pStyle w:val="Heading2"/>
        <w:keepLines w:val="0"/>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4.9 </w:t>
      </w:r>
      <w:r w:rsidR="00C70B59" w:rsidRPr="00DD1F63">
        <w:rPr>
          <w:rFonts w:ascii="Times New Roman" w:hAnsi="Times New Roman" w:cs="Times New Roman"/>
          <w:sz w:val="22"/>
        </w:rPr>
        <w:tab/>
      </w:r>
      <w:r w:rsidRPr="00DD1F63">
        <w:rPr>
          <w:rFonts w:ascii="Times New Roman" w:hAnsi="Times New Roman" w:cs="Times New Roman"/>
          <w:sz w:val="22"/>
        </w:rPr>
        <w:t xml:space="preserve">Overdose </w:t>
      </w:r>
    </w:p>
    <w:p w14:paraId="6A2B5B8A" w14:textId="77777777" w:rsidR="008E7AC1" w:rsidRPr="00DD1F63" w:rsidRDefault="008E7AC1" w:rsidP="00377A09">
      <w:pPr>
        <w:keepNext/>
        <w:spacing w:after="0" w:line="240" w:lineRule="auto"/>
        <w:ind w:left="11" w:hanging="11"/>
        <w:jc w:val="left"/>
        <w:rPr>
          <w:sz w:val="22"/>
        </w:rPr>
      </w:pPr>
    </w:p>
    <w:p w14:paraId="2E747C40" w14:textId="3FF2D27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maximum tolerated dose of </w:t>
      </w:r>
      <w:r w:rsidR="008E7AC1" w:rsidRPr="00DD1F63">
        <w:rPr>
          <w:rFonts w:ascii="Times New Roman" w:hAnsi="Times New Roman" w:cs="Times New Roman"/>
          <w:sz w:val="22"/>
        </w:rPr>
        <w:t>adalimumab</w:t>
      </w:r>
      <w:r w:rsidRPr="00DD1F63">
        <w:rPr>
          <w:rFonts w:ascii="Times New Roman" w:hAnsi="Times New Roman" w:cs="Times New Roman"/>
          <w:sz w:val="22"/>
        </w:rPr>
        <w:t xml:space="preserve"> has not been established in humans. No dose-limiting toxicities have been observed during clinical trials with </w:t>
      </w:r>
      <w:r w:rsidR="008E7AC1" w:rsidRPr="00DD1F63">
        <w:rPr>
          <w:rFonts w:ascii="Times New Roman" w:hAnsi="Times New Roman" w:cs="Times New Roman"/>
          <w:sz w:val="22"/>
        </w:rPr>
        <w:t>adalimumab</w:t>
      </w:r>
      <w:r w:rsidRPr="00DD1F63">
        <w:rPr>
          <w:rFonts w:ascii="Times New Roman" w:hAnsi="Times New Roman" w:cs="Times New Roman"/>
          <w:sz w:val="22"/>
        </w:rPr>
        <w:t xml:space="preserve">. Multiple doses up to 10 mg/kg have been administered to patients in clinical trials without evidence of dose-limiting toxicities. In case of over dosage, it is recommended that the patient be monitored for any signs or symptoms of adverse reactions or effects and appropriate symptomatic treatment instituted immediately. </w:t>
      </w:r>
    </w:p>
    <w:p w14:paraId="0986CC2E"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45CF8255" w14:textId="601CE2C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For information on the management of overdose, contact the Poisons Information Centre on 13 11 26 (Australia). </w:t>
      </w:r>
    </w:p>
    <w:p w14:paraId="44C7E3F9" w14:textId="1353C234"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F4DEEEE" w14:textId="77777777" w:rsidR="00A53F00" w:rsidRPr="00DD1F63" w:rsidRDefault="00A53F00" w:rsidP="00377A09">
      <w:pPr>
        <w:spacing w:after="0" w:line="240" w:lineRule="auto"/>
        <w:ind w:left="426" w:firstLine="0"/>
        <w:jc w:val="left"/>
        <w:rPr>
          <w:rFonts w:ascii="Times New Roman" w:hAnsi="Times New Roman" w:cs="Times New Roman"/>
          <w:sz w:val="22"/>
        </w:rPr>
      </w:pPr>
    </w:p>
    <w:p w14:paraId="4381B347" w14:textId="130DBB2A" w:rsidR="006B7C8E" w:rsidRPr="00DD1F63" w:rsidRDefault="00CA72FF" w:rsidP="00377A09">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5</w:t>
      </w:r>
      <w:r w:rsidRPr="00DD1F63">
        <w:rPr>
          <w:rFonts w:ascii="Times New Roman" w:eastAsia="Arial" w:hAnsi="Times New Roman" w:cs="Times New Roman"/>
          <w:sz w:val="22"/>
        </w:rPr>
        <w:t xml:space="preserve"> </w:t>
      </w:r>
      <w:r w:rsidR="00C70B59" w:rsidRPr="00DD1F63">
        <w:rPr>
          <w:rFonts w:ascii="Times New Roman" w:eastAsia="Arial" w:hAnsi="Times New Roman" w:cs="Times New Roman"/>
          <w:sz w:val="22"/>
        </w:rPr>
        <w:tab/>
      </w:r>
      <w:r w:rsidRPr="00DD1F63">
        <w:rPr>
          <w:rFonts w:ascii="Times New Roman" w:hAnsi="Times New Roman" w:cs="Times New Roman"/>
          <w:sz w:val="22"/>
        </w:rPr>
        <w:t xml:space="preserve">PHARMACOLOGICAL PROPERTIES </w:t>
      </w:r>
    </w:p>
    <w:p w14:paraId="47E3D674" w14:textId="77777777" w:rsidR="00A53F00" w:rsidRPr="00DD1F63" w:rsidRDefault="00A53F00" w:rsidP="00377A09">
      <w:pPr>
        <w:spacing w:after="0" w:line="240" w:lineRule="auto"/>
        <w:ind w:left="426" w:firstLine="0"/>
        <w:jc w:val="left"/>
        <w:rPr>
          <w:rFonts w:ascii="Times New Roman" w:hAnsi="Times New Roman" w:cs="Times New Roman"/>
          <w:sz w:val="22"/>
        </w:rPr>
      </w:pPr>
    </w:p>
    <w:p w14:paraId="61C7933E" w14:textId="3D0DEAF8" w:rsidR="006B7C8E"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5.1 </w:t>
      </w:r>
      <w:r w:rsidR="00C70B59" w:rsidRPr="00DD1F63">
        <w:rPr>
          <w:rFonts w:ascii="Times New Roman" w:hAnsi="Times New Roman" w:cs="Times New Roman"/>
          <w:sz w:val="22"/>
        </w:rPr>
        <w:tab/>
      </w:r>
      <w:r w:rsidRPr="00DD1F63">
        <w:rPr>
          <w:rFonts w:ascii="Times New Roman" w:hAnsi="Times New Roman" w:cs="Times New Roman"/>
          <w:sz w:val="22"/>
        </w:rPr>
        <w:t xml:space="preserve">Pharmacodynamic properties </w:t>
      </w:r>
    </w:p>
    <w:p w14:paraId="14982D05" w14:textId="77777777" w:rsidR="00A53F00" w:rsidRPr="00DD1F63" w:rsidRDefault="00A53F00" w:rsidP="00377A09">
      <w:pPr>
        <w:spacing w:after="0" w:line="240" w:lineRule="auto"/>
        <w:ind w:left="426" w:hanging="11"/>
        <w:jc w:val="left"/>
        <w:rPr>
          <w:rFonts w:ascii="Times New Roman" w:hAnsi="Times New Roman" w:cs="Times New Roman"/>
          <w:sz w:val="22"/>
        </w:rPr>
      </w:pPr>
    </w:p>
    <w:p w14:paraId="4068934E" w14:textId="340203C6"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Tumour necrosis factor alpha (TNF-alpha) inhibitors. </w:t>
      </w:r>
    </w:p>
    <w:p w14:paraId="4C57931A"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06E7F2C1" w14:textId="56B333EC"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ATC code: L04AB04 </w:t>
      </w:r>
    </w:p>
    <w:p w14:paraId="33DBB8A8"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0B587A4F" w14:textId="0F47C94B"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Mechanism of action</w:t>
      </w:r>
      <w:r w:rsidRPr="00DD1F63">
        <w:rPr>
          <w:rFonts w:ascii="Times New Roman" w:hAnsi="Times New Roman" w:cs="Times New Roman"/>
          <w:u w:val="none"/>
        </w:rPr>
        <w:t xml:space="preserve"> </w:t>
      </w:r>
    </w:p>
    <w:p w14:paraId="500207EE" w14:textId="77777777" w:rsidR="00A53F00" w:rsidRPr="00DD1F63" w:rsidRDefault="00A53F00" w:rsidP="00377A09">
      <w:pPr>
        <w:spacing w:after="0" w:line="240" w:lineRule="auto"/>
        <w:ind w:left="426" w:hanging="11"/>
        <w:jc w:val="left"/>
        <w:rPr>
          <w:sz w:val="22"/>
        </w:rPr>
      </w:pPr>
    </w:p>
    <w:p w14:paraId="5C58D1E9" w14:textId="156FCF8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Adalimumab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(PsA) and ankylosing spondylitis (AS) patients and play an important role in both the pathologic inflammation and the joint destruction that are hallmarks of these diseases. Increased levels of TNF are also found in psoriasis (Ps) plaques, which contribute to the inflammatory </w:t>
      </w:r>
      <w:r w:rsidRPr="00DD1F63">
        <w:rPr>
          <w:rFonts w:ascii="Times New Roman" w:hAnsi="Times New Roman" w:cs="Times New Roman"/>
          <w:sz w:val="22"/>
        </w:rPr>
        <w:lastRenderedPageBreak/>
        <w:t xml:space="preserve">response, to the proliferation and decreased maturation of keratinocytes and to the associated vascular damages that are characteristic of the disease. </w:t>
      </w:r>
    </w:p>
    <w:p w14:paraId="7D79BCEB"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5679ADBC" w14:textId="425170C4"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 also modulates biological responses that are induced or regulated by TNF, including changes in the levels of adhesion molecules responsible for leukocyte migration (ELAM-1, VCAM-1, and ICAM-1 with an IC</w:t>
      </w:r>
      <w:r w:rsidRPr="00DD1F63">
        <w:rPr>
          <w:rFonts w:ascii="Times New Roman" w:hAnsi="Times New Roman" w:cs="Times New Roman"/>
          <w:sz w:val="22"/>
          <w:vertAlign w:val="subscript"/>
        </w:rPr>
        <w:t>50</w:t>
      </w:r>
      <w:r w:rsidRPr="00DD1F63">
        <w:rPr>
          <w:rFonts w:ascii="Times New Roman" w:hAnsi="Times New Roman" w:cs="Times New Roman"/>
          <w:sz w:val="22"/>
        </w:rPr>
        <w:t xml:space="preserve"> of 1-2 X 10</w:t>
      </w:r>
      <w:r w:rsidRPr="00DD1F63">
        <w:rPr>
          <w:rFonts w:ascii="Times New Roman" w:hAnsi="Times New Roman" w:cs="Times New Roman"/>
          <w:sz w:val="22"/>
          <w:vertAlign w:val="superscript"/>
        </w:rPr>
        <w:t>-10</w:t>
      </w:r>
      <w:r w:rsidRPr="00DD1F63">
        <w:rPr>
          <w:rFonts w:ascii="Times New Roman" w:hAnsi="Times New Roman" w:cs="Times New Roman"/>
          <w:sz w:val="22"/>
        </w:rPr>
        <w:t xml:space="preserve"> M). </w:t>
      </w:r>
    </w:p>
    <w:p w14:paraId="495FF089"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150AFA30" w14:textId="009B8FBD"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Pharmacodynamics</w:t>
      </w:r>
      <w:r w:rsidRPr="00DD1F63">
        <w:rPr>
          <w:rFonts w:ascii="Times New Roman" w:hAnsi="Times New Roman" w:cs="Times New Roman"/>
          <w:u w:val="none"/>
        </w:rPr>
        <w:t xml:space="preserve"> </w:t>
      </w:r>
    </w:p>
    <w:p w14:paraId="6AE60293" w14:textId="77777777" w:rsidR="00A53F00" w:rsidRPr="00DD1F63" w:rsidRDefault="00A53F00" w:rsidP="00377A09">
      <w:pPr>
        <w:spacing w:after="0" w:line="240" w:lineRule="auto"/>
        <w:ind w:left="426" w:hanging="11"/>
        <w:jc w:val="left"/>
        <w:rPr>
          <w:sz w:val="22"/>
        </w:rPr>
      </w:pPr>
    </w:p>
    <w:p w14:paraId="612CC4B3" w14:textId="397D138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After treatment with </w:t>
      </w:r>
      <w:r w:rsidR="00856545" w:rsidRPr="00DD1F63">
        <w:rPr>
          <w:rFonts w:ascii="Times New Roman" w:hAnsi="Times New Roman" w:cs="Times New Roman"/>
          <w:sz w:val="22"/>
        </w:rPr>
        <w:t>adalimumab</w:t>
      </w:r>
      <w:r w:rsidRPr="00DD1F63">
        <w:rPr>
          <w:rFonts w:ascii="Times New Roman" w:hAnsi="Times New Roman" w:cs="Times New Roman"/>
          <w:sz w:val="22"/>
        </w:rPr>
        <w:t>, a rapid decrease in levels of acute phase reactants of inflammation (C</w:t>
      </w:r>
      <w:r w:rsidR="00814CD9">
        <w:rPr>
          <w:rFonts w:ascii="Times New Roman" w:hAnsi="Times New Roman" w:cs="Times New Roman"/>
          <w:sz w:val="22"/>
        </w:rPr>
        <w:t>-</w:t>
      </w:r>
      <w:r w:rsidRPr="00DD1F63">
        <w:rPr>
          <w:rFonts w:ascii="Times New Roman" w:hAnsi="Times New Roman" w:cs="Times New Roman"/>
          <w:sz w:val="22"/>
        </w:rPr>
        <w:t xml:space="preserve">reactive protein (CRP) and Erythrocyte Sedimentation Rate (ESR)) and serum cytokines (IL-6) was observed compared to baseline in patients with RA. </w:t>
      </w:r>
      <w:r w:rsidR="00220908" w:rsidRPr="00DD1F63">
        <w:rPr>
          <w:rFonts w:ascii="Times New Roman" w:hAnsi="Times New Roman" w:cs="Times New Roman"/>
          <w:sz w:val="22"/>
        </w:rPr>
        <w:t xml:space="preserve">In patients with Crohn’s disease (CD), a decrease in CRP levels was observed by week 1. After 12 weeks of treatment with adalimumab, subjects with CD had lower levels of expression of TNF-alpha and the inflammatory markers, human leucocyte antigen (HLA-DR) and myeloperoxidase (MPO) in the colon but not in the ileum, compared with subjects with CD given placebo. </w:t>
      </w:r>
      <w:r w:rsidRPr="00DD1F63">
        <w:rPr>
          <w:rFonts w:ascii="Times New Roman" w:hAnsi="Times New Roman" w:cs="Times New Roman"/>
          <w:sz w:val="22"/>
        </w:rPr>
        <w:t xml:space="preserve">Serum levels of matrix metalloproteinases (MMP-1 and MMP-3) that produce tissue remodelling responsible for cartilage destruction were also decreased after </w:t>
      </w:r>
      <w:r w:rsidR="00856545" w:rsidRPr="00DD1F63">
        <w:rPr>
          <w:rFonts w:ascii="Times New Roman" w:hAnsi="Times New Roman" w:cs="Times New Roman"/>
          <w:sz w:val="22"/>
        </w:rPr>
        <w:t>adalimumab</w:t>
      </w:r>
      <w:r w:rsidRPr="00DD1F63">
        <w:rPr>
          <w:rFonts w:ascii="Times New Roman" w:hAnsi="Times New Roman" w:cs="Times New Roman"/>
          <w:sz w:val="22"/>
        </w:rPr>
        <w:t xml:space="preserve"> administration. Patients treated with </w:t>
      </w:r>
      <w:r w:rsidR="00856545" w:rsidRPr="00DD1F63">
        <w:rPr>
          <w:rFonts w:ascii="Times New Roman" w:hAnsi="Times New Roman" w:cs="Times New Roman"/>
          <w:sz w:val="22"/>
        </w:rPr>
        <w:t>adalimumab</w:t>
      </w:r>
      <w:r w:rsidRPr="00DD1F63">
        <w:rPr>
          <w:rFonts w:ascii="Times New Roman" w:hAnsi="Times New Roman" w:cs="Times New Roman"/>
          <w:sz w:val="22"/>
        </w:rPr>
        <w:t xml:space="preserve"> usually experienced improvement in haematological signs of chronic inflammation. A rapid decrease in CRP levels was also observed in patients with polyarticular juvenile idiopathic arthritis</w:t>
      </w:r>
      <w:r w:rsidR="00220908" w:rsidRPr="00DD1F63">
        <w:rPr>
          <w:rFonts w:ascii="Times New Roman" w:hAnsi="Times New Roman" w:cs="Times New Roman"/>
          <w:sz w:val="22"/>
        </w:rPr>
        <w:t xml:space="preserve">, Crohn’s disease, ulcerative </w:t>
      </w:r>
      <w:proofErr w:type="gramStart"/>
      <w:r w:rsidR="00220908" w:rsidRPr="00DD1F63">
        <w:rPr>
          <w:rFonts w:ascii="Times New Roman" w:hAnsi="Times New Roman" w:cs="Times New Roman"/>
          <w:sz w:val="22"/>
        </w:rPr>
        <w:t>colitis</w:t>
      </w:r>
      <w:proofErr w:type="gramEnd"/>
      <w:r w:rsidRPr="00DD1F63">
        <w:rPr>
          <w:rFonts w:ascii="Times New Roman" w:hAnsi="Times New Roman" w:cs="Times New Roman"/>
          <w:sz w:val="22"/>
        </w:rPr>
        <w:t xml:space="preserve"> and hidradenitis suppurativa. </w:t>
      </w:r>
    </w:p>
    <w:p w14:paraId="5ADBEEF3"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0D82E8E3" w14:textId="47E80184"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The serum adalimumab concentration-efficacy relationship as measured by the American College of Rheumatology response criteria (ACR20) appears to follow the Hill E</w:t>
      </w:r>
      <w:r w:rsidRPr="00DD1F63">
        <w:rPr>
          <w:rFonts w:ascii="Times New Roman" w:hAnsi="Times New Roman" w:cs="Times New Roman"/>
          <w:sz w:val="22"/>
          <w:vertAlign w:val="subscript"/>
        </w:rPr>
        <w:t xml:space="preserve">max </w:t>
      </w:r>
      <w:r w:rsidRPr="00DD1F63">
        <w:rPr>
          <w:rFonts w:ascii="Times New Roman" w:hAnsi="Times New Roman" w:cs="Times New Roman"/>
          <w:sz w:val="22"/>
        </w:rPr>
        <w:t xml:space="preserve">equation as shown below: </w:t>
      </w:r>
    </w:p>
    <w:p w14:paraId="722D087B"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794895A1" w14:textId="1541ADC0"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noProof/>
        </w:rPr>
        <w:drawing>
          <wp:inline distT="0" distB="0" distL="0" distR="0" wp14:anchorId="26E7B156" wp14:editId="6E886868">
            <wp:extent cx="3959524" cy="2156604"/>
            <wp:effectExtent l="0" t="0" r="3175" b="0"/>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12"/>
                    <a:stretch>
                      <a:fillRect/>
                    </a:stretch>
                  </pic:blipFill>
                  <pic:spPr>
                    <a:xfrm>
                      <a:off x="0" y="0"/>
                      <a:ext cx="4008614" cy="2183341"/>
                    </a:xfrm>
                    <a:prstGeom prst="rect">
                      <a:avLst/>
                    </a:prstGeom>
                  </pic:spPr>
                </pic:pic>
              </a:graphicData>
            </a:graphic>
          </wp:inline>
        </w:drawing>
      </w:r>
    </w:p>
    <w:p w14:paraId="6562BED4" w14:textId="77777777" w:rsidR="00A53F00"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EC</w:t>
      </w:r>
      <w:r w:rsidRPr="00DD1F63">
        <w:rPr>
          <w:rFonts w:ascii="Times New Roman" w:hAnsi="Times New Roman" w:cs="Times New Roman"/>
          <w:sz w:val="22"/>
          <w:vertAlign w:val="subscript"/>
        </w:rPr>
        <w:t xml:space="preserve">50 </w:t>
      </w:r>
      <w:r w:rsidRPr="00DD1F63">
        <w:rPr>
          <w:rFonts w:ascii="Times New Roman" w:hAnsi="Times New Roman" w:cs="Times New Roman"/>
          <w:sz w:val="22"/>
        </w:rPr>
        <w:t xml:space="preserve">estimates ranging from 0.8 to 1.4 micrograms/mL were obtained through pharmacokinetic/ pharmacodynamic modelling of swollen joint count, tender joint count and ACR20 response from patients participating in Phase II and III trials. </w:t>
      </w:r>
    </w:p>
    <w:p w14:paraId="70A13A6B" w14:textId="13B36CD4"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744B21AA" w14:textId="183FC59A"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Steady-State</w:t>
      </w:r>
      <w:r w:rsidRPr="00DD1F63">
        <w:rPr>
          <w:rFonts w:ascii="Times New Roman" w:hAnsi="Times New Roman" w:cs="Times New Roman"/>
          <w:i/>
          <w:iCs/>
          <w:u w:val="none"/>
        </w:rPr>
        <w:t xml:space="preserve"> </w:t>
      </w:r>
    </w:p>
    <w:p w14:paraId="618C5EB7" w14:textId="77777777" w:rsidR="00A53F00" w:rsidRPr="00DD1F63" w:rsidRDefault="00A53F00" w:rsidP="00377A09">
      <w:pPr>
        <w:spacing w:after="0" w:line="240" w:lineRule="auto"/>
        <w:ind w:left="426" w:hanging="11"/>
        <w:jc w:val="left"/>
        <w:rPr>
          <w:rFonts w:ascii="Times New Roman" w:hAnsi="Times New Roman" w:cs="Times New Roman"/>
          <w:sz w:val="22"/>
        </w:rPr>
      </w:pPr>
    </w:p>
    <w:p w14:paraId="01576E46" w14:textId="7CDEF0A3" w:rsidR="006B7C8E" w:rsidRPr="00DD1F63" w:rsidRDefault="00CA72FF" w:rsidP="00377A09">
      <w:pPr>
        <w:tabs>
          <w:tab w:val="left" w:pos="8505"/>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Accumulation of adalimumab was predictable based on the half-life following SC administration of </w:t>
      </w:r>
      <w:r w:rsidRPr="00DD1F63">
        <w:rPr>
          <w:rFonts w:ascii="Times New Roman" w:hAnsi="Times New Roman" w:cs="Times New Roman"/>
          <w:spacing w:val="2"/>
          <w:sz w:val="22"/>
        </w:rPr>
        <w:t>40 mg of adalimumab fortnightly to patients with RA, with mean steady-state trough concentrations of approximately 5 micrograms/mL (without concomitant methotrexate (MTX)) and 8 to 9 micrograms/mL (</w:t>
      </w:r>
      <w:r w:rsidRPr="00DD1F63">
        <w:rPr>
          <w:rFonts w:ascii="Times New Roman" w:hAnsi="Times New Roman" w:cs="Times New Roman"/>
          <w:spacing w:val="-4"/>
          <w:sz w:val="22"/>
        </w:rPr>
        <w:t>with concomitant MTX), respectively.</w:t>
      </w:r>
      <w:r w:rsidRPr="00DD1F63">
        <w:rPr>
          <w:rFonts w:ascii="Times New Roman" w:hAnsi="Times New Roman" w:cs="Times New Roman"/>
          <w:sz w:val="22"/>
        </w:rPr>
        <w:t xml:space="preserve"> These trough concentration levels are well above the EC</w:t>
      </w:r>
      <w:r w:rsidRPr="00DD1F63">
        <w:rPr>
          <w:rFonts w:ascii="Times New Roman" w:hAnsi="Times New Roman" w:cs="Times New Roman"/>
          <w:sz w:val="22"/>
          <w:vertAlign w:val="subscript"/>
        </w:rPr>
        <w:t>50</w:t>
      </w:r>
      <w:r w:rsidRPr="00DD1F63">
        <w:rPr>
          <w:rFonts w:ascii="Times New Roman" w:hAnsi="Times New Roman" w:cs="Times New Roman"/>
          <w:sz w:val="22"/>
        </w:rPr>
        <w:t xml:space="preserve"> estimates of 0.8 to 1.4 micrograms/mL and consistent with those at which ACR20 responses appear to reach a maximum (Figure 1). The serum adalimumab trough levels at steady state increased approximately proportionally with dose following 20, 40 and 80 mg </w:t>
      </w:r>
      <w:r w:rsidRPr="00DD1F63">
        <w:rPr>
          <w:rFonts w:ascii="Times New Roman" w:hAnsi="Times New Roman" w:cs="Times New Roman"/>
          <w:sz w:val="22"/>
        </w:rPr>
        <w:lastRenderedPageBreak/>
        <w:t xml:space="preserve">fortnightly and every week SC dosing. In long-term studies with dosing for more than two years, there was no evidence of changes in clearance over time. </w:t>
      </w:r>
    </w:p>
    <w:p w14:paraId="0FC2A06B" w14:textId="77777777" w:rsidR="00D81017" w:rsidRPr="00DD1F63" w:rsidRDefault="00D81017" w:rsidP="00377A09">
      <w:pPr>
        <w:tabs>
          <w:tab w:val="left" w:pos="8505"/>
        </w:tabs>
        <w:spacing w:after="0" w:line="240" w:lineRule="auto"/>
        <w:ind w:left="426" w:right="49"/>
        <w:jc w:val="left"/>
        <w:rPr>
          <w:rFonts w:ascii="Times New Roman" w:hAnsi="Times New Roman" w:cs="Times New Roman"/>
          <w:sz w:val="22"/>
        </w:rPr>
      </w:pPr>
    </w:p>
    <w:p w14:paraId="122E1C1E" w14:textId="3998A49D"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patients with psoriasis, the mean steady-state trough concentration was 5 micrograms/mL during adalimumab 40 mg fortnightly without concomitant methotrexate treatment (after an initial loading dose of 80 mg SC). </w:t>
      </w:r>
    </w:p>
    <w:p w14:paraId="2FEFF7CC" w14:textId="00DF527D" w:rsidR="00A53F00" w:rsidRPr="00DD1F63" w:rsidRDefault="00A53F00" w:rsidP="00377A09">
      <w:pPr>
        <w:spacing w:after="0" w:line="240" w:lineRule="auto"/>
        <w:ind w:left="426" w:right="375"/>
        <w:jc w:val="left"/>
        <w:rPr>
          <w:rFonts w:ascii="Times New Roman" w:hAnsi="Times New Roman" w:cs="Times New Roman"/>
          <w:sz w:val="22"/>
        </w:rPr>
      </w:pPr>
    </w:p>
    <w:p w14:paraId="0DF97695" w14:textId="1F53E0FC"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4"/>
          <w:sz w:val="22"/>
        </w:rPr>
        <w:t xml:space="preserve">In adult patients with hidradenitis suppurativa, a dose of 160 mg </w:t>
      </w:r>
      <w:r w:rsidR="00CC17E2" w:rsidRPr="00DD1F63">
        <w:rPr>
          <w:rFonts w:ascii="Times New Roman" w:hAnsi="Times New Roman" w:cs="Times New Roman"/>
          <w:spacing w:val="4"/>
          <w:sz w:val="22"/>
        </w:rPr>
        <w:t>adalimumab</w:t>
      </w:r>
      <w:r w:rsidRPr="00DD1F63">
        <w:rPr>
          <w:rFonts w:ascii="Times New Roman" w:hAnsi="Times New Roman" w:cs="Times New Roman"/>
          <w:spacing w:val="4"/>
          <w:sz w:val="22"/>
        </w:rPr>
        <w:t xml:space="preserve"> on Week 0, followed by 80 mg on Week 2, achieved serum adalimumab trough concentrations of approximately 7 to 8</w:t>
      </w:r>
      <w:r w:rsidRPr="00DD1F63">
        <w:rPr>
          <w:rFonts w:ascii="Times New Roman" w:hAnsi="Times New Roman" w:cs="Times New Roman"/>
          <w:sz w:val="22"/>
        </w:rPr>
        <w:t xml:space="preserve"> micrograms/mL at Week 2 and Week 4. The mean steady-state trough concentrations at Week 12 through Week 36 were approximately 8 to 10 micrograms/mL during adalimumab 40 mg every week treatment. </w:t>
      </w:r>
    </w:p>
    <w:p w14:paraId="6FEAE302" w14:textId="07605CD1" w:rsidR="00220908" w:rsidRPr="00DD1F63" w:rsidRDefault="00220908" w:rsidP="00377A09">
      <w:pPr>
        <w:spacing w:after="0" w:line="240" w:lineRule="auto"/>
        <w:ind w:left="426" w:right="49"/>
        <w:jc w:val="left"/>
        <w:rPr>
          <w:rFonts w:ascii="Times New Roman" w:hAnsi="Times New Roman" w:cs="Times New Roman"/>
          <w:sz w:val="22"/>
        </w:rPr>
      </w:pPr>
    </w:p>
    <w:p w14:paraId="2CC0639E" w14:textId="77777777" w:rsidR="00220908" w:rsidRPr="00DD1F63" w:rsidRDefault="00220908"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In patients with Crohn’s disease, the loading dose of 160 mg adalimumab on Week 0 followed by 80 mg adalimumab on Week 2 achieves serum adalimumab trough concentrations of approximately 12 micrograms/mL at Weeks</w:t>
      </w:r>
      <w:r w:rsidRPr="00DD1F63">
        <w:rPr>
          <w:rFonts w:ascii="Times New Roman" w:hAnsi="Times New Roman" w:cs="Times New Roman"/>
          <w:sz w:val="22"/>
        </w:rPr>
        <w:t xml:space="preserve"> 2 and 4. The mean steady state trough concentration at Weeks 24 and 56 were 6.6 micrograms/mL and 7.2 micrograms/mL respectively.</w:t>
      </w:r>
      <w:r w:rsidRPr="00DD1F63">
        <w:rPr>
          <w:rFonts w:ascii="Times New Roman" w:hAnsi="Times New Roman" w:cs="Times New Roman"/>
          <w:b/>
          <w:sz w:val="22"/>
        </w:rPr>
        <w:t xml:space="preserve"> </w:t>
      </w:r>
      <w:r w:rsidRPr="00DD1F63">
        <w:rPr>
          <w:rFonts w:ascii="Times New Roman" w:hAnsi="Times New Roman" w:cs="Times New Roman"/>
          <w:sz w:val="22"/>
        </w:rPr>
        <w:t>The range of trough concentrations in patients who received a maintenance dose of 40 mg adalimumab every fortnight was 0 – 21.7 micrograms/</w:t>
      </w:r>
      <w:proofErr w:type="spellStart"/>
      <w:r w:rsidRPr="00DD1F63">
        <w:rPr>
          <w:rFonts w:ascii="Times New Roman" w:hAnsi="Times New Roman" w:cs="Times New Roman"/>
          <w:sz w:val="22"/>
        </w:rPr>
        <w:t>mL.</w:t>
      </w:r>
      <w:proofErr w:type="spellEnd"/>
      <w:r w:rsidRPr="00DD1F63">
        <w:rPr>
          <w:rFonts w:ascii="Times New Roman" w:hAnsi="Times New Roman" w:cs="Times New Roman"/>
          <w:sz w:val="22"/>
        </w:rPr>
        <w:t xml:space="preserve"> </w:t>
      </w:r>
    </w:p>
    <w:p w14:paraId="1FFF9D40" w14:textId="77777777" w:rsidR="00220908" w:rsidRPr="00DD1F63" w:rsidRDefault="00220908" w:rsidP="00377A09">
      <w:pPr>
        <w:spacing w:after="0" w:line="240" w:lineRule="auto"/>
        <w:ind w:left="426" w:right="49"/>
        <w:jc w:val="left"/>
        <w:rPr>
          <w:rFonts w:ascii="Times New Roman" w:hAnsi="Times New Roman" w:cs="Times New Roman"/>
          <w:sz w:val="22"/>
        </w:rPr>
      </w:pPr>
    </w:p>
    <w:p w14:paraId="0BF5FED5" w14:textId="155F3B2A" w:rsidR="00220908" w:rsidRPr="00DD1F63" w:rsidRDefault="00220908"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In patients with ulcerative colitis, a loading dose of 160 mg adalimumab on Week 0 followed by 80 mg adalimumab on Week 2 achieves serum adalimumab trough concentrations of approximately 12 micrograms/mL during the induction</w:t>
      </w:r>
      <w:r w:rsidRPr="00DD1F63">
        <w:rPr>
          <w:rFonts w:ascii="Times New Roman" w:hAnsi="Times New Roman" w:cs="Times New Roman"/>
          <w:sz w:val="22"/>
        </w:rPr>
        <w:t xml:space="preserve"> period. Mean steady-state trough levels of approximately 8 micrograms/mL were observed in ulcerative colitis patients who received a maintenance dose of 40 mg </w:t>
      </w:r>
      <w:r w:rsidR="00506E7D" w:rsidRPr="00DD1F63">
        <w:rPr>
          <w:rFonts w:ascii="Times New Roman" w:hAnsi="Times New Roman" w:cs="Times New Roman"/>
          <w:sz w:val="22"/>
        </w:rPr>
        <w:t xml:space="preserve">adalimumab </w:t>
      </w:r>
      <w:r w:rsidRPr="00DD1F63">
        <w:rPr>
          <w:rFonts w:ascii="Times New Roman" w:hAnsi="Times New Roman" w:cs="Times New Roman"/>
          <w:sz w:val="22"/>
        </w:rPr>
        <w:t xml:space="preserve">fortnightly in a 52-week study. </w:t>
      </w:r>
    </w:p>
    <w:p w14:paraId="7767FC79" w14:textId="77777777" w:rsidR="00220908" w:rsidRPr="00DD1F63" w:rsidRDefault="00220908" w:rsidP="00377A09">
      <w:pPr>
        <w:spacing w:after="0" w:line="240" w:lineRule="auto"/>
        <w:ind w:left="426" w:right="49"/>
        <w:jc w:val="left"/>
        <w:rPr>
          <w:rFonts w:ascii="Times New Roman" w:hAnsi="Times New Roman" w:cs="Times New Roman"/>
          <w:sz w:val="22"/>
        </w:rPr>
      </w:pPr>
    </w:p>
    <w:p w14:paraId="7F68C325" w14:textId="4E2A653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uveitis, a loading dose of 80 mg adalimumab on Week 0 followed by 40 mg adalimumab fortnightly starting at Week 1, resulted in mean steady-state concentrations of approximately 8 to 10 micrograms/</w:t>
      </w:r>
      <w:proofErr w:type="spellStart"/>
      <w:r w:rsidRPr="00DD1F63">
        <w:rPr>
          <w:rFonts w:ascii="Times New Roman" w:hAnsi="Times New Roman" w:cs="Times New Roman"/>
          <w:sz w:val="22"/>
        </w:rPr>
        <w:t>mL.</w:t>
      </w:r>
      <w:proofErr w:type="spellEnd"/>
      <w:r w:rsidRPr="00DD1F63">
        <w:rPr>
          <w:rFonts w:ascii="Times New Roman" w:hAnsi="Times New Roman" w:cs="Times New Roman"/>
          <w:sz w:val="22"/>
        </w:rPr>
        <w:t xml:space="preserve"> </w:t>
      </w:r>
    </w:p>
    <w:p w14:paraId="4B7A7454"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71135E72" w14:textId="3BABB8B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Population pharmacokinetic and pharmacokinetic/pharmacodynamics modelling and simulation predicted comparable adalimumab exposure and efficacy in patients treated with 80 mg fortnightly when compared with 40 mg weekly (including adult patients with RA, HS</w:t>
      </w:r>
      <w:r w:rsidR="00DB136B" w:rsidRPr="00DD1F63">
        <w:rPr>
          <w:rFonts w:ascii="Times New Roman" w:hAnsi="Times New Roman" w:cs="Times New Roman"/>
          <w:sz w:val="22"/>
        </w:rPr>
        <w:t>, UC, CD</w:t>
      </w:r>
      <w:r w:rsidRPr="00DD1F63">
        <w:rPr>
          <w:rFonts w:ascii="Times New Roman" w:hAnsi="Times New Roman" w:cs="Times New Roman"/>
          <w:sz w:val="22"/>
        </w:rPr>
        <w:t xml:space="preserve"> or Ps</w:t>
      </w:r>
      <w:r w:rsidR="00DB136B" w:rsidRPr="00DD1F63">
        <w:rPr>
          <w:rFonts w:ascii="Times New Roman" w:hAnsi="Times New Roman" w:cs="Times New Roman"/>
          <w:sz w:val="22"/>
        </w:rPr>
        <w:t>,</w:t>
      </w:r>
      <w:r w:rsidR="00CD477C" w:rsidRPr="00DD1F63">
        <w:rPr>
          <w:rFonts w:ascii="Times New Roman" w:hAnsi="Times New Roman" w:cs="Times New Roman"/>
          <w:sz w:val="22"/>
        </w:rPr>
        <w:t xml:space="preserve"> </w:t>
      </w:r>
      <w:r w:rsidRPr="00DD1F63">
        <w:rPr>
          <w:rFonts w:ascii="Times New Roman" w:hAnsi="Times New Roman" w:cs="Times New Roman"/>
          <w:sz w:val="22"/>
        </w:rPr>
        <w:t>adolescent patients with HS</w:t>
      </w:r>
      <w:r w:rsidR="00DB136B" w:rsidRPr="00DD1F63">
        <w:rPr>
          <w:rFonts w:ascii="Times New Roman" w:hAnsi="Times New Roman" w:cs="Times New Roman"/>
          <w:sz w:val="22"/>
        </w:rPr>
        <w:t xml:space="preserve"> and paediatric patients ≥ 40 kg with CD</w:t>
      </w:r>
      <w:r w:rsidRPr="00DD1F63">
        <w:rPr>
          <w:rFonts w:ascii="Times New Roman" w:hAnsi="Times New Roman" w:cs="Times New Roman"/>
          <w:sz w:val="22"/>
        </w:rPr>
        <w:t xml:space="preserve">). </w:t>
      </w:r>
    </w:p>
    <w:p w14:paraId="73FD137B"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35F373DA" w14:textId="77777777" w:rsidR="00A53F00"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Population pharmacokinetic analyses with data from over 1200 RA</w:t>
      </w:r>
      <w:r w:rsidRPr="00DD1F63">
        <w:rPr>
          <w:rFonts w:ascii="Times New Roman" w:hAnsi="Times New Roman" w:cs="Times New Roman"/>
          <w:b/>
          <w:sz w:val="22"/>
        </w:rPr>
        <w:t xml:space="preserve"> </w:t>
      </w:r>
      <w:r w:rsidRPr="00DD1F63">
        <w:rPr>
          <w:rFonts w:ascii="Times New Roman" w:hAnsi="Times New Roman" w:cs="Times New Roman"/>
          <w:sz w:val="22"/>
        </w:rPr>
        <w:t xml:space="preserve">patients revealed a trend toward higher apparent clearance of adalimumab with increasing body weight and in patients who developed the presence of anti-adalimumab antibodies. </w:t>
      </w:r>
    </w:p>
    <w:p w14:paraId="0F1B2CEF" w14:textId="4EE157D5"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097877F" w14:textId="6EA303E6"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Minor increases in apparent clearance were predicted in RA patients receiving doses lower than the recommended dose, and in RA patients with high rheumatoid factor or CRP concentrations. These factors are not likely to be clinically important. </w:t>
      </w:r>
      <w:r w:rsidR="006078D6" w:rsidRPr="00DD1F63">
        <w:rPr>
          <w:rFonts w:ascii="Times New Roman" w:hAnsi="Times New Roman" w:cs="Times New Roman"/>
          <w:sz w:val="22"/>
        </w:rPr>
        <w:t>However, there is a significant difference in mean</w:t>
      </w:r>
      <w:r w:rsidR="006078D6" w:rsidRPr="00DD1F63">
        <w:rPr>
          <w:rFonts w:ascii="Times New Roman" w:hAnsi="Times New Roman" w:cs="Times New Roman"/>
          <w:b/>
          <w:sz w:val="22"/>
        </w:rPr>
        <w:t xml:space="preserve"> </w:t>
      </w:r>
      <w:r w:rsidR="006078D6" w:rsidRPr="00DD1F63">
        <w:rPr>
          <w:rFonts w:ascii="Times New Roman" w:hAnsi="Times New Roman" w:cs="Times New Roman"/>
          <w:sz w:val="22"/>
        </w:rPr>
        <w:t>apparent clearance in patients with Crohn’s disease studied short term (4 weeks</w:t>
      </w:r>
      <w:r w:rsidR="006078D6" w:rsidRPr="00DD1F63">
        <w:rPr>
          <w:rFonts w:ascii="Times New Roman" w:hAnsi="Times New Roman" w:cs="Times New Roman"/>
          <w:b/>
          <w:sz w:val="22"/>
        </w:rPr>
        <w:t xml:space="preserve"> </w:t>
      </w:r>
      <w:r w:rsidR="006078D6" w:rsidRPr="00DD1F63">
        <w:rPr>
          <w:rFonts w:ascii="Times New Roman" w:hAnsi="Times New Roman" w:cs="Times New Roman"/>
          <w:sz w:val="22"/>
        </w:rPr>
        <w:t>– 13.1 mL/hr) vs. long term (56 weeks – 16.8 mL/hr).</w:t>
      </w:r>
    </w:p>
    <w:p w14:paraId="1DCCD033" w14:textId="398BEB7B" w:rsidR="00A53F00" w:rsidRDefault="00A53F00" w:rsidP="00377A09">
      <w:pPr>
        <w:spacing w:after="0" w:line="240" w:lineRule="auto"/>
        <w:ind w:left="426" w:right="375"/>
        <w:jc w:val="left"/>
        <w:rPr>
          <w:rFonts w:ascii="Times New Roman" w:hAnsi="Times New Roman" w:cs="Times New Roman"/>
          <w:sz w:val="22"/>
        </w:rPr>
      </w:pPr>
    </w:p>
    <w:p w14:paraId="6CDCC4AD" w14:textId="2310CC65" w:rsidR="00E65CEA" w:rsidRPr="005E3B9D" w:rsidRDefault="00E65CEA" w:rsidP="00377A09">
      <w:pPr>
        <w:spacing w:after="0" w:line="240" w:lineRule="auto"/>
        <w:ind w:left="426" w:right="375"/>
        <w:jc w:val="left"/>
        <w:rPr>
          <w:rFonts w:ascii="Times New Roman" w:hAnsi="Times New Roman" w:cs="Times New Roman"/>
          <w:sz w:val="22"/>
          <w:u w:val="single"/>
        </w:rPr>
      </w:pPr>
      <w:bookmarkStart w:id="2" w:name="_Hlk110428983"/>
      <w:r w:rsidRPr="005E3B9D">
        <w:rPr>
          <w:rFonts w:ascii="Times New Roman" w:hAnsi="Times New Roman" w:cs="Times New Roman"/>
          <w:sz w:val="22"/>
          <w:u w:val="single"/>
        </w:rPr>
        <w:t xml:space="preserve">Comparability of </w:t>
      </w:r>
      <w:proofErr w:type="spellStart"/>
      <w:r w:rsidRPr="00E65CEA">
        <w:rPr>
          <w:rFonts w:ascii="Times New Roman" w:hAnsi="Times New Roman" w:cs="Times New Roman"/>
          <w:sz w:val="22"/>
          <w:u w:val="single"/>
        </w:rPr>
        <w:t>Ciptunec</w:t>
      </w:r>
      <w:proofErr w:type="spellEnd"/>
      <w:r w:rsidRPr="00E65CEA" w:rsidDel="00C267EC">
        <w:rPr>
          <w:rFonts w:ascii="Times New Roman" w:hAnsi="Times New Roman" w:cs="Times New Roman"/>
          <w:sz w:val="22"/>
          <w:u w:val="single"/>
        </w:rPr>
        <w:t xml:space="preserve"> </w:t>
      </w:r>
      <w:r w:rsidRPr="005E3B9D">
        <w:rPr>
          <w:rFonts w:ascii="Times New Roman" w:hAnsi="Times New Roman" w:cs="Times New Roman"/>
          <w:sz w:val="22"/>
          <w:u w:val="single"/>
        </w:rPr>
        <w:t>with Humira</w:t>
      </w:r>
      <w:r w:rsidRPr="005E3B9D">
        <w:rPr>
          <w:rFonts w:ascii="Times New Roman" w:hAnsi="Times New Roman" w:cs="Times New Roman"/>
          <w:sz w:val="22"/>
          <w:u w:val="single"/>
          <w:vertAlign w:val="superscript"/>
        </w:rPr>
        <w:t>®</w:t>
      </w:r>
    </w:p>
    <w:bookmarkEnd w:id="2"/>
    <w:p w14:paraId="6C720F24" w14:textId="77777777" w:rsidR="00E65CEA" w:rsidRDefault="00E65CEA" w:rsidP="00377A09">
      <w:pPr>
        <w:spacing w:after="0" w:line="240" w:lineRule="auto"/>
        <w:ind w:left="426" w:right="375"/>
        <w:jc w:val="left"/>
        <w:rPr>
          <w:rFonts w:ascii="Times New Roman" w:hAnsi="Times New Roman" w:cs="Times New Roman"/>
          <w:sz w:val="22"/>
        </w:rPr>
      </w:pPr>
    </w:p>
    <w:p w14:paraId="6EBBC04D" w14:textId="17A167F5" w:rsidR="00E65CEA" w:rsidRPr="005E3B9D" w:rsidRDefault="00E65CEA" w:rsidP="00377A09">
      <w:pPr>
        <w:spacing w:after="0" w:line="240" w:lineRule="auto"/>
        <w:ind w:left="426" w:right="375"/>
        <w:jc w:val="left"/>
        <w:rPr>
          <w:rFonts w:ascii="Times New Roman" w:hAnsi="Times New Roman" w:cs="Times New Roman"/>
          <w:sz w:val="22"/>
          <w:lang w:val="en-GB"/>
        </w:rPr>
      </w:pPr>
      <w:r w:rsidRPr="005E3B9D">
        <w:rPr>
          <w:rFonts w:ascii="Times New Roman" w:hAnsi="Times New Roman" w:cs="Times New Roman"/>
          <w:sz w:val="22"/>
        </w:rPr>
        <w:t xml:space="preserve">Pharmacodynamic comparability was performed in </w:t>
      </w:r>
      <w:r w:rsidRPr="005E3B9D">
        <w:rPr>
          <w:rFonts w:ascii="Times New Roman" w:hAnsi="Times New Roman" w:cs="Times New Roman"/>
          <w:i/>
          <w:iCs/>
          <w:sz w:val="22"/>
        </w:rPr>
        <w:t>in vitro</w:t>
      </w:r>
      <w:r w:rsidRPr="005E3B9D">
        <w:rPr>
          <w:rFonts w:ascii="Times New Roman" w:hAnsi="Times New Roman" w:cs="Times New Roman"/>
          <w:sz w:val="22"/>
        </w:rPr>
        <w:t xml:space="preserve"> studies to demonstrate similarity between </w:t>
      </w:r>
      <w:proofErr w:type="spellStart"/>
      <w:r w:rsidRPr="00F242BE">
        <w:rPr>
          <w:rFonts w:ascii="Times New Roman" w:hAnsi="Times New Roman" w:cs="Times New Roman"/>
          <w:spacing w:val="-2"/>
          <w:sz w:val="22"/>
        </w:rPr>
        <w:t>Ciptunec</w:t>
      </w:r>
      <w:proofErr w:type="spellEnd"/>
      <w:r w:rsidRPr="00F242BE" w:rsidDel="00C267EC">
        <w:rPr>
          <w:rFonts w:ascii="Times New Roman" w:hAnsi="Times New Roman" w:cs="Times New Roman"/>
          <w:spacing w:val="-2"/>
          <w:sz w:val="22"/>
        </w:rPr>
        <w:t xml:space="preserve"> </w:t>
      </w:r>
      <w:r w:rsidRPr="005E3B9D">
        <w:rPr>
          <w:rFonts w:ascii="Times New Roman" w:hAnsi="Times New Roman" w:cs="Times New Roman"/>
          <w:sz w:val="22"/>
        </w:rPr>
        <w:t>and Humira with respect to the Fab-related mode of action, as well as the Fc-mediated effector functional activities.</w:t>
      </w:r>
    </w:p>
    <w:p w14:paraId="33CD3D4A" w14:textId="77777777" w:rsidR="00E65CEA" w:rsidRDefault="00E65CEA" w:rsidP="00377A09">
      <w:pPr>
        <w:spacing w:after="0" w:line="240" w:lineRule="auto"/>
        <w:ind w:left="426" w:right="375"/>
        <w:jc w:val="left"/>
        <w:rPr>
          <w:rFonts w:ascii="Times New Roman" w:hAnsi="Times New Roman" w:cs="Times New Roman"/>
          <w:sz w:val="22"/>
          <w:lang w:val="en-US"/>
        </w:rPr>
      </w:pPr>
    </w:p>
    <w:p w14:paraId="63B50856" w14:textId="75068EDE" w:rsidR="00E65CEA" w:rsidRPr="00113917" w:rsidRDefault="00E65CEA" w:rsidP="00377A09">
      <w:pPr>
        <w:spacing w:after="0" w:line="240" w:lineRule="auto"/>
        <w:ind w:left="426" w:right="375"/>
        <w:jc w:val="left"/>
        <w:rPr>
          <w:rFonts w:ascii="Times New Roman" w:hAnsi="Times New Roman" w:cs="Times New Roman"/>
          <w:sz w:val="22"/>
          <w:lang w:val="en-US"/>
        </w:rPr>
      </w:pPr>
      <w:r w:rsidRPr="00113917">
        <w:rPr>
          <w:rFonts w:ascii="Times New Roman" w:hAnsi="Times New Roman" w:cs="Times New Roman"/>
          <w:sz w:val="22"/>
          <w:lang w:val="en-US"/>
        </w:rPr>
        <w:lastRenderedPageBreak/>
        <w:t xml:space="preserve">Binding to soluble TNFα as well as subsequent inhibition of TNFα-mediated activities (apoptosis, cytokine release and T-cell activation) were assessed for </w:t>
      </w:r>
      <w:proofErr w:type="spellStart"/>
      <w:r w:rsidRPr="00F242BE">
        <w:rPr>
          <w:rFonts w:ascii="Times New Roman" w:hAnsi="Times New Roman" w:cs="Times New Roman"/>
          <w:spacing w:val="-2"/>
          <w:sz w:val="22"/>
        </w:rPr>
        <w:t>Ciptunec</w:t>
      </w:r>
      <w:proofErr w:type="spellEnd"/>
      <w:r w:rsidRPr="00F242BE" w:rsidDel="00C267EC">
        <w:rPr>
          <w:rFonts w:ascii="Times New Roman" w:hAnsi="Times New Roman" w:cs="Times New Roman"/>
          <w:spacing w:val="-2"/>
          <w:sz w:val="22"/>
        </w:rPr>
        <w:t xml:space="preserve"> </w:t>
      </w:r>
      <w:r w:rsidRPr="00113917">
        <w:rPr>
          <w:rFonts w:ascii="Times New Roman" w:hAnsi="Times New Roman" w:cs="Times New Roman"/>
          <w:sz w:val="22"/>
          <w:lang w:val="en-US"/>
        </w:rPr>
        <w:t xml:space="preserve">and Humira and found to be similar. In addition, binding to membrane bound TNFα and the associated reverse signaling (resulting in apoptosis) were also demonstrated to be similar between </w:t>
      </w:r>
      <w:proofErr w:type="spellStart"/>
      <w:r w:rsidRPr="00F242BE">
        <w:rPr>
          <w:rFonts w:ascii="Times New Roman" w:hAnsi="Times New Roman" w:cs="Times New Roman"/>
          <w:spacing w:val="-2"/>
          <w:sz w:val="22"/>
        </w:rPr>
        <w:t>Ciptunec</w:t>
      </w:r>
      <w:proofErr w:type="spellEnd"/>
      <w:r w:rsidRPr="00F242BE" w:rsidDel="00C267EC">
        <w:rPr>
          <w:rFonts w:ascii="Times New Roman" w:hAnsi="Times New Roman" w:cs="Times New Roman"/>
          <w:spacing w:val="-2"/>
          <w:sz w:val="22"/>
        </w:rPr>
        <w:t xml:space="preserve"> </w:t>
      </w:r>
      <w:r w:rsidRPr="00113917">
        <w:rPr>
          <w:rFonts w:ascii="Times New Roman" w:hAnsi="Times New Roman" w:cs="Times New Roman"/>
          <w:sz w:val="22"/>
          <w:lang w:val="en-US"/>
        </w:rPr>
        <w:t>and Humira.</w:t>
      </w:r>
    </w:p>
    <w:p w14:paraId="330DBDE2" w14:textId="77777777" w:rsidR="00E65CEA" w:rsidRDefault="00E65CEA" w:rsidP="00377A09">
      <w:pPr>
        <w:spacing w:after="0" w:line="240" w:lineRule="auto"/>
        <w:ind w:left="426" w:right="375"/>
        <w:jc w:val="left"/>
        <w:rPr>
          <w:rFonts w:ascii="Times New Roman" w:hAnsi="Times New Roman" w:cs="Times New Roman"/>
          <w:sz w:val="22"/>
          <w:lang w:val="en-US"/>
        </w:rPr>
      </w:pPr>
    </w:p>
    <w:p w14:paraId="313A5D7F" w14:textId="2550F8F7" w:rsidR="00E65CEA" w:rsidRPr="00113917" w:rsidRDefault="00E65CEA" w:rsidP="00377A09">
      <w:pPr>
        <w:spacing w:after="0" w:line="240" w:lineRule="auto"/>
        <w:ind w:left="426" w:right="375"/>
        <w:jc w:val="left"/>
        <w:rPr>
          <w:rFonts w:ascii="Times New Roman" w:hAnsi="Times New Roman" w:cs="Times New Roman"/>
          <w:sz w:val="22"/>
          <w:lang w:val="en-US"/>
        </w:rPr>
      </w:pPr>
      <w:r w:rsidRPr="00113917">
        <w:rPr>
          <w:rFonts w:ascii="Times New Roman" w:hAnsi="Times New Roman" w:cs="Times New Roman"/>
          <w:sz w:val="22"/>
          <w:lang w:val="en-US"/>
        </w:rPr>
        <w:t xml:space="preserve">Similarity for Fc-mediated effector function activities was assessed by </w:t>
      </w:r>
      <w:proofErr w:type="spellStart"/>
      <w:r w:rsidRPr="00113917">
        <w:rPr>
          <w:rFonts w:ascii="Times New Roman" w:hAnsi="Times New Roman" w:cs="Times New Roman"/>
          <w:sz w:val="22"/>
          <w:lang w:val="en-US"/>
        </w:rPr>
        <w:t>FcγR</w:t>
      </w:r>
      <w:proofErr w:type="spellEnd"/>
      <w:r w:rsidRPr="00113917">
        <w:rPr>
          <w:rFonts w:ascii="Times New Roman" w:hAnsi="Times New Roman" w:cs="Times New Roman"/>
          <w:sz w:val="22"/>
          <w:lang w:val="en-US"/>
        </w:rPr>
        <w:t xml:space="preserve"> binding assays (</w:t>
      </w:r>
      <w:proofErr w:type="spellStart"/>
      <w:r w:rsidRPr="00113917">
        <w:rPr>
          <w:rFonts w:ascii="Times New Roman" w:hAnsi="Times New Roman" w:cs="Times New Roman"/>
          <w:sz w:val="22"/>
          <w:lang w:val="en-US"/>
        </w:rPr>
        <w:t>FcγRIIIa</w:t>
      </w:r>
      <w:proofErr w:type="spellEnd"/>
      <w:r w:rsidRPr="00113917">
        <w:rPr>
          <w:rFonts w:ascii="Times New Roman" w:hAnsi="Times New Roman" w:cs="Times New Roman"/>
          <w:sz w:val="22"/>
          <w:lang w:val="en-US"/>
        </w:rPr>
        <w:t xml:space="preserve">, 158F and </w:t>
      </w:r>
      <w:r w:rsidRPr="005E3B9D">
        <w:rPr>
          <w:rFonts w:ascii="Times New Roman" w:hAnsi="Times New Roman" w:cs="Times New Roman"/>
          <w:sz w:val="22"/>
          <w:lang w:val="en-US"/>
        </w:rPr>
        <w:t>158V, respectively</w:t>
      </w:r>
      <w:r w:rsidRPr="00113917">
        <w:rPr>
          <w:rFonts w:ascii="Times New Roman" w:hAnsi="Times New Roman" w:cs="Times New Roman"/>
          <w:sz w:val="22"/>
          <w:lang w:val="en-US"/>
        </w:rPr>
        <w:t xml:space="preserve">, </w:t>
      </w:r>
      <w:proofErr w:type="spellStart"/>
      <w:r w:rsidRPr="00113917">
        <w:rPr>
          <w:rFonts w:ascii="Times New Roman" w:hAnsi="Times New Roman" w:cs="Times New Roman"/>
          <w:sz w:val="22"/>
          <w:lang w:val="en-US"/>
        </w:rPr>
        <w:t>FcγRIa</w:t>
      </w:r>
      <w:proofErr w:type="spellEnd"/>
      <w:r w:rsidRPr="00113917">
        <w:rPr>
          <w:rFonts w:ascii="Times New Roman" w:hAnsi="Times New Roman" w:cs="Times New Roman"/>
          <w:sz w:val="22"/>
          <w:lang w:val="en-US"/>
        </w:rPr>
        <w:t xml:space="preserve">, </w:t>
      </w:r>
      <w:proofErr w:type="spellStart"/>
      <w:r w:rsidRPr="00113917">
        <w:rPr>
          <w:rFonts w:ascii="Times New Roman" w:hAnsi="Times New Roman" w:cs="Times New Roman"/>
          <w:sz w:val="22"/>
          <w:lang w:val="en-US"/>
        </w:rPr>
        <w:t>FcγRIIa</w:t>
      </w:r>
      <w:proofErr w:type="spellEnd"/>
      <w:r w:rsidRPr="00113917">
        <w:rPr>
          <w:rFonts w:ascii="Times New Roman" w:hAnsi="Times New Roman" w:cs="Times New Roman"/>
          <w:sz w:val="22"/>
          <w:lang w:val="en-US"/>
        </w:rPr>
        <w:t xml:space="preserve">, </w:t>
      </w:r>
      <w:proofErr w:type="spellStart"/>
      <w:r w:rsidRPr="00113917">
        <w:rPr>
          <w:rFonts w:ascii="Times New Roman" w:hAnsi="Times New Roman" w:cs="Times New Roman"/>
          <w:sz w:val="22"/>
          <w:lang w:val="en-US"/>
        </w:rPr>
        <w:t>FcγRIIb</w:t>
      </w:r>
      <w:proofErr w:type="spellEnd"/>
      <w:r w:rsidRPr="00113917">
        <w:rPr>
          <w:rFonts w:ascii="Times New Roman" w:hAnsi="Times New Roman" w:cs="Times New Roman"/>
          <w:sz w:val="22"/>
          <w:lang w:val="en-US"/>
        </w:rPr>
        <w:t xml:space="preserve"> and </w:t>
      </w:r>
      <w:proofErr w:type="spellStart"/>
      <w:r w:rsidRPr="00113917">
        <w:rPr>
          <w:rFonts w:ascii="Times New Roman" w:hAnsi="Times New Roman" w:cs="Times New Roman"/>
          <w:sz w:val="22"/>
          <w:lang w:val="en-US"/>
        </w:rPr>
        <w:t>FcγRIIIb</w:t>
      </w:r>
      <w:proofErr w:type="spellEnd"/>
      <w:r w:rsidRPr="00113917">
        <w:rPr>
          <w:rFonts w:ascii="Times New Roman" w:hAnsi="Times New Roman" w:cs="Times New Roman"/>
          <w:sz w:val="22"/>
          <w:lang w:val="en-US"/>
        </w:rPr>
        <w:t xml:space="preserve">), by analysis of binding to C1q and </w:t>
      </w:r>
      <w:proofErr w:type="spellStart"/>
      <w:r w:rsidRPr="00113917">
        <w:rPr>
          <w:rFonts w:ascii="Times New Roman" w:hAnsi="Times New Roman" w:cs="Times New Roman"/>
          <w:sz w:val="22"/>
          <w:lang w:val="en-US"/>
        </w:rPr>
        <w:t>FcRn</w:t>
      </w:r>
      <w:proofErr w:type="spellEnd"/>
      <w:r w:rsidRPr="00113917">
        <w:rPr>
          <w:rFonts w:ascii="Times New Roman" w:hAnsi="Times New Roman" w:cs="Times New Roman"/>
          <w:sz w:val="22"/>
          <w:lang w:val="en-US"/>
        </w:rPr>
        <w:t xml:space="preserve">, and in </w:t>
      </w:r>
      <w:proofErr w:type="gramStart"/>
      <w:r w:rsidRPr="00113917">
        <w:rPr>
          <w:rFonts w:ascii="Times New Roman" w:hAnsi="Times New Roman" w:cs="Times New Roman"/>
          <w:sz w:val="22"/>
          <w:lang w:val="en-US"/>
        </w:rPr>
        <w:t>cell based</w:t>
      </w:r>
      <w:proofErr w:type="gramEnd"/>
      <w:r w:rsidRPr="00113917">
        <w:rPr>
          <w:rFonts w:ascii="Times New Roman" w:hAnsi="Times New Roman" w:cs="Times New Roman"/>
          <w:sz w:val="22"/>
          <w:lang w:val="en-US"/>
        </w:rPr>
        <w:t xml:space="preserve"> assays for antibody-dependent cellular cytotoxicity (ADCC) and complement-dependent cytotoxicity (CDC). In all cases, </w:t>
      </w:r>
      <w:proofErr w:type="spellStart"/>
      <w:r w:rsidRPr="00F242BE">
        <w:rPr>
          <w:rFonts w:ascii="Times New Roman" w:hAnsi="Times New Roman" w:cs="Times New Roman"/>
          <w:spacing w:val="-2"/>
          <w:sz w:val="22"/>
        </w:rPr>
        <w:t>Ciptunec</w:t>
      </w:r>
      <w:proofErr w:type="spellEnd"/>
      <w:r w:rsidRPr="00F242BE" w:rsidDel="00C267EC">
        <w:rPr>
          <w:rFonts w:ascii="Times New Roman" w:hAnsi="Times New Roman" w:cs="Times New Roman"/>
          <w:spacing w:val="-2"/>
          <w:sz w:val="22"/>
        </w:rPr>
        <w:t xml:space="preserve"> </w:t>
      </w:r>
      <w:r w:rsidRPr="00113917">
        <w:rPr>
          <w:rFonts w:ascii="Times New Roman" w:hAnsi="Times New Roman" w:cs="Times New Roman"/>
          <w:sz w:val="22"/>
          <w:lang w:val="en-US"/>
        </w:rPr>
        <w:t xml:space="preserve">was demonstrated to be </w:t>
      </w:r>
      <w:proofErr w:type="gramStart"/>
      <w:r w:rsidRPr="00113917">
        <w:rPr>
          <w:rFonts w:ascii="Times New Roman" w:hAnsi="Times New Roman" w:cs="Times New Roman"/>
          <w:sz w:val="22"/>
          <w:lang w:val="en-US"/>
        </w:rPr>
        <w:t>similar to</w:t>
      </w:r>
      <w:proofErr w:type="gramEnd"/>
      <w:r w:rsidRPr="00113917">
        <w:rPr>
          <w:rFonts w:ascii="Times New Roman" w:hAnsi="Times New Roman" w:cs="Times New Roman"/>
          <w:sz w:val="22"/>
          <w:lang w:val="en-US"/>
        </w:rPr>
        <w:t xml:space="preserve"> Humira.</w:t>
      </w:r>
    </w:p>
    <w:p w14:paraId="1ACFED91" w14:textId="77777777" w:rsidR="006D0B7A" w:rsidRPr="00DD1F63" w:rsidRDefault="006D0B7A" w:rsidP="00377A09">
      <w:pPr>
        <w:spacing w:after="0" w:line="240" w:lineRule="auto"/>
        <w:ind w:left="426" w:right="375"/>
        <w:jc w:val="left"/>
        <w:rPr>
          <w:rFonts w:ascii="Times New Roman" w:hAnsi="Times New Roman" w:cs="Times New Roman"/>
          <w:sz w:val="22"/>
        </w:rPr>
      </w:pPr>
    </w:p>
    <w:p w14:paraId="7035CF3A" w14:textId="555BF1D1"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Clinical trials</w:t>
      </w:r>
      <w:r w:rsidRPr="00DD1F63">
        <w:rPr>
          <w:rFonts w:ascii="Times New Roman" w:hAnsi="Times New Roman" w:cs="Times New Roman"/>
          <w:u w:val="none"/>
        </w:rPr>
        <w:t xml:space="preserve"> </w:t>
      </w:r>
    </w:p>
    <w:p w14:paraId="4358CF18" w14:textId="2B4F86C3" w:rsidR="00A53F00" w:rsidRPr="00DD1F63" w:rsidRDefault="00A53F00" w:rsidP="00377A09">
      <w:pPr>
        <w:spacing w:after="0" w:line="240" w:lineRule="auto"/>
        <w:ind w:left="426" w:hanging="11"/>
        <w:jc w:val="left"/>
        <w:rPr>
          <w:sz w:val="22"/>
        </w:rPr>
      </w:pPr>
    </w:p>
    <w:p w14:paraId="24F1AA81" w14:textId="20FF9988" w:rsidR="00E67BC9" w:rsidRPr="00DD1F63" w:rsidRDefault="00E67BC9" w:rsidP="00377A09">
      <w:pPr>
        <w:spacing w:after="0" w:line="240" w:lineRule="auto"/>
        <w:ind w:left="426" w:hanging="11"/>
        <w:jc w:val="left"/>
        <w:rPr>
          <w:rFonts w:ascii="Times New Roman" w:hAnsi="Times New Roman" w:cs="Times New Roman"/>
          <w:i/>
          <w:sz w:val="22"/>
          <w:u w:val="single" w:color="000000"/>
        </w:rPr>
      </w:pPr>
      <w:r w:rsidRPr="00DD1F63">
        <w:rPr>
          <w:rFonts w:ascii="Times New Roman" w:hAnsi="Times New Roman" w:cs="Times New Roman"/>
          <w:i/>
          <w:sz w:val="22"/>
          <w:u w:val="single" w:color="000000"/>
        </w:rPr>
        <w:t>Clinical trials with Humira</w:t>
      </w:r>
    </w:p>
    <w:p w14:paraId="08B1C1CA" w14:textId="77777777" w:rsidR="00E67BC9" w:rsidRPr="00DD1F63" w:rsidRDefault="00E67BC9" w:rsidP="00377A09">
      <w:pPr>
        <w:spacing w:after="0" w:line="240" w:lineRule="auto"/>
        <w:ind w:left="426" w:hanging="11"/>
        <w:jc w:val="left"/>
        <w:rPr>
          <w:sz w:val="22"/>
        </w:rPr>
      </w:pPr>
    </w:p>
    <w:p w14:paraId="1D2E2E10" w14:textId="1CA53C04" w:rsidR="000D63A5" w:rsidRPr="00DD1F63" w:rsidRDefault="000D63A5" w:rsidP="00377A09">
      <w:pPr>
        <w:spacing w:after="0" w:line="240" w:lineRule="auto"/>
        <w:ind w:left="426"/>
        <w:jc w:val="left"/>
        <w:rPr>
          <w:rFonts w:ascii="Times New Roman" w:hAnsi="Times New Roman" w:cs="Times New Roman"/>
          <w:i/>
          <w:sz w:val="22"/>
          <w:u w:val="single" w:color="000000"/>
        </w:rPr>
      </w:pPr>
      <w:r w:rsidRPr="00DD1F63">
        <w:rPr>
          <w:rFonts w:ascii="Times New Roman" w:hAnsi="Times New Roman" w:cs="Times New Roman"/>
          <w:i/>
          <w:sz w:val="22"/>
          <w:u w:val="single" w:color="000000"/>
        </w:rPr>
        <w:t>Clinical trials for rheumatoid arthritis</w:t>
      </w:r>
    </w:p>
    <w:p w14:paraId="5B5BD7D5" w14:textId="09FC2ED0" w:rsidR="006B7C8E" w:rsidRPr="00DD1F63" w:rsidRDefault="006B7C8E" w:rsidP="00377A09">
      <w:pPr>
        <w:spacing w:after="0" w:line="240" w:lineRule="auto"/>
        <w:ind w:left="0" w:firstLine="0"/>
        <w:jc w:val="left"/>
        <w:rPr>
          <w:rFonts w:ascii="Times New Roman" w:hAnsi="Times New Roman" w:cs="Times New Roman"/>
          <w:sz w:val="22"/>
        </w:rPr>
      </w:pPr>
    </w:p>
    <w:p w14:paraId="7906B74F" w14:textId="296212C0" w:rsidR="00A53F00" w:rsidRPr="00DD1F63" w:rsidRDefault="00FD7ED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evaluated in over 3000 patients in all rheumatoid arthritis clinical trials. Some patients were treated for greater than 60 months duration. The efficacy and safety of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were assessed in five randomised, </w:t>
      </w:r>
      <w:proofErr w:type="gramStart"/>
      <w:r w:rsidR="00CA72FF" w:rsidRPr="00DD1F63">
        <w:rPr>
          <w:rFonts w:ascii="Times New Roman" w:hAnsi="Times New Roman" w:cs="Times New Roman"/>
          <w:sz w:val="22"/>
        </w:rPr>
        <w:t>double-blind</w:t>
      </w:r>
      <w:proofErr w:type="gramEnd"/>
      <w:r w:rsidR="00CA72FF" w:rsidRPr="00DD1F63">
        <w:rPr>
          <w:rFonts w:ascii="Times New Roman" w:hAnsi="Times New Roman" w:cs="Times New Roman"/>
          <w:sz w:val="22"/>
        </w:rPr>
        <w:t xml:space="preserve"> and well-controlled studies. Injection site pain of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40</w:t>
      </w:r>
      <w:r w:rsidR="000D58A4" w:rsidRPr="00DD1F63">
        <w:rPr>
          <w:rFonts w:ascii="Times New Roman" w:hAnsi="Times New Roman" w:cs="Times New Roman"/>
          <w:sz w:val="22"/>
        </w:rPr>
        <w:t xml:space="preserve"> </w:t>
      </w:r>
      <w:r w:rsidR="00CA72FF" w:rsidRPr="00DD1F63">
        <w:rPr>
          <w:rFonts w:ascii="Times New Roman" w:hAnsi="Times New Roman" w:cs="Times New Roman"/>
          <w:sz w:val="22"/>
        </w:rPr>
        <w:t>mg/0.4mL was assessed in two randomised, active control, single-blind, two-period crossover studies.</w:t>
      </w:r>
    </w:p>
    <w:p w14:paraId="6D73F8A4" w14:textId="677B1CA4"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516ABDC" w14:textId="11B35BF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primary endpoint in the efficacy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 </w:t>
      </w:r>
    </w:p>
    <w:p w14:paraId="28DB0B56" w14:textId="77777777" w:rsidR="00A53F00" w:rsidRPr="00DD1F63" w:rsidRDefault="00A53F00" w:rsidP="00377A09">
      <w:pPr>
        <w:spacing w:after="0" w:line="240" w:lineRule="auto"/>
        <w:ind w:left="426" w:right="375"/>
        <w:jc w:val="left"/>
        <w:rPr>
          <w:rFonts w:ascii="Times New Roman" w:hAnsi="Times New Roman" w:cs="Times New Roman"/>
          <w:sz w:val="22"/>
        </w:rPr>
      </w:pPr>
    </w:p>
    <w:p w14:paraId="4447B22C" w14:textId="32762219" w:rsidR="00A53F00" w:rsidRPr="00DD1F63" w:rsidRDefault="00CA72FF" w:rsidP="00377A09">
      <w:pPr>
        <w:spacing w:after="0" w:line="240" w:lineRule="auto"/>
        <w:ind w:left="426" w:right="49"/>
        <w:jc w:val="left"/>
        <w:rPr>
          <w:rFonts w:ascii="Times New Roman" w:hAnsi="Times New Roman" w:cs="Times New Roman"/>
          <w:spacing w:val="-2"/>
          <w:sz w:val="22"/>
        </w:rPr>
      </w:pPr>
      <w:r w:rsidRPr="00DD1F63">
        <w:rPr>
          <w:rFonts w:ascii="Times New Roman" w:hAnsi="Times New Roman" w:cs="Times New Roman"/>
          <w:spacing w:val="-6"/>
          <w:sz w:val="22"/>
        </w:rPr>
        <w:t xml:space="preserve">RA Study I (DE009) evaluated 271 patients with moderately to severely active RA who were </w:t>
      </w:r>
      <w:r w:rsidR="00FD7EDF" w:rsidRPr="00DD1F63">
        <w:rPr>
          <w:rFonts w:ascii="Times New Roman" w:eastAsia="Segoe UI Symbol" w:hAnsi="Times New Roman" w:cs="Times New Roman"/>
          <w:spacing w:val="-6"/>
          <w:sz w:val="22"/>
        </w:rPr>
        <w:t>≥</w:t>
      </w:r>
      <w:r w:rsidRPr="00DD1F63">
        <w:rPr>
          <w:rFonts w:ascii="Times New Roman" w:hAnsi="Times New Roman" w:cs="Times New Roman"/>
          <w:spacing w:val="-6"/>
          <w:sz w:val="22"/>
        </w:rPr>
        <w:t xml:space="preserve"> 18 years old, had failed therapy with</w:t>
      </w:r>
      <w:r w:rsidRPr="00DD1F63">
        <w:rPr>
          <w:rFonts w:ascii="Times New Roman" w:hAnsi="Times New Roman" w:cs="Times New Roman"/>
          <w:spacing w:val="-2"/>
          <w:sz w:val="22"/>
        </w:rPr>
        <w:t xml:space="preserve"> at least one but no more than four disease - modifying anti-rheumatic drugs (DMARDs) and had insufficient efficacy with methotrexate at doses of 12.5 to 25 mg (10 mg if methotrexate-intolerant) every week and whose methotrexate dose remained constant at 10 to 25 mg every week. Patients had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6 swollen joints and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9 tender joints and RA diagnosed according to ACR criteria. Doses of 20, 40 or 80 mg of </w:t>
      </w:r>
      <w:r w:rsidR="00FD7EDF"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or placebo were given fortnightly for 24 weeks. </w:t>
      </w:r>
    </w:p>
    <w:p w14:paraId="21CBC933" w14:textId="764EB376"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1F27ECC" w14:textId="7906E47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4"/>
          <w:sz w:val="22"/>
        </w:rPr>
        <w:t>RA Study II (DE011) evaluated 544 patients with moderately to severely active RA who were</w:t>
      </w:r>
      <w:r w:rsidR="00A53F00" w:rsidRPr="00DD1F63">
        <w:rPr>
          <w:rFonts w:ascii="Times New Roman" w:hAnsi="Times New Roman" w:cs="Times New Roman"/>
          <w:spacing w:val="-4"/>
          <w:sz w:val="22"/>
        </w:rPr>
        <w:t xml:space="preserve"> </w:t>
      </w:r>
      <w:r w:rsidR="00FD7EDF" w:rsidRPr="00DD1F63">
        <w:rPr>
          <w:rFonts w:ascii="Times New Roman" w:eastAsia="Segoe UI Symbol" w:hAnsi="Times New Roman" w:cs="Times New Roman"/>
          <w:spacing w:val="-4"/>
          <w:sz w:val="22"/>
        </w:rPr>
        <w:t>≥</w:t>
      </w:r>
      <w:r w:rsidRPr="00DD1F63">
        <w:rPr>
          <w:rFonts w:ascii="Times New Roman" w:hAnsi="Times New Roman" w:cs="Times New Roman"/>
          <w:spacing w:val="-4"/>
          <w:sz w:val="22"/>
        </w:rPr>
        <w:t>18 years old and</w:t>
      </w:r>
      <w:r w:rsidRPr="00DD1F63">
        <w:rPr>
          <w:rFonts w:ascii="Times New Roman" w:hAnsi="Times New Roman" w:cs="Times New Roman"/>
          <w:sz w:val="22"/>
        </w:rPr>
        <w:t xml:space="preserve"> had failed therapy with at least one DMARD. Patients, who were not permitted methotrexate or other DMARDs during the study, had </w:t>
      </w:r>
      <w:r w:rsidR="00FD7EDF" w:rsidRPr="00DD1F63">
        <w:rPr>
          <w:rFonts w:ascii="Times New Roman" w:eastAsia="Segoe UI Symbol" w:hAnsi="Times New Roman" w:cs="Times New Roman"/>
          <w:sz w:val="22"/>
        </w:rPr>
        <w:t>≥</w:t>
      </w:r>
      <w:r w:rsidRPr="00DD1F63">
        <w:rPr>
          <w:rFonts w:ascii="Times New Roman" w:hAnsi="Times New Roman" w:cs="Times New Roman"/>
          <w:sz w:val="22"/>
        </w:rPr>
        <w:t xml:space="preserve"> 10 swollen joints and </w:t>
      </w:r>
      <w:r w:rsidR="000D58A4" w:rsidRPr="00DD1F63">
        <w:rPr>
          <w:rFonts w:ascii="Times New Roman" w:hAnsi="Times New Roman" w:cs="Times New Roman"/>
          <w:sz w:val="22"/>
        </w:rPr>
        <w:t>≥</w:t>
      </w:r>
      <w:r w:rsidRPr="00DD1F63">
        <w:rPr>
          <w:rFonts w:ascii="Times New Roman" w:hAnsi="Times New Roman" w:cs="Times New Roman"/>
          <w:sz w:val="22"/>
        </w:rPr>
        <w:t xml:space="preserve"> 12 tender joints and were also diagnosed according to ACR criteria. Doses of 20 or 40 mg of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 xml:space="preserve">were given by subcutaneous injection fortnightly with placebo on alternative weeks or every week for 26 weeks; placebo was given every week for the same duration. </w:t>
      </w:r>
    </w:p>
    <w:p w14:paraId="0DE588C3" w14:textId="77777777" w:rsidR="00462395" w:rsidRPr="00DD1F63" w:rsidRDefault="00462395" w:rsidP="00377A09">
      <w:pPr>
        <w:spacing w:after="0" w:line="240" w:lineRule="auto"/>
        <w:ind w:left="426" w:right="375"/>
        <w:jc w:val="left"/>
        <w:rPr>
          <w:rFonts w:ascii="Times New Roman" w:hAnsi="Times New Roman" w:cs="Times New Roman"/>
          <w:sz w:val="22"/>
        </w:rPr>
      </w:pPr>
    </w:p>
    <w:p w14:paraId="5C2E33D7" w14:textId="79CC08D2" w:rsidR="00462395"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RA Study III (DE019) evaluated 619 patients with moderately to severely active RA who were</w:t>
      </w:r>
      <w:r w:rsidR="00462395" w:rsidRPr="00DD1F63">
        <w:rPr>
          <w:rFonts w:ascii="Times New Roman" w:hAnsi="Times New Roman" w:cs="Times New Roman"/>
          <w:spacing w:val="2"/>
          <w:sz w:val="22"/>
        </w:rPr>
        <w:t xml:space="preserve">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18 years old, </w:t>
      </w:r>
      <w:r w:rsidRPr="00DD1F63">
        <w:rPr>
          <w:rFonts w:ascii="Times New Roman" w:hAnsi="Times New Roman" w:cs="Times New Roman"/>
          <w:spacing w:val="-2"/>
          <w:sz w:val="22"/>
        </w:rPr>
        <w:t>had insufficient efficacy to methotrexate at doses of 12.5 to 25 mg (10 mg if methotrexate</w:t>
      </w:r>
      <w:r w:rsidR="00FD7EDF" w:rsidRPr="00DD1F63">
        <w:rPr>
          <w:rFonts w:ascii="Times New Roman" w:hAnsi="Times New Roman" w:cs="Times New Roman"/>
          <w:spacing w:val="-2"/>
          <w:sz w:val="22"/>
        </w:rPr>
        <w:t>-</w:t>
      </w:r>
      <w:r w:rsidRPr="00DD1F63">
        <w:rPr>
          <w:rFonts w:ascii="Times New Roman" w:hAnsi="Times New Roman" w:cs="Times New Roman"/>
          <w:spacing w:val="-2"/>
          <w:sz w:val="22"/>
        </w:rPr>
        <w:t xml:space="preserve">intolerant) every week and whose methotrexate dose remained constant at 12.5 to 25 mg </w:t>
      </w:r>
      <w:r w:rsidRPr="00DD1F63">
        <w:rPr>
          <w:rFonts w:ascii="Times New Roman" w:hAnsi="Times New Roman" w:cs="Times New Roman"/>
          <w:spacing w:val="2"/>
          <w:sz w:val="22"/>
        </w:rPr>
        <w:t xml:space="preserve">every week. Patients had </w:t>
      </w:r>
      <w:r w:rsidR="000D58A4" w:rsidRPr="00DD1F63">
        <w:rPr>
          <w:rFonts w:ascii="Times New Roman" w:hAnsi="Times New Roman" w:cs="Times New Roman"/>
          <w:spacing w:val="2"/>
          <w:sz w:val="22"/>
        </w:rPr>
        <w:t>≥</w:t>
      </w:r>
      <w:r w:rsidRPr="00DD1F63">
        <w:rPr>
          <w:rFonts w:ascii="Times New Roman" w:hAnsi="Times New Roman" w:cs="Times New Roman"/>
          <w:spacing w:val="2"/>
          <w:sz w:val="22"/>
        </w:rPr>
        <w:t xml:space="preserve"> 6 swollen joints and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9 tender joints and RA diagnosed according to ACR criteria. There were three groups in this study. The first received placebo injections</w:t>
      </w:r>
      <w:r w:rsidRPr="00DD1F63">
        <w:rPr>
          <w:rFonts w:ascii="Times New Roman" w:hAnsi="Times New Roman" w:cs="Times New Roman"/>
          <w:spacing w:val="-2"/>
          <w:sz w:val="22"/>
        </w:rPr>
        <w:t xml:space="preserve"> every week for 52 weeks.</w:t>
      </w:r>
      <w:r w:rsidR="00107B81"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The second received 20 mg of </w:t>
      </w:r>
      <w:r w:rsidR="00FD7EDF"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every week for 52 weeks. The third group </w:t>
      </w:r>
      <w:r w:rsidRPr="00DD1F63">
        <w:rPr>
          <w:rFonts w:ascii="Times New Roman" w:hAnsi="Times New Roman" w:cs="Times New Roman"/>
          <w:spacing w:val="4"/>
          <w:sz w:val="22"/>
        </w:rPr>
        <w:t xml:space="preserve">received 40 mg of </w:t>
      </w:r>
      <w:r w:rsidR="00FD7EDF" w:rsidRPr="00DD1F63">
        <w:rPr>
          <w:rFonts w:ascii="Times New Roman" w:hAnsi="Times New Roman" w:cs="Times New Roman"/>
          <w:spacing w:val="4"/>
          <w:sz w:val="22"/>
        </w:rPr>
        <w:t>adalimumab</w:t>
      </w:r>
      <w:r w:rsidRPr="00DD1F63">
        <w:rPr>
          <w:rFonts w:ascii="Times New Roman" w:hAnsi="Times New Roman" w:cs="Times New Roman"/>
          <w:spacing w:val="4"/>
          <w:sz w:val="22"/>
        </w:rPr>
        <w:t xml:space="preserve"> fortnightly with placebo injections on alternate weeks. </w:t>
      </w:r>
      <w:r w:rsidRPr="00DD1F63">
        <w:rPr>
          <w:rFonts w:ascii="Times New Roman" w:hAnsi="Times New Roman" w:cs="Times New Roman"/>
          <w:spacing w:val="4"/>
          <w:sz w:val="22"/>
        </w:rPr>
        <w:lastRenderedPageBreak/>
        <w:t>Upon completion of the first 52</w:t>
      </w:r>
      <w:r w:rsidRPr="00DD1F63">
        <w:rPr>
          <w:rFonts w:ascii="Times New Roman" w:hAnsi="Times New Roman" w:cs="Times New Roman"/>
          <w:spacing w:val="-2"/>
          <w:sz w:val="22"/>
        </w:rPr>
        <w:t xml:space="preserve"> weeks, 457 patients enrolled in an open-label extension</w:t>
      </w:r>
      <w:r w:rsidRPr="00DD1F63">
        <w:rPr>
          <w:rFonts w:ascii="Times New Roman" w:hAnsi="Times New Roman" w:cs="Times New Roman"/>
          <w:sz w:val="22"/>
        </w:rPr>
        <w:t xml:space="preserve"> phase in which 40 mg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/MTX was administered fortnightly, for up to 5 years. The objectives of this open-label extension were to evaluate the long-term safety and maintenance of efficacy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 in subjects with RA receiving concurrent MTX. The maintenance of efficacy was assessed by evaluating the effect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 on the signs and symptoms of RA, physical function, structural damage, rates of clinical remission and patient-reported outcomes. Of the 457 patients who entered the open-label extension, 53/457 (11.6%) subjects discontinued the study due to adverse events, and 16/457 (3.5%) subjects discontinued because of a lack of efficacy/disease progression.</w:t>
      </w:r>
    </w:p>
    <w:p w14:paraId="5BD62011" w14:textId="5984F169"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sz w:val="22"/>
        </w:rPr>
        <w:t xml:space="preserve"> </w:t>
      </w:r>
    </w:p>
    <w:p w14:paraId="40990EEE" w14:textId="237B5AB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 Study IV (DE031) primarily assessed safety in 636 patients with moderately to severely active RA who were </w:t>
      </w:r>
      <w:r w:rsidR="00FD7EDF" w:rsidRPr="00DD1F63">
        <w:rPr>
          <w:rFonts w:ascii="Times New Roman" w:eastAsia="Segoe UI Symbol" w:hAnsi="Times New Roman" w:cs="Times New Roman"/>
          <w:sz w:val="22"/>
        </w:rPr>
        <w:t>≥</w:t>
      </w:r>
      <w:r w:rsidRPr="00DD1F63">
        <w:rPr>
          <w:rFonts w:ascii="Times New Roman" w:hAnsi="Times New Roman" w:cs="Times New Roman"/>
          <w:sz w:val="22"/>
        </w:rPr>
        <w:t xml:space="preserve"> 18 years old. These patients met the ACR criteria for diagnosis of RA for at least three months and had at least 6 swollen joints and 9 tender joints. Patients were permitted to be either DMARD naïve or to remain on their pre-existing rheumatologic therapy </w:t>
      </w:r>
      <w:proofErr w:type="gramStart"/>
      <w:r w:rsidRPr="00DD1F63">
        <w:rPr>
          <w:rFonts w:ascii="Times New Roman" w:hAnsi="Times New Roman" w:cs="Times New Roman"/>
          <w:sz w:val="22"/>
        </w:rPr>
        <w:t>provided that</w:t>
      </w:r>
      <w:proofErr w:type="gramEnd"/>
      <w:r w:rsidRPr="00DD1F63">
        <w:rPr>
          <w:rFonts w:ascii="Times New Roman" w:hAnsi="Times New Roman" w:cs="Times New Roman"/>
          <w:sz w:val="22"/>
        </w:rPr>
        <w:t xml:space="preserve"> therapy was stable for a minimum of 28 days. Patients were randomised to 40 mg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 or placebo fortnightly for 24 weeks. </w:t>
      </w:r>
    </w:p>
    <w:p w14:paraId="4D1AA191" w14:textId="77777777" w:rsidR="00107B81" w:rsidRPr="00DD1F63" w:rsidRDefault="00107B81" w:rsidP="00377A09">
      <w:pPr>
        <w:spacing w:after="0" w:line="240" w:lineRule="auto"/>
        <w:ind w:left="426" w:right="375"/>
        <w:jc w:val="left"/>
        <w:rPr>
          <w:rFonts w:ascii="Times New Roman" w:hAnsi="Times New Roman" w:cs="Times New Roman"/>
          <w:sz w:val="22"/>
        </w:rPr>
      </w:pPr>
    </w:p>
    <w:p w14:paraId="4ADEA9BC" w14:textId="37F40E0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RA Study V (DE013) was an active comparator trial of 2 years duration, which randomised 799 adult methotrexate (MTX)-naïve patients with early RA (mean disease duration less than 9 months) to treatment with adalimumab 40 mg fortnightly alone, methotrexate up to 20 mg/week alone, or the combination of the two, for 104 weeks. Upon completion of the first 104 weeks, 497 patients enrolled in an open-label extension phase in which 40</w:t>
      </w:r>
      <w:r w:rsidR="00780AF2">
        <w:rPr>
          <w:rFonts w:ascii="Times New Roman" w:hAnsi="Times New Roman" w:cs="Times New Roman"/>
          <w:sz w:val="22"/>
        </w:rPr>
        <w:t xml:space="preserve"> </w:t>
      </w:r>
      <w:r w:rsidRPr="00DD1F63">
        <w:rPr>
          <w:rFonts w:ascii="Times New Roman" w:hAnsi="Times New Roman" w:cs="Times New Roman"/>
          <w:sz w:val="22"/>
        </w:rPr>
        <w:t xml:space="preserve">mg of adalimumab was administered fortnightly for up to 10 years.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 </w:t>
      </w:r>
    </w:p>
    <w:p w14:paraId="6D78C393" w14:textId="77777777" w:rsidR="00107B81" w:rsidRPr="00DD1F63" w:rsidRDefault="00107B81" w:rsidP="00377A09">
      <w:pPr>
        <w:spacing w:after="0" w:line="240" w:lineRule="auto"/>
        <w:ind w:left="426" w:right="375"/>
        <w:jc w:val="left"/>
        <w:rPr>
          <w:rFonts w:ascii="Times New Roman" w:hAnsi="Times New Roman" w:cs="Times New Roman"/>
          <w:sz w:val="22"/>
        </w:rPr>
      </w:pPr>
    </w:p>
    <w:p w14:paraId="5B227301" w14:textId="3EC31C9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 Studies VI and VII each evaluated 60 patients with moderately to severely active rheumatoid arthritis who were ≥ 18 years old. Enrolled patients were either current users of </w:t>
      </w:r>
      <w:r w:rsidR="00C8052E" w:rsidRPr="00DD1F63">
        <w:rPr>
          <w:rFonts w:ascii="Times New Roman" w:hAnsi="Times New Roman" w:cs="Times New Roman"/>
          <w:sz w:val="22"/>
        </w:rPr>
        <w:t xml:space="preserve">adalimumab </w:t>
      </w:r>
      <w:r w:rsidRPr="00DD1F63">
        <w:rPr>
          <w:rFonts w:ascii="Times New Roman" w:hAnsi="Times New Roman" w:cs="Times New Roman"/>
          <w:sz w:val="22"/>
        </w:rPr>
        <w:t xml:space="preserve">40 mg/ 0.8 mL and rated their average injection site pain as at least 3 cm (on a 0-10 cm VAS) or were biologic-naïve patients who were starting </w:t>
      </w:r>
      <w:r w:rsidR="00C8052E" w:rsidRPr="00DD1F63">
        <w:rPr>
          <w:rFonts w:ascii="Times New Roman" w:hAnsi="Times New Roman" w:cs="Times New Roman"/>
          <w:sz w:val="22"/>
        </w:rPr>
        <w:t>adalimumab</w:t>
      </w:r>
      <w:r w:rsidRPr="00DD1F63">
        <w:rPr>
          <w:rFonts w:ascii="Times New Roman" w:hAnsi="Times New Roman" w:cs="Times New Roman"/>
          <w:sz w:val="22"/>
        </w:rPr>
        <w:t xml:space="preserve"> 40 mg/ 0.8 </w:t>
      </w:r>
      <w:proofErr w:type="spellStart"/>
      <w:r w:rsidRPr="00DD1F63">
        <w:rPr>
          <w:rFonts w:ascii="Times New Roman" w:hAnsi="Times New Roman" w:cs="Times New Roman"/>
          <w:sz w:val="22"/>
        </w:rPr>
        <w:t>mL.</w:t>
      </w:r>
      <w:proofErr w:type="spellEnd"/>
      <w:r w:rsidRPr="00DD1F63">
        <w:rPr>
          <w:rFonts w:ascii="Times New Roman" w:hAnsi="Times New Roman" w:cs="Times New Roman"/>
          <w:sz w:val="22"/>
        </w:rPr>
        <w:t xml:space="preserve"> Patients were randomised to receive a single dose of </w:t>
      </w:r>
      <w:r w:rsidR="000D58A4" w:rsidRPr="00DD1F63">
        <w:rPr>
          <w:rFonts w:ascii="Times New Roman" w:hAnsi="Times New Roman" w:cs="Times New Roman"/>
          <w:sz w:val="22"/>
        </w:rPr>
        <w:t>adalimumab</w:t>
      </w:r>
      <w:r w:rsidR="00780AF2">
        <w:rPr>
          <w:rFonts w:ascii="Times New Roman" w:hAnsi="Times New Roman" w:cs="Times New Roman"/>
          <w:sz w:val="22"/>
        </w:rPr>
        <w:t xml:space="preserve"> </w:t>
      </w:r>
      <w:r w:rsidRPr="00DD1F63">
        <w:rPr>
          <w:rFonts w:ascii="Times New Roman" w:hAnsi="Times New Roman" w:cs="Times New Roman"/>
          <w:sz w:val="22"/>
        </w:rPr>
        <w:t>40 mg/ 0.8 mL or</w:t>
      </w:r>
      <w:r w:rsidR="000D58A4" w:rsidRPr="00DD1F63">
        <w:rPr>
          <w:rFonts w:ascii="Times New Roman" w:hAnsi="Times New Roman" w:cs="Times New Roman"/>
          <w:sz w:val="22"/>
        </w:rPr>
        <w:t xml:space="preserve"> </w:t>
      </w:r>
      <w:r w:rsidR="002856B2" w:rsidRPr="00DD1F63">
        <w:rPr>
          <w:rFonts w:ascii="Times New Roman" w:hAnsi="Times New Roman" w:cs="Times New Roman"/>
          <w:sz w:val="22"/>
        </w:rPr>
        <w:t>adalimumab</w:t>
      </w:r>
      <w:r w:rsidRPr="00DD1F63">
        <w:rPr>
          <w:rFonts w:ascii="Times New Roman" w:hAnsi="Times New Roman" w:cs="Times New Roman"/>
          <w:sz w:val="22"/>
        </w:rPr>
        <w:t xml:space="preserve"> 40 mg/ 0.4 mL, followed by a single injection of the opposite treatment at their next dose. </w:t>
      </w:r>
    </w:p>
    <w:p w14:paraId="41FA9A21" w14:textId="77777777" w:rsidR="00107B81" w:rsidRPr="00DD1F63" w:rsidRDefault="00107B81" w:rsidP="00377A09">
      <w:pPr>
        <w:spacing w:after="0" w:line="240" w:lineRule="auto"/>
        <w:ind w:left="426" w:right="375"/>
        <w:jc w:val="left"/>
        <w:rPr>
          <w:rFonts w:ascii="Times New Roman" w:hAnsi="Times New Roman" w:cs="Times New Roman"/>
          <w:sz w:val="22"/>
        </w:rPr>
      </w:pPr>
    </w:p>
    <w:p w14:paraId="4AD2EFDA" w14:textId="4142FEA4" w:rsidR="00107B81"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of RA Study I-V were expressed in percentage of patients with improvement in RA using ACR response criteria. The primary endpoint in RA Studies I, II and III and the secondary </w:t>
      </w:r>
      <w:r w:rsidRPr="00DD1F63">
        <w:rPr>
          <w:rFonts w:ascii="Times New Roman" w:hAnsi="Times New Roman" w:cs="Times New Roman"/>
          <w:spacing w:val="2"/>
          <w:sz w:val="22"/>
        </w:rPr>
        <w:t>endpoint in RA Study IV was the percent of patients who achieved an ACR20 response at Week 24 or 26. The primary endpoint in RA Study V was the percent of patients who achieved an ACR50 response at Week 52. RA</w:t>
      </w:r>
      <w:r w:rsidR="00107B81"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Studies III and V had an additional primary endpoint at 52</w:t>
      </w:r>
      <w:r w:rsidRPr="00DD1F63">
        <w:rPr>
          <w:rFonts w:ascii="Times New Roman" w:hAnsi="Times New Roman" w:cs="Times New Roman"/>
          <w:sz w:val="22"/>
        </w:rPr>
        <w:t xml:space="preserve"> weeks of retardation of disease progression (as detected by X-ray results). RA Study III also had a primary endpoint of changes in quality of life. The primary endpoint in RA studies VI and VII was injection site pain immediately after injection as measured by a 0-10 cm VAS. </w:t>
      </w:r>
    </w:p>
    <w:p w14:paraId="49E0ACCC" w14:textId="77777777" w:rsidR="00FD623A" w:rsidRPr="00DD1F63" w:rsidRDefault="00FD623A" w:rsidP="00377A09">
      <w:pPr>
        <w:spacing w:after="0" w:line="240" w:lineRule="auto"/>
        <w:ind w:left="426" w:right="375"/>
        <w:jc w:val="left"/>
        <w:rPr>
          <w:rFonts w:ascii="Times New Roman" w:hAnsi="Times New Roman" w:cs="Times New Roman"/>
          <w:sz w:val="22"/>
        </w:rPr>
      </w:pPr>
    </w:p>
    <w:p w14:paraId="25F1F0E0" w14:textId="2B946099"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u w:val="single" w:color="000000"/>
        </w:rPr>
        <w:t xml:space="preserve">Clinical </w:t>
      </w:r>
      <w:r w:rsidR="00735B87" w:rsidRPr="00DD1F63">
        <w:rPr>
          <w:rFonts w:ascii="Times New Roman" w:hAnsi="Times New Roman" w:cs="Times New Roman"/>
          <w:sz w:val="22"/>
          <w:u w:val="single" w:color="000000"/>
        </w:rPr>
        <w:t>r</w:t>
      </w:r>
      <w:r w:rsidRPr="00DD1F63">
        <w:rPr>
          <w:rFonts w:ascii="Times New Roman" w:hAnsi="Times New Roman" w:cs="Times New Roman"/>
          <w:sz w:val="22"/>
          <w:u w:val="single" w:color="000000"/>
        </w:rPr>
        <w:t>esponse</w:t>
      </w:r>
      <w:r w:rsidRPr="00DD1F63">
        <w:rPr>
          <w:rFonts w:ascii="Times New Roman" w:hAnsi="Times New Roman" w:cs="Times New Roman"/>
          <w:sz w:val="22"/>
        </w:rPr>
        <w:t xml:space="preserve"> </w:t>
      </w:r>
    </w:p>
    <w:p w14:paraId="0F72F897" w14:textId="77777777" w:rsidR="00C730F6" w:rsidRPr="00DD1F63" w:rsidRDefault="00C730F6" w:rsidP="00377A09">
      <w:pPr>
        <w:spacing w:after="0" w:line="240" w:lineRule="auto"/>
        <w:ind w:left="426" w:right="375"/>
        <w:jc w:val="left"/>
        <w:rPr>
          <w:rFonts w:ascii="Times New Roman" w:hAnsi="Times New Roman" w:cs="Times New Roman"/>
          <w:sz w:val="22"/>
        </w:rPr>
      </w:pPr>
    </w:p>
    <w:p w14:paraId="4DB29093" w14:textId="48B77612" w:rsidR="006B7C8E" w:rsidRPr="00DD1F63" w:rsidRDefault="00CA72FF" w:rsidP="00377A09">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RA Studies I, II and III </w:t>
      </w:r>
    </w:p>
    <w:p w14:paraId="413979BD" w14:textId="77777777" w:rsidR="00C730F6" w:rsidRPr="00DD1F63" w:rsidRDefault="00C730F6" w:rsidP="00377A09">
      <w:pPr>
        <w:spacing w:after="0" w:line="240" w:lineRule="auto"/>
        <w:ind w:left="426" w:hanging="11"/>
        <w:jc w:val="left"/>
        <w:rPr>
          <w:sz w:val="22"/>
        </w:rPr>
      </w:pPr>
    </w:p>
    <w:p w14:paraId="56613104" w14:textId="3E7BB71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percent of -treated patients achieving ACR 20, 50 and 70 responses was consistent across all three trials. The results for the 40 mg fortnightly dose are summarised in Table </w:t>
      </w:r>
      <w:r w:rsidR="00127F14" w:rsidRPr="00DD1F63">
        <w:rPr>
          <w:rFonts w:ascii="Times New Roman" w:hAnsi="Times New Roman" w:cs="Times New Roman"/>
          <w:sz w:val="22"/>
        </w:rPr>
        <w:t>5</w:t>
      </w:r>
      <w:r w:rsidRPr="00DD1F63">
        <w:rPr>
          <w:rFonts w:ascii="Times New Roman" w:hAnsi="Times New Roman" w:cs="Times New Roman"/>
          <w:sz w:val="22"/>
        </w:rPr>
        <w:t xml:space="preserve">. </w:t>
      </w:r>
    </w:p>
    <w:p w14:paraId="5297E798" w14:textId="0CD1B576" w:rsidR="00C730F6" w:rsidRPr="00DD1F63" w:rsidRDefault="00C730F6" w:rsidP="00377A09">
      <w:pPr>
        <w:spacing w:after="0" w:line="240" w:lineRule="auto"/>
        <w:ind w:left="426" w:right="375"/>
        <w:jc w:val="left"/>
        <w:rPr>
          <w:rFonts w:ascii="Times New Roman" w:hAnsi="Times New Roman" w:cs="Times New Roman"/>
        </w:rPr>
      </w:pPr>
    </w:p>
    <w:tbl>
      <w:tblPr>
        <w:tblStyle w:val="TableGrid1"/>
        <w:tblW w:w="8646" w:type="dxa"/>
        <w:tblInd w:w="421" w:type="dxa"/>
        <w:tblLayout w:type="fixed"/>
        <w:tblCellMar>
          <w:left w:w="57" w:type="dxa"/>
          <w:right w:w="57" w:type="dxa"/>
        </w:tblCellMar>
        <w:tblLook w:val="04A0" w:firstRow="1" w:lastRow="0" w:firstColumn="1" w:lastColumn="0" w:noHBand="0" w:noVBand="1"/>
      </w:tblPr>
      <w:tblGrid>
        <w:gridCol w:w="1134"/>
        <w:gridCol w:w="850"/>
        <w:gridCol w:w="1418"/>
        <w:gridCol w:w="1045"/>
        <w:gridCol w:w="1541"/>
        <w:gridCol w:w="893"/>
        <w:gridCol w:w="1765"/>
      </w:tblGrid>
      <w:tr w:rsidR="006B7C8E" w:rsidRPr="00DD1F63" w14:paraId="11EDBEE2" w14:textId="77777777" w:rsidTr="00385A44">
        <w:trPr>
          <w:trHeight w:val="20"/>
        </w:trPr>
        <w:tc>
          <w:tcPr>
            <w:tcW w:w="8646" w:type="dxa"/>
            <w:gridSpan w:val="7"/>
            <w:tcBorders>
              <w:top w:val="single" w:sz="4" w:space="0" w:color="000000"/>
              <w:left w:val="single" w:sz="4" w:space="0" w:color="000000"/>
              <w:bottom w:val="single" w:sz="4" w:space="0" w:color="000000"/>
              <w:right w:val="single" w:sz="4" w:space="0" w:color="000000"/>
            </w:tcBorders>
            <w:vAlign w:val="center"/>
          </w:tcPr>
          <w:p w14:paraId="69A24995" w14:textId="2B2CAC7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lastRenderedPageBreak/>
              <w:t xml:space="preserve">Table </w:t>
            </w:r>
            <w:r w:rsidR="00127F14" w:rsidRPr="00DD1F63">
              <w:rPr>
                <w:rFonts w:ascii="Times New Roman" w:hAnsi="Times New Roman" w:cs="Times New Roman"/>
                <w:b/>
                <w:sz w:val="21"/>
                <w:szCs w:val="21"/>
              </w:rPr>
              <w:t>5</w:t>
            </w:r>
            <w:r w:rsidRPr="00DD1F63">
              <w:rPr>
                <w:rFonts w:ascii="Times New Roman" w:hAnsi="Times New Roman" w:cs="Times New Roman"/>
                <w:b/>
                <w:sz w:val="21"/>
                <w:szCs w:val="21"/>
              </w:rPr>
              <w:t xml:space="preserve">: ACR </w:t>
            </w:r>
            <w:r w:rsidR="00C824B8"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esponses in </w:t>
            </w:r>
            <w:r w:rsidR="00C824B8" w:rsidRPr="00DD1F63">
              <w:rPr>
                <w:rFonts w:ascii="Times New Roman" w:hAnsi="Times New Roman" w:cs="Times New Roman"/>
                <w:b/>
                <w:sz w:val="21"/>
                <w:szCs w:val="21"/>
              </w:rPr>
              <w:t>p</w:t>
            </w:r>
            <w:r w:rsidRPr="00DD1F63">
              <w:rPr>
                <w:rFonts w:ascii="Times New Roman" w:hAnsi="Times New Roman" w:cs="Times New Roman"/>
                <w:b/>
                <w:sz w:val="21"/>
                <w:szCs w:val="21"/>
              </w:rPr>
              <w:t>lacebo-</w:t>
            </w:r>
            <w:r w:rsidR="00C824B8"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ontrolled </w:t>
            </w:r>
            <w:r w:rsidR="00C824B8" w:rsidRPr="00DD1F63">
              <w:rPr>
                <w:rFonts w:ascii="Times New Roman" w:hAnsi="Times New Roman" w:cs="Times New Roman"/>
                <w:b/>
                <w:sz w:val="21"/>
                <w:szCs w:val="21"/>
              </w:rPr>
              <w:t>t</w:t>
            </w:r>
            <w:r w:rsidRPr="00DD1F63">
              <w:rPr>
                <w:rFonts w:ascii="Times New Roman" w:hAnsi="Times New Roman" w:cs="Times New Roman"/>
                <w:b/>
                <w:sz w:val="21"/>
                <w:szCs w:val="21"/>
              </w:rPr>
              <w:t>rials (</w:t>
            </w:r>
            <w:r w:rsidR="00C824B8"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ercent of </w:t>
            </w:r>
            <w:r w:rsidR="00C824B8" w:rsidRPr="00DD1F63">
              <w:rPr>
                <w:rFonts w:ascii="Times New Roman" w:hAnsi="Times New Roman" w:cs="Times New Roman"/>
                <w:b/>
                <w:sz w:val="21"/>
                <w:szCs w:val="21"/>
              </w:rPr>
              <w:t>p</w:t>
            </w:r>
            <w:r w:rsidRPr="00DD1F63">
              <w:rPr>
                <w:rFonts w:ascii="Times New Roman" w:hAnsi="Times New Roman" w:cs="Times New Roman"/>
                <w:b/>
                <w:sz w:val="21"/>
                <w:szCs w:val="21"/>
              </w:rPr>
              <w:t>atients)</w:t>
            </w:r>
          </w:p>
        </w:tc>
      </w:tr>
      <w:tr w:rsidR="00FF7CC4" w:rsidRPr="00DD1F63" w14:paraId="1A2E5B07" w14:textId="77777777" w:rsidTr="00385A44">
        <w:trPr>
          <w:trHeight w:val="20"/>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C0B133" w14:textId="0262CB4B" w:rsidR="006B7C8E" w:rsidRPr="00DD1F63" w:rsidRDefault="006B7C8E" w:rsidP="00377A09">
            <w:pPr>
              <w:spacing w:after="0" w:line="240" w:lineRule="auto"/>
              <w:ind w:left="0" w:firstLine="0"/>
              <w:jc w:val="left"/>
              <w:rPr>
                <w:rFonts w:ascii="Times New Roman" w:hAnsi="Times New Roman" w:cs="Times New Roman"/>
                <w:sz w:val="21"/>
                <w:szCs w:val="21"/>
              </w:rPr>
            </w:pPr>
          </w:p>
          <w:p w14:paraId="435AEE35" w14:textId="231DB91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Response</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2714AB0" w14:textId="7B5979B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RA Study </w:t>
            </w:r>
            <w:proofErr w:type="spellStart"/>
            <w:r w:rsidRPr="00DD1F63">
              <w:rPr>
                <w:rFonts w:ascii="Times New Roman" w:hAnsi="Times New Roman" w:cs="Times New Roman"/>
                <w:sz w:val="21"/>
                <w:szCs w:val="21"/>
              </w:rPr>
              <w:t>I</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sz w:val="21"/>
                <w:szCs w:val="21"/>
              </w:rPr>
              <w:t>*</w:t>
            </w: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14:paraId="1F4AF6D7" w14:textId="32A04F5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RA Study </w:t>
            </w:r>
            <w:proofErr w:type="spellStart"/>
            <w:r w:rsidRPr="00DD1F63">
              <w:rPr>
                <w:rFonts w:ascii="Times New Roman" w:hAnsi="Times New Roman" w:cs="Times New Roman"/>
                <w:sz w:val="21"/>
                <w:szCs w:val="21"/>
              </w:rPr>
              <w:t>II</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sz w:val="21"/>
                <w:szCs w:val="21"/>
              </w:rPr>
              <w:t>*</w:t>
            </w:r>
          </w:p>
        </w:tc>
        <w:tc>
          <w:tcPr>
            <w:tcW w:w="2658" w:type="dxa"/>
            <w:gridSpan w:val="2"/>
            <w:tcBorders>
              <w:top w:val="single" w:sz="4" w:space="0" w:color="000000"/>
              <w:left w:val="single" w:sz="4" w:space="0" w:color="000000"/>
              <w:bottom w:val="single" w:sz="4" w:space="0" w:color="000000"/>
              <w:right w:val="single" w:sz="4" w:space="0" w:color="000000"/>
            </w:tcBorders>
            <w:vAlign w:val="center"/>
          </w:tcPr>
          <w:p w14:paraId="19EC52BA" w14:textId="4B112E1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RA Study III</w:t>
            </w:r>
            <w:r w:rsidRPr="00DD1F63">
              <w:rPr>
                <w:rFonts w:ascii="Times New Roman" w:hAnsi="Times New Roman" w:cs="Times New Roman"/>
                <w:sz w:val="21"/>
                <w:szCs w:val="21"/>
                <w:vertAlign w:val="superscript"/>
              </w:rPr>
              <w:t>a, c</w:t>
            </w:r>
            <w:r w:rsidRPr="00DD1F63">
              <w:rPr>
                <w:rFonts w:ascii="Times New Roman" w:hAnsi="Times New Roman" w:cs="Times New Roman"/>
                <w:sz w:val="21"/>
                <w:szCs w:val="21"/>
              </w:rPr>
              <w:t xml:space="preserve"> *</w:t>
            </w:r>
          </w:p>
        </w:tc>
      </w:tr>
      <w:tr w:rsidR="00FF7CC4" w:rsidRPr="00DD1F63" w14:paraId="1B45894E" w14:textId="77777777" w:rsidTr="00385A44">
        <w:trPr>
          <w:trHeight w:val="20"/>
        </w:trPr>
        <w:tc>
          <w:tcPr>
            <w:tcW w:w="1134" w:type="dxa"/>
            <w:vMerge/>
            <w:tcBorders>
              <w:top w:val="nil"/>
              <w:left w:val="single" w:sz="4" w:space="0" w:color="000000"/>
              <w:bottom w:val="single" w:sz="4" w:space="0" w:color="000000"/>
              <w:right w:val="single" w:sz="4" w:space="0" w:color="000000"/>
            </w:tcBorders>
            <w:vAlign w:val="center"/>
          </w:tcPr>
          <w:p w14:paraId="7F66CA85"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850" w:type="dxa"/>
            <w:tcBorders>
              <w:top w:val="single" w:sz="4" w:space="0" w:color="000000"/>
              <w:left w:val="single" w:sz="4" w:space="0" w:color="000000"/>
              <w:bottom w:val="single" w:sz="4" w:space="0" w:color="000000"/>
              <w:right w:val="nil"/>
            </w:tcBorders>
            <w:vAlign w:val="center"/>
          </w:tcPr>
          <w:p w14:paraId="3142E914" w14:textId="3EBC90C7" w:rsidR="007A1C50"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Placebo/MTX</w:t>
            </w:r>
          </w:p>
          <w:p w14:paraId="3C2D2246" w14:textId="7BA09AE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N=60</w:t>
            </w:r>
          </w:p>
        </w:tc>
        <w:tc>
          <w:tcPr>
            <w:tcW w:w="1418" w:type="dxa"/>
            <w:tcBorders>
              <w:top w:val="single" w:sz="4" w:space="0" w:color="000000"/>
              <w:left w:val="nil"/>
              <w:bottom w:val="single" w:sz="4" w:space="0" w:color="000000"/>
              <w:right w:val="single" w:sz="4" w:space="0" w:color="000000"/>
            </w:tcBorders>
            <w:vAlign w:val="center"/>
          </w:tcPr>
          <w:p w14:paraId="49E3DF91" w14:textId="630B04D2" w:rsidR="009522B2" w:rsidRPr="00DD1F63" w:rsidRDefault="006F3627" w:rsidP="00377A09">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A</w:t>
            </w:r>
            <w:r w:rsidR="00716528" w:rsidRPr="00DD1F63">
              <w:rPr>
                <w:rFonts w:ascii="Times New Roman" w:hAnsi="Times New Roman" w:cs="Times New Roman"/>
                <w:sz w:val="21"/>
                <w:szCs w:val="21"/>
              </w:rPr>
              <w:t>dalimumab</w:t>
            </w:r>
            <w:r w:rsidR="00CA72FF" w:rsidRPr="00DD1F63">
              <w:rPr>
                <w:rFonts w:ascii="Times New Roman" w:hAnsi="Times New Roman" w:cs="Times New Roman"/>
                <w:sz w:val="21"/>
                <w:szCs w:val="21"/>
                <w:vertAlign w:val="superscript"/>
              </w:rPr>
              <w:t>b</w:t>
            </w:r>
            <w:proofErr w:type="spellEnd"/>
            <w:r w:rsidR="00CA72FF" w:rsidRPr="00DD1F63">
              <w:rPr>
                <w:rFonts w:ascii="Times New Roman" w:hAnsi="Times New Roman" w:cs="Times New Roman"/>
                <w:sz w:val="21"/>
                <w:szCs w:val="21"/>
                <w:vertAlign w:val="superscript"/>
              </w:rPr>
              <w:t xml:space="preserve"> </w:t>
            </w:r>
            <w:r w:rsidR="00CA72FF" w:rsidRPr="00DD1F63">
              <w:rPr>
                <w:rFonts w:ascii="Times New Roman" w:hAnsi="Times New Roman" w:cs="Times New Roman"/>
                <w:sz w:val="21"/>
                <w:szCs w:val="21"/>
              </w:rPr>
              <w:t>/ MTX</w:t>
            </w:r>
          </w:p>
          <w:p w14:paraId="3F9BC8FC" w14:textId="0D8A03E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N=63</w:t>
            </w:r>
          </w:p>
        </w:tc>
        <w:tc>
          <w:tcPr>
            <w:tcW w:w="1045" w:type="dxa"/>
            <w:tcBorders>
              <w:top w:val="single" w:sz="4" w:space="0" w:color="000000"/>
              <w:left w:val="single" w:sz="4" w:space="0" w:color="000000"/>
              <w:bottom w:val="single" w:sz="4" w:space="0" w:color="000000"/>
              <w:right w:val="nil"/>
            </w:tcBorders>
            <w:vAlign w:val="center"/>
          </w:tcPr>
          <w:p w14:paraId="567A52A6" w14:textId="02C530D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Placebo</w:t>
            </w:r>
          </w:p>
          <w:p w14:paraId="2DC181BF" w14:textId="61EF026A" w:rsidR="006B7C8E" w:rsidRPr="00DD1F63" w:rsidRDefault="006B7C8E" w:rsidP="00377A09">
            <w:pPr>
              <w:spacing w:after="0" w:line="240" w:lineRule="auto"/>
              <w:ind w:left="0" w:firstLine="0"/>
              <w:jc w:val="left"/>
              <w:rPr>
                <w:rFonts w:ascii="Times New Roman" w:hAnsi="Times New Roman" w:cs="Times New Roman"/>
                <w:sz w:val="21"/>
                <w:szCs w:val="21"/>
              </w:rPr>
            </w:pPr>
          </w:p>
          <w:p w14:paraId="739B5540" w14:textId="293C8EB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N=110</w:t>
            </w:r>
          </w:p>
        </w:tc>
        <w:tc>
          <w:tcPr>
            <w:tcW w:w="1541" w:type="dxa"/>
            <w:tcBorders>
              <w:top w:val="single" w:sz="4" w:space="0" w:color="000000"/>
              <w:left w:val="nil"/>
              <w:bottom w:val="single" w:sz="4" w:space="0" w:color="000000"/>
              <w:right w:val="single" w:sz="4" w:space="0" w:color="000000"/>
            </w:tcBorders>
            <w:vAlign w:val="center"/>
          </w:tcPr>
          <w:p w14:paraId="560E939A" w14:textId="38C4E706" w:rsidR="007A1C50" w:rsidRPr="00DD1F63" w:rsidRDefault="006F3627" w:rsidP="00377A09">
            <w:pPr>
              <w:spacing w:after="0" w:line="240" w:lineRule="auto"/>
              <w:ind w:left="0" w:firstLine="0"/>
              <w:jc w:val="left"/>
              <w:rPr>
                <w:rFonts w:ascii="Times New Roman" w:hAnsi="Times New Roman" w:cs="Times New Roman"/>
                <w:sz w:val="21"/>
                <w:szCs w:val="21"/>
                <w:vertAlign w:val="superscript"/>
              </w:rPr>
            </w:pPr>
            <w:proofErr w:type="spellStart"/>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vertAlign w:val="superscript"/>
              </w:rPr>
              <w:t>b</w:t>
            </w:r>
            <w:proofErr w:type="spellEnd"/>
          </w:p>
          <w:p w14:paraId="6B25CCBD" w14:textId="133B52FB" w:rsidR="007A1C50" w:rsidRPr="00DD1F63" w:rsidRDefault="007A1C50" w:rsidP="00377A09">
            <w:pPr>
              <w:spacing w:after="0" w:line="240" w:lineRule="auto"/>
              <w:ind w:left="0" w:firstLine="0"/>
              <w:jc w:val="left"/>
              <w:rPr>
                <w:rFonts w:ascii="Times New Roman" w:hAnsi="Times New Roman" w:cs="Times New Roman"/>
                <w:sz w:val="21"/>
                <w:szCs w:val="21"/>
              </w:rPr>
            </w:pPr>
          </w:p>
          <w:p w14:paraId="128407F9" w14:textId="65EB1483"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*N=113</w:t>
            </w:r>
          </w:p>
        </w:tc>
        <w:tc>
          <w:tcPr>
            <w:tcW w:w="893" w:type="dxa"/>
            <w:tcBorders>
              <w:top w:val="single" w:sz="4" w:space="0" w:color="000000"/>
              <w:left w:val="single" w:sz="4" w:space="0" w:color="000000"/>
              <w:bottom w:val="single" w:sz="4" w:space="0" w:color="000000"/>
              <w:right w:val="nil"/>
            </w:tcBorders>
            <w:vAlign w:val="center"/>
          </w:tcPr>
          <w:p w14:paraId="6E328424" w14:textId="067EE1A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Placebo/</w:t>
            </w:r>
          </w:p>
          <w:p w14:paraId="1462B157" w14:textId="4CA45588" w:rsidR="007A1C50"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MTX</w:t>
            </w:r>
          </w:p>
          <w:p w14:paraId="76C2A96B" w14:textId="5772184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N=200</w:t>
            </w:r>
          </w:p>
        </w:tc>
        <w:tc>
          <w:tcPr>
            <w:tcW w:w="1765" w:type="dxa"/>
            <w:tcBorders>
              <w:top w:val="single" w:sz="4" w:space="0" w:color="000000"/>
              <w:left w:val="nil"/>
              <w:bottom w:val="single" w:sz="4" w:space="0" w:color="000000"/>
              <w:right w:val="single" w:sz="4" w:space="0" w:color="000000"/>
            </w:tcBorders>
            <w:vAlign w:val="center"/>
          </w:tcPr>
          <w:p w14:paraId="24EA60D0" w14:textId="74DF98E2" w:rsidR="006B7C8E" w:rsidRPr="00DD1F63" w:rsidRDefault="00924B98" w:rsidP="00377A09">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vertAlign w:val="superscript"/>
              </w:rPr>
              <w:t>b</w:t>
            </w:r>
            <w:proofErr w:type="spellEnd"/>
            <w:r w:rsidR="00CA72FF" w:rsidRPr="00DD1F63">
              <w:rPr>
                <w:rFonts w:ascii="Times New Roman" w:hAnsi="Times New Roman" w:cs="Times New Roman"/>
                <w:sz w:val="21"/>
                <w:szCs w:val="21"/>
              </w:rPr>
              <w:t>/</w:t>
            </w:r>
          </w:p>
          <w:p w14:paraId="4D6FB3EA" w14:textId="36B45122" w:rsidR="007A1C50"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MTX</w:t>
            </w:r>
          </w:p>
          <w:p w14:paraId="673299DC" w14:textId="3E99661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N=207</w:t>
            </w:r>
          </w:p>
        </w:tc>
      </w:tr>
      <w:tr w:rsidR="00FF7CC4" w:rsidRPr="00DD1F63" w14:paraId="3A74D278" w14:textId="77777777" w:rsidTr="00385A44">
        <w:trPr>
          <w:trHeight w:val="20"/>
        </w:trPr>
        <w:tc>
          <w:tcPr>
            <w:tcW w:w="1134" w:type="dxa"/>
            <w:tcBorders>
              <w:top w:val="single" w:sz="4" w:space="0" w:color="000000"/>
              <w:left w:val="single" w:sz="4" w:space="0" w:color="000000"/>
              <w:bottom w:val="nil"/>
              <w:right w:val="single" w:sz="4" w:space="0" w:color="000000"/>
            </w:tcBorders>
            <w:vAlign w:val="center"/>
          </w:tcPr>
          <w:p w14:paraId="55B13CE4" w14:textId="1DEE209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ACR20</w:t>
            </w:r>
          </w:p>
          <w:p w14:paraId="0B79E294" w14:textId="525A323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 months</w:t>
            </w:r>
          </w:p>
        </w:tc>
        <w:tc>
          <w:tcPr>
            <w:tcW w:w="850" w:type="dxa"/>
            <w:tcBorders>
              <w:top w:val="single" w:sz="4" w:space="0" w:color="000000"/>
              <w:left w:val="single" w:sz="4" w:space="0" w:color="000000"/>
              <w:bottom w:val="nil"/>
              <w:right w:val="nil"/>
            </w:tcBorders>
            <w:vAlign w:val="center"/>
          </w:tcPr>
          <w:p w14:paraId="5DF602E2" w14:textId="694522A6" w:rsidR="006B7C8E" w:rsidRPr="00DD1F63" w:rsidRDefault="006B7C8E" w:rsidP="00377A09">
            <w:pPr>
              <w:spacing w:after="0" w:line="240" w:lineRule="auto"/>
              <w:ind w:left="0" w:firstLine="0"/>
              <w:jc w:val="left"/>
              <w:rPr>
                <w:rFonts w:ascii="Times New Roman" w:hAnsi="Times New Roman" w:cs="Times New Roman"/>
                <w:sz w:val="21"/>
                <w:szCs w:val="21"/>
              </w:rPr>
            </w:pPr>
          </w:p>
          <w:p w14:paraId="41D97E01" w14:textId="1C4F1CC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13.3%</w:t>
            </w:r>
          </w:p>
        </w:tc>
        <w:tc>
          <w:tcPr>
            <w:tcW w:w="1418" w:type="dxa"/>
            <w:tcBorders>
              <w:top w:val="single" w:sz="4" w:space="0" w:color="000000"/>
              <w:left w:val="nil"/>
              <w:bottom w:val="nil"/>
              <w:right w:val="single" w:sz="4" w:space="0" w:color="000000"/>
            </w:tcBorders>
            <w:vAlign w:val="center"/>
          </w:tcPr>
          <w:p w14:paraId="4FC3C767" w14:textId="220F323E" w:rsidR="006B7C8E" w:rsidRPr="00DD1F63" w:rsidRDefault="006B7C8E" w:rsidP="00377A09">
            <w:pPr>
              <w:spacing w:after="0" w:line="240" w:lineRule="auto"/>
              <w:ind w:left="0" w:firstLine="0"/>
              <w:jc w:val="left"/>
              <w:rPr>
                <w:rFonts w:ascii="Times New Roman" w:hAnsi="Times New Roman" w:cs="Times New Roman"/>
                <w:sz w:val="21"/>
                <w:szCs w:val="21"/>
              </w:rPr>
            </w:pPr>
          </w:p>
          <w:p w14:paraId="24C5887F" w14:textId="3C07405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65.1%</w:t>
            </w:r>
          </w:p>
        </w:tc>
        <w:tc>
          <w:tcPr>
            <w:tcW w:w="1045" w:type="dxa"/>
            <w:tcBorders>
              <w:top w:val="single" w:sz="4" w:space="0" w:color="000000"/>
              <w:left w:val="single" w:sz="4" w:space="0" w:color="000000"/>
              <w:bottom w:val="nil"/>
              <w:right w:val="nil"/>
            </w:tcBorders>
            <w:vAlign w:val="center"/>
          </w:tcPr>
          <w:p w14:paraId="49122DF4" w14:textId="7D3C8FA3" w:rsidR="006B7C8E" w:rsidRPr="00DD1F63" w:rsidRDefault="006B7C8E" w:rsidP="00377A09">
            <w:pPr>
              <w:spacing w:after="0" w:line="240" w:lineRule="auto"/>
              <w:ind w:left="0" w:firstLine="0"/>
              <w:jc w:val="left"/>
              <w:rPr>
                <w:rFonts w:ascii="Times New Roman" w:hAnsi="Times New Roman" w:cs="Times New Roman"/>
                <w:sz w:val="21"/>
                <w:szCs w:val="21"/>
              </w:rPr>
            </w:pPr>
          </w:p>
          <w:p w14:paraId="5979BDDC" w14:textId="175F635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19.1%</w:t>
            </w:r>
          </w:p>
        </w:tc>
        <w:tc>
          <w:tcPr>
            <w:tcW w:w="1541" w:type="dxa"/>
            <w:tcBorders>
              <w:top w:val="single" w:sz="4" w:space="0" w:color="000000"/>
              <w:left w:val="nil"/>
              <w:bottom w:val="nil"/>
              <w:right w:val="single" w:sz="4" w:space="0" w:color="000000"/>
            </w:tcBorders>
            <w:vAlign w:val="center"/>
          </w:tcPr>
          <w:p w14:paraId="2E75810E" w14:textId="4172D5A6" w:rsidR="006B7C8E" w:rsidRPr="00DD1F63" w:rsidRDefault="006B7C8E" w:rsidP="00377A09">
            <w:pPr>
              <w:spacing w:after="0" w:line="240" w:lineRule="auto"/>
              <w:ind w:left="0" w:firstLine="0"/>
              <w:jc w:val="left"/>
              <w:rPr>
                <w:rFonts w:ascii="Times New Roman" w:hAnsi="Times New Roman" w:cs="Times New Roman"/>
                <w:sz w:val="21"/>
                <w:szCs w:val="21"/>
              </w:rPr>
            </w:pPr>
          </w:p>
          <w:p w14:paraId="6CE4D1A5" w14:textId="6D7B215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46.0%</w:t>
            </w:r>
          </w:p>
        </w:tc>
        <w:tc>
          <w:tcPr>
            <w:tcW w:w="893" w:type="dxa"/>
            <w:tcBorders>
              <w:top w:val="single" w:sz="4" w:space="0" w:color="000000"/>
              <w:left w:val="single" w:sz="4" w:space="0" w:color="000000"/>
              <w:bottom w:val="nil"/>
              <w:right w:val="nil"/>
            </w:tcBorders>
            <w:vAlign w:val="center"/>
          </w:tcPr>
          <w:p w14:paraId="214BA5CC" w14:textId="27BBC162" w:rsidR="006B7C8E" w:rsidRPr="00DD1F63" w:rsidRDefault="006B7C8E" w:rsidP="00377A09">
            <w:pPr>
              <w:spacing w:after="0" w:line="240" w:lineRule="auto"/>
              <w:ind w:left="0" w:firstLine="0"/>
              <w:jc w:val="left"/>
              <w:rPr>
                <w:rFonts w:ascii="Times New Roman" w:hAnsi="Times New Roman" w:cs="Times New Roman"/>
                <w:sz w:val="21"/>
                <w:szCs w:val="21"/>
              </w:rPr>
            </w:pPr>
          </w:p>
          <w:p w14:paraId="6E244A83" w14:textId="68F682E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29.5%</w:t>
            </w:r>
          </w:p>
        </w:tc>
        <w:tc>
          <w:tcPr>
            <w:tcW w:w="1765" w:type="dxa"/>
            <w:tcBorders>
              <w:top w:val="single" w:sz="4" w:space="0" w:color="000000"/>
              <w:left w:val="nil"/>
              <w:bottom w:val="nil"/>
              <w:right w:val="single" w:sz="4" w:space="0" w:color="000000"/>
            </w:tcBorders>
            <w:vAlign w:val="center"/>
          </w:tcPr>
          <w:p w14:paraId="014B87C4" w14:textId="54098C06" w:rsidR="006B7C8E" w:rsidRPr="00DD1F63" w:rsidRDefault="006B7C8E" w:rsidP="00377A09">
            <w:pPr>
              <w:spacing w:after="0" w:line="240" w:lineRule="auto"/>
              <w:ind w:left="0" w:firstLine="0"/>
              <w:jc w:val="left"/>
              <w:rPr>
                <w:rFonts w:ascii="Times New Roman" w:hAnsi="Times New Roman" w:cs="Times New Roman"/>
                <w:sz w:val="21"/>
                <w:szCs w:val="21"/>
              </w:rPr>
            </w:pPr>
          </w:p>
          <w:p w14:paraId="49A42D90" w14:textId="0D4D986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63.3%</w:t>
            </w:r>
          </w:p>
        </w:tc>
      </w:tr>
      <w:tr w:rsidR="00FF7CC4" w:rsidRPr="00DD1F63" w14:paraId="6A3DD0A8" w14:textId="77777777" w:rsidTr="00385A44">
        <w:trPr>
          <w:trHeight w:val="20"/>
        </w:trPr>
        <w:tc>
          <w:tcPr>
            <w:tcW w:w="1134" w:type="dxa"/>
            <w:tcBorders>
              <w:top w:val="nil"/>
              <w:left w:val="single" w:sz="4" w:space="0" w:color="000000"/>
              <w:bottom w:val="nil"/>
              <w:right w:val="single" w:sz="4" w:space="0" w:color="000000"/>
            </w:tcBorders>
            <w:vAlign w:val="center"/>
          </w:tcPr>
          <w:p w14:paraId="2EBB0CC7" w14:textId="677AE30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 months</w:t>
            </w:r>
          </w:p>
        </w:tc>
        <w:tc>
          <w:tcPr>
            <w:tcW w:w="850" w:type="dxa"/>
            <w:tcBorders>
              <w:top w:val="nil"/>
              <w:left w:val="single" w:sz="4" w:space="0" w:color="000000"/>
              <w:bottom w:val="nil"/>
              <w:right w:val="nil"/>
            </w:tcBorders>
            <w:vAlign w:val="center"/>
          </w:tcPr>
          <w:p w14:paraId="58E5F732" w14:textId="7065260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418" w:type="dxa"/>
            <w:tcBorders>
              <w:top w:val="nil"/>
              <w:left w:val="nil"/>
              <w:bottom w:val="nil"/>
              <w:right w:val="single" w:sz="4" w:space="0" w:color="000000"/>
            </w:tcBorders>
            <w:vAlign w:val="center"/>
          </w:tcPr>
          <w:p w14:paraId="09492F41" w14:textId="73712FF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045" w:type="dxa"/>
            <w:tcBorders>
              <w:top w:val="nil"/>
              <w:left w:val="single" w:sz="4" w:space="0" w:color="000000"/>
              <w:bottom w:val="nil"/>
              <w:right w:val="nil"/>
            </w:tcBorders>
            <w:vAlign w:val="center"/>
          </w:tcPr>
          <w:p w14:paraId="57A68E47" w14:textId="5848F00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541" w:type="dxa"/>
            <w:tcBorders>
              <w:top w:val="nil"/>
              <w:left w:val="nil"/>
              <w:bottom w:val="nil"/>
              <w:right w:val="single" w:sz="4" w:space="0" w:color="000000"/>
            </w:tcBorders>
            <w:vAlign w:val="center"/>
          </w:tcPr>
          <w:p w14:paraId="2BAD2671" w14:textId="012C9D9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893" w:type="dxa"/>
            <w:tcBorders>
              <w:top w:val="nil"/>
              <w:left w:val="single" w:sz="4" w:space="0" w:color="000000"/>
              <w:bottom w:val="nil"/>
              <w:right w:val="nil"/>
            </w:tcBorders>
            <w:vAlign w:val="center"/>
          </w:tcPr>
          <w:p w14:paraId="2CA87F10" w14:textId="27A6CFC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24.0%</w:t>
            </w:r>
          </w:p>
        </w:tc>
        <w:tc>
          <w:tcPr>
            <w:tcW w:w="1765" w:type="dxa"/>
            <w:tcBorders>
              <w:top w:val="nil"/>
              <w:left w:val="nil"/>
              <w:bottom w:val="nil"/>
              <w:right w:val="single" w:sz="4" w:space="0" w:color="000000"/>
            </w:tcBorders>
            <w:vAlign w:val="center"/>
          </w:tcPr>
          <w:p w14:paraId="571F63A0" w14:textId="457CB21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58.9%</w:t>
            </w:r>
          </w:p>
        </w:tc>
      </w:tr>
      <w:tr w:rsidR="00FF7CC4" w:rsidRPr="00DD1F63" w14:paraId="4CD56033" w14:textId="77777777" w:rsidTr="00385A44">
        <w:trPr>
          <w:trHeight w:val="20"/>
        </w:trPr>
        <w:tc>
          <w:tcPr>
            <w:tcW w:w="1134" w:type="dxa"/>
            <w:tcBorders>
              <w:top w:val="nil"/>
              <w:left w:val="single" w:sz="4" w:space="0" w:color="000000"/>
              <w:bottom w:val="nil"/>
              <w:right w:val="single" w:sz="4" w:space="0" w:color="000000"/>
            </w:tcBorders>
            <w:vAlign w:val="center"/>
          </w:tcPr>
          <w:p w14:paraId="607AAD92" w14:textId="5BC8402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ACR50</w:t>
            </w:r>
          </w:p>
          <w:p w14:paraId="5D61B37F" w14:textId="646F66D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 months</w:t>
            </w:r>
          </w:p>
        </w:tc>
        <w:tc>
          <w:tcPr>
            <w:tcW w:w="850" w:type="dxa"/>
            <w:tcBorders>
              <w:top w:val="nil"/>
              <w:left w:val="single" w:sz="4" w:space="0" w:color="000000"/>
              <w:bottom w:val="nil"/>
              <w:right w:val="nil"/>
            </w:tcBorders>
            <w:vAlign w:val="center"/>
          </w:tcPr>
          <w:p w14:paraId="082FF9D7" w14:textId="20C8C103" w:rsidR="006B7C8E" w:rsidRPr="00DD1F63" w:rsidRDefault="006B7C8E" w:rsidP="00377A09">
            <w:pPr>
              <w:spacing w:after="0" w:line="240" w:lineRule="auto"/>
              <w:ind w:left="0" w:firstLine="0"/>
              <w:jc w:val="left"/>
              <w:rPr>
                <w:rFonts w:ascii="Times New Roman" w:hAnsi="Times New Roman" w:cs="Times New Roman"/>
                <w:sz w:val="21"/>
                <w:szCs w:val="21"/>
              </w:rPr>
            </w:pPr>
          </w:p>
          <w:p w14:paraId="33905365" w14:textId="50A15C7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1418" w:type="dxa"/>
            <w:tcBorders>
              <w:top w:val="nil"/>
              <w:left w:val="nil"/>
              <w:bottom w:val="nil"/>
              <w:right w:val="single" w:sz="4" w:space="0" w:color="000000"/>
            </w:tcBorders>
            <w:vAlign w:val="center"/>
          </w:tcPr>
          <w:p w14:paraId="42DC1C90" w14:textId="59643869" w:rsidR="006B7C8E" w:rsidRPr="00DD1F63" w:rsidRDefault="006B7C8E" w:rsidP="00377A09">
            <w:pPr>
              <w:spacing w:after="0" w:line="240" w:lineRule="auto"/>
              <w:ind w:left="0" w:firstLine="0"/>
              <w:jc w:val="left"/>
              <w:rPr>
                <w:rFonts w:ascii="Times New Roman" w:hAnsi="Times New Roman" w:cs="Times New Roman"/>
                <w:sz w:val="21"/>
                <w:szCs w:val="21"/>
              </w:rPr>
            </w:pPr>
          </w:p>
          <w:p w14:paraId="1140961C" w14:textId="74D4FA6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52.4%</w:t>
            </w:r>
          </w:p>
        </w:tc>
        <w:tc>
          <w:tcPr>
            <w:tcW w:w="1045" w:type="dxa"/>
            <w:tcBorders>
              <w:top w:val="nil"/>
              <w:left w:val="single" w:sz="4" w:space="0" w:color="000000"/>
              <w:bottom w:val="nil"/>
              <w:right w:val="nil"/>
            </w:tcBorders>
            <w:vAlign w:val="center"/>
          </w:tcPr>
          <w:p w14:paraId="75CB62D2" w14:textId="2997D8C1" w:rsidR="006B7C8E" w:rsidRPr="00DD1F63" w:rsidRDefault="006B7C8E" w:rsidP="00377A09">
            <w:pPr>
              <w:spacing w:after="0" w:line="240" w:lineRule="auto"/>
              <w:ind w:left="0" w:firstLine="0"/>
              <w:jc w:val="left"/>
              <w:rPr>
                <w:rFonts w:ascii="Times New Roman" w:hAnsi="Times New Roman" w:cs="Times New Roman"/>
                <w:sz w:val="21"/>
                <w:szCs w:val="21"/>
              </w:rPr>
            </w:pPr>
          </w:p>
          <w:p w14:paraId="169B0A67" w14:textId="41631D9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8.2%</w:t>
            </w:r>
          </w:p>
        </w:tc>
        <w:tc>
          <w:tcPr>
            <w:tcW w:w="1541" w:type="dxa"/>
            <w:tcBorders>
              <w:top w:val="nil"/>
              <w:left w:val="nil"/>
              <w:bottom w:val="nil"/>
              <w:right w:val="single" w:sz="4" w:space="0" w:color="000000"/>
            </w:tcBorders>
            <w:vAlign w:val="center"/>
          </w:tcPr>
          <w:p w14:paraId="54EACB7D" w14:textId="1272C32F" w:rsidR="006B7C8E" w:rsidRPr="00DD1F63" w:rsidRDefault="006B7C8E" w:rsidP="00377A09">
            <w:pPr>
              <w:spacing w:after="0" w:line="240" w:lineRule="auto"/>
              <w:ind w:left="0" w:firstLine="0"/>
              <w:jc w:val="left"/>
              <w:rPr>
                <w:rFonts w:ascii="Times New Roman" w:hAnsi="Times New Roman" w:cs="Times New Roman"/>
                <w:sz w:val="21"/>
                <w:szCs w:val="21"/>
              </w:rPr>
            </w:pPr>
          </w:p>
          <w:p w14:paraId="4E8D4B7B" w14:textId="57B6A4A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22.1%</w:t>
            </w:r>
          </w:p>
        </w:tc>
        <w:tc>
          <w:tcPr>
            <w:tcW w:w="893" w:type="dxa"/>
            <w:tcBorders>
              <w:top w:val="nil"/>
              <w:left w:val="single" w:sz="4" w:space="0" w:color="000000"/>
              <w:bottom w:val="nil"/>
              <w:right w:val="nil"/>
            </w:tcBorders>
            <w:vAlign w:val="center"/>
          </w:tcPr>
          <w:p w14:paraId="1D959C0E" w14:textId="14D8B9C6" w:rsidR="006B7C8E" w:rsidRPr="00DD1F63" w:rsidRDefault="006B7C8E" w:rsidP="00377A09">
            <w:pPr>
              <w:spacing w:after="0" w:line="240" w:lineRule="auto"/>
              <w:ind w:left="0" w:firstLine="0"/>
              <w:jc w:val="left"/>
              <w:rPr>
                <w:rFonts w:ascii="Times New Roman" w:hAnsi="Times New Roman" w:cs="Times New Roman"/>
                <w:sz w:val="21"/>
                <w:szCs w:val="21"/>
              </w:rPr>
            </w:pPr>
          </w:p>
          <w:p w14:paraId="0F908DEB" w14:textId="595B9F7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9.5%</w:t>
            </w:r>
          </w:p>
        </w:tc>
        <w:tc>
          <w:tcPr>
            <w:tcW w:w="1765" w:type="dxa"/>
            <w:tcBorders>
              <w:top w:val="nil"/>
              <w:left w:val="nil"/>
              <w:bottom w:val="nil"/>
              <w:right w:val="single" w:sz="4" w:space="0" w:color="000000"/>
            </w:tcBorders>
            <w:vAlign w:val="center"/>
          </w:tcPr>
          <w:p w14:paraId="37A13921" w14:textId="2B029851" w:rsidR="006B7C8E" w:rsidRPr="00DD1F63" w:rsidRDefault="006B7C8E" w:rsidP="00377A09">
            <w:pPr>
              <w:spacing w:after="0" w:line="240" w:lineRule="auto"/>
              <w:ind w:left="0" w:firstLine="0"/>
              <w:jc w:val="left"/>
              <w:rPr>
                <w:rFonts w:ascii="Times New Roman" w:hAnsi="Times New Roman" w:cs="Times New Roman"/>
                <w:sz w:val="21"/>
                <w:szCs w:val="21"/>
              </w:rPr>
            </w:pPr>
          </w:p>
          <w:p w14:paraId="3F1968C7" w14:textId="1D9A125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39.1%</w:t>
            </w:r>
          </w:p>
        </w:tc>
      </w:tr>
      <w:tr w:rsidR="00FF7CC4" w:rsidRPr="00DD1F63" w14:paraId="181EB688" w14:textId="77777777" w:rsidTr="00385A44">
        <w:trPr>
          <w:trHeight w:val="20"/>
        </w:trPr>
        <w:tc>
          <w:tcPr>
            <w:tcW w:w="1134" w:type="dxa"/>
            <w:tcBorders>
              <w:top w:val="nil"/>
              <w:left w:val="single" w:sz="4" w:space="0" w:color="000000"/>
              <w:bottom w:val="nil"/>
              <w:right w:val="single" w:sz="4" w:space="0" w:color="000000"/>
            </w:tcBorders>
            <w:vAlign w:val="center"/>
          </w:tcPr>
          <w:p w14:paraId="30D8706D" w14:textId="3ABEBFA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 months</w:t>
            </w:r>
          </w:p>
        </w:tc>
        <w:tc>
          <w:tcPr>
            <w:tcW w:w="850" w:type="dxa"/>
            <w:tcBorders>
              <w:top w:val="nil"/>
              <w:left w:val="single" w:sz="4" w:space="0" w:color="000000"/>
              <w:bottom w:val="nil"/>
              <w:right w:val="nil"/>
            </w:tcBorders>
            <w:vAlign w:val="center"/>
          </w:tcPr>
          <w:p w14:paraId="7A5DCEA6" w14:textId="42CAD23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418" w:type="dxa"/>
            <w:tcBorders>
              <w:top w:val="nil"/>
              <w:left w:val="nil"/>
              <w:bottom w:val="nil"/>
              <w:right w:val="single" w:sz="4" w:space="0" w:color="000000"/>
            </w:tcBorders>
            <w:vAlign w:val="center"/>
          </w:tcPr>
          <w:p w14:paraId="7BCDBA53" w14:textId="79EF677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045" w:type="dxa"/>
            <w:tcBorders>
              <w:top w:val="nil"/>
              <w:left w:val="single" w:sz="4" w:space="0" w:color="000000"/>
              <w:bottom w:val="nil"/>
              <w:right w:val="nil"/>
            </w:tcBorders>
            <w:vAlign w:val="center"/>
          </w:tcPr>
          <w:p w14:paraId="1E720474" w14:textId="70601D4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541" w:type="dxa"/>
            <w:tcBorders>
              <w:top w:val="nil"/>
              <w:left w:val="nil"/>
              <w:bottom w:val="nil"/>
              <w:right w:val="single" w:sz="4" w:space="0" w:color="000000"/>
            </w:tcBorders>
            <w:vAlign w:val="center"/>
          </w:tcPr>
          <w:p w14:paraId="1721AB30" w14:textId="324F6AA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893" w:type="dxa"/>
            <w:tcBorders>
              <w:top w:val="nil"/>
              <w:left w:val="single" w:sz="4" w:space="0" w:color="000000"/>
              <w:bottom w:val="nil"/>
              <w:right w:val="nil"/>
            </w:tcBorders>
            <w:vAlign w:val="center"/>
          </w:tcPr>
          <w:p w14:paraId="01B10A23" w14:textId="2BBA93D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9.5%</w:t>
            </w:r>
          </w:p>
        </w:tc>
        <w:tc>
          <w:tcPr>
            <w:tcW w:w="1765" w:type="dxa"/>
            <w:tcBorders>
              <w:top w:val="nil"/>
              <w:left w:val="nil"/>
              <w:bottom w:val="nil"/>
              <w:right w:val="single" w:sz="4" w:space="0" w:color="000000"/>
            </w:tcBorders>
            <w:vAlign w:val="center"/>
          </w:tcPr>
          <w:p w14:paraId="7FDE8EF1" w14:textId="2FC70B9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41.5%</w:t>
            </w:r>
          </w:p>
        </w:tc>
      </w:tr>
      <w:tr w:rsidR="00FF7CC4" w:rsidRPr="00DD1F63" w14:paraId="6D52955A" w14:textId="77777777" w:rsidTr="00385A44">
        <w:trPr>
          <w:trHeight w:val="20"/>
        </w:trPr>
        <w:tc>
          <w:tcPr>
            <w:tcW w:w="1134" w:type="dxa"/>
            <w:tcBorders>
              <w:top w:val="nil"/>
              <w:left w:val="single" w:sz="4" w:space="0" w:color="000000"/>
              <w:bottom w:val="nil"/>
              <w:right w:val="single" w:sz="4" w:space="0" w:color="000000"/>
            </w:tcBorders>
            <w:vAlign w:val="center"/>
          </w:tcPr>
          <w:p w14:paraId="6D4D3713" w14:textId="0214108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ACR70</w:t>
            </w:r>
          </w:p>
          <w:p w14:paraId="4646D288" w14:textId="1161C52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 months</w:t>
            </w:r>
          </w:p>
        </w:tc>
        <w:tc>
          <w:tcPr>
            <w:tcW w:w="850" w:type="dxa"/>
            <w:tcBorders>
              <w:top w:val="nil"/>
              <w:left w:val="single" w:sz="4" w:space="0" w:color="000000"/>
              <w:bottom w:val="nil"/>
              <w:right w:val="nil"/>
            </w:tcBorders>
            <w:vAlign w:val="center"/>
          </w:tcPr>
          <w:p w14:paraId="26078459" w14:textId="6ED4E665" w:rsidR="006B7C8E" w:rsidRPr="00DD1F63" w:rsidRDefault="006B7C8E" w:rsidP="00377A09">
            <w:pPr>
              <w:spacing w:after="0" w:line="240" w:lineRule="auto"/>
              <w:ind w:left="0" w:firstLine="0"/>
              <w:jc w:val="left"/>
              <w:rPr>
                <w:rFonts w:ascii="Times New Roman" w:hAnsi="Times New Roman" w:cs="Times New Roman"/>
                <w:sz w:val="21"/>
                <w:szCs w:val="21"/>
              </w:rPr>
            </w:pPr>
          </w:p>
          <w:p w14:paraId="096D151D" w14:textId="7897953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3.3%</w:t>
            </w:r>
          </w:p>
        </w:tc>
        <w:tc>
          <w:tcPr>
            <w:tcW w:w="1418" w:type="dxa"/>
            <w:tcBorders>
              <w:top w:val="nil"/>
              <w:left w:val="nil"/>
              <w:bottom w:val="nil"/>
              <w:right w:val="single" w:sz="4" w:space="0" w:color="000000"/>
            </w:tcBorders>
            <w:vAlign w:val="center"/>
          </w:tcPr>
          <w:p w14:paraId="38CFB7A7" w14:textId="6A4562BB" w:rsidR="006B7C8E" w:rsidRPr="00DD1F63" w:rsidRDefault="006B7C8E" w:rsidP="00377A09">
            <w:pPr>
              <w:spacing w:after="0" w:line="240" w:lineRule="auto"/>
              <w:ind w:left="0" w:firstLine="0"/>
              <w:jc w:val="left"/>
              <w:rPr>
                <w:rFonts w:ascii="Times New Roman" w:hAnsi="Times New Roman" w:cs="Times New Roman"/>
                <w:sz w:val="21"/>
                <w:szCs w:val="21"/>
              </w:rPr>
            </w:pPr>
          </w:p>
          <w:p w14:paraId="13C54B67" w14:textId="02E99FD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23.8%</w:t>
            </w:r>
          </w:p>
        </w:tc>
        <w:tc>
          <w:tcPr>
            <w:tcW w:w="1045" w:type="dxa"/>
            <w:tcBorders>
              <w:top w:val="nil"/>
              <w:left w:val="single" w:sz="4" w:space="0" w:color="000000"/>
              <w:bottom w:val="nil"/>
              <w:right w:val="nil"/>
            </w:tcBorders>
            <w:vAlign w:val="center"/>
          </w:tcPr>
          <w:p w14:paraId="12EA57B5" w14:textId="57A5B0E7" w:rsidR="006B7C8E" w:rsidRPr="00DD1F63" w:rsidRDefault="006B7C8E" w:rsidP="00377A09">
            <w:pPr>
              <w:spacing w:after="0" w:line="240" w:lineRule="auto"/>
              <w:ind w:left="0" w:firstLine="0"/>
              <w:jc w:val="left"/>
              <w:rPr>
                <w:rFonts w:ascii="Times New Roman" w:hAnsi="Times New Roman" w:cs="Times New Roman"/>
                <w:sz w:val="21"/>
                <w:szCs w:val="21"/>
              </w:rPr>
            </w:pPr>
          </w:p>
          <w:p w14:paraId="43337174" w14:textId="0A8077C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w:t>
            </w:r>
          </w:p>
        </w:tc>
        <w:tc>
          <w:tcPr>
            <w:tcW w:w="1541" w:type="dxa"/>
            <w:tcBorders>
              <w:top w:val="nil"/>
              <w:left w:val="nil"/>
              <w:bottom w:val="nil"/>
              <w:right w:val="single" w:sz="4" w:space="0" w:color="000000"/>
            </w:tcBorders>
            <w:vAlign w:val="center"/>
          </w:tcPr>
          <w:p w14:paraId="2794398C" w14:textId="7D808A79" w:rsidR="006B7C8E" w:rsidRPr="00DD1F63" w:rsidRDefault="006B7C8E" w:rsidP="00377A09">
            <w:pPr>
              <w:spacing w:after="0" w:line="240" w:lineRule="auto"/>
              <w:ind w:left="0" w:firstLine="0"/>
              <w:jc w:val="left"/>
              <w:rPr>
                <w:rFonts w:ascii="Times New Roman" w:hAnsi="Times New Roman" w:cs="Times New Roman"/>
                <w:sz w:val="21"/>
                <w:szCs w:val="21"/>
              </w:rPr>
            </w:pPr>
          </w:p>
          <w:p w14:paraId="7C70717E" w14:textId="474D3B1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12.4%</w:t>
            </w:r>
          </w:p>
        </w:tc>
        <w:tc>
          <w:tcPr>
            <w:tcW w:w="893" w:type="dxa"/>
            <w:tcBorders>
              <w:top w:val="nil"/>
              <w:left w:val="single" w:sz="4" w:space="0" w:color="000000"/>
              <w:bottom w:val="nil"/>
              <w:right w:val="nil"/>
            </w:tcBorders>
            <w:vAlign w:val="center"/>
          </w:tcPr>
          <w:p w14:paraId="00BEF37A" w14:textId="78E0DA5D" w:rsidR="006B7C8E" w:rsidRPr="00DD1F63" w:rsidRDefault="006B7C8E" w:rsidP="00377A09">
            <w:pPr>
              <w:spacing w:after="0" w:line="240" w:lineRule="auto"/>
              <w:ind w:left="0" w:firstLine="0"/>
              <w:jc w:val="left"/>
              <w:rPr>
                <w:rFonts w:ascii="Times New Roman" w:hAnsi="Times New Roman" w:cs="Times New Roman"/>
                <w:sz w:val="21"/>
                <w:szCs w:val="21"/>
              </w:rPr>
            </w:pPr>
          </w:p>
          <w:p w14:paraId="388F36CF" w14:textId="6526090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2.5%</w:t>
            </w:r>
          </w:p>
        </w:tc>
        <w:tc>
          <w:tcPr>
            <w:tcW w:w="1765" w:type="dxa"/>
            <w:tcBorders>
              <w:top w:val="nil"/>
              <w:left w:val="nil"/>
              <w:bottom w:val="nil"/>
              <w:right w:val="single" w:sz="4" w:space="0" w:color="000000"/>
            </w:tcBorders>
            <w:vAlign w:val="center"/>
          </w:tcPr>
          <w:p w14:paraId="69367279" w14:textId="7F3583CB" w:rsidR="006B7C8E" w:rsidRPr="00DD1F63" w:rsidRDefault="006B7C8E" w:rsidP="00377A09">
            <w:pPr>
              <w:spacing w:after="0" w:line="240" w:lineRule="auto"/>
              <w:ind w:left="0" w:firstLine="0"/>
              <w:jc w:val="left"/>
              <w:rPr>
                <w:rFonts w:ascii="Times New Roman" w:hAnsi="Times New Roman" w:cs="Times New Roman"/>
                <w:sz w:val="21"/>
                <w:szCs w:val="21"/>
              </w:rPr>
            </w:pPr>
          </w:p>
          <w:p w14:paraId="68D27800" w14:textId="430E07A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20.8%</w:t>
            </w:r>
          </w:p>
        </w:tc>
      </w:tr>
      <w:tr w:rsidR="00FF7CC4" w:rsidRPr="00DD1F63" w14:paraId="77B240CF" w14:textId="77777777" w:rsidTr="00385A44">
        <w:trPr>
          <w:trHeight w:val="20"/>
        </w:trPr>
        <w:tc>
          <w:tcPr>
            <w:tcW w:w="1134" w:type="dxa"/>
            <w:tcBorders>
              <w:top w:val="nil"/>
              <w:left w:val="single" w:sz="4" w:space="0" w:color="000000"/>
              <w:bottom w:val="single" w:sz="4" w:space="0" w:color="000000"/>
              <w:right w:val="single" w:sz="4" w:space="0" w:color="000000"/>
            </w:tcBorders>
            <w:vAlign w:val="center"/>
          </w:tcPr>
          <w:p w14:paraId="1438997B" w14:textId="0C490DF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 months</w:t>
            </w:r>
          </w:p>
        </w:tc>
        <w:tc>
          <w:tcPr>
            <w:tcW w:w="850" w:type="dxa"/>
            <w:tcBorders>
              <w:top w:val="nil"/>
              <w:left w:val="single" w:sz="4" w:space="0" w:color="000000"/>
              <w:bottom w:val="single" w:sz="4" w:space="0" w:color="000000"/>
              <w:right w:val="nil"/>
            </w:tcBorders>
            <w:vAlign w:val="center"/>
          </w:tcPr>
          <w:p w14:paraId="5A64B9DB" w14:textId="69A9138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418" w:type="dxa"/>
            <w:tcBorders>
              <w:top w:val="nil"/>
              <w:left w:val="nil"/>
              <w:bottom w:val="single" w:sz="4" w:space="0" w:color="000000"/>
              <w:right w:val="single" w:sz="4" w:space="0" w:color="000000"/>
            </w:tcBorders>
            <w:vAlign w:val="center"/>
          </w:tcPr>
          <w:p w14:paraId="653AECE9" w14:textId="165EB2E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045" w:type="dxa"/>
            <w:tcBorders>
              <w:top w:val="nil"/>
              <w:left w:val="single" w:sz="4" w:space="0" w:color="000000"/>
              <w:bottom w:val="single" w:sz="4" w:space="0" w:color="000000"/>
              <w:right w:val="nil"/>
            </w:tcBorders>
            <w:vAlign w:val="center"/>
          </w:tcPr>
          <w:p w14:paraId="209F8522" w14:textId="4A021CB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541" w:type="dxa"/>
            <w:tcBorders>
              <w:top w:val="nil"/>
              <w:left w:val="nil"/>
              <w:bottom w:val="single" w:sz="4" w:space="0" w:color="000000"/>
              <w:right w:val="single" w:sz="4" w:space="0" w:color="000000"/>
            </w:tcBorders>
            <w:vAlign w:val="center"/>
          </w:tcPr>
          <w:p w14:paraId="22C31EB4" w14:textId="4E1549D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893" w:type="dxa"/>
            <w:tcBorders>
              <w:top w:val="nil"/>
              <w:left w:val="single" w:sz="4" w:space="0" w:color="000000"/>
              <w:bottom w:val="single" w:sz="4" w:space="0" w:color="000000"/>
              <w:right w:val="nil"/>
            </w:tcBorders>
            <w:vAlign w:val="center"/>
          </w:tcPr>
          <w:p w14:paraId="327D9F75" w14:textId="21BD918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4.5%</w:t>
            </w:r>
          </w:p>
        </w:tc>
        <w:tc>
          <w:tcPr>
            <w:tcW w:w="1765" w:type="dxa"/>
            <w:tcBorders>
              <w:top w:val="nil"/>
              <w:left w:val="nil"/>
              <w:bottom w:val="single" w:sz="4" w:space="0" w:color="000000"/>
              <w:right w:val="single" w:sz="4" w:space="0" w:color="000000"/>
            </w:tcBorders>
            <w:vAlign w:val="center"/>
          </w:tcPr>
          <w:p w14:paraId="185B0A99" w14:textId="008476C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23.2%</w:t>
            </w:r>
          </w:p>
        </w:tc>
      </w:tr>
    </w:tbl>
    <w:p w14:paraId="2F073E50" w14:textId="2D3CAF6C" w:rsidR="003812B9" w:rsidRPr="00DD1F63" w:rsidRDefault="00CA72FF" w:rsidP="00377A09">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RA Study I at 24 weeks, RA Study II at 26 weeks, and RA Study III at 24 and 52 weeks</w:t>
      </w:r>
    </w:p>
    <w:p w14:paraId="533DDDEE" w14:textId="40F90FC9" w:rsidR="006B7C8E" w:rsidRPr="00DD1F63" w:rsidRDefault="00CA72FF" w:rsidP="00377A09">
      <w:pPr>
        <w:spacing w:after="0" w:line="240" w:lineRule="auto"/>
        <w:ind w:left="426" w:right="2437"/>
        <w:jc w:val="left"/>
        <w:rPr>
          <w:rFonts w:ascii="Times New Roman" w:hAnsi="Times New Roman" w:cs="Times New Roman"/>
          <w:szCs w:val="20"/>
        </w:rPr>
      </w:pPr>
      <w:r w:rsidRPr="00DD1F63">
        <w:rPr>
          <w:rFonts w:ascii="Times New Roman" w:hAnsi="Times New Roman" w:cs="Times New Roman"/>
          <w:szCs w:val="20"/>
          <w:vertAlign w:val="superscript"/>
        </w:rPr>
        <w:t xml:space="preserve">b </w:t>
      </w:r>
      <w:r w:rsidRPr="00DD1F63">
        <w:rPr>
          <w:rFonts w:ascii="Times New Roman" w:hAnsi="Times New Roman" w:cs="Times New Roman"/>
          <w:szCs w:val="20"/>
        </w:rPr>
        <w:t xml:space="preserve">40 mg </w:t>
      </w:r>
      <w:r w:rsidR="00344BD1" w:rsidRPr="00DD1F63">
        <w:rPr>
          <w:rFonts w:ascii="Times New Roman" w:hAnsi="Times New Roman" w:cs="Times New Roman"/>
          <w:szCs w:val="20"/>
        </w:rPr>
        <w:t>adalimumab</w:t>
      </w:r>
      <w:r w:rsidRPr="00DD1F63">
        <w:rPr>
          <w:rFonts w:ascii="Times New Roman" w:hAnsi="Times New Roman" w:cs="Times New Roman"/>
          <w:szCs w:val="20"/>
        </w:rPr>
        <w:t xml:space="preserve"> administered fortnightly </w:t>
      </w:r>
    </w:p>
    <w:p w14:paraId="0777DCD0" w14:textId="32588A9A" w:rsidR="006B7C8E" w:rsidRPr="00DD1F63" w:rsidRDefault="00CA72FF" w:rsidP="00377A09">
      <w:pPr>
        <w:spacing w:after="0" w:line="240" w:lineRule="auto"/>
        <w:ind w:left="567" w:right="49" w:hanging="142"/>
        <w:jc w:val="left"/>
        <w:rPr>
          <w:rFonts w:ascii="Times New Roman" w:hAnsi="Times New Roman" w:cs="Times New Roman"/>
          <w:szCs w:val="20"/>
        </w:rPr>
      </w:pPr>
      <w:r w:rsidRPr="00DD1F63">
        <w:rPr>
          <w:rFonts w:ascii="Times New Roman" w:hAnsi="Times New Roman" w:cs="Times New Roman"/>
          <w:szCs w:val="20"/>
          <w:vertAlign w:val="superscript"/>
        </w:rPr>
        <w:t>c</w:t>
      </w:r>
      <w:r w:rsidRPr="00DD1F63">
        <w:rPr>
          <w:rFonts w:ascii="Times New Roman" w:hAnsi="Times New Roman" w:cs="Times New Roman"/>
          <w:szCs w:val="20"/>
        </w:rPr>
        <w:t xml:space="preserve"> </w:t>
      </w:r>
      <w:proofErr w:type="gramStart"/>
      <w:r w:rsidRPr="00DD1F63">
        <w:rPr>
          <w:rFonts w:ascii="Times New Roman" w:hAnsi="Times New Roman" w:cs="Times New Roman"/>
          <w:szCs w:val="20"/>
        </w:rPr>
        <w:t>The</w:t>
      </w:r>
      <w:proofErr w:type="gramEnd"/>
      <w:r w:rsidRPr="00DD1F63">
        <w:rPr>
          <w:rFonts w:ascii="Times New Roman" w:hAnsi="Times New Roman" w:cs="Times New Roman"/>
          <w:szCs w:val="20"/>
        </w:rPr>
        <w:t xml:space="preserve"> 12 months placebo-controlled phase of RA Study III was followed by 12 months of open-label treatment</w:t>
      </w:r>
      <w:r w:rsidR="003812B9" w:rsidRPr="00DD1F63">
        <w:rPr>
          <w:rFonts w:ascii="Times New Roman" w:hAnsi="Times New Roman" w:cs="Times New Roman"/>
          <w:szCs w:val="20"/>
        </w:rPr>
        <w:t xml:space="preserve"> </w:t>
      </w:r>
      <w:r w:rsidRPr="00DD1F63">
        <w:rPr>
          <w:rFonts w:ascii="Times New Roman" w:hAnsi="Times New Roman" w:cs="Times New Roman"/>
          <w:szCs w:val="20"/>
        </w:rPr>
        <w:t xml:space="preserve">with ACR responses at 24 months of 48.8% (ACR20), 36.2% (ACR50) and 22.7% (ACR70). </w:t>
      </w:r>
    </w:p>
    <w:p w14:paraId="1C5ED9E0" w14:textId="2DDF6B43" w:rsidR="006B7C8E" w:rsidRPr="00DD1F63" w:rsidRDefault="00CA72FF" w:rsidP="00377A09">
      <w:pPr>
        <w:tabs>
          <w:tab w:val="center" w:pos="2960"/>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p&lt;0.01, </w:t>
      </w:r>
      <w:r w:rsidR="007269A2" w:rsidRPr="00DD1F63">
        <w:rPr>
          <w:rFonts w:ascii="Times New Roman" w:hAnsi="Times New Roman" w:cs="Times New Roman"/>
          <w:sz w:val="22"/>
        </w:rPr>
        <w:t xml:space="preserve">Adalimumab </w:t>
      </w:r>
      <w:r w:rsidRPr="00DD1F63">
        <w:rPr>
          <w:rFonts w:ascii="Times New Roman" w:hAnsi="Times New Roman" w:cs="Times New Roman"/>
          <w:szCs w:val="20"/>
        </w:rPr>
        <w:t xml:space="preserve">vs. placebo at all time points for ACR20, 50, 70 </w:t>
      </w:r>
    </w:p>
    <w:p w14:paraId="7DD936B2" w14:textId="77777777" w:rsidR="006B7C8E" w:rsidRPr="00DD1F63" w:rsidRDefault="00CA72FF" w:rsidP="00377A09">
      <w:pPr>
        <w:tabs>
          <w:tab w:val="center" w:pos="1188"/>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MTX </w:t>
      </w:r>
      <w:r w:rsidRPr="00DD1F63">
        <w:rPr>
          <w:rFonts w:ascii="Times New Roman" w:hAnsi="Times New Roman" w:cs="Times New Roman"/>
          <w:szCs w:val="20"/>
        </w:rPr>
        <w:tab/>
        <w:t xml:space="preserve">Methotrexate </w:t>
      </w:r>
    </w:p>
    <w:p w14:paraId="11144014"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sz w:val="16"/>
        </w:rPr>
        <w:t xml:space="preserve"> </w:t>
      </w:r>
    </w:p>
    <w:p w14:paraId="12D323FE" w14:textId="6F22A9A0" w:rsidR="003812B9"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receiving </w:t>
      </w:r>
      <w:r w:rsidR="00344BD1" w:rsidRPr="00DD1F63">
        <w:rPr>
          <w:rFonts w:ascii="Times New Roman" w:hAnsi="Times New Roman" w:cs="Times New Roman"/>
          <w:sz w:val="22"/>
        </w:rPr>
        <w:t>adalimumab</w:t>
      </w:r>
      <w:r w:rsidRPr="00DD1F63">
        <w:rPr>
          <w:rFonts w:ascii="Times New Roman" w:hAnsi="Times New Roman" w:cs="Times New Roman"/>
          <w:sz w:val="22"/>
        </w:rPr>
        <w:t xml:space="preserve"> 40 mg every week in RA Study II also achieved statistically significant ACR 20, 50 and 70 response rates of 53.4%, 35.0% and 18.4%, respectively, at six months.</w:t>
      </w:r>
    </w:p>
    <w:p w14:paraId="50EB0B04" w14:textId="6252855D" w:rsidR="006B7C8E" w:rsidRPr="00DD1F63" w:rsidRDefault="00CA72FF" w:rsidP="00377A09">
      <w:pPr>
        <w:spacing w:after="0" w:line="240" w:lineRule="auto"/>
        <w:ind w:left="426" w:right="375"/>
        <w:jc w:val="left"/>
        <w:rPr>
          <w:rFonts w:ascii="Times New Roman" w:hAnsi="Times New Roman" w:cs="Times New Roman"/>
        </w:rPr>
      </w:pPr>
      <w:r w:rsidRPr="00DD1F63">
        <w:rPr>
          <w:rFonts w:ascii="Times New Roman" w:hAnsi="Times New Roman" w:cs="Times New Roman"/>
        </w:rPr>
        <w:t xml:space="preserve"> </w:t>
      </w:r>
    </w:p>
    <w:p w14:paraId="64128ACB" w14:textId="77777777" w:rsidR="006B7C8E" w:rsidRPr="00DD1F63" w:rsidRDefault="00CA72FF" w:rsidP="00377A09">
      <w:pPr>
        <w:pStyle w:val="Heading5"/>
        <w:spacing w:line="240" w:lineRule="auto"/>
        <w:ind w:left="425" w:right="397" w:firstLine="0"/>
        <w:jc w:val="left"/>
        <w:rPr>
          <w:rFonts w:ascii="Times New Roman" w:hAnsi="Times New Roman" w:cs="Times New Roman"/>
          <w:sz w:val="22"/>
        </w:rPr>
      </w:pPr>
      <w:r w:rsidRPr="00DD1F63">
        <w:rPr>
          <w:rFonts w:ascii="Times New Roman" w:hAnsi="Times New Roman" w:cs="Times New Roman"/>
          <w:sz w:val="22"/>
        </w:rPr>
        <w:t xml:space="preserve">Figure 2: RA Study II ACR20 Responses over 26 Weeks </w:t>
      </w:r>
    </w:p>
    <w:p w14:paraId="36636EA1" w14:textId="77777777" w:rsidR="006B7C8E" w:rsidRPr="00DD1F63" w:rsidRDefault="00CA72FF" w:rsidP="00377A09">
      <w:pPr>
        <w:keepNext/>
        <w:spacing w:after="0" w:line="240" w:lineRule="auto"/>
        <w:ind w:left="425" w:right="324" w:firstLine="0"/>
        <w:jc w:val="left"/>
        <w:rPr>
          <w:rFonts w:ascii="Times New Roman" w:hAnsi="Times New Roman" w:cs="Times New Roman"/>
        </w:rPr>
      </w:pPr>
      <w:r w:rsidRPr="00DD1F63">
        <w:rPr>
          <w:rFonts w:ascii="Times New Roman" w:hAnsi="Times New Roman" w:cs="Times New Roman"/>
        </w:rPr>
        <w:t xml:space="preserve"> </w:t>
      </w:r>
    </w:p>
    <w:p w14:paraId="6A944FD3" w14:textId="288AD8A0" w:rsidR="00385A44" w:rsidRPr="00DD1F63" w:rsidRDefault="00385A44"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noProof/>
        </w:rPr>
        <w:drawing>
          <wp:inline distT="0" distB="0" distL="0" distR="0" wp14:anchorId="6F5D550A" wp14:editId="12C32150">
            <wp:extent cx="3583760" cy="2317154"/>
            <wp:effectExtent l="0" t="0" r="0" b="6985"/>
            <wp:docPr id="4" name="Picture 4" descr="Machine generated alternative text:&#10;60 &#10;50 &#10;40 &#10;40 mg fortnightly &#10;40 mg every week &#10;0 30 &#10;Placebo &#10;&lt; 20 &#10;0- &#10;---O-o &#10;10 &#10;o &#10;2 &#10;4 &#10;6 &#10;8 10 12 14 16 18 20222426 &#10;Time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hine generated alternative text:&#10;60 &#10;50 &#10;40 &#10;40 mg fortnightly &#10;40 mg every week &#10;0 30 &#10;Placebo &#10;&lt; 20 &#10;0- &#10;---O-o &#10;10 &#10;o &#10;2 &#10;4 &#10;6 &#10;8 10 12 14 16 18 20222426 &#10;Time (Week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521" cy="2406227"/>
                    </a:xfrm>
                    <a:prstGeom prst="rect">
                      <a:avLst/>
                    </a:prstGeom>
                    <a:noFill/>
                    <a:ln>
                      <a:noFill/>
                    </a:ln>
                  </pic:spPr>
                </pic:pic>
              </a:graphicData>
            </a:graphic>
          </wp:inline>
        </w:drawing>
      </w:r>
    </w:p>
    <w:p w14:paraId="2DB2E497" w14:textId="5F685395" w:rsidR="006B7C8E" w:rsidRPr="00DD1F63" w:rsidRDefault="00CA72FF" w:rsidP="00377A09">
      <w:pPr>
        <w:tabs>
          <w:tab w:val="center" w:pos="4198"/>
        </w:tabs>
        <w:spacing w:after="0" w:line="240" w:lineRule="auto"/>
        <w:ind w:left="426" w:firstLine="0"/>
        <w:jc w:val="left"/>
        <w:rPr>
          <w:rFonts w:ascii="Times New Roman" w:hAnsi="Times New Roman" w:cs="Times New Roman"/>
        </w:rPr>
      </w:pPr>
      <w:r w:rsidRPr="00DD1F63">
        <w:rPr>
          <w:rFonts w:ascii="Times New Roman" w:hAnsi="Times New Roman" w:cs="Times New Roman"/>
        </w:rPr>
        <w:tab/>
      </w:r>
    </w:p>
    <w:p w14:paraId="4AF59414" w14:textId="6BE18F19"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results of the components of the ACR response criteria for RA Study III are shown in Table </w:t>
      </w:r>
      <w:r w:rsidR="00127F14" w:rsidRPr="00DD1F63">
        <w:rPr>
          <w:rFonts w:ascii="Times New Roman" w:hAnsi="Times New Roman" w:cs="Times New Roman"/>
          <w:sz w:val="22"/>
        </w:rPr>
        <w:t>6</w:t>
      </w:r>
      <w:r w:rsidRPr="00DD1F63">
        <w:rPr>
          <w:rFonts w:ascii="Times New Roman" w:hAnsi="Times New Roman" w:cs="Times New Roman"/>
          <w:sz w:val="22"/>
        </w:rPr>
        <w:t xml:space="preserve">. </w:t>
      </w:r>
    </w:p>
    <w:p w14:paraId="73A4262D" w14:textId="77777777" w:rsidR="00385A44" w:rsidRPr="00DD1F63" w:rsidRDefault="00385A44" w:rsidP="00377A09">
      <w:pPr>
        <w:spacing w:after="0" w:line="240" w:lineRule="auto"/>
        <w:ind w:left="426" w:right="375"/>
        <w:jc w:val="left"/>
        <w:rPr>
          <w:rFonts w:ascii="Times New Roman" w:hAnsi="Times New Roman" w:cs="Times New Roman"/>
          <w:sz w:val="22"/>
        </w:rPr>
      </w:pPr>
    </w:p>
    <w:p w14:paraId="4A3E946A" w14:textId="1FD2597C" w:rsidR="006B7C8E" w:rsidRPr="00DD1F63" w:rsidRDefault="00CA72FF" w:rsidP="00377A09">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ACR response rates and improvement in all ACR response criteria were maintained to Week 104. Over the 2 years in RA Study III, 20% of </w:t>
      </w:r>
      <w:r w:rsidR="00344BD1" w:rsidRPr="00DD1F63">
        <w:rPr>
          <w:rFonts w:ascii="Times New Roman" w:hAnsi="Times New Roman" w:cs="Times New Roman"/>
          <w:sz w:val="22"/>
        </w:rPr>
        <w:t>adalimumab</w:t>
      </w:r>
      <w:r w:rsidRPr="00DD1F63">
        <w:rPr>
          <w:rFonts w:ascii="Times New Roman" w:hAnsi="Times New Roman" w:cs="Times New Roman"/>
          <w:sz w:val="22"/>
        </w:rPr>
        <w:t xml:space="preserve"> patients achieved a major clinical response, defined as maintenance of an ACR70 response over a &gt; </w:t>
      </w:r>
      <w:proofErr w:type="gramStart"/>
      <w:r w:rsidRPr="00DD1F63">
        <w:rPr>
          <w:rFonts w:ascii="Times New Roman" w:hAnsi="Times New Roman" w:cs="Times New Roman"/>
          <w:sz w:val="22"/>
        </w:rPr>
        <w:t>6 month</w:t>
      </w:r>
      <w:proofErr w:type="gramEnd"/>
      <w:r w:rsidRPr="00DD1F63">
        <w:rPr>
          <w:rFonts w:ascii="Times New Roman" w:hAnsi="Times New Roman" w:cs="Times New Roman"/>
          <w:sz w:val="22"/>
        </w:rPr>
        <w:t xml:space="preserve"> period. </w:t>
      </w:r>
    </w:p>
    <w:p w14:paraId="24EAABD5" w14:textId="77777777" w:rsidR="00385A44" w:rsidRPr="00DD1F63" w:rsidRDefault="00385A44" w:rsidP="00377A09">
      <w:pPr>
        <w:spacing w:after="0" w:line="240" w:lineRule="auto"/>
        <w:ind w:left="426" w:right="370"/>
        <w:jc w:val="left"/>
        <w:rPr>
          <w:rFonts w:ascii="Times New Roman" w:hAnsi="Times New Roman" w:cs="Times New Roman"/>
          <w:sz w:val="22"/>
        </w:rPr>
      </w:pPr>
    </w:p>
    <w:tbl>
      <w:tblPr>
        <w:tblStyle w:val="TableGrid1"/>
        <w:tblW w:w="8997" w:type="dxa"/>
        <w:tblInd w:w="421" w:type="dxa"/>
        <w:tblLayout w:type="fixed"/>
        <w:tblCellMar>
          <w:left w:w="57" w:type="dxa"/>
          <w:right w:w="57" w:type="dxa"/>
        </w:tblCellMar>
        <w:tblLook w:val="04A0" w:firstRow="1" w:lastRow="0" w:firstColumn="1" w:lastColumn="0" w:noHBand="0" w:noVBand="1"/>
      </w:tblPr>
      <w:tblGrid>
        <w:gridCol w:w="2835"/>
        <w:gridCol w:w="1039"/>
        <w:gridCol w:w="1039"/>
        <w:gridCol w:w="1040"/>
        <w:gridCol w:w="1014"/>
        <w:gridCol w:w="1015"/>
        <w:gridCol w:w="1015"/>
      </w:tblGrid>
      <w:tr w:rsidR="006B7C8E" w:rsidRPr="00DD1F63" w14:paraId="2137DAC2" w14:textId="77777777" w:rsidTr="00ED06A9">
        <w:trPr>
          <w:trHeight w:val="20"/>
        </w:trPr>
        <w:tc>
          <w:tcPr>
            <w:tcW w:w="8997" w:type="dxa"/>
            <w:gridSpan w:val="7"/>
            <w:tcBorders>
              <w:top w:val="single" w:sz="4" w:space="0" w:color="000000"/>
              <w:left w:val="single" w:sz="4" w:space="0" w:color="000000"/>
              <w:bottom w:val="single" w:sz="4" w:space="0" w:color="000000"/>
              <w:right w:val="single" w:sz="4" w:space="0" w:color="000000"/>
            </w:tcBorders>
          </w:tcPr>
          <w:p w14:paraId="5DD0757B" w14:textId="473B969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6</w:t>
            </w:r>
            <w:r w:rsidRPr="00DD1F63">
              <w:rPr>
                <w:rFonts w:ascii="Times New Roman" w:hAnsi="Times New Roman" w:cs="Times New Roman"/>
                <w:b/>
                <w:sz w:val="21"/>
                <w:szCs w:val="21"/>
              </w:rPr>
              <w:t xml:space="preserve">: Components of ACR </w:t>
            </w:r>
            <w:r w:rsidR="008C79B3"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 in RA Study </w:t>
            </w:r>
            <w:proofErr w:type="spellStart"/>
            <w:r w:rsidRPr="00DD1F63">
              <w:rPr>
                <w:rFonts w:ascii="Times New Roman" w:hAnsi="Times New Roman" w:cs="Times New Roman"/>
                <w:b/>
                <w:sz w:val="21"/>
                <w:szCs w:val="21"/>
              </w:rPr>
              <w:t>lll</w:t>
            </w:r>
            <w:proofErr w:type="spellEnd"/>
            <w:r w:rsidRPr="00DD1F63">
              <w:rPr>
                <w:rFonts w:ascii="Times New Roman" w:hAnsi="Times New Roman" w:cs="Times New Roman"/>
                <w:sz w:val="21"/>
                <w:szCs w:val="21"/>
              </w:rPr>
              <w:t xml:space="preserve"> </w:t>
            </w:r>
          </w:p>
        </w:tc>
      </w:tr>
      <w:tr w:rsidR="006B7C8E" w:rsidRPr="00DD1F63" w14:paraId="29391DD6" w14:textId="77777777" w:rsidTr="00ED06A9">
        <w:trPr>
          <w:trHeight w:val="20"/>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6D00D9B"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Parameter (median) </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26A6D7F0" w14:textId="668218D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Placebo/MTX (N = 200)</w:t>
            </w:r>
          </w:p>
        </w:tc>
        <w:tc>
          <w:tcPr>
            <w:tcW w:w="3044" w:type="dxa"/>
            <w:gridSpan w:val="3"/>
            <w:tcBorders>
              <w:top w:val="single" w:sz="4" w:space="0" w:color="000000"/>
              <w:left w:val="single" w:sz="4" w:space="0" w:color="000000"/>
              <w:bottom w:val="single" w:sz="4" w:space="0" w:color="000000"/>
              <w:right w:val="single" w:sz="4" w:space="0" w:color="000000"/>
            </w:tcBorders>
            <w:vAlign w:val="center"/>
          </w:tcPr>
          <w:p w14:paraId="69B6E9ED" w14:textId="4C9D063A" w:rsidR="006B7C8E" w:rsidRPr="00DD1F63" w:rsidRDefault="008C79B3"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vertAlign w:val="superscript"/>
              </w:rPr>
              <w:t>a</w:t>
            </w:r>
            <w:proofErr w:type="spellEnd"/>
            <w:r w:rsidR="00CA72FF" w:rsidRPr="00DD1F63">
              <w:rPr>
                <w:rFonts w:ascii="Times New Roman" w:hAnsi="Times New Roman" w:cs="Times New Roman"/>
                <w:sz w:val="21"/>
                <w:szCs w:val="21"/>
                <w:vertAlign w:val="superscript"/>
              </w:rPr>
              <w:t xml:space="preserve"> </w:t>
            </w:r>
            <w:r w:rsidR="00CA72FF" w:rsidRPr="00DD1F63">
              <w:rPr>
                <w:rFonts w:ascii="Times New Roman" w:hAnsi="Times New Roman" w:cs="Times New Roman"/>
                <w:sz w:val="21"/>
                <w:szCs w:val="21"/>
              </w:rPr>
              <w:t>/MTX (N = 207)</w:t>
            </w:r>
          </w:p>
        </w:tc>
      </w:tr>
      <w:tr w:rsidR="006B7C8E" w:rsidRPr="00DD1F63" w14:paraId="3BAEFF30" w14:textId="77777777" w:rsidTr="00ED06A9">
        <w:trPr>
          <w:trHeight w:val="20"/>
        </w:trPr>
        <w:tc>
          <w:tcPr>
            <w:tcW w:w="2835" w:type="dxa"/>
            <w:vMerge/>
            <w:tcBorders>
              <w:top w:val="nil"/>
              <w:left w:val="single" w:sz="4" w:space="0" w:color="000000"/>
              <w:bottom w:val="single" w:sz="4" w:space="0" w:color="000000"/>
              <w:right w:val="single" w:sz="4" w:space="0" w:color="000000"/>
            </w:tcBorders>
          </w:tcPr>
          <w:p w14:paraId="0F3A746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039" w:type="dxa"/>
            <w:tcBorders>
              <w:top w:val="single" w:sz="4" w:space="0" w:color="000000"/>
              <w:left w:val="single" w:sz="4" w:space="0" w:color="000000"/>
              <w:bottom w:val="single" w:sz="4" w:space="0" w:color="000000"/>
              <w:right w:val="nil"/>
            </w:tcBorders>
            <w:vAlign w:val="center"/>
          </w:tcPr>
          <w:p w14:paraId="50918A0F" w14:textId="27FFB75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039" w:type="dxa"/>
            <w:tcBorders>
              <w:top w:val="single" w:sz="4" w:space="0" w:color="000000"/>
              <w:left w:val="nil"/>
              <w:bottom w:val="single" w:sz="4" w:space="0" w:color="000000"/>
              <w:right w:val="nil"/>
            </w:tcBorders>
            <w:vAlign w:val="center"/>
          </w:tcPr>
          <w:p w14:paraId="7A6A4314" w14:textId="182A3AA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w:t>
            </w:r>
          </w:p>
        </w:tc>
        <w:tc>
          <w:tcPr>
            <w:tcW w:w="1040" w:type="dxa"/>
            <w:tcBorders>
              <w:top w:val="single" w:sz="4" w:space="0" w:color="000000"/>
              <w:left w:val="nil"/>
              <w:bottom w:val="single" w:sz="4" w:space="0" w:color="000000"/>
              <w:right w:val="single" w:sz="4" w:space="0" w:color="000000"/>
            </w:tcBorders>
            <w:vAlign w:val="center"/>
          </w:tcPr>
          <w:p w14:paraId="599C4A1B" w14:textId="2719310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52</w:t>
            </w:r>
          </w:p>
        </w:tc>
        <w:tc>
          <w:tcPr>
            <w:tcW w:w="1014" w:type="dxa"/>
            <w:tcBorders>
              <w:top w:val="single" w:sz="4" w:space="0" w:color="000000"/>
              <w:left w:val="single" w:sz="4" w:space="0" w:color="000000"/>
              <w:bottom w:val="single" w:sz="4" w:space="0" w:color="000000"/>
              <w:right w:val="nil"/>
            </w:tcBorders>
            <w:vAlign w:val="center"/>
          </w:tcPr>
          <w:p w14:paraId="5BD3C0C1" w14:textId="50E5494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015" w:type="dxa"/>
            <w:tcBorders>
              <w:top w:val="single" w:sz="4" w:space="0" w:color="000000"/>
              <w:left w:val="nil"/>
              <w:bottom w:val="single" w:sz="4" w:space="0" w:color="000000"/>
              <w:right w:val="nil"/>
            </w:tcBorders>
            <w:vAlign w:val="center"/>
          </w:tcPr>
          <w:p w14:paraId="659688DF" w14:textId="07383E1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w:t>
            </w:r>
          </w:p>
        </w:tc>
        <w:tc>
          <w:tcPr>
            <w:tcW w:w="1015" w:type="dxa"/>
            <w:tcBorders>
              <w:top w:val="single" w:sz="4" w:space="0" w:color="000000"/>
              <w:left w:val="nil"/>
              <w:bottom w:val="single" w:sz="4" w:space="0" w:color="000000"/>
              <w:right w:val="single" w:sz="4" w:space="0" w:color="000000"/>
            </w:tcBorders>
            <w:vAlign w:val="center"/>
          </w:tcPr>
          <w:p w14:paraId="5B0DCE44" w14:textId="13B195C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52</w:t>
            </w:r>
          </w:p>
        </w:tc>
      </w:tr>
      <w:tr w:rsidR="006B7C8E" w:rsidRPr="00DD1F63" w14:paraId="56396727" w14:textId="77777777" w:rsidTr="00ED06A9">
        <w:trPr>
          <w:trHeight w:val="20"/>
        </w:trPr>
        <w:tc>
          <w:tcPr>
            <w:tcW w:w="2835" w:type="dxa"/>
            <w:tcBorders>
              <w:top w:val="single" w:sz="4" w:space="0" w:color="000000"/>
              <w:left w:val="single" w:sz="4" w:space="0" w:color="000000"/>
              <w:bottom w:val="nil"/>
              <w:right w:val="single" w:sz="4" w:space="0" w:color="000000"/>
            </w:tcBorders>
          </w:tcPr>
          <w:p w14:paraId="4380B14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lastRenderedPageBreak/>
              <w:t xml:space="preserve">Number of tender joints (0 – 68) </w:t>
            </w:r>
          </w:p>
        </w:tc>
        <w:tc>
          <w:tcPr>
            <w:tcW w:w="1039" w:type="dxa"/>
            <w:tcBorders>
              <w:top w:val="single" w:sz="4" w:space="0" w:color="000000"/>
              <w:left w:val="single" w:sz="4" w:space="0" w:color="000000"/>
              <w:bottom w:val="nil"/>
              <w:right w:val="nil"/>
            </w:tcBorders>
            <w:vAlign w:val="center"/>
          </w:tcPr>
          <w:p w14:paraId="3B1DA64B" w14:textId="0C798B0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26.0</w:t>
            </w:r>
          </w:p>
        </w:tc>
        <w:tc>
          <w:tcPr>
            <w:tcW w:w="1039" w:type="dxa"/>
            <w:tcBorders>
              <w:top w:val="single" w:sz="4" w:space="0" w:color="000000"/>
              <w:left w:val="nil"/>
              <w:bottom w:val="nil"/>
              <w:right w:val="nil"/>
            </w:tcBorders>
            <w:vAlign w:val="center"/>
          </w:tcPr>
          <w:p w14:paraId="7B81593E" w14:textId="2DD7E7C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40" w:type="dxa"/>
            <w:tcBorders>
              <w:top w:val="single" w:sz="4" w:space="0" w:color="000000"/>
              <w:left w:val="nil"/>
              <w:bottom w:val="nil"/>
              <w:right w:val="single" w:sz="4" w:space="0" w:color="000000"/>
            </w:tcBorders>
            <w:vAlign w:val="center"/>
          </w:tcPr>
          <w:p w14:paraId="2C49A319" w14:textId="4EE2D13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14" w:type="dxa"/>
            <w:tcBorders>
              <w:top w:val="single" w:sz="4" w:space="0" w:color="000000"/>
              <w:left w:val="single" w:sz="4" w:space="0" w:color="000000"/>
              <w:bottom w:val="nil"/>
              <w:right w:val="nil"/>
            </w:tcBorders>
            <w:vAlign w:val="center"/>
          </w:tcPr>
          <w:p w14:paraId="2002CE6D" w14:textId="1ECB9BF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24.0</w:t>
            </w:r>
          </w:p>
        </w:tc>
        <w:tc>
          <w:tcPr>
            <w:tcW w:w="1015" w:type="dxa"/>
            <w:tcBorders>
              <w:top w:val="single" w:sz="4" w:space="0" w:color="000000"/>
              <w:left w:val="nil"/>
              <w:bottom w:val="nil"/>
              <w:right w:val="nil"/>
            </w:tcBorders>
            <w:vAlign w:val="center"/>
          </w:tcPr>
          <w:p w14:paraId="26B5E4FF" w14:textId="042BB7D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8.0*</w:t>
            </w:r>
          </w:p>
        </w:tc>
        <w:tc>
          <w:tcPr>
            <w:tcW w:w="1015" w:type="dxa"/>
            <w:tcBorders>
              <w:top w:val="single" w:sz="4" w:space="0" w:color="000000"/>
              <w:left w:val="nil"/>
              <w:bottom w:val="nil"/>
              <w:right w:val="single" w:sz="4" w:space="0" w:color="000000"/>
            </w:tcBorders>
            <w:vAlign w:val="center"/>
          </w:tcPr>
          <w:p w14:paraId="2B1EC35C" w14:textId="1C395E4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6.0*</w:t>
            </w:r>
          </w:p>
        </w:tc>
      </w:tr>
      <w:tr w:rsidR="006B7C8E" w:rsidRPr="00DD1F63" w14:paraId="11E7CFEE" w14:textId="77777777" w:rsidTr="00ED06A9">
        <w:trPr>
          <w:trHeight w:val="20"/>
        </w:trPr>
        <w:tc>
          <w:tcPr>
            <w:tcW w:w="2835" w:type="dxa"/>
            <w:tcBorders>
              <w:top w:val="nil"/>
              <w:left w:val="single" w:sz="4" w:space="0" w:color="000000"/>
              <w:bottom w:val="nil"/>
              <w:right w:val="single" w:sz="4" w:space="0" w:color="000000"/>
            </w:tcBorders>
          </w:tcPr>
          <w:p w14:paraId="73372EF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swollen joints (0-66) </w:t>
            </w:r>
          </w:p>
        </w:tc>
        <w:tc>
          <w:tcPr>
            <w:tcW w:w="1039" w:type="dxa"/>
            <w:tcBorders>
              <w:top w:val="nil"/>
              <w:left w:val="single" w:sz="4" w:space="0" w:color="000000"/>
              <w:bottom w:val="nil"/>
              <w:right w:val="nil"/>
            </w:tcBorders>
            <w:vAlign w:val="center"/>
          </w:tcPr>
          <w:p w14:paraId="2712885D" w14:textId="6E823A9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17.0</w:t>
            </w:r>
          </w:p>
        </w:tc>
        <w:tc>
          <w:tcPr>
            <w:tcW w:w="1039" w:type="dxa"/>
            <w:tcBorders>
              <w:top w:val="nil"/>
              <w:left w:val="nil"/>
              <w:bottom w:val="nil"/>
              <w:right w:val="nil"/>
            </w:tcBorders>
            <w:vAlign w:val="center"/>
          </w:tcPr>
          <w:p w14:paraId="0D06135B" w14:textId="150DE75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11.0</w:t>
            </w:r>
          </w:p>
        </w:tc>
        <w:tc>
          <w:tcPr>
            <w:tcW w:w="1040" w:type="dxa"/>
            <w:tcBorders>
              <w:top w:val="nil"/>
              <w:left w:val="nil"/>
              <w:bottom w:val="nil"/>
              <w:right w:val="single" w:sz="4" w:space="0" w:color="000000"/>
            </w:tcBorders>
            <w:vAlign w:val="center"/>
          </w:tcPr>
          <w:p w14:paraId="3D214D0C" w14:textId="517057C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11.0</w:t>
            </w:r>
          </w:p>
        </w:tc>
        <w:tc>
          <w:tcPr>
            <w:tcW w:w="1014" w:type="dxa"/>
            <w:tcBorders>
              <w:top w:val="nil"/>
              <w:left w:val="single" w:sz="4" w:space="0" w:color="000000"/>
              <w:bottom w:val="nil"/>
              <w:right w:val="nil"/>
            </w:tcBorders>
            <w:vAlign w:val="center"/>
          </w:tcPr>
          <w:p w14:paraId="419587AC" w14:textId="5FE3483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18.0</w:t>
            </w:r>
          </w:p>
        </w:tc>
        <w:tc>
          <w:tcPr>
            <w:tcW w:w="1015" w:type="dxa"/>
            <w:tcBorders>
              <w:top w:val="nil"/>
              <w:left w:val="nil"/>
              <w:bottom w:val="nil"/>
              <w:right w:val="nil"/>
            </w:tcBorders>
            <w:vAlign w:val="center"/>
          </w:tcPr>
          <w:p w14:paraId="2082A1CF" w14:textId="2D57936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5.0*</w:t>
            </w:r>
          </w:p>
        </w:tc>
        <w:tc>
          <w:tcPr>
            <w:tcW w:w="1015" w:type="dxa"/>
            <w:tcBorders>
              <w:top w:val="nil"/>
              <w:left w:val="nil"/>
              <w:bottom w:val="nil"/>
              <w:right w:val="single" w:sz="4" w:space="0" w:color="000000"/>
            </w:tcBorders>
            <w:vAlign w:val="center"/>
          </w:tcPr>
          <w:p w14:paraId="4E86513F" w14:textId="13BE62D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4.0*</w:t>
            </w:r>
          </w:p>
        </w:tc>
      </w:tr>
      <w:tr w:rsidR="006B7C8E" w:rsidRPr="00DD1F63" w14:paraId="1C88DFDA" w14:textId="77777777" w:rsidTr="00ED06A9">
        <w:trPr>
          <w:trHeight w:val="20"/>
        </w:trPr>
        <w:tc>
          <w:tcPr>
            <w:tcW w:w="2835" w:type="dxa"/>
            <w:tcBorders>
              <w:top w:val="nil"/>
              <w:left w:val="single" w:sz="4" w:space="0" w:color="000000"/>
              <w:bottom w:val="nil"/>
              <w:right w:val="single" w:sz="4" w:space="0" w:color="000000"/>
            </w:tcBorders>
          </w:tcPr>
          <w:p w14:paraId="6E85B2D9" w14:textId="77777777" w:rsidR="00C217A5"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Physician</w:t>
            </w:r>
            <w:r w:rsidR="00C217A5" w:rsidRPr="00DD1F63">
              <w:rPr>
                <w:rFonts w:ascii="Times New Roman" w:hAnsi="Times New Roman" w:cs="Times New Roman"/>
                <w:sz w:val="21"/>
                <w:szCs w:val="21"/>
              </w:rPr>
              <w:t xml:space="preserve"> </w:t>
            </w:r>
            <w:r w:rsidRPr="00DD1F63">
              <w:rPr>
                <w:rFonts w:ascii="Times New Roman" w:hAnsi="Times New Roman" w:cs="Times New Roman"/>
                <w:sz w:val="21"/>
                <w:szCs w:val="21"/>
              </w:rPr>
              <w:t>global assessment</w:t>
            </w:r>
            <w:r w:rsidR="000A53F0" w:rsidRPr="00DD1F63">
              <w:rPr>
                <w:rFonts w:ascii="Times New Roman" w:hAnsi="Times New Roman" w:cs="Times New Roman"/>
                <w:sz w:val="21"/>
                <w:szCs w:val="21"/>
              </w:rPr>
              <w:t xml:space="preserve"> </w:t>
            </w:r>
          </w:p>
          <w:p w14:paraId="0520A279" w14:textId="461D565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disease </w:t>
            </w:r>
            <w:proofErr w:type="spellStart"/>
            <w:r w:rsidRPr="00DD1F63">
              <w:rPr>
                <w:rFonts w:ascii="Times New Roman" w:hAnsi="Times New Roman" w:cs="Times New Roman"/>
                <w:sz w:val="21"/>
                <w:szCs w:val="21"/>
              </w:rPr>
              <w:t>activity</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5005BA99" w14:textId="5DE389F0" w:rsidR="006B7C8E" w:rsidRPr="00DD1F63" w:rsidRDefault="006B7C8E" w:rsidP="00377A09">
            <w:pPr>
              <w:spacing w:after="0" w:line="240" w:lineRule="auto"/>
              <w:ind w:left="0" w:firstLine="0"/>
              <w:jc w:val="left"/>
              <w:rPr>
                <w:rFonts w:ascii="Times New Roman" w:hAnsi="Times New Roman" w:cs="Times New Roman"/>
                <w:sz w:val="21"/>
                <w:szCs w:val="21"/>
              </w:rPr>
            </w:pPr>
          </w:p>
          <w:p w14:paraId="06D453BB" w14:textId="7D2F9B9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63.0</w:t>
            </w:r>
          </w:p>
        </w:tc>
        <w:tc>
          <w:tcPr>
            <w:tcW w:w="1039" w:type="dxa"/>
            <w:tcBorders>
              <w:top w:val="nil"/>
              <w:left w:val="nil"/>
              <w:bottom w:val="nil"/>
              <w:right w:val="nil"/>
            </w:tcBorders>
            <w:vAlign w:val="center"/>
          </w:tcPr>
          <w:p w14:paraId="1A9CDFBD" w14:textId="267012A6" w:rsidR="006B7C8E" w:rsidRPr="00DD1F63" w:rsidRDefault="006B7C8E" w:rsidP="00377A09">
            <w:pPr>
              <w:spacing w:after="0" w:line="240" w:lineRule="auto"/>
              <w:ind w:left="0" w:firstLine="0"/>
              <w:jc w:val="left"/>
              <w:rPr>
                <w:rFonts w:ascii="Times New Roman" w:hAnsi="Times New Roman" w:cs="Times New Roman"/>
                <w:sz w:val="21"/>
                <w:szCs w:val="21"/>
              </w:rPr>
            </w:pPr>
          </w:p>
          <w:p w14:paraId="0F400EFC" w14:textId="34881F4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35.0</w:t>
            </w:r>
          </w:p>
        </w:tc>
        <w:tc>
          <w:tcPr>
            <w:tcW w:w="1040" w:type="dxa"/>
            <w:tcBorders>
              <w:top w:val="nil"/>
              <w:left w:val="nil"/>
              <w:bottom w:val="nil"/>
              <w:right w:val="single" w:sz="4" w:space="0" w:color="000000"/>
            </w:tcBorders>
            <w:vAlign w:val="center"/>
          </w:tcPr>
          <w:p w14:paraId="278B8B4D" w14:textId="6524D0BD" w:rsidR="006B7C8E" w:rsidRPr="00DD1F63" w:rsidRDefault="006B7C8E" w:rsidP="00377A09">
            <w:pPr>
              <w:spacing w:after="0" w:line="240" w:lineRule="auto"/>
              <w:ind w:left="0" w:firstLine="0"/>
              <w:jc w:val="left"/>
              <w:rPr>
                <w:rFonts w:ascii="Times New Roman" w:hAnsi="Times New Roman" w:cs="Times New Roman"/>
                <w:sz w:val="21"/>
                <w:szCs w:val="21"/>
              </w:rPr>
            </w:pPr>
          </w:p>
          <w:p w14:paraId="2F6BD3D4" w14:textId="5068DCB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38.0</w:t>
            </w:r>
          </w:p>
        </w:tc>
        <w:tc>
          <w:tcPr>
            <w:tcW w:w="1014" w:type="dxa"/>
            <w:tcBorders>
              <w:top w:val="nil"/>
              <w:left w:val="single" w:sz="4" w:space="0" w:color="000000"/>
              <w:bottom w:val="nil"/>
              <w:right w:val="nil"/>
            </w:tcBorders>
            <w:vAlign w:val="center"/>
          </w:tcPr>
          <w:p w14:paraId="56AA3119" w14:textId="09E34B3F" w:rsidR="006B7C8E" w:rsidRPr="00DD1F63" w:rsidRDefault="006B7C8E" w:rsidP="00377A09">
            <w:pPr>
              <w:spacing w:after="0" w:line="240" w:lineRule="auto"/>
              <w:ind w:left="0" w:firstLine="0"/>
              <w:jc w:val="left"/>
              <w:rPr>
                <w:rFonts w:ascii="Times New Roman" w:hAnsi="Times New Roman" w:cs="Times New Roman"/>
                <w:sz w:val="21"/>
                <w:szCs w:val="21"/>
              </w:rPr>
            </w:pPr>
          </w:p>
          <w:p w14:paraId="5A2A780D" w14:textId="6FCA61A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65.0</w:t>
            </w:r>
          </w:p>
        </w:tc>
        <w:tc>
          <w:tcPr>
            <w:tcW w:w="1015" w:type="dxa"/>
            <w:tcBorders>
              <w:top w:val="nil"/>
              <w:left w:val="nil"/>
              <w:bottom w:val="nil"/>
              <w:right w:val="nil"/>
            </w:tcBorders>
            <w:vAlign w:val="center"/>
          </w:tcPr>
          <w:p w14:paraId="2A4C811C" w14:textId="42109B6F" w:rsidR="006B7C8E" w:rsidRPr="00DD1F63" w:rsidRDefault="006B7C8E" w:rsidP="00377A09">
            <w:pPr>
              <w:spacing w:after="0" w:line="240" w:lineRule="auto"/>
              <w:ind w:left="0" w:firstLine="0"/>
              <w:jc w:val="left"/>
              <w:rPr>
                <w:rFonts w:ascii="Times New Roman" w:hAnsi="Times New Roman" w:cs="Times New Roman"/>
                <w:sz w:val="21"/>
                <w:szCs w:val="21"/>
              </w:rPr>
            </w:pPr>
          </w:p>
          <w:p w14:paraId="5401E8B6" w14:textId="1227B67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20.0*</w:t>
            </w:r>
          </w:p>
        </w:tc>
        <w:tc>
          <w:tcPr>
            <w:tcW w:w="1015" w:type="dxa"/>
            <w:tcBorders>
              <w:top w:val="nil"/>
              <w:left w:val="nil"/>
              <w:bottom w:val="nil"/>
              <w:right w:val="single" w:sz="4" w:space="0" w:color="000000"/>
            </w:tcBorders>
            <w:vAlign w:val="center"/>
          </w:tcPr>
          <w:p w14:paraId="68496A47" w14:textId="18907FA0" w:rsidR="006B7C8E" w:rsidRPr="00DD1F63" w:rsidRDefault="006B7C8E" w:rsidP="00377A09">
            <w:pPr>
              <w:spacing w:after="0" w:line="240" w:lineRule="auto"/>
              <w:ind w:left="0" w:firstLine="0"/>
              <w:jc w:val="left"/>
              <w:rPr>
                <w:rFonts w:ascii="Times New Roman" w:hAnsi="Times New Roman" w:cs="Times New Roman"/>
                <w:sz w:val="21"/>
                <w:szCs w:val="21"/>
              </w:rPr>
            </w:pPr>
          </w:p>
          <w:p w14:paraId="637F0FAA" w14:textId="7A7CE90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16.0*</w:t>
            </w:r>
          </w:p>
        </w:tc>
      </w:tr>
      <w:tr w:rsidR="006B7C8E" w:rsidRPr="00DD1F63" w14:paraId="7EA1AA8B" w14:textId="77777777" w:rsidTr="00ED06A9">
        <w:trPr>
          <w:trHeight w:val="20"/>
        </w:trPr>
        <w:tc>
          <w:tcPr>
            <w:tcW w:w="2835" w:type="dxa"/>
            <w:tcBorders>
              <w:top w:val="nil"/>
              <w:left w:val="single" w:sz="4" w:space="0" w:color="000000"/>
              <w:bottom w:val="nil"/>
              <w:right w:val="single" w:sz="4" w:space="0" w:color="000000"/>
            </w:tcBorders>
          </w:tcPr>
          <w:p w14:paraId="4A0061AC" w14:textId="2D2946D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Patient global assessment</w:t>
            </w:r>
            <w:r w:rsidR="00FC2D59" w:rsidRPr="00DD1F63">
              <w:rPr>
                <w:rFonts w:ascii="Times New Roman" w:hAnsi="Times New Roman" w:cs="Times New Roman"/>
                <w:sz w:val="21"/>
                <w:szCs w:val="21"/>
              </w:rPr>
              <w:t xml:space="preserve"> </w:t>
            </w:r>
            <w:r w:rsidRPr="00DD1F63">
              <w:rPr>
                <w:rFonts w:ascii="Times New Roman" w:hAnsi="Times New Roman" w:cs="Times New Roman"/>
                <w:sz w:val="21"/>
                <w:szCs w:val="21"/>
              </w:rPr>
              <w:t xml:space="preserve">disease </w:t>
            </w:r>
            <w:proofErr w:type="spellStart"/>
            <w:r w:rsidRPr="00DD1F63">
              <w:rPr>
                <w:rFonts w:ascii="Times New Roman" w:hAnsi="Times New Roman" w:cs="Times New Roman"/>
                <w:sz w:val="21"/>
                <w:szCs w:val="21"/>
              </w:rPr>
              <w:t>activity</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0BAFD529" w14:textId="61E8548F" w:rsidR="006B7C8E" w:rsidRPr="00DD1F63" w:rsidRDefault="006B7C8E" w:rsidP="00377A09">
            <w:pPr>
              <w:spacing w:after="0" w:line="240" w:lineRule="auto"/>
              <w:ind w:left="0" w:firstLine="0"/>
              <w:jc w:val="left"/>
              <w:rPr>
                <w:rFonts w:ascii="Times New Roman" w:hAnsi="Times New Roman" w:cs="Times New Roman"/>
                <w:sz w:val="21"/>
                <w:szCs w:val="21"/>
              </w:rPr>
            </w:pPr>
          </w:p>
          <w:p w14:paraId="739138EB" w14:textId="2900EA5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53.5</w:t>
            </w:r>
          </w:p>
        </w:tc>
        <w:tc>
          <w:tcPr>
            <w:tcW w:w="1039" w:type="dxa"/>
            <w:tcBorders>
              <w:top w:val="nil"/>
              <w:left w:val="nil"/>
              <w:bottom w:val="nil"/>
              <w:right w:val="nil"/>
            </w:tcBorders>
            <w:vAlign w:val="center"/>
          </w:tcPr>
          <w:p w14:paraId="254183F6" w14:textId="232BA14B" w:rsidR="006B7C8E" w:rsidRPr="00DD1F63" w:rsidRDefault="006B7C8E" w:rsidP="00377A09">
            <w:pPr>
              <w:spacing w:after="0" w:line="240" w:lineRule="auto"/>
              <w:ind w:left="0" w:firstLine="0"/>
              <w:jc w:val="left"/>
              <w:rPr>
                <w:rFonts w:ascii="Times New Roman" w:hAnsi="Times New Roman" w:cs="Times New Roman"/>
                <w:sz w:val="21"/>
                <w:szCs w:val="21"/>
              </w:rPr>
            </w:pPr>
          </w:p>
          <w:p w14:paraId="5D70401E" w14:textId="5BD773D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39.0</w:t>
            </w:r>
          </w:p>
        </w:tc>
        <w:tc>
          <w:tcPr>
            <w:tcW w:w="1040" w:type="dxa"/>
            <w:tcBorders>
              <w:top w:val="nil"/>
              <w:left w:val="nil"/>
              <w:bottom w:val="nil"/>
              <w:right w:val="single" w:sz="4" w:space="0" w:color="000000"/>
            </w:tcBorders>
            <w:vAlign w:val="center"/>
          </w:tcPr>
          <w:p w14:paraId="3658B13D" w14:textId="7384D945" w:rsidR="006B7C8E" w:rsidRPr="00DD1F63" w:rsidRDefault="006B7C8E" w:rsidP="00377A09">
            <w:pPr>
              <w:spacing w:after="0" w:line="240" w:lineRule="auto"/>
              <w:ind w:left="0" w:firstLine="0"/>
              <w:jc w:val="left"/>
              <w:rPr>
                <w:rFonts w:ascii="Times New Roman" w:hAnsi="Times New Roman" w:cs="Times New Roman"/>
                <w:sz w:val="21"/>
                <w:szCs w:val="21"/>
              </w:rPr>
            </w:pPr>
          </w:p>
          <w:p w14:paraId="0394520C" w14:textId="4A90332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43.0</w:t>
            </w:r>
          </w:p>
        </w:tc>
        <w:tc>
          <w:tcPr>
            <w:tcW w:w="1014" w:type="dxa"/>
            <w:tcBorders>
              <w:top w:val="nil"/>
              <w:left w:val="single" w:sz="4" w:space="0" w:color="000000"/>
              <w:bottom w:val="nil"/>
              <w:right w:val="nil"/>
            </w:tcBorders>
            <w:vAlign w:val="center"/>
          </w:tcPr>
          <w:p w14:paraId="6C1C4483" w14:textId="25048B75" w:rsidR="006B7C8E" w:rsidRPr="00DD1F63" w:rsidRDefault="006B7C8E" w:rsidP="00377A09">
            <w:pPr>
              <w:spacing w:after="0" w:line="240" w:lineRule="auto"/>
              <w:ind w:left="0" w:firstLine="0"/>
              <w:jc w:val="left"/>
              <w:rPr>
                <w:rFonts w:ascii="Times New Roman" w:hAnsi="Times New Roman" w:cs="Times New Roman"/>
                <w:sz w:val="21"/>
                <w:szCs w:val="21"/>
              </w:rPr>
            </w:pPr>
          </w:p>
          <w:p w14:paraId="137D5199" w14:textId="3A66E02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52.0</w:t>
            </w:r>
          </w:p>
        </w:tc>
        <w:tc>
          <w:tcPr>
            <w:tcW w:w="1015" w:type="dxa"/>
            <w:tcBorders>
              <w:top w:val="nil"/>
              <w:left w:val="nil"/>
              <w:bottom w:val="nil"/>
              <w:right w:val="nil"/>
            </w:tcBorders>
            <w:vAlign w:val="center"/>
          </w:tcPr>
          <w:p w14:paraId="49B025BC" w14:textId="17B1C0B6" w:rsidR="006B7C8E" w:rsidRPr="00DD1F63" w:rsidRDefault="006B7C8E" w:rsidP="00377A09">
            <w:pPr>
              <w:spacing w:after="0" w:line="240" w:lineRule="auto"/>
              <w:ind w:left="0" w:firstLine="0"/>
              <w:jc w:val="left"/>
              <w:rPr>
                <w:rFonts w:ascii="Times New Roman" w:hAnsi="Times New Roman" w:cs="Times New Roman"/>
                <w:sz w:val="21"/>
                <w:szCs w:val="21"/>
              </w:rPr>
            </w:pPr>
          </w:p>
          <w:p w14:paraId="05A47E42" w14:textId="193AD4B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20.0*</w:t>
            </w:r>
          </w:p>
        </w:tc>
        <w:tc>
          <w:tcPr>
            <w:tcW w:w="1015" w:type="dxa"/>
            <w:tcBorders>
              <w:top w:val="nil"/>
              <w:left w:val="nil"/>
              <w:bottom w:val="nil"/>
              <w:right w:val="single" w:sz="4" w:space="0" w:color="000000"/>
            </w:tcBorders>
            <w:vAlign w:val="center"/>
          </w:tcPr>
          <w:p w14:paraId="128C5F1B" w14:textId="00FF5F14" w:rsidR="006B7C8E" w:rsidRPr="00DD1F63" w:rsidRDefault="006B7C8E" w:rsidP="00377A09">
            <w:pPr>
              <w:spacing w:after="0" w:line="240" w:lineRule="auto"/>
              <w:ind w:left="0" w:firstLine="0"/>
              <w:jc w:val="left"/>
              <w:rPr>
                <w:rFonts w:ascii="Times New Roman" w:hAnsi="Times New Roman" w:cs="Times New Roman"/>
                <w:sz w:val="21"/>
                <w:szCs w:val="21"/>
              </w:rPr>
            </w:pPr>
          </w:p>
          <w:p w14:paraId="2E2939F8" w14:textId="5FEF39A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18.0*</w:t>
            </w:r>
          </w:p>
        </w:tc>
      </w:tr>
      <w:tr w:rsidR="006B7C8E" w:rsidRPr="00DD1F63" w14:paraId="7260C1BA" w14:textId="77777777" w:rsidTr="00ED06A9">
        <w:trPr>
          <w:trHeight w:val="20"/>
        </w:trPr>
        <w:tc>
          <w:tcPr>
            <w:tcW w:w="2835" w:type="dxa"/>
            <w:tcBorders>
              <w:top w:val="nil"/>
              <w:left w:val="single" w:sz="4" w:space="0" w:color="000000"/>
              <w:bottom w:val="nil"/>
              <w:right w:val="single" w:sz="4" w:space="0" w:color="000000"/>
            </w:tcBorders>
          </w:tcPr>
          <w:p w14:paraId="1B189354"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Pain</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18D8C8AC" w14:textId="190798E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59.5</w:t>
            </w:r>
          </w:p>
        </w:tc>
        <w:tc>
          <w:tcPr>
            <w:tcW w:w="1039" w:type="dxa"/>
            <w:tcBorders>
              <w:top w:val="nil"/>
              <w:left w:val="nil"/>
              <w:bottom w:val="nil"/>
              <w:right w:val="nil"/>
            </w:tcBorders>
            <w:vAlign w:val="center"/>
          </w:tcPr>
          <w:p w14:paraId="4F972914" w14:textId="53822DD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38.0</w:t>
            </w:r>
          </w:p>
        </w:tc>
        <w:tc>
          <w:tcPr>
            <w:tcW w:w="1040" w:type="dxa"/>
            <w:tcBorders>
              <w:top w:val="nil"/>
              <w:left w:val="nil"/>
              <w:bottom w:val="nil"/>
              <w:right w:val="single" w:sz="4" w:space="0" w:color="000000"/>
            </w:tcBorders>
            <w:vAlign w:val="center"/>
          </w:tcPr>
          <w:p w14:paraId="750FBFC0" w14:textId="44263D7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46.0</w:t>
            </w:r>
          </w:p>
        </w:tc>
        <w:tc>
          <w:tcPr>
            <w:tcW w:w="1014" w:type="dxa"/>
            <w:tcBorders>
              <w:top w:val="nil"/>
              <w:left w:val="single" w:sz="4" w:space="0" w:color="000000"/>
              <w:bottom w:val="nil"/>
              <w:right w:val="nil"/>
            </w:tcBorders>
            <w:vAlign w:val="center"/>
          </w:tcPr>
          <w:p w14:paraId="783C20A2" w14:textId="778304F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58.0</w:t>
            </w:r>
          </w:p>
        </w:tc>
        <w:tc>
          <w:tcPr>
            <w:tcW w:w="1015" w:type="dxa"/>
            <w:tcBorders>
              <w:top w:val="nil"/>
              <w:left w:val="nil"/>
              <w:bottom w:val="nil"/>
              <w:right w:val="nil"/>
            </w:tcBorders>
            <w:vAlign w:val="center"/>
          </w:tcPr>
          <w:p w14:paraId="35BCD8AB" w14:textId="786292D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21.0*</w:t>
            </w:r>
          </w:p>
        </w:tc>
        <w:tc>
          <w:tcPr>
            <w:tcW w:w="1015" w:type="dxa"/>
            <w:tcBorders>
              <w:top w:val="nil"/>
              <w:left w:val="nil"/>
              <w:bottom w:val="nil"/>
              <w:right w:val="single" w:sz="4" w:space="0" w:color="000000"/>
            </w:tcBorders>
            <w:vAlign w:val="center"/>
          </w:tcPr>
          <w:p w14:paraId="28D0EEAA" w14:textId="78A7CF3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19.0*</w:t>
            </w:r>
          </w:p>
        </w:tc>
      </w:tr>
      <w:tr w:rsidR="006B7C8E" w:rsidRPr="00DD1F63" w14:paraId="23558238" w14:textId="77777777" w:rsidTr="00ED06A9">
        <w:trPr>
          <w:trHeight w:val="20"/>
        </w:trPr>
        <w:tc>
          <w:tcPr>
            <w:tcW w:w="2835" w:type="dxa"/>
            <w:tcBorders>
              <w:top w:val="nil"/>
              <w:left w:val="single" w:sz="4" w:space="0" w:color="000000"/>
              <w:bottom w:val="nil"/>
              <w:right w:val="single" w:sz="4" w:space="0" w:color="000000"/>
            </w:tcBorders>
          </w:tcPr>
          <w:p w14:paraId="04F4F1D6"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Disability index (HAQ)</w:t>
            </w:r>
            <w:r w:rsidRPr="00DD1F63">
              <w:rPr>
                <w:rFonts w:ascii="Times New Roman" w:hAnsi="Times New Roman" w:cs="Times New Roman"/>
                <w:sz w:val="21"/>
                <w:szCs w:val="21"/>
                <w:vertAlign w:val="superscript"/>
              </w:rPr>
              <w:t>c</w:t>
            </w:r>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43EE5C8F" w14:textId="0A11EC2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39" w:type="dxa"/>
            <w:tcBorders>
              <w:top w:val="nil"/>
              <w:left w:val="nil"/>
              <w:bottom w:val="nil"/>
              <w:right w:val="nil"/>
            </w:tcBorders>
            <w:vAlign w:val="center"/>
          </w:tcPr>
          <w:p w14:paraId="2A61AE2C" w14:textId="6C9E7FA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1.25</w:t>
            </w:r>
          </w:p>
        </w:tc>
        <w:tc>
          <w:tcPr>
            <w:tcW w:w="1040" w:type="dxa"/>
            <w:tcBorders>
              <w:top w:val="nil"/>
              <w:left w:val="nil"/>
              <w:bottom w:val="nil"/>
              <w:right w:val="single" w:sz="4" w:space="0" w:color="000000"/>
            </w:tcBorders>
            <w:vAlign w:val="center"/>
          </w:tcPr>
          <w:p w14:paraId="006387C2" w14:textId="1793BC1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1.25</w:t>
            </w:r>
          </w:p>
        </w:tc>
        <w:tc>
          <w:tcPr>
            <w:tcW w:w="1014" w:type="dxa"/>
            <w:tcBorders>
              <w:top w:val="nil"/>
              <w:left w:val="single" w:sz="4" w:space="0" w:color="000000"/>
              <w:bottom w:val="nil"/>
              <w:right w:val="nil"/>
            </w:tcBorders>
            <w:vAlign w:val="center"/>
          </w:tcPr>
          <w:p w14:paraId="055BD2AE" w14:textId="58C5691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15" w:type="dxa"/>
            <w:tcBorders>
              <w:top w:val="nil"/>
              <w:left w:val="nil"/>
              <w:bottom w:val="nil"/>
              <w:right w:val="nil"/>
            </w:tcBorders>
            <w:vAlign w:val="center"/>
          </w:tcPr>
          <w:p w14:paraId="2EAE0F57" w14:textId="285D77C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0.75*</w:t>
            </w:r>
          </w:p>
        </w:tc>
        <w:tc>
          <w:tcPr>
            <w:tcW w:w="1015" w:type="dxa"/>
            <w:tcBorders>
              <w:top w:val="nil"/>
              <w:left w:val="nil"/>
              <w:bottom w:val="nil"/>
              <w:right w:val="single" w:sz="4" w:space="0" w:color="000000"/>
            </w:tcBorders>
            <w:vAlign w:val="center"/>
          </w:tcPr>
          <w:p w14:paraId="668F524F" w14:textId="24C9517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0.75*</w:t>
            </w:r>
          </w:p>
        </w:tc>
      </w:tr>
      <w:tr w:rsidR="006B7C8E" w:rsidRPr="00DD1F63" w14:paraId="71D57107" w14:textId="77777777" w:rsidTr="00ED06A9">
        <w:trPr>
          <w:trHeight w:val="20"/>
        </w:trPr>
        <w:tc>
          <w:tcPr>
            <w:tcW w:w="2835" w:type="dxa"/>
            <w:tcBorders>
              <w:top w:val="nil"/>
              <w:left w:val="single" w:sz="4" w:space="0" w:color="000000"/>
              <w:bottom w:val="single" w:sz="4" w:space="0" w:color="000000"/>
              <w:right w:val="single" w:sz="4" w:space="0" w:color="000000"/>
            </w:tcBorders>
          </w:tcPr>
          <w:p w14:paraId="22717483" w14:textId="238EDBD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CRP (mg/L) </w:t>
            </w:r>
          </w:p>
        </w:tc>
        <w:tc>
          <w:tcPr>
            <w:tcW w:w="1039" w:type="dxa"/>
            <w:tcBorders>
              <w:top w:val="nil"/>
              <w:left w:val="single" w:sz="4" w:space="0" w:color="000000"/>
              <w:bottom w:val="single" w:sz="4" w:space="0" w:color="000000"/>
              <w:right w:val="nil"/>
            </w:tcBorders>
            <w:vAlign w:val="center"/>
          </w:tcPr>
          <w:p w14:paraId="758F9B15" w14:textId="19A3FF4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10.0</w:t>
            </w:r>
          </w:p>
        </w:tc>
        <w:tc>
          <w:tcPr>
            <w:tcW w:w="1039" w:type="dxa"/>
            <w:tcBorders>
              <w:top w:val="nil"/>
              <w:left w:val="nil"/>
              <w:bottom w:val="single" w:sz="4" w:space="0" w:color="000000"/>
              <w:right w:val="nil"/>
            </w:tcBorders>
            <w:vAlign w:val="center"/>
          </w:tcPr>
          <w:p w14:paraId="213D5823" w14:textId="4385D5E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9.0</w:t>
            </w:r>
          </w:p>
        </w:tc>
        <w:tc>
          <w:tcPr>
            <w:tcW w:w="1040" w:type="dxa"/>
            <w:tcBorders>
              <w:top w:val="nil"/>
              <w:left w:val="nil"/>
              <w:bottom w:val="single" w:sz="4" w:space="0" w:color="000000"/>
              <w:right w:val="single" w:sz="4" w:space="0" w:color="000000"/>
            </w:tcBorders>
            <w:vAlign w:val="center"/>
          </w:tcPr>
          <w:p w14:paraId="496AF295" w14:textId="006B1FB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9.0</w:t>
            </w:r>
          </w:p>
        </w:tc>
        <w:tc>
          <w:tcPr>
            <w:tcW w:w="1014" w:type="dxa"/>
            <w:tcBorders>
              <w:top w:val="nil"/>
              <w:left w:val="single" w:sz="4" w:space="0" w:color="000000"/>
              <w:bottom w:val="single" w:sz="4" w:space="0" w:color="000000"/>
              <w:right w:val="nil"/>
            </w:tcBorders>
            <w:vAlign w:val="center"/>
          </w:tcPr>
          <w:p w14:paraId="26E91CFD" w14:textId="5A46BD8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10.0</w:t>
            </w:r>
          </w:p>
        </w:tc>
        <w:tc>
          <w:tcPr>
            <w:tcW w:w="1015" w:type="dxa"/>
            <w:tcBorders>
              <w:top w:val="nil"/>
              <w:left w:val="nil"/>
              <w:bottom w:val="single" w:sz="4" w:space="0" w:color="000000"/>
              <w:right w:val="nil"/>
            </w:tcBorders>
            <w:vAlign w:val="center"/>
          </w:tcPr>
          <w:p w14:paraId="5809EE1A" w14:textId="66E1136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w:t>
            </w:r>
          </w:p>
        </w:tc>
        <w:tc>
          <w:tcPr>
            <w:tcW w:w="1015" w:type="dxa"/>
            <w:tcBorders>
              <w:top w:val="nil"/>
              <w:left w:val="nil"/>
              <w:bottom w:val="single" w:sz="4" w:space="0" w:color="000000"/>
              <w:right w:val="single" w:sz="4" w:space="0" w:color="000000"/>
            </w:tcBorders>
            <w:vAlign w:val="center"/>
          </w:tcPr>
          <w:p w14:paraId="10002D45" w14:textId="63B2DEF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w:t>
            </w:r>
          </w:p>
        </w:tc>
      </w:tr>
    </w:tbl>
    <w:p w14:paraId="423D992F" w14:textId="3F04B251" w:rsidR="003812B9" w:rsidRPr="00DD1F63" w:rsidRDefault="00CA72FF" w:rsidP="00377A09">
      <w:pPr>
        <w:spacing w:after="0" w:line="240" w:lineRule="auto"/>
        <w:ind w:left="426" w:right="333"/>
        <w:jc w:val="left"/>
        <w:rPr>
          <w:rFonts w:ascii="Times New Roman" w:hAnsi="Times New Roman" w:cs="Times New Roman"/>
          <w:szCs w:val="20"/>
        </w:rPr>
      </w:pPr>
      <w:r w:rsidRPr="00DD1F63">
        <w:rPr>
          <w:rFonts w:ascii="Times New Roman" w:hAnsi="Times New Roman" w:cs="Times New Roman"/>
          <w:szCs w:val="20"/>
          <w:vertAlign w:val="superscript"/>
        </w:rPr>
        <w:t xml:space="preserve">a </w:t>
      </w:r>
      <w:r w:rsidRPr="00DD1F63">
        <w:rPr>
          <w:rFonts w:ascii="Times New Roman" w:hAnsi="Times New Roman" w:cs="Times New Roman"/>
          <w:szCs w:val="20"/>
        </w:rPr>
        <w:t xml:space="preserve">40 mg </w:t>
      </w:r>
      <w:r w:rsidR="004C123B" w:rsidRPr="00DD1F63">
        <w:rPr>
          <w:rFonts w:ascii="Times New Roman" w:hAnsi="Times New Roman" w:cs="Times New Roman"/>
          <w:szCs w:val="20"/>
        </w:rPr>
        <w:t>adalimumab</w:t>
      </w:r>
      <w:r w:rsidRPr="00DD1F63">
        <w:rPr>
          <w:rFonts w:ascii="Times New Roman" w:hAnsi="Times New Roman" w:cs="Times New Roman"/>
          <w:szCs w:val="20"/>
        </w:rPr>
        <w:t xml:space="preserve"> administered fortnightly </w:t>
      </w:r>
    </w:p>
    <w:p w14:paraId="4614C87B" w14:textId="42705C75" w:rsidR="006B7C8E" w:rsidRPr="00DD1F63" w:rsidRDefault="00CA72FF" w:rsidP="00377A09">
      <w:pPr>
        <w:spacing w:after="0" w:line="240" w:lineRule="auto"/>
        <w:ind w:left="426" w:right="49"/>
        <w:jc w:val="left"/>
        <w:rPr>
          <w:rFonts w:ascii="Times New Roman" w:hAnsi="Times New Roman" w:cs="Times New Roman"/>
          <w:szCs w:val="20"/>
        </w:rPr>
      </w:pPr>
      <w:r w:rsidRPr="00DD1F63">
        <w:rPr>
          <w:rFonts w:ascii="Times New Roman" w:hAnsi="Times New Roman" w:cs="Times New Roman"/>
          <w:szCs w:val="20"/>
          <w:vertAlign w:val="superscript"/>
        </w:rPr>
        <w:t xml:space="preserve">b </w:t>
      </w:r>
      <w:r w:rsidRPr="00DD1F63">
        <w:rPr>
          <w:rFonts w:ascii="Times New Roman" w:hAnsi="Times New Roman" w:cs="Times New Roman"/>
          <w:szCs w:val="20"/>
        </w:rPr>
        <w:t xml:space="preserve">Visual analogue scale; 0 = best, 100 = worst </w:t>
      </w:r>
    </w:p>
    <w:p w14:paraId="4D454AFE" w14:textId="6B97CD4B" w:rsidR="003812B9" w:rsidRPr="00DD1F63" w:rsidRDefault="00CA72FF" w:rsidP="00377A09">
      <w:pPr>
        <w:spacing w:after="0" w:line="240" w:lineRule="auto"/>
        <w:ind w:left="567" w:right="49" w:hanging="142"/>
        <w:jc w:val="left"/>
        <w:rPr>
          <w:rFonts w:ascii="Times New Roman" w:hAnsi="Times New Roman" w:cs="Times New Roman"/>
          <w:szCs w:val="20"/>
        </w:rPr>
      </w:pPr>
      <w:r w:rsidRPr="00DD1F63">
        <w:rPr>
          <w:rFonts w:ascii="Times New Roman" w:hAnsi="Times New Roman" w:cs="Times New Roman"/>
          <w:szCs w:val="20"/>
          <w:vertAlign w:val="superscript"/>
        </w:rPr>
        <w:t xml:space="preserve">c </w:t>
      </w:r>
      <w:r w:rsidRPr="00DD1F63">
        <w:rPr>
          <w:rFonts w:ascii="Times New Roman" w:hAnsi="Times New Roman" w:cs="Times New Roman"/>
          <w:szCs w:val="20"/>
        </w:rPr>
        <w:t xml:space="preserve">Disability Index of the Health Assessment Questionnaire; 0 = best, 3 = worst, measures the patient’s ability to perform the following: dress/groom, arise, eat, walk, reach, grip, maintain hygiene, and maintain daily activity </w:t>
      </w:r>
    </w:p>
    <w:p w14:paraId="265BE98E" w14:textId="32399FB3"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 p&lt;0.001, </w:t>
      </w:r>
      <w:r w:rsidR="004C123B" w:rsidRPr="00DD1F63">
        <w:rPr>
          <w:rFonts w:ascii="Times New Roman" w:hAnsi="Times New Roman" w:cs="Times New Roman"/>
          <w:szCs w:val="20"/>
        </w:rPr>
        <w:t>adalimumab</w:t>
      </w:r>
      <w:r w:rsidRPr="00DD1F63">
        <w:rPr>
          <w:rFonts w:ascii="Times New Roman" w:hAnsi="Times New Roman" w:cs="Times New Roman"/>
          <w:szCs w:val="20"/>
        </w:rPr>
        <w:t xml:space="preserve"> vs. placebo, based on mean change from baseline </w:t>
      </w:r>
    </w:p>
    <w:p w14:paraId="2F1BC261"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56FCDC41" w14:textId="67B05A6F"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In RA Study III, 84.7% of patients with ACR20 responses at Week 24 maintained the response at 52</w:t>
      </w:r>
      <w:r w:rsidRPr="00DD1F63">
        <w:rPr>
          <w:rFonts w:ascii="Times New Roman" w:hAnsi="Times New Roman" w:cs="Times New Roman"/>
          <w:sz w:val="22"/>
        </w:rPr>
        <w:t xml:space="preserve"> weeks. Clinical responses were maintained for up to 5 years in the open-label portion of RA Study III. ACR responses observed at Week 52 were maintained or increased through 5 years of continuous treatment with 22% (115/534) of patients achieving major clinical response. A total of 372 (67.8%) subjects had no change in their methotrexate dose during the study, 141 (25.7%) subjects had a dose </w:t>
      </w:r>
      <w:proofErr w:type="gramStart"/>
      <w:r w:rsidRPr="00DD1F63">
        <w:rPr>
          <w:rFonts w:ascii="Times New Roman" w:hAnsi="Times New Roman" w:cs="Times New Roman"/>
          <w:sz w:val="22"/>
        </w:rPr>
        <w:t>reduction</w:t>
      </w:r>
      <w:proofErr w:type="gramEnd"/>
      <w:r w:rsidRPr="00DD1F63">
        <w:rPr>
          <w:rFonts w:ascii="Times New Roman" w:hAnsi="Times New Roman" w:cs="Times New Roman"/>
          <w:sz w:val="22"/>
        </w:rPr>
        <w:t xml:space="preserve"> and 36 (6.6%) subjects required a dose increase. A total of 149 (55.6%) subjects had no change in their corticosteroid dose during the study, 80 (29.9%) subjects had a dose </w:t>
      </w:r>
      <w:proofErr w:type="gramStart"/>
      <w:r w:rsidRPr="00DD1F63">
        <w:rPr>
          <w:rFonts w:ascii="Times New Roman" w:hAnsi="Times New Roman" w:cs="Times New Roman"/>
          <w:sz w:val="22"/>
        </w:rPr>
        <w:t>reduction</w:t>
      </w:r>
      <w:proofErr w:type="gramEnd"/>
      <w:r w:rsidRPr="00DD1F63">
        <w:rPr>
          <w:rFonts w:ascii="Times New Roman" w:hAnsi="Times New Roman" w:cs="Times New Roman"/>
          <w:sz w:val="22"/>
        </w:rPr>
        <w:t xml:space="preserve"> and 39 (14.6%) subjects required a dose increase. The following figures illustrate the durability of ACR20 responses to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 xml:space="preserve">in RA Studies III and II. </w:t>
      </w:r>
    </w:p>
    <w:p w14:paraId="254E96F8" w14:textId="1A7D3A7C"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rPr>
        <w:t xml:space="preserve"> </w:t>
      </w:r>
    </w:p>
    <w:p w14:paraId="5302708C" w14:textId="1BEAFB74" w:rsidR="006B7C8E" w:rsidRPr="00DD1F63" w:rsidRDefault="00CA72FF" w:rsidP="00377A09">
      <w:pPr>
        <w:pStyle w:val="Heading5"/>
        <w:spacing w:line="240" w:lineRule="auto"/>
        <w:ind w:left="426" w:right="397"/>
        <w:jc w:val="left"/>
        <w:rPr>
          <w:rFonts w:ascii="Times New Roman" w:hAnsi="Times New Roman" w:cs="Times New Roman"/>
          <w:sz w:val="22"/>
        </w:rPr>
      </w:pPr>
      <w:r w:rsidRPr="00DD1F63">
        <w:rPr>
          <w:rFonts w:ascii="Times New Roman" w:hAnsi="Times New Roman" w:cs="Times New Roman"/>
          <w:sz w:val="22"/>
        </w:rPr>
        <w:t xml:space="preserve">Figure 3: RA Study III ACR20 </w:t>
      </w:r>
      <w:r w:rsidR="00BE3CFE" w:rsidRPr="00DD1F63">
        <w:rPr>
          <w:rFonts w:ascii="Times New Roman" w:hAnsi="Times New Roman" w:cs="Times New Roman"/>
          <w:sz w:val="22"/>
        </w:rPr>
        <w:t>r</w:t>
      </w:r>
      <w:r w:rsidRPr="00DD1F63">
        <w:rPr>
          <w:rFonts w:ascii="Times New Roman" w:hAnsi="Times New Roman" w:cs="Times New Roman"/>
          <w:sz w:val="22"/>
        </w:rPr>
        <w:t xml:space="preserve">esponses over 52 </w:t>
      </w:r>
      <w:r w:rsidR="00BE3CFE" w:rsidRPr="00DD1F63">
        <w:rPr>
          <w:rFonts w:ascii="Times New Roman" w:hAnsi="Times New Roman" w:cs="Times New Roman"/>
          <w:sz w:val="22"/>
        </w:rPr>
        <w:t>w</w:t>
      </w:r>
      <w:r w:rsidRPr="00DD1F63">
        <w:rPr>
          <w:rFonts w:ascii="Times New Roman" w:hAnsi="Times New Roman" w:cs="Times New Roman"/>
          <w:sz w:val="22"/>
        </w:rPr>
        <w:t xml:space="preserve">eeks </w:t>
      </w:r>
    </w:p>
    <w:p w14:paraId="1FA49D81"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i/>
          <w:sz w:val="24"/>
        </w:rPr>
        <w:t xml:space="preserve"> </w:t>
      </w:r>
    </w:p>
    <w:p w14:paraId="44237083" w14:textId="6ADFC61B" w:rsidR="004110E1" w:rsidRPr="00DD1F63" w:rsidRDefault="004110E1"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noProof/>
        </w:rPr>
        <w:drawing>
          <wp:inline distT="0" distB="0" distL="0" distR="0" wp14:anchorId="64DB178D" wp14:editId="4516B86B">
            <wp:extent cx="3379408" cy="2149095"/>
            <wp:effectExtent l="0" t="0" r="0" b="3810"/>
            <wp:docPr id="6" name="Picture 6" descr="Machine generated alternative text:&#10;70 &#10;60 &#10;50 &#10;40 &#10;o &#10;30 &#10;20 &#10;10 &#10;40 mg fonnightly/MTX &#10;Placebo/MTX &#10;8 12 162024 28 32 36 40 4448 52 &#10;Time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hine generated alternative text:&#10;70 &#10;60 &#10;50 &#10;40 &#10;o &#10;30 &#10;20 &#10;10 &#10;40 mg fonnightly/MTX &#10;Placebo/MTX &#10;8 12 162024 28 32 36 40 4448 52 &#10;Time (Week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1853" cy="2182447"/>
                    </a:xfrm>
                    <a:prstGeom prst="rect">
                      <a:avLst/>
                    </a:prstGeom>
                    <a:noFill/>
                    <a:ln>
                      <a:noFill/>
                    </a:ln>
                  </pic:spPr>
                </pic:pic>
              </a:graphicData>
            </a:graphic>
          </wp:inline>
        </w:drawing>
      </w:r>
    </w:p>
    <w:p w14:paraId="03445E37" w14:textId="1839DA78" w:rsidR="006B7C8E" w:rsidRPr="00DD1F63" w:rsidRDefault="006B7C8E" w:rsidP="00377A09">
      <w:pPr>
        <w:tabs>
          <w:tab w:val="center" w:pos="3691"/>
        </w:tabs>
        <w:spacing w:after="0" w:line="240" w:lineRule="auto"/>
        <w:ind w:left="0" w:firstLine="0"/>
        <w:jc w:val="left"/>
        <w:rPr>
          <w:rFonts w:ascii="Times New Roman" w:hAnsi="Times New Roman" w:cs="Times New Roman"/>
        </w:rPr>
      </w:pPr>
    </w:p>
    <w:p w14:paraId="70DF20F8" w14:textId="171E4A9A" w:rsidR="006B7C8E" w:rsidRPr="00DD1F63" w:rsidRDefault="00CA72FF" w:rsidP="00377A09">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RA Study IV </w:t>
      </w:r>
    </w:p>
    <w:p w14:paraId="0020C5C0" w14:textId="77777777" w:rsidR="003812B9" w:rsidRPr="00DD1F63" w:rsidRDefault="003812B9" w:rsidP="00377A09">
      <w:pPr>
        <w:spacing w:after="0" w:line="240" w:lineRule="auto"/>
        <w:ind w:left="426" w:hanging="11"/>
        <w:jc w:val="left"/>
        <w:rPr>
          <w:sz w:val="22"/>
        </w:rPr>
      </w:pPr>
    </w:p>
    <w:p w14:paraId="3B00C4C1" w14:textId="20BD4106"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ACR20 response of patients treated with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 plus standard of care was statistically significantly better than patients treated with placebo plus standard of care (p&lt;0.001). </w:t>
      </w:r>
    </w:p>
    <w:p w14:paraId="7B47B465" w14:textId="77777777" w:rsidR="003812B9" w:rsidRPr="00DD1F63" w:rsidRDefault="003812B9" w:rsidP="00377A09">
      <w:pPr>
        <w:spacing w:after="0" w:line="240" w:lineRule="auto"/>
        <w:ind w:left="426" w:right="375"/>
        <w:jc w:val="left"/>
        <w:rPr>
          <w:rFonts w:ascii="Times New Roman" w:hAnsi="Times New Roman" w:cs="Times New Roman"/>
          <w:sz w:val="22"/>
        </w:rPr>
      </w:pPr>
    </w:p>
    <w:p w14:paraId="2788F7DB" w14:textId="17743948"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Studies I-IV,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-treated patients achieved statistically significant </w:t>
      </w:r>
      <w:proofErr w:type="gramStart"/>
      <w:r w:rsidRPr="00DD1F63">
        <w:rPr>
          <w:rFonts w:ascii="Times New Roman" w:hAnsi="Times New Roman" w:cs="Times New Roman"/>
          <w:sz w:val="22"/>
        </w:rPr>
        <w:t>ACR20</w:t>
      </w:r>
      <w:proofErr w:type="gramEnd"/>
      <w:r w:rsidRPr="00DD1F63">
        <w:rPr>
          <w:rFonts w:ascii="Times New Roman" w:hAnsi="Times New Roman" w:cs="Times New Roman"/>
          <w:sz w:val="22"/>
        </w:rPr>
        <w:t xml:space="preserve"> and 50 responses compared to placebo as early as 1-2 weeks after initiation of treatment. </w:t>
      </w:r>
    </w:p>
    <w:p w14:paraId="274520B8" w14:textId="77777777" w:rsidR="003812B9" w:rsidRPr="00DD1F63" w:rsidRDefault="003812B9" w:rsidP="00377A09">
      <w:pPr>
        <w:spacing w:after="0" w:line="240" w:lineRule="auto"/>
        <w:ind w:left="426" w:right="375"/>
        <w:jc w:val="left"/>
        <w:rPr>
          <w:rFonts w:ascii="Times New Roman" w:hAnsi="Times New Roman" w:cs="Times New Roman"/>
          <w:sz w:val="22"/>
        </w:rPr>
      </w:pPr>
    </w:p>
    <w:p w14:paraId="4C995AEF" w14:textId="2204F0E3" w:rsidR="006B7C8E" w:rsidRPr="00DD1F63" w:rsidRDefault="00CA72FF" w:rsidP="00377A09">
      <w:pPr>
        <w:pStyle w:val="Heading4"/>
        <w:pageBreakBefore/>
        <w:spacing w:after="0" w:line="240" w:lineRule="auto"/>
        <w:ind w:left="425" w:hanging="11"/>
        <w:rPr>
          <w:rFonts w:ascii="Times New Roman" w:hAnsi="Times New Roman" w:cs="Times New Roman"/>
          <w:i/>
          <w:u w:val="none"/>
        </w:rPr>
      </w:pPr>
      <w:r w:rsidRPr="00DD1F63">
        <w:rPr>
          <w:rFonts w:ascii="Times New Roman" w:hAnsi="Times New Roman" w:cs="Times New Roman"/>
          <w:i/>
          <w:u w:val="none"/>
        </w:rPr>
        <w:lastRenderedPageBreak/>
        <w:t xml:space="preserve">RA Study V </w:t>
      </w:r>
    </w:p>
    <w:p w14:paraId="3299F73A" w14:textId="77777777" w:rsidR="003812B9" w:rsidRPr="00DD1F63" w:rsidRDefault="003812B9" w:rsidP="00377A09">
      <w:pPr>
        <w:spacing w:after="0" w:line="240" w:lineRule="auto"/>
        <w:ind w:left="426" w:hanging="11"/>
        <w:jc w:val="left"/>
        <w:rPr>
          <w:sz w:val="22"/>
        </w:rPr>
      </w:pPr>
    </w:p>
    <w:p w14:paraId="32425C84" w14:textId="540BDC1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V for early rheumatoid arthritis patients who were methotrexate naïve, combination therapy with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 plus methotrexate led to significantly greater ACR responses than methotrexate monotherapy at Week 52 and responses were sustained at Week 104 (see Table </w:t>
      </w:r>
      <w:r w:rsidR="00127F14" w:rsidRPr="00DD1F63">
        <w:rPr>
          <w:rFonts w:ascii="Times New Roman" w:hAnsi="Times New Roman" w:cs="Times New Roman"/>
          <w:sz w:val="22"/>
        </w:rPr>
        <w:t>7</w:t>
      </w:r>
      <w:r w:rsidRPr="00DD1F63">
        <w:rPr>
          <w:rFonts w:ascii="Times New Roman" w:hAnsi="Times New Roman" w:cs="Times New Roman"/>
          <w:sz w:val="22"/>
        </w:rPr>
        <w:t>).</w:t>
      </w:r>
    </w:p>
    <w:p w14:paraId="4A0C9E4A" w14:textId="77777777" w:rsidR="003812B9" w:rsidRPr="00DD1F63" w:rsidRDefault="003812B9" w:rsidP="00377A09">
      <w:pPr>
        <w:spacing w:after="0" w:line="240" w:lineRule="auto"/>
        <w:ind w:left="426" w:right="375"/>
        <w:jc w:val="left"/>
        <w:rPr>
          <w:rFonts w:ascii="Times New Roman" w:hAnsi="Times New Roman" w:cs="Times New Roman"/>
          <w:sz w:val="22"/>
        </w:rPr>
      </w:pPr>
    </w:p>
    <w:p w14:paraId="36E3F7B0" w14:textId="2F65F8F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52 all individual components of the ACR response criteria improved with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/methotrexate therapy and improvements were maintained to Week 104. </w:t>
      </w:r>
    </w:p>
    <w:p w14:paraId="585919BF" w14:textId="77777777" w:rsidR="003812B9" w:rsidRPr="00DD1F63" w:rsidRDefault="003812B9" w:rsidP="00377A09">
      <w:pPr>
        <w:spacing w:after="0" w:line="240" w:lineRule="auto"/>
        <w:ind w:left="426" w:right="375"/>
        <w:jc w:val="left"/>
        <w:rPr>
          <w:rFonts w:ascii="Times New Roman" w:hAnsi="Times New Roman" w:cs="Times New Roman"/>
          <w:sz w:val="22"/>
        </w:rPr>
      </w:pPr>
    </w:p>
    <w:p w14:paraId="6FF01CEF" w14:textId="760C83FA" w:rsidR="003812B9"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Over the two-year study, 48.5% patients who received </w:t>
      </w:r>
      <w:r w:rsidR="00BE3CFE" w:rsidRPr="00DD1F63">
        <w:rPr>
          <w:rFonts w:ascii="Times New Roman" w:hAnsi="Times New Roman" w:cs="Times New Roman"/>
          <w:sz w:val="22"/>
        </w:rPr>
        <w:t>adalimumab</w:t>
      </w:r>
      <w:r w:rsidRPr="00DD1F63">
        <w:rPr>
          <w:rFonts w:ascii="Times New Roman" w:hAnsi="Times New Roman" w:cs="Times New Roman"/>
          <w:sz w:val="22"/>
        </w:rPr>
        <w:t>/methotrexate combination therapy achieved a major clinical response (ACR70 for &gt; six continuous months) compared to 27.2% of patients who received methotrexate monotherapy (p&lt;0.001).</w:t>
      </w:r>
    </w:p>
    <w:p w14:paraId="358849AE" w14:textId="768E76FE" w:rsidR="00E94E98" w:rsidRDefault="00E94E98" w:rsidP="00377A09">
      <w:pPr>
        <w:spacing w:after="0" w:line="240" w:lineRule="auto"/>
        <w:ind w:left="426" w:right="375"/>
        <w:jc w:val="left"/>
        <w:rPr>
          <w:rFonts w:ascii="Times New Roman" w:hAnsi="Times New Roman" w:cs="Times New Roman"/>
        </w:rPr>
      </w:pPr>
    </w:p>
    <w:p w14:paraId="5277DC31" w14:textId="34EC2C66" w:rsidR="008B076E" w:rsidRDefault="008B076E" w:rsidP="00377A09">
      <w:pPr>
        <w:spacing w:after="0" w:line="240" w:lineRule="auto"/>
        <w:ind w:left="426" w:right="375"/>
        <w:jc w:val="left"/>
        <w:rPr>
          <w:rFonts w:ascii="Times New Roman" w:hAnsi="Times New Roman" w:cs="Times New Roman"/>
        </w:rPr>
      </w:pPr>
    </w:p>
    <w:p w14:paraId="63702077" w14:textId="77777777" w:rsidR="008B076E" w:rsidRPr="00DD1F63" w:rsidRDefault="008B076E" w:rsidP="00377A09">
      <w:pPr>
        <w:spacing w:after="0" w:line="240" w:lineRule="auto"/>
        <w:ind w:left="426" w:right="375"/>
        <w:jc w:val="left"/>
        <w:rPr>
          <w:rFonts w:ascii="Times New Roman" w:hAnsi="Times New Roman" w:cs="Times New Roman"/>
        </w:rPr>
      </w:pPr>
    </w:p>
    <w:tbl>
      <w:tblPr>
        <w:tblStyle w:val="TableGrid1"/>
        <w:tblW w:w="9213" w:type="dxa"/>
        <w:tblInd w:w="421" w:type="dxa"/>
        <w:tblCellMar>
          <w:left w:w="57" w:type="dxa"/>
          <w:right w:w="57" w:type="dxa"/>
        </w:tblCellMar>
        <w:tblLook w:val="04A0" w:firstRow="1" w:lastRow="0" w:firstColumn="1" w:lastColumn="0" w:noHBand="0" w:noVBand="1"/>
      </w:tblPr>
      <w:tblGrid>
        <w:gridCol w:w="9213"/>
      </w:tblGrid>
      <w:tr w:rsidR="006B7C8E" w:rsidRPr="00DD1F63" w14:paraId="28C8ACC0" w14:textId="77777777" w:rsidTr="00127F14">
        <w:trPr>
          <w:trHeight w:val="137"/>
        </w:trPr>
        <w:tc>
          <w:tcPr>
            <w:tcW w:w="9213" w:type="dxa"/>
            <w:tcBorders>
              <w:top w:val="single" w:sz="4" w:space="0" w:color="000000"/>
              <w:left w:val="single" w:sz="4" w:space="0" w:color="000000"/>
              <w:bottom w:val="single" w:sz="4" w:space="0" w:color="000000"/>
              <w:right w:val="single" w:sz="4" w:space="0" w:color="000000"/>
            </w:tcBorders>
          </w:tcPr>
          <w:p w14:paraId="7B633A83" w14:textId="6608418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7</w:t>
            </w:r>
            <w:r w:rsidRPr="00DD1F63">
              <w:rPr>
                <w:rFonts w:ascii="Times New Roman" w:hAnsi="Times New Roman" w:cs="Times New Roman"/>
                <w:b/>
                <w:sz w:val="21"/>
                <w:szCs w:val="21"/>
              </w:rPr>
              <w:t xml:space="preserve">: ACR20/50/70 </w:t>
            </w:r>
            <w:r w:rsidR="009B1276"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 at </w:t>
            </w:r>
            <w:r w:rsidR="009B1276" w:rsidRPr="00DD1F63">
              <w:rPr>
                <w:rFonts w:ascii="Times New Roman" w:hAnsi="Times New Roman" w:cs="Times New Roman"/>
                <w:b/>
                <w:sz w:val="21"/>
                <w:szCs w:val="21"/>
              </w:rPr>
              <w:t>w</w:t>
            </w:r>
            <w:r w:rsidRPr="00DD1F63">
              <w:rPr>
                <w:rFonts w:ascii="Times New Roman" w:hAnsi="Times New Roman" w:cs="Times New Roman"/>
                <w:b/>
                <w:sz w:val="21"/>
                <w:szCs w:val="21"/>
              </w:rPr>
              <w:t>eeks 26, 52, 76 and 104 (</w:t>
            </w:r>
            <w:r w:rsidR="009B1276"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ll </w:t>
            </w:r>
            <w:r w:rsidR="009B1276"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andomised </w:t>
            </w:r>
            <w:r w:rsidR="009B1276"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ubjects) in RA Study V </w:t>
            </w:r>
          </w:p>
        </w:tc>
      </w:tr>
      <w:tr w:rsidR="006B7C8E" w:rsidRPr="00DD1F63" w14:paraId="3341C21A" w14:textId="77777777" w:rsidTr="00127F14">
        <w:trPr>
          <w:trHeight w:val="798"/>
        </w:trPr>
        <w:tc>
          <w:tcPr>
            <w:tcW w:w="9213" w:type="dxa"/>
            <w:tcBorders>
              <w:top w:val="single" w:sz="4" w:space="0" w:color="000000"/>
              <w:left w:val="single" w:sz="4" w:space="0" w:color="000000"/>
              <w:bottom w:val="single" w:sz="4" w:space="0" w:color="000000"/>
              <w:right w:val="single" w:sz="4" w:space="0" w:color="000000"/>
            </w:tcBorders>
          </w:tcPr>
          <w:p w14:paraId="359810A7" w14:textId="77777777" w:rsidR="006B7C8E" w:rsidRPr="00DD1F63" w:rsidRDefault="00CA72FF" w:rsidP="00377A09">
            <w:pPr>
              <w:tabs>
                <w:tab w:val="center" w:pos="2240"/>
                <w:tab w:val="center" w:pos="3683"/>
                <w:tab w:val="center" w:pos="5298"/>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b/>
                <w:sz w:val="21"/>
                <w:szCs w:val="21"/>
              </w:rPr>
              <w:t xml:space="preserve">MTX </w:t>
            </w:r>
            <w:r w:rsidRPr="00DD1F63">
              <w:rPr>
                <w:rFonts w:ascii="Times New Roman" w:hAnsi="Times New Roman" w:cs="Times New Roman"/>
                <w:b/>
                <w:sz w:val="21"/>
                <w:szCs w:val="21"/>
              </w:rPr>
              <w:tab/>
              <w:t xml:space="preserve">Adalimumab </w:t>
            </w:r>
            <w:r w:rsidRPr="00DD1F63">
              <w:rPr>
                <w:rFonts w:ascii="Times New Roman" w:hAnsi="Times New Roman" w:cs="Times New Roman"/>
                <w:b/>
                <w:sz w:val="21"/>
                <w:szCs w:val="21"/>
              </w:rPr>
              <w:tab/>
            </w:r>
            <w:proofErr w:type="spellStart"/>
            <w:r w:rsidRPr="00DD1F63">
              <w:rPr>
                <w:rFonts w:ascii="Times New Roman" w:hAnsi="Times New Roman" w:cs="Times New Roman"/>
                <w:b/>
                <w:sz w:val="21"/>
                <w:szCs w:val="21"/>
              </w:rPr>
              <w:t>Adalimumab</w:t>
            </w:r>
            <w:proofErr w:type="spellEnd"/>
            <w:r w:rsidRPr="00DD1F63">
              <w:rPr>
                <w:rFonts w:ascii="Times New Roman" w:hAnsi="Times New Roman" w:cs="Times New Roman"/>
                <w:b/>
                <w:sz w:val="21"/>
                <w:szCs w:val="21"/>
              </w:rPr>
              <w:t xml:space="preserve"> + MTX </w:t>
            </w:r>
          </w:p>
          <w:p w14:paraId="5B214D65" w14:textId="1DF1F204" w:rsidR="006B7C8E" w:rsidRPr="00DD1F63" w:rsidRDefault="00CA72FF" w:rsidP="00377A09">
            <w:pPr>
              <w:tabs>
                <w:tab w:val="center" w:pos="2241"/>
                <w:tab w:val="center" w:pos="3684"/>
                <w:tab w:val="center" w:pos="5278"/>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ab/>
              <w:t xml:space="preserve">N=257 </w:t>
            </w:r>
            <w:r w:rsidRPr="00DD1F63">
              <w:rPr>
                <w:rFonts w:ascii="Times New Roman" w:hAnsi="Times New Roman" w:cs="Times New Roman"/>
                <w:b/>
                <w:sz w:val="21"/>
                <w:szCs w:val="21"/>
              </w:rPr>
              <w:tab/>
              <w:t xml:space="preserve">N=274 </w:t>
            </w:r>
            <w:r w:rsidRPr="00DD1F63">
              <w:rPr>
                <w:rFonts w:ascii="Times New Roman" w:hAnsi="Times New Roman" w:cs="Times New Roman"/>
                <w:b/>
                <w:sz w:val="21"/>
                <w:szCs w:val="21"/>
              </w:rPr>
              <w:tab/>
              <w:t xml:space="preserve">N=268 </w:t>
            </w:r>
            <w:r w:rsidRPr="00DD1F63">
              <w:rPr>
                <w:rFonts w:ascii="Times New Roman" w:hAnsi="Times New Roman" w:cs="Times New Roman"/>
                <w:b/>
                <w:sz w:val="21"/>
                <w:szCs w:val="21"/>
              </w:rPr>
              <w:tab/>
              <w:t xml:space="preserve"> </w:t>
            </w:r>
            <w:r w:rsidRPr="00DD1F63">
              <w:rPr>
                <w:rFonts w:ascii="Times New Roman" w:hAnsi="Times New Roman" w:cs="Times New Roman"/>
                <w:b/>
                <w:sz w:val="21"/>
                <w:szCs w:val="21"/>
              </w:rPr>
              <w:tab/>
              <w:t xml:space="preserve"> </w:t>
            </w:r>
          </w:p>
          <w:p w14:paraId="27A2FFF3" w14:textId="502E04DD" w:rsidR="006B7C8E" w:rsidRPr="00DD1F63" w:rsidRDefault="00A53B4A" w:rsidP="00377A09">
            <w:pPr>
              <w:tabs>
                <w:tab w:val="center" w:pos="3832"/>
                <w:tab w:val="center" w:pos="6866"/>
                <w:tab w:val="center" w:pos="8305"/>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noProof/>
                <w:sz w:val="21"/>
                <w:szCs w:val="21"/>
              </w:rPr>
              <mc:AlternateContent>
                <mc:Choice Requires="wps">
                  <w:drawing>
                    <wp:anchor distT="0" distB="0" distL="114300" distR="114300" simplePos="0" relativeHeight="251658240" behindDoc="0" locked="0" layoutInCell="1" allowOverlap="1" wp14:anchorId="107D6A8E" wp14:editId="1608CA14">
                      <wp:simplePos x="0" y="0"/>
                      <wp:positionH relativeFrom="column">
                        <wp:posOffset>1255963</wp:posOffset>
                      </wp:positionH>
                      <wp:positionV relativeFrom="paragraph">
                        <wp:posOffset>10596</wp:posOffset>
                      </wp:positionV>
                      <wp:extent cx="264084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408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18641C42">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98.9pt,.85pt" to="306.85pt,.85pt" w14:anchorId="13188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HytgEAALcDAAAOAAAAZHJzL2Uyb0RvYy54bWysU8GO0zAQvSPxD5bvNGm12l1FTffQFVwQ&#10;VCx8gNcZNxa2xxqbNv17xm6bRYAQQlwcj/3em3njyfph8k4cgJLF0MvlopUCgsbBhn0vv3x+++Ze&#10;ipRVGJTDAL08QZIPm9ev1sfYwQpHdAOQYJGQumPs5Zhz7Jom6RG8SguMEPjSIHmVOaR9M5A6srp3&#10;zaptb5sj0hAJNaTEp4/nS7mp+saAzh+NSZCF6yXXlutKdX0ua7NZq25PKo5WX8pQ/1CFVzZw0lnq&#10;UWUlvpH9RcpbTZjQ5IVG36AxVkP1wG6W7U9unkYVoXrh5qQ4tyn9P1n94bAjYYde3kkRlOcnesqk&#10;7H7MYoshcAORxF3p0zGmjuHbsKNLlOKOiunJkC9ftiOm2tvT3FuYstB8uLq9ae9vllLo613zQoyU&#10;8jtAL8qml86GYlt16vA+ZU7G0CuEg1LIOXXd5ZODAnbhExi2wsmWlV2HCLaOxEHx8w9fl8UGa1Vk&#10;oRjr3Exq/0y6YAsN6mD9LXFG14wY8kz0NiD9LmuerqWaM/7q+uy12H7G4VQforaDp6M6u0xyGb8f&#10;40p/+d823wEAAP//AwBQSwMEFAAGAAgAAAAhAMOOrg3ZAAAABwEAAA8AAABkcnMvZG93bnJldi54&#10;bWxMjsFOwzAQRO9I/IO1SNyo0yKlEOJUVSWEuCCawt2Nt07AXkexk4a/Z+ECt3ma1ewrN7N3YsIh&#10;doEULBcZCKQmmI6sgrfD480diJg0Ge0CoYIvjLCpLi9KXZhwpj1OdbKCRygWWkGbUl9IGZsWvY6L&#10;0CNxdwqD14lxsNIM+szj3slVluXS6474Q6t73LXYfNajV+Ceh+nd7uw2jk/7vP54Pa1eDpNS11fz&#10;9gFEwjn9HcOPPqtDxU7HMJKJwjHfr1k9cViD4D5f3nI4/rKsSvnfv/oGAAD//wMAUEsBAi0AFAAG&#10;AAgAAAAhALaDOJL+AAAA4QEAABMAAAAAAAAAAAAAAAAAAAAAAFtDb250ZW50X1R5cGVzXS54bWxQ&#10;SwECLQAUAAYACAAAACEAOP0h/9YAAACUAQAACwAAAAAAAAAAAAAAAAAvAQAAX3JlbHMvLnJlbHNQ&#10;SwECLQAUAAYACAAAACEAXqsx8rYBAAC3AwAADgAAAAAAAAAAAAAAAAAuAgAAZHJzL2Uyb0RvYy54&#10;bWxQSwECLQAUAAYACAAAACEAw46uDdkAAAAHAQAADwAAAAAAAAAAAAAAAAAQBAAAZHJzL2Rvd25y&#10;ZXYueG1sUEsFBgAAAAAEAAQA8wAAABYFAAAAAA==&#10;">
                      <v:stroke joinstyle="miter"/>
                    </v:line>
                  </w:pict>
                </mc:Fallback>
              </mc:AlternateContent>
            </w:r>
            <w:r w:rsidR="00CA72FF" w:rsidRPr="00DD1F63">
              <w:rPr>
                <w:rFonts w:ascii="Times New Roman" w:hAnsi="Times New Roman" w:cs="Times New Roman"/>
                <w:b/>
                <w:sz w:val="21"/>
                <w:szCs w:val="21"/>
              </w:rPr>
              <w:t xml:space="preserve"> </w:t>
            </w:r>
            <w:r w:rsidR="00CA72FF" w:rsidRPr="00DD1F63">
              <w:rPr>
                <w:rFonts w:ascii="Times New Roman" w:hAnsi="Times New Roman" w:cs="Times New Roman"/>
                <w:b/>
                <w:sz w:val="21"/>
                <w:szCs w:val="21"/>
              </w:rPr>
              <w:tab/>
              <w:t xml:space="preserve">N (%) </w:t>
            </w:r>
            <w:r w:rsidR="00CA72FF" w:rsidRPr="00DD1F63">
              <w:rPr>
                <w:rFonts w:ascii="Times New Roman" w:hAnsi="Times New Roman" w:cs="Times New Roman"/>
                <w:b/>
                <w:sz w:val="21"/>
                <w:szCs w:val="21"/>
              </w:rPr>
              <w:tab/>
              <w:t>p-</w:t>
            </w:r>
            <w:proofErr w:type="spellStart"/>
            <w:r w:rsidR="00CA72FF" w:rsidRPr="00DD1F63">
              <w:rPr>
                <w:rFonts w:ascii="Times New Roman" w:hAnsi="Times New Roman" w:cs="Times New Roman"/>
                <w:b/>
                <w:sz w:val="21"/>
                <w:szCs w:val="21"/>
              </w:rPr>
              <w:t>value</w:t>
            </w:r>
            <w:r w:rsidR="00CA72FF" w:rsidRPr="00DD1F63">
              <w:rPr>
                <w:rFonts w:ascii="Times New Roman" w:hAnsi="Times New Roman" w:cs="Times New Roman"/>
                <w:b/>
                <w:sz w:val="21"/>
                <w:szCs w:val="21"/>
                <w:vertAlign w:val="superscript"/>
              </w:rPr>
              <w:t>a</w:t>
            </w:r>
            <w:proofErr w:type="spellEnd"/>
            <w:r w:rsidR="00CA72FF" w:rsidRPr="00DD1F63">
              <w:rPr>
                <w:rFonts w:ascii="Times New Roman" w:hAnsi="Times New Roman" w:cs="Times New Roman"/>
                <w:b/>
                <w:sz w:val="21"/>
                <w:szCs w:val="21"/>
              </w:rPr>
              <w:t xml:space="preserve"> </w:t>
            </w:r>
            <w:r w:rsidR="00CA72FF" w:rsidRPr="00DD1F63">
              <w:rPr>
                <w:rFonts w:ascii="Times New Roman" w:hAnsi="Times New Roman" w:cs="Times New Roman"/>
                <w:b/>
                <w:sz w:val="21"/>
                <w:szCs w:val="21"/>
              </w:rPr>
              <w:tab/>
              <w:t>p-</w:t>
            </w:r>
            <w:proofErr w:type="spellStart"/>
            <w:r w:rsidR="00CA72FF" w:rsidRPr="00DD1F63">
              <w:rPr>
                <w:rFonts w:ascii="Times New Roman" w:hAnsi="Times New Roman" w:cs="Times New Roman"/>
                <w:b/>
                <w:sz w:val="21"/>
                <w:szCs w:val="21"/>
              </w:rPr>
              <w:t>value</w:t>
            </w:r>
            <w:r w:rsidR="00CA72FF" w:rsidRPr="00DD1F63">
              <w:rPr>
                <w:rFonts w:ascii="Times New Roman" w:hAnsi="Times New Roman" w:cs="Times New Roman"/>
                <w:b/>
                <w:sz w:val="21"/>
                <w:szCs w:val="21"/>
                <w:vertAlign w:val="superscript"/>
              </w:rPr>
              <w:t>b</w:t>
            </w:r>
            <w:proofErr w:type="spellEnd"/>
            <w:r w:rsidR="00CA72FF" w:rsidRPr="00DD1F63">
              <w:rPr>
                <w:rFonts w:ascii="Times New Roman" w:hAnsi="Times New Roman" w:cs="Times New Roman"/>
                <w:b/>
                <w:sz w:val="21"/>
                <w:szCs w:val="21"/>
              </w:rPr>
              <w:t xml:space="preserve"> </w:t>
            </w:r>
          </w:p>
        </w:tc>
      </w:tr>
      <w:tr w:rsidR="006B7C8E" w:rsidRPr="00DD1F63" w14:paraId="2328E81E" w14:textId="77777777" w:rsidTr="00127F14">
        <w:trPr>
          <w:trHeight w:val="1112"/>
        </w:trPr>
        <w:tc>
          <w:tcPr>
            <w:tcW w:w="9213" w:type="dxa"/>
            <w:tcBorders>
              <w:top w:val="single" w:sz="4" w:space="0" w:color="000000"/>
              <w:left w:val="single" w:sz="4" w:space="0" w:color="000000"/>
              <w:bottom w:val="single" w:sz="4" w:space="0" w:color="000000"/>
              <w:right w:val="single" w:sz="4" w:space="0" w:color="000000"/>
            </w:tcBorders>
          </w:tcPr>
          <w:p w14:paraId="7CC03B74" w14:textId="77777777" w:rsidR="006B7C8E" w:rsidRPr="00DD1F63" w:rsidRDefault="00CA72FF" w:rsidP="00377A09">
            <w:pPr>
              <w:tabs>
                <w:tab w:val="center" w:pos="2240"/>
                <w:tab w:val="center" w:pos="3682"/>
                <w:tab w:val="center" w:pos="5276"/>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ACR20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75B5D370" w14:textId="77777777" w:rsidR="006B7C8E" w:rsidRPr="00DD1F63" w:rsidRDefault="00CA72FF" w:rsidP="00377A09">
            <w:pPr>
              <w:tabs>
                <w:tab w:val="center" w:pos="71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26 </w:t>
            </w:r>
            <w:r w:rsidRPr="00DD1F63">
              <w:rPr>
                <w:rFonts w:ascii="Times New Roman" w:hAnsi="Times New Roman" w:cs="Times New Roman"/>
                <w:sz w:val="21"/>
                <w:szCs w:val="21"/>
              </w:rPr>
              <w:tab/>
              <w:t xml:space="preserve">158 (61.5) </w:t>
            </w:r>
            <w:r w:rsidRPr="00DD1F63">
              <w:rPr>
                <w:rFonts w:ascii="Times New Roman" w:hAnsi="Times New Roman" w:cs="Times New Roman"/>
                <w:sz w:val="21"/>
                <w:szCs w:val="21"/>
              </w:rPr>
              <w:tab/>
              <w:t xml:space="preserve">146 (53.3) </w:t>
            </w:r>
            <w:r w:rsidRPr="00DD1F63">
              <w:rPr>
                <w:rFonts w:ascii="Times New Roman" w:hAnsi="Times New Roman" w:cs="Times New Roman"/>
                <w:sz w:val="21"/>
                <w:szCs w:val="21"/>
              </w:rPr>
              <w:tab/>
              <w:t xml:space="preserve">184 (68.7) </w:t>
            </w:r>
            <w:r w:rsidRPr="00DD1F63">
              <w:rPr>
                <w:rFonts w:ascii="Times New Roman" w:hAnsi="Times New Roman" w:cs="Times New Roman"/>
                <w:sz w:val="21"/>
                <w:szCs w:val="21"/>
              </w:rPr>
              <w:tab/>
              <w:t xml:space="preserve">0.084 </w:t>
            </w:r>
            <w:r w:rsidRPr="00DD1F63">
              <w:rPr>
                <w:rFonts w:ascii="Times New Roman" w:hAnsi="Times New Roman" w:cs="Times New Roman"/>
                <w:sz w:val="21"/>
                <w:szCs w:val="21"/>
              </w:rPr>
              <w:tab/>
              <w:t xml:space="preserve">&lt; 0.001 </w:t>
            </w:r>
          </w:p>
          <w:p w14:paraId="5B7D6B18" w14:textId="77777777" w:rsidR="006B7C8E" w:rsidRPr="00DD1F63" w:rsidRDefault="00CA72FF" w:rsidP="00377A09">
            <w:pPr>
              <w:tabs>
                <w:tab w:val="center" w:pos="71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161 (62.6) </w:t>
            </w:r>
            <w:r w:rsidRPr="00DD1F63">
              <w:rPr>
                <w:rFonts w:ascii="Times New Roman" w:hAnsi="Times New Roman" w:cs="Times New Roman"/>
                <w:sz w:val="21"/>
                <w:szCs w:val="21"/>
              </w:rPr>
              <w:tab/>
              <w:t xml:space="preserve">149 (54.4) </w:t>
            </w:r>
            <w:r w:rsidRPr="00DD1F63">
              <w:rPr>
                <w:rFonts w:ascii="Times New Roman" w:hAnsi="Times New Roman" w:cs="Times New Roman"/>
                <w:sz w:val="21"/>
                <w:szCs w:val="21"/>
              </w:rPr>
              <w:tab/>
              <w:t xml:space="preserve">195 (72.8) </w:t>
            </w:r>
            <w:r w:rsidRPr="00DD1F63">
              <w:rPr>
                <w:rFonts w:ascii="Times New Roman" w:hAnsi="Times New Roman" w:cs="Times New Roman"/>
                <w:sz w:val="21"/>
                <w:szCs w:val="21"/>
              </w:rPr>
              <w:tab/>
              <w:t xml:space="preserve">0.013 </w:t>
            </w:r>
            <w:r w:rsidRPr="00DD1F63">
              <w:rPr>
                <w:rFonts w:ascii="Times New Roman" w:hAnsi="Times New Roman" w:cs="Times New Roman"/>
                <w:sz w:val="21"/>
                <w:szCs w:val="21"/>
              </w:rPr>
              <w:tab/>
              <w:t xml:space="preserve">&lt; 0.001 </w:t>
            </w:r>
          </w:p>
          <w:p w14:paraId="758257D9" w14:textId="77777777" w:rsidR="006B7C8E" w:rsidRPr="00DD1F63" w:rsidRDefault="00CA72FF" w:rsidP="00377A09">
            <w:pPr>
              <w:tabs>
                <w:tab w:val="center" w:pos="71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76 </w:t>
            </w:r>
            <w:r w:rsidRPr="00DD1F63">
              <w:rPr>
                <w:rFonts w:ascii="Times New Roman" w:hAnsi="Times New Roman" w:cs="Times New Roman"/>
                <w:sz w:val="21"/>
                <w:szCs w:val="21"/>
              </w:rPr>
              <w:tab/>
              <w:t xml:space="preserve">154 (59.9) </w:t>
            </w:r>
            <w:r w:rsidRPr="00DD1F63">
              <w:rPr>
                <w:rFonts w:ascii="Times New Roman" w:hAnsi="Times New Roman" w:cs="Times New Roman"/>
                <w:sz w:val="21"/>
                <w:szCs w:val="21"/>
              </w:rPr>
              <w:tab/>
              <w:t xml:space="preserve">137 (50.0) </w:t>
            </w:r>
            <w:r w:rsidRPr="00DD1F63">
              <w:rPr>
                <w:rFonts w:ascii="Times New Roman" w:hAnsi="Times New Roman" w:cs="Times New Roman"/>
                <w:sz w:val="21"/>
                <w:szCs w:val="21"/>
              </w:rPr>
              <w:tab/>
              <w:t xml:space="preserve">185 (69.0) </w:t>
            </w:r>
            <w:r w:rsidRPr="00DD1F63">
              <w:rPr>
                <w:rFonts w:ascii="Times New Roman" w:hAnsi="Times New Roman" w:cs="Times New Roman"/>
                <w:sz w:val="21"/>
                <w:szCs w:val="21"/>
              </w:rPr>
              <w:tab/>
              <w:t xml:space="preserve">0.029 </w:t>
            </w:r>
            <w:r w:rsidRPr="00DD1F63">
              <w:rPr>
                <w:rFonts w:ascii="Times New Roman" w:hAnsi="Times New Roman" w:cs="Times New Roman"/>
                <w:sz w:val="21"/>
                <w:szCs w:val="21"/>
              </w:rPr>
              <w:tab/>
              <w:t xml:space="preserve">&lt; 0.001 </w:t>
            </w:r>
          </w:p>
          <w:p w14:paraId="247121C2" w14:textId="77777777" w:rsidR="006B7C8E" w:rsidRPr="00DD1F63" w:rsidRDefault="00CA72FF" w:rsidP="00377A09">
            <w:pPr>
              <w:tabs>
                <w:tab w:val="center" w:pos="76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144 (56.0) </w:t>
            </w:r>
            <w:r w:rsidRPr="00DD1F63">
              <w:rPr>
                <w:rFonts w:ascii="Times New Roman" w:hAnsi="Times New Roman" w:cs="Times New Roman"/>
                <w:sz w:val="21"/>
                <w:szCs w:val="21"/>
              </w:rPr>
              <w:tab/>
              <w:t xml:space="preserve">135 (49.3) </w:t>
            </w:r>
            <w:r w:rsidRPr="00DD1F63">
              <w:rPr>
                <w:rFonts w:ascii="Times New Roman" w:hAnsi="Times New Roman" w:cs="Times New Roman"/>
                <w:sz w:val="21"/>
                <w:szCs w:val="21"/>
              </w:rPr>
              <w:tab/>
              <w:t xml:space="preserve">186 (69.4) </w:t>
            </w:r>
            <w:r w:rsidRPr="00DD1F63">
              <w:rPr>
                <w:rFonts w:ascii="Times New Roman" w:hAnsi="Times New Roman" w:cs="Times New Roman"/>
                <w:sz w:val="21"/>
                <w:szCs w:val="21"/>
              </w:rPr>
              <w:tab/>
              <w:t xml:space="preserve">0.002 </w:t>
            </w:r>
            <w:r w:rsidRPr="00DD1F63">
              <w:rPr>
                <w:rFonts w:ascii="Times New Roman" w:hAnsi="Times New Roman" w:cs="Times New Roman"/>
                <w:sz w:val="21"/>
                <w:szCs w:val="21"/>
              </w:rPr>
              <w:tab/>
              <w:t xml:space="preserve">&lt; 0.001 </w:t>
            </w:r>
          </w:p>
        </w:tc>
      </w:tr>
      <w:tr w:rsidR="006B7C8E" w:rsidRPr="00DD1F63" w14:paraId="6D78EEE2" w14:textId="77777777" w:rsidTr="00127F14">
        <w:trPr>
          <w:trHeight w:val="889"/>
        </w:trPr>
        <w:tc>
          <w:tcPr>
            <w:tcW w:w="9213" w:type="dxa"/>
            <w:tcBorders>
              <w:top w:val="single" w:sz="4" w:space="0" w:color="000000"/>
              <w:left w:val="single" w:sz="4" w:space="0" w:color="000000"/>
              <w:bottom w:val="single" w:sz="4" w:space="0" w:color="000000"/>
              <w:right w:val="single" w:sz="4" w:space="0" w:color="000000"/>
            </w:tcBorders>
          </w:tcPr>
          <w:p w14:paraId="735D9C2A" w14:textId="77777777" w:rsidR="006B7C8E" w:rsidRPr="00DD1F63" w:rsidRDefault="00CA72FF" w:rsidP="00377A09">
            <w:pPr>
              <w:tabs>
                <w:tab w:val="center" w:pos="2240"/>
                <w:tab w:val="center" w:pos="3682"/>
                <w:tab w:val="center" w:pos="5276"/>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ACR50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693CEC38" w14:textId="77777777" w:rsidR="006B7C8E" w:rsidRPr="00DD1F63" w:rsidRDefault="00CA72FF" w:rsidP="00377A09">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26 </w:t>
            </w:r>
            <w:r w:rsidRPr="00DD1F63">
              <w:rPr>
                <w:rFonts w:ascii="Times New Roman" w:hAnsi="Times New Roman" w:cs="Times New Roman"/>
                <w:sz w:val="21"/>
                <w:szCs w:val="21"/>
              </w:rPr>
              <w:tab/>
              <w:t xml:space="preserve">104 (40.5) </w:t>
            </w:r>
            <w:r w:rsidRPr="00DD1F63">
              <w:rPr>
                <w:rFonts w:ascii="Times New Roman" w:hAnsi="Times New Roman" w:cs="Times New Roman"/>
                <w:sz w:val="21"/>
                <w:szCs w:val="21"/>
              </w:rPr>
              <w:tab/>
              <w:t xml:space="preserve">96 (35.0) </w:t>
            </w:r>
            <w:r w:rsidRPr="00DD1F63">
              <w:rPr>
                <w:rFonts w:ascii="Times New Roman" w:hAnsi="Times New Roman" w:cs="Times New Roman"/>
                <w:sz w:val="21"/>
                <w:szCs w:val="21"/>
              </w:rPr>
              <w:tab/>
              <w:t xml:space="preserve">157 (58.6)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613F0F03" w14:textId="77777777" w:rsidR="006B7C8E" w:rsidRPr="00DD1F63" w:rsidRDefault="00CA72FF" w:rsidP="00377A09">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118 (45.9) </w:t>
            </w:r>
            <w:r w:rsidRPr="00DD1F63">
              <w:rPr>
                <w:rFonts w:ascii="Times New Roman" w:hAnsi="Times New Roman" w:cs="Times New Roman"/>
                <w:sz w:val="21"/>
                <w:szCs w:val="21"/>
              </w:rPr>
              <w:tab/>
              <w:t xml:space="preserve">113 (41.2) </w:t>
            </w:r>
            <w:r w:rsidRPr="00DD1F63">
              <w:rPr>
                <w:rFonts w:ascii="Times New Roman" w:hAnsi="Times New Roman" w:cs="Times New Roman"/>
                <w:sz w:val="21"/>
                <w:szCs w:val="21"/>
              </w:rPr>
              <w:tab/>
              <w:t xml:space="preserve">165 (61.6)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4B2FCACB" w14:textId="77777777" w:rsidR="006B7C8E" w:rsidRPr="00DD1F63" w:rsidRDefault="00CA72FF" w:rsidP="00377A09">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76 </w:t>
            </w:r>
            <w:r w:rsidRPr="00DD1F63">
              <w:rPr>
                <w:rFonts w:ascii="Times New Roman" w:hAnsi="Times New Roman" w:cs="Times New Roman"/>
                <w:sz w:val="21"/>
                <w:szCs w:val="21"/>
              </w:rPr>
              <w:tab/>
              <w:t xml:space="preserve">114 (44.4) </w:t>
            </w:r>
            <w:r w:rsidRPr="00DD1F63">
              <w:rPr>
                <w:rFonts w:ascii="Times New Roman" w:hAnsi="Times New Roman" w:cs="Times New Roman"/>
                <w:sz w:val="21"/>
                <w:szCs w:val="21"/>
              </w:rPr>
              <w:tab/>
              <w:t xml:space="preserve">114 (41.6) </w:t>
            </w:r>
            <w:r w:rsidRPr="00DD1F63">
              <w:rPr>
                <w:rFonts w:ascii="Times New Roman" w:hAnsi="Times New Roman" w:cs="Times New Roman"/>
                <w:sz w:val="21"/>
                <w:szCs w:val="21"/>
              </w:rPr>
              <w:tab/>
              <w:t xml:space="preserve">161 (60.1)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0383AC62" w14:textId="77777777" w:rsidR="006B7C8E" w:rsidRPr="00DD1F63" w:rsidRDefault="00CA72FF" w:rsidP="00377A09">
            <w:pPr>
              <w:tabs>
                <w:tab w:val="center" w:pos="76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110 (42.8) </w:t>
            </w:r>
            <w:r w:rsidRPr="00DD1F63">
              <w:rPr>
                <w:rFonts w:ascii="Times New Roman" w:hAnsi="Times New Roman" w:cs="Times New Roman"/>
                <w:sz w:val="21"/>
                <w:szCs w:val="21"/>
              </w:rPr>
              <w:tab/>
              <w:t xml:space="preserve">101 (36.9) </w:t>
            </w:r>
            <w:r w:rsidRPr="00DD1F63">
              <w:rPr>
                <w:rFonts w:ascii="Times New Roman" w:hAnsi="Times New Roman" w:cs="Times New Roman"/>
                <w:sz w:val="21"/>
                <w:szCs w:val="21"/>
              </w:rPr>
              <w:tab/>
              <w:t xml:space="preserve">158 (59.0)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tc>
      </w:tr>
      <w:tr w:rsidR="006B7C8E" w:rsidRPr="00DD1F63" w14:paraId="60032907" w14:textId="77777777" w:rsidTr="00127F14">
        <w:trPr>
          <w:trHeight w:val="1250"/>
        </w:trPr>
        <w:tc>
          <w:tcPr>
            <w:tcW w:w="9213" w:type="dxa"/>
            <w:tcBorders>
              <w:top w:val="single" w:sz="4" w:space="0" w:color="000000"/>
              <w:left w:val="single" w:sz="4" w:space="0" w:color="000000"/>
              <w:bottom w:val="single" w:sz="4" w:space="0" w:color="000000"/>
              <w:right w:val="single" w:sz="4" w:space="0" w:color="000000"/>
            </w:tcBorders>
          </w:tcPr>
          <w:p w14:paraId="537158A6" w14:textId="77777777" w:rsidR="006B7C8E" w:rsidRPr="00DD1F63" w:rsidRDefault="00CA72FF" w:rsidP="00377A09">
            <w:pPr>
              <w:tabs>
                <w:tab w:val="center" w:pos="2240"/>
                <w:tab w:val="center" w:pos="3682"/>
                <w:tab w:val="center" w:pos="5276"/>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ACR70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3E62BE95" w14:textId="77777777" w:rsidR="006B7C8E" w:rsidRPr="00DD1F63" w:rsidRDefault="00CA72FF" w:rsidP="00377A09">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26 </w:t>
            </w:r>
            <w:r w:rsidRPr="00DD1F63">
              <w:rPr>
                <w:rFonts w:ascii="Times New Roman" w:hAnsi="Times New Roman" w:cs="Times New Roman"/>
                <w:sz w:val="21"/>
                <w:szCs w:val="21"/>
              </w:rPr>
              <w:tab/>
              <w:t xml:space="preserve">57 (22.2) </w:t>
            </w:r>
            <w:r w:rsidRPr="00DD1F63">
              <w:rPr>
                <w:rFonts w:ascii="Times New Roman" w:hAnsi="Times New Roman" w:cs="Times New Roman"/>
                <w:sz w:val="21"/>
                <w:szCs w:val="21"/>
              </w:rPr>
              <w:tab/>
              <w:t xml:space="preserve">54 (19.7) </w:t>
            </w:r>
            <w:r w:rsidRPr="00DD1F63">
              <w:rPr>
                <w:rFonts w:ascii="Times New Roman" w:hAnsi="Times New Roman" w:cs="Times New Roman"/>
                <w:sz w:val="21"/>
                <w:szCs w:val="21"/>
              </w:rPr>
              <w:tab/>
              <w:t xml:space="preserve">114 (42.5)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6D3631A5" w14:textId="77777777" w:rsidR="006B7C8E" w:rsidRPr="00DD1F63" w:rsidRDefault="00CA72FF" w:rsidP="00377A09">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70 (27.2) </w:t>
            </w:r>
            <w:r w:rsidRPr="00DD1F63">
              <w:rPr>
                <w:rFonts w:ascii="Times New Roman" w:hAnsi="Times New Roman" w:cs="Times New Roman"/>
                <w:sz w:val="21"/>
                <w:szCs w:val="21"/>
              </w:rPr>
              <w:tab/>
              <w:t xml:space="preserve">71 (25.9) </w:t>
            </w:r>
            <w:r w:rsidRPr="00DD1F63">
              <w:rPr>
                <w:rFonts w:ascii="Times New Roman" w:hAnsi="Times New Roman" w:cs="Times New Roman"/>
                <w:sz w:val="21"/>
                <w:szCs w:val="21"/>
              </w:rPr>
              <w:tab/>
              <w:t xml:space="preserve">122 (45.5)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531B66C6" w14:textId="77777777" w:rsidR="006B7C8E" w:rsidRPr="00DD1F63" w:rsidRDefault="00CA72FF" w:rsidP="00377A09">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76 </w:t>
            </w:r>
            <w:r w:rsidRPr="00DD1F63">
              <w:rPr>
                <w:rFonts w:ascii="Times New Roman" w:hAnsi="Times New Roman" w:cs="Times New Roman"/>
                <w:sz w:val="21"/>
                <w:szCs w:val="21"/>
              </w:rPr>
              <w:tab/>
              <w:t xml:space="preserve">75 (29.2) </w:t>
            </w:r>
            <w:r w:rsidRPr="00DD1F63">
              <w:rPr>
                <w:rFonts w:ascii="Times New Roman" w:hAnsi="Times New Roman" w:cs="Times New Roman"/>
                <w:sz w:val="21"/>
                <w:szCs w:val="21"/>
              </w:rPr>
              <w:tab/>
              <w:t xml:space="preserve">79 (28.8) </w:t>
            </w:r>
            <w:r w:rsidRPr="00DD1F63">
              <w:rPr>
                <w:rFonts w:ascii="Times New Roman" w:hAnsi="Times New Roman" w:cs="Times New Roman"/>
                <w:sz w:val="21"/>
                <w:szCs w:val="21"/>
              </w:rPr>
              <w:tab/>
              <w:t xml:space="preserve">127 (47.4)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5D42A00E" w14:textId="77777777" w:rsidR="006B7C8E" w:rsidRPr="00DD1F63" w:rsidRDefault="00CA72FF" w:rsidP="00377A09">
            <w:pPr>
              <w:tabs>
                <w:tab w:val="center" w:pos="76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73 (28.4) </w:t>
            </w:r>
            <w:r w:rsidRPr="00DD1F63">
              <w:rPr>
                <w:rFonts w:ascii="Times New Roman" w:hAnsi="Times New Roman" w:cs="Times New Roman"/>
                <w:sz w:val="21"/>
                <w:szCs w:val="21"/>
              </w:rPr>
              <w:tab/>
              <w:t xml:space="preserve">77 (28.1) </w:t>
            </w:r>
            <w:r w:rsidRPr="00DD1F63">
              <w:rPr>
                <w:rFonts w:ascii="Times New Roman" w:hAnsi="Times New Roman" w:cs="Times New Roman"/>
                <w:sz w:val="21"/>
                <w:szCs w:val="21"/>
              </w:rPr>
              <w:tab/>
              <w:t xml:space="preserve">125 (46.6)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tc>
      </w:tr>
    </w:tbl>
    <w:p w14:paraId="502E67B3" w14:textId="1D50C22A" w:rsidR="006B7C8E" w:rsidRPr="00DD1F63" w:rsidRDefault="00CA72FF" w:rsidP="00377A09">
      <w:pPr>
        <w:tabs>
          <w:tab w:val="center" w:pos="2829"/>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Note: Subjects with missing values were counted as non-responders. </w:t>
      </w:r>
    </w:p>
    <w:p w14:paraId="1F4D2E0C" w14:textId="77777777" w:rsidR="006B7C8E" w:rsidRPr="00DD1F63" w:rsidRDefault="00CA72FF" w:rsidP="00377A09">
      <w:pPr>
        <w:numPr>
          <w:ilvl w:val="0"/>
          <w:numId w:val="3"/>
        </w:numPr>
        <w:spacing w:after="0" w:line="240" w:lineRule="auto"/>
        <w:ind w:left="851" w:right="49" w:hanging="360"/>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MTX monotherapy and adalimumab + MTX combination therapy using Pearson's chi-square test. </w:t>
      </w:r>
    </w:p>
    <w:p w14:paraId="6EEC4B0A" w14:textId="77777777" w:rsidR="006B7C8E" w:rsidRPr="00DD1F63" w:rsidRDefault="00CA72FF" w:rsidP="00377A09">
      <w:pPr>
        <w:numPr>
          <w:ilvl w:val="0"/>
          <w:numId w:val="3"/>
        </w:numPr>
        <w:spacing w:after="0" w:line="240" w:lineRule="auto"/>
        <w:ind w:left="851" w:right="191" w:hanging="360"/>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adalimumab monotherapy and adalimumab + MTX combination therapy using Pearson's chi-square test. </w:t>
      </w:r>
    </w:p>
    <w:p w14:paraId="7A079FD0"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7DEE3114" w14:textId="7F37D1CA" w:rsidR="003812B9"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open-label extension for RA study V, ACR responses were maintained when followed for up to 10 years. However, no statistical hypothesis was tested in the OLE period. Of 542 patients who were randomised to </w:t>
      </w:r>
      <w:r w:rsidR="009B1276" w:rsidRPr="00DD1F63">
        <w:rPr>
          <w:rFonts w:ascii="Times New Roman" w:hAnsi="Times New Roman" w:cs="Times New Roman"/>
          <w:sz w:val="22"/>
        </w:rPr>
        <w:t>adalimumab</w:t>
      </w:r>
      <w:r w:rsidRPr="00DD1F63">
        <w:rPr>
          <w:rFonts w:ascii="Times New Roman" w:hAnsi="Times New Roman" w:cs="Times New Roman"/>
          <w:sz w:val="22"/>
        </w:rPr>
        <w:t xml:space="preserve"> 40</w:t>
      </w:r>
      <w:r w:rsidR="00780AF2">
        <w:rPr>
          <w:rFonts w:ascii="Times New Roman" w:hAnsi="Times New Roman" w:cs="Times New Roman"/>
          <w:sz w:val="22"/>
        </w:rPr>
        <w:t xml:space="preserve"> </w:t>
      </w:r>
      <w:r w:rsidRPr="00DD1F63">
        <w:rPr>
          <w:rFonts w:ascii="Times New Roman" w:hAnsi="Times New Roman" w:cs="Times New Roman"/>
          <w:sz w:val="22"/>
        </w:rPr>
        <w:t xml:space="preserve">mg fortnightly, 170 patients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w:t>
      </w:r>
      <w:r w:rsidR="009B1276" w:rsidRPr="00DD1F63">
        <w:rPr>
          <w:rFonts w:ascii="Times New Roman" w:hAnsi="Times New Roman" w:cs="Times New Roman"/>
          <w:sz w:val="22"/>
        </w:rPr>
        <w:t>adalimumab</w:t>
      </w:r>
      <w:r w:rsidRPr="00DD1F63">
        <w:rPr>
          <w:rFonts w:ascii="Times New Roman" w:hAnsi="Times New Roman" w:cs="Times New Roman"/>
          <w:sz w:val="22"/>
        </w:rPr>
        <w:t xml:space="preserve"> 40</w:t>
      </w:r>
      <w:r w:rsidR="00780AF2">
        <w:rPr>
          <w:rFonts w:ascii="Times New Roman" w:hAnsi="Times New Roman" w:cs="Times New Roman"/>
          <w:sz w:val="22"/>
        </w:rPr>
        <w:t xml:space="preserve"> </w:t>
      </w:r>
      <w:r w:rsidRPr="00DD1F63">
        <w:rPr>
          <w:rFonts w:ascii="Times New Roman" w:hAnsi="Times New Roman" w:cs="Times New Roman"/>
          <w:sz w:val="22"/>
        </w:rPr>
        <w:t xml:space="preserve">mg fortnightly for 10 years. Among those, 154 patients (90.6%) had ACR20 responses; 127 patients (74.7%) had ACR50 </w:t>
      </w:r>
      <w:proofErr w:type="gramStart"/>
      <w:r w:rsidRPr="00DD1F63">
        <w:rPr>
          <w:rFonts w:ascii="Times New Roman" w:hAnsi="Times New Roman" w:cs="Times New Roman"/>
          <w:sz w:val="22"/>
        </w:rPr>
        <w:t>responses</w:t>
      </w:r>
      <w:proofErr w:type="gramEnd"/>
      <w:r w:rsidRPr="00DD1F63">
        <w:rPr>
          <w:rFonts w:ascii="Times New Roman" w:hAnsi="Times New Roman" w:cs="Times New Roman"/>
          <w:sz w:val="22"/>
        </w:rPr>
        <w:t xml:space="preserve"> and 102 patients (60.0%) had ACR70 responses. </w:t>
      </w:r>
    </w:p>
    <w:p w14:paraId="4067312B" w14:textId="77777777" w:rsidR="00427999" w:rsidRPr="00DD1F63" w:rsidRDefault="00427999" w:rsidP="00377A09">
      <w:pPr>
        <w:spacing w:after="0" w:line="240" w:lineRule="auto"/>
        <w:ind w:left="426" w:right="49"/>
        <w:jc w:val="left"/>
        <w:rPr>
          <w:rFonts w:ascii="Times New Roman" w:hAnsi="Times New Roman" w:cs="Times New Roman"/>
          <w:sz w:val="22"/>
        </w:rPr>
      </w:pPr>
    </w:p>
    <w:p w14:paraId="179B021C" w14:textId="65C63DE4" w:rsidR="006B7C8E" w:rsidRPr="00DD1F63" w:rsidRDefault="00CA72FF" w:rsidP="00377A09">
      <w:pPr>
        <w:spacing w:after="0" w:line="240" w:lineRule="auto"/>
        <w:ind w:left="426" w:right="49" w:hanging="11"/>
        <w:jc w:val="left"/>
        <w:rPr>
          <w:rFonts w:ascii="Times New Roman" w:hAnsi="Times New Roman" w:cs="Times New Roman"/>
          <w:sz w:val="22"/>
        </w:rPr>
      </w:pPr>
      <w:r w:rsidRPr="00DD1F63">
        <w:rPr>
          <w:rFonts w:ascii="Times New Roman" w:hAnsi="Times New Roman" w:cs="Times New Roman"/>
          <w:sz w:val="22"/>
        </w:rPr>
        <w:t xml:space="preserve">In RA Study V, </w:t>
      </w:r>
      <w:r w:rsidR="00BA2F2B" w:rsidRPr="00DD1F63">
        <w:rPr>
          <w:rFonts w:ascii="Times New Roman" w:hAnsi="Times New Roman" w:cs="Times New Roman"/>
          <w:sz w:val="22"/>
        </w:rPr>
        <w:t>adalimumab</w:t>
      </w:r>
      <w:r w:rsidRPr="00DD1F63">
        <w:rPr>
          <w:rFonts w:ascii="Times New Roman" w:hAnsi="Times New Roman" w:cs="Times New Roman"/>
          <w:sz w:val="22"/>
        </w:rPr>
        <w:t xml:space="preserve">/methotrexate combination therapy was superior to methotrexate monotherapy in achieving clinical remission defined as Disease Activity Score (DAS28) (CRP) &lt;2.6 at Week 52 (see Table </w:t>
      </w:r>
      <w:r w:rsidR="00127F14" w:rsidRPr="00DD1F63">
        <w:rPr>
          <w:rFonts w:ascii="Times New Roman" w:hAnsi="Times New Roman" w:cs="Times New Roman"/>
          <w:sz w:val="22"/>
        </w:rPr>
        <w:t>8</w:t>
      </w:r>
      <w:r w:rsidRPr="00DD1F63">
        <w:rPr>
          <w:rFonts w:ascii="Times New Roman" w:hAnsi="Times New Roman" w:cs="Times New Roman"/>
          <w:sz w:val="22"/>
        </w:rPr>
        <w:t xml:space="preserve">). </w:t>
      </w:r>
    </w:p>
    <w:p w14:paraId="7C45E600" w14:textId="77777777" w:rsidR="003812B9" w:rsidRPr="00DD1F63" w:rsidRDefault="003812B9" w:rsidP="00377A09">
      <w:pPr>
        <w:spacing w:after="0" w:line="240" w:lineRule="auto"/>
        <w:ind w:left="426" w:right="374" w:hanging="11"/>
        <w:jc w:val="left"/>
        <w:rPr>
          <w:rFonts w:ascii="Times New Roman" w:hAnsi="Times New Roman" w:cs="Times New Roman"/>
          <w:sz w:val="22"/>
        </w:rPr>
      </w:pPr>
    </w:p>
    <w:p w14:paraId="30ACBB99" w14:textId="4379EE01" w:rsidR="006B7C8E" w:rsidRPr="00DD1F63" w:rsidRDefault="00CA72FF" w:rsidP="00377A09">
      <w:pPr>
        <w:spacing w:after="0" w:line="240" w:lineRule="auto"/>
        <w:ind w:left="426" w:right="49"/>
        <w:jc w:val="left"/>
        <w:rPr>
          <w:rFonts w:ascii="Times New Roman" w:hAnsi="Times New Roman" w:cs="Times New Roman"/>
          <w:spacing w:val="2"/>
          <w:sz w:val="22"/>
        </w:rPr>
      </w:pPr>
      <w:r w:rsidRPr="00DD1F63">
        <w:rPr>
          <w:rFonts w:ascii="Times New Roman" w:hAnsi="Times New Roman" w:cs="Times New Roman"/>
          <w:spacing w:val="-2"/>
          <w:sz w:val="22"/>
        </w:rPr>
        <w:t xml:space="preserve">Of the 342 subjects originally randomised to </w:t>
      </w:r>
      <w:r w:rsidR="00BA2F2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monotherapy or </w:t>
      </w:r>
      <w:r w:rsidR="00BA2F2B" w:rsidRPr="00DD1F63">
        <w:rPr>
          <w:rFonts w:ascii="Times New Roman" w:hAnsi="Times New Roman" w:cs="Times New Roman"/>
          <w:spacing w:val="-2"/>
          <w:sz w:val="22"/>
        </w:rPr>
        <w:t>adalimumab</w:t>
      </w:r>
      <w:r w:rsidRPr="00DD1F63">
        <w:rPr>
          <w:rFonts w:ascii="Times New Roman" w:hAnsi="Times New Roman" w:cs="Times New Roman"/>
          <w:spacing w:val="-2"/>
          <w:sz w:val="22"/>
        </w:rPr>
        <w:t>/methotrexate combination</w:t>
      </w:r>
      <w:r w:rsidRPr="00DD1F63">
        <w:rPr>
          <w:rFonts w:ascii="Times New Roman" w:hAnsi="Times New Roman" w:cs="Times New Roman"/>
          <w:spacing w:val="2"/>
          <w:sz w:val="22"/>
        </w:rPr>
        <w:t xml:space="preserve"> therapy who entered the open-label extension study, 171 subjects completed 10 years </w:t>
      </w:r>
      <w:r w:rsidRPr="00DD1F63">
        <w:rPr>
          <w:rFonts w:ascii="Times New Roman" w:hAnsi="Times New Roman" w:cs="Times New Roman"/>
          <w:spacing w:val="2"/>
          <w:sz w:val="22"/>
        </w:rPr>
        <w:lastRenderedPageBreak/>
        <w:t xml:space="preserve">of </w:t>
      </w:r>
      <w:r w:rsidR="00BA2F2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treatment. Among those, 109 subjects (63.7%) were reported to be in remission at 10 years. </w:t>
      </w:r>
    </w:p>
    <w:p w14:paraId="25210B31" w14:textId="77777777" w:rsidR="003812B9" w:rsidRPr="00DD1F63" w:rsidRDefault="003812B9" w:rsidP="00377A09">
      <w:pPr>
        <w:spacing w:after="0" w:line="240" w:lineRule="auto"/>
        <w:ind w:left="426" w:right="375"/>
        <w:jc w:val="left"/>
        <w:rPr>
          <w:rFonts w:ascii="Times New Roman" w:hAnsi="Times New Roman" w:cs="Times New Roman"/>
        </w:rPr>
      </w:pPr>
    </w:p>
    <w:tbl>
      <w:tblPr>
        <w:tblStyle w:val="TableGrid1"/>
        <w:tblW w:w="8444" w:type="dxa"/>
        <w:tblInd w:w="421" w:type="dxa"/>
        <w:tblCellMar>
          <w:left w:w="57" w:type="dxa"/>
          <w:right w:w="57" w:type="dxa"/>
        </w:tblCellMar>
        <w:tblLook w:val="04A0" w:firstRow="1" w:lastRow="0" w:firstColumn="1" w:lastColumn="0" w:noHBand="0" w:noVBand="1"/>
      </w:tblPr>
      <w:tblGrid>
        <w:gridCol w:w="8444"/>
      </w:tblGrid>
      <w:tr w:rsidR="006B7C8E" w:rsidRPr="00DD1F63" w14:paraId="5248E5A0" w14:textId="77777777" w:rsidTr="00427999">
        <w:trPr>
          <w:trHeight w:val="20"/>
        </w:trPr>
        <w:tc>
          <w:tcPr>
            <w:tcW w:w="8444" w:type="dxa"/>
            <w:tcBorders>
              <w:top w:val="single" w:sz="4" w:space="0" w:color="000000"/>
              <w:left w:val="single" w:sz="4" w:space="0" w:color="000000"/>
              <w:bottom w:val="single" w:sz="4" w:space="0" w:color="000000"/>
              <w:right w:val="single" w:sz="4" w:space="0" w:color="000000"/>
            </w:tcBorders>
          </w:tcPr>
          <w:p w14:paraId="06ADBD6E" w14:textId="014144F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8</w:t>
            </w:r>
            <w:r w:rsidRPr="00DD1F63">
              <w:rPr>
                <w:rFonts w:ascii="Times New Roman" w:hAnsi="Times New Roman" w:cs="Times New Roman"/>
                <w:b/>
                <w:sz w:val="21"/>
                <w:szCs w:val="21"/>
              </w:rPr>
              <w:t xml:space="preserve">: Subjects in </w:t>
            </w:r>
            <w:r w:rsidR="00BA2F2B"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emission as </w:t>
            </w:r>
            <w:r w:rsidR="00BA2F2B" w:rsidRPr="00DD1F63">
              <w:rPr>
                <w:rFonts w:ascii="Times New Roman" w:hAnsi="Times New Roman" w:cs="Times New Roman"/>
                <w:b/>
                <w:sz w:val="21"/>
                <w:szCs w:val="21"/>
              </w:rPr>
              <w:t>d</w:t>
            </w:r>
            <w:r w:rsidRPr="00DD1F63">
              <w:rPr>
                <w:rFonts w:ascii="Times New Roman" w:hAnsi="Times New Roman" w:cs="Times New Roman"/>
                <w:b/>
                <w:sz w:val="21"/>
                <w:szCs w:val="21"/>
              </w:rPr>
              <w:t>efined by DAS28 &lt; 2.6 at Week 52 (</w:t>
            </w:r>
            <w:r w:rsidR="00BA2F2B"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ll </w:t>
            </w:r>
            <w:r w:rsidR="00BA2F2B"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andomised </w:t>
            </w:r>
            <w:r w:rsidR="00BA2F2B" w:rsidRPr="00DD1F63">
              <w:rPr>
                <w:rFonts w:ascii="Times New Roman" w:hAnsi="Times New Roman" w:cs="Times New Roman"/>
                <w:b/>
                <w:sz w:val="21"/>
                <w:szCs w:val="21"/>
              </w:rPr>
              <w:t>s</w:t>
            </w:r>
            <w:r w:rsidRPr="00DD1F63">
              <w:rPr>
                <w:rFonts w:ascii="Times New Roman" w:hAnsi="Times New Roman" w:cs="Times New Roman"/>
                <w:b/>
                <w:sz w:val="21"/>
                <w:szCs w:val="21"/>
              </w:rPr>
              <w:t>ubjects)</w:t>
            </w:r>
            <w:r w:rsidR="00BA2F2B"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in RA Study V </w:t>
            </w:r>
          </w:p>
        </w:tc>
      </w:tr>
      <w:tr w:rsidR="006B7C8E" w:rsidRPr="00DD1F63" w14:paraId="5C2C9439" w14:textId="77777777" w:rsidTr="00427999">
        <w:trPr>
          <w:trHeight w:val="20"/>
        </w:trPr>
        <w:tc>
          <w:tcPr>
            <w:tcW w:w="8444" w:type="dxa"/>
            <w:tcBorders>
              <w:top w:val="single" w:sz="4" w:space="0" w:color="000000"/>
              <w:left w:val="single" w:sz="4" w:space="0" w:color="000000"/>
              <w:bottom w:val="single" w:sz="4" w:space="0" w:color="000000"/>
              <w:right w:val="single" w:sz="4" w:space="0" w:color="000000"/>
            </w:tcBorders>
          </w:tcPr>
          <w:p w14:paraId="519DFB99" w14:textId="77777777" w:rsidR="006B7C8E" w:rsidRPr="00DD1F63" w:rsidRDefault="00CA72FF" w:rsidP="00377A09">
            <w:pPr>
              <w:tabs>
                <w:tab w:val="center" w:pos="1902"/>
                <w:tab w:val="center" w:pos="3124"/>
                <w:tab w:val="center" w:pos="482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MTX </w:t>
            </w:r>
            <w:r w:rsidRPr="00DD1F63">
              <w:rPr>
                <w:rFonts w:ascii="Times New Roman" w:hAnsi="Times New Roman" w:cs="Times New Roman"/>
                <w:sz w:val="21"/>
                <w:szCs w:val="21"/>
              </w:rPr>
              <w:tab/>
              <w:t xml:space="preserve">Adalimumab </w:t>
            </w:r>
            <w:r w:rsidRPr="00DD1F63">
              <w:rPr>
                <w:rFonts w:ascii="Times New Roman" w:hAnsi="Times New Roman" w:cs="Times New Roman"/>
                <w:sz w:val="21"/>
                <w:szCs w:val="21"/>
              </w:rPr>
              <w:tab/>
            </w:r>
            <w:proofErr w:type="spellStart"/>
            <w:r w:rsidRPr="00DD1F63">
              <w:rPr>
                <w:rFonts w:ascii="Times New Roman" w:hAnsi="Times New Roman" w:cs="Times New Roman"/>
                <w:sz w:val="21"/>
                <w:szCs w:val="21"/>
              </w:rPr>
              <w:t>Adalimumab</w:t>
            </w:r>
            <w:proofErr w:type="spellEnd"/>
            <w:r w:rsidRPr="00DD1F63">
              <w:rPr>
                <w:rFonts w:ascii="Times New Roman" w:hAnsi="Times New Roman" w:cs="Times New Roman"/>
                <w:sz w:val="21"/>
                <w:szCs w:val="21"/>
              </w:rPr>
              <w:t xml:space="preserve"> + MTX </w:t>
            </w:r>
          </w:p>
          <w:p w14:paraId="34C9F992" w14:textId="77777777" w:rsidR="006B7C8E" w:rsidRPr="00DD1F63" w:rsidRDefault="00CA72FF" w:rsidP="00377A09">
            <w:pPr>
              <w:tabs>
                <w:tab w:val="center" w:pos="1900"/>
                <w:tab w:val="center" w:pos="3204"/>
                <w:tab w:val="center" w:pos="4786"/>
                <w:tab w:val="center" w:pos="6426"/>
                <w:tab w:val="center" w:pos="786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r w:rsidRPr="00DD1F63">
              <w:rPr>
                <w:rFonts w:ascii="Times New Roman" w:hAnsi="Times New Roman" w:cs="Times New Roman"/>
                <w:sz w:val="21"/>
                <w:szCs w:val="21"/>
              </w:rPr>
              <w:tab/>
              <w:t xml:space="preserve">N=257 </w:t>
            </w:r>
            <w:r w:rsidRPr="00DD1F63">
              <w:rPr>
                <w:rFonts w:ascii="Times New Roman" w:hAnsi="Times New Roman" w:cs="Times New Roman"/>
                <w:sz w:val="21"/>
                <w:szCs w:val="21"/>
              </w:rPr>
              <w:tab/>
              <w:t xml:space="preserve">N=274 </w:t>
            </w:r>
            <w:r w:rsidRPr="00DD1F63">
              <w:rPr>
                <w:rFonts w:ascii="Times New Roman" w:hAnsi="Times New Roman" w:cs="Times New Roman"/>
                <w:sz w:val="21"/>
                <w:szCs w:val="21"/>
              </w:rPr>
              <w:tab/>
              <w:t xml:space="preserve">N=268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71762313" w14:textId="4155F28D" w:rsidR="006B7C8E" w:rsidRPr="00DD1F63" w:rsidRDefault="00427999" w:rsidP="00377A09">
            <w:pPr>
              <w:tabs>
                <w:tab w:val="center" w:pos="3176"/>
                <w:tab w:val="center" w:pos="6427"/>
                <w:tab w:val="center" w:pos="7867"/>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noProof/>
                <w:sz w:val="21"/>
                <w:szCs w:val="21"/>
              </w:rPr>
              <mc:AlternateContent>
                <mc:Choice Requires="wps">
                  <w:drawing>
                    <wp:anchor distT="0" distB="0" distL="114300" distR="114300" simplePos="0" relativeHeight="251658241" behindDoc="0" locked="0" layoutInCell="1" allowOverlap="1" wp14:anchorId="1946D388" wp14:editId="6459E490">
                      <wp:simplePos x="0" y="0"/>
                      <wp:positionH relativeFrom="column">
                        <wp:posOffset>1051304</wp:posOffset>
                      </wp:positionH>
                      <wp:positionV relativeFrom="paragraph">
                        <wp:posOffset>14671</wp:posOffset>
                      </wp:positionV>
                      <wp:extent cx="2156346"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56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37AC8507">
                    <v:line id="Straight Connector 8"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82.8pt,1.15pt" to="252.6pt,1.15pt" w14:anchorId="13A9B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30tgEAALcDAAAOAAAAZHJzL2Uyb0RvYy54bWysU01v2zAMvQ/ofxB0b2xnW1AYcXpIsV2G&#10;LVjXH6DKVCxMX6C02Pn3o5TEHdphGIpeaFF6j+Qj6fXtZA07AEbtXcebRc0ZOOl77fYdf/jx6fqG&#10;s5iE64XxDjp+hMhvN1fv1mNoYekHb3pARkFcbMfQ8SGl0FZVlANYERc+gKNH5dGKRC7uqx7FSNGt&#10;qZZ1vapGj31ALyFGur07PfJNia8UyPRNqQiJmY5TbalYLPYx22qzFu0eRRi0PJchXlGFFdpR0jnU&#10;nUiC/UL9IpTVEn30Ki2kt5VXSksoGkhNUz9Tcz+IAEULNSeGuU3x7cLKr4cdMt13nAblhKUR3ScU&#10;ej8ktvXOUQM9spvcpzHEluBbt8OzF8MOs+hJoc1fksOm0tvj3FuYEpN0uWw+rt5/WHEmL2/VEzFg&#10;TJ/BW5YPHTfaZdmiFYcvMVEygl4g5ORCTqnLKR0NZLBx30GRFErWFHZZItgaZAdB4+9/NlkGxSrI&#10;TFHamJlU/5t0xmYalMX6X+KMLhm9SzPRaufxb1nTdClVnfAX1SetWfaj749lEKUdtB1F2XmT8/r9&#10;6Rf60/+2+Q0AAP//AwBQSwMEFAAGAAgAAAAhAJC+W9naAAAABwEAAA8AAABkcnMvZG93bnJldi54&#10;bWxMjlFLwzAUhd8F/0O4gm8uXaVFatMxBiK+iOv0PWvu0rrkpiRpV/+90Rd9/DiHc756s1jDZvRh&#10;cCRgvcqAIXVODaQFvB+e7h6AhShJSeMIBXxhgE1zfVXLSrkL7XFuo2ZphEIlBfQxjhXnoevRyrBy&#10;I1LKTs5bGRN6zZWXlzRuDc+zrORWDpQeejnirsfu3E5WgHnx84fe6W2Ynvdl+/l2yl8PsxC3N8v2&#10;EVjEJf6V4Uc/qUOTnI5uIhWYSVwWZaoKyO+BpbzIihzY8Zd5U/P//s03AAAA//8DAFBLAQItABQA&#10;BgAIAAAAIQC2gziS/gAAAOEBAAATAAAAAAAAAAAAAAAAAAAAAABbQ29udGVudF9UeXBlc10ueG1s&#10;UEsBAi0AFAAGAAgAAAAhADj9If/WAAAAlAEAAAsAAAAAAAAAAAAAAAAALwEAAF9yZWxzLy5yZWxz&#10;UEsBAi0AFAAGAAgAAAAhAHJ7LfS2AQAAtwMAAA4AAAAAAAAAAAAAAAAALgIAAGRycy9lMm9Eb2Mu&#10;eG1sUEsBAi0AFAAGAAgAAAAhAJC+W9naAAAABwEAAA8AAAAAAAAAAAAAAAAAEAQAAGRycy9kb3du&#10;cmV2LnhtbFBLBQYAAAAABAAEAPMAAAAXBQAAAAA=&#10;">
                      <v:stroke joinstyle="miter"/>
                    </v:line>
                  </w:pict>
                </mc:Fallback>
              </mc:AlternateContent>
            </w:r>
            <w:r w:rsidR="00CA72FF"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ab/>
              <w:t xml:space="preserve">N (%) </w:t>
            </w:r>
            <w:r w:rsidR="00CA72FF" w:rsidRPr="00DD1F63">
              <w:rPr>
                <w:rFonts w:ascii="Times New Roman" w:hAnsi="Times New Roman" w:cs="Times New Roman"/>
                <w:sz w:val="21"/>
                <w:szCs w:val="21"/>
              </w:rPr>
              <w:tab/>
              <w:t>p-</w:t>
            </w:r>
            <w:proofErr w:type="spellStart"/>
            <w:r w:rsidR="00CA72FF" w:rsidRPr="00DD1F63">
              <w:rPr>
                <w:rFonts w:ascii="Times New Roman" w:hAnsi="Times New Roman" w:cs="Times New Roman"/>
                <w:sz w:val="21"/>
                <w:szCs w:val="21"/>
              </w:rPr>
              <w:t>value</w:t>
            </w:r>
            <w:r w:rsidR="00CA72FF" w:rsidRPr="00DD1F63">
              <w:rPr>
                <w:rFonts w:ascii="Times New Roman" w:hAnsi="Times New Roman" w:cs="Times New Roman"/>
                <w:sz w:val="21"/>
                <w:szCs w:val="21"/>
                <w:vertAlign w:val="superscript"/>
              </w:rPr>
              <w:t>a</w:t>
            </w:r>
            <w:proofErr w:type="spellEnd"/>
            <w:r w:rsidR="00CA72FF"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ab/>
              <w:t>p-</w:t>
            </w:r>
            <w:proofErr w:type="spellStart"/>
            <w:r w:rsidR="00CA72FF" w:rsidRPr="00DD1F63">
              <w:rPr>
                <w:rFonts w:ascii="Times New Roman" w:hAnsi="Times New Roman" w:cs="Times New Roman"/>
                <w:sz w:val="21"/>
                <w:szCs w:val="21"/>
              </w:rPr>
              <w:t>value</w:t>
            </w:r>
            <w:r w:rsidR="00CA72FF" w:rsidRPr="00DD1F63">
              <w:rPr>
                <w:rFonts w:ascii="Times New Roman" w:hAnsi="Times New Roman" w:cs="Times New Roman"/>
                <w:sz w:val="21"/>
                <w:szCs w:val="21"/>
                <w:vertAlign w:val="superscript"/>
              </w:rPr>
              <w:t>b</w:t>
            </w:r>
            <w:proofErr w:type="spellEnd"/>
            <w:r w:rsidR="00CA72FF" w:rsidRPr="00DD1F63">
              <w:rPr>
                <w:rFonts w:ascii="Times New Roman" w:hAnsi="Times New Roman" w:cs="Times New Roman"/>
                <w:sz w:val="21"/>
                <w:szCs w:val="21"/>
              </w:rPr>
              <w:t xml:space="preserve"> </w:t>
            </w:r>
          </w:p>
        </w:tc>
      </w:tr>
      <w:tr w:rsidR="006B7C8E" w:rsidRPr="00DD1F63" w14:paraId="5AB7B771" w14:textId="77777777" w:rsidTr="00427999">
        <w:trPr>
          <w:trHeight w:val="20"/>
        </w:trPr>
        <w:tc>
          <w:tcPr>
            <w:tcW w:w="8444" w:type="dxa"/>
            <w:tcBorders>
              <w:top w:val="single" w:sz="4" w:space="0" w:color="000000"/>
              <w:left w:val="single" w:sz="4" w:space="0" w:color="000000"/>
              <w:bottom w:val="single" w:sz="4" w:space="0" w:color="000000"/>
              <w:right w:val="single" w:sz="4" w:space="0" w:color="000000"/>
            </w:tcBorders>
          </w:tcPr>
          <w:p w14:paraId="353F468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Subjects in </w:t>
            </w:r>
          </w:p>
          <w:p w14:paraId="578120CD" w14:textId="77777777" w:rsidR="006B7C8E" w:rsidRPr="00DD1F63" w:rsidRDefault="00CA72FF" w:rsidP="00377A09">
            <w:pPr>
              <w:tabs>
                <w:tab w:val="center" w:pos="1901"/>
                <w:tab w:val="center" w:pos="3203"/>
                <w:tab w:val="center" w:pos="4784"/>
                <w:tab w:val="center" w:pos="6426"/>
                <w:tab w:val="center" w:pos="7867"/>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Remission at </w:t>
            </w:r>
            <w:r w:rsidRPr="00DD1F63">
              <w:rPr>
                <w:rFonts w:ascii="Times New Roman" w:hAnsi="Times New Roman" w:cs="Times New Roman"/>
                <w:sz w:val="21"/>
                <w:szCs w:val="21"/>
              </w:rPr>
              <w:tab/>
              <w:t xml:space="preserve">53 (20.6) </w:t>
            </w:r>
            <w:r w:rsidRPr="00DD1F63">
              <w:rPr>
                <w:rFonts w:ascii="Times New Roman" w:hAnsi="Times New Roman" w:cs="Times New Roman"/>
                <w:sz w:val="21"/>
                <w:szCs w:val="21"/>
              </w:rPr>
              <w:tab/>
              <w:t xml:space="preserve">64 (23.4) </w:t>
            </w:r>
            <w:r w:rsidRPr="00DD1F63">
              <w:rPr>
                <w:rFonts w:ascii="Times New Roman" w:hAnsi="Times New Roman" w:cs="Times New Roman"/>
                <w:sz w:val="21"/>
                <w:szCs w:val="21"/>
              </w:rPr>
              <w:tab/>
              <w:t xml:space="preserve">115 (42.9)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0FD4331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52 </w:t>
            </w:r>
          </w:p>
        </w:tc>
      </w:tr>
    </w:tbl>
    <w:p w14:paraId="458BD931" w14:textId="77777777" w:rsidR="006B7C8E" w:rsidRPr="00DD1F63" w:rsidRDefault="00CA72FF" w:rsidP="00377A09">
      <w:pPr>
        <w:numPr>
          <w:ilvl w:val="0"/>
          <w:numId w:val="4"/>
        </w:numPr>
        <w:spacing w:after="0" w:line="240" w:lineRule="auto"/>
        <w:ind w:left="709" w:right="49" w:hanging="283"/>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MTX monotherapy and adalimumab + MTX combination therapy using Pearson's chi-square test. </w:t>
      </w:r>
    </w:p>
    <w:p w14:paraId="2117FBB4" w14:textId="77777777" w:rsidR="006B7C8E" w:rsidRPr="00DD1F63" w:rsidRDefault="00CA72FF" w:rsidP="00377A09">
      <w:pPr>
        <w:numPr>
          <w:ilvl w:val="0"/>
          <w:numId w:val="4"/>
        </w:numPr>
        <w:spacing w:after="0" w:line="240" w:lineRule="auto"/>
        <w:ind w:left="709" w:right="49" w:hanging="283"/>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adalimumab monotherapy and adalimumab + MTX combination therapy using Pearson's chi-square test. </w:t>
      </w:r>
    </w:p>
    <w:p w14:paraId="301FE622" w14:textId="00C41742" w:rsidR="006B7C8E" w:rsidRPr="00DD1F63" w:rsidRDefault="00CA72FF" w:rsidP="00377A09">
      <w:pPr>
        <w:tabs>
          <w:tab w:val="left" w:pos="993"/>
          <w:tab w:val="left" w:pos="1560"/>
        </w:tabs>
        <w:spacing w:after="0" w:line="240" w:lineRule="auto"/>
        <w:ind w:left="1134" w:hanging="708"/>
        <w:jc w:val="left"/>
        <w:rPr>
          <w:rFonts w:ascii="Times New Roman" w:hAnsi="Times New Roman" w:cs="Times New Roman"/>
          <w:szCs w:val="20"/>
        </w:rPr>
      </w:pPr>
      <w:r w:rsidRPr="00DD1F63">
        <w:rPr>
          <w:rFonts w:ascii="Times New Roman" w:hAnsi="Times New Roman" w:cs="Times New Roman"/>
          <w:szCs w:val="20"/>
        </w:rPr>
        <w:t xml:space="preserve">MTX </w:t>
      </w:r>
      <w:r w:rsidRPr="00DD1F63">
        <w:rPr>
          <w:rFonts w:ascii="Times New Roman" w:hAnsi="Times New Roman" w:cs="Times New Roman"/>
          <w:szCs w:val="20"/>
        </w:rPr>
        <w:tab/>
        <w:t xml:space="preserve">Methotrexate </w:t>
      </w:r>
    </w:p>
    <w:p w14:paraId="0FD120EE" w14:textId="77777777" w:rsidR="003812B9" w:rsidRPr="00DD1F63" w:rsidRDefault="003812B9" w:rsidP="00377A09">
      <w:pPr>
        <w:tabs>
          <w:tab w:val="center" w:pos="528"/>
          <w:tab w:val="center" w:pos="1545"/>
        </w:tabs>
        <w:spacing w:after="0" w:line="240" w:lineRule="auto"/>
        <w:ind w:left="426" w:firstLine="0"/>
        <w:jc w:val="left"/>
        <w:rPr>
          <w:rFonts w:ascii="Times New Roman" w:hAnsi="Times New Roman" w:cs="Times New Roman"/>
          <w:szCs w:val="20"/>
        </w:rPr>
      </w:pPr>
    </w:p>
    <w:p w14:paraId="52CC739A" w14:textId="14F7677E"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Radiographic </w:t>
      </w:r>
      <w:r w:rsidR="00BA2F2B" w:rsidRPr="00DD1F63">
        <w:rPr>
          <w:rFonts w:ascii="Times New Roman" w:hAnsi="Times New Roman" w:cs="Times New Roman"/>
        </w:rPr>
        <w:t>r</w:t>
      </w:r>
      <w:r w:rsidRPr="00DD1F63">
        <w:rPr>
          <w:rFonts w:ascii="Times New Roman" w:hAnsi="Times New Roman" w:cs="Times New Roman"/>
        </w:rPr>
        <w:t>esponse</w:t>
      </w:r>
      <w:r w:rsidRPr="00DD1F63">
        <w:rPr>
          <w:rFonts w:ascii="Times New Roman" w:hAnsi="Times New Roman" w:cs="Times New Roman"/>
          <w:u w:val="none"/>
        </w:rPr>
        <w:t xml:space="preserve"> </w:t>
      </w:r>
    </w:p>
    <w:p w14:paraId="597CA7B2" w14:textId="77777777" w:rsidR="003812B9" w:rsidRPr="00DD1F63" w:rsidRDefault="003812B9" w:rsidP="00377A09">
      <w:pPr>
        <w:spacing w:after="0" w:line="240" w:lineRule="auto"/>
        <w:ind w:left="426" w:hanging="11"/>
        <w:jc w:val="left"/>
        <w:rPr>
          <w:sz w:val="22"/>
        </w:rPr>
      </w:pPr>
    </w:p>
    <w:p w14:paraId="087BBF34" w14:textId="3FFFC29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III,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a mean duration of rheumatoid arthritis for approximately 11 years and a mean ± standard deviation baseline modified Total Sharp Score for the 40 mg fortnightly group of 72.1 ± 60.7 and placebo group of 66.4 ± 47.4. Structural joint damage was assessed radiographically and expressed as change in modified Total Sharp Score (TSS) and its components, erosion score and joint space narrowing score (JSN) at month 12 compared to baseline.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/methotrexate-treated patients demonstrated less radiographic progression than patients receiving placebo/methotrexate (see Table </w:t>
      </w:r>
      <w:r w:rsidR="00127F14" w:rsidRPr="00DD1F63">
        <w:rPr>
          <w:rFonts w:ascii="Times New Roman" w:hAnsi="Times New Roman" w:cs="Times New Roman"/>
          <w:sz w:val="22"/>
        </w:rPr>
        <w:t>9</w:t>
      </w:r>
      <w:r w:rsidRPr="00DD1F63">
        <w:rPr>
          <w:rFonts w:ascii="Times New Roman" w:hAnsi="Times New Roman" w:cs="Times New Roman"/>
          <w:sz w:val="22"/>
        </w:rPr>
        <w:t xml:space="preserve">). </w:t>
      </w:r>
    </w:p>
    <w:p w14:paraId="2CD995E5" w14:textId="77777777" w:rsidR="003812B9" w:rsidRPr="00DD1F63" w:rsidRDefault="003812B9" w:rsidP="00377A09">
      <w:pPr>
        <w:spacing w:after="0" w:line="240" w:lineRule="auto"/>
        <w:ind w:left="426" w:right="375"/>
        <w:jc w:val="left"/>
        <w:rPr>
          <w:rFonts w:ascii="Times New Roman" w:hAnsi="Times New Roman" w:cs="Times New Roman"/>
          <w:sz w:val="22"/>
        </w:rPr>
      </w:pPr>
    </w:p>
    <w:p w14:paraId="0E62E2B8" w14:textId="03DB43C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b/>
          <w:sz w:val="22"/>
        </w:rPr>
        <w:t xml:space="preserve"> </w:t>
      </w:r>
      <w:r w:rsidRPr="00DD1F63">
        <w:rPr>
          <w:rFonts w:ascii="Times New Roman" w:hAnsi="Times New Roman" w:cs="Times New Roman"/>
          <w:sz w:val="22"/>
        </w:rPr>
        <w:t xml:space="preserve">In the open-label extension of RA Study III, 77% of the original patients treated with any dose of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 were evaluated radiographically at 2 years. Patients maintained inhibition of structural damage, as measured by the TSS; 54% had no progression of structural damage as defined by a change in the TSS of zero or less. </w:t>
      </w:r>
    </w:p>
    <w:p w14:paraId="006100F8" w14:textId="77777777" w:rsidR="003812B9" w:rsidRPr="00DD1F63" w:rsidRDefault="003812B9" w:rsidP="00377A09">
      <w:pPr>
        <w:spacing w:after="0" w:line="240" w:lineRule="auto"/>
        <w:ind w:left="426" w:right="375"/>
        <w:jc w:val="left"/>
        <w:rPr>
          <w:rFonts w:ascii="Times New Roman" w:hAnsi="Times New Roman" w:cs="Times New Roman"/>
          <w:sz w:val="22"/>
        </w:rPr>
      </w:pPr>
    </w:p>
    <w:p w14:paraId="4E000726" w14:textId="4220FB19" w:rsidR="003812B9"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Fifty-five percent (113/207) of patients originally treated with 40 mg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 fortnightly have been evaluated radiographically at 5 years. Patients had continued inhibition of structural damage with approximately 50% (57/113)</w:t>
      </w:r>
      <w:r w:rsidRPr="00DD1F63">
        <w:rPr>
          <w:rFonts w:ascii="Times New Roman" w:hAnsi="Times New Roman" w:cs="Times New Roman"/>
          <w:b/>
          <w:sz w:val="22"/>
        </w:rPr>
        <w:t xml:space="preserve"> </w:t>
      </w:r>
      <w:r w:rsidRPr="00DD1F63">
        <w:rPr>
          <w:rFonts w:ascii="Times New Roman" w:hAnsi="Times New Roman" w:cs="Times New Roman"/>
          <w:sz w:val="22"/>
        </w:rPr>
        <w:t>showing no progression of structural damage defined by a change in the TSS of zero or less.</w:t>
      </w:r>
    </w:p>
    <w:p w14:paraId="02A0627F" w14:textId="3E213899" w:rsidR="006B7C8E" w:rsidRPr="00DD1F63" w:rsidRDefault="006B7C8E" w:rsidP="00377A09">
      <w:pPr>
        <w:spacing w:after="0" w:line="240" w:lineRule="auto"/>
        <w:ind w:right="375"/>
        <w:jc w:val="left"/>
        <w:rPr>
          <w:rFonts w:ascii="Times New Roman" w:hAnsi="Times New Roman" w:cs="Times New Roman"/>
        </w:rPr>
      </w:pPr>
    </w:p>
    <w:tbl>
      <w:tblPr>
        <w:tblStyle w:val="TableGrid1"/>
        <w:tblW w:w="8531" w:type="dxa"/>
        <w:tblInd w:w="421" w:type="dxa"/>
        <w:tblCellMar>
          <w:left w:w="57" w:type="dxa"/>
          <w:right w:w="57" w:type="dxa"/>
        </w:tblCellMar>
        <w:tblLook w:val="04A0" w:firstRow="1" w:lastRow="0" w:firstColumn="1" w:lastColumn="0" w:noHBand="0" w:noVBand="1"/>
      </w:tblPr>
      <w:tblGrid>
        <w:gridCol w:w="1701"/>
        <w:gridCol w:w="874"/>
        <w:gridCol w:w="2613"/>
        <w:gridCol w:w="2466"/>
        <w:gridCol w:w="877"/>
      </w:tblGrid>
      <w:tr w:rsidR="006B7C8E" w:rsidRPr="00DD1F63" w14:paraId="4204B617" w14:textId="77777777" w:rsidTr="00427999">
        <w:trPr>
          <w:trHeight w:val="20"/>
        </w:trPr>
        <w:tc>
          <w:tcPr>
            <w:tcW w:w="8531" w:type="dxa"/>
            <w:gridSpan w:val="5"/>
            <w:tcBorders>
              <w:top w:val="single" w:sz="4" w:space="0" w:color="000000"/>
              <w:left w:val="single" w:sz="4" w:space="0" w:color="000000"/>
              <w:bottom w:val="single" w:sz="4" w:space="0" w:color="000000"/>
              <w:right w:val="single" w:sz="4" w:space="0" w:color="000000"/>
            </w:tcBorders>
          </w:tcPr>
          <w:p w14:paraId="5DEF57B5" w14:textId="51D84B2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9</w:t>
            </w:r>
            <w:r w:rsidRPr="00DD1F63">
              <w:rPr>
                <w:rFonts w:ascii="Times New Roman" w:hAnsi="Times New Roman" w:cs="Times New Roman"/>
                <w:b/>
                <w:sz w:val="21"/>
                <w:szCs w:val="21"/>
              </w:rPr>
              <w:t xml:space="preserve">: Radiographic </w:t>
            </w:r>
            <w:r w:rsidR="007E1317"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ean </w:t>
            </w:r>
            <w:r w:rsidR="007E1317"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hanges </w:t>
            </w:r>
            <w:r w:rsidR="007E1317" w:rsidRPr="00DD1F63">
              <w:rPr>
                <w:rFonts w:ascii="Times New Roman" w:hAnsi="Times New Roman" w:cs="Times New Roman"/>
                <w:b/>
                <w:sz w:val="21"/>
                <w:szCs w:val="21"/>
              </w:rPr>
              <w:t>o</w:t>
            </w:r>
            <w:r w:rsidRPr="00DD1F63">
              <w:rPr>
                <w:rFonts w:ascii="Times New Roman" w:hAnsi="Times New Roman" w:cs="Times New Roman"/>
                <w:b/>
                <w:sz w:val="21"/>
                <w:szCs w:val="21"/>
              </w:rPr>
              <w:t xml:space="preserve">ver 12 </w:t>
            </w:r>
            <w:r w:rsidR="007E1317"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onths in RA </w:t>
            </w:r>
            <w:r w:rsidR="007E1317"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III with </w:t>
            </w:r>
            <w:r w:rsidR="007E1317" w:rsidRPr="00DD1F63">
              <w:rPr>
                <w:rFonts w:ascii="Times New Roman" w:hAnsi="Times New Roman" w:cs="Times New Roman"/>
                <w:b/>
                <w:sz w:val="21"/>
                <w:szCs w:val="21"/>
              </w:rPr>
              <w:t>b</w:t>
            </w:r>
            <w:r w:rsidRPr="00DD1F63">
              <w:rPr>
                <w:rFonts w:ascii="Times New Roman" w:hAnsi="Times New Roman" w:cs="Times New Roman"/>
                <w:b/>
                <w:sz w:val="21"/>
                <w:szCs w:val="21"/>
              </w:rPr>
              <w:t xml:space="preserve">ackground MTX </w:t>
            </w:r>
          </w:p>
        </w:tc>
      </w:tr>
      <w:tr w:rsidR="002254BB" w:rsidRPr="00DD1F63" w14:paraId="4B867047"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49CA5A16"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14:paraId="4E53E9A3" w14:textId="177D221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Placebo/</w:t>
            </w:r>
          </w:p>
          <w:p w14:paraId="04370323" w14:textId="165F068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MTX</w:t>
            </w:r>
          </w:p>
          <w:p w14:paraId="4D7FFEED" w14:textId="568AB24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N=200</w:t>
            </w:r>
          </w:p>
        </w:tc>
        <w:tc>
          <w:tcPr>
            <w:tcW w:w="2613" w:type="dxa"/>
            <w:tcBorders>
              <w:top w:val="single" w:sz="4" w:space="0" w:color="000000"/>
              <w:left w:val="single" w:sz="4" w:space="0" w:color="000000"/>
              <w:bottom w:val="single" w:sz="4" w:space="0" w:color="000000"/>
              <w:right w:val="single" w:sz="4" w:space="0" w:color="000000"/>
            </w:tcBorders>
            <w:vAlign w:val="center"/>
          </w:tcPr>
          <w:p w14:paraId="03054654" w14:textId="4DF3BBD4" w:rsidR="006B7C8E" w:rsidRPr="00DD1F63" w:rsidRDefault="002254BB"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vertAlign w:val="superscript"/>
              </w:rPr>
              <w:t>a</w:t>
            </w:r>
            <w:proofErr w:type="spellEnd"/>
            <w:r w:rsidR="00CA72FF" w:rsidRPr="00DD1F63">
              <w:rPr>
                <w:rFonts w:ascii="Times New Roman" w:hAnsi="Times New Roman" w:cs="Times New Roman"/>
                <w:b/>
                <w:sz w:val="21"/>
                <w:szCs w:val="21"/>
              </w:rPr>
              <w:t>/MTX</w:t>
            </w:r>
          </w:p>
          <w:p w14:paraId="7C67C5C6" w14:textId="3762FDB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N=207</w:t>
            </w:r>
          </w:p>
        </w:tc>
        <w:tc>
          <w:tcPr>
            <w:tcW w:w="2466" w:type="dxa"/>
            <w:tcBorders>
              <w:top w:val="single" w:sz="4" w:space="0" w:color="000000"/>
              <w:left w:val="single" w:sz="4" w:space="0" w:color="000000"/>
              <w:bottom w:val="single" w:sz="4" w:space="0" w:color="000000"/>
              <w:right w:val="single" w:sz="4" w:space="0" w:color="000000"/>
            </w:tcBorders>
            <w:vAlign w:val="center"/>
          </w:tcPr>
          <w:p w14:paraId="2B1AE949" w14:textId="6273880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Difference </w:t>
            </w:r>
            <w:r w:rsidR="002254BB" w:rsidRPr="00DD1F63">
              <w:rPr>
                <w:rFonts w:ascii="Times New Roman" w:hAnsi="Times New Roman" w:cs="Times New Roman"/>
                <w:b/>
                <w:sz w:val="21"/>
                <w:szCs w:val="21"/>
              </w:rPr>
              <w:t>b</w:t>
            </w:r>
            <w:r w:rsidRPr="00DD1F63">
              <w:rPr>
                <w:rFonts w:ascii="Times New Roman" w:hAnsi="Times New Roman" w:cs="Times New Roman"/>
                <w:b/>
                <w:sz w:val="21"/>
                <w:szCs w:val="21"/>
              </w:rPr>
              <w:t>etween</w:t>
            </w:r>
            <w:r w:rsidR="00D72E7A" w:rsidRPr="00DD1F63">
              <w:rPr>
                <w:rFonts w:ascii="Times New Roman" w:hAnsi="Times New Roman" w:cs="Times New Roman"/>
                <w:b/>
                <w:sz w:val="21"/>
                <w:szCs w:val="21"/>
              </w:rPr>
              <w:t xml:space="preserve"> </w:t>
            </w:r>
            <w:proofErr w:type="spellStart"/>
            <w:r w:rsidR="002254BB" w:rsidRPr="00DD1F63">
              <w:rPr>
                <w:rFonts w:ascii="Times New Roman" w:hAnsi="Times New Roman" w:cs="Times New Roman"/>
                <w:b/>
                <w:sz w:val="21"/>
                <w:szCs w:val="21"/>
              </w:rPr>
              <w:t>adalimumab</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rPr>
              <w:t xml:space="preserve">/MTX and </w:t>
            </w:r>
            <w:r w:rsidR="002254BB" w:rsidRPr="00DD1F63">
              <w:rPr>
                <w:rFonts w:ascii="Times New Roman" w:hAnsi="Times New Roman" w:cs="Times New Roman"/>
                <w:b/>
                <w:sz w:val="21"/>
                <w:szCs w:val="21"/>
              </w:rPr>
              <w:t>p</w:t>
            </w:r>
            <w:r w:rsidRPr="00DD1F63">
              <w:rPr>
                <w:rFonts w:ascii="Times New Roman" w:hAnsi="Times New Roman" w:cs="Times New Roman"/>
                <w:b/>
                <w:sz w:val="21"/>
                <w:szCs w:val="21"/>
              </w:rPr>
              <w:t>lacebo/MTX</w:t>
            </w:r>
            <w:r w:rsidR="00D72E7A"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(95% </w:t>
            </w:r>
            <w:r w:rsidR="002254BB" w:rsidRPr="00DD1F63">
              <w:rPr>
                <w:rFonts w:ascii="Times New Roman" w:hAnsi="Times New Roman" w:cs="Times New Roman"/>
                <w:b/>
                <w:sz w:val="21"/>
                <w:szCs w:val="21"/>
              </w:rPr>
              <w:t>c</w:t>
            </w:r>
            <w:r w:rsidRPr="00DD1F63">
              <w:rPr>
                <w:rFonts w:ascii="Times New Roman" w:hAnsi="Times New Roman" w:cs="Times New Roman"/>
                <w:b/>
                <w:sz w:val="21"/>
                <w:szCs w:val="21"/>
              </w:rPr>
              <w:t>onfidence</w:t>
            </w:r>
            <w:r w:rsidR="00D72E7A" w:rsidRPr="00DD1F63">
              <w:rPr>
                <w:rFonts w:ascii="Times New Roman" w:hAnsi="Times New Roman" w:cs="Times New Roman"/>
                <w:b/>
                <w:sz w:val="21"/>
                <w:szCs w:val="21"/>
              </w:rPr>
              <w:t xml:space="preserve"> </w:t>
            </w:r>
            <w:r w:rsidR="002254BB" w:rsidRPr="00DD1F63">
              <w:rPr>
                <w:rFonts w:ascii="Times New Roman" w:hAnsi="Times New Roman" w:cs="Times New Roman"/>
                <w:b/>
                <w:sz w:val="21"/>
                <w:szCs w:val="21"/>
              </w:rPr>
              <w:t>i</w:t>
            </w:r>
            <w:r w:rsidRPr="00DD1F63">
              <w:rPr>
                <w:rFonts w:ascii="Times New Roman" w:hAnsi="Times New Roman" w:cs="Times New Roman"/>
                <w:b/>
                <w:sz w:val="21"/>
                <w:szCs w:val="21"/>
              </w:rPr>
              <w:t>nterval*)</w:t>
            </w:r>
          </w:p>
        </w:tc>
        <w:tc>
          <w:tcPr>
            <w:tcW w:w="877" w:type="dxa"/>
            <w:tcBorders>
              <w:top w:val="single" w:sz="4" w:space="0" w:color="000000"/>
              <w:left w:val="single" w:sz="4" w:space="0" w:color="000000"/>
              <w:bottom w:val="single" w:sz="4" w:space="0" w:color="000000"/>
              <w:right w:val="single" w:sz="4" w:space="0" w:color="000000"/>
            </w:tcBorders>
            <w:vAlign w:val="center"/>
          </w:tcPr>
          <w:p w14:paraId="06D59A20" w14:textId="2C32F25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p-value</w:t>
            </w:r>
          </w:p>
        </w:tc>
      </w:tr>
      <w:tr w:rsidR="002254BB" w:rsidRPr="00DD1F63" w14:paraId="7F0F927D"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7F8E2589" w14:textId="7D5BFF6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Total Sharp Score </w:t>
            </w:r>
          </w:p>
        </w:tc>
        <w:tc>
          <w:tcPr>
            <w:tcW w:w="874" w:type="dxa"/>
            <w:tcBorders>
              <w:top w:val="single" w:sz="4" w:space="0" w:color="000000"/>
              <w:left w:val="single" w:sz="4" w:space="0" w:color="000000"/>
              <w:bottom w:val="single" w:sz="4" w:space="0" w:color="000000"/>
              <w:right w:val="single" w:sz="4" w:space="0" w:color="000000"/>
            </w:tcBorders>
            <w:vAlign w:val="center"/>
          </w:tcPr>
          <w:p w14:paraId="0B42FF7F" w14:textId="398792B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2.7</w:t>
            </w:r>
          </w:p>
        </w:tc>
        <w:tc>
          <w:tcPr>
            <w:tcW w:w="2613" w:type="dxa"/>
            <w:tcBorders>
              <w:top w:val="single" w:sz="4" w:space="0" w:color="000000"/>
              <w:left w:val="single" w:sz="4" w:space="0" w:color="000000"/>
              <w:bottom w:val="single" w:sz="4" w:space="0" w:color="000000"/>
              <w:right w:val="single" w:sz="4" w:space="0" w:color="000000"/>
            </w:tcBorders>
            <w:vAlign w:val="center"/>
          </w:tcPr>
          <w:p w14:paraId="24504F08" w14:textId="2113C57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0.1</w:t>
            </w:r>
          </w:p>
        </w:tc>
        <w:tc>
          <w:tcPr>
            <w:tcW w:w="2466" w:type="dxa"/>
            <w:tcBorders>
              <w:top w:val="single" w:sz="4" w:space="0" w:color="000000"/>
              <w:left w:val="single" w:sz="4" w:space="0" w:color="000000"/>
              <w:bottom w:val="single" w:sz="4" w:space="0" w:color="000000"/>
              <w:right w:val="single" w:sz="4" w:space="0" w:color="000000"/>
            </w:tcBorders>
            <w:vAlign w:val="center"/>
          </w:tcPr>
          <w:p w14:paraId="37F4999C" w14:textId="0E8BBB1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2.6 (1.4, 3.8)</w:t>
            </w:r>
          </w:p>
        </w:tc>
        <w:tc>
          <w:tcPr>
            <w:tcW w:w="877" w:type="dxa"/>
            <w:tcBorders>
              <w:top w:val="single" w:sz="4" w:space="0" w:color="000000"/>
              <w:left w:val="single" w:sz="4" w:space="0" w:color="000000"/>
              <w:bottom w:val="single" w:sz="4" w:space="0" w:color="000000"/>
              <w:right w:val="single" w:sz="4" w:space="0" w:color="000000"/>
            </w:tcBorders>
            <w:vAlign w:val="center"/>
          </w:tcPr>
          <w:p w14:paraId="3DB5B5E3" w14:textId="4BB552C8" w:rsidR="006B7C8E" w:rsidRPr="00DD1F63" w:rsidRDefault="007E1317"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t>
            </w:r>
            <w:r w:rsidR="00D72E7A"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0.001</w:t>
            </w:r>
            <w:r w:rsidR="00CA72FF" w:rsidRPr="00DD1F63">
              <w:rPr>
                <w:rFonts w:ascii="Times New Roman" w:hAnsi="Times New Roman" w:cs="Times New Roman"/>
                <w:sz w:val="21"/>
                <w:szCs w:val="21"/>
                <w:vertAlign w:val="superscript"/>
              </w:rPr>
              <w:t>b</w:t>
            </w:r>
          </w:p>
        </w:tc>
      </w:tr>
      <w:tr w:rsidR="002254BB" w:rsidRPr="00DD1F63" w14:paraId="011373D3"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1373BB20"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Erosions </w:t>
            </w:r>
          </w:p>
        </w:tc>
        <w:tc>
          <w:tcPr>
            <w:tcW w:w="874" w:type="dxa"/>
            <w:tcBorders>
              <w:top w:val="single" w:sz="4" w:space="0" w:color="000000"/>
              <w:left w:val="single" w:sz="4" w:space="0" w:color="000000"/>
              <w:bottom w:val="single" w:sz="4" w:space="0" w:color="000000"/>
              <w:right w:val="single" w:sz="4" w:space="0" w:color="000000"/>
            </w:tcBorders>
            <w:vAlign w:val="center"/>
          </w:tcPr>
          <w:p w14:paraId="59DE7BE3" w14:textId="0688557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1.6</w:t>
            </w:r>
          </w:p>
        </w:tc>
        <w:tc>
          <w:tcPr>
            <w:tcW w:w="2613" w:type="dxa"/>
            <w:tcBorders>
              <w:top w:val="single" w:sz="4" w:space="0" w:color="000000"/>
              <w:left w:val="single" w:sz="4" w:space="0" w:color="000000"/>
              <w:bottom w:val="single" w:sz="4" w:space="0" w:color="000000"/>
              <w:right w:val="single" w:sz="4" w:space="0" w:color="000000"/>
            </w:tcBorders>
            <w:vAlign w:val="center"/>
          </w:tcPr>
          <w:p w14:paraId="47439552" w14:textId="3743F8E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0.0</w:t>
            </w:r>
          </w:p>
        </w:tc>
        <w:tc>
          <w:tcPr>
            <w:tcW w:w="2466" w:type="dxa"/>
            <w:tcBorders>
              <w:top w:val="single" w:sz="4" w:space="0" w:color="000000"/>
              <w:left w:val="single" w:sz="4" w:space="0" w:color="000000"/>
              <w:bottom w:val="single" w:sz="4" w:space="0" w:color="000000"/>
              <w:right w:val="single" w:sz="4" w:space="0" w:color="000000"/>
            </w:tcBorders>
            <w:vAlign w:val="center"/>
          </w:tcPr>
          <w:p w14:paraId="06C44D2C" w14:textId="45B03F4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1.6 (0.9, 2.2)</w:t>
            </w:r>
          </w:p>
        </w:tc>
        <w:tc>
          <w:tcPr>
            <w:tcW w:w="877" w:type="dxa"/>
            <w:tcBorders>
              <w:top w:val="single" w:sz="4" w:space="0" w:color="000000"/>
              <w:left w:val="single" w:sz="4" w:space="0" w:color="000000"/>
              <w:bottom w:val="single" w:sz="4" w:space="0" w:color="000000"/>
              <w:right w:val="single" w:sz="4" w:space="0" w:color="000000"/>
            </w:tcBorders>
            <w:vAlign w:val="center"/>
          </w:tcPr>
          <w:p w14:paraId="33D1576B" w14:textId="1578A20C" w:rsidR="006B7C8E" w:rsidRPr="00DD1F63" w:rsidRDefault="007E1317"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t>
            </w:r>
            <w:r w:rsidR="00CA72FF" w:rsidRPr="00DD1F63">
              <w:rPr>
                <w:rFonts w:ascii="Times New Roman" w:hAnsi="Times New Roman" w:cs="Times New Roman"/>
                <w:sz w:val="21"/>
                <w:szCs w:val="21"/>
              </w:rPr>
              <w:t xml:space="preserve"> 0.001</w:t>
            </w:r>
          </w:p>
        </w:tc>
      </w:tr>
      <w:tr w:rsidR="002254BB" w:rsidRPr="00DD1F63" w14:paraId="376034F1"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624F11DC" w14:textId="4F7FBFC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No New Erosions </w:t>
            </w:r>
          </w:p>
          <w:p w14:paraId="0E6D0536" w14:textId="72EE0B9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of </w:t>
            </w:r>
            <w:proofErr w:type="gramStart"/>
            <w:r w:rsidRPr="00DD1F63">
              <w:rPr>
                <w:rFonts w:ascii="Times New Roman" w:hAnsi="Times New Roman" w:cs="Times New Roman"/>
                <w:sz w:val="21"/>
                <w:szCs w:val="21"/>
              </w:rPr>
              <w:t>Patients</w:t>
            </w:r>
            <w:proofErr w:type="gramEnd"/>
            <w:r w:rsidRPr="00DD1F63">
              <w:rPr>
                <w:rFonts w:ascii="Times New Roman" w:hAnsi="Times New Roman" w:cs="Times New Roman"/>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14:paraId="076D90DC" w14:textId="4FED679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46.2</w:t>
            </w:r>
          </w:p>
        </w:tc>
        <w:tc>
          <w:tcPr>
            <w:tcW w:w="2613" w:type="dxa"/>
            <w:tcBorders>
              <w:top w:val="single" w:sz="4" w:space="0" w:color="000000"/>
              <w:left w:val="single" w:sz="4" w:space="0" w:color="000000"/>
              <w:bottom w:val="single" w:sz="4" w:space="0" w:color="000000"/>
              <w:right w:val="single" w:sz="4" w:space="0" w:color="000000"/>
            </w:tcBorders>
            <w:vAlign w:val="center"/>
          </w:tcPr>
          <w:p w14:paraId="115AE9CB" w14:textId="61AD209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62.9</w:t>
            </w:r>
          </w:p>
        </w:tc>
        <w:tc>
          <w:tcPr>
            <w:tcW w:w="2466" w:type="dxa"/>
            <w:tcBorders>
              <w:top w:val="single" w:sz="4" w:space="0" w:color="000000"/>
              <w:left w:val="single" w:sz="4" w:space="0" w:color="000000"/>
              <w:bottom w:val="single" w:sz="4" w:space="0" w:color="000000"/>
              <w:right w:val="single" w:sz="4" w:space="0" w:color="000000"/>
            </w:tcBorders>
            <w:vAlign w:val="center"/>
          </w:tcPr>
          <w:p w14:paraId="67C7C81E" w14:textId="49C92FC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16.7</w:t>
            </w:r>
          </w:p>
        </w:tc>
        <w:tc>
          <w:tcPr>
            <w:tcW w:w="877" w:type="dxa"/>
            <w:tcBorders>
              <w:top w:val="single" w:sz="4" w:space="0" w:color="000000"/>
              <w:left w:val="single" w:sz="4" w:space="0" w:color="000000"/>
              <w:bottom w:val="single" w:sz="4" w:space="0" w:color="000000"/>
              <w:right w:val="single" w:sz="4" w:space="0" w:color="000000"/>
            </w:tcBorders>
            <w:vAlign w:val="center"/>
          </w:tcPr>
          <w:p w14:paraId="765509A7" w14:textId="463AD217" w:rsidR="006B7C8E" w:rsidRPr="00DD1F63" w:rsidRDefault="009D44C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r w:rsidR="00CA72FF" w:rsidRPr="00DD1F63">
              <w:rPr>
                <w:rFonts w:ascii="Times New Roman" w:hAnsi="Times New Roman" w:cs="Times New Roman"/>
                <w:sz w:val="21"/>
                <w:szCs w:val="21"/>
              </w:rPr>
              <w:t xml:space="preserve"> 0.001</w:t>
            </w:r>
          </w:p>
        </w:tc>
      </w:tr>
      <w:tr w:rsidR="002254BB" w:rsidRPr="00DD1F63" w14:paraId="398BB2FF"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00DBE356" w14:textId="313E895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JSN Score </w:t>
            </w:r>
          </w:p>
        </w:tc>
        <w:tc>
          <w:tcPr>
            <w:tcW w:w="874" w:type="dxa"/>
            <w:tcBorders>
              <w:top w:val="single" w:sz="4" w:space="0" w:color="000000"/>
              <w:left w:val="single" w:sz="4" w:space="0" w:color="000000"/>
              <w:bottom w:val="single" w:sz="4" w:space="0" w:color="000000"/>
              <w:right w:val="single" w:sz="4" w:space="0" w:color="000000"/>
            </w:tcBorders>
            <w:vAlign w:val="center"/>
          </w:tcPr>
          <w:p w14:paraId="0EAD0F4B" w14:textId="599A8C4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2613" w:type="dxa"/>
            <w:tcBorders>
              <w:top w:val="single" w:sz="4" w:space="0" w:color="000000"/>
              <w:left w:val="single" w:sz="4" w:space="0" w:color="000000"/>
              <w:bottom w:val="single" w:sz="4" w:space="0" w:color="000000"/>
              <w:right w:val="single" w:sz="4" w:space="0" w:color="000000"/>
            </w:tcBorders>
            <w:vAlign w:val="center"/>
          </w:tcPr>
          <w:p w14:paraId="20307ACE" w14:textId="19055EE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0.1</w:t>
            </w:r>
          </w:p>
        </w:tc>
        <w:tc>
          <w:tcPr>
            <w:tcW w:w="2466" w:type="dxa"/>
            <w:tcBorders>
              <w:top w:val="single" w:sz="4" w:space="0" w:color="000000"/>
              <w:left w:val="single" w:sz="4" w:space="0" w:color="000000"/>
              <w:bottom w:val="single" w:sz="4" w:space="0" w:color="000000"/>
              <w:right w:val="single" w:sz="4" w:space="0" w:color="000000"/>
            </w:tcBorders>
            <w:vAlign w:val="center"/>
          </w:tcPr>
          <w:p w14:paraId="7EE3E58B" w14:textId="7E16CA9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0.9 (0.3, 1.4)</w:t>
            </w:r>
          </w:p>
        </w:tc>
        <w:tc>
          <w:tcPr>
            <w:tcW w:w="877" w:type="dxa"/>
            <w:tcBorders>
              <w:top w:val="single" w:sz="4" w:space="0" w:color="000000"/>
              <w:left w:val="single" w:sz="4" w:space="0" w:color="000000"/>
              <w:bottom w:val="single" w:sz="4" w:space="0" w:color="000000"/>
              <w:right w:val="single" w:sz="4" w:space="0" w:color="000000"/>
            </w:tcBorders>
            <w:vAlign w:val="center"/>
          </w:tcPr>
          <w:p w14:paraId="07EA109B" w14:textId="4B65DFD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0.002</w:t>
            </w:r>
          </w:p>
        </w:tc>
      </w:tr>
    </w:tbl>
    <w:p w14:paraId="152E1A75" w14:textId="5E3596D8" w:rsidR="00DC5368" w:rsidRPr="00DD1F63" w:rsidRDefault="00CA72FF" w:rsidP="00377A09">
      <w:pPr>
        <w:spacing w:after="0" w:line="240" w:lineRule="auto"/>
        <w:ind w:left="567" w:right="-376" w:hanging="142"/>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w:t>
      </w:r>
      <w:r w:rsidRPr="00DD1F63">
        <w:rPr>
          <w:rFonts w:ascii="Times New Roman" w:hAnsi="Times New Roman" w:cs="Times New Roman"/>
          <w:szCs w:val="20"/>
        </w:rPr>
        <w:tab/>
        <w:t>40 mg administered fortnightly</w:t>
      </w:r>
    </w:p>
    <w:p w14:paraId="3F5EAC51" w14:textId="0E161C30" w:rsidR="006B7C8E" w:rsidRPr="00DD1F63" w:rsidRDefault="00CA72FF" w:rsidP="00377A09">
      <w:pPr>
        <w:tabs>
          <w:tab w:val="left" w:pos="709"/>
        </w:tabs>
        <w:spacing w:after="0" w:line="240" w:lineRule="auto"/>
        <w:ind w:left="567" w:right="5720" w:hanging="141"/>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w:t>
      </w:r>
      <w:r w:rsidR="00063336" w:rsidRPr="00DD1F63">
        <w:rPr>
          <w:rFonts w:ascii="Times New Roman" w:hAnsi="Times New Roman" w:cs="Times New Roman"/>
          <w:szCs w:val="20"/>
        </w:rPr>
        <w:tab/>
      </w:r>
      <w:r w:rsidRPr="00DD1F63">
        <w:rPr>
          <w:rFonts w:ascii="Times New Roman" w:hAnsi="Times New Roman" w:cs="Times New Roman"/>
          <w:szCs w:val="20"/>
        </w:rPr>
        <w:t xml:space="preserve"> Based on rank analysis </w:t>
      </w:r>
    </w:p>
    <w:p w14:paraId="2E056470" w14:textId="48E8BBA1" w:rsidR="006B7C8E" w:rsidRPr="00DD1F63" w:rsidRDefault="00CA72FF" w:rsidP="00377A09">
      <w:pPr>
        <w:tabs>
          <w:tab w:val="left" w:pos="709"/>
          <w:tab w:val="center" w:pos="1908"/>
        </w:tabs>
        <w:spacing w:after="0" w:line="240" w:lineRule="auto"/>
        <w:ind w:left="567" w:hanging="142"/>
        <w:jc w:val="left"/>
        <w:rPr>
          <w:rFonts w:ascii="Times New Roman" w:hAnsi="Times New Roman" w:cs="Times New Roman"/>
          <w:szCs w:val="20"/>
        </w:rPr>
      </w:pPr>
      <w:r w:rsidRPr="00DD1F63">
        <w:rPr>
          <w:rFonts w:ascii="Times New Roman" w:hAnsi="Times New Roman" w:cs="Times New Roman"/>
          <w:szCs w:val="20"/>
        </w:rPr>
        <w:t xml:space="preserve">MTX Methotrexate </w:t>
      </w:r>
    </w:p>
    <w:p w14:paraId="1FEADB54" w14:textId="053628D9" w:rsidR="006B7C8E" w:rsidRPr="00DD1F63" w:rsidRDefault="00CA72FF" w:rsidP="00377A09">
      <w:pPr>
        <w:spacing w:after="0" w:line="240" w:lineRule="auto"/>
        <w:ind w:left="709" w:right="191" w:hanging="283"/>
        <w:jc w:val="left"/>
        <w:rPr>
          <w:rFonts w:ascii="Times New Roman" w:hAnsi="Times New Roman" w:cs="Times New Roman"/>
          <w:szCs w:val="20"/>
        </w:rPr>
      </w:pPr>
      <w:r w:rsidRPr="00DD1F63">
        <w:rPr>
          <w:rFonts w:ascii="Times New Roman" w:hAnsi="Times New Roman" w:cs="Times New Roman"/>
          <w:szCs w:val="20"/>
        </w:rPr>
        <w:t xml:space="preserve">* </w:t>
      </w:r>
      <w:r w:rsidRPr="00DD1F63">
        <w:rPr>
          <w:rFonts w:ascii="Times New Roman" w:hAnsi="Times New Roman" w:cs="Times New Roman"/>
          <w:szCs w:val="20"/>
        </w:rPr>
        <w:tab/>
        <w:t xml:space="preserve"> 95% confidence intervals for the differences in change scores between MTX and </w:t>
      </w:r>
      <w:r w:rsidR="002254BB" w:rsidRPr="00DD1F63">
        <w:rPr>
          <w:rFonts w:ascii="Times New Roman" w:hAnsi="Times New Roman" w:cs="Times New Roman"/>
          <w:szCs w:val="20"/>
        </w:rPr>
        <w:t>adalimumab</w:t>
      </w:r>
      <w:r w:rsidRPr="00DD1F63">
        <w:rPr>
          <w:rFonts w:ascii="Times New Roman" w:hAnsi="Times New Roman" w:cs="Times New Roman"/>
          <w:szCs w:val="20"/>
        </w:rPr>
        <w:t xml:space="preserve"> </w:t>
      </w:r>
    </w:p>
    <w:p w14:paraId="4E43B4B3" w14:textId="167824F3" w:rsidR="0038422C" w:rsidRPr="00DD1F63" w:rsidRDefault="00CA72FF" w:rsidP="00377A09">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w:t>
      </w:r>
    </w:p>
    <w:p w14:paraId="1132A190" w14:textId="71C73276"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In RA Study V, </w:t>
      </w:r>
      <w:r w:rsidR="000446C3"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a mean duration of rheumatoid arthritis of less than 9 months and had not previously received methotrexate. Structural joint damage was assessed radiographically and expressed as change in modified Total Sharp Score. The Week 52 results are shown in Table </w:t>
      </w:r>
      <w:r w:rsidR="00127F14" w:rsidRPr="00DD1F63">
        <w:rPr>
          <w:rFonts w:ascii="Times New Roman" w:hAnsi="Times New Roman" w:cs="Times New Roman"/>
          <w:sz w:val="22"/>
        </w:rPr>
        <w:t>10</w:t>
      </w:r>
      <w:r w:rsidRPr="00DD1F63">
        <w:rPr>
          <w:rFonts w:ascii="Times New Roman" w:hAnsi="Times New Roman" w:cs="Times New Roman"/>
          <w:sz w:val="22"/>
        </w:rPr>
        <w:t xml:space="preserve">. A statistically significant difference for change in modified </w:t>
      </w:r>
      <w:r w:rsidR="000446C3" w:rsidRPr="00DD1F63">
        <w:rPr>
          <w:rFonts w:ascii="Times New Roman" w:hAnsi="Times New Roman" w:cs="Times New Roman"/>
          <w:sz w:val="22"/>
        </w:rPr>
        <w:t>t</w:t>
      </w:r>
      <w:r w:rsidRPr="00DD1F63">
        <w:rPr>
          <w:rFonts w:ascii="Times New Roman" w:hAnsi="Times New Roman" w:cs="Times New Roman"/>
          <w:sz w:val="22"/>
        </w:rPr>
        <w:t xml:space="preserve">otal </w:t>
      </w:r>
      <w:r w:rsidR="000446C3" w:rsidRPr="00DD1F63">
        <w:rPr>
          <w:rFonts w:ascii="Times New Roman" w:hAnsi="Times New Roman" w:cs="Times New Roman"/>
          <w:sz w:val="22"/>
        </w:rPr>
        <w:t>s</w:t>
      </w:r>
      <w:r w:rsidRPr="00DD1F63">
        <w:rPr>
          <w:rFonts w:ascii="Times New Roman" w:hAnsi="Times New Roman" w:cs="Times New Roman"/>
          <w:sz w:val="22"/>
        </w:rPr>
        <w:t xml:space="preserve">harp </w:t>
      </w:r>
      <w:r w:rsidR="000446C3" w:rsidRPr="00DD1F63">
        <w:rPr>
          <w:rFonts w:ascii="Times New Roman" w:hAnsi="Times New Roman" w:cs="Times New Roman"/>
          <w:sz w:val="22"/>
        </w:rPr>
        <w:t>s</w:t>
      </w:r>
      <w:r w:rsidRPr="00DD1F63">
        <w:rPr>
          <w:rFonts w:ascii="Times New Roman" w:hAnsi="Times New Roman" w:cs="Times New Roman"/>
          <w:sz w:val="22"/>
        </w:rPr>
        <w:t xml:space="preserve">core and the erosion score was observed at </w:t>
      </w:r>
      <w:r w:rsidR="00D72E7A" w:rsidRPr="00DD1F63">
        <w:rPr>
          <w:rFonts w:ascii="Times New Roman" w:hAnsi="Times New Roman" w:cs="Times New Roman"/>
          <w:sz w:val="22"/>
        </w:rPr>
        <w:t>w</w:t>
      </w:r>
      <w:r w:rsidRPr="00DD1F63">
        <w:rPr>
          <w:rFonts w:ascii="Times New Roman" w:hAnsi="Times New Roman" w:cs="Times New Roman"/>
          <w:sz w:val="22"/>
        </w:rPr>
        <w:t xml:space="preserve">eek 52 and maintained at </w:t>
      </w:r>
      <w:r w:rsidR="00D72E7A" w:rsidRPr="00DD1F63">
        <w:rPr>
          <w:rFonts w:ascii="Times New Roman" w:hAnsi="Times New Roman" w:cs="Times New Roman"/>
          <w:sz w:val="22"/>
        </w:rPr>
        <w:t>w</w:t>
      </w:r>
      <w:r w:rsidRPr="00DD1F63">
        <w:rPr>
          <w:rFonts w:ascii="Times New Roman" w:hAnsi="Times New Roman" w:cs="Times New Roman"/>
          <w:sz w:val="22"/>
        </w:rPr>
        <w:t>eek 104.</w:t>
      </w:r>
    </w:p>
    <w:p w14:paraId="1244DCD5" w14:textId="77777777" w:rsidR="0038422C" w:rsidRPr="00DD1F63" w:rsidRDefault="0038422C" w:rsidP="00377A09">
      <w:pPr>
        <w:spacing w:after="0" w:line="240" w:lineRule="auto"/>
        <w:ind w:left="426" w:right="375"/>
        <w:jc w:val="left"/>
        <w:rPr>
          <w:rFonts w:ascii="Times New Roman" w:hAnsi="Times New Roman" w:cs="Times New Roman"/>
          <w:sz w:val="22"/>
        </w:rPr>
      </w:pPr>
    </w:p>
    <w:p w14:paraId="0EA680F8" w14:textId="7A2C2C77"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the open-label extension of RA study V, the mean change from baseline at Year 10 in the modified</w:t>
      </w:r>
      <w:r w:rsidR="00D72E7A" w:rsidRPr="00DD1F63">
        <w:rPr>
          <w:rFonts w:ascii="Times New Roman" w:hAnsi="Times New Roman" w:cs="Times New Roman"/>
          <w:sz w:val="22"/>
        </w:rPr>
        <w:t xml:space="preserve"> </w:t>
      </w:r>
      <w:r w:rsidR="00604FF5" w:rsidRPr="00DD1F63">
        <w:rPr>
          <w:rFonts w:ascii="Times New Roman" w:hAnsi="Times New Roman" w:cs="Times New Roman"/>
          <w:sz w:val="22"/>
        </w:rPr>
        <w:t>t</w:t>
      </w:r>
      <w:r w:rsidRPr="00DD1F63">
        <w:rPr>
          <w:rFonts w:ascii="Times New Roman" w:hAnsi="Times New Roman" w:cs="Times New Roman"/>
          <w:sz w:val="22"/>
        </w:rPr>
        <w:t xml:space="preserve">otal </w:t>
      </w:r>
      <w:r w:rsidR="00604FF5" w:rsidRPr="00DD1F63">
        <w:rPr>
          <w:rFonts w:ascii="Times New Roman" w:hAnsi="Times New Roman" w:cs="Times New Roman"/>
          <w:sz w:val="22"/>
        </w:rPr>
        <w:t>s</w:t>
      </w:r>
      <w:r w:rsidRPr="00DD1F63">
        <w:rPr>
          <w:rFonts w:ascii="Times New Roman" w:hAnsi="Times New Roman" w:cs="Times New Roman"/>
          <w:sz w:val="22"/>
        </w:rPr>
        <w:t xml:space="preserve">harp </w:t>
      </w:r>
      <w:r w:rsidR="00604FF5" w:rsidRPr="00DD1F63">
        <w:rPr>
          <w:rFonts w:ascii="Times New Roman" w:hAnsi="Times New Roman" w:cs="Times New Roman"/>
          <w:sz w:val="22"/>
        </w:rPr>
        <w:t>s</w:t>
      </w:r>
      <w:r w:rsidRPr="00DD1F63">
        <w:rPr>
          <w:rFonts w:ascii="Times New Roman" w:hAnsi="Times New Roman" w:cs="Times New Roman"/>
          <w:sz w:val="22"/>
        </w:rPr>
        <w:t xml:space="preserve">core was 10.8, 9.2 and 3.9 in patients originally randomised to methotrexate monotherapy, </w:t>
      </w:r>
      <w:r w:rsidR="00604FF5" w:rsidRPr="00DD1F63">
        <w:rPr>
          <w:rFonts w:ascii="Times New Roman" w:hAnsi="Times New Roman" w:cs="Times New Roman"/>
          <w:sz w:val="22"/>
        </w:rPr>
        <w:t>adalimumab</w:t>
      </w:r>
      <w:r w:rsidRPr="00DD1F63">
        <w:rPr>
          <w:rFonts w:ascii="Times New Roman" w:hAnsi="Times New Roman" w:cs="Times New Roman"/>
          <w:sz w:val="22"/>
        </w:rPr>
        <w:t xml:space="preserve"> monotherapy and </w:t>
      </w:r>
      <w:r w:rsidR="00CD25D9" w:rsidRPr="00DD1F63">
        <w:rPr>
          <w:rFonts w:ascii="Times New Roman" w:hAnsi="Times New Roman" w:cs="Times New Roman"/>
          <w:sz w:val="22"/>
        </w:rPr>
        <w:t>adalimumab</w:t>
      </w:r>
      <w:r w:rsidRPr="00DD1F63">
        <w:rPr>
          <w:rFonts w:ascii="Times New Roman" w:hAnsi="Times New Roman" w:cs="Times New Roman"/>
          <w:sz w:val="22"/>
        </w:rPr>
        <w:t xml:space="preserve">/methotrexate combination therapy, respectively. The corresponding proportions of patients with no radiographic progression were 31.3%, 23.7% and 36.7% respectively. </w:t>
      </w:r>
    </w:p>
    <w:p w14:paraId="70503751" w14:textId="2202AFDB" w:rsidR="0038422C" w:rsidRPr="00DD1F63" w:rsidRDefault="0038422C" w:rsidP="00377A09">
      <w:pPr>
        <w:spacing w:after="0" w:line="240" w:lineRule="auto"/>
        <w:ind w:left="426" w:right="375"/>
        <w:jc w:val="left"/>
        <w:rPr>
          <w:rFonts w:ascii="Times New Roman" w:hAnsi="Times New Roman" w:cs="Times New Roman"/>
        </w:rPr>
      </w:pPr>
    </w:p>
    <w:tbl>
      <w:tblPr>
        <w:tblStyle w:val="TableGrid1"/>
        <w:tblW w:w="8642" w:type="dxa"/>
        <w:tblInd w:w="421" w:type="dxa"/>
        <w:tblCellMar>
          <w:left w:w="57" w:type="dxa"/>
          <w:right w:w="57" w:type="dxa"/>
        </w:tblCellMar>
        <w:tblLook w:val="04A0" w:firstRow="1" w:lastRow="0" w:firstColumn="1" w:lastColumn="0" w:noHBand="0" w:noVBand="1"/>
      </w:tblPr>
      <w:tblGrid>
        <w:gridCol w:w="8642"/>
      </w:tblGrid>
      <w:tr w:rsidR="006B7C8E" w:rsidRPr="00DD1F63" w14:paraId="6D8FDC64"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53C9535C" w14:textId="01E7D44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10</w:t>
            </w:r>
            <w:r w:rsidRPr="00DD1F63">
              <w:rPr>
                <w:rFonts w:ascii="Times New Roman" w:hAnsi="Times New Roman" w:cs="Times New Roman"/>
                <w:b/>
                <w:sz w:val="21"/>
                <w:szCs w:val="21"/>
              </w:rPr>
              <w:t xml:space="preserve">: Change in </w:t>
            </w:r>
            <w:r w:rsidR="00B90028"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odified </w:t>
            </w:r>
            <w:r w:rsidR="00B90028"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otal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harp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from </w:t>
            </w:r>
            <w:r w:rsidR="00B90028" w:rsidRPr="00DD1F63">
              <w:rPr>
                <w:rFonts w:ascii="Times New Roman" w:hAnsi="Times New Roman" w:cs="Times New Roman"/>
                <w:b/>
                <w:sz w:val="21"/>
                <w:szCs w:val="21"/>
              </w:rPr>
              <w:t>b</w:t>
            </w:r>
            <w:r w:rsidRPr="00DD1F63">
              <w:rPr>
                <w:rFonts w:ascii="Times New Roman" w:hAnsi="Times New Roman" w:cs="Times New Roman"/>
                <w:b/>
                <w:sz w:val="21"/>
                <w:szCs w:val="21"/>
              </w:rPr>
              <w:t xml:space="preserve">aseline at </w:t>
            </w:r>
            <w:r w:rsidR="00B90028" w:rsidRPr="00DD1F63">
              <w:rPr>
                <w:rFonts w:ascii="Times New Roman" w:hAnsi="Times New Roman" w:cs="Times New Roman"/>
                <w:b/>
                <w:sz w:val="21"/>
                <w:szCs w:val="21"/>
              </w:rPr>
              <w:t>w</w:t>
            </w:r>
            <w:r w:rsidRPr="00DD1F63">
              <w:rPr>
                <w:rFonts w:ascii="Times New Roman" w:hAnsi="Times New Roman" w:cs="Times New Roman"/>
                <w:b/>
                <w:sz w:val="21"/>
                <w:szCs w:val="21"/>
              </w:rPr>
              <w:t>eeks 52 and 104 (</w:t>
            </w:r>
            <w:r w:rsidR="00B90028"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ll </w:t>
            </w:r>
            <w:r w:rsidR="00B90028"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andomised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ubjects) in RA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V </w:t>
            </w:r>
          </w:p>
        </w:tc>
      </w:tr>
      <w:tr w:rsidR="006B7C8E" w:rsidRPr="00DD1F63" w14:paraId="6304FBD8"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4306DEB7"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Adalimumab </w:t>
            </w:r>
          </w:p>
          <w:p w14:paraId="799AEC04" w14:textId="77777777" w:rsidR="006B7C8E" w:rsidRPr="00DD1F63" w:rsidRDefault="00CA72FF" w:rsidP="00377A09">
            <w:pPr>
              <w:tabs>
                <w:tab w:val="center" w:pos="2207"/>
                <w:tab w:val="center" w:pos="3611"/>
                <w:tab w:val="center" w:pos="5017"/>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b/>
                <w:sz w:val="21"/>
                <w:szCs w:val="21"/>
              </w:rPr>
              <w:t xml:space="preserve">MTX </w:t>
            </w:r>
            <w:r w:rsidRPr="00DD1F63">
              <w:rPr>
                <w:rFonts w:ascii="Times New Roman" w:hAnsi="Times New Roman" w:cs="Times New Roman"/>
                <w:b/>
                <w:sz w:val="21"/>
                <w:szCs w:val="21"/>
              </w:rPr>
              <w:tab/>
              <w:t xml:space="preserve">Adalimumab </w:t>
            </w:r>
            <w:r w:rsidRPr="00DD1F63">
              <w:rPr>
                <w:rFonts w:ascii="Times New Roman" w:hAnsi="Times New Roman" w:cs="Times New Roman"/>
                <w:b/>
                <w:sz w:val="21"/>
                <w:szCs w:val="21"/>
              </w:rPr>
              <w:tab/>
              <w:t xml:space="preserve">+ MTX </w:t>
            </w:r>
          </w:p>
          <w:p w14:paraId="475D57FA" w14:textId="77777777" w:rsidR="006B7C8E" w:rsidRPr="00DD1F63" w:rsidRDefault="00CA72FF" w:rsidP="00377A09">
            <w:pPr>
              <w:tabs>
                <w:tab w:val="center" w:pos="2207"/>
                <w:tab w:val="center" w:pos="3612"/>
                <w:tab w:val="center" w:pos="5016"/>
                <w:tab w:val="center" w:pos="6419"/>
                <w:tab w:val="center" w:pos="7825"/>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ab/>
              <w:t xml:space="preserve">N=257 </w:t>
            </w:r>
            <w:r w:rsidRPr="00DD1F63">
              <w:rPr>
                <w:rFonts w:ascii="Times New Roman" w:hAnsi="Times New Roman" w:cs="Times New Roman"/>
                <w:b/>
                <w:sz w:val="21"/>
                <w:szCs w:val="21"/>
              </w:rPr>
              <w:tab/>
              <w:t xml:space="preserve">N=274 </w:t>
            </w:r>
            <w:r w:rsidRPr="00DD1F63">
              <w:rPr>
                <w:rFonts w:ascii="Times New Roman" w:hAnsi="Times New Roman" w:cs="Times New Roman"/>
                <w:b/>
                <w:sz w:val="21"/>
                <w:szCs w:val="21"/>
              </w:rPr>
              <w:tab/>
              <w:t xml:space="preserve">N=268 </w:t>
            </w:r>
            <w:r w:rsidRPr="00DD1F63">
              <w:rPr>
                <w:rFonts w:ascii="Times New Roman" w:hAnsi="Times New Roman" w:cs="Times New Roman"/>
                <w:b/>
                <w:sz w:val="21"/>
                <w:szCs w:val="21"/>
              </w:rPr>
              <w:tab/>
              <w:t>p-</w:t>
            </w:r>
            <w:proofErr w:type="spellStart"/>
            <w:r w:rsidRPr="00DD1F63">
              <w:rPr>
                <w:rFonts w:ascii="Times New Roman" w:hAnsi="Times New Roman" w:cs="Times New Roman"/>
                <w:b/>
                <w:sz w:val="21"/>
                <w:szCs w:val="21"/>
              </w:rPr>
              <w:t>value</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ab/>
              <w:t>p-</w:t>
            </w:r>
            <w:proofErr w:type="spellStart"/>
            <w:r w:rsidRPr="00DD1F63">
              <w:rPr>
                <w:rFonts w:ascii="Times New Roman" w:hAnsi="Times New Roman" w:cs="Times New Roman"/>
                <w:b/>
                <w:sz w:val="21"/>
                <w:szCs w:val="21"/>
              </w:rPr>
              <w:t>value</w:t>
            </w:r>
            <w:r w:rsidRPr="00DD1F63">
              <w:rPr>
                <w:rFonts w:ascii="Times New Roman" w:hAnsi="Times New Roman" w:cs="Times New Roman"/>
                <w:b/>
                <w:sz w:val="21"/>
                <w:szCs w:val="21"/>
                <w:vertAlign w:val="superscript"/>
              </w:rPr>
              <w:t>b</w:t>
            </w:r>
            <w:proofErr w:type="spellEnd"/>
            <w:r w:rsidRPr="00DD1F63">
              <w:rPr>
                <w:rFonts w:ascii="Times New Roman" w:hAnsi="Times New Roman" w:cs="Times New Roman"/>
                <w:b/>
                <w:sz w:val="21"/>
                <w:szCs w:val="21"/>
              </w:rPr>
              <w:t xml:space="preserve"> </w:t>
            </w:r>
          </w:p>
        </w:tc>
      </w:tr>
      <w:tr w:rsidR="006B7C8E" w:rsidRPr="00DD1F63" w14:paraId="4B167D1D"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513E6822" w14:textId="77777777" w:rsidR="006B7C8E" w:rsidRPr="00DD1F63" w:rsidRDefault="00CA72FF" w:rsidP="00377A09">
            <w:pPr>
              <w:tabs>
                <w:tab w:val="center" w:pos="2206"/>
                <w:tab w:val="center" w:pos="3610"/>
                <w:tab w:val="center" w:pos="5015"/>
                <w:tab w:val="center" w:pos="6419"/>
                <w:tab w:val="center" w:pos="7823"/>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622DB1F2" w14:textId="77777777" w:rsidR="006B7C8E" w:rsidRPr="00DD1F63" w:rsidRDefault="00CA72FF" w:rsidP="00377A09">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Baseline (mean) </w:t>
            </w:r>
            <w:r w:rsidRPr="00DD1F63">
              <w:rPr>
                <w:rFonts w:ascii="Times New Roman" w:hAnsi="Times New Roman" w:cs="Times New Roman"/>
                <w:sz w:val="21"/>
                <w:szCs w:val="21"/>
              </w:rPr>
              <w:tab/>
              <w:t xml:space="preserve">21.8 ± 22.2 </w:t>
            </w:r>
            <w:r w:rsidRPr="00DD1F63">
              <w:rPr>
                <w:rFonts w:ascii="Times New Roman" w:hAnsi="Times New Roman" w:cs="Times New Roman"/>
                <w:sz w:val="21"/>
                <w:szCs w:val="21"/>
              </w:rPr>
              <w:tab/>
              <w:t xml:space="preserve">18.8 ± 19.0 </w:t>
            </w:r>
            <w:r w:rsidRPr="00DD1F63">
              <w:rPr>
                <w:rFonts w:ascii="Times New Roman" w:hAnsi="Times New Roman" w:cs="Times New Roman"/>
                <w:sz w:val="21"/>
                <w:szCs w:val="21"/>
              </w:rPr>
              <w:tab/>
              <w:t xml:space="preserve">18.1 ± 20.1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0E1089B4" w14:textId="77777777" w:rsidR="006B7C8E" w:rsidRPr="00DD1F63" w:rsidRDefault="00CA72FF" w:rsidP="00377A09">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52 (mean) </w:t>
            </w:r>
            <w:r w:rsidRPr="00DD1F63">
              <w:rPr>
                <w:rFonts w:ascii="Times New Roman" w:hAnsi="Times New Roman" w:cs="Times New Roman"/>
                <w:sz w:val="21"/>
                <w:szCs w:val="21"/>
              </w:rPr>
              <w:tab/>
              <w:t xml:space="preserve">27.6 ± 24.6 </w:t>
            </w:r>
            <w:r w:rsidRPr="00DD1F63">
              <w:rPr>
                <w:rFonts w:ascii="Times New Roman" w:hAnsi="Times New Roman" w:cs="Times New Roman"/>
                <w:sz w:val="21"/>
                <w:szCs w:val="21"/>
              </w:rPr>
              <w:tab/>
              <w:t xml:space="preserve">21.8 ± 19.7 </w:t>
            </w:r>
            <w:r w:rsidRPr="00DD1F63">
              <w:rPr>
                <w:rFonts w:ascii="Times New Roman" w:hAnsi="Times New Roman" w:cs="Times New Roman"/>
                <w:sz w:val="21"/>
                <w:szCs w:val="21"/>
              </w:rPr>
              <w:tab/>
              <w:t xml:space="preserve">19.4 ± 19.9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2B7F6A60" w14:textId="77777777" w:rsidR="006B7C8E" w:rsidRPr="00DD1F63" w:rsidRDefault="00CA72FF" w:rsidP="00377A09">
            <w:pPr>
              <w:tabs>
                <w:tab w:val="center" w:pos="2207"/>
                <w:tab w:val="center" w:pos="3612"/>
                <w:tab w:val="center" w:pos="5016"/>
                <w:tab w:val="center" w:pos="6419"/>
                <w:tab w:val="center" w:pos="7824"/>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Change at Week </w:t>
            </w:r>
            <w:r w:rsidRPr="00DD1F63">
              <w:rPr>
                <w:rFonts w:ascii="Times New Roman" w:hAnsi="Times New Roman" w:cs="Times New Roman"/>
                <w:sz w:val="21"/>
                <w:szCs w:val="21"/>
              </w:rPr>
              <w:tab/>
              <w:t xml:space="preserve">5.7 ± 12.7 </w:t>
            </w:r>
            <w:r w:rsidRPr="00DD1F63">
              <w:rPr>
                <w:rFonts w:ascii="Times New Roman" w:hAnsi="Times New Roman" w:cs="Times New Roman"/>
                <w:sz w:val="21"/>
                <w:szCs w:val="21"/>
              </w:rPr>
              <w:tab/>
              <w:t xml:space="preserve">3.0 ± 11.2 </w:t>
            </w:r>
            <w:r w:rsidRPr="00DD1F63">
              <w:rPr>
                <w:rFonts w:ascii="Times New Roman" w:hAnsi="Times New Roman" w:cs="Times New Roman"/>
                <w:sz w:val="21"/>
                <w:szCs w:val="21"/>
              </w:rPr>
              <w:tab/>
              <w:t xml:space="preserve">1.3 ± 6.5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0.002 </w:t>
            </w:r>
          </w:p>
          <w:p w14:paraId="5220B041"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52 (mean ± SD) </w:t>
            </w:r>
          </w:p>
        </w:tc>
      </w:tr>
      <w:tr w:rsidR="006B7C8E" w:rsidRPr="00DD1F63" w14:paraId="4E22DE88"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38CA90A9" w14:textId="77777777" w:rsidR="006B7C8E" w:rsidRPr="00DD1F63" w:rsidRDefault="00CA72FF" w:rsidP="00377A09">
            <w:pPr>
              <w:tabs>
                <w:tab w:val="center" w:pos="2206"/>
                <w:tab w:val="center" w:pos="3610"/>
                <w:tab w:val="center" w:pos="5015"/>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4E1C760A" w14:textId="77777777" w:rsidR="006B7C8E" w:rsidRPr="00DD1F63" w:rsidRDefault="00CA72FF" w:rsidP="00377A09">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Baseline (mean) </w:t>
            </w:r>
            <w:r w:rsidRPr="00DD1F63">
              <w:rPr>
                <w:rFonts w:ascii="Times New Roman" w:hAnsi="Times New Roman" w:cs="Times New Roman"/>
                <w:sz w:val="21"/>
                <w:szCs w:val="21"/>
              </w:rPr>
              <w:tab/>
              <w:t xml:space="preserve">21.8 ± 22.2 </w:t>
            </w:r>
            <w:r w:rsidRPr="00DD1F63">
              <w:rPr>
                <w:rFonts w:ascii="Times New Roman" w:hAnsi="Times New Roman" w:cs="Times New Roman"/>
                <w:sz w:val="21"/>
                <w:szCs w:val="21"/>
              </w:rPr>
              <w:tab/>
              <w:t xml:space="preserve">18.8 ± 19.0 </w:t>
            </w:r>
            <w:r w:rsidRPr="00DD1F63">
              <w:rPr>
                <w:rFonts w:ascii="Times New Roman" w:hAnsi="Times New Roman" w:cs="Times New Roman"/>
                <w:sz w:val="21"/>
                <w:szCs w:val="21"/>
              </w:rPr>
              <w:tab/>
              <w:t xml:space="preserve">18.1 ± 20.1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34E944E3" w14:textId="77777777" w:rsidR="006B7C8E" w:rsidRPr="00DD1F63" w:rsidRDefault="00CA72FF" w:rsidP="00377A09">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32.3 ± 30.0 </w:t>
            </w:r>
            <w:r w:rsidRPr="00DD1F63">
              <w:rPr>
                <w:rFonts w:ascii="Times New Roman" w:hAnsi="Times New Roman" w:cs="Times New Roman"/>
                <w:sz w:val="21"/>
                <w:szCs w:val="21"/>
              </w:rPr>
              <w:tab/>
              <w:t xml:space="preserve">24.3 ± 23.2 </w:t>
            </w:r>
            <w:r w:rsidRPr="00DD1F63">
              <w:rPr>
                <w:rFonts w:ascii="Times New Roman" w:hAnsi="Times New Roman" w:cs="Times New Roman"/>
                <w:sz w:val="21"/>
                <w:szCs w:val="21"/>
              </w:rPr>
              <w:tab/>
              <w:t xml:space="preserve">20.0 ± 20.5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7404777A"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(mean) </w:t>
            </w:r>
          </w:p>
          <w:p w14:paraId="6A687A4E" w14:textId="77777777" w:rsidR="006B7C8E" w:rsidRPr="00DD1F63" w:rsidRDefault="00CA72FF" w:rsidP="00377A09">
            <w:pPr>
              <w:tabs>
                <w:tab w:val="center" w:pos="2207"/>
                <w:tab w:val="center" w:pos="3612"/>
                <w:tab w:val="center" w:pos="5016"/>
                <w:tab w:val="center" w:pos="6419"/>
                <w:tab w:val="center" w:pos="7824"/>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Change at Week </w:t>
            </w:r>
            <w:r w:rsidRPr="00DD1F63">
              <w:rPr>
                <w:rFonts w:ascii="Times New Roman" w:hAnsi="Times New Roman" w:cs="Times New Roman"/>
                <w:sz w:val="21"/>
                <w:szCs w:val="21"/>
              </w:rPr>
              <w:tab/>
              <w:t xml:space="preserve">10.4 ± 21.7 </w:t>
            </w:r>
            <w:r w:rsidRPr="00DD1F63">
              <w:rPr>
                <w:rFonts w:ascii="Times New Roman" w:hAnsi="Times New Roman" w:cs="Times New Roman"/>
                <w:sz w:val="21"/>
                <w:szCs w:val="21"/>
              </w:rPr>
              <w:tab/>
              <w:t xml:space="preserve">5.5 ± 15.8 </w:t>
            </w:r>
            <w:r w:rsidRPr="00DD1F63">
              <w:rPr>
                <w:rFonts w:ascii="Times New Roman" w:hAnsi="Times New Roman" w:cs="Times New Roman"/>
                <w:sz w:val="21"/>
                <w:szCs w:val="21"/>
              </w:rPr>
              <w:tab/>
              <w:t xml:space="preserve">1.9 ± 8.3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4528ED42"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104 (mean ± SD) </w:t>
            </w:r>
          </w:p>
        </w:tc>
      </w:tr>
    </w:tbl>
    <w:p w14:paraId="2ABFF447" w14:textId="726DC189" w:rsidR="006B7C8E" w:rsidRPr="00DD1F63" w:rsidRDefault="00CA72FF" w:rsidP="00377A09">
      <w:pPr>
        <w:tabs>
          <w:tab w:val="center" w:pos="2379"/>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rPr>
        <w:t xml:space="preserve"> </w:t>
      </w:r>
      <w:r w:rsidRPr="00DD1F63">
        <w:rPr>
          <w:rFonts w:ascii="Times New Roman" w:hAnsi="Times New Roman" w:cs="Times New Roman"/>
          <w:szCs w:val="20"/>
        </w:rPr>
        <w:t xml:space="preserve">Note: Primary analysis imputation used for missing data. </w:t>
      </w:r>
    </w:p>
    <w:p w14:paraId="210B1EB6" w14:textId="77777777" w:rsidR="006B7C8E" w:rsidRPr="00DD1F63" w:rsidRDefault="00CA72FF" w:rsidP="00377A09">
      <w:pPr>
        <w:numPr>
          <w:ilvl w:val="0"/>
          <w:numId w:val="5"/>
        </w:numPr>
        <w:tabs>
          <w:tab w:val="left" w:pos="9038"/>
        </w:tabs>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MTX monotherapy and adalimumab + MTX combination therapy using the Mann-Whitney U test. </w:t>
      </w:r>
    </w:p>
    <w:p w14:paraId="5D723D35" w14:textId="77777777" w:rsidR="0038422C" w:rsidRPr="00DD1F63" w:rsidRDefault="00CA72FF" w:rsidP="00377A09">
      <w:pPr>
        <w:numPr>
          <w:ilvl w:val="0"/>
          <w:numId w:val="5"/>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P-value is from the pairwise comparison of adalimumab monotherapy and adalimumab + MTX combination therapy using the Mann-Whitney U test.</w:t>
      </w:r>
    </w:p>
    <w:p w14:paraId="42A5FA91" w14:textId="4C185B45" w:rsidR="006B7C8E" w:rsidRPr="00DD1F63" w:rsidRDefault="00CA72FF" w:rsidP="00377A09">
      <w:pPr>
        <w:spacing w:after="0" w:line="240" w:lineRule="auto"/>
        <w:ind w:left="426" w:right="367" w:firstLine="0"/>
        <w:jc w:val="left"/>
        <w:rPr>
          <w:rFonts w:ascii="Times New Roman" w:hAnsi="Times New Roman" w:cs="Times New Roman"/>
        </w:rPr>
      </w:pPr>
      <w:r w:rsidRPr="00DD1F63">
        <w:rPr>
          <w:rFonts w:ascii="Times New Roman" w:eastAsia="Times New Roman" w:hAnsi="Times New Roman" w:cs="Times New Roman"/>
        </w:rPr>
        <w:t xml:space="preserve"> </w:t>
      </w:r>
    </w:p>
    <w:p w14:paraId="748A6D55" w14:textId="02A2FD9D"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Physical Function</w:t>
      </w:r>
      <w:r w:rsidRPr="00DD1F63">
        <w:rPr>
          <w:rFonts w:ascii="Times New Roman" w:hAnsi="Times New Roman" w:cs="Times New Roman"/>
          <w:u w:val="none"/>
        </w:rPr>
        <w:t xml:space="preserve"> </w:t>
      </w:r>
    </w:p>
    <w:p w14:paraId="41E81DF7" w14:textId="77777777" w:rsidR="0038422C" w:rsidRPr="00DD1F63" w:rsidRDefault="0038422C" w:rsidP="00377A09">
      <w:pPr>
        <w:spacing w:after="0" w:line="240" w:lineRule="auto"/>
        <w:ind w:left="426" w:hanging="11"/>
        <w:jc w:val="left"/>
        <w:rPr>
          <w:rFonts w:ascii="Times New Roman" w:hAnsi="Times New Roman" w:cs="Times New Roman"/>
        </w:rPr>
      </w:pPr>
    </w:p>
    <w:p w14:paraId="7D913BDA" w14:textId="77A6A96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Health-related quality of life and physical function was assessed using the disability index of the Stanford Health Assessment Questionnaire (HAQ), which was a pre-specified primary endpoint at Week 52 in RA Study III. </w:t>
      </w:r>
    </w:p>
    <w:p w14:paraId="0D84990C" w14:textId="77777777" w:rsidR="0038422C" w:rsidRPr="00DD1F63" w:rsidRDefault="0038422C" w:rsidP="00377A09">
      <w:pPr>
        <w:spacing w:after="0" w:line="240" w:lineRule="auto"/>
        <w:ind w:left="426" w:right="375"/>
        <w:jc w:val="left"/>
        <w:rPr>
          <w:rFonts w:ascii="Times New Roman" w:hAnsi="Times New Roman" w:cs="Times New Roman"/>
          <w:sz w:val="22"/>
        </w:rPr>
      </w:pPr>
    </w:p>
    <w:p w14:paraId="570C19BB" w14:textId="5637DBA0" w:rsidR="00A8649E" w:rsidRPr="00DD1F63" w:rsidRDefault="00CA72FF" w:rsidP="00377A09">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HAQ was developed as a disease-specific outcome measure for rheumatoid arthritis and has been extensively studied in RA. HAQ has been shown to correlate with mortality, work disability, functional limitations, pain, </w:t>
      </w:r>
      <w:proofErr w:type="gramStart"/>
      <w:r w:rsidRPr="00DD1F63">
        <w:rPr>
          <w:rFonts w:ascii="Times New Roman" w:hAnsi="Times New Roman" w:cs="Times New Roman"/>
          <w:sz w:val="22"/>
        </w:rPr>
        <w:t>fatigue</w:t>
      </w:r>
      <w:proofErr w:type="gramEnd"/>
      <w:r w:rsidRPr="00DD1F63">
        <w:rPr>
          <w:rFonts w:ascii="Times New Roman" w:hAnsi="Times New Roman" w:cs="Times New Roman"/>
          <w:sz w:val="22"/>
        </w:rPr>
        <w:t xml:space="preserv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w:t>
      </w:r>
      <w:r w:rsidR="00E97590" w:rsidRPr="00DD1F63">
        <w:rPr>
          <w:rFonts w:ascii="Times New Roman" w:hAnsi="Times New Roman" w:cs="Times New Roman"/>
          <w:sz w:val="22"/>
        </w:rPr>
        <w:t>adalimumab</w:t>
      </w:r>
      <w:r w:rsidRPr="00DD1F63">
        <w:rPr>
          <w:rFonts w:ascii="Times New Roman" w:hAnsi="Times New Roman" w:cs="Times New Roman"/>
          <w:sz w:val="22"/>
        </w:rPr>
        <w:t xml:space="preserve"> in RA Study III showed statistically significantly greater improvement in the disability index of the HAQ from baseline to Month 6 compared to placebo and the same was seen at Week 52.</w:t>
      </w:r>
    </w:p>
    <w:p w14:paraId="4D0B6735" w14:textId="44AA5F05" w:rsidR="0038422C"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3086F4CE" w14:textId="5AE30D5F"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There were 619 patients enrolled in RA Study III </w:t>
      </w:r>
      <w:r w:rsidRPr="00DD1F63">
        <w:rPr>
          <w:rFonts w:ascii="Times New Roman" w:hAnsi="Times New Roman" w:cs="Times New Roman"/>
          <w:spacing w:val="2"/>
          <w:sz w:val="22"/>
        </w:rPr>
        <w:t xml:space="preserve">also known as the DE019 study. The patients were divided into three groups. The first group received placebo injections every week for 52 weeks. The second group received 20 mg of </w:t>
      </w:r>
      <w:r w:rsidR="00A8649E"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every week for 52 weeks. The third group </w:t>
      </w:r>
      <w:r w:rsidRPr="00DD1F63">
        <w:rPr>
          <w:rFonts w:ascii="Times New Roman" w:hAnsi="Times New Roman" w:cs="Times New Roman"/>
          <w:spacing w:val="2"/>
          <w:sz w:val="22"/>
        </w:rPr>
        <w:lastRenderedPageBreak/>
        <w:t>received 40</w:t>
      </w:r>
      <w:r w:rsidRPr="00DD1F63">
        <w:rPr>
          <w:rFonts w:ascii="Times New Roman" w:hAnsi="Times New Roman" w:cs="Times New Roman"/>
          <w:sz w:val="22"/>
        </w:rPr>
        <w:t xml:space="preserve"> mg of </w:t>
      </w:r>
      <w:r w:rsidR="00EE5CDF" w:rsidRPr="00DD1F63">
        <w:rPr>
          <w:rFonts w:ascii="Times New Roman" w:hAnsi="Times New Roman" w:cs="Times New Roman"/>
          <w:sz w:val="22"/>
        </w:rPr>
        <w:t>adalimumab</w:t>
      </w:r>
      <w:r w:rsidRPr="00DD1F63">
        <w:rPr>
          <w:rFonts w:ascii="Times New Roman" w:hAnsi="Times New Roman" w:cs="Times New Roman"/>
          <w:sz w:val="22"/>
        </w:rPr>
        <w:t xml:space="preserve"> fortnightly with placebo injections on alternate weeks. Upon completion of the first 52 weeks,</w:t>
      </w:r>
      <w:r w:rsidR="0038422C" w:rsidRPr="00DD1F63">
        <w:rPr>
          <w:rFonts w:ascii="Times New Roman" w:hAnsi="Times New Roman" w:cs="Times New Roman"/>
          <w:sz w:val="22"/>
        </w:rPr>
        <w:t xml:space="preserve"> </w:t>
      </w:r>
      <w:r w:rsidRPr="00DD1F63">
        <w:rPr>
          <w:rFonts w:ascii="Times New Roman" w:hAnsi="Times New Roman" w:cs="Times New Roman"/>
          <w:sz w:val="22"/>
        </w:rPr>
        <w:t xml:space="preserve">457 patients enrolled in an open-label extension phase (DE019 OLE) in which 40 mg of </w:t>
      </w:r>
      <w:r w:rsidR="009F2EC4" w:rsidRPr="00DD1F63">
        <w:rPr>
          <w:rFonts w:ascii="Times New Roman" w:hAnsi="Times New Roman" w:cs="Times New Roman"/>
          <w:sz w:val="22"/>
        </w:rPr>
        <w:t>adalimumab</w:t>
      </w:r>
      <w:r w:rsidRPr="00DD1F63">
        <w:rPr>
          <w:rFonts w:ascii="Times New Roman" w:hAnsi="Times New Roman" w:cs="Times New Roman"/>
          <w:sz w:val="22"/>
        </w:rPr>
        <w:t xml:space="preserve">/MTX was administered fortnightly. Maintenance of physical function was defined as maintaining a reduction in HAQ of –0.5 over the second year of active treatment. </w:t>
      </w:r>
    </w:p>
    <w:p w14:paraId="4A82C78B" w14:textId="77777777" w:rsidR="0038422C" w:rsidRPr="00DD1F63" w:rsidRDefault="0038422C" w:rsidP="00377A09">
      <w:pPr>
        <w:spacing w:after="0" w:line="240" w:lineRule="auto"/>
        <w:ind w:left="426" w:right="375"/>
        <w:jc w:val="left"/>
        <w:rPr>
          <w:rFonts w:ascii="Times New Roman" w:hAnsi="Times New Roman" w:cs="Times New Roman"/>
          <w:sz w:val="22"/>
        </w:rPr>
      </w:pPr>
    </w:p>
    <w:p w14:paraId="446A4FCA" w14:textId="4FBD4EA6" w:rsidR="006B7C8E" w:rsidRPr="00DD1F63" w:rsidRDefault="00CA72FF" w:rsidP="00377A09">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Results </w:t>
      </w:r>
    </w:p>
    <w:p w14:paraId="7F836A3A" w14:textId="77777777" w:rsidR="0038422C" w:rsidRPr="00DD1F63" w:rsidRDefault="0038422C" w:rsidP="00377A09">
      <w:pPr>
        <w:spacing w:after="0" w:line="240" w:lineRule="auto"/>
        <w:ind w:left="426" w:hanging="11"/>
        <w:jc w:val="left"/>
        <w:rPr>
          <w:sz w:val="22"/>
        </w:rPr>
      </w:pPr>
    </w:p>
    <w:p w14:paraId="3D83C0C4" w14:textId="2CF6149F" w:rsidR="006B7C8E" w:rsidRPr="00DD1F63" w:rsidRDefault="00CA72FF" w:rsidP="00377A09">
      <w:pPr>
        <w:spacing w:after="0" w:line="240" w:lineRule="auto"/>
        <w:ind w:left="426" w:right="375"/>
        <w:jc w:val="left"/>
        <w:rPr>
          <w:rFonts w:ascii="Times New Roman" w:hAnsi="Times New Roman" w:cs="Times New Roman"/>
          <w:sz w:val="22"/>
        </w:rPr>
      </w:pPr>
      <w:r w:rsidRPr="00D4268E">
        <w:rPr>
          <w:rFonts w:ascii="Times New Roman" w:hAnsi="Times New Roman" w:cs="Times New Roman"/>
          <w:spacing w:val="2"/>
          <w:sz w:val="22"/>
        </w:rPr>
        <w:t>In RA Study III, the mean (95% CI) improvement in HAQ from baseline at Week 52 was -0.60</w:t>
      </w:r>
      <w:r w:rsidR="0038422C" w:rsidRPr="00D4268E">
        <w:rPr>
          <w:rFonts w:ascii="Times New Roman" w:hAnsi="Times New Roman" w:cs="Times New Roman"/>
          <w:spacing w:val="2"/>
          <w:sz w:val="22"/>
        </w:rPr>
        <w:t xml:space="preserve"> </w:t>
      </w:r>
      <w:r w:rsidRPr="00D4268E">
        <w:rPr>
          <w:rFonts w:ascii="Times New Roman" w:hAnsi="Times New Roman" w:cs="Times New Roman"/>
          <w:spacing w:val="2"/>
          <w:sz w:val="22"/>
        </w:rPr>
        <w:t>(</w:t>
      </w:r>
      <w:r w:rsidR="00E84655" w:rsidRPr="00D4268E">
        <w:rPr>
          <w:rFonts w:ascii="Times New Roman" w:hAnsi="Times New Roman" w:cs="Times New Roman"/>
          <w:spacing w:val="2"/>
          <w:sz w:val="22"/>
        </w:rPr>
        <w:t>-</w:t>
      </w:r>
      <w:r w:rsidRPr="00D4268E">
        <w:rPr>
          <w:rFonts w:ascii="Times New Roman" w:hAnsi="Times New Roman" w:cs="Times New Roman"/>
          <w:spacing w:val="2"/>
          <w:sz w:val="22"/>
        </w:rPr>
        <w:t>0.65, -0.55) for</w:t>
      </w:r>
      <w:r w:rsidRPr="00DD1F63">
        <w:rPr>
          <w:rFonts w:ascii="Times New Roman" w:hAnsi="Times New Roman" w:cs="Times New Roman"/>
          <w:sz w:val="22"/>
        </w:rPr>
        <w:t xml:space="preserve"> the </w:t>
      </w:r>
      <w:r w:rsidR="00FA6851" w:rsidRPr="00DD1F63">
        <w:rPr>
          <w:rFonts w:ascii="Times New Roman" w:hAnsi="Times New Roman" w:cs="Times New Roman"/>
          <w:sz w:val="22"/>
        </w:rPr>
        <w:t>adalimumab</w:t>
      </w:r>
      <w:r w:rsidRPr="00DD1F63">
        <w:rPr>
          <w:rFonts w:ascii="Times New Roman" w:hAnsi="Times New Roman" w:cs="Times New Roman"/>
          <w:sz w:val="22"/>
        </w:rPr>
        <w:t xml:space="preserve"> patients and -0.25 (-0.33, -0.17) for the placebo/MTX (p&lt;0.001) patients. At Week 104, the mean improvement in HAQ from baseline was –0.70 (-0.8, -0.6) for the </w:t>
      </w:r>
      <w:r w:rsidR="00EF3BCF" w:rsidRPr="00DD1F63">
        <w:rPr>
          <w:rFonts w:ascii="Times New Roman" w:hAnsi="Times New Roman" w:cs="Times New Roman"/>
          <w:sz w:val="22"/>
        </w:rPr>
        <w:t>adalimumab</w:t>
      </w:r>
      <w:r w:rsidRPr="00DD1F63">
        <w:rPr>
          <w:rFonts w:ascii="Times New Roman" w:hAnsi="Times New Roman" w:cs="Times New Roman"/>
          <w:sz w:val="22"/>
        </w:rPr>
        <w:t xml:space="preserve"> patients. </w:t>
      </w:r>
    </w:p>
    <w:p w14:paraId="7FC6DE59" w14:textId="77777777" w:rsidR="00E94E98" w:rsidRPr="00DD1F63" w:rsidRDefault="00E94E98" w:rsidP="00377A09">
      <w:pPr>
        <w:spacing w:after="0" w:line="240" w:lineRule="auto"/>
        <w:ind w:left="426" w:firstLine="0"/>
        <w:jc w:val="left"/>
        <w:rPr>
          <w:rFonts w:ascii="Times New Roman" w:hAnsi="Times New Roman" w:cs="Times New Roman"/>
        </w:rPr>
      </w:pPr>
    </w:p>
    <w:tbl>
      <w:tblPr>
        <w:tblStyle w:val="TableGrid1"/>
        <w:tblW w:w="8917" w:type="dxa"/>
        <w:tblInd w:w="421" w:type="dxa"/>
        <w:tblCellMar>
          <w:left w:w="57" w:type="dxa"/>
          <w:right w:w="57" w:type="dxa"/>
        </w:tblCellMar>
        <w:tblLook w:val="04A0" w:firstRow="1" w:lastRow="0" w:firstColumn="1" w:lastColumn="0" w:noHBand="0" w:noVBand="1"/>
      </w:tblPr>
      <w:tblGrid>
        <w:gridCol w:w="1071"/>
        <w:gridCol w:w="1979"/>
        <w:gridCol w:w="1577"/>
        <w:gridCol w:w="2189"/>
        <w:gridCol w:w="2101"/>
      </w:tblGrid>
      <w:tr w:rsidR="006B7C8E" w:rsidRPr="00DD1F63" w14:paraId="15C3F041" w14:textId="77777777" w:rsidTr="00B84A27">
        <w:trPr>
          <w:trHeight w:val="258"/>
        </w:trPr>
        <w:tc>
          <w:tcPr>
            <w:tcW w:w="8917" w:type="dxa"/>
            <w:gridSpan w:val="5"/>
            <w:tcBorders>
              <w:top w:val="single" w:sz="4" w:space="0" w:color="000000"/>
              <w:left w:val="single" w:sz="4" w:space="0" w:color="000000"/>
              <w:bottom w:val="single" w:sz="4" w:space="0" w:color="000000"/>
              <w:right w:val="single" w:sz="4" w:space="0" w:color="000000"/>
            </w:tcBorders>
            <w:vAlign w:val="bottom"/>
          </w:tcPr>
          <w:p w14:paraId="7682DF78" w14:textId="35C7619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1</w:t>
            </w:r>
            <w:r w:rsidRPr="00DD1F63">
              <w:rPr>
                <w:rFonts w:ascii="Times New Roman" w:hAnsi="Times New Roman" w:cs="Times New Roman"/>
                <w:b/>
                <w:sz w:val="21"/>
                <w:szCs w:val="21"/>
              </w:rPr>
              <w:t xml:space="preserve">: Percentage of </w:t>
            </w:r>
            <w:r w:rsidR="00041C9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t>
            </w:r>
            <w:r w:rsidR="00041C9C"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chieving </w:t>
            </w:r>
            <w:r w:rsidR="00041C9C" w:rsidRPr="00DD1F63">
              <w:rPr>
                <w:rFonts w:ascii="Times New Roman" w:hAnsi="Times New Roman" w:cs="Times New Roman"/>
                <w:b/>
                <w:sz w:val="21"/>
                <w:szCs w:val="21"/>
              </w:rPr>
              <w:t>i</w:t>
            </w:r>
            <w:r w:rsidRPr="00DD1F63">
              <w:rPr>
                <w:rFonts w:ascii="Times New Roman" w:hAnsi="Times New Roman" w:cs="Times New Roman"/>
                <w:b/>
                <w:sz w:val="21"/>
                <w:szCs w:val="21"/>
              </w:rPr>
              <w:t xml:space="preserve">mprovement in </w:t>
            </w:r>
            <w:r w:rsidR="00041C9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hysical </w:t>
            </w:r>
            <w:r w:rsidR="00041C9C" w:rsidRPr="00DD1F63">
              <w:rPr>
                <w:rFonts w:ascii="Times New Roman" w:hAnsi="Times New Roman" w:cs="Times New Roman"/>
                <w:b/>
                <w:sz w:val="21"/>
                <w:szCs w:val="21"/>
              </w:rPr>
              <w:t>f</w:t>
            </w:r>
            <w:r w:rsidRPr="00DD1F63">
              <w:rPr>
                <w:rFonts w:ascii="Times New Roman" w:hAnsi="Times New Roman" w:cs="Times New Roman"/>
                <w:b/>
                <w:sz w:val="21"/>
                <w:szCs w:val="21"/>
              </w:rPr>
              <w:t xml:space="preserve">unction </w:t>
            </w:r>
            <w:r w:rsidR="00041C9C"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fter </w:t>
            </w:r>
            <w:r w:rsidR="00041C9C" w:rsidRPr="00DD1F63">
              <w:rPr>
                <w:rFonts w:ascii="Times New Roman" w:hAnsi="Times New Roman" w:cs="Times New Roman"/>
                <w:b/>
                <w:sz w:val="21"/>
                <w:szCs w:val="21"/>
              </w:rPr>
              <w:t>o</w:t>
            </w:r>
            <w:r w:rsidRPr="00DD1F63">
              <w:rPr>
                <w:rFonts w:ascii="Times New Roman" w:hAnsi="Times New Roman" w:cs="Times New Roman"/>
                <w:b/>
                <w:sz w:val="21"/>
                <w:szCs w:val="21"/>
              </w:rPr>
              <w:t xml:space="preserve">ne and </w:t>
            </w:r>
            <w:r w:rsidR="00041C9C" w:rsidRPr="00DD1F63">
              <w:rPr>
                <w:rFonts w:ascii="Times New Roman" w:hAnsi="Times New Roman" w:cs="Times New Roman"/>
                <w:b/>
                <w:sz w:val="21"/>
                <w:szCs w:val="21"/>
              </w:rPr>
              <w:t>t</w:t>
            </w:r>
            <w:r w:rsidRPr="00DD1F63">
              <w:rPr>
                <w:rFonts w:ascii="Times New Roman" w:hAnsi="Times New Roman" w:cs="Times New Roman"/>
                <w:b/>
                <w:sz w:val="21"/>
                <w:szCs w:val="21"/>
              </w:rPr>
              <w:t>wo</w:t>
            </w:r>
            <w:r w:rsidR="00041C9C" w:rsidRPr="00DD1F63">
              <w:rPr>
                <w:rFonts w:ascii="Times New Roman" w:hAnsi="Times New Roman" w:cs="Times New Roman"/>
                <w:b/>
                <w:sz w:val="21"/>
                <w:szCs w:val="21"/>
              </w:rPr>
              <w:t xml:space="preserve"> y</w:t>
            </w:r>
            <w:r w:rsidRPr="00DD1F63">
              <w:rPr>
                <w:rFonts w:ascii="Times New Roman" w:hAnsi="Times New Roman" w:cs="Times New Roman"/>
                <w:b/>
                <w:sz w:val="21"/>
                <w:szCs w:val="21"/>
              </w:rPr>
              <w:t xml:space="preserve">ears of </w:t>
            </w:r>
            <w:r w:rsidR="00041C9C"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reatment </w:t>
            </w:r>
            <w:r w:rsidR="00041C9C" w:rsidRPr="00DD1F63">
              <w:rPr>
                <w:rFonts w:ascii="Times New Roman" w:hAnsi="Times New Roman" w:cs="Times New Roman"/>
                <w:b/>
                <w:sz w:val="21"/>
                <w:szCs w:val="21"/>
              </w:rPr>
              <w:t>i</w:t>
            </w:r>
            <w:r w:rsidRPr="00DD1F63">
              <w:rPr>
                <w:rFonts w:ascii="Times New Roman" w:hAnsi="Times New Roman" w:cs="Times New Roman"/>
                <w:b/>
                <w:sz w:val="21"/>
                <w:szCs w:val="21"/>
              </w:rPr>
              <w:t xml:space="preserve">n RA </w:t>
            </w:r>
            <w:r w:rsidR="00041C9C"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III </w:t>
            </w:r>
          </w:p>
        </w:tc>
      </w:tr>
      <w:tr w:rsidR="006B7C8E" w:rsidRPr="00DD1F63" w14:paraId="799FCF59" w14:textId="77777777" w:rsidTr="00B84A27">
        <w:trPr>
          <w:trHeight w:val="1006"/>
        </w:trPr>
        <w:tc>
          <w:tcPr>
            <w:tcW w:w="794" w:type="dxa"/>
            <w:tcBorders>
              <w:top w:val="single" w:sz="4" w:space="0" w:color="000000"/>
              <w:left w:val="single" w:sz="4" w:space="0" w:color="000000"/>
              <w:bottom w:val="single" w:sz="4" w:space="0" w:color="000000"/>
              <w:right w:val="single" w:sz="4" w:space="0" w:color="000000"/>
            </w:tcBorders>
            <w:vAlign w:val="center"/>
          </w:tcPr>
          <w:p w14:paraId="68E24667" w14:textId="24F6761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Reduction in HAQ from Baseline</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193A4234" w14:textId="1E1D54D5" w:rsidR="006B7C8E" w:rsidRPr="00DD1F63" w:rsidRDefault="00CA72FF" w:rsidP="00377A09">
            <w:pPr>
              <w:spacing w:after="0" w:line="240" w:lineRule="auto"/>
              <w:ind w:left="0"/>
              <w:jc w:val="left"/>
              <w:rPr>
                <w:rFonts w:ascii="Times New Roman" w:hAnsi="Times New Roman" w:cs="Times New Roman"/>
                <w:b/>
                <w:sz w:val="21"/>
                <w:szCs w:val="21"/>
              </w:rPr>
            </w:pPr>
            <w:r w:rsidRPr="00DD1F63">
              <w:rPr>
                <w:rFonts w:ascii="Times New Roman" w:hAnsi="Times New Roman" w:cs="Times New Roman"/>
                <w:b/>
                <w:sz w:val="21"/>
                <w:szCs w:val="21"/>
              </w:rPr>
              <w:t>Proportion of patients who achieved HAQ reduction at Week 52</w:t>
            </w:r>
          </w:p>
          <w:p w14:paraId="0FFFAE8D" w14:textId="77777777" w:rsidR="00D77E32" w:rsidRPr="00DD1F63" w:rsidRDefault="00D77E32" w:rsidP="00377A09">
            <w:pPr>
              <w:spacing w:after="0" w:line="240" w:lineRule="auto"/>
              <w:ind w:left="0"/>
              <w:jc w:val="left"/>
              <w:rPr>
                <w:rFonts w:ascii="Times New Roman" w:hAnsi="Times New Roman" w:cs="Times New Roman"/>
                <w:b/>
                <w:sz w:val="21"/>
                <w:szCs w:val="21"/>
              </w:rPr>
            </w:pPr>
          </w:p>
          <w:p w14:paraId="4B2DB242" w14:textId="664C283F" w:rsidR="00D77E32" w:rsidRPr="00DD1F63" w:rsidRDefault="00D77E32" w:rsidP="00377A09">
            <w:pPr>
              <w:tabs>
                <w:tab w:val="left" w:pos="1155"/>
              </w:tabs>
              <w:spacing w:after="0" w:line="240" w:lineRule="auto"/>
              <w:ind w:left="0"/>
              <w:jc w:val="left"/>
              <w:rPr>
                <w:rFonts w:ascii="Times New Roman" w:hAnsi="Times New Roman" w:cs="Times New Roman"/>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0C801F" w14:textId="12B0F3E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Proportion of patients who received adalimumab 40 mg fortnightly and who achieved HAQ reduction at Week 104</w:t>
            </w:r>
          </w:p>
        </w:tc>
        <w:tc>
          <w:tcPr>
            <w:tcW w:w="2170" w:type="dxa"/>
            <w:tcBorders>
              <w:top w:val="single" w:sz="4" w:space="0" w:color="000000"/>
              <w:left w:val="single" w:sz="4" w:space="0" w:color="000000"/>
              <w:bottom w:val="single" w:sz="4" w:space="0" w:color="000000"/>
              <w:right w:val="single" w:sz="4" w:space="0" w:color="000000"/>
            </w:tcBorders>
            <w:vAlign w:val="center"/>
          </w:tcPr>
          <w:p w14:paraId="47C8B3A0" w14:textId="298A61F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Proportion of all adalimumab-treated patients with HAQ reduction at Week 52</w:t>
            </w:r>
            <w:r w:rsidR="0066725F"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that was</w:t>
            </w:r>
            <w:r w:rsidR="0066725F"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maintained at Week 104</w:t>
            </w:r>
          </w:p>
        </w:tc>
      </w:tr>
      <w:tr w:rsidR="006B7C8E" w:rsidRPr="00DD1F63" w14:paraId="02EAC58A" w14:textId="77777777" w:rsidTr="00B84A27">
        <w:trPr>
          <w:trHeight w:val="423"/>
        </w:trPr>
        <w:tc>
          <w:tcPr>
            <w:tcW w:w="794" w:type="dxa"/>
            <w:tcBorders>
              <w:top w:val="single" w:sz="4" w:space="0" w:color="000000"/>
              <w:left w:val="single" w:sz="4" w:space="0" w:color="000000"/>
              <w:bottom w:val="single" w:sz="4" w:space="0" w:color="000000"/>
              <w:right w:val="single" w:sz="4" w:space="0" w:color="000000"/>
            </w:tcBorders>
            <w:vAlign w:val="center"/>
          </w:tcPr>
          <w:p w14:paraId="02E27B74" w14:textId="3CDC907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Treatment arm</w:t>
            </w:r>
          </w:p>
        </w:tc>
        <w:tc>
          <w:tcPr>
            <w:tcW w:w="2041" w:type="dxa"/>
            <w:tcBorders>
              <w:top w:val="single" w:sz="4" w:space="0" w:color="000000"/>
              <w:left w:val="single" w:sz="4" w:space="0" w:color="000000"/>
              <w:bottom w:val="single" w:sz="4" w:space="0" w:color="000000"/>
              <w:right w:val="single" w:sz="4" w:space="0" w:color="000000"/>
            </w:tcBorders>
            <w:vAlign w:val="center"/>
          </w:tcPr>
          <w:p w14:paraId="27C0CADF" w14:textId="749F730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 40 mg fortnightly</w:t>
            </w:r>
          </w:p>
        </w:tc>
        <w:tc>
          <w:tcPr>
            <w:tcW w:w="1644" w:type="dxa"/>
            <w:tcBorders>
              <w:top w:val="single" w:sz="4" w:space="0" w:color="000000"/>
              <w:left w:val="single" w:sz="4" w:space="0" w:color="000000"/>
              <w:bottom w:val="single" w:sz="4" w:space="0" w:color="000000"/>
              <w:right w:val="single" w:sz="4" w:space="0" w:color="000000"/>
            </w:tcBorders>
            <w:vAlign w:val="center"/>
          </w:tcPr>
          <w:p w14:paraId="2A338E0D" w14:textId="240DDF0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Placebo</w:t>
            </w:r>
          </w:p>
        </w:tc>
        <w:tc>
          <w:tcPr>
            <w:tcW w:w="2268" w:type="dxa"/>
            <w:tcBorders>
              <w:top w:val="single" w:sz="4" w:space="0" w:color="000000"/>
              <w:left w:val="single" w:sz="4" w:space="0" w:color="000000"/>
              <w:bottom w:val="single" w:sz="4" w:space="0" w:color="000000"/>
              <w:right w:val="single" w:sz="4" w:space="0" w:color="000000"/>
            </w:tcBorders>
            <w:vAlign w:val="center"/>
          </w:tcPr>
          <w:p w14:paraId="16DD55AD" w14:textId="43316AE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 40 mg</w:t>
            </w:r>
          </w:p>
          <w:p w14:paraId="442C963A" w14:textId="59DF009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fortnightly</w:t>
            </w:r>
          </w:p>
        </w:tc>
        <w:tc>
          <w:tcPr>
            <w:tcW w:w="2170" w:type="dxa"/>
            <w:tcBorders>
              <w:top w:val="single" w:sz="4" w:space="0" w:color="000000"/>
              <w:left w:val="single" w:sz="4" w:space="0" w:color="000000"/>
              <w:bottom w:val="single" w:sz="4" w:space="0" w:color="000000"/>
              <w:right w:val="single" w:sz="4" w:space="0" w:color="000000"/>
            </w:tcBorders>
            <w:vAlign w:val="center"/>
          </w:tcPr>
          <w:p w14:paraId="7D8C1ABD" w14:textId="5B25ED61"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All adalimumab</w:t>
            </w:r>
          </w:p>
        </w:tc>
      </w:tr>
      <w:tr w:rsidR="006B7C8E" w:rsidRPr="00DD1F63" w14:paraId="0F5A377E" w14:textId="77777777" w:rsidTr="00B84A27">
        <w:trPr>
          <w:trHeight w:val="49"/>
        </w:trPr>
        <w:tc>
          <w:tcPr>
            <w:tcW w:w="794" w:type="dxa"/>
            <w:tcBorders>
              <w:top w:val="single" w:sz="4" w:space="0" w:color="000000"/>
              <w:left w:val="single" w:sz="4" w:space="0" w:color="000000"/>
              <w:bottom w:val="single" w:sz="4" w:space="0" w:color="000000"/>
              <w:right w:val="single" w:sz="4" w:space="0" w:color="000000"/>
            </w:tcBorders>
            <w:vAlign w:val="center"/>
          </w:tcPr>
          <w:p w14:paraId="03A902CC" w14:textId="5910843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-0.22</w:t>
            </w:r>
          </w:p>
        </w:tc>
        <w:tc>
          <w:tcPr>
            <w:tcW w:w="2041" w:type="dxa"/>
            <w:tcBorders>
              <w:top w:val="single" w:sz="4" w:space="0" w:color="000000"/>
              <w:left w:val="single" w:sz="4" w:space="0" w:color="000000"/>
              <w:bottom w:val="single" w:sz="4" w:space="0" w:color="000000"/>
              <w:right w:val="single" w:sz="4" w:space="0" w:color="000000"/>
            </w:tcBorders>
            <w:vAlign w:val="center"/>
          </w:tcPr>
          <w:p w14:paraId="05DD006A" w14:textId="69AE2ED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150/207 (72.5%)</w:t>
            </w:r>
          </w:p>
        </w:tc>
        <w:tc>
          <w:tcPr>
            <w:tcW w:w="1644" w:type="dxa"/>
            <w:tcBorders>
              <w:top w:val="single" w:sz="4" w:space="0" w:color="000000"/>
              <w:left w:val="single" w:sz="4" w:space="0" w:color="000000"/>
              <w:bottom w:val="single" w:sz="4" w:space="0" w:color="000000"/>
              <w:right w:val="single" w:sz="4" w:space="0" w:color="000000"/>
            </w:tcBorders>
            <w:vAlign w:val="center"/>
          </w:tcPr>
          <w:p w14:paraId="0A65A4BD" w14:textId="5A47D2A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96/200 (48%)</w:t>
            </w:r>
          </w:p>
        </w:tc>
        <w:tc>
          <w:tcPr>
            <w:tcW w:w="2268" w:type="dxa"/>
            <w:tcBorders>
              <w:top w:val="single" w:sz="4" w:space="0" w:color="000000"/>
              <w:left w:val="single" w:sz="4" w:space="0" w:color="000000"/>
              <w:bottom w:val="single" w:sz="4" w:space="0" w:color="000000"/>
              <w:right w:val="single" w:sz="4" w:space="0" w:color="000000"/>
            </w:tcBorders>
            <w:vAlign w:val="center"/>
          </w:tcPr>
          <w:p w14:paraId="786DA0C1" w14:textId="10696E1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123/207 (59.4%)</w:t>
            </w:r>
          </w:p>
        </w:tc>
        <w:tc>
          <w:tcPr>
            <w:tcW w:w="2170" w:type="dxa"/>
            <w:tcBorders>
              <w:top w:val="single" w:sz="4" w:space="0" w:color="000000"/>
              <w:left w:val="single" w:sz="4" w:space="0" w:color="000000"/>
              <w:bottom w:val="single" w:sz="4" w:space="0" w:color="000000"/>
              <w:right w:val="single" w:sz="4" w:space="0" w:color="000000"/>
            </w:tcBorders>
            <w:vAlign w:val="center"/>
          </w:tcPr>
          <w:p w14:paraId="20BD0AF6" w14:textId="37B15A3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231/258 (89.5%)</w:t>
            </w:r>
          </w:p>
        </w:tc>
      </w:tr>
      <w:tr w:rsidR="006B7C8E" w:rsidRPr="00DD1F63" w14:paraId="4E32E8C9" w14:textId="77777777" w:rsidTr="00B84A27">
        <w:trPr>
          <w:trHeight w:val="15"/>
        </w:trPr>
        <w:tc>
          <w:tcPr>
            <w:tcW w:w="794" w:type="dxa"/>
            <w:tcBorders>
              <w:top w:val="single" w:sz="4" w:space="0" w:color="000000"/>
              <w:left w:val="single" w:sz="4" w:space="0" w:color="000000"/>
              <w:bottom w:val="single" w:sz="4" w:space="0" w:color="000000"/>
              <w:right w:val="single" w:sz="4" w:space="0" w:color="000000"/>
            </w:tcBorders>
            <w:vAlign w:val="center"/>
          </w:tcPr>
          <w:p w14:paraId="130F9220" w14:textId="29E0005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w:t>
            </w:r>
          </w:p>
        </w:tc>
        <w:tc>
          <w:tcPr>
            <w:tcW w:w="2041" w:type="dxa"/>
            <w:tcBorders>
              <w:top w:val="single" w:sz="4" w:space="0" w:color="000000"/>
              <w:left w:val="single" w:sz="4" w:space="0" w:color="000000"/>
              <w:bottom w:val="single" w:sz="4" w:space="0" w:color="000000"/>
              <w:right w:val="single" w:sz="4" w:space="0" w:color="000000"/>
            </w:tcBorders>
            <w:vAlign w:val="center"/>
          </w:tcPr>
          <w:p w14:paraId="576595B0" w14:textId="1179370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114/207 (55.1%)</w:t>
            </w:r>
          </w:p>
        </w:tc>
        <w:tc>
          <w:tcPr>
            <w:tcW w:w="1644" w:type="dxa"/>
            <w:tcBorders>
              <w:top w:val="single" w:sz="4" w:space="0" w:color="000000"/>
              <w:left w:val="single" w:sz="4" w:space="0" w:color="000000"/>
              <w:bottom w:val="single" w:sz="4" w:space="0" w:color="000000"/>
              <w:right w:val="single" w:sz="4" w:space="0" w:color="000000"/>
            </w:tcBorders>
            <w:vAlign w:val="center"/>
          </w:tcPr>
          <w:p w14:paraId="6F2C6663" w14:textId="724127A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56/200 (28%)</w:t>
            </w:r>
          </w:p>
        </w:tc>
        <w:tc>
          <w:tcPr>
            <w:tcW w:w="2268" w:type="dxa"/>
            <w:tcBorders>
              <w:top w:val="single" w:sz="4" w:space="0" w:color="000000"/>
              <w:left w:val="single" w:sz="4" w:space="0" w:color="000000"/>
              <w:bottom w:val="single" w:sz="4" w:space="0" w:color="000000"/>
              <w:right w:val="single" w:sz="4" w:space="0" w:color="000000"/>
            </w:tcBorders>
            <w:vAlign w:val="center"/>
          </w:tcPr>
          <w:p w14:paraId="1560E1EC" w14:textId="489B84F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94/207 (45.4%)</w:t>
            </w:r>
          </w:p>
        </w:tc>
        <w:tc>
          <w:tcPr>
            <w:tcW w:w="2170" w:type="dxa"/>
            <w:tcBorders>
              <w:top w:val="single" w:sz="4" w:space="0" w:color="000000"/>
              <w:left w:val="single" w:sz="4" w:space="0" w:color="000000"/>
              <w:bottom w:val="single" w:sz="4" w:space="0" w:color="000000"/>
              <w:right w:val="single" w:sz="4" w:space="0" w:color="000000"/>
            </w:tcBorders>
            <w:vAlign w:val="center"/>
          </w:tcPr>
          <w:p w14:paraId="40C7DB3F" w14:textId="1148DA4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167/204 (81.9%)</w:t>
            </w:r>
          </w:p>
        </w:tc>
      </w:tr>
      <w:tr w:rsidR="006B7C8E" w:rsidRPr="00DD1F63" w14:paraId="06E4B45A" w14:textId="77777777" w:rsidTr="00B84A27">
        <w:trPr>
          <w:trHeight w:val="15"/>
        </w:trPr>
        <w:tc>
          <w:tcPr>
            <w:tcW w:w="794" w:type="dxa"/>
            <w:tcBorders>
              <w:top w:val="single" w:sz="4" w:space="0" w:color="000000"/>
              <w:left w:val="single" w:sz="4" w:space="0" w:color="000000"/>
              <w:bottom w:val="single" w:sz="4" w:space="0" w:color="000000"/>
              <w:right w:val="single" w:sz="4" w:space="0" w:color="000000"/>
            </w:tcBorders>
            <w:vAlign w:val="center"/>
          </w:tcPr>
          <w:p w14:paraId="12194C40" w14:textId="32EA10B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-0.75</w:t>
            </w:r>
          </w:p>
        </w:tc>
        <w:tc>
          <w:tcPr>
            <w:tcW w:w="2041" w:type="dxa"/>
            <w:tcBorders>
              <w:top w:val="single" w:sz="4" w:space="0" w:color="000000"/>
              <w:left w:val="single" w:sz="4" w:space="0" w:color="000000"/>
              <w:bottom w:val="single" w:sz="4" w:space="0" w:color="000000"/>
              <w:right w:val="single" w:sz="4" w:space="0" w:color="000000"/>
            </w:tcBorders>
            <w:vAlign w:val="center"/>
          </w:tcPr>
          <w:p w14:paraId="6F8EF5EF" w14:textId="588FDDD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82/207 (39.6%)</w:t>
            </w:r>
          </w:p>
        </w:tc>
        <w:tc>
          <w:tcPr>
            <w:tcW w:w="1644" w:type="dxa"/>
            <w:tcBorders>
              <w:top w:val="single" w:sz="4" w:space="0" w:color="000000"/>
              <w:left w:val="single" w:sz="4" w:space="0" w:color="000000"/>
              <w:bottom w:val="single" w:sz="4" w:space="0" w:color="000000"/>
              <w:right w:val="single" w:sz="4" w:space="0" w:color="000000"/>
            </w:tcBorders>
            <w:vAlign w:val="center"/>
          </w:tcPr>
          <w:p w14:paraId="5A7DC4FD" w14:textId="223DBAF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40/200 (20%)</w:t>
            </w:r>
          </w:p>
        </w:tc>
        <w:tc>
          <w:tcPr>
            <w:tcW w:w="2268" w:type="dxa"/>
            <w:tcBorders>
              <w:top w:val="single" w:sz="4" w:space="0" w:color="000000"/>
              <w:left w:val="single" w:sz="4" w:space="0" w:color="000000"/>
              <w:bottom w:val="single" w:sz="4" w:space="0" w:color="000000"/>
              <w:right w:val="single" w:sz="4" w:space="0" w:color="000000"/>
            </w:tcBorders>
            <w:vAlign w:val="center"/>
          </w:tcPr>
          <w:p w14:paraId="25FAFECB" w14:textId="353ABBB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71/207 (34.3%)</w:t>
            </w:r>
          </w:p>
        </w:tc>
        <w:tc>
          <w:tcPr>
            <w:tcW w:w="2170" w:type="dxa"/>
            <w:tcBorders>
              <w:top w:val="single" w:sz="4" w:space="0" w:color="000000"/>
              <w:left w:val="single" w:sz="4" w:space="0" w:color="000000"/>
              <w:bottom w:val="single" w:sz="4" w:space="0" w:color="000000"/>
              <w:right w:val="single" w:sz="4" w:space="0" w:color="000000"/>
            </w:tcBorders>
            <w:vAlign w:val="center"/>
          </w:tcPr>
          <w:p w14:paraId="290D8644" w14:textId="293F825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124/149 (83.2%)</w:t>
            </w:r>
          </w:p>
        </w:tc>
      </w:tr>
      <w:tr w:rsidR="006B7C8E" w:rsidRPr="00DD1F63" w14:paraId="65C6F52B" w14:textId="77777777" w:rsidTr="00B84A27">
        <w:trPr>
          <w:trHeight w:val="15"/>
        </w:trPr>
        <w:tc>
          <w:tcPr>
            <w:tcW w:w="794" w:type="dxa"/>
            <w:tcBorders>
              <w:top w:val="single" w:sz="4" w:space="0" w:color="000000"/>
              <w:left w:val="single" w:sz="4" w:space="0" w:color="000000"/>
              <w:bottom w:val="single" w:sz="4" w:space="0" w:color="000000"/>
              <w:right w:val="single" w:sz="4" w:space="0" w:color="000000"/>
            </w:tcBorders>
            <w:vAlign w:val="center"/>
          </w:tcPr>
          <w:p w14:paraId="0EE7856A" w14:textId="0477316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2041" w:type="dxa"/>
            <w:tcBorders>
              <w:top w:val="single" w:sz="4" w:space="0" w:color="000000"/>
              <w:left w:val="single" w:sz="4" w:space="0" w:color="000000"/>
              <w:bottom w:val="single" w:sz="4" w:space="0" w:color="000000"/>
              <w:right w:val="single" w:sz="4" w:space="0" w:color="000000"/>
            </w:tcBorders>
            <w:vAlign w:val="center"/>
          </w:tcPr>
          <w:p w14:paraId="62F5E722" w14:textId="6BAFC77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56/207 (27.1%)</w:t>
            </w:r>
          </w:p>
        </w:tc>
        <w:tc>
          <w:tcPr>
            <w:tcW w:w="1644" w:type="dxa"/>
            <w:tcBorders>
              <w:top w:val="single" w:sz="4" w:space="0" w:color="000000"/>
              <w:left w:val="single" w:sz="4" w:space="0" w:color="000000"/>
              <w:bottom w:val="single" w:sz="4" w:space="0" w:color="000000"/>
              <w:right w:val="single" w:sz="4" w:space="0" w:color="000000"/>
            </w:tcBorders>
            <w:vAlign w:val="center"/>
          </w:tcPr>
          <w:p w14:paraId="0EB0E2F7" w14:textId="5183E1C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22/200 (11%)</w:t>
            </w:r>
          </w:p>
        </w:tc>
        <w:tc>
          <w:tcPr>
            <w:tcW w:w="2268" w:type="dxa"/>
            <w:tcBorders>
              <w:top w:val="single" w:sz="4" w:space="0" w:color="000000"/>
              <w:left w:val="single" w:sz="4" w:space="0" w:color="000000"/>
              <w:bottom w:val="single" w:sz="4" w:space="0" w:color="000000"/>
              <w:right w:val="single" w:sz="4" w:space="0" w:color="000000"/>
            </w:tcBorders>
            <w:vAlign w:val="center"/>
          </w:tcPr>
          <w:p w14:paraId="32FFC884" w14:textId="4B7A003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40/207 (19.3%)</w:t>
            </w:r>
          </w:p>
        </w:tc>
        <w:tc>
          <w:tcPr>
            <w:tcW w:w="2170" w:type="dxa"/>
            <w:tcBorders>
              <w:top w:val="single" w:sz="4" w:space="0" w:color="000000"/>
              <w:left w:val="single" w:sz="4" w:space="0" w:color="000000"/>
              <w:bottom w:val="single" w:sz="4" w:space="0" w:color="000000"/>
              <w:right w:val="single" w:sz="4" w:space="0" w:color="000000"/>
            </w:tcBorders>
            <w:vAlign w:val="center"/>
          </w:tcPr>
          <w:p w14:paraId="19BC3EEE" w14:textId="22660A4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69/103 (67.0%)</w:t>
            </w:r>
          </w:p>
        </w:tc>
      </w:tr>
    </w:tbl>
    <w:p w14:paraId="1CB8621E"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sz w:val="22"/>
        </w:rPr>
        <w:t xml:space="preserve"> </w:t>
      </w:r>
    </w:p>
    <w:p w14:paraId="582F7A0C" w14:textId="0BB47C72" w:rsidR="0038422C" w:rsidRPr="00DD1F63" w:rsidRDefault="00CA72FF" w:rsidP="00377A09">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Year 2, 94/207 (45.4%) of patients who originally entered the study achieved a –0.5 reduction in HAQ. 79.5% (115/195) of the patients who achieved a reduction in HAQ of –0.5 at the end of one year of </w:t>
      </w:r>
      <w:r w:rsidR="00F11CD7" w:rsidRPr="00DD1F63">
        <w:rPr>
          <w:rFonts w:ascii="Times New Roman" w:hAnsi="Times New Roman" w:cs="Times New Roman"/>
          <w:sz w:val="22"/>
        </w:rPr>
        <w:t>adalimumab</w:t>
      </w:r>
      <w:r w:rsidRPr="00DD1F63">
        <w:rPr>
          <w:rFonts w:ascii="Times New Roman" w:hAnsi="Times New Roman" w:cs="Times New Roman"/>
          <w:sz w:val="22"/>
        </w:rPr>
        <w:t xml:space="preserve"> treatment maintained this response over 5 years of active treatment.</w:t>
      </w:r>
    </w:p>
    <w:p w14:paraId="6898D729" w14:textId="4D0F1F45"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A833DEC" w14:textId="2616E633" w:rsidR="006B7C8E" w:rsidRPr="00DD1F63" w:rsidRDefault="00CA72FF" w:rsidP="00377A09">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Quality of </w:t>
      </w:r>
      <w:r w:rsidR="00191672" w:rsidRPr="00DD1F63">
        <w:rPr>
          <w:rFonts w:ascii="Times New Roman" w:hAnsi="Times New Roman" w:cs="Times New Roman"/>
        </w:rPr>
        <w:t>l</w:t>
      </w:r>
      <w:r w:rsidRPr="00DD1F63">
        <w:rPr>
          <w:rFonts w:ascii="Times New Roman" w:hAnsi="Times New Roman" w:cs="Times New Roman"/>
        </w:rPr>
        <w:t>ife</w:t>
      </w:r>
      <w:r w:rsidRPr="00DD1F63">
        <w:rPr>
          <w:rFonts w:ascii="Times New Roman" w:hAnsi="Times New Roman" w:cs="Times New Roman"/>
          <w:u w:val="none"/>
        </w:rPr>
        <w:t xml:space="preserve"> </w:t>
      </w:r>
    </w:p>
    <w:p w14:paraId="704EC110" w14:textId="77777777" w:rsidR="0038422C" w:rsidRPr="00DD1F63" w:rsidRDefault="0038422C" w:rsidP="00377A09">
      <w:pPr>
        <w:spacing w:after="0" w:line="240" w:lineRule="auto"/>
        <w:ind w:left="426" w:hanging="11"/>
        <w:jc w:val="left"/>
        <w:rPr>
          <w:sz w:val="22"/>
        </w:rPr>
      </w:pPr>
    </w:p>
    <w:p w14:paraId="27EB7482" w14:textId="578A02A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Results from the Short Form Health Survey (SF-36) for all doses/schedules of </w:t>
      </w:r>
      <w:r w:rsidR="00191672" w:rsidRPr="00DD1F63">
        <w:rPr>
          <w:rFonts w:ascii="Times New Roman" w:hAnsi="Times New Roman" w:cs="Times New Roman"/>
          <w:sz w:val="22"/>
        </w:rPr>
        <w:t>adalimumab</w:t>
      </w:r>
      <w:r w:rsidRPr="00DD1F63">
        <w:rPr>
          <w:rFonts w:ascii="Times New Roman" w:hAnsi="Times New Roman" w:cs="Times New Roman"/>
          <w:sz w:val="22"/>
        </w:rPr>
        <w:t xml:space="preserve">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 </w:t>
      </w:r>
    </w:p>
    <w:p w14:paraId="2C59B37E" w14:textId="77777777" w:rsidR="0038422C" w:rsidRPr="00DD1F63" w:rsidRDefault="0038422C" w:rsidP="00377A09">
      <w:pPr>
        <w:spacing w:after="0" w:line="240" w:lineRule="auto"/>
        <w:ind w:left="426" w:right="375"/>
        <w:jc w:val="left"/>
        <w:rPr>
          <w:rFonts w:ascii="Times New Roman" w:hAnsi="Times New Roman" w:cs="Times New Roman"/>
          <w:sz w:val="22"/>
        </w:rPr>
      </w:pPr>
    </w:p>
    <w:p w14:paraId="0EE156AD" w14:textId="649394A1" w:rsidR="006B7C8E" w:rsidRPr="00DD1F63" w:rsidRDefault="00CA72FF" w:rsidP="00377A09">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V, the active-comparator controlled study in early rheumatoid arthritis, the improvement in the HAQ disability index and the physical component of the SF-36 showed greater improvement (p&lt;0.001) for </w:t>
      </w:r>
      <w:proofErr w:type="spellStart"/>
      <w:r w:rsidR="005C7E2A" w:rsidRPr="00DD1F63">
        <w:rPr>
          <w:rFonts w:ascii="Times New Roman" w:hAnsi="Times New Roman" w:cs="Times New Roman"/>
          <w:sz w:val="22"/>
        </w:rPr>
        <w:t>adlimumab</w:t>
      </w:r>
      <w:proofErr w:type="spellEnd"/>
      <w:r w:rsidRPr="00DD1F63">
        <w:rPr>
          <w:rFonts w:ascii="Times New Roman" w:hAnsi="Times New Roman" w:cs="Times New Roman"/>
          <w:sz w:val="22"/>
        </w:rPr>
        <w:t>/methotrexate combination therapy versus methotrexate monotherapy at</w:t>
      </w:r>
      <w:r w:rsidR="0038422C" w:rsidRPr="00DD1F63">
        <w:rPr>
          <w:rFonts w:ascii="Times New Roman" w:hAnsi="Times New Roman" w:cs="Times New Roman"/>
          <w:sz w:val="22"/>
        </w:rPr>
        <w:t xml:space="preserve"> </w:t>
      </w:r>
      <w:r w:rsidRPr="00DD1F63">
        <w:rPr>
          <w:rFonts w:ascii="Times New Roman" w:hAnsi="Times New Roman" w:cs="Times New Roman"/>
          <w:sz w:val="22"/>
        </w:rPr>
        <w:t xml:space="preserve">Week 52, which was maintained through Week 104. Among the 250 subjects who completed the open-label extension study, improvements in physical function (measured by HAQ-DI response) were maintained through 10 years of treatment. No statistical hypothesis was tested in the OLE phase. </w:t>
      </w:r>
    </w:p>
    <w:p w14:paraId="25478B1C" w14:textId="77777777" w:rsidR="0038422C" w:rsidRPr="00DD1F63" w:rsidRDefault="0038422C" w:rsidP="00377A09">
      <w:pPr>
        <w:spacing w:after="0" w:line="240" w:lineRule="auto"/>
        <w:ind w:left="426" w:right="375"/>
        <w:jc w:val="left"/>
        <w:rPr>
          <w:rFonts w:ascii="Times New Roman" w:hAnsi="Times New Roman" w:cs="Times New Roman"/>
          <w:sz w:val="22"/>
        </w:rPr>
      </w:pPr>
    </w:p>
    <w:p w14:paraId="3FBB72D6" w14:textId="52422F13" w:rsidR="0038422C" w:rsidRPr="00DD1F63" w:rsidRDefault="00CA72FF" w:rsidP="00377A09">
      <w:pPr>
        <w:pStyle w:val="Heading3"/>
        <w:pageBreakBefore/>
        <w:spacing w:after="0" w:line="240" w:lineRule="auto"/>
        <w:ind w:left="425" w:hanging="11"/>
        <w:rPr>
          <w:rFonts w:ascii="Times New Roman" w:hAnsi="Times New Roman" w:cs="Times New Roman"/>
          <w:u w:val="none"/>
        </w:rPr>
      </w:pPr>
      <w:r w:rsidRPr="00DD1F63">
        <w:rPr>
          <w:rFonts w:ascii="Times New Roman" w:hAnsi="Times New Roman" w:cs="Times New Roman"/>
        </w:rPr>
        <w:lastRenderedPageBreak/>
        <w:t xml:space="preserve">Injection </w:t>
      </w:r>
      <w:r w:rsidR="005C7E2A" w:rsidRPr="00DD1F63">
        <w:rPr>
          <w:rFonts w:ascii="Times New Roman" w:hAnsi="Times New Roman" w:cs="Times New Roman"/>
        </w:rPr>
        <w:t>s</w:t>
      </w:r>
      <w:r w:rsidRPr="00DD1F63">
        <w:rPr>
          <w:rFonts w:ascii="Times New Roman" w:hAnsi="Times New Roman" w:cs="Times New Roman"/>
        </w:rPr>
        <w:t xml:space="preserve">ite </w:t>
      </w:r>
      <w:r w:rsidR="005C7E2A" w:rsidRPr="00DD1F63">
        <w:rPr>
          <w:rFonts w:ascii="Times New Roman" w:hAnsi="Times New Roman" w:cs="Times New Roman"/>
        </w:rPr>
        <w:t>p</w:t>
      </w:r>
      <w:r w:rsidRPr="00DD1F63">
        <w:rPr>
          <w:rFonts w:ascii="Times New Roman" w:hAnsi="Times New Roman" w:cs="Times New Roman"/>
        </w:rPr>
        <w:t>ain</w:t>
      </w:r>
      <w:r w:rsidRPr="00DD1F63">
        <w:rPr>
          <w:rFonts w:ascii="Times New Roman" w:hAnsi="Times New Roman" w:cs="Times New Roman"/>
          <w:u w:val="none"/>
        </w:rPr>
        <w:t xml:space="preserve"> </w:t>
      </w:r>
    </w:p>
    <w:p w14:paraId="2B621423" w14:textId="77777777" w:rsidR="00990964" w:rsidRPr="00DD1F63" w:rsidRDefault="00990964" w:rsidP="00377A09">
      <w:pPr>
        <w:spacing w:after="0" w:line="240" w:lineRule="auto"/>
        <w:ind w:left="425" w:hanging="11"/>
        <w:jc w:val="left"/>
      </w:pPr>
    </w:p>
    <w:p w14:paraId="6BAD4C68" w14:textId="36A70959" w:rsidR="006B7C8E" w:rsidRPr="00DD1F63" w:rsidRDefault="00CA72FF" w:rsidP="00377A09">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For the pooled crossover RA studies VI and VII, a statistically significant difference for injection site pain immediately after dosing was observed between </w:t>
      </w:r>
      <w:r w:rsidR="00A4074A" w:rsidRPr="00DD1F63">
        <w:rPr>
          <w:rFonts w:ascii="Times New Roman" w:hAnsi="Times New Roman" w:cs="Times New Roman"/>
          <w:sz w:val="22"/>
        </w:rPr>
        <w:t>adalimumab</w:t>
      </w:r>
      <w:r w:rsidR="00B84A27" w:rsidRPr="00DD1F63">
        <w:rPr>
          <w:rFonts w:ascii="Times New Roman" w:hAnsi="Times New Roman" w:cs="Times New Roman"/>
          <w:sz w:val="22"/>
        </w:rPr>
        <w:t xml:space="preserve"> </w:t>
      </w:r>
      <w:r w:rsidRPr="00DD1F63">
        <w:rPr>
          <w:rFonts w:ascii="Times New Roman" w:hAnsi="Times New Roman" w:cs="Times New Roman"/>
          <w:sz w:val="22"/>
        </w:rPr>
        <w:t xml:space="preserve">40 mg/ 0.8 mL and </w:t>
      </w:r>
      <w:r w:rsidR="00B84A27" w:rsidRPr="00DD1F63">
        <w:rPr>
          <w:rFonts w:ascii="Times New Roman" w:hAnsi="Times New Roman" w:cs="Times New Roman"/>
          <w:sz w:val="22"/>
        </w:rPr>
        <w:t>adalimumab</w:t>
      </w:r>
      <w:r w:rsidRPr="00DD1F63">
        <w:rPr>
          <w:rFonts w:ascii="Times New Roman" w:hAnsi="Times New Roman" w:cs="Times New Roman"/>
          <w:sz w:val="22"/>
        </w:rPr>
        <w:t xml:space="preserve"> 40 mg/ 0.4 mL (mean VAS of 3.7 cm versus 1.2 cm, scale of 0-10 cm, P &lt; 0.001). This represented an 84% median reduction in injection site pain. </w:t>
      </w:r>
    </w:p>
    <w:p w14:paraId="03611867" w14:textId="77777777" w:rsidR="00990964" w:rsidRPr="00DD1F63" w:rsidRDefault="00990964" w:rsidP="00377A09">
      <w:pPr>
        <w:spacing w:after="0" w:line="240" w:lineRule="auto"/>
        <w:ind w:left="426" w:right="370"/>
        <w:jc w:val="left"/>
        <w:rPr>
          <w:rFonts w:ascii="Times New Roman" w:hAnsi="Times New Roman" w:cs="Times New Roman"/>
          <w:sz w:val="22"/>
        </w:rPr>
      </w:pPr>
    </w:p>
    <w:p w14:paraId="22A329AF" w14:textId="77895F25" w:rsidR="00A4074A" w:rsidRPr="00DD1F63" w:rsidRDefault="00A4074A" w:rsidP="00377A09">
      <w:pPr>
        <w:pStyle w:val="Heading2"/>
        <w:spacing w:after="0" w:line="240" w:lineRule="auto"/>
        <w:ind w:left="426" w:firstLine="0"/>
        <w:rPr>
          <w:rFonts w:ascii="Times New Roman" w:hAnsi="Times New Roman" w:cs="Times New Roman"/>
          <w:b w:val="0"/>
          <w:bCs/>
          <w:sz w:val="22"/>
          <w:u w:val="single" w:color="000000"/>
        </w:rPr>
      </w:pPr>
      <w:r w:rsidRPr="00DD1F63">
        <w:rPr>
          <w:rFonts w:ascii="Times New Roman" w:hAnsi="Times New Roman" w:cs="Times New Roman"/>
          <w:b w:val="0"/>
          <w:bCs/>
          <w:sz w:val="22"/>
          <w:u w:val="single" w:color="000000"/>
        </w:rPr>
        <w:t>Clinical trials for juvenile idiopathic arthritis</w:t>
      </w:r>
    </w:p>
    <w:p w14:paraId="72591402" w14:textId="45CD29D3" w:rsidR="006B7C8E" w:rsidRPr="00DD1F63" w:rsidRDefault="006B7C8E" w:rsidP="00377A09">
      <w:pPr>
        <w:pStyle w:val="Heading2"/>
        <w:spacing w:after="0" w:line="240" w:lineRule="auto"/>
        <w:ind w:left="426" w:firstLine="0"/>
        <w:rPr>
          <w:rFonts w:ascii="Times New Roman" w:hAnsi="Times New Roman" w:cs="Times New Roman"/>
          <w:sz w:val="22"/>
        </w:rPr>
      </w:pPr>
    </w:p>
    <w:p w14:paraId="5E619606" w14:textId="296BEBC5" w:rsidR="006B7C8E" w:rsidRPr="00DD1F63" w:rsidRDefault="00CA72FF" w:rsidP="00377A09">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Polyarticular </w:t>
      </w:r>
      <w:r w:rsidR="00A4074A" w:rsidRPr="00DD1F63">
        <w:rPr>
          <w:rFonts w:ascii="Times New Roman" w:hAnsi="Times New Roman" w:cs="Times New Roman"/>
          <w:i/>
          <w:iCs/>
        </w:rPr>
        <w:t>j</w:t>
      </w:r>
      <w:r w:rsidRPr="00DD1F63">
        <w:rPr>
          <w:rFonts w:ascii="Times New Roman" w:hAnsi="Times New Roman" w:cs="Times New Roman"/>
          <w:i/>
          <w:iCs/>
        </w:rPr>
        <w:t xml:space="preserve">uvenile </w:t>
      </w:r>
      <w:r w:rsidR="00A4074A" w:rsidRPr="00DD1F63">
        <w:rPr>
          <w:rFonts w:ascii="Times New Roman" w:hAnsi="Times New Roman" w:cs="Times New Roman"/>
          <w:i/>
          <w:iCs/>
        </w:rPr>
        <w:t>i</w:t>
      </w:r>
      <w:r w:rsidRPr="00DD1F63">
        <w:rPr>
          <w:rFonts w:ascii="Times New Roman" w:hAnsi="Times New Roman" w:cs="Times New Roman"/>
          <w:i/>
          <w:iCs/>
        </w:rPr>
        <w:t xml:space="preserve">diopathic </w:t>
      </w:r>
      <w:r w:rsidR="00A4074A" w:rsidRPr="00DD1F63">
        <w:rPr>
          <w:rFonts w:ascii="Times New Roman" w:hAnsi="Times New Roman" w:cs="Times New Roman"/>
          <w:i/>
          <w:iCs/>
        </w:rPr>
        <w:t>a</w:t>
      </w:r>
      <w:r w:rsidRPr="00DD1F63">
        <w:rPr>
          <w:rFonts w:ascii="Times New Roman" w:hAnsi="Times New Roman" w:cs="Times New Roman"/>
          <w:i/>
          <w:iCs/>
        </w:rPr>
        <w:t>rthritis (</w:t>
      </w: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w:t>
      </w:r>
      <w:r w:rsidRPr="00DD1F63">
        <w:rPr>
          <w:rFonts w:ascii="Times New Roman" w:hAnsi="Times New Roman" w:cs="Times New Roman"/>
          <w:i/>
          <w:iCs/>
          <w:u w:val="none"/>
        </w:rPr>
        <w:t xml:space="preserve"> </w:t>
      </w:r>
    </w:p>
    <w:p w14:paraId="71F6DEB7" w14:textId="77777777" w:rsidR="00990964" w:rsidRPr="00DD1F63" w:rsidRDefault="00990964" w:rsidP="00377A09">
      <w:pPr>
        <w:spacing w:after="0" w:line="240" w:lineRule="auto"/>
        <w:ind w:left="426" w:hanging="11"/>
        <w:jc w:val="left"/>
        <w:rPr>
          <w:rFonts w:ascii="Times New Roman" w:hAnsi="Times New Roman" w:cs="Times New Roman"/>
          <w:sz w:val="22"/>
        </w:rPr>
      </w:pPr>
    </w:p>
    <w:p w14:paraId="60C54369" w14:textId="2C40A23C"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A4074A" w:rsidRPr="00DD1F63">
        <w:rPr>
          <w:rFonts w:ascii="Times New Roman" w:hAnsi="Times New Roman" w:cs="Times New Roman"/>
          <w:sz w:val="22"/>
        </w:rPr>
        <w:t>adalimumab</w:t>
      </w:r>
      <w:r w:rsidRPr="00DD1F63">
        <w:rPr>
          <w:rFonts w:ascii="Times New Roman" w:hAnsi="Times New Roman" w:cs="Times New Roman"/>
          <w:sz w:val="22"/>
        </w:rPr>
        <w:t xml:space="preserve"> was assessed in two clinical studies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Studies I and II) in patients with active polyarticular or polyarticular-course juvenile idiopathic arthritis, who had a variety of JIA onset types (most frequently rheumatoid-factor negative polyarthritis, rheumatoid-factor positive polyarthritis or extended </w:t>
      </w:r>
      <w:proofErr w:type="spellStart"/>
      <w:r w:rsidRPr="00DD1F63">
        <w:rPr>
          <w:rFonts w:ascii="Times New Roman" w:hAnsi="Times New Roman" w:cs="Times New Roman"/>
          <w:sz w:val="22"/>
        </w:rPr>
        <w:t>oligoarthritis</w:t>
      </w:r>
      <w:proofErr w:type="spellEnd"/>
      <w:r w:rsidRPr="00DD1F63">
        <w:rPr>
          <w:rFonts w:ascii="Times New Roman" w:hAnsi="Times New Roman" w:cs="Times New Roman"/>
          <w:sz w:val="22"/>
        </w:rPr>
        <w:t xml:space="preserve">). </w:t>
      </w:r>
    </w:p>
    <w:p w14:paraId="43514B3D" w14:textId="77777777" w:rsidR="00990964" w:rsidRPr="00DD1F63" w:rsidRDefault="00990964" w:rsidP="00377A09">
      <w:pPr>
        <w:spacing w:after="0" w:line="240" w:lineRule="auto"/>
        <w:ind w:left="426" w:right="375"/>
        <w:jc w:val="left"/>
        <w:rPr>
          <w:rFonts w:ascii="Times New Roman" w:hAnsi="Times New Roman" w:cs="Times New Roman"/>
          <w:sz w:val="22"/>
        </w:rPr>
      </w:pPr>
    </w:p>
    <w:p w14:paraId="0AB80E2E" w14:textId="20C03C54" w:rsidR="006B7C8E" w:rsidRPr="00DD1F63" w:rsidRDefault="00CA72FF" w:rsidP="00377A09">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Study I</w:t>
      </w:r>
      <w:r w:rsidRPr="00DD1F63">
        <w:rPr>
          <w:rFonts w:ascii="Times New Roman" w:hAnsi="Times New Roman" w:cs="Times New Roman"/>
          <w:i/>
          <w:iCs/>
          <w:u w:val="none"/>
        </w:rPr>
        <w:t xml:space="preserve"> </w:t>
      </w:r>
    </w:p>
    <w:p w14:paraId="09D71BD7" w14:textId="77777777" w:rsidR="00990964" w:rsidRPr="00DD1F63" w:rsidRDefault="00990964" w:rsidP="00377A09">
      <w:pPr>
        <w:spacing w:after="0" w:line="240" w:lineRule="auto"/>
        <w:ind w:left="426" w:hanging="11"/>
        <w:jc w:val="left"/>
        <w:rPr>
          <w:sz w:val="22"/>
        </w:rPr>
      </w:pPr>
    </w:p>
    <w:p w14:paraId="5204B7ED" w14:textId="469C9E1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were assessed in a multi-centre, randomised, withdrawal, double blind, parallel-group study in 171 patients (4 to 17 years of age) with polyarticular juvenile idiopathic arthritis (JIA). In the study, the patients were stratified into two groups: MTX-treated or non-MTX-treated. All patients had to show signs of active moderate or severe disease despite previous treatment with NSAIDs, analgesics, corticosteroids, or DMARDs. Patients who received prior treatment with any biologic DMARDs were excluded from the study. </w:t>
      </w:r>
    </w:p>
    <w:p w14:paraId="1A10E84D"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15AC865A" w14:textId="528F46D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The study included four phases: an open-label lead in phase (OL-LI; 16 weeks), a double-blind randomised withdrawal phase (DB; 32 weeks), an open-label extension phase (OLE-BSA; up to 136 weeks),</w:t>
      </w:r>
      <w:r w:rsidRPr="00DD1F63">
        <w:rPr>
          <w:rFonts w:ascii="Times New Roman" w:hAnsi="Times New Roman" w:cs="Times New Roman"/>
          <w:sz w:val="22"/>
        </w:rPr>
        <w:t xml:space="preserve"> and an open-label fixed dose phase (OLE-FD; 16 weeks). In the first three phases of the study,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was administered based on body surface area at a dose of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up to a maximum total body dose of 40 mg subcutaneously (SC) fortnightly. In the OLE-FD phase, the patients were treated with 20 mg of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SC fortnightly if their weight was less than 30 kg and with 40 mg of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SC fortnightly if their weight was 30 kg or greater. Patients remained on stable doses of NSAIDs and or prednisone (≤ 0.2 mg/kg/day or 10 mg/day maximum). </w:t>
      </w:r>
    </w:p>
    <w:p w14:paraId="16AADCE6"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8FB1A19" w14:textId="7B11321E" w:rsidR="00990964"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demonstrating a </w:t>
      </w:r>
      <w:r w:rsidR="00F77F6D" w:rsidRPr="00DD1F63">
        <w:rPr>
          <w:rFonts w:ascii="Times New Roman" w:hAnsi="Times New Roman" w:cs="Times New Roman"/>
          <w:sz w:val="22"/>
        </w:rPr>
        <w:t>p</w:t>
      </w:r>
      <w:r w:rsidRPr="00DD1F63">
        <w:rPr>
          <w:rFonts w:ascii="Times New Roman" w:hAnsi="Times New Roman" w:cs="Times New Roman"/>
          <w:sz w:val="22"/>
        </w:rPr>
        <w:t xml:space="preserve">aediatric ACR 30 response at the end of OL-LI phase were randomised into the double blind (DB) phase of the study and received either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or placebo fortnightly for 32 weeks or until disease flare. Disease flare was defined as a worsening of ≥ 30% from baseline in ≥ 3 of 6 </w:t>
      </w:r>
      <w:r w:rsidR="00F77F6D" w:rsidRPr="00DD1F63">
        <w:rPr>
          <w:rFonts w:ascii="Times New Roman" w:hAnsi="Times New Roman" w:cs="Times New Roman"/>
          <w:sz w:val="22"/>
        </w:rPr>
        <w:t>p</w:t>
      </w:r>
      <w:r w:rsidRPr="00DD1F63">
        <w:rPr>
          <w:rFonts w:ascii="Times New Roman" w:hAnsi="Times New Roman" w:cs="Times New Roman"/>
          <w:sz w:val="22"/>
        </w:rPr>
        <w:t xml:space="preserve">aediatric ACR core criteria, ≥ 2 active joints, and improvement of &gt; 30% in no more than 1 of the 6 criteria. After 32 weeks or at the time of disease flare during the DB phase, patients were treated in the open-label extension phase based on the BSA regimen (OLE-BSA), before converting to a fixed dose regimen based on body weight (OLE-FD phase). </w:t>
      </w:r>
    </w:p>
    <w:p w14:paraId="33E931DB" w14:textId="6D6E3BDA"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42A7148" w14:textId="0F615DDF" w:rsidR="006B7C8E" w:rsidRPr="00DD1F63" w:rsidRDefault="00CA72FF" w:rsidP="00377A09">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w:t>
      </w:r>
      <w:r w:rsidR="00357C40" w:rsidRPr="00DD1F63">
        <w:rPr>
          <w:rFonts w:ascii="Times New Roman" w:hAnsi="Times New Roman" w:cs="Times New Roman"/>
          <w:i/>
          <w:iCs/>
        </w:rPr>
        <w:t>s</w:t>
      </w:r>
      <w:r w:rsidRPr="00DD1F63">
        <w:rPr>
          <w:rFonts w:ascii="Times New Roman" w:hAnsi="Times New Roman" w:cs="Times New Roman"/>
          <w:i/>
          <w:iCs/>
        </w:rPr>
        <w:t xml:space="preserve">tudy I </w:t>
      </w:r>
      <w:r w:rsidR="00357C40" w:rsidRPr="00DD1F63">
        <w:rPr>
          <w:rFonts w:ascii="Times New Roman" w:hAnsi="Times New Roman" w:cs="Times New Roman"/>
          <w:i/>
          <w:iCs/>
        </w:rPr>
        <w:t>c</w:t>
      </w:r>
      <w:r w:rsidRPr="00DD1F63">
        <w:rPr>
          <w:rFonts w:ascii="Times New Roman" w:hAnsi="Times New Roman" w:cs="Times New Roman"/>
          <w:i/>
          <w:iCs/>
        </w:rPr>
        <w:t xml:space="preserve">linical </w:t>
      </w:r>
      <w:r w:rsidR="00357C40" w:rsidRPr="00DD1F63">
        <w:rPr>
          <w:rFonts w:ascii="Times New Roman" w:hAnsi="Times New Roman" w:cs="Times New Roman"/>
          <w:i/>
          <w:iCs/>
        </w:rPr>
        <w:t>r</w:t>
      </w:r>
      <w:r w:rsidRPr="00DD1F63">
        <w:rPr>
          <w:rFonts w:ascii="Times New Roman" w:hAnsi="Times New Roman" w:cs="Times New Roman"/>
          <w:i/>
          <w:iCs/>
        </w:rPr>
        <w:t>esponse</w:t>
      </w:r>
      <w:r w:rsidRPr="00DD1F63">
        <w:rPr>
          <w:rFonts w:ascii="Times New Roman" w:hAnsi="Times New Roman" w:cs="Times New Roman"/>
          <w:i/>
          <w:iCs/>
          <w:u w:val="none"/>
        </w:rPr>
        <w:t xml:space="preserve"> </w:t>
      </w:r>
    </w:p>
    <w:p w14:paraId="6C7CCD44" w14:textId="77777777" w:rsidR="00990964" w:rsidRPr="00DD1F63" w:rsidRDefault="00990964" w:rsidP="00377A09">
      <w:pPr>
        <w:spacing w:after="0" w:line="240" w:lineRule="auto"/>
        <w:ind w:left="426" w:hanging="11"/>
        <w:jc w:val="left"/>
        <w:rPr>
          <w:rFonts w:ascii="Times New Roman" w:hAnsi="Times New Roman" w:cs="Times New Roman"/>
          <w:sz w:val="22"/>
        </w:rPr>
      </w:pPr>
    </w:p>
    <w:p w14:paraId="3B489F03" w14:textId="2418132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the end of the 16-week OL-LI phase, 94% of the patients in the MTX stratum and 74% of the patients in the non-MTX stratum were Paediatric ACR 30 responders. In the DB phase significantly fewer patients who received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experienced disease flare compared to placebo, both without MTX (43% </w:t>
      </w:r>
      <w:r w:rsidRPr="00DD1F63">
        <w:rPr>
          <w:rFonts w:ascii="Times New Roman" w:hAnsi="Times New Roman" w:cs="Times New Roman"/>
          <w:i/>
          <w:sz w:val="22"/>
        </w:rPr>
        <w:t>vs.</w:t>
      </w:r>
      <w:r w:rsidRPr="00DD1F63">
        <w:rPr>
          <w:rFonts w:ascii="Times New Roman" w:hAnsi="Times New Roman" w:cs="Times New Roman"/>
          <w:sz w:val="22"/>
        </w:rPr>
        <w:t>71%) and with MTX (37%</w:t>
      </w:r>
      <w:r w:rsidRPr="00DD1F63">
        <w:rPr>
          <w:rFonts w:ascii="Times New Roman" w:hAnsi="Times New Roman" w:cs="Times New Roman"/>
          <w:i/>
          <w:sz w:val="22"/>
        </w:rPr>
        <w:t xml:space="preserve"> vs.</w:t>
      </w:r>
      <w:r w:rsidRPr="00DD1F63">
        <w:rPr>
          <w:rFonts w:ascii="Times New Roman" w:hAnsi="Times New Roman" w:cs="Times New Roman"/>
          <w:sz w:val="22"/>
        </w:rPr>
        <w:t xml:space="preserve">65%). More patients treated with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continued to show paediatric ACR 30/50/70 responses at Week 48 compared to patients treated with placebo. Overall responses were generally better and, fewer patients developed antibodies when treated with the combination of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and MTX compared to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alone. </w:t>
      </w:r>
    </w:p>
    <w:p w14:paraId="19EF5BAD" w14:textId="77777777" w:rsidR="00990964" w:rsidRPr="00DD1F63" w:rsidRDefault="00990964" w:rsidP="00377A09">
      <w:pPr>
        <w:spacing w:after="0" w:line="240" w:lineRule="auto"/>
        <w:ind w:left="426" w:right="375"/>
        <w:jc w:val="left"/>
        <w:rPr>
          <w:rFonts w:ascii="Times New Roman" w:hAnsi="Times New Roman" w:cs="Times New Roman"/>
          <w:sz w:val="22"/>
        </w:rPr>
      </w:pPr>
    </w:p>
    <w:p w14:paraId="6C091758" w14:textId="4AA2983A"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Paediatric ACR responses were maintained for up to six years in the OLE phase in patients who received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throughout the study. </w:t>
      </w:r>
      <w:proofErr w:type="gramStart"/>
      <w:r w:rsidRPr="00DD1F63">
        <w:rPr>
          <w:rFonts w:ascii="Times New Roman" w:hAnsi="Times New Roman" w:cs="Times New Roman"/>
          <w:sz w:val="22"/>
        </w:rPr>
        <w:t>Overall</w:t>
      </w:r>
      <w:proofErr w:type="gramEnd"/>
      <w:r w:rsidRPr="00DD1F63">
        <w:rPr>
          <w:rFonts w:ascii="Times New Roman" w:hAnsi="Times New Roman" w:cs="Times New Roman"/>
          <w:sz w:val="22"/>
        </w:rPr>
        <w:t xml:space="preserve"> 19 patients were treated for 6 years or longer, with 11 of the 19 patients in the 4 to 12 year age group, and 8 of the 19 patients being between 13 and</w:t>
      </w:r>
      <w:r w:rsidR="00990964" w:rsidRPr="00DD1F63">
        <w:rPr>
          <w:rFonts w:ascii="Times New Roman" w:hAnsi="Times New Roman" w:cs="Times New Roman"/>
          <w:sz w:val="22"/>
        </w:rPr>
        <w:t xml:space="preserve"> </w:t>
      </w:r>
      <w:r w:rsidRPr="00DD1F63">
        <w:rPr>
          <w:rFonts w:ascii="Times New Roman" w:hAnsi="Times New Roman" w:cs="Times New Roman"/>
          <w:sz w:val="22"/>
        </w:rPr>
        <w:t xml:space="preserve">17 years of age. </w:t>
      </w:r>
    </w:p>
    <w:p w14:paraId="3DCD5F9C" w14:textId="77777777" w:rsidR="00136779" w:rsidRPr="00DD1F63" w:rsidRDefault="00136779" w:rsidP="00377A09">
      <w:pPr>
        <w:spacing w:after="0" w:line="240" w:lineRule="auto"/>
        <w:ind w:left="426" w:right="375"/>
        <w:jc w:val="left"/>
        <w:rPr>
          <w:rFonts w:ascii="Times New Roman" w:hAnsi="Times New Roman" w:cs="Times New Roman"/>
          <w:sz w:val="22"/>
        </w:rPr>
      </w:pPr>
    </w:p>
    <w:p w14:paraId="33D18255" w14:textId="5AB6CE99" w:rsidR="006B7C8E" w:rsidRPr="00DD1F63" w:rsidRDefault="00CA72FF" w:rsidP="00377A09">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w:t>
      </w:r>
      <w:r w:rsidR="00357C40" w:rsidRPr="00DD1F63">
        <w:rPr>
          <w:rFonts w:ascii="Times New Roman" w:hAnsi="Times New Roman" w:cs="Times New Roman"/>
          <w:i/>
          <w:iCs/>
        </w:rPr>
        <w:t>s</w:t>
      </w:r>
      <w:r w:rsidRPr="00DD1F63">
        <w:rPr>
          <w:rFonts w:ascii="Times New Roman" w:hAnsi="Times New Roman" w:cs="Times New Roman"/>
          <w:i/>
          <w:iCs/>
        </w:rPr>
        <w:t>tudy II</w:t>
      </w:r>
      <w:r w:rsidRPr="00DD1F63">
        <w:rPr>
          <w:rFonts w:ascii="Times New Roman" w:hAnsi="Times New Roman" w:cs="Times New Roman"/>
          <w:i/>
          <w:iCs/>
          <w:u w:val="none"/>
        </w:rPr>
        <w:t xml:space="preserve"> </w:t>
      </w:r>
    </w:p>
    <w:p w14:paraId="240B2291" w14:textId="77777777" w:rsidR="00990964" w:rsidRPr="00DD1F63" w:rsidRDefault="00990964" w:rsidP="00377A09">
      <w:pPr>
        <w:spacing w:after="0" w:line="240" w:lineRule="auto"/>
        <w:ind w:left="426" w:hanging="11"/>
        <w:contextualSpacing/>
        <w:jc w:val="left"/>
        <w:rPr>
          <w:sz w:val="22"/>
        </w:rPr>
      </w:pPr>
    </w:p>
    <w:p w14:paraId="0781B7FF" w14:textId="28F921C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was assessed in an open-label, multi-centre, uncontrolled study in 32 patients (2 to &lt; 4 years old or aged 4 years and above weighing &lt; 15 kg) with moderately to severely active polyarticular or polyarticular-course JIA. The patients received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body surface area (BSA) of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up to a maximum of 20 mg fortnightly as a single dose via SC injection for at least 24 weeks. During the study, most patients used concomitant MTX, with fewer reporting use of corticosteroids or NSAIDs. </w:t>
      </w:r>
    </w:p>
    <w:p w14:paraId="0D9925CF" w14:textId="77777777" w:rsidR="00E26C12" w:rsidRPr="00DD1F63" w:rsidRDefault="00E26C12" w:rsidP="00377A09">
      <w:pPr>
        <w:spacing w:after="0" w:line="240" w:lineRule="auto"/>
        <w:ind w:left="426" w:right="375"/>
        <w:jc w:val="left"/>
        <w:rPr>
          <w:rFonts w:ascii="Times New Roman" w:hAnsi="Times New Roman" w:cs="Times New Roman"/>
          <w:sz w:val="22"/>
        </w:rPr>
      </w:pPr>
    </w:p>
    <w:p w14:paraId="1B893A09" w14:textId="51604831" w:rsidR="00990964" w:rsidRPr="00DD1F63" w:rsidRDefault="00CA72FF" w:rsidP="00377A09">
      <w:pPr>
        <w:pStyle w:val="Heading3"/>
        <w:spacing w:after="0" w:line="240" w:lineRule="auto"/>
        <w:ind w:left="426"/>
        <w:rPr>
          <w:rFonts w:ascii="Times New Roman" w:hAnsi="Times New Roman" w:cs="Times New Roman"/>
          <w:i/>
          <w:iCs/>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w:t>
      </w:r>
      <w:r w:rsidR="00E26C12" w:rsidRPr="00DD1F63">
        <w:rPr>
          <w:rFonts w:ascii="Times New Roman" w:hAnsi="Times New Roman" w:cs="Times New Roman"/>
          <w:i/>
          <w:iCs/>
        </w:rPr>
        <w:t>s</w:t>
      </w:r>
      <w:r w:rsidRPr="00DD1F63">
        <w:rPr>
          <w:rFonts w:ascii="Times New Roman" w:hAnsi="Times New Roman" w:cs="Times New Roman"/>
          <w:i/>
          <w:iCs/>
        </w:rPr>
        <w:t xml:space="preserve">tudy II </w:t>
      </w:r>
      <w:r w:rsidR="00E26C12" w:rsidRPr="00DD1F63">
        <w:rPr>
          <w:rFonts w:ascii="Times New Roman" w:hAnsi="Times New Roman" w:cs="Times New Roman"/>
          <w:i/>
          <w:iCs/>
        </w:rPr>
        <w:t>c</w:t>
      </w:r>
      <w:r w:rsidRPr="00DD1F63">
        <w:rPr>
          <w:rFonts w:ascii="Times New Roman" w:hAnsi="Times New Roman" w:cs="Times New Roman"/>
          <w:i/>
          <w:iCs/>
        </w:rPr>
        <w:t xml:space="preserve">linical </w:t>
      </w:r>
      <w:r w:rsidR="00E26C12" w:rsidRPr="00DD1F63">
        <w:rPr>
          <w:rFonts w:ascii="Times New Roman" w:hAnsi="Times New Roman" w:cs="Times New Roman"/>
          <w:i/>
          <w:iCs/>
        </w:rPr>
        <w:t>r</w:t>
      </w:r>
      <w:r w:rsidRPr="00DD1F63">
        <w:rPr>
          <w:rFonts w:ascii="Times New Roman" w:hAnsi="Times New Roman" w:cs="Times New Roman"/>
          <w:i/>
          <w:iCs/>
        </w:rPr>
        <w:t>esponse</w:t>
      </w:r>
    </w:p>
    <w:p w14:paraId="167C5F32" w14:textId="7282B5E6"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3C5CC56D" w14:textId="75BE590A"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12 and Week 24, Paediatric ACR 30 response was 93.5% and 90.0%, respectively, using the observed data approach. The proportions of patients with Paediatric ACR 50/70/90 at Week 12 and Week 24 were 90.3%/61.3%/38.7% and 83.3%/73.3%/36.7%, respectively. Amongst those who responded (Paediatric ACR 30) at Week 24 (n=27 out of 30 patients), the Paediatric ACR 30 responses were maintained for up to 60 weeks in patients who continued with </w:t>
      </w:r>
      <w:r w:rsidR="00E26C12" w:rsidRPr="00DD1F63">
        <w:rPr>
          <w:rFonts w:ascii="Times New Roman" w:hAnsi="Times New Roman" w:cs="Times New Roman"/>
          <w:sz w:val="22"/>
        </w:rPr>
        <w:t>adalimumab</w:t>
      </w:r>
      <w:r w:rsidRPr="00DD1F63">
        <w:rPr>
          <w:rFonts w:ascii="Times New Roman" w:hAnsi="Times New Roman" w:cs="Times New Roman"/>
          <w:sz w:val="22"/>
        </w:rPr>
        <w:t xml:space="preserve"> treatment throughout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Overall, 20 patients were treated for 60 weeks or longer. </w:t>
      </w:r>
    </w:p>
    <w:p w14:paraId="38E45F56" w14:textId="77777777" w:rsidR="00990964" w:rsidRPr="00DD1F63" w:rsidRDefault="00990964" w:rsidP="00377A09">
      <w:pPr>
        <w:spacing w:after="0" w:line="240" w:lineRule="auto"/>
        <w:ind w:left="426" w:right="375"/>
        <w:jc w:val="left"/>
        <w:rPr>
          <w:rFonts w:ascii="Times New Roman" w:hAnsi="Times New Roman" w:cs="Times New Roman"/>
          <w:sz w:val="22"/>
        </w:rPr>
      </w:pPr>
    </w:p>
    <w:p w14:paraId="4E0EAC48" w14:textId="226ABB49"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w:t>
      </w:r>
      <w:proofErr w:type="gramStart"/>
      <w:r w:rsidRPr="00DD1F63">
        <w:rPr>
          <w:rFonts w:ascii="Times New Roman" w:hAnsi="Times New Roman" w:cs="Times New Roman"/>
          <w:sz w:val="22"/>
        </w:rPr>
        <w:t>long term</w:t>
      </w:r>
      <w:proofErr w:type="gramEnd"/>
      <w:r w:rsidRPr="00DD1F63">
        <w:rPr>
          <w:rFonts w:ascii="Times New Roman" w:hAnsi="Times New Roman" w:cs="Times New Roman"/>
          <w:sz w:val="22"/>
        </w:rPr>
        <w:t xml:space="preserve"> effects of </w:t>
      </w:r>
      <w:r w:rsidR="00E26C12" w:rsidRPr="00DD1F63">
        <w:rPr>
          <w:rFonts w:ascii="Times New Roman" w:hAnsi="Times New Roman" w:cs="Times New Roman"/>
          <w:sz w:val="22"/>
        </w:rPr>
        <w:t>adalimumab</w:t>
      </w:r>
      <w:r w:rsidRPr="00DD1F63">
        <w:rPr>
          <w:rFonts w:ascii="Times New Roman" w:hAnsi="Times New Roman" w:cs="Times New Roman"/>
          <w:sz w:val="22"/>
        </w:rPr>
        <w:t xml:space="preserve"> on the growth and development of children have not been studied. </w:t>
      </w:r>
    </w:p>
    <w:p w14:paraId="6B25C018" w14:textId="77777777" w:rsidR="00990964" w:rsidRPr="00DD1F63" w:rsidRDefault="00990964" w:rsidP="00377A09">
      <w:pPr>
        <w:spacing w:after="0" w:line="240" w:lineRule="auto"/>
        <w:ind w:left="426" w:right="375"/>
        <w:jc w:val="left"/>
        <w:rPr>
          <w:rFonts w:ascii="Times New Roman" w:hAnsi="Times New Roman" w:cs="Times New Roman"/>
          <w:sz w:val="22"/>
        </w:rPr>
      </w:pPr>
    </w:p>
    <w:p w14:paraId="23F41D26" w14:textId="50BC59EC" w:rsidR="006B7C8E" w:rsidRPr="00DD1F63" w:rsidRDefault="00CA72FF" w:rsidP="00377A09">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Enthesitis</w:t>
      </w:r>
      <w:proofErr w:type="spellEnd"/>
      <w:r w:rsidRPr="00DD1F63">
        <w:rPr>
          <w:rFonts w:ascii="Times New Roman" w:hAnsi="Times New Roman" w:cs="Times New Roman"/>
          <w:i/>
          <w:iCs/>
        </w:rPr>
        <w:t>-</w:t>
      </w:r>
      <w:r w:rsidR="00E26C12" w:rsidRPr="00DD1F63">
        <w:rPr>
          <w:rFonts w:ascii="Times New Roman" w:hAnsi="Times New Roman" w:cs="Times New Roman"/>
          <w:i/>
          <w:iCs/>
        </w:rPr>
        <w:t>r</w:t>
      </w:r>
      <w:r w:rsidRPr="00DD1F63">
        <w:rPr>
          <w:rFonts w:ascii="Times New Roman" w:hAnsi="Times New Roman" w:cs="Times New Roman"/>
          <w:i/>
          <w:iCs/>
        </w:rPr>
        <w:t xml:space="preserve">elated </w:t>
      </w:r>
      <w:r w:rsidR="00E26C12" w:rsidRPr="00DD1F63">
        <w:rPr>
          <w:rFonts w:ascii="Times New Roman" w:hAnsi="Times New Roman" w:cs="Times New Roman"/>
          <w:i/>
          <w:iCs/>
        </w:rPr>
        <w:t>a</w:t>
      </w:r>
      <w:r w:rsidRPr="00DD1F63">
        <w:rPr>
          <w:rFonts w:ascii="Times New Roman" w:hAnsi="Times New Roman" w:cs="Times New Roman"/>
          <w:i/>
          <w:iCs/>
        </w:rPr>
        <w:t>rthritis (ERA)</w:t>
      </w:r>
      <w:r w:rsidRPr="00DD1F63">
        <w:rPr>
          <w:rFonts w:ascii="Times New Roman" w:hAnsi="Times New Roman" w:cs="Times New Roman"/>
          <w:i/>
          <w:iCs/>
          <w:u w:val="none"/>
        </w:rPr>
        <w:t xml:space="preserve"> </w:t>
      </w:r>
    </w:p>
    <w:p w14:paraId="221A964D" w14:textId="77777777" w:rsidR="00990964" w:rsidRPr="00DD1F63" w:rsidRDefault="00990964" w:rsidP="00377A09">
      <w:pPr>
        <w:spacing w:after="0" w:line="240" w:lineRule="auto"/>
        <w:ind w:left="426" w:hanging="11"/>
        <w:jc w:val="left"/>
        <w:rPr>
          <w:sz w:val="22"/>
        </w:rPr>
      </w:pPr>
    </w:p>
    <w:p w14:paraId="670F1039" w14:textId="7D4DAABA"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were assessed in a multi-centre, randomised, double-blind study in 46 paediatric patients (6 to 17 years old) with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(M11-328). Subjects had to have a diagnosis of ERA prior to their sixteenth birthday, at least 3 active joints (swelling not due to deformity or joints with loss of motion plus pain and/or tenderness), evidence of past or present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 in at least 1 location and an inadequate response or intolerance to at least 1 nonsteroidal anti-inflammatory drug (NSAID). In addition, subjects had to have an inadequate response or intolerance to at least 1 disease-modifying anti-rheumatic drug, either sulfasalazine or methotrexate. </w:t>
      </w:r>
    </w:p>
    <w:p w14:paraId="73F97007" w14:textId="77777777" w:rsidR="00B6411B" w:rsidRPr="00DD1F63" w:rsidRDefault="00B6411B" w:rsidP="00377A09">
      <w:pPr>
        <w:spacing w:after="0" w:line="240" w:lineRule="auto"/>
        <w:ind w:left="426" w:right="375"/>
        <w:jc w:val="left"/>
        <w:rPr>
          <w:rFonts w:ascii="Times New Roman" w:hAnsi="Times New Roman" w:cs="Times New Roman"/>
          <w:sz w:val="22"/>
        </w:rPr>
      </w:pPr>
    </w:p>
    <w:p w14:paraId="47EE373E" w14:textId="151EE2C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Patients were randomised to receive either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body surface area (BSA) of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up to a maximum of 40 mg, or placebo fortnightly for 12 weeks. The double-blind period was followed by an open-label (OL) period, during which patients received 24 mg/m</w:t>
      </w:r>
      <w:r w:rsidRPr="00DD1F63">
        <w:rPr>
          <w:rFonts w:ascii="Times New Roman" w:hAnsi="Times New Roman" w:cs="Times New Roman"/>
          <w:sz w:val="22"/>
          <w:vertAlign w:val="superscript"/>
        </w:rPr>
        <w:t xml:space="preserve">2 </w:t>
      </w:r>
      <w:r w:rsidRPr="00DD1F63">
        <w:rPr>
          <w:rFonts w:ascii="Times New Roman" w:hAnsi="Times New Roman" w:cs="Times New Roman"/>
          <w:sz w:val="22"/>
        </w:rPr>
        <w:t xml:space="preserve">BSA of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up to a maximum of 40 mg fortnightly subcutaneously for up to an additional 192 weeks. </w:t>
      </w:r>
    </w:p>
    <w:p w14:paraId="4BF678BC" w14:textId="77777777" w:rsidR="00B6411B" w:rsidRPr="00DD1F63" w:rsidRDefault="00B6411B" w:rsidP="00377A09">
      <w:pPr>
        <w:spacing w:after="0" w:line="240" w:lineRule="auto"/>
        <w:ind w:left="426" w:right="375"/>
        <w:jc w:val="left"/>
        <w:rPr>
          <w:rFonts w:ascii="Times New Roman" w:hAnsi="Times New Roman" w:cs="Times New Roman"/>
          <w:sz w:val="22"/>
        </w:rPr>
      </w:pPr>
    </w:p>
    <w:p w14:paraId="35F3341E" w14:textId="5CEE6519" w:rsidR="00B6411B"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primary endpoint was the percent change from Baseline to Week 12 in the number of active joints with arthritis (swelling not due to deformity or joints with loss of motion plus pain and/or tenderness), which was achieved (p=0.039) with mean percent decrease of -62.6% in patients in the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group compared to -11.6% in patients in the placebo group. Decreases in the mean percent change from baseline in the number of active joints with arthritis was maintained through Week 156 with a mean decrease from baseline of -88.3%. The majority of patients demonstrated clinical improvement in secondary endpoints such as number of sites of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 tender joint count, </w:t>
      </w:r>
      <w:r w:rsidRPr="00DD1F63">
        <w:rPr>
          <w:rFonts w:ascii="Times New Roman" w:hAnsi="Times New Roman" w:cs="Times New Roman"/>
          <w:sz w:val="22"/>
        </w:rPr>
        <w:lastRenderedPageBreak/>
        <w:t xml:space="preserve">swollen joint count, Paediatric ACR 30 response, Paediatric ACR 50 response, and Paediatric ACR 70 </w:t>
      </w:r>
      <w:proofErr w:type="gramStart"/>
      <w:r w:rsidRPr="00DD1F63">
        <w:rPr>
          <w:rFonts w:ascii="Times New Roman" w:hAnsi="Times New Roman" w:cs="Times New Roman"/>
          <w:sz w:val="22"/>
        </w:rPr>
        <w:t>response</w:t>
      </w:r>
      <w:proofErr w:type="gramEnd"/>
      <w:r w:rsidRPr="00DD1F63">
        <w:rPr>
          <w:rFonts w:ascii="Times New Roman" w:hAnsi="Times New Roman" w:cs="Times New Roman"/>
          <w:sz w:val="22"/>
        </w:rPr>
        <w:t>, and maintained these results during the OL period through Week 156 of the study.</w:t>
      </w:r>
    </w:p>
    <w:p w14:paraId="18CA2BE1" w14:textId="4982B1FE"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F020EDD" w14:textId="3CC18F29" w:rsidR="006B7C8E" w:rsidRPr="00DD1F63" w:rsidRDefault="00BD4323" w:rsidP="00377A09">
      <w:pPr>
        <w:pStyle w:val="Heading3"/>
        <w:spacing w:after="0" w:line="240" w:lineRule="auto"/>
        <w:ind w:left="426"/>
        <w:rPr>
          <w:rFonts w:ascii="Times New Roman" w:hAnsi="Times New Roman" w:cs="Times New Roman"/>
          <w:bCs/>
          <w:u w:val="none"/>
        </w:rPr>
      </w:pPr>
      <w:r w:rsidRPr="00DD1F63">
        <w:rPr>
          <w:rFonts w:ascii="Times New Roman" w:hAnsi="Times New Roman" w:cs="Times New Roman"/>
          <w:bCs/>
        </w:rPr>
        <w:t>Clinical trials for psoriatic arthritis</w:t>
      </w:r>
      <w:r w:rsidRPr="00DD1F63">
        <w:rPr>
          <w:rFonts w:ascii="Times New Roman" w:hAnsi="Times New Roman" w:cs="Times New Roman"/>
          <w:bCs/>
          <w:u w:val="none"/>
        </w:rPr>
        <w:t xml:space="preserve"> </w:t>
      </w:r>
    </w:p>
    <w:p w14:paraId="361DB005" w14:textId="77777777" w:rsidR="00B6411B" w:rsidRPr="00DD1F63" w:rsidRDefault="00B6411B" w:rsidP="00377A09">
      <w:pPr>
        <w:spacing w:after="0" w:line="240" w:lineRule="auto"/>
        <w:ind w:left="426" w:hanging="11"/>
        <w:jc w:val="left"/>
        <w:rPr>
          <w:sz w:val="22"/>
        </w:rPr>
      </w:pPr>
    </w:p>
    <w:p w14:paraId="2D00E9A3" w14:textId="0E9A479C" w:rsidR="006B7C8E" w:rsidRPr="00DD1F63" w:rsidRDefault="00BD4323"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40 mg fortnightly, was studied in patients with moderately to severely active psoriatic arthritis in two placebo-controlled studies, PsA Studies I (M02-518) and II (M02-570). PsA Study I with 24-week duration, treated 313 adult patients who had an inadequate response to non-steroidal anti-inflammatory drug therapy and of these, approximately 50% were taking methotrexate. PsA Study II with 12-week duration, treated 100 patients who had an inadequate response to DMARD therapy. Upon completion of both studies, 383 patients enrolled in an open-label extension study, in which 40 mg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administered fortnightly. </w:t>
      </w:r>
    </w:p>
    <w:p w14:paraId="7014DD9E" w14:textId="77777777" w:rsidR="00B6411B" w:rsidRPr="00DD1F63" w:rsidRDefault="00B6411B" w:rsidP="00377A09">
      <w:pPr>
        <w:spacing w:after="0" w:line="240" w:lineRule="auto"/>
        <w:ind w:left="426" w:right="375"/>
        <w:jc w:val="left"/>
        <w:rPr>
          <w:rFonts w:ascii="Times New Roman" w:hAnsi="Times New Roman" w:cs="Times New Roman"/>
          <w:sz w:val="22"/>
        </w:rPr>
      </w:pPr>
    </w:p>
    <w:p w14:paraId="170FD248" w14:textId="6B86ECB5" w:rsidR="006B7C8E" w:rsidRPr="00DD1F63" w:rsidRDefault="00CA72FF" w:rsidP="00377A09">
      <w:pPr>
        <w:pStyle w:val="Heading4"/>
        <w:spacing w:after="0" w:line="240" w:lineRule="auto"/>
        <w:ind w:left="426"/>
        <w:rPr>
          <w:rFonts w:ascii="Times New Roman" w:hAnsi="Times New Roman" w:cs="Times New Roman"/>
          <w:i/>
          <w:iCs/>
          <w:u w:val="none"/>
        </w:rPr>
      </w:pPr>
      <w:r w:rsidRPr="00DD1F63">
        <w:rPr>
          <w:rFonts w:ascii="Times New Roman" w:hAnsi="Times New Roman" w:cs="Times New Roman"/>
          <w:i/>
          <w:iCs/>
        </w:rPr>
        <w:t>ACR and PASI response</w:t>
      </w:r>
      <w:r w:rsidRPr="00DD1F63">
        <w:rPr>
          <w:rFonts w:ascii="Times New Roman" w:hAnsi="Times New Roman" w:cs="Times New Roman"/>
          <w:i/>
          <w:iCs/>
          <w:u w:val="none"/>
        </w:rPr>
        <w:t xml:space="preserve"> </w:t>
      </w:r>
    </w:p>
    <w:p w14:paraId="3233D4C4" w14:textId="77777777" w:rsidR="00B6411B" w:rsidRPr="00DD1F63" w:rsidRDefault="00B6411B" w:rsidP="00377A09">
      <w:pPr>
        <w:spacing w:after="0" w:line="240" w:lineRule="auto"/>
        <w:ind w:left="426" w:hanging="11"/>
        <w:jc w:val="left"/>
        <w:rPr>
          <w:sz w:val="22"/>
        </w:rPr>
      </w:pPr>
    </w:p>
    <w:p w14:paraId="5502D33F" w14:textId="5E52FCDE" w:rsidR="006B7C8E" w:rsidRPr="00DD1F63" w:rsidRDefault="00BD4323"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superior to placebo in all measures of disease activity (p &lt; 0.001) as shown in Table 1</w:t>
      </w:r>
      <w:r w:rsidR="00127F14" w:rsidRPr="00DD1F63">
        <w:rPr>
          <w:rFonts w:ascii="Times New Roman" w:hAnsi="Times New Roman" w:cs="Times New Roman"/>
          <w:sz w:val="22"/>
        </w:rPr>
        <w:t>2</w:t>
      </w:r>
      <w:r w:rsidR="00CA72FF" w:rsidRPr="00DD1F63">
        <w:rPr>
          <w:rFonts w:ascii="Times New Roman" w:hAnsi="Times New Roman" w:cs="Times New Roman"/>
          <w:sz w:val="22"/>
        </w:rPr>
        <w:t xml:space="preserve"> and 1</w:t>
      </w:r>
      <w:r w:rsidR="00127F14" w:rsidRPr="00DD1F63">
        <w:rPr>
          <w:rFonts w:ascii="Times New Roman" w:hAnsi="Times New Roman" w:cs="Times New Roman"/>
          <w:sz w:val="22"/>
        </w:rPr>
        <w:t>3</w:t>
      </w:r>
      <w:r w:rsidR="00CA72FF" w:rsidRPr="00DD1F63">
        <w:rPr>
          <w:rFonts w:ascii="Times New Roman" w:hAnsi="Times New Roman" w:cs="Times New Roman"/>
          <w:sz w:val="22"/>
        </w:rPr>
        <w:t xml:space="preserve">. Among patients with psoriatic arthritis who received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relative to placebo, as measured by PASI. Responses were similar with and without concomitant methotrexate therapy. ACR responses were maintained in the open-label extension study for up to 136 weeks. </w:t>
      </w:r>
    </w:p>
    <w:p w14:paraId="686EEF7A"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tbl>
      <w:tblPr>
        <w:tblStyle w:val="TableGrid1"/>
        <w:tblW w:w="8508" w:type="dxa"/>
        <w:tblInd w:w="421" w:type="dxa"/>
        <w:tblCellMar>
          <w:left w:w="57" w:type="dxa"/>
          <w:bottom w:w="5" w:type="dxa"/>
          <w:right w:w="57" w:type="dxa"/>
        </w:tblCellMar>
        <w:tblLook w:val="04A0" w:firstRow="1" w:lastRow="0" w:firstColumn="1" w:lastColumn="0" w:noHBand="0" w:noVBand="1"/>
      </w:tblPr>
      <w:tblGrid>
        <w:gridCol w:w="2551"/>
        <w:gridCol w:w="2995"/>
        <w:gridCol w:w="2962"/>
      </w:tblGrid>
      <w:tr w:rsidR="006B7C8E" w:rsidRPr="00DD1F63" w14:paraId="1E8DDE28" w14:textId="77777777" w:rsidTr="00394E6C">
        <w:trPr>
          <w:trHeight w:val="20"/>
        </w:trPr>
        <w:tc>
          <w:tcPr>
            <w:tcW w:w="8508" w:type="dxa"/>
            <w:gridSpan w:val="3"/>
            <w:tcBorders>
              <w:top w:val="single" w:sz="4" w:space="0" w:color="000000"/>
              <w:left w:val="single" w:sz="4" w:space="0" w:color="000000"/>
              <w:bottom w:val="single" w:sz="4" w:space="0" w:color="000000"/>
              <w:right w:val="single" w:sz="4" w:space="0" w:color="000000"/>
            </w:tcBorders>
          </w:tcPr>
          <w:p w14:paraId="02E60220" w14:textId="30BBB54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2</w:t>
            </w:r>
            <w:r w:rsidRPr="00DD1F63">
              <w:rPr>
                <w:rFonts w:ascii="Times New Roman" w:hAnsi="Times New Roman" w:cs="Times New Roman"/>
                <w:b/>
                <w:sz w:val="21"/>
                <w:szCs w:val="21"/>
              </w:rPr>
              <w:t xml:space="preserve">: ACR and PASI </w:t>
            </w:r>
            <w:r w:rsidR="00FB599F"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 in </w:t>
            </w:r>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lacebo-</w:t>
            </w:r>
            <w:r w:rsidR="00FB599F"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ontrolled </w:t>
            </w:r>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soriatic </w:t>
            </w:r>
            <w:r w:rsidR="00FB599F"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rthritis </w:t>
            </w:r>
            <w:r w:rsidR="00FB599F"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w:t>
            </w:r>
          </w:p>
          <w:p w14:paraId="4CEC4131" w14:textId="774FA80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w:t>
            </w:r>
            <w:proofErr w:type="gramStart"/>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ercent</w:t>
            </w:r>
            <w:proofErr w:type="gramEnd"/>
            <w:r w:rsidRPr="00DD1F63">
              <w:rPr>
                <w:rFonts w:ascii="Times New Roman" w:hAnsi="Times New Roman" w:cs="Times New Roman"/>
                <w:b/>
                <w:sz w:val="21"/>
                <w:szCs w:val="21"/>
              </w:rPr>
              <w:t xml:space="preserve"> of </w:t>
            </w:r>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t>
            </w:r>
          </w:p>
        </w:tc>
      </w:tr>
      <w:tr w:rsidR="006B7C8E" w:rsidRPr="00DD1F63" w14:paraId="432F1283" w14:textId="77777777" w:rsidTr="00394E6C">
        <w:trPr>
          <w:trHeight w:val="20"/>
        </w:trPr>
        <w:tc>
          <w:tcPr>
            <w:tcW w:w="2551" w:type="dxa"/>
            <w:tcBorders>
              <w:top w:val="single" w:sz="4" w:space="0" w:color="000000"/>
              <w:left w:val="single" w:sz="4" w:space="0" w:color="000000"/>
              <w:bottom w:val="single" w:sz="4" w:space="0" w:color="000000"/>
              <w:right w:val="single" w:sz="4" w:space="0" w:color="000000"/>
            </w:tcBorders>
            <w:vAlign w:val="center"/>
          </w:tcPr>
          <w:p w14:paraId="4390577C" w14:textId="57B61AD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Response* </w:t>
            </w:r>
          </w:p>
        </w:tc>
        <w:tc>
          <w:tcPr>
            <w:tcW w:w="2995" w:type="dxa"/>
            <w:tcBorders>
              <w:top w:val="single" w:sz="4" w:space="0" w:color="000000"/>
              <w:left w:val="single" w:sz="4" w:space="0" w:color="000000"/>
              <w:bottom w:val="single" w:sz="4" w:space="0" w:color="000000"/>
              <w:right w:val="single" w:sz="4" w:space="0" w:color="000000"/>
            </w:tcBorders>
            <w:vAlign w:val="center"/>
          </w:tcPr>
          <w:p w14:paraId="22B43B36" w14:textId="16D22601"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Placebo N=162</w:t>
            </w:r>
          </w:p>
        </w:tc>
        <w:tc>
          <w:tcPr>
            <w:tcW w:w="2962" w:type="dxa"/>
            <w:tcBorders>
              <w:top w:val="single" w:sz="4" w:space="0" w:color="000000"/>
              <w:left w:val="single" w:sz="4" w:space="0" w:color="000000"/>
              <w:bottom w:val="single" w:sz="4" w:space="0" w:color="000000"/>
              <w:right w:val="single" w:sz="4" w:space="0" w:color="000000"/>
            </w:tcBorders>
            <w:vAlign w:val="center"/>
          </w:tcPr>
          <w:p w14:paraId="5F6F12BF" w14:textId="45EE4992" w:rsidR="006B7C8E" w:rsidRPr="00DD1F63" w:rsidRDefault="00FB599F" w:rsidP="00377A09">
            <w:pPr>
              <w:tabs>
                <w:tab w:val="center" w:pos="1481"/>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rPr>
              <w:t xml:space="preserve"> N=151</w:t>
            </w:r>
          </w:p>
        </w:tc>
      </w:tr>
      <w:tr w:rsidR="006B7C8E" w:rsidRPr="00DD1F63" w14:paraId="1CE8FAD9" w14:textId="77777777" w:rsidTr="00394E6C">
        <w:trPr>
          <w:trHeight w:val="20"/>
        </w:trPr>
        <w:tc>
          <w:tcPr>
            <w:tcW w:w="2551" w:type="dxa"/>
            <w:tcBorders>
              <w:top w:val="single" w:sz="4" w:space="0" w:color="000000"/>
              <w:left w:val="single" w:sz="4" w:space="0" w:color="000000"/>
              <w:bottom w:val="nil"/>
              <w:right w:val="single" w:sz="4" w:space="0" w:color="000000"/>
            </w:tcBorders>
          </w:tcPr>
          <w:p w14:paraId="7FE5FF5B"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ACR20 </w:t>
            </w:r>
          </w:p>
          <w:p w14:paraId="3582491C" w14:textId="00312A84"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single" w:sz="4" w:space="0" w:color="000000"/>
              <w:left w:val="single" w:sz="4" w:space="0" w:color="000000"/>
              <w:bottom w:val="nil"/>
              <w:right w:val="single" w:sz="4" w:space="0" w:color="000000"/>
            </w:tcBorders>
            <w:vAlign w:val="center"/>
          </w:tcPr>
          <w:p w14:paraId="623B852C" w14:textId="6FDD2458" w:rsidR="006B7C8E" w:rsidRPr="00DD1F63" w:rsidRDefault="006B7C8E" w:rsidP="00377A09">
            <w:pPr>
              <w:spacing w:after="0" w:line="240" w:lineRule="auto"/>
              <w:ind w:left="0" w:firstLine="0"/>
              <w:jc w:val="left"/>
              <w:rPr>
                <w:rFonts w:ascii="Times New Roman" w:hAnsi="Times New Roman" w:cs="Times New Roman"/>
                <w:sz w:val="21"/>
                <w:szCs w:val="21"/>
              </w:rPr>
            </w:pPr>
          </w:p>
          <w:p w14:paraId="2070C633" w14:textId="11C825F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2962" w:type="dxa"/>
            <w:tcBorders>
              <w:top w:val="single" w:sz="4" w:space="0" w:color="000000"/>
              <w:left w:val="single" w:sz="4" w:space="0" w:color="000000"/>
              <w:bottom w:val="nil"/>
              <w:right w:val="single" w:sz="4" w:space="0" w:color="000000"/>
            </w:tcBorders>
            <w:vAlign w:val="center"/>
          </w:tcPr>
          <w:p w14:paraId="21704482" w14:textId="4665B1C6" w:rsidR="006B7C8E" w:rsidRPr="00DD1F63" w:rsidRDefault="006B7C8E" w:rsidP="00377A09">
            <w:pPr>
              <w:spacing w:after="0" w:line="240" w:lineRule="auto"/>
              <w:ind w:left="0" w:firstLine="0"/>
              <w:jc w:val="left"/>
              <w:rPr>
                <w:rFonts w:ascii="Times New Roman" w:hAnsi="Times New Roman" w:cs="Times New Roman"/>
                <w:sz w:val="21"/>
                <w:szCs w:val="21"/>
              </w:rPr>
            </w:pPr>
          </w:p>
          <w:p w14:paraId="6B00E89F" w14:textId="4661DD7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58%</w:t>
            </w:r>
          </w:p>
        </w:tc>
      </w:tr>
      <w:tr w:rsidR="006B7C8E" w:rsidRPr="00DD1F63" w14:paraId="38DCFB88" w14:textId="77777777" w:rsidTr="00394E6C">
        <w:trPr>
          <w:trHeight w:val="20"/>
        </w:trPr>
        <w:tc>
          <w:tcPr>
            <w:tcW w:w="2551" w:type="dxa"/>
            <w:tcBorders>
              <w:top w:val="nil"/>
              <w:left w:val="single" w:sz="4" w:space="0" w:color="000000"/>
              <w:bottom w:val="nil"/>
              <w:right w:val="single" w:sz="4" w:space="0" w:color="000000"/>
            </w:tcBorders>
          </w:tcPr>
          <w:p w14:paraId="30EC1DA4" w14:textId="7938AD17"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nil"/>
              <w:right w:val="single" w:sz="4" w:space="0" w:color="000000"/>
            </w:tcBorders>
            <w:vAlign w:val="center"/>
          </w:tcPr>
          <w:p w14:paraId="6D39E901" w14:textId="337AAEB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15%</w:t>
            </w:r>
          </w:p>
        </w:tc>
        <w:tc>
          <w:tcPr>
            <w:tcW w:w="2962" w:type="dxa"/>
            <w:tcBorders>
              <w:top w:val="nil"/>
              <w:left w:val="single" w:sz="4" w:space="0" w:color="000000"/>
              <w:bottom w:val="nil"/>
              <w:right w:val="single" w:sz="4" w:space="0" w:color="000000"/>
            </w:tcBorders>
            <w:vAlign w:val="center"/>
          </w:tcPr>
          <w:p w14:paraId="61ACAFB1" w14:textId="048EA0E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57%</w:t>
            </w:r>
          </w:p>
        </w:tc>
      </w:tr>
      <w:tr w:rsidR="006B7C8E" w:rsidRPr="00DD1F63" w14:paraId="5FF3E2BF" w14:textId="77777777" w:rsidTr="00394E6C">
        <w:trPr>
          <w:trHeight w:val="20"/>
        </w:trPr>
        <w:tc>
          <w:tcPr>
            <w:tcW w:w="2551" w:type="dxa"/>
            <w:tcBorders>
              <w:top w:val="nil"/>
              <w:left w:val="single" w:sz="4" w:space="0" w:color="000000"/>
              <w:bottom w:val="nil"/>
              <w:right w:val="single" w:sz="4" w:space="0" w:color="000000"/>
            </w:tcBorders>
          </w:tcPr>
          <w:p w14:paraId="10AA6F45"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ACR50 </w:t>
            </w:r>
          </w:p>
          <w:p w14:paraId="757B5BE4" w14:textId="0E5552D5"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nil"/>
              <w:left w:val="single" w:sz="4" w:space="0" w:color="000000"/>
              <w:bottom w:val="nil"/>
              <w:right w:val="single" w:sz="4" w:space="0" w:color="000000"/>
            </w:tcBorders>
            <w:vAlign w:val="center"/>
          </w:tcPr>
          <w:p w14:paraId="18813204" w14:textId="6EC00E71" w:rsidR="006B7C8E" w:rsidRPr="00DD1F63" w:rsidRDefault="006B7C8E" w:rsidP="00377A09">
            <w:pPr>
              <w:spacing w:after="0" w:line="240" w:lineRule="auto"/>
              <w:ind w:left="0" w:firstLine="0"/>
              <w:jc w:val="left"/>
              <w:rPr>
                <w:rFonts w:ascii="Times New Roman" w:hAnsi="Times New Roman" w:cs="Times New Roman"/>
                <w:sz w:val="21"/>
                <w:szCs w:val="21"/>
              </w:rPr>
            </w:pPr>
          </w:p>
          <w:p w14:paraId="2F68846B" w14:textId="58F6F24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c>
          <w:tcPr>
            <w:tcW w:w="2962" w:type="dxa"/>
            <w:tcBorders>
              <w:top w:val="nil"/>
              <w:left w:val="single" w:sz="4" w:space="0" w:color="000000"/>
              <w:bottom w:val="nil"/>
              <w:right w:val="single" w:sz="4" w:space="0" w:color="000000"/>
            </w:tcBorders>
            <w:vAlign w:val="center"/>
          </w:tcPr>
          <w:p w14:paraId="57ACC2DA" w14:textId="14BA2128" w:rsidR="006B7C8E" w:rsidRPr="00DD1F63" w:rsidRDefault="006B7C8E" w:rsidP="00377A09">
            <w:pPr>
              <w:spacing w:after="0" w:line="240" w:lineRule="auto"/>
              <w:ind w:left="0" w:firstLine="0"/>
              <w:jc w:val="left"/>
              <w:rPr>
                <w:rFonts w:ascii="Times New Roman" w:hAnsi="Times New Roman" w:cs="Times New Roman"/>
                <w:sz w:val="21"/>
                <w:szCs w:val="21"/>
              </w:rPr>
            </w:pPr>
          </w:p>
          <w:p w14:paraId="19BC1810" w14:textId="4396C35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36%</w:t>
            </w:r>
          </w:p>
        </w:tc>
      </w:tr>
      <w:tr w:rsidR="006B7C8E" w:rsidRPr="00DD1F63" w14:paraId="563AF716" w14:textId="77777777" w:rsidTr="00394E6C">
        <w:trPr>
          <w:trHeight w:val="20"/>
        </w:trPr>
        <w:tc>
          <w:tcPr>
            <w:tcW w:w="2551" w:type="dxa"/>
            <w:tcBorders>
              <w:top w:val="nil"/>
              <w:left w:val="single" w:sz="4" w:space="0" w:color="000000"/>
              <w:bottom w:val="nil"/>
              <w:right w:val="single" w:sz="4" w:space="0" w:color="000000"/>
            </w:tcBorders>
          </w:tcPr>
          <w:p w14:paraId="2A4E976C" w14:textId="7A576076"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nil"/>
              <w:right w:val="single" w:sz="4" w:space="0" w:color="000000"/>
            </w:tcBorders>
            <w:vAlign w:val="center"/>
          </w:tcPr>
          <w:p w14:paraId="2413E280" w14:textId="09CFAE5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c>
          <w:tcPr>
            <w:tcW w:w="2962" w:type="dxa"/>
            <w:tcBorders>
              <w:top w:val="nil"/>
              <w:left w:val="single" w:sz="4" w:space="0" w:color="000000"/>
              <w:bottom w:val="nil"/>
              <w:right w:val="single" w:sz="4" w:space="0" w:color="000000"/>
            </w:tcBorders>
            <w:vAlign w:val="center"/>
          </w:tcPr>
          <w:p w14:paraId="29E5214B" w14:textId="7F6087C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39%</w:t>
            </w:r>
          </w:p>
        </w:tc>
      </w:tr>
      <w:tr w:rsidR="006B7C8E" w:rsidRPr="00DD1F63" w14:paraId="404933F8" w14:textId="77777777" w:rsidTr="00394E6C">
        <w:trPr>
          <w:trHeight w:val="20"/>
        </w:trPr>
        <w:tc>
          <w:tcPr>
            <w:tcW w:w="2551" w:type="dxa"/>
            <w:tcBorders>
              <w:top w:val="nil"/>
              <w:left w:val="single" w:sz="4" w:space="0" w:color="000000"/>
              <w:bottom w:val="nil"/>
              <w:right w:val="single" w:sz="4" w:space="0" w:color="000000"/>
            </w:tcBorders>
          </w:tcPr>
          <w:p w14:paraId="2F25F3B7"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ACR70 </w:t>
            </w:r>
          </w:p>
          <w:p w14:paraId="5E037C76" w14:textId="051C79B8"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nil"/>
              <w:left w:val="single" w:sz="4" w:space="0" w:color="000000"/>
              <w:bottom w:val="nil"/>
              <w:right w:val="single" w:sz="4" w:space="0" w:color="000000"/>
            </w:tcBorders>
            <w:vAlign w:val="center"/>
          </w:tcPr>
          <w:p w14:paraId="46CA918F" w14:textId="35471D97" w:rsidR="006B7C8E" w:rsidRPr="00DD1F63" w:rsidRDefault="006B7C8E" w:rsidP="00377A09">
            <w:pPr>
              <w:spacing w:after="0" w:line="240" w:lineRule="auto"/>
              <w:ind w:left="0" w:firstLine="0"/>
              <w:jc w:val="left"/>
              <w:rPr>
                <w:rFonts w:ascii="Times New Roman" w:hAnsi="Times New Roman" w:cs="Times New Roman"/>
                <w:sz w:val="21"/>
                <w:szCs w:val="21"/>
              </w:rPr>
            </w:pPr>
          </w:p>
          <w:p w14:paraId="643EFADB" w14:textId="0446FA6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2962" w:type="dxa"/>
            <w:tcBorders>
              <w:top w:val="nil"/>
              <w:left w:val="single" w:sz="4" w:space="0" w:color="000000"/>
              <w:bottom w:val="nil"/>
              <w:right w:val="single" w:sz="4" w:space="0" w:color="000000"/>
            </w:tcBorders>
            <w:vAlign w:val="center"/>
          </w:tcPr>
          <w:p w14:paraId="5F2A9094" w14:textId="32012560" w:rsidR="006B7C8E" w:rsidRPr="00DD1F63" w:rsidRDefault="006B7C8E" w:rsidP="00377A09">
            <w:pPr>
              <w:spacing w:after="0" w:line="240" w:lineRule="auto"/>
              <w:ind w:left="0" w:firstLine="0"/>
              <w:jc w:val="left"/>
              <w:rPr>
                <w:rFonts w:ascii="Times New Roman" w:hAnsi="Times New Roman" w:cs="Times New Roman"/>
                <w:sz w:val="21"/>
                <w:szCs w:val="21"/>
              </w:rPr>
            </w:pPr>
          </w:p>
          <w:p w14:paraId="7EF9629E" w14:textId="7103933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20%</w:t>
            </w:r>
          </w:p>
        </w:tc>
      </w:tr>
      <w:tr w:rsidR="006B7C8E" w:rsidRPr="00DD1F63" w14:paraId="02E69F07" w14:textId="77777777" w:rsidTr="00394E6C">
        <w:trPr>
          <w:trHeight w:val="20"/>
        </w:trPr>
        <w:tc>
          <w:tcPr>
            <w:tcW w:w="2551" w:type="dxa"/>
            <w:tcBorders>
              <w:top w:val="nil"/>
              <w:left w:val="single" w:sz="4" w:space="0" w:color="000000"/>
              <w:bottom w:val="single" w:sz="4" w:space="0" w:color="000000"/>
              <w:right w:val="single" w:sz="4" w:space="0" w:color="000000"/>
            </w:tcBorders>
          </w:tcPr>
          <w:p w14:paraId="535B9293" w14:textId="30763C38"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single" w:sz="4" w:space="0" w:color="000000"/>
              <w:right w:val="single" w:sz="4" w:space="0" w:color="000000"/>
            </w:tcBorders>
            <w:vAlign w:val="center"/>
          </w:tcPr>
          <w:p w14:paraId="7B12F74D" w14:textId="313284E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2962" w:type="dxa"/>
            <w:tcBorders>
              <w:top w:val="nil"/>
              <w:left w:val="single" w:sz="4" w:space="0" w:color="000000"/>
              <w:bottom w:val="single" w:sz="4" w:space="0" w:color="000000"/>
              <w:right w:val="single" w:sz="4" w:space="0" w:color="000000"/>
            </w:tcBorders>
            <w:vAlign w:val="center"/>
          </w:tcPr>
          <w:p w14:paraId="21A64660" w14:textId="7A229F4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23%</w:t>
            </w:r>
          </w:p>
        </w:tc>
      </w:tr>
      <w:tr w:rsidR="006B7C8E" w:rsidRPr="00DD1F63" w14:paraId="212489D6" w14:textId="77777777" w:rsidTr="00394E6C">
        <w:trPr>
          <w:trHeight w:val="20"/>
        </w:trPr>
        <w:tc>
          <w:tcPr>
            <w:tcW w:w="2551" w:type="dxa"/>
            <w:tcBorders>
              <w:top w:val="single" w:sz="4" w:space="0" w:color="000000"/>
              <w:left w:val="single" w:sz="4" w:space="0" w:color="000000"/>
              <w:bottom w:val="single" w:sz="4" w:space="0" w:color="000000"/>
              <w:right w:val="single" w:sz="4" w:space="0" w:color="000000"/>
            </w:tcBorders>
          </w:tcPr>
          <w:p w14:paraId="646F9453" w14:textId="42F108E9"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279A2A9E" w14:textId="1D44B06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N=69</w:t>
            </w:r>
          </w:p>
        </w:tc>
        <w:tc>
          <w:tcPr>
            <w:tcW w:w="2962" w:type="dxa"/>
            <w:tcBorders>
              <w:top w:val="single" w:sz="4" w:space="0" w:color="000000"/>
              <w:left w:val="single" w:sz="4" w:space="0" w:color="000000"/>
              <w:bottom w:val="single" w:sz="4" w:space="0" w:color="000000"/>
              <w:right w:val="single" w:sz="4" w:space="0" w:color="000000"/>
            </w:tcBorders>
            <w:vAlign w:val="center"/>
          </w:tcPr>
          <w:p w14:paraId="6061C08B" w14:textId="6F2FF19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N=69</w:t>
            </w:r>
          </w:p>
        </w:tc>
      </w:tr>
      <w:tr w:rsidR="006B7C8E" w:rsidRPr="00DD1F63" w14:paraId="5C72AB3D" w14:textId="77777777" w:rsidTr="00394E6C">
        <w:trPr>
          <w:trHeight w:val="20"/>
        </w:trPr>
        <w:tc>
          <w:tcPr>
            <w:tcW w:w="2551" w:type="dxa"/>
            <w:tcBorders>
              <w:top w:val="single" w:sz="4" w:space="0" w:color="000000"/>
              <w:left w:val="single" w:sz="4" w:space="0" w:color="000000"/>
              <w:bottom w:val="nil"/>
              <w:right w:val="single" w:sz="4" w:space="0" w:color="000000"/>
            </w:tcBorders>
          </w:tcPr>
          <w:p w14:paraId="11C89B74"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PASI 50 </w:t>
            </w:r>
          </w:p>
          <w:p w14:paraId="58007A45" w14:textId="0AFE36A3"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single" w:sz="4" w:space="0" w:color="000000"/>
              <w:left w:val="single" w:sz="4" w:space="0" w:color="000000"/>
              <w:bottom w:val="nil"/>
              <w:right w:val="single" w:sz="4" w:space="0" w:color="000000"/>
            </w:tcBorders>
            <w:vAlign w:val="center"/>
          </w:tcPr>
          <w:p w14:paraId="255F8DB2" w14:textId="1D556649" w:rsidR="006B7C8E" w:rsidRPr="00DD1F63" w:rsidRDefault="006B7C8E" w:rsidP="00377A09">
            <w:pPr>
              <w:spacing w:after="0" w:line="240" w:lineRule="auto"/>
              <w:ind w:left="0" w:firstLine="0"/>
              <w:jc w:val="left"/>
              <w:rPr>
                <w:rFonts w:ascii="Times New Roman" w:hAnsi="Times New Roman" w:cs="Times New Roman"/>
                <w:sz w:val="21"/>
                <w:szCs w:val="21"/>
              </w:rPr>
            </w:pPr>
          </w:p>
          <w:p w14:paraId="5DCBBD54" w14:textId="7041CC5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15%</w:t>
            </w:r>
          </w:p>
        </w:tc>
        <w:tc>
          <w:tcPr>
            <w:tcW w:w="2962" w:type="dxa"/>
            <w:tcBorders>
              <w:top w:val="single" w:sz="4" w:space="0" w:color="000000"/>
              <w:left w:val="single" w:sz="4" w:space="0" w:color="000000"/>
              <w:bottom w:val="nil"/>
              <w:right w:val="single" w:sz="4" w:space="0" w:color="000000"/>
            </w:tcBorders>
            <w:vAlign w:val="center"/>
          </w:tcPr>
          <w:p w14:paraId="6C2B2D48" w14:textId="274A27CA" w:rsidR="006B7C8E" w:rsidRPr="00DD1F63" w:rsidRDefault="006B7C8E" w:rsidP="00377A09">
            <w:pPr>
              <w:spacing w:after="0" w:line="240" w:lineRule="auto"/>
              <w:ind w:left="0" w:firstLine="0"/>
              <w:jc w:val="left"/>
              <w:rPr>
                <w:rFonts w:ascii="Times New Roman" w:hAnsi="Times New Roman" w:cs="Times New Roman"/>
                <w:sz w:val="21"/>
                <w:szCs w:val="21"/>
              </w:rPr>
            </w:pPr>
          </w:p>
          <w:p w14:paraId="4F752754" w14:textId="62E52AC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72%</w:t>
            </w:r>
          </w:p>
        </w:tc>
      </w:tr>
      <w:tr w:rsidR="006B7C8E" w:rsidRPr="00DD1F63" w14:paraId="54791B38" w14:textId="77777777" w:rsidTr="00394E6C">
        <w:trPr>
          <w:trHeight w:val="20"/>
        </w:trPr>
        <w:tc>
          <w:tcPr>
            <w:tcW w:w="2551" w:type="dxa"/>
            <w:tcBorders>
              <w:top w:val="nil"/>
              <w:left w:val="single" w:sz="4" w:space="0" w:color="000000"/>
              <w:bottom w:val="nil"/>
              <w:right w:val="single" w:sz="4" w:space="0" w:color="000000"/>
            </w:tcBorders>
          </w:tcPr>
          <w:p w14:paraId="36202850" w14:textId="5582D312"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nil"/>
              <w:right w:val="single" w:sz="4" w:space="0" w:color="000000"/>
            </w:tcBorders>
            <w:vAlign w:val="center"/>
          </w:tcPr>
          <w:p w14:paraId="0AB76726" w14:textId="0CA5F4B3"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w:t>
            </w:r>
          </w:p>
        </w:tc>
        <w:tc>
          <w:tcPr>
            <w:tcW w:w="2962" w:type="dxa"/>
            <w:tcBorders>
              <w:top w:val="nil"/>
              <w:left w:val="single" w:sz="4" w:space="0" w:color="000000"/>
              <w:bottom w:val="nil"/>
              <w:right w:val="single" w:sz="4" w:space="0" w:color="000000"/>
            </w:tcBorders>
            <w:vAlign w:val="center"/>
          </w:tcPr>
          <w:p w14:paraId="38FCC75D" w14:textId="55A92E8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75%</w:t>
            </w:r>
          </w:p>
        </w:tc>
      </w:tr>
      <w:tr w:rsidR="006B7C8E" w:rsidRPr="00DD1F63" w14:paraId="62A56F81" w14:textId="77777777" w:rsidTr="00394E6C">
        <w:trPr>
          <w:trHeight w:val="20"/>
        </w:trPr>
        <w:tc>
          <w:tcPr>
            <w:tcW w:w="2551" w:type="dxa"/>
            <w:tcBorders>
              <w:top w:val="nil"/>
              <w:left w:val="single" w:sz="4" w:space="0" w:color="000000"/>
              <w:bottom w:val="nil"/>
              <w:right w:val="single" w:sz="4" w:space="0" w:color="000000"/>
            </w:tcBorders>
          </w:tcPr>
          <w:p w14:paraId="4516046B"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PASI 75 </w:t>
            </w:r>
          </w:p>
          <w:p w14:paraId="78B444E0" w14:textId="16E83ACC"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nil"/>
              <w:left w:val="single" w:sz="4" w:space="0" w:color="000000"/>
              <w:bottom w:val="nil"/>
              <w:right w:val="single" w:sz="4" w:space="0" w:color="000000"/>
            </w:tcBorders>
            <w:vAlign w:val="center"/>
          </w:tcPr>
          <w:p w14:paraId="36C33492" w14:textId="566BA18D" w:rsidR="006B7C8E" w:rsidRPr="00DD1F63" w:rsidRDefault="006B7C8E" w:rsidP="00377A09">
            <w:pPr>
              <w:spacing w:after="0" w:line="240" w:lineRule="auto"/>
              <w:ind w:left="0" w:firstLine="0"/>
              <w:jc w:val="left"/>
              <w:rPr>
                <w:rFonts w:ascii="Times New Roman" w:hAnsi="Times New Roman" w:cs="Times New Roman"/>
                <w:sz w:val="21"/>
                <w:szCs w:val="21"/>
              </w:rPr>
            </w:pPr>
          </w:p>
          <w:p w14:paraId="79C48DCB" w14:textId="7A217F4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c>
          <w:tcPr>
            <w:tcW w:w="2962" w:type="dxa"/>
            <w:tcBorders>
              <w:top w:val="nil"/>
              <w:left w:val="single" w:sz="4" w:space="0" w:color="000000"/>
              <w:bottom w:val="nil"/>
              <w:right w:val="single" w:sz="4" w:space="0" w:color="000000"/>
            </w:tcBorders>
            <w:vAlign w:val="center"/>
          </w:tcPr>
          <w:p w14:paraId="04808CE6" w14:textId="721BC311" w:rsidR="006B7C8E" w:rsidRPr="00DD1F63" w:rsidRDefault="006B7C8E" w:rsidP="00377A09">
            <w:pPr>
              <w:spacing w:after="0" w:line="240" w:lineRule="auto"/>
              <w:ind w:left="0" w:firstLine="0"/>
              <w:jc w:val="left"/>
              <w:rPr>
                <w:rFonts w:ascii="Times New Roman" w:hAnsi="Times New Roman" w:cs="Times New Roman"/>
                <w:sz w:val="21"/>
                <w:szCs w:val="21"/>
              </w:rPr>
            </w:pPr>
          </w:p>
          <w:p w14:paraId="52AA199D" w14:textId="2E17571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49%</w:t>
            </w:r>
          </w:p>
        </w:tc>
      </w:tr>
      <w:tr w:rsidR="006B7C8E" w:rsidRPr="00DD1F63" w14:paraId="346F2836" w14:textId="77777777" w:rsidTr="00394E6C">
        <w:trPr>
          <w:trHeight w:val="20"/>
        </w:trPr>
        <w:tc>
          <w:tcPr>
            <w:tcW w:w="2551" w:type="dxa"/>
            <w:tcBorders>
              <w:top w:val="nil"/>
              <w:left w:val="single" w:sz="4" w:space="0" w:color="000000"/>
              <w:bottom w:val="single" w:sz="4" w:space="0" w:color="000000"/>
              <w:right w:val="single" w:sz="4" w:space="0" w:color="000000"/>
            </w:tcBorders>
          </w:tcPr>
          <w:p w14:paraId="7FB38F09" w14:textId="6624751B" w:rsidR="006B7C8E" w:rsidRPr="00DD1F63" w:rsidRDefault="00CA72FF" w:rsidP="00377A09">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single" w:sz="4" w:space="0" w:color="000000"/>
              <w:right w:val="single" w:sz="4" w:space="0" w:color="000000"/>
            </w:tcBorders>
            <w:vAlign w:val="center"/>
          </w:tcPr>
          <w:p w14:paraId="2683510B" w14:textId="5074E73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2962" w:type="dxa"/>
            <w:tcBorders>
              <w:top w:val="nil"/>
              <w:left w:val="single" w:sz="4" w:space="0" w:color="000000"/>
              <w:bottom w:val="single" w:sz="4" w:space="0" w:color="000000"/>
              <w:right w:val="single" w:sz="4" w:space="0" w:color="000000"/>
            </w:tcBorders>
            <w:vAlign w:val="center"/>
          </w:tcPr>
          <w:p w14:paraId="16C8E7BE" w14:textId="2FD63AD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59%</w:t>
            </w:r>
          </w:p>
        </w:tc>
      </w:tr>
    </w:tbl>
    <w:p w14:paraId="27665E56" w14:textId="618939E2"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 p&lt;0.001 for all comparisons between </w:t>
      </w:r>
      <w:r w:rsidR="002453D3" w:rsidRPr="00DD1F63">
        <w:rPr>
          <w:rFonts w:ascii="Times New Roman" w:hAnsi="Times New Roman" w:cs="Times New Roman"/>
          <w:szCs w:val="20"/>
        </w:rPr>
        <w:t>adalimumab</w:t>
      </w:r>
      <w:r w:rsidRPr="00DD1F63">
        <w:rPr>
          <w:rFonts w:ascii="Times New Roman" w:hAnsi="Times New Roman" w:cs="Times New Roman"/>
          <w:szCs w:val="20"/>
        </w:rPr>
        <w:t xml:space="preserve"> and placebo </w:t>
      </w:r>
    </w:p>
    <w:p w14:paraId="64AE8E51" w14:textId="732584DB"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sz w:val="16"/>
        </w:rPr>
        <w:t xml:space="preserve"> </w:t>
      </w:r>
    </w:p>
    <w:tbl>
      <w:tblPr>
        <w:tblStyle w:val="TableGrid1"/>
        <w:tblW w:w="8535" w:type="dxa"/>
        <w:tblInd w:w="421" w:type="dxa"/>
        <w:tblCellMar>
          <w:left w:w="57" w:type="dxa"/>
          <w:right w:w="57" w:type="dxa"/>
        </w:tblCellMar>
        <w:tblLook w:val="04A0" w:firstRow="1" w:lastRow="0" w:firstColumn="1" w:lastColumn="0" w:noHBand="0" w:noVBand="1"/>
      </w:tblPr>
      <w:tblGrid>
        <w:gridCol w:w="2693"/>
        <w:gridCol w:w="1559"/>
        <w:gridCol w:w="1559"/>
        <w:gridCol w:w="1362"/>
        <w:gridCol w:w="1362"/>
      </w:tblGrid>
      <w:tr w:rsidR="006B7C8E" w:rsidRPr="00DD1F63" w14:paraId="078AFEA5" w14:textId="77777777" w:rsidTr="00394E6C">
        <w:trPr>
          <w:trHeight w:val="17"/>
        </w:trPr>
        <w:tc>
          <w:tcPr>
            <w:tcW w:w="8535" w:type="dxa"/>
            <w:gridSpan w:val="5"/>
            <w:tcBorders>
              <w:top w:val="single" w:sz="4" w:space="0" w:color="000000"/>
              <w:left w:val="single" w:sz="4" w:space="0" w:color="000000"/>
              <w:bottom w:val="single" w:sz="4" w:space="0" w:color="000000"/>
              <w:right w:val="single" w:sz="4" w:space="0" w:color="000000"/>
            </w:tcBorders>
            <w:vAlign w:val="bottom"/>
          </w:tcPr>
          <w:p w14:paraId="1796997D" w14:textId="2C263C7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3</w:t>
            </w:r>
            <w:r w:rsidRPr="00DD1F63">
              <w:rPr>
                <w:rFonts w:ascii="Times New Roman" w:hAnsi="Times New Roman" w:cs="Times New Roman"/>
                <w:b/>
                <w:sz w:val="21"/>
                <w:szCs w:val="21"/>
              </w:rPr>
              <w:t xml:space="preserve">: Components of </w:t>
            </w:r>
            <w:r w:rsidR="002453D3" w:rsidRPr="00DD1F63">
              <w:rPr>
                <w:rFonts w:ascii="Times New Roman" w:hAnsi="Times New Roman" w:cs="Times New Roman"/>
                <w:b/>
                <w:sz w:val="21"/>
                <w:szCs w:val="21"/>
              </w:rPr>
              <w:t>d</w:t>
            </w:r>
            <w:r w:rsidRPr="00DD1F63">
              <w:rPr>
                <w:rFonts w:ascii="Times New Roman" w:hAnsi="Times New Roman" w:cs="Times New Roman"/>
                <w:b/>
                <w:sz w:val="21"/>
                <w:szCs w:val="21"/>
              </w:rPr>
              <w:t xml:space="preserve">isease </w:t>
            </w:r>
            <w:r w:rsidR="002453D3"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ctivity in </w:t>
            </w:r>
            <w:r w:rsidR="002453D3"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soriatic </w:t>
            </w:r>
            <w:r w:rsidR="002453D3"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rthritis </w:t>
            </w:r>
          </w:p>
        </w:tc>
      </w:tr>
      <w:tr w:rsidR="006B7C8E" w:rsidRPr="00DD1F63" w14:paraId="1D4ACC11" w14:textId="77777777" w:rsidTr="00394E6C">
        <w:trPr>
          <w:trHeight w:val="160"/>
        </w:trPr>
        <w:tc>
          <w:tcPr>
            <w:tcW w:w="2693" w:type="dxa"/>
            <w:tcBorders>
              <w:top w:val="single" w:sz="4" w:space="0" w:color="000000"/>
              <w:left w:val="single" w:sz="4" w:space="0" w:color="000000"/>
              <w:bottom w:val="single" w:sz="4" w:space="0" w:color="000000"/>
              <w:right w:val="single" w:sz="4" w:space="0" w:color="000000"/>
            </w:tcBorders>
            <w:vAlign w:val="center"/>
          </w:tcPr>
          <w:p w14:paraId="7A57B630"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11F53CC3" w14:textId="51191D5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Placebo (N=162</w:t>
            </w:r>
            <w:r w:rsidRPr="00DD1F63">
              <w:rPr>
                <w:rFonts w:ascii="Times New Roman" w:hAnsi="Times New Roman" w:cs="Times New Roman"/>
                <w:sz w:val="21"/>
                <w:szCs w:val="21"/>
                <w:vertAlign w:val="superscript"/>
              </w:rPr>
              <w:t>a</w:t>
            </w:r>
            <w:r w:rsidRPr="00DD1F63">
              <w:rPr>
                <w:rFonts w:ascii="Times New Roman" w:hAnsi="Times New Roman" w:cs="Times New Roman"/>
                <w:sz w:val="21"/>
                <w:szCs w:val="21"/>
              </w:rPr>
              <w:t>)</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14:paraId="0828B8EB" w14:textId="604E6BCA" w:rsidR="006B7C8E" w:rsidRPr="00DD1F63" w:rsidRDefault="007269A2"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2"/>
              </w:rPr>
              <w:t xml:space="preserve">Adalimumab </w:t>
            </w:r>
            <w:r w:rsidR="00CA72FF" w:rsidRPr="00DD1F63">
              <w:rPr>
                <w:rFonts w:ascii="Times New Roman" w:hAnsi="Times New Roman" w:cs="Times New Roman"/>
                <w:sz w:val="21"/>
                <w:szCs w:val="21"/>
              </w:rPr>
              <w:t>(N=151</w:t>
            </w:r>
            <w:r w:rsidR="00CA72FF" w:rsidRPr="00DD1F63">
              <w:rPr>
                <w:rFonts w:ascii="Times New Roman" w:hAnsi="Times New Roman" w:cs="Times New Roman"/>
                <w:sz w:val="21"/>
                <w:szCs w:val="21"/>
                <w:vertAlign w:val="superscript"/>
              </w:rPr>
              <w:t>a</w:t>
            </w:r>
            <w:r w:rsidR="00CA72FF" w:rsidRPr="00DD1F63">
              <w:rPr>
                <w:rFonts w:ascii="Times New Roman" w:hAnsi="Times New Roman" w:cs="Times New Roman"/>
                <w:sz w:val="21"/>
                <w:szCs w:val="21"/>
              </w:rPr>
              <w:t>)</w:t>
            </w:r>
          </w:p>
        </w:tc>
      </w:tr>
      <w:tr w:rsidR="006B7C8E" w:rsidRPr="00DD1F63" w14:paraId="1025B283" w14:textId="77777777" w:rsidTr="00394E6C">
        <w:trPr>
          <w:trHeight w:val="23"/>
        </w:trPr>
        <w:tc>
          <w:tcPr>
            <w:tcW w:w="2693" w:type="dxa"/>
            <w:tcBorders>
              <w:top w:val="single" w:sz="4" w:space="0" w:color="000000"/>
              <w:left w:val="single" w:sz="4" w:space="0" w:color="000000"/>
              <w:bottom w:val="single" w:sz="4" w:space="0" w:color="000000"/>
              <w:right w:val="single" w:sz="4" w:space="0" w:color="000000"/>
            </w:tcBorders>
            <w:vAlign w:val="bottom"/>
          </w:tcPr>
          <w:p w14:paraId="59836098" w14:textId="0565916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Parameter: mean (median)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D9ECE" w14:textId="3993FA0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21AC8" w14:textId="7CEC3B5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 Weeks</w:t>
            </w:r>
          </w:p>
        </w:tc>
        <w:tc>
          <w:tcPr>
            <w:tcW w:w="1362" w:type="dxa"/>
            <w:tcBorders>
              <w:top w:val="single" w:sz="4" w:space="0" w:color="000000"/>
              <w:left w:val="single" w:sz="4" w:space="0" w:color="000000"/>
              <w:bottom w:val="single" w:sz="4" w:space="0" w:color="000000"/>
              <w:right w:val="single" w:sz="4" w:space="0" w:color="000000"/>
            </w:tcBorders>
            <w:vAlign w:val="center"/>
          </w:tcPr>
          <w:p w14:paraId="6DAA2B3E" w14:textId="0DADF73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362" w:type="dxa"/>
            <w:tcBorders>
              <w:top w:val="single" w:sz="4" w:space="0" w:color="000000"/>
              <w:left w:val="single" w:sz="4" w:space="0" w:color="000000"/>
              <w:bottom w:val="single" w:sz="4" w:space="0" w:color="000000"/>
              <w:right w:val="single" w:sz="4" w:space="0" w:color="000000"/>
            </w:tcBorders>
            <w:vAlign w:val="center"/>
          </w:tcPr>
          <w:p w14:paraId="3449D964" w14:textId="65F1B4D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 Weeks</w:t>
            </w:r>
          </w:p>
        </w:tc>
      </w:tr>
      <w:tr w:rsidR="006B7C8E" w:rsidRPr="00DD1F63" w14:paraId="29DF1E74" w14:textId="77777777" w:rsidTr="00394E6C">
        <w:trPr>
          <w:trHeight w:val="43"/>
        </w:trPr>
        <w:tc>
          <w:tcPr>
            <w:tcW w:w="2693" w:type="dxa"/>
            <w:tcBorders>
              <w:top w:val="single" w:sz="4" w:space="0" w:color="000000"/>
              <w:left w:val="single" w:sz="4" w:space="0" w:color="000000"/>
              <w:bottom w:val="single" w:sz="4" w:space="0" w:color="000000"/>
              <w:right w:val="single" w:sz="4" w:space="0" w:color="000000"/>
            </w:tcBorders>
            <w:vAlign w:val="bottom"/>
          </w:tcPr>
          <w:p w14:paraId="113E159F" w14:textId="3A9513C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tender </w:t>
            </w:r>
            <w:proofErr w:type="spellStart"/>
            <w:r w:rsidRPr="00DD1F63">
              <w:rPr>
                <w:rFonts w:ascii="Times New Roman" w:hAnsi="Times New Roman" w:cs="Times New Roman"/>
                <w:sz w:val="21"/>
                <w:szCs w:val="21"/>
              </w:rPr>
              <w:t>joints</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D039EC" w14:textId="04B3C7B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25.8 (23.0)</w:t>
            </w:r>
          </w:p>
        </w:tc>
        <w:tc>
          <w:tcPr>
            <w:tcW w:w="1559" w:type="dxa"/>
            <w:tcBorders>
              <w:top w:val="single" w:sz="4" w:space="0" w:color="000000"/>
              <w:left w:val="single" w:sz="4" w:space="0" w:color="000000"/>
              <w:bottom w:val="single" w:sz="4" w:space="0" w:color="000000"/>
              <w:right w:val="single" w:sz="4" w:space="0" w:color="000000"/>
            </w:tcBorders>
            <w:vAlign w:val="center"/>
          </w:tcPr>
          <w:p w14:paraId="704ADF4F" w14:textId="0000A97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22.3 (17.0)</w:t>
            </w:r>
          </w:p>
        </w:tc>
        <w:tc>
          <w:tcPr>
            <w:tcW w:w="1362" w:type="dxa"/>
            <w:tcBorders>
              <w:top w:val="single" w:sz="4" w:space="0" w:color="000000"/>
              <w:left w:val="single" w:sz="4" w:space="0" w:color="000000"/>
              <w:bottom w:val="single" w:sz="4" w:space="0" w:color="000000"/>
              <w:right w:val="single" w:sz="4" w:space="0" w:color="000000"/>
            </w:tcBorders>
            <w:vAlign w:val="center"/>
          </w:tcPr>
          <w:p w14:paraId="0365CBF8" w14:textId="3473189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23.3 (19.0)</w:t>
            </w:r>
          </w:p>
        </w:tc>
        <w:tc>
          <w:tcPr>
            <w:tcW w:w="1362" w:type="dxa"/>
            <w:tcBorders>
              <w:top w:val="single" w:sz="4" w:space="0" w:color="000000"/>
              <w:left w:val="single" w:sz="4" w:space="0" w:color="000000"/>
              <w:bottom w:val="single" w:sz="4" w:space="0" w:color="000000"/>
              <w:right w:val="single" w:sz="4" w:space="0" w:color="000000"/>
            </w:tcBorders>
            <w:vAlign w:val="center"/>
          </w:tcPr>
          <w:p w14:paraId="734E9CB7" w14:textId="3E83668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11.8 (5.0)</w:t>
            </w:r>
          </w:p>
        </w:tc>
      </w:tr>
      <w:tr w:rsidR="006B7C8E" w:rsidRPr="00DD1F63" w14:paraId="47B55765"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6FA01949" w14:textId="70EC161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swollen </w:t>
            </w:r>
            <w:proofErr w:type="spellStart"/>
            <w:r w:rsidRPr="00DD1F63">
              <w:rPr>
                <w:rFonts w:ascii="Times New Roman" w:hAnsi="Times New Roman" w:cs="Times New Roman"/>
                <w:sz w:val="21"/>
                <w:szCs w:val="21"/>
              </w:rPr>
              <w:t>joints</w:t>
            </w:r>
            <w:r w:rsidRPr="00DD1F63">
              <w:rPr>
                <w:rFonts w:ascii="Times New Roman" w:hAnsi="Times New Roman" w:cs="Times New Roman"/>
                <w:sz w:val="21"/>
                <w:szCs w:val="21"/>
                <w:vertAlign w:val="superscript"/>
              </w:rPr>
              <w:t>c</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BF6FADB" w14:textId="5201DCA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14.6 (11.0)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028EC7" w14:textId="2C79E92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12.1 (8.0)</w:t>
            </w:r>
          </w:p>
        </w:tc>
        <w:tc>
          <w:tcPr>
            <w:tcW w:w="1362" w:type="dxa"/>
            <w:tcBorders>
              <w:top w:val="single" w:sz="4" w:space="0" w:color="000000"/>
              <w:left w:val="single" w:sz="4" w:space="0" w:color="000000"/>
              <w:bottom w:val="single" w:sz="4" w:space="0" w:color="000000"/>
              <w:right w:val="single" w:sz="4" w:space="0" w:color="000000"/>
            </w:tcBorders>
            <w:vAlign w:val="center"/>
          </w:tcPr>
          <w:p w14:paraId="662C65CC" w14:textId="5BF3314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13.4 (10.0)</w:t>
            </w:r>
          </w:p>
        </w:tc>
        <w:tc>
          <w:tcPr>
            <w:tcW w:w="1362" w:type="dxa"/>
            <w:tcBorders>
              <w:top w:val="single" w:sz="4" w:space="0" w:color="000000"/>
              <w:left w:val="single" w:sz="4" w:space="0" w:color="000000"/>
              <w:bottom w:val="single" w:sz="4" w:space="0" w:color="000000"/>
              <w:right w:val="single" w:sz="4" w:space="0" w:color="000000"/>
            </w:tcBorders>
            <w:vAlign w:val="center"/>
          </w:tcPr>
          <w:p w14:paraId="504A268A" w14:textId="1BB620A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7.6 (3.0)</w:t>
            </w:r>
          </w:p>
        </w:tc>
      </w:tr>
      <w:tr w:rsidR="006B7C8E" w:rsidRPr="00DD1F63" w14:paraId="3B4A007F"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12E6A0AD" w14:textId="75E1BCD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Physician global </w:t>
            </w:r>
            <w:proofErr w:type="spellStart"/>
            <w:r w:rsidRPr="00DD1F63">
              <w:rPr>
                <w:rFonts w:ascii="Times New Roman" w:hAnsi="Times New Roman" w:cs="Times New Roman"/>
                <w:sz w:val="21"/>
                <w:szCs w:val="21"/>
              </w:rPr>
              <w:t>assessment</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AEBE4D" w14:textId="351042F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53.2 (53.0)</w:t>
            </w:r>
          </w:p>
        </w:tc>
        <w:tc>
          <w:tcPr>
            <w:tcW w:w="1559" w:type="dxa"/>
            <w:tcBorders>
              <w:top w:val="single" w:sz="4" w:space="0" w:color="000000"/>
              <w:left w:val="single" w:sz="4" w:space="0" w:color="000000"/>
              <w:bottom w:val="single" w:sz="4" w:space="0" w:color="000000"/>
              <w:right w:val="single" w:sz="4" w:space="0" w:color="000000"/>
            </w:tcBorders>
            <w:vAlign w:val="center"/>
          </w:tcPr>
          <w:p w14:paraId="2EC76551" w14:textId="4BE51D4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46.0 (48.0)</w:t>
            </w:r>
          </w:p>
        </w:tc>
        <w:tc>
          <w:tcPr>
            <w:tcW w:w="1362" w:type="dxa"/>
            <w:tcBorders>
              <w:top w:val="single" w:sz="4" w:space="0" w:color="000000"/>
              <w:left w:val="single" w:sz="4" w:space="0" w:color="000000"/>
              <w:bottom w:val="single" w:sz="4" w:space="0" w:color="000000"/>
              <w:right w:val="single" w:sz="4" w:space="0" w:color="000000"/>
            </w:tcBorders>
            <w:vAlign w:val="center"/>
          </w:tcPr>
          <w:p w14:paraId="3286A9FF" w14:textId="2FA1CF3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53.5 (54.0)</w:t>
            </w:r>
          </w:p>
        </w:tc>
        <w:tc>
          <w:tcPr>
            <w:tcW w:w="1362" w:type="dxa"/>
            <w:tcBorders>
              <w:top w:val="single" w:sz="4" w:space="0" w:color="000000"/>
              <w:left w:val="single" w:sz="4" w:space="0" w:color="000000"/>
              <w:bottom w:val="single" w:sz="4" w:space="0" w:color="000000"/>
              <w:right w:val="single" w:sz="4" w:space="0" w:color="000000"/>
            </w:tcBorders>
            <w:vAlign w:val="center"/>
          </w:tcPr>
          <w:p w14:paraId="73345FBE" w14:textId="6D974C5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21.4 (16.0)</w:t>
            </w:r>
          </w:p>
        </w:tc>
      </w:tr>
      <w:tr w:rsidR="006B7C8E" w:rsidRPr="00DD1F63" w14:paraId="3CBC92B7"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2101E75F" w14:textId="38D6C2F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Patient global </w:t>
            </w:r>
            <w:proofErr w:type="spellStart"/>
            <w:r w:rsidRPr="00DD1F63">
              <w:rPr>
                <w:rFonts w:ascii="Times New Roman" w:hAnsi="Times New Roman" w:cs="Times New Roman"/>
                <w:sz w:val="21"/>
                <w:szCs w:val="21"/>
              </w:rPr>
              <w:t>assessment</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115FC2E" w14:textId="24F6A07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47.2 (49.0)</w:t>
            </w:r>
          </w:p>
        </w:tc>
        <w:tc>
          <w:tcPr>
            <w:tcW w:w="1559" w:type="dxa"/>
            <w:tcBorders>
              <w:top w:val="single" w:sz="4" w:space="0" w:color="000000"/>
              <w:left w:val="single" w:sz="4" w:space="0" w:color="000000"/>
              <w:bottom w:val="single" w:sz="4" w:space="0" w:color="000000"/>
              <w:right w:val="single" w:sz="4" w:space="0" w:color="000000"/>
            </w:tcBorders>
            <w:vAlign w:val="center"/>
          </w:tcPr>
          <w:p w14:paraId="2378544B" w14:textId="6057A95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47.6 (49.0)</w:t>
            </w:r>
          </w:p>
        </w:tc>
        <w:tc>
          <w:tcPr>
            <w:tcW w:w="1362" w:type="dxa"/>
            <w:tcBorders>
              <w:top w:val="single" w:sz="4" w:space="0" w:color="000000"/>
              <w:left w:val="single" w:sz="4" w:space="0" w:color="000000"/>
              <w:bottom w:val="single" w:sz="4" w:space="0" w:color="000000"/>
              <w:right w:val="single" w:sz="4" w:space="0" w:color="000000"/>
            </w:tcBorders>
            <w:vAlign w:val="center"/>
          </w:tcPr>
          <w:p w14:paraId="5A468415" w14:textId="1E099BB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47.5 (48.0)</w:t>
            </w:r>
          </w:p>
        </w:tc>
        <w:tc>
          <w:tcPr>
            <w:tcW w:w="1362" w:type="dxa"/>
            <w:tcBorders>
              <w:top w:val="single" w:sz="4" w:space="0" w:color="000000"/>
              <w:left w:val="single" w:sz="4" w:space="0" w:color="000000"/>
              <w:bottom w:val="single" w:sz="4" w:space="0" w:color="000000"/>
              <w:right w:val="single" w:sz="4" w:space="0" w:color="000000"/>
            </w:tcBorders>
            <w:vAlign w:val="center"/>
          </w:tcPr>
          <w:p w14:paraId="5E45F45E" w14:textId="71A7C57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24.2 (18.5)</w:t>
            </w:r>
          </w:p>
        </w:tc>
      </w:tr>
      <w:tr w:rsidR="006B7C8E" w:rsidRPr="00DD1F63" w14:paraId="24910912"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tcPr>
          <w:p w14:paraId="295544C8" w14:textId="1E6A5233"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lastRenderedPageBreak/>
              <w:t>Pain</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73C7F61" w14:textId="4C50894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47.6 (47.5)</w:t>
            </w:r>
          </w:p>
        </w:tc>
        <w:tc>
          <w:tcPr>
            <w:tcW w:w="1559" w:type="dxa"/>
            <w:tcBorders>
              <w:top w:val="single" w:sz="4" w:space="0" w:color="000000"/>
              <w:left w:val="single" w:sz="4" w:space="0" w:color="000000"/>
              <w:bottom w:val="single" w:sz="4" w:space="0" w:color="000000"/>
              <w:right w:val="single" w:sz="4" w:space="0" w:color="000000"/>
            </w:tcBorders>
            <w:vAlign w:val="center"/>
          </w:tcPr>
          <w:p w14:paraId="76EF7417" w14:textId="48B04C0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47.9 (49.0)</w:t>
            </w:r>
          </w:p>
        </w:tc>
        <w:tc>
          <w:tcPr>
            <w:tcW w:w="1362" w:type="dxa"/>
            <w:tcBorders>
              <w:top w:val="single" w:sz="4" w:space="0" w:color="000000"/>
              <w:left w:val="single" w:sz="4" w:space="0" w:color="000000"/>
              <w:bottom w:val="single" w:sz="4" w:space="0" w:color="000000"/>
              <w:right w:val="single" w:sz="4" w:space="0" w:color="000000"/>
            </w:tcBorders>
            <w:vAlign w:val="center"/>
          </w:tcPr>
          <w:p w14:paraId="5B459DF9" w14:textId="2E61887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50.6 (53.0)</w:t>
            </w:r>
          </w:p>
        </w:tc>
        <w:tc>
          <w:tcPr>
            <w:tcW w:w="1362" w:type="dxa"/>
            <w:tcBorders>
              <w:top w:val="single" w:sz="4" w:space="0" w:color="000000"/>
              <w:left w:val="single" w:sz="4" w:space="0" w:color="000000"/>
              <w:bottom w:val="single" w:sz="4" w:space="0" w:color="000000"/>
              <w:right w:val="single" w:sz="4" w:space="0" w:color="000000"/>
            </w:tcBorders>
            <w:vAlign w:val="center"/>
          </w:tcPr>
          <w:p w14:paraId="18CA50F8" w14:textId="6EBC90C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25.4 (19.0)</w:t>
            </w:r>
          </w:p>
        </w:tc>
      </w:tr>
      <w:tr w:rsidR="006B7C8E" w:rsidRPr="00DD1F63" w14:paraId="369A5444"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6B15BC3F" w14:textId="3394C56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Disability index (HAQ)</w:t>
            </w:r>
            <w:r w:rsidRPr="00DD1F63">
              <w:rPr>
                <w:rFonts w:ascii="Times New Roman" w:hAnsi="Times New Roman" w:cs="Times New Roman"/>
                <w:sz w:val="21"/>
                <w:szCs w:val="21"/>
                <w:vertAlign w:val="superscript"/>
              </w:rPr>
              <w:t>e</w:t>
            </w:r>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E3AC61" w14:textId="530BC6F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 (1.0)</w:t>
            </w:r>
          </w:p>
        </w:tc>
        <w:tc>
          <w:tcPr>
            <w:tcW w:w="1559" w:type="dxa"/>
            <w:tcBorders>
              <w:top w:val="single" w:sz="4" w:space="0" w:color="000000"/>
              <w:left w:val="single" w:sz="4" w:space="0" w:color="000000"/>
              <w:bottom w:val="single" w:sz="4" w:space="0" w:color="000000"/>
              <w:right w:val="single" w:sz="4" w:space="0" w:color="000000"/>
            </w:tcBorders>
            <w:vAlign w:val="center"/>
          </w:tcPr>
          <w:p w14:paraId="2858E9DE" w14:textId="05DCB81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0.9 (0.8)</w:t>
            </w:r>
          </w:p>
        </w:tc>
        <w:tc>
          <w:tcPr>
            <w:tcW w:w="1362" w:type="dxa"/>
            <w:tcBorders>
              <w:top w:val="single" w:sz="4" w:space="0" w:color="000000"/>
              <w:left w:val="single" w:sz="4" w:space="0" w:color="000000"/>
              <w:bottom w:val="single" w:sz="4" w:space="0" w:color="000000"/>
              <w:right w:val="single" w:sz="4" w:space="0" w:color="000000"/>
            </w:tcBorders>
            <w:vAlign w:val="center"/>
          </w:tcPr>
          <w:p w14:paraId="7610C150" w14:textId="7F8F135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 (0.9)</w:t>
            </w:r>
          </w:p>
        </w:tc>
        <w:tc>
          <w:tcPr>
            <w:tcW w:w="1362" w:type="dxa"/>
            <w:tcBorders>
              <w:top w:val="single" w:sz="4" w:space="0" w:color="000000"/>
              <w:left w:val="single" w:sz="4" w:space="0" w:color="000000"/>
              <w:bottom w:val="single" w:sz="4" w:space="0" w:color="000000"/>
              <w:right w:val="single" w:sz="4" w:space="0" w:color="000000"/>
            </w:tcBorders>
            <w:vAlign w:val="center"/>
          </w:tcPr>
          <w:p w14:paraId="7BD507D4" w14:textId="2EE5A0F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0.6 (0.4)</w:t>
            </w:r>
          </w:p>
        </w:tc>
      </w:tr>
      <w:tr w:rsidR="006B7C8E" w:rsidRPr="00DD1F63" w14:paraId="6DF128F5"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599F7F1B" w14:textId="65D5750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CRP (mg/</w:t>
            </w:r>
            <w:proofErr w:type="gramStart"/>
            <w:r w:rsidRPr="00DD1F63">
              <w:rPr>
                <w:rFonts w:ascii="Times New Roman" w:hAnsi="Times New Roman" w:cs="Times New Roman"/>
                <w:sz w:val="21"/>
                <w:szCs w:val="21"/>
              </w:rPr>
              <w:t>L)</w:t>
            </w:r>
            <w:r w:rsidRPr="00DD1F63">
              <w:rPr>
                <w:rFonts w:ascii="Times New Roman" w:hAnsi="Times New Roman" w:cs="Times New Roman"/>
                <w:sz w:val="21"/>
                <w:szCs w:val="21"/>
                <w:vertAlign w:val="superscript"/>
              </w:rPr>
              <w:t>f</w:t>
            </w:r>
            <w:proofErr w:type="gram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6DC16CF" w14:textId="3A5BD0C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13.9 (7.8)</w:t>
            </w:r>
          </w:p>
        </w:tc>
        <w:tc>
          <w:tcPr>
            <w:tcW w:w="1559" w:type="dxa"/>
            <w:tcBorders>
              <w:top w:val="single" w:sz="4" w:space="0" w:color="000000"/>
              <w:left w:val="single" w:sz="4" w:space="0" w:color="000000"/>
              <w:bottom w:val="single" w:sz="4" w:space="0" w:color="000000"/>
              <w:right w:val="single" w:sz="4" w:space="0" w:color="000000"/>
            </w:tcBorders>
            <w:vAlign w:val="center"/>
          </w:tcPr>
          <w:p w14:paraId="5463E188" w14:textId="6F6662D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14.3 (7.4)</w:t>
            </w:r>
          </w:p>
        </w:tc>
        <w:tc>
          <w:tcPr>
            <w:tcW w:w="1362" w:type="dxa"/>
            <w:tcBorders>
              <w:top w:val="single" w:sz="4" w:space="0" w:color="000000"/>
              <w:left w:val="single" w:sz="4" w:space="0" w:color="000000"/>
              <w:bottom w:val="single" w:sz="4" w:space="0" w:color="000000"/>
              <w:right w:val="single" w:sz="4" w:space="0" w:color="000000"/>
            </w:tcBorders>
            <w:vAlign w:val="center"/>
          </w:tcPr>
          <w:p w14:paraId="16D0128C" w14:textId="45EA196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14.3 (8.0)</w:t>
            </w:r>
          </w:p>
        </w:tc>
        <w:tc>
          <w:tcPr>
            <w:tcW w:w="1362" w:type="dxa"/>
            <w:tcBorders>
              <w:top w:val="single" w:sz="4" w:space="0" w:color="000000"/>
              <w:left w:val="single" w:sz="4" w:space="0" w:color="000000"/>
              <w:bottom w:val="single" w:sz="4" w:space="0" w:color="000000"/>
              <w:right w:val="single" w:sz="4" w:space="0" w:color="000000"/>
            </w:tcBorders>
            <w:vAlign w:val="center"/>
          </w:tcPr>
          <w:p w14:paraId="47644D2A" w14:textId="6D97059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5.5 (2.1)</w:t>
            </w:r>
          </w:p>
        </w:tc>
      </w:tr>
    </w:tbl>
    <w:p w14:paraId="12E69DBA" w14:textId="3B8A0903" w:rsidR="006B7C8E" w:rsidRPr="00DD1F63" w:rsidRDefault="00CA72FF" w:rsidP="00377A09">
      <w:pPr>
        <w:numPr>
          <w:ilvl w:val="0"/>
          <w:numId w:val="6"/>
        </w:numPr>
        <w:spacing w:after="0" w:line="240" w:lineRule="auto"/>
        <w:ind w:left="567" w:right="49" w:hanging="180"/>
        <w:jc w:val="left"/>
        <w:rPr>
          <w:rFonts w:ascii="Times New Roman" w:hAnsi="Times New Roman" w:cs="Times New Roman"/>
          <w:szCs w:val="20"/>
        </w:rPr>
      </w:pPr>
      <w:r w:rsidRPr="00DD1F63">
        <w:rPr>
          <w:rFonts w:ascii="Times New Roman" w:hAnsi="Times New Roman" w:cs="Times New Roman"/>
          <w:szCs w:val="20"/>
        </w:rPr>
        <w:t xml:space="preserve">As observed analysis presented. N at 24 weeks may be less than 162 for placebo or 151 for </w:t>
      </w:r>
      <w:r w:rsidR="001F5DE2" w:rsidRPr="00DD1F63">
        <w:rPr>
          <w:rFonts w:ascii="Times New Roman" w:hAnsi="Times New Roman" w:cs="Times New Roman"/>
          <w:szCs w:val="20"/>
        </w:rPr>
        <w:t>adalimumab</w:t>
      </w:r>
      <w:r w:rsidRPr="00DD1F63">
        <w:rPr>
          <w:rFonts w:ascii="Times New Roman" w:hAnsi="Times New Roman" w:cs="Times New Roman"/>
          <w:szCs w:val="20"/>
        </w:rPr>
        <w:t xml:space="preserve">. </w:t>
      </w:r>
    </w:p>
    <w:p w14:paraId="36F393A0" w14:textId="77777777" w:rsidR="001F5DE2" w:rsidRPr="00DD1F63" w:rsidRDefault="00CA72FF" w:rsidP="00377A09">
      <w:pPr>
        <w:numPr>
          <w:ilvl w:val="0"/>
          <w:numId w:val="6"/>
        </w:numPr>
        <w:spacing w:after="0" w:line="240" w:lineRule="auto"/>
        <w:ind w:left="567" w:right="3170" w:hanging="180"/>
        <w:jc w:val="left"/>
        <w:rPr>
          <w:rFonts w:ascii="Times New Roman" w:hAnsi="Times New Roman" w:cs="Times New Roman"/>
          <w:szCs w:val="20"/>
        </w:rPr>
      </w:pPr>
      <w:r w:rsidRPr="00DD1F63">
        <w:rPr>
          <w:rFonts w:ascii="Times New Roman" w:hAnsi="Times New Roman" w:cs="Times New Roman"/>
          <w:szCs w:val="20"/>
        </w:rPr>
        <w:t xml:space="preserve">Scale 0 – 78 </w:t>
      </w:r>
    </w:p>
    <w:p w14:paraId="11349AB4" w14:textId="3A4E5DBB" w:rsidR="001F5DE2" w:rsidRPr="00DD1F63" w:rsidRDefault="00CA72FF" w:rsidP="00377A09">
      <w:pPr>
        <w:spacing w:after="0" w:line="240" w:lineRule="auto"/>
        <w:ind w:left="567" w:right="3170" w:firstLine="0"/>
        <w:jc w:val="left"/>
        <w:rPr>
          <w:rFonts w:ascii="Times New Roman" w:hAnsi="Times New Roman" w:cs="Times New Roman"/>
          <w:szCs w:val="20"/>
        </w:rPr>
      </w:pPr>
      <w:r w:rsidRPr="00DD1F63">
        <w:rPr>
          <w:rFonts w:ascii="Times New Roman" w:hAnsi="Times New Roman" w:cs="Times New Roman"/>
          <w:szCs w:val="20"/>
          <w:vertAlign w:val="superscript"/>
        </w:rPr>
        <w:t>c</w:t>
      </w:r>
      <w:r w:rsidRPr="00DD1F63">
        <w:rPr>
          <w:rFonts w:ascii="Times New Roman" w:hAnsi="Times New Roman" w:cs="Times New Roman"/>
          <w:szCs w:val="20"/>
        </w:rPr>
        <w:t xml:space="preserve"> Scale 0 – 76 </w:t>
      </w:r>
    </w:p>
    <w:p w14:paraId="343DA75C" w14:textId="6B6E97B0" w:rsidR="006B7C8E" w:rsidRPr="00DD1F63" w:rsidRDefault="00CA72FF" w:rsidP="00377A09">
      <w:pPr>
        <w:spacing w:after="0" w:line="240" w:lineRule="auto"/>
        <w:ind w:left="567" w:right="3170" w:firstLine="0"/>
        <w:jc w:val="left"/>
        <w:rPr>
          <w:rFonts w:ascii="Times New Roman" w:hAnsi="Times New Roman" w:cs="Times New Roman"/>
          <w:szCs w:val="20"/>
        </w:rPr>
      </w:pPr>
      <w:r w:rsidRPr="00DD1F63">
        <w:rPr>
          <w:rFonts w:ascii="Times New Roman" w:hAnsi="Times New Roman" w:cs="Times New Roman"/>
          <w:szCs w:val="20"/>
          <w:vertAlign w:val="superscript"/>
        </w:rPr>
        <w:t>d</w:t>
      </w:r>
      <w:r w:rsidRPr="00DD1F63">
        <w:rPr>
          <w:rFonts w:ascii="Times New Roman" w:hAnsi="Times New Roman" w:cs="Times New Roman"/>
          <w:szCs w:val="20"/>
        </w:rPr>
        <w:t xml:space="preserve"> Visual </w:t>
      </w:r>
      <w:proofErr w:type="spellStart"/>
      <w:r w:rsidRPr="00DD1F63">
        <w:rPr>
          <w:rFonts w:ascii="Times New Roman" w:hAnsi="Times New Roman" w:cs="Times New Roman"/>
          <w:szCs w:val="20"/>
        </w:rPr>
        <w:t>analog</w:t>
      </w:r>
      <w:proofErr w:type="spellEnd"/>
      <w:r w:rsidRPr="00DD1F63">
        <w:rPr>
          <w:rFonts w:ascii="Times New Roman" w:hAnsi="Times New Roman" w:cs="Times New Roman"/>
          <w:szCs w:val="20"/>
        </w:rPr>
        <w:t xml:space="preserve"> scale; 0 = best, 100 = worst. </w:t>
      </w:r>
    </w:p>
    <w:p w14:paraId="3C4A5681" w14:textId="375EEF5F" w:rsidR="006B7C8E" w:rsidRPr="00DD1F63" w:rsidRDefault="00CA72FF" w:rsidP="00377A09">
      <w:pPr>
        <w:numPr>
          <w:ilvl w:val="0"/>
          <w:numId w:val="7"/>
        </w:numPr>
        <w:spacing w:after="0" w:line="240" w:lineRule="auto"/>
        <w:ind w:left="567" w:right="367" w:hanging="180"/>
        <w:jc w:val="left"/>
        <w:rPr>
          <w:rFonts w:ascii="Times New Roman" w:hAnsi="Times New Roman" w:cs="Times New Roman"/>
          <w:szCs w:val="20"/>
        </w:rPr>
      </w:pPr>
      <w:r w:rsidRPr="00DD1F63">
        <w:rPr>
          <w:rFonts w:ascii="Times New Roman" w:hAnsi="Times New Roman" w:cs="Times New Roman"/>
          <w:szCs w:val="20"/>
        </w:rPr>
        <w:t xml:space="preserve">Disability </w:t>
      </w:r>
      <w:r w:rsidR="001F5DE2" w:rsidRPr="00DD1F63">
        <w:rPr>
          <w:rFonts w:ascii="Times New Roman" w:hAnsi="Times New Roman" w:cs="Times New Roman"/>
          <w:szCs w:val="20"/>
        </w:rPr>
        <w:t>i</w:t>
      </w:r>
      <w:r w:rsidRPr="00DD1F63">
        <w:rPr>
          <w:rFonts w:ascii="Times New Roman" w:hAnsi="Times New Roman" w:cs="Times New Roman"/>
          <w:szCs w:val="20"/>
        </w:rPr>
        <w:t xml:space="preserve">ndex of the </w:t>
      </w:r>
      <w:r w:rsidR="001F5DE2" w:rsidRPr="00DD1F63">
        <w:rPr>
          <w:rFonts w:ascii="Times New Roman" w:hAnsi="Times New Roman" w:cs="Times New Roman"/>
          <w:szCs w:val="20"/>
        </w:rPr>
        <w:t>h</w:t>
      </w:r>
      <w:r w:rsidRPr="00DD1F63">
        <w:rPr>
          <w:rFonts w:ascii="Times New Roman" w:hAnsi="Times New Roman" w:cs="Times New Roman"/>
          <w:szCs w:val="20"/>
        </w:rPr>
        <w:t xml:space="preserve">ealth </w:t>
      </w:r>
      <w:r w:rsidR="001F5DE2" w:rsidRPr="00DD1F63">
        <w:rPr>
          <w:rFonts w:ascii="Times New Roman" w:hAnsi="Times New Roman" w:cs="Times New Roman"/>
          <w:szCs w:val="20"/>
        </w:rPr>
        <w:t>a</w:t>
      </w:r>
      <w:r w:rsidRPr="00DD1F63">
        <w:rPr>
          <w:rFonts w:ascii="Times New Roman" w:hAnsi="Times New Roman" w:cs="Times New Roman"/>
          <w:szCs w:val="20"/>
        </w:rPr>
        <w:t xml:space="preserve">ssessment </w:t>
      </w:r>
      <w:r w:rsidR="001F5DE2" w:rsidRPr="00DD1F63">
        <w:rPr>
          <w:rFonts w:ascii="Times New Roman" w:hAnsi="Times New Roman" w:cs="Times New Roman"/>
          <w:szCs w:val="20"/>
        </w:rPr>
        <w:t>q</w:t>
      </w:r>
      <w:r w:rsidRPr="00DD1F63">
        <w:rPr>
          <w:rFonts w:ascii="Times New Roman" w:hAnsi="Times New Roman" w:cs="Times New Roman"/>
          <w:szCs w:val="20"/>
        </w:rPr>
        <w:t xml:space="preserve">uestionnaire; 0 = best, 3 = worst; measures the patient’s ability to perform the following: dress/groom, arise, eat, walk, reach, grip, maintain hygiene, and maintain daily activity. </w:t>
      </w:r>
    </w:p>
    <w:p w14:paraId="0AE563CA" w14:textId="77777777" w:rsidR="006B7C8E" w:rsidRPr="00DD1F63" w:rsidRDefault="00CA72FF" w:rsidP="00377A09">
      <w:pPr>
        <w:numPr>
          <w:ilvl w:val="0"/>
          <w:numId w:val="7"/>
        </w:numPr>
        <w:spacing w:after="0" w:line="240" w:lineRule="auto"/>
        <w:ind w:left="567" w:right="367" w:hanging="180"/>
        <w:jc w:val="left"/>
        <w:rPr>
          <w:rFonts w:ascii="Times New Roman" w:hAnsi="Times New Roman" w:cs="Times New Roman"/>
          <w:szCs w:val="20"/>
        </w:rPr>
      </w:pPr>
      <w:r w:rsidRPr="00DD1F63">
        <w:rPr>
          <w:rFonts w:ascii="Times New Roman" w:hAnsi="Times New Roman" w:cs="Times New Roman"/>
          <w:szCs w:val="20"/>
        </w:rPr>
        <w:t xml:space="preserve">Normal range: 0-2.87 mg/L. </w:t>
      </w:r>
    </w:p>
    <w:p w14:paraId="1D31F674" w14:textId="5011CE4D" w:rsidR="006B7C8E" w:rsidRPr="00DD1F63" w:rsidRDefault="00CA72FF" w:rsidP="00377A09">
      <w:pPr>
        <w:spacing w:after="0" w:line="240" w:lineRule="auto"/>
        <w:ind w:left="567" w:right="367" w:hanging="141"/>
        <w:jc w:val="left"/>
        <w:rPr>
          <w:rFonts w:ascii="Times New Roman" w:hAnsi="Times New Roman" w:cs="Times New Roman"/>
          <w:szCs w:val="20"/>
        </w:rPr>
      </w:pPr>
      <w:r w:rsidRPr="00DD1F63">
        <w:rPr>
          <w:rFonts w:ascii="Times New Roman" w:hAnsi="Times New Roman" w:cs="Times New Roman"/>
          <w:szCs w:val="20"/>
        </w:rPr>
        <w:t xml:space="preserve">* p&lt; 0.001 for </w:t>
      </w:r>
      <w:r w:rsidR="001F5DE2" w:rsidRPr="00DD1F63">
        <w:rPr>
          <w:rFonts w:ascii="Times New Roman" w:hAnsi="Times New Roman" w:cs="Times New Roman"/>
          <w:szCs w:val="20"/>
        </w:rPr>
        <w:t>adalimumab</w:t>
      </w:r>
      <w:r w:rsidRPr="00DD1F63">
        <w:rPr>
          <w:rFonts w:ascii="Times New Roman" w:hAnsi="Times New Roman" w:cs="Times New Roman"/>
          <w:szCs w:val="20"/>
        </w:rPr>
        <w:t xml:space="preserve"> vs. placebo comparisons based on mean changes. </w:t>
      </w:r>
    </w:p>
    <w:p w14:paraId="736BBE70" w14:textId="77777777" w:rsidR="00B6411B" w:rsidRPr="00DD1F63" w:rsidRDefault="00B6411B" w:rsidP="00377A09">
      <w:pPr>
        <w:spacing w:after="0" w:line="240" w:lineRule="auto"/>
        <w:ind w:left="426" w:right="367"/>
        <w:jc w:val="left"/>
        <w:rPr>
          <w:rFonts w:ascii="Times New Roman" w:hAnsi="Times New Roman" w:cs="Times New Roman"/>
          <w:szCs w:val="20"/>
        </w:rPr>
      </w:pPr>
    </w:p>
    <w:p w14:paraId="20C89137" w14:textId="709DD242" w:rsidR="006B7C8E" w:rsidRPr="00DD1F63" w:rsidRDefault="00CA72FF" w:rsidP="00377A09">
      <w:pPr>
        <w:pStyle w:val="Heading4"/>
        <w:spacing w:after="0" w:line="240" w:lineRule="auto"/>
        <w:ind w:left="426"/>
        <w:rPr>
          <w:rFonts w:ascii="Times New Roman" w:hAnsi="Times New Roman" w:cs="Times New Roman"/>
          <w:i/>
          <w:iCs/>
          <w:u w:val="none"/>
        </w:rPr>
      </w:pPr>
      <w:r w:rsidRPr="00DD1F63">
        <w:rPr>
          <w:rFonts w:ascii="Times New Roman" w:hAnsi="Times New Roman" w:cs="Times New Roman"/>
          <w:i/>
          <w:iCs/>
        </w:rPr>
        <w:t>Radiographic Response</w:t>
      </w:r>
      <w:r w:rsidRPr="00DD1F63">
        <w:rPr>
          <w:rFonts w:ascii="Times New Roman" w:hAnsi="Times New Roman" w:cs="Times New Roman"/>
          <w:i/>
          <w:iCs/>
          <w:u w:val="none"/>
        </w:rPr>
        <w:t xml:space="preserve"> </w:t>
      </w:r>
    </w:p>
    <w:p w14:paraId="71980E8E" w14:textId="77777777" w:rsidR="00B6411B" w:rsidRPr="00DD1F63" w:rsidRDefault="00B6411B" w:rsidP="00377A09">
      <w:pPr>
        <w:spacing w:after="0" w:line="240" w:lineRule="auto"/>
        <w:ind w:left="426" w:hanging="11"/>
        <w:jc w:val="left"/>
        <w:rPr>
          <w:rFonts w:ascii="Times New Roman" w:hAnsi="Times New Roman" w:cs="Times New Roman"/>
          <w:sz w:val="22"/>
        </w:rPr>
      </w:pPr>
    </w:p>
    <w:p w14:paraId="4977B2FC" w14:textId="4806E40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Radiographic changes were assessed in the psoriatic arthritis studies. Radiographs of hands, wrists and feet were obtained at baseline and Week 24 during the double-blind period when patients were on </w:t>
      </w:r>
      <w:r w:rsidR="00CC52F8" w:rsidRPr="00DD1F63">
        <w:rPr>
          <w:rFonts w:ascii="Times New Roman" w:hAnsi="Times New Roman" w:cs="Times New Roman"/>
          <w:sz w:val="22"/>
        </w:rPr>
        <w:t>adalimumab</w:t>
      </w:r>
      <w:r w:rsidRPr="00DD1F63">
        <w:rPr>
          <w:rFonts w:ascii="Times New Roman" w:hAnsi="Times New Roman" w:cs="Times New Roman"/>
          <w:sz w:val="22"/>
        </w:rPr>
        <w:t xml:space="preserve"> or placebo and at Week 48 when all patients were on open-label </w:t>
      </w:r>
      <w:r w:rsidR="00CC52F8" w:rsidRPr="00DD1F63">
        <w:rPr>
          <w:rFonts w:ascii="Times New Roman" w:hAnsi="Times New Roman" w:cs="Times New Roman"/>
          <w:sz w:val="22"/>
        </w:rPr>
        <w:t>adalimumab</w:t>
      </w:r>
      <w:r w:rsidRPr="00DD1F63">
        <w:rPr>
          <w:rFonts w:ascii="Times New Roman" w:hAnsi="Times New Roman" w:cs="Times New Roman"/>
          <w:sz w:val="22"/>
        </w:rPr>
        <w:t>. A modified Total Sharp Score (</w:t>
      </w:r>
      <w:proofErr w:type="spellStart"/>
      <w:r w:rsidRPr="00DD1F63">
        <w:rPr>
          <w:rFonts w:ascii="Times New Roman" w:hAnsi="Times New Roman" w:cs="Times New Roman"/>
          <w:sz w:val="22"/>
        </w:rPr>
        <w:t>mTSS</w:t>
      </w:r>
      <w:proofErr w:type="spellEnd"/>
      <w:r w:rsidRPr="00DD1F63">
        <w:rPr>
          <w:rFonts w:ascii="Times New Roman" w:hAnsi="Times New Roman" w:cs="Times New Roman"/>
          <w:sz w:val="22"/>
        </w:rPr>
        <w:t xml:space="preserve">), which included distal interphalangeal joints (i.e., not identical to the TSS used for rheumatoid arthritis), was used by readers blinded to treatment group to assess the radiographs. </w:t>
      </w:r>
    </w:p>
    <w:p w14:paraId="03D24297" w14:textId="77777777" w:rsidR="00394E6C" w:rsidRPr="00DD1F63" w:rsidRDefault="00394E6C" w:rsidP="00377A09">
      <w:pPr>
        <w:spacing w:after="0" w:line="240" w:lineRule="auto"/>
        <w:ind w:left="426" w:right="375"/>
        <w:jc w:val="left"/>
        <w:rPr>
          <w:rFonts w:ascii="Times New Roman" w:hAnsi="Times New Roman" w:cs="Times New Roman"/>
          <w:sz w:val="22"/>
        </w:rPr>
      </w:pPr>
    </w:p>
    <w:p w14:paraId="101A5CBE" w14:textId="51EA4246" w:rsidR="006B7C8E" w:rsidRPr="00DD1F63" w:rsidRDefault="00CC52F8"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-treated patients demonstrated greater inhibition of radiographic progression compared to placebo-treated patients and this effect was maintained at 48 weeks (see Table 1</w:t>
      </w:r>
      <w:r w:rsidR="00127F14" w:rsidRPr="00DD1F63">
        <w:rPr>
          <w:rFonts w:ascii="Times New Roman" w:hAnsi="Times New Roman" w:cs="Times New Roman"/>
          <w:sz w:val="22"/>
        </w:rPr>
        <w:t>4</w:t>
      </w:r>
      <w:r w:rsidR="00CA72FF" w:rsidRPr="00DD1F63">
        <w:rPr>
          <w:rFonts w:ascii="Times New Roman" w:hAnsi="Times New Roman" w:cs="Times New Roman"/>
          <w:sz w:val="22"/>
        </w:rPr>
        <w:t xml:space="preserve">). </w:t>
      </w:r>
    </w:p>
    <w:p w14:paraId="55044252" w14:textId="74149AD4" w:rsidR="006B7C8E" w:rsidRPr="00DD1F63" w:rsidRDefault="006B7C8E" w:rsidP="00377A09">
      <w:pPr>
        <w:spacing w:after="0" w:line="240" w:lineRule="auto"/>
        <w:ind w:left="426" w:firstLine="0"/>
        <w:jc w:val="left"/>
        <w:rPr>
          <w:rFonts w:ascii="Times New Roman" w:hAnsi="Times New Roman" w:cs="Times New Roman"/>
        </w:rPr>
      </w:pPr>
    </w:p>
    <w:tbl>
      <w:tblPr>
        <w:tblStyle w:val="TableGrid1"/>
        <w:tblW w:w="8788" w:type="dxa"/>
        <w:tblInd w:w="421" w:type="dxa"/>
        <w:tblCellMar>
          <w:left w:w="57" w:type="dxa"/>
          <w:right w:w="57" w:type="dxa"/>
        </w:tblCellMar>
        <w:tblLook w:val="04A0" w:firstRow="1" w:lastRow="0" w:firstColumn="1" w:lastColumn="0" w:noHBand="0" w:noVBand="1"/>
      </w:tblPr>
      <w:tblGrid>
        <w:gridCol w:w="7958"/>
        <w:gridCol w:w="830"/>
      </w:tblGrid>
      <w:tr w:rsidR="006B7C8E" w:rsidRPr="00DD1F63" w14:paraId="18ED5CF0"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1F712FB0" w14:textId="22FD553E"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4</w:t>
            </w:r>
            <w:r w:rsidRPr="00DD1F63">
              <w:rPr>
                <w:rFonts w:ascii="Times New Roman" w:hAnsi="Times New Roman" w:cs="Times New Roman"/>
                <w:b/>
                <w:sz w:val="21"/>
                <w:szCs w:val="21"/>
              </w:rPr>
              <w:t xml:space="preserve">: Change in </w:t>
            </w:r>
            <w:r w:rsidR="00526BF0"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odified </w:t>
            </w:r>
            <w:r w:rsidR="00526BF0"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otal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harp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in </w:t>
            </w:r>
            <w:r w:rsidR="00526BF0"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soriatic </w:t>
            </w:r>
            <w:r w:rsidR="00526BF0" w:rsidRPr="00DD1F63">
              <w:rPr>
                <w:rFonts w:ascii="Times New Roman" w:hAnsi="Times New Roman" w:cs="Times New Roman"/>
                <w:b/>
                <w:sz w:val="21"/>
                <w:szCs w:val="21"/>
              </w:rPr>
              <w:t>a</w:t>
            </w:r>
            <w:r w:rsidRPr="00DD1F63">
              <w:rPr>
                <w:rFonts w:ascii="Times New Roman" w:hAnsi="Times New Roman" w:cs="Times New Roman"/>
                <w:b/>
                <w:sz w:val="21"/>
                <w:szCs w:val="21"/>
              </w:rPr>
              <w:t>rthritis</w:t>
            </w:r>
            <w:r w:rsidRPr="00DD1F63">
              <w:rPr>
                <w:rFonts w:ascii="Times New Roman" w:hAnsi="Times New Roman" w:cs="Times New Roman"/>
                <w:i/>
                <w:sz w:val="21"/>
                <w:szCs w:val="21"/>
              </w:rPr>
              <w:t xml:space="preserve"> </w:t>
            </w:r>
          </w:p>
        </w:tc>
        <w:tc>
          <w:tcPr>
            <w:tcW w:w="830" w:type="dxa"/>
            <w:tcBorders>
              <w:top w:val="single" w:sz="4" w:space="0" w:color="000000"/>
              <w:left w:val="nil"/>
              <w:bottom w:val="single" w:sz="4" w:space="0" w:color="000000"/>
              <w:right w:val="single" w:sz="4" w:space="0" w:color="000000"/>
            </w:tcBorders>
          </w:tcPr>
          <w:p w14:paraId="543F3BFE"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r>
      <w:tr w:rsidR="006B7C8E" w:rsidRPr="00DD1F63" w14:paraId="37899B82"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6513189C" w14:textId="4C1E3577" w:rsidR="006B7C8E" w:rsidRPr="00DD1F63" w:rsidRDefault="00CA72FF" w:rsidP="00377A09">
            <w:pPr>
              <w:tabs>
                <w:tab w:val="center" w:pos="4692"/>
                <w:tab w:val="center" w:pos="6982"/>
              </w:tabs>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Modified </w:t>
            </w:r>
            <w:r w:rsidR="00526BF0"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otal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harp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w:t>
            </w:r>
            <w:r w:rsidRPr="00DD1F63">
              <w:rPr>
                <w:rFonts w:ascii="Times New Roman" w:hAnsi="Times New Roman" w:cs="Times New Roman"/>
                <w:b/>
                <w:sz w:val="21"/>
                <w:szCs w:val="21"/>
              </w:rPr>
              <w:tab/>
            </w:r>
            <w:r w:rsidRPr="00DD1F63">
              <w:rPr>
                <w:rFonts w:ascii="Times New Roman" w:hAnsi="Times New Roman" w:cs="Times New Roman"/>
                <w:sz w:val="21"/>
                <w:szCs w:val="21"/>
              </w:rPr>
              <w:t xml:space="preserve">Placebo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28A40612" w14:textId="7777777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i/>
                <w:sz w:val="21"/>
                <w:szCs w:val="21"/>
              </w:rPr>
              <w:t>p</w:t>
            </w:r>
            <w:r w:rsidRPr="00DD1F63">
              <w:rPr>
                <w:rFonts w:ascii="Times New Roman" w:hAnsi="Times New Roman" w:cs="Times New Roman"/>
                <w:sz w:val="21"/>
                <w:szCs w:val="21"/>
              </w:rPr>
              <w:t xml:space="preserve">-value </w:t>
            </w:r>
          </w:p>
        </w:tc>
      </w:tr>
      <w:tr w:rsidR="006B7C8E" w:rsidRPr="00DD1F63" w14:paraId="49FF9117"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351FA232" w14:textId="7F2A2314"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Week-24 </w:t>
            </w:r>
            <w:r w:rsidRPr="00DD1F63">
              <w:rPr>
                <w:rFonts w:ascii="Times New Roman" w:hAnsi="Times New Roman" w:cs="Times New Roman"/>
                <w:sz w:val="21"/>
                <w:szCs w:val="21"/>
              </w:rPr>
              <w:tab/>
              <w:t xml:space="preserve">n = 162 </w:t>
            </w:r>
            <w:r w:rsidRPr="00DD1F63">
              <w:rPr>
                <w:rFonts w:ascii="Times New Roman" w:hAnsi="Times New Roman" w:cs="Times New Roman"/>
                <w:sz w:val="21"/>
                <w:szCs w:val="21"/>
              </w:rPr>
              <w:tab/>
              <w:t xml:space="preserve">n = 151 </w:t>
            </w:r>
          </w:p>
          <w:p w14:paraId="199E1515" w14:textId="1EAFEE84" w:rsidR="006B7C8E" w:rsidRPr="00DD1F63" w:rsidRDefault="00CA72FF" w:rsidP="00377A09">
            <w:pPr>
              <w:numPr>
                <w:ilvl w:val="0"/>
                <w:numId w:val="12"/>
              </w:numPr>
              <w:tabs>
                <w:tab w:val="left" w:pos="4395"/>
                <w:tab w:val="left" w:pos="5529"/>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baseline mean </w:t>
            </w:r>
            <w:r w:rsidRPr="00DD1F63">
              <w:rPr>
                <w:rFonts w:ascii="Times New Roman" w:hAnsi="Times New Roman" w:cs="Times New Roman"/>
                <w:sz w:val="21"/>
                <w:szCs w:val="21"/>
              </w:rPr>
              <w:tab/>
              <w:t xml:space="preserve">19.0 </w:t>
            </w:r>
            <w:r w:rsidRPr="00DD1F63">
              <w:rPr>
                <w:rFonts w:ascii="Times New Roman" w:hAnsi="Times New Roman" w:cs="Times New Roman"/>
                <w:sz w:val="21"/>
                <w:szCs w:val="21"/>
              </w:rPr>
              <w:tab/>
            </w:r>
            <w:r w:rsidR="00CC52F8" w:rsidRPr="00DD1F63">
              <w:rPr>
                <w:rFonts w:ascii="Times New Roman" w:hAnsi="Times New Roman" w:cs="Times New Roman"/>
                <w:sz w:val="21"/>
                <w:szCs w:val="21"/>
              </w:rPr>
              <w:tab/>
            </w:r>
            <w:r w:rsidRPr="00DD1F63">
              <w:rPr>
                <w:rFonts w:ascii="Times New Roman" w:hAnsi="Times New Roman" w:cs="Times New Roman"/>
                <w:sz w:val="21"/>
                <w:szCs w:val="21"/>
              </w:rPr>
              <w:t xml:space="preserve">22.6 </w:t>
            </w:r>
          </w:p>
          <w:p w14:paraId="609B93F4" w14:textId="567188FA" w:rsidR="006B7C8E" w:rsidRPr="00DD1F63" w:rsidRDefault="00CA72FF" w:rsidP="00377A09">
            <w:pPr>
              <w:numPr>
                <w:ilvl w:val="0"/>
                <w:numId w:val="12"/>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1.6 </w:t>
            </w:r>
            <w:r w:rsidRPr="00DD1F63">
              <w:rPr>
                <w:rFonts w:ascii="Times New Roman" w:hAnsi="Times New Roman" w:cs="Times New Roman"/>
                <w:sz w:val="21"/>
                <w:szCs w:val="21"/>
              </w:rPr>
              <w:tab/>
              <w:t>1.0</w:t>
            </w:r>
          </w:p>
          <w:p w14:paraId="4B87E2DD" w14:textId="5FBCAE8C" w:rsidR="006B7C8E" w:rsidRPr="00DD1F63" w:rsidRDefault="00CC52F8" w:rsidP="00377A09">
            <w:pPr>
              <w:spacing w:after="0" w:line="240" w:lineRule="auto"/>
              <w:ind w:left="3261" w:firstLine="0"/>
              <w:jc w:val="left"/>
              <w:rPr>
                <w:rFonts w:ascii="Times New Roman" w:hAnsi="Times New Roman" w:cs="Times New Roman"/>
                <w:sz w:val="21"/>
                <w:szCs w:val="21"/>
              </w:rPr>
            </w:pPr>
            <w:r w:rsidRPr="00DD1F63">
              <w:rPr>
                <w:rFonts w:ascii="Times New Roman" w:eastAsia="Calibri" w:hAnsi="Times New Roman" w:cs="Times New Roman"/>
                <w:noProof/>
                <w:sz w:val="21"/>
                <w:szCs w:val="21"/>
              </w:rPr>
              <mc:AlternateContent>
                <mc:Choice Requires="wpg">
                  <w:drawing>
                    <wp:inline distT="0" distB="0" distL="0" distR="0" wp14:anchorId="64811290" wp14:editId="46B2191F">
                      <wp:extent cx="2909824" cy="6096"/>
                      <wp:effectExtent l="0" t="0" r="0" b="0"/>
                      <wp:docPr id="143841" name="Group 143841"/>
                      <wp:cNvGraphicFramePr/>
                      <a:graphic xmlns:a="http://schemas.openxmlformats.org/drawingml/2006/main">
                        <a:graphicData uri="http://schemas.microsoft.com/office/word/2010/wordprocessingGroup">
                          <wpg:wgp>
                            <wpg:cNvGrpSpPr/>
                            <wpg:grpSpPr>
                              <a:xfrm>
                                <a:off x="0" y="0"/>
                                <a:ext cx="2909824" cy="6096"/>
                                <a:chOff x="0" y="0"/>
                                <a:chExt cx="2909824" cy="6096"/>
                              </a:xfrm>
                            </wpg:grpSpPr>
                            <wps:wsp>
                              <wps:cNvPr id="163020" name="Shape 163020"/>
                              <wps:cNvSpPr/>
                              <wps:spPr>
                                <a:xfrm>
                                  <a:off x="0" y="0"/>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21" name="Shape 163021"/>
                              <wps:cNvSpPr/>
                              <wps:spPr>
                                <a:xfrm>
                                  <a:off x="16294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22" name="Shape 163022"/>
                              <wps:cNvSpPr/>
                              <wps:spPr>
                                <a:xfrm>
                                  <a:off x="1635506" y="0"/>
                                  <a:ext cx="1274318" cy="9144"/>
                                </a:xfrm>
                                <a:custGeom>
                                  <a:avLst/>
                                  <a:gdLst/>
                                  <a:ahLst/>
                                  <a:cxnLst/>
                                  <a:rect l="0" t="0" r="0" b="0"/>
                                  <a:pathLst>
                                    <a:path w="1274318" h="9144">
                                      <a:moveTo>
                                        <a:pt x="0" y="0"/>
                                      </a:moveTo>
                                      <a:lnTo>
                                        <a:pt x="1274318" y="0"/>
                                      </a:lnTo>
                                      <a:lnTo>
                                        <a:pt x="1274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14="http://schemas.microsoft.com/office/drawing/2010/main" xmlns:pic="http://schemas.openxmlformats.org/drawingml/2006/picture" xmlns:a="http://schemas.openxmlformats.org/drawingml/2006/main">
                  <w:pict w14:anchorId="6FC63355">
                    <v:group id="Group 143841" style="width:229.1pt;height:.5pt;mso-position-horizontal-relative:char;mso-position-vertical-relative:line" coordsize="29098,60" o:spid="_x0000_s1026" w14:anchorId="1B1C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QcDQMAAI8NAAAOAAAAZHJzL2Uyb0RvYy54bWzsV81u2zAMvg/YOxi+r/5JmjVGkx7WrZdh&#10;G9buAVRZ/gFkSZDUOHn7UbSleGnRZi2wAkN9sGiJpMhP/Gj7/GLb8WjDtGmlWMXZSRpHTFBZtqJe&#10;xb9uvnw4iyNjiSgJl4Kt4h0z8cX6/bvzXhUsl43kJdMROBGm6NUqbqxVRZIY2rCOmBOpmIDFSuqO&#10;WHjUdVJq0oP3jid5mi6SXupSaUmZMTB7OSzGa/RfVYza71VlmI34KobYLN413m/dPVmfk6LWRDUt&#10;HcMgz4iiI62ATYOrS2JJdKfbe666lmppZGVPqOwSWVUtZZgDZJOlB9lcaXmnMJe66GsVYAJoD3B6&#10;tlv6bfNDR20JZzefnc2zOBKkg3PCraNxDkDqVV2A7pVW1+qHHifq4cnlva1050bIKNoivLsAL9va&#10;iMJkvkyXZ/k8jiisLdLlYkCfNnBE94xo8/kxs8RvmbjIQiC9gjIye6TMy5C6bohieADGZe+RWszS&#10;HIppQAp1omyYQ2BQN8BkCgOIHYtRtsiX8wycO4yW2XzuMArJkoLeGXvFJGJNNl+NhWWoutJLpPES&#10;3QovaqDBowRQxDo758qJUQ/l4ANpxjjcYic37Eaimj04MYhxv8rFVCu48iUBul7Djwr9TTUnyXsl&#10;Pw7KANKfGPllP07VkOlhXxBcnohsyB0mp+hy4WBwJ0GgL1WcWCR411poWLztAKL8Y5ruHYM3V37D&#10;aaNkd5w5sLj4ySogGRLDTRhd337iOtoQ15bwQueEq4aMs+PBj6oYKvpx9lXLeXCZoelDLofSGZWd&#10;HcOOGCzTwZKO0QxtEZoLJO2bI4ASjHBnKWywF9DSMcxJtk68leUOmwQCAnx0/eNfETO0sAkxMxel&#10;CwFI/DQxp1U4viF8C8OifHVuDlG8nJiDnydZGdRQGIrKc8yPU64dqbZnjmsWb5Sc9of/i5L5A+/K&#10;/C8pOTs9TRfY8Q8oCV14PsvgM/PV35g+kJcTM+T0JDenmkfy7ki1N3q+7hsTP2zhqx9b4/iH4n4r&#10;ps8gT/+j1r8BAAD//wMAUEsDBBQABgAIAAAAIQBjvm9c2gAAAAMBAAAPAAAAZHJzL2Rvd25yZXYu&#10;eG1sTI9BS8NAEIXvgv9hGcGb3aRaKTGbUop6KoKtIN6m2WkSmp0N2W2S/ntHL3p5MLzHe9/kq8m1&#10;aqA+NJ4NpLMEFHHpbcOVgY/9y90SVIjIFlvPZOBCAVbF9VWOmfUjv9Owi5WSEg4ZGqhj7DKtQ1mT&#10;wzDzHbF4R987jHL2lbY9jlLuWj1PkkftsGFZqLGjTU3laXd2Bl5HHNf36fOwPR03l6/94u1zm5Ix&#10;tzfT+glUpCn+heEHX9ChEKaDP7MNqjUgj8RfFe9hsZyDOkgoAV3k+j978Q0AAP//AwBQSwECLQAU&#10;AAYACAAAACEAtoM4kv4AAADhAQAAEwAAAAAAAAAAAAAAAAAAAAAAW0NvbnRlbnRfVHlwZXNdLnht&#10;bFBLAQItABQABgAIAAAAIQA4/SH/1gAAAJQBAAALAAAAAAAAAAAAAAAAAC8BAABfcmVscy8ucmVs&#10;c1BLAQItABQABgAIAAAAIQAbmxQcDQMAAI8NAAAOAAAAAAAAAAAAAAAAAC4CAABkcnMvZTJvRG9j&#10;LnhtbFBLAQItABQABgAIAAAAIQBjvm9c2gAAAAMBAAAPAAAAAAAAAAAAAAAAAGcFAABkcnMvZG93&#10;bnJldi54bWxQSwUGAAAAAAQABADzAAAAbgYAAAAA&#10;">
                      <v:shape id="Shape 163020" style="position:absolute;width:16294;height:91;visibility:visible;mso-wrap-style:square;v-text-anchor:top" coordsize="1629410,9144" o:spid="_x0000_s1027" fillcolor="black" stroked="f" strokeweight="0" path="m,l162941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wgAAAN8AAAAPAAAAZHJzL2Rvd25yZXYueG1sRE9Na8JA&#10;EL0X+h+WKfRWN0aQEF1FSouCUKiK5yE7ZqPZ2ZDdmvTfO4dCj4/3vVyPvlV36mMT2MB0koEiroJt&#10;uDZwOn6+FaBiQrbYBiYDvxRhvXp+WmJpw8DfdD+kWkkIxxINuJS6UutYOfIYJ6EjFu4Seo9JYF9r&#10;2+Mg4b7VeZbNtceGpcFhR++Oqtvhxxu41nmx/5id03nAq6u2p69iqsmY15dxswCVaEz/4j/3zsr8&#10;+SzL5YH8EQB69QAAAP//AwBQSwECLQAUAAYACAAAACEA2+H2y+4AAACFAQAAEwAAAAAAAAAAAAAA&#10;AAAAAAAAW0NvbnRlbnRfVHlwZXNdLnhtbFBLAQItABQABgAIAAAAIQBa9CxbvwAAABUBAAALAAAA&#10;AAAAAAAAAAAAAB8BAABfcmVscy8ucmVsc1BLAQItABQABgAIAAAAIQCVow/+wgAAAN8AAAAPAAAA&#10;AAAAAAAAAAAAAAcCAABkcnMvZG93bnJldi54bWxQSwUGAAAAAAMAAwC3AAAA9gIAAAAA&#10;">
                        <v:stroke miterlimit="83231f" joinstyle="miter"/>
                        <v:path textboxrect="0,0,1629410,9144" arrowok="t"/>
                      </v:shape>
                      <v:shape id="Shape 163021" style="position:absolute;left:16294;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Js6wwAAAN8AAAAPAAAAZHJzL2Rvd25yZXYueG1sRE/LagIx&#10;FN0X+g/hFtxp4gMro1HagiCCUK0Ll9fJdWbo5GZMoo5/bwpCl4fzni1aW4sr+VA51tDvKRDEuTMV&#10;Fxr2P8vuBESIyAZrx6ThTgEW89eXGWbG3XhL110sRArhkKGGMsYmkzLkJVkMPdcQJ+7kvMWYoC+k&#10;8XhL4baWA6XG0mLFqaHEhr5Kyn93F6uhORf+cA7mk4+X7/U7qxW1m5HWnbf2YwoiUhv/xU/3yqT5&#10;46Ea9OHvTwIg5w8AAAD//wMAUEsBAi0AFAAGAAgAAAAhANvh9svuAAAAhQEAABMAAAAAAAAAAAAA&#10;AAAAAAAAAFtDb250ZW50X1R5cGVzXS54bWxQSwECLQAUAAYACAAAACEAWvQsW78AAAAVAQAACwAA&#10;AAAAAAAAAAAAAAAfAQAAX3JlbHMvLnJlbHNQSwECLQAUAAYACAAAACEAr/SbOsMAAADfAAAADwAA&#10;AAAAAAAAAAAAAAAHAgAAZHJzL2Rvd25yZXYueG1sUEsFBgAAAAADAAMAtwAAAPcCAAAAAA==&#10;">
                        <v:stroke miterlimit="83231f" joinstyle="miter"/>
                        <v:path textboxrect="0,0,9144,9144" arrowok="t"/>
                      </v:shape>
                      <v:shape id="Shape 163022" style="position:absolute;left:16355;width:12743;height:91;visibility:visible;mso-wrap-style:square;v-text-anchor:top" coordsize="1274318,9144" o:spid="_x0000_s1029" fillcolor="black" stroked="f" strokeweight="0" path="m,l12743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sbxQAAAN8AAAAPAAAAZHJzL2Rvd25yZXYueG1sRE9Na8JA&#10;EL0L/odlCr3pphFNSd0EEYoivTRKobdpdpqkzc6G7Ebjv3cLBY+P973OR9OKM/WusazgaR6BIC6t&#10;brhScDq+zp5BOI+ssbVMCq7kIM+mkzWm2l74nc6Fr0QIYZeigtr7LpXSlTUZdHPbEQfu2/YGfYB9&#10;JXWPlxBuWhlH0UoabDg01NjRtqbytxiMAvPlh7ePHy2TZP9ZLHeHxbYbdko9PoybFxCeRn8X/7v3&#10;OsxfLaI4hr8/AYDMbgAAAP//AwBQSwECLQAUAAYACAAAACEA2+H2y+4AAACFAQAAEwAAAAAAAAAA&#10;AAAAAAAAAAAAW0NvbnRlbnRfVHlwZXNdLnhtbFBLAQItABQABgAIAAAAIQBa9CxbvwAAABUBAAAL&#10;AAAAAAAAAAAAAAAAAB8BAABfcmVscy8ucmVsc1BLAQItABQABgAIAAAAIQAZtAsbxQAAAN8AAAAP&#10;AAAAAAAAAAAAAAAAAAcCAABkcnMvZG93bnJldi54bWxQSwUGAAAAAAMAAwC3AAAA+QIAAAAA&#10;">
                        <v:stroke miterlimit="83231f" joinstyle="miter"/>
                        <v:path textboxrect="0,0,1274318,9144" arrowok="t"/>
                      </v:shape>
                      <w10:anchorlock/>
                    </v:group>
                  </w:pict>
                </mc:Fallback>
              </mc:AlternateContent>
            </w:r>
          </w:p>
          <w:p w14:paraId="37170F5A" w14:textId="0D7DC1A4" w:rsidR="006B7C8E" w:rsidRPr="00DD1F63" w:rsidRDefault="00CA72FF" w:rsidP="00377A09">
            <w:pPr>
              <w:tabs>
                <w:tab w:val="center" w:pos="4691"/>
                <w:tab w:val="center" w:pos="6982"/>
              </w:tabs>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r w:rsidRPr="00DD1F63">
              <w:rPr>
                <w:rFonts w:ascii="Times New Roman" w:hAnsi="Times New Roman" w:cs="Times New Roman"/>
                <w:sz w:val="21"/>
                <w:szCs w:val="21"/>
              </w:rPr>
              <w:tab/>
              <w:t xml:space="preserve">Placebo to adalimumab**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0AB4CC16"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p w14:paraId="55061A0B"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p w14:paraId="6621FEB9" w14:textId="36C57292"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&lt; 0.001 </w:t>
            </w:r>
          </w:p>
          <w:p w14:paraId="4135DA2C" w14:textId="4A4FFCD1" w:rsidR="006B7C8E" w:rsidRPr="00DD1F63" w:rsidRDefault="006B7C8E" w:rsidP="00377A09">
            <w:pPr>
              <w:spacing w:after="0" w:line="240" w:lineRule="auto"/>
              <w:ind w:left="426" w:firstLine="0"/>
              <w:jc w:val="left"/>
              <w:rPr>
                <w:rFonts w:ascii="Times New Roman" w:hAnsi="Times New Roman" w:cs="Times New Roman"/>
                <w:sz w:val="21"/>
                <w:szCs w:val="21"/>
              </w:rPr>
            </w:pPr>
          </w:p>
        </w:tc>
      </w:tr>
      <w:tr w:rsidR="006B7C8E" w:rsidRPr="00DD1F63" w14:paraId="4228A6A0"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6C6E07A7" w14:textId="0E90A995"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Week-48 </w:t>
            </w:r>
            <w:r w:rsidRPr="00DD1F63">
              <w:rPr>
                <w:rFonts w:ascii="Times New Roman" w:hAnsi="Times New Roman" w:cs="Times New Roman"/>
                <w:sz w:val="21"/>
                <w:szCs w:val="21"/>
              </w:rPr>
              <w:tab/>
              <w:t xml:space="preserve">n = 141 </w:t>
            </w:r>
            <w:r w:rsidRPr="00DD1F63">
              <w:rPr>
                <w:rFonts w:ascii="Times New Roman" w:hAnsi="Times New Roman" w:cs="Times New Roman"/>
                <w:sz w:val="21"/>
                <w:szCs w:val="21"/>
              </w:rPr>
              <w:tab/>
              <w:t xml:space="preserve">n = 133 </w:t>
            </w:r>
          </w:p>
          <w:p w14:paraId="54288BE0" w14:textId="5CA0C625" w:rsidR="006B7C8E" w:rsidRPr="00DD1F63" w:rsidRDefault="00CA72FF" w:rsidP="00377A09">
            <w:pPr>
              <w:numPr>
                <w:ilvl w:val="0"/>
                <w:numId w:val="13"/>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baseline mean</w:t>
            </w:r>
            <w:r w:rsidRPr="00DD1F63">
              <w:rPr>
                <w:rFonts w:ascii="Times New Roman" w:hAnsi="Times New Roman" w:cs="Times New Roman"/>
                <w:sz w:val="21"/>
                <w:szCs w:val="21"/>
              </w:rPr>
              <w:tab/>
              <w:t xml:space="preserve">21.2 </w:t>
            </w:r>
            <w:r w:rsidRPr="00DD1F63">
              <w:rPr>
                <w:rFonts w:ascii="Times New Roman" w:hAnsi="Times New Roman" w:cs="Times New Roman"/>
                <w:sz w:val="21"/>
                <w:szCs w:val="21"/>
              </w:rPr>
              <w:tab/>
              <w:t xml:space="preserve">22.2 </w:t>
            </w:r>
          </w:p>
          <w:p w14:paraId="328AF41B" w14:textId="77777777" w:rsidR="006B7C8E" w:rsidRPr="00DD1F63" w:rsidRDefault="00CA72FF" w:rsidP="00377A09">
            <w:pPr>
              <w:numPr>
                <w:ilvl w:val="0"/>
                <w:numId w:val="13"/>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0.9 </w:t>
            </w:r>
            <w:r w:rsidRPr="00DD1F63">
              <w:rPr>
                <w:rFonts w:ascii="Times New Roman" w:hAnsi="Times New Roman" w:cs="Times New Roman"/>
                <w:sz w:val="21"/>
                <w:szCs w:val="21"/>
              </w:rPr>
              <w:tab/>
              <w:t xml:space="preserve">0.0 </w:t>
            </w:r>
          </w:p>
        </w:tc>
        <w:tc>
          <w:tcPr>
            <w:tcW w:w="830" w:type="dxa"/>
            <w:tcBorders>
              <w:top w:val="single" w:sz="4" w:space="0" w:color="000000"/>
              <w:left w:val="nil"/>
              <w:bottom w:val="single" w:sz="4" w:space="0" w:color="000000"/>
              <w:right w:val="single" w:sz="4" w:space="0" w:color="000000"/>
            </w:tcBorders>
          </w:tcPr>
          <w:p w14:paraId="17C38096"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7C3186C4"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2C8D2171" w14:textId="5EC68195"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Week-48 to Week-144 </w:t>
            </w:r>
            <w:r w:rsidRPr="00DD1F63">
              <w:rPr>
                <w:rFonts w:ascii="Times New Roman" w:hAnsi="Times New Roman" w:cs="Times New Roman"/>
                <w:sz w:val="21"/>
                <w:szCs w:val="21"/>
              </w:rPr>
              <w:tab/>
              <w:t xml:space="preserve">n = 128 </w:t>
            </w:r>
            <w:r w:rsidRPr="00DD1F63">
              <w:rPr>
                <w:rFonts w:ascii="Times New Roman" w:hAnsi="Times New Roman" w:cs="Times New Roman"/>
                <w:sz w:val="21"/>
                <w:szCs w:val="21"/>
              </w:rPr>
              <w:tab/>
              <w:t xml:space="preserve">n = 115 </w:t>
            </w:r>
          </w:p>
          <w:p w14:paraId="3D48B34F" w14:textId="77777777" w:rsidR="006B7C8E" w:rsidRPr="00DD1F63" w:rsidRDefault="00CA72FF" w:rsidP="00377A09">
            <w:pPr>
              <w:numPr>
                <w:ilvl w:val="0"/>
                <w:numId w:val="14"/>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Week-48 mean </w:t>
            </w:r>
            <w:r w:rsidRPr="00DD1F63">
              <w:rPr>
                <w:rFonts w:ascii="Times New Roman" w:hAnsi="Times New Roman" w:cs="Times New Roman"/>
                <w:sz w:val="21"/>
                <w:szCs w:val="21"/>
              </w:rPr>
              <w:tab/>
              <w:t xml:space="preserve">22.7 </w:t>
            </w:r>
            <w:r w:rsidRPr="00DD1F63">
              <w:rPr>
                <w:rFonts w:ascii="Times New Roman" w:hAnsi="Times New Roman" w:cs="Times New Roman"/>
                <w:sz w:val="21"/>
                <w:szCs w:val="21"/>
              </w:rPr>
              <w:tab/>
              <w:t xml:space="preserve">22.3 </w:t>
            </w:r>
          </w:p>
          <w:p w14:paraId="2913AD93" w14:textId="77777777" w:rsidR="006B7C8E" w:rsidRPr="00DD1F63" w:rsidRDefault="00CA72FF" w:rsidP="00377A09">
            <w:pPr>
              <w:numPr>
                <w:ilvl w:val="0"/>
                <w:numId w:val="14"/>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Week-48 </w:t>
            </w:r>
            <w:r w:rsidRPr="00DD1F63">
              <w:rPr>
                <w:rFonts w:ascii="Times New Roman" w:hAnsi="Times New Roman" w:cs="Times New Roman"/>
                <w:sz w:val="21"/>
                <w:szCs w:val="21"/>
              </w:rPr>
              <w:tab/>
              <w:t xml:space="preserve">0.1 </w:t>
            </w:r>
            <w:r w:rsidRPr="00DD1F63">
              <w:rPr>
                <w:rFonts w:ascii="Times New Roman" w:hAnsi="Times New Roman" w:cs="Times New Roman"/>
                <w:sz w:val="21"/>
                <w:szCs w:val="21"/>
              </w:rPr>
              <w:tab/>
              <w:t xml:space="preserve">0.4 </w:t>
            </w:r>
          </w:p>
        </w:tc>
        <w:tc>
          <w:tcPr>
            <w:tcW w:w="830" w:type="dxa"/>
            <w:tcBorders>
              <w:top w:val="single" w:sz="4" w:space="0" w:color="000000"/>
              <w:left w:val="nil"/>
              <w:bottom w:val="single" w:sz="4" w:space="0" w:color="000000"/>
              <w:right w:val="single" w:sz="4" w:space="0" w:color="000000"/>
            </w:tcBorders>
          </w:tcPr>
          <w:p w14:paraId="72F6AC01"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310AA13"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4CF5C85C" w14:textId="3DF5F205" w:rsidR="006B7C8E" w:rsidRPr="00DD1F63" w:rsidRDefault="00CA72FF" w:rsidP="00377A09">
            <w:pPr>
              <w:tabs>
                <w:tab w:val="center" w:pos="4578"/>
                <w:tab w:val="center" w:pos="6982"/>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Erosion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w:t>
            </w:r>
            <w:r w:rsidRPr="00DD1F63">
              <w:rPr>
                <w:rFonts w:ascii="Times New Roman" w:hAnsi="Times New Roman" w:cs="Times New Roman"/>
                <w:b/>
                <w:sz w:val="21"/>
                <w:szCs w:val="21"/>
              </w:rPr>
              <w:tab/>
            </w:r>
            <w:r w:rsidRPr="00DD1F63">
              <w:rPr>
                <w:rFonts w:ascii="Times New Roman" w:hAnsi="Times New Roman" w:cs="Times New Roman"/>
                <w:sz w:val="21"/>
                <w:szCs w:val="21"/>
              </w:rPr>
              <w:t xml:space="preserve">Placebo to adalimumab**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0C145514"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ED32276"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31594B28" w14:textId="006623C6"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 48 </w:t>
            </w:r>
            <w:r w:rsidRPr="00DD1F63">
              <w:rPr>
                <w:rFonts w:ascii="Times New Roman" w:hAnsi="Times New Roman" w:cs="Times New Roman"/>
                <w:sz w:val="21"/>
                <w:szCs w:val="21"/>
              </w:rPr>
              <w:tab/>
              <w:t xml:space="preserve">n = 141 </w:t>
            </w:r>
            <w:r w:rsidRPr="00DD1F63">
              <w:rPr>
                <w:rFonts w:ascii="Times New Roman" w:hAnsi="Times New Roman" w:cs="Times New Roman"/>
                <w:sz w:val="21"/>
                <w:szCs w:val="21"/>
              </w:rPr>
              <w:tab/>
              <w:t xml:space="preserve">n = 133 </w:t>
            </w:r>
          </w:p>
          <w:p w14:paraId="49A51679" w14:textId="54F3C2E2" w:rsidR="006B7C8E" w:rsidRPr="00DD1F63" w:rsidRDefault="00CA72FF" w:rsidP="00377A09">
            <w:pPr>
              <w:numPr>
                <w:ilvl w:val="0"/>
                <w:numId w:val="15"/>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baseline mean</w:t>
            </w:r>
            <w:r w:rsidRPr="00DD1F63">
              <w:rPr>
                <w:rFonts w:ascii="Times New Roman" w:hAnsi="Times New Roman" w:cs="Times New Roman"/>
                <w:sz w:val="21"/>
                <w:szCs w:val="21"/>
              </w:rPr>
              <w:tab/>
              <w:t xml:space="preserve">11.2 </w:t>
            </w:r>
            <w:r w:rsidRPr="00DD1F63">
              <w:rPr>
                <w:rFonts w:ascii="Times New Roman" w:hAnsi="Times New Roman" w:cs="Times New Roman"/>
                <w:sz w:val="21"/>
                <w:szCs w:val="21"/>
              </w:rPr>
              <w:tab/>
              <w:t xml:space="preserve">11.9 </w:t>
            </w:r>
          </w:p>
          <w:p w14:paraId="5D5C01BD" w14:textId="77777777" w:rsidR="006B7C8E" w:rsidRPr="00DD1F63" w:rsidRDefault="00CA72FF" w:rsidP="00377A09">
            <w:pPr>
              <w:numPr>
                <w:ilvl w:val="0"/>
                <w:numId w:val="15"/>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0.6 </w:t>
            </w:r>
            <w:r w:rsidRPr="00DD1F63">
              <w:rPr>
                <w:rFonts w:ascii="Times New Roman" w:hAnsi="Times New Roman" w:cs="Times New Roman"/>
                <w:sz w:val="21"/>
                <w:szCs w:val="21"/>
              </w:rPr>
              <w:tab/>
              <w:t xml:space="preserve">0.1 </w:t>
            </w:r>
          </w:p>
        </w:tc>
        <w:tc>
          <w:tcPr>
            <w:tcW w:w="830" w:type="dxa"/>
            <w:tcBorders>
              <w:top w:val="single" w:sz="4" w:space="0" w:color="000000"/>
              <w:left w:val="nil"/>
              <w:bottom w:val="single" w:sz="4" w:space="0" w:color="000000"/>
              <w:right w:val="single" w:sz="4" w:space="0" w:color="000000"/>
            </w:tcBorders>
          </w:tcPr>
          <w:p w14:paraId="2DBB8B13"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B0F38FE"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54DDB214" w14:textId="697712F5"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Week-48 to Week-144 </w:t>
            </w:r>
            <w:r w:rsidRPr="00DD1F63">
              <w:rPr>
                <w:rFonts w:ascii="Times New Roman" w:hAnsi="Times New Roman" w:cs="Times New Roman"/>
                <w:sz w:val="21"/>
                <w:szCs w:val="21"/>
              </w:rPr>
              <w:tab/>
              <w:t xml:space="preserve">n = 128 </w:t>
            </w:r>
            <w:r w:rsidRPr="00DD1F63">
              <w:rPr>
                <w:rFonts w:ascii="Times New Roman" w:hAnsi="Times New Roman" w:cs="Times New Roman"/>
                <w:sz w:val="21"/>
                <w:szCs w:val="21"/>
              </w:rPr>
              <w:tab/>
              <w:t xml:space="preserve">n = 115 </w:t>
            </w:r>
          </w:p>
          <w:p w14:paraId="58057F5B" w14:textId="77777777" w:rsidR="006B7C8E" w:rsidRPr="00DD1F63" w:rsidRDefault="00CA72FF" w:rsidP="00377A09">
            <w:pPr>
              <w:numPr>
                <w:ilvl w:val="0"/>
                <w:numId w:val="16"/>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Week-48 mean </w:t>
            </w:r>
            <w:r w:rsidRPr="00DD1F63">
              <w:rPr>
                <w:rFonts w:ascii="Times New Roman" w:hAnsi="Times New Roman" w:cs="Times New Roman"/>
                <w:sz w:val="21"/>
                <w:szCs w:val="21"/>
              </w:rPr>
              <w:tab/>
              <w:t xml:space="preserve">12.1 </w:t>
            </w:r>
            <w:r w:rsidRPr="00DD1F63">
              <w:rPr>
                <w:rFonts w:ascii="Times New Roman" w:hAnsi="Times New Roman" w:cs="Times New Roman"/>
                <w:sz w:val="21"/>
                <w:szCs w:val="21"/>
              </w:rPr>
              <w:tab/>
              <w:t xml:space="preserve">12.1 </w:t>
            </w:r>
          </w:p>
          <w:p w14:paraId="65F3BAF2" w14:textId="181F2B68" w:rsidR="006B7C8E" w:rsidRPr="00DD1F63" w:rsidRDefault="00CA72FF" w:rsidP="00377A09">
            <w:pPr>
              <w:numPr>
                <w:ilvl w:val="0"/>
                <w:numId w:val="16"/>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Week 48 </w:t>
            </w:r>
            <w:r w:rsidRPr="00DD1F63">
              <w:rPr>
                <w:rFonts w:ascii="Times New Roman" w:hAnsi="Times New Roman" w:cs="Times New Roman"/>
                <w:sz w:val="21"/>
                <w:szCs w:val="21"/>
              </w:rPr>
              <w:tab/>
              <w:t xml:space="preserve">-0.2 </w:t>
            </w:r>
            <w:r w:rsidRPr="00DD1F63">
              <w:rPr>
                <w:rFonts w:ascii="Times New Roman" w:hAnsi="Times New Roman" w:cs="Times New Roman"/>
                <w:sz w:val="21"/>
                <w:szCs w:val="21"/>
              </w:rPr>
              <w:tab/>
              <w:t xml:space="preserve">0.0 </w:t>
            </w:r>
          </w:p>
        </w:tc>
        <w:tc>
          <w:tcPr>
            <w:tcW w:w="830" w:type="dxa"/>
            <w:tcBorders>
              <w:top w:val="single" w:sz="4" w:space="0" w:color="000000"/>
              <w:left w:val="nil"/>
              <w:bottom w:val="single" w:sz="4" w:space="0" w:color="000000"/>
              <w:right w:val="single" w:sz="4" w:space="0" w:color="000000"/>
            </w:tcBorders>
          </w:tcPr>
          <w:p w14:paraId="5257BD8A"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7D497D76"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3A1F17AE" w14:textId="3C1F2139" w:rsidR="006B7C8E" w:rsidRPr="00DD1F63" w:rsidRDefault="00CA72FF" w:rsidP="00377A09">
            <w:pPr>
              <w:tabs>
                <w:tab w:val="left" w:pos="3686"/>
                <w:tab w:val="center" w:pos="4691"/>
                <w:tab w:val="left" w:pos="6525"/>
                <w:tab w:val="center" w:pos="6982"/>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Joint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pace </w:t>
            </w:r>
            <w:r w:rsidR="00526BF0" w:rsidRPr="00DD1F63">
              <w:rPr>
                <w:rFonts w:ascii="Times New Roman" w:hAnsi="Times New Roman" w:cs="Times New Roman"/>
                <w:b/>
                <w:sz w:val="21"/>
                <w:szCs w:val="21"/>
              </w:rPr>
              <w:t>n</w:t>
            </w:r>
            <w:r w:rsidRPr="00DD1F63">
              <w:rPr>
                <w:rFonts w:ascii="Times New Roman" w:hAnsi="Times New Roman" w:cs="Times New Roman"/>
                <w:b/>
                <w:sz w:val="21"/>
                <w:szCs w:val="21"/>
              </w:rPr>
              <w:t xml:space="preserve">arrowing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w:t>
            </w:r>
            <w:r w:rsidRPr="00DD1F63">
              <w:rPr>
                <w:rFonts w:ascii="Times New Roman" w:hAnsi="Times New Roman" w:cs="Times New Roman"/>
                <w:b/>
                <w:sz w:val="21"/>
                <w:szCs w:val="21"/>
              </w:rPr>
              <w:tab/>
            </w:r>
            <w:r w:rsidRPr="00DD1F63">
              <w:rPr>
                <w:rFonts w:ascii="Times New Roman" w:hAnsi="Times New Roman" w:cs="Times New Roman"/>
                <w:sz w:val="21"/>
                <w:szCs w:val="21"/>
              </w:rPr>
              <w:t xml:space="preserve">Placebo to adalimumab**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55DC3E29"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603ADD54"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075F1E84" w14:textId="7ED0F3F1"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 48 </w:t>
            </w:r>
            <w:r w:rsidRPr="00DD1F63">
              <w:rPr>
                <w:rFonts w:ascii="Times New Roman" w:hAnsi="Times New Roman" w:cs="Times New Roman"/>
                <w:sz w:val="21"/>
                <w:szCs w:val="21"/>
              </w:rPr>
              <w:tab/>
              <w:t xml:space="preserve">n = 141 </w:t>
            </w:r>
            <w:r w:rsidRPr="00DD1F63">
              <w:rPr>
                <w:rFonts w:ascii="Times New Roman" w:hAnsi="Times New Roman" w:cs="Times New Roman"/>
                <w:sz w:val="21"/>
                <w:szCs w:val="21"/>
              </w:rPr>
              <w:tab/>
              <w:t xml:space="preserve">n = 133 </w:t>
            </w:r>
          </w:p>
          <w:p w14:paraId="67227129" w14:textId="26884367" w:rsidR="006B7C8E" w:rsidRPr="00DD1F63" w:rsidRDefault="00CA72FF" w:rsidP="00377A09">
            <w:pPr>
              <w:numPr>
                <w:ilvl w:val="0"/>
                <w:numId w:val="17"/>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baseline mean</w:t>
            </w:r>
            <w:r w:rsidRPr="00DD1F63">
              <w:rPr>
                <w:rFonts w:ascii="Times New Roman" w:hAnsi="Times New Roman" w:cs="Times New Roman"/>
                <w:sz w:val="21"/>
                <w:szCs w:val="21"/>
              </w:rPr>
              <w:tab/>
              <w:t xml:space="preserve">10.0 </w:t>
            </w:r>
            <w:r w:rsidRPr="00DD1F63">
              <w:rPr>
                <w:rFonts w:ascii="Times New Roman" w:hAnsi="Times New Roman" w:cs="Times New Roman"/>
                <w:sz w:val="21"/>
                <w:szCs w:val="21"/>
              </w:rPr>
              <w:tab/>
              <w:t xml:space="preserve">10.4 </w:t>
            </w:r>
          </w:p>
          <w:p w14:paraId="2F5C2F7A" w14:textId="77777777" w:rsidR="006B7C8E" w:rsidRPr="00DD1F63" w:rsidRDefault="00CA72FF" w:rsidP="00377A09">
            <w:pPr>
              <w:numPr>
                <w:ilvl w:val="0"/>
                <w:numId w:val="17"/>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0.3 </w:t>
            </w:r>
            <w:r w:rsidRPr="00DD1F63">
              <w:rPr>
                <w:rFonts w:ascii="Times New Roman" w:hAnsi="Times New Roman" w:cs="Times New Roman"/>
                <w:sz w:val="21"/>
                <w:szCs w:val="21"/>
              </w:rPr>
              <w:tab/>
              <w:t xml:space="preserve">-0.1 </w:t>
            </w:r>
          </w:p>
        </w:tc>
        <w:tc>
          <w:tcPr>
            <w:tcW w:w="830" w:type="dxa"/>
            <w:tcBorders>
              <w:top w:val="single" w:sz="4" w:space="0" w:color="000000"/>
              <w:left w:val="nil"/>
              <w:bottom w:val="single" w:sz="4" w:space="0" w:color="000000"/>
              <w:right w:val="single" w:sz="4" w:space="0" w:color="000000"/>
            </w:tcBorders>
          </w:tcPr>
          <w:p w14:paraId="7E961F47"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7930AE4"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4D49C724" w14:textId="312B697A" w:rsidR="006B7C8E" w:rsidRPr="00DD1F63" w:rsidRDefault="00CA72FF" w:rsidP="00377A09">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Week-48 to Week-144 </w:t>
            </w:r>
            <w:r w:rsidRPr="00DD1F63">
              <w:rPr>
                <w:rFonts w:ascii="Times New Roman" w:hAnsi="Times New Roman" w:cs="Times New Roman"/>
                <w:sz w:val="21"/>
                <w:szCs w:val="21"/>
              </w:rPr>
              <w:tab/>
              <w:t xml:space="preserve">n = 128 </w:t>
            </w:r>
            <w:r w:rsidRPr="00DD1F63">
              <w:rPr>
                <w:rFonts w:ascii="Times New Roman" w:hAnsi="Times New Roman" w:cs="Times New Roman"/>
                <w:sz w:val="21"/>
                <w:szCs w:val="21"/>
              </w:rPr>
              <w:tab/>
              <w:t xml:space="preserve">n = 115 </w:t>
            </w:r>
          </w:p>
          <w:p w14:paraId="226991F0" w14:textId="77777777" w:rsidR="006B7C8E" w:rsidRPr="00DD1F63" w:rsidRDefault="00CA72FF" w:rsidP="00377A09">
            <w:pPr>
              <w:numPr>
                <w:ilvl w:val="0"/>
                <w:numId w:val="18"/>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Week-48 mean </w:t>
            </w:r>
            <w:r w:rsidRPr="00DD1F63">
              <w:rPr>
                <w:rFonts w:ascii="Times New Roman" w:hAnsi="Times New Roman" w:cs="Times New Roman"/>
                <w:sz w:val="21"/>
                <w:szCs w:val="21"/>
              </w:rPr>
              <w:tab/>
              <w:t xml:space="preserve">10.6 </w:t>
            </w:r>
            <w:r w:rsidRPr="00DD1F63">
              <w:rPr>
                <w:rFonts w:ascii="Times New Roman" w:hAnsi="Times New Roman" w:cs="Times New Roman"/>
                <w:sz w:val="21"/>
                <w:szCs w:val="21"/>
              </w:rPr>
              <w:tab/>
              <w:t xml:space="preserve">10.2 </w:t>
            </w:r>
          </w:p>
          <w:p w14:paraId="47106034" w14:textId="697A29C9" w:rsidR="006B7C8E" w:rsidRPr="00DD1F63" w:rsidRDefault="00CA72FF" w:rsidP="00377A09">
            <w:pPr>
              <w:numPr>
                <w:ilvl w:val="0"/>
                <w:numId w:val="18"/>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Week 48 </w:t>
            </w:r>
            <w:r w:rsidRPr="00DD1F63">
              <w:rPr>
                <w:rFonts w:ascii="Times New Roman" w:hAnsi="Times New Roman" w:cs="Times New Roman"/>
                <w:sz w:val="21"/>
                <w:szCs w:val="21"/>
              </w:rPr>
              <w:tab/>
              <w:t xml:space="preserve">0.3 </w:t>
            </w:r>
            <w:r w:rsidRPr="00DD1F63">
              <w:rPr>
                <w:rFonts w:ascii="Times New Roman" w:hAnsi="Times New Roman" w:cs="Times New Roman"/>
                <w:sz w:val="21"/>
                <w:szCs w:val="21"/>
              </w:rPr>
              <w:tab/>
              <w:t xml:space="preserve">0.4 </w:t>
            </w:r>
          </w:p>
        </w:tc>
        <w:tc>
          <w:tcPr>
            <w:tcW w:w="830" w:type="dxa"/>
            <w:tcBorders>
              <w:top w:val="single" w:sz="4" w:space="0" w:color="000000"/>
              <w:left w:val="nil"/>
              <w:bottom w:val="single" w:sz="4" w:space="0" w:color="000000"/>
              <w:right w:val="single" w:sz="4" w:space="0" w:color="000000"/>
            </w:tcBorders>
          </w:tcPr>
          <w:p w14:paraId="5A4797AF"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bl>
    <w:p w14:paraId="65D12E8D" w14:textId="0C721629" w:rsidR="006B7C8E" w:rsidRPr="00DD1F63" w:rsidRDefault="00CA72FF" w:rsidP="00377A09">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 w:val="16"/>
        </w:rPr>
        <w:lastRenderedPageBreak/>
        <w:t xml:space="preserve"> </w:t>
      </w:r>
      <w:r w:rsidRPr="00DD1F63">
        <w:rPr>
          <w:rFonts w:ascii="Times New Roman" w:hAnsi="Times New Roman" w:cs="Times New Roman"/>
          <w:szCs w:val="20"/>
        </w:rPr>
        <w:t>* Baseline to Week-24 data represents ITT data and belongs to a different x-ray reading than baseline to Week-48 and Week</w:t>
      </w:r>
      <w:r w:rsidR="00814CD9">
        <w:rPr>
          <w:rFonts w:ascii="Times New Roman" w:hAnsi="Times New Roman" w:cs="Times New Roman"/>
          <w:szCs w:val="20"/>
        </w:rPr>
        <w:t>-</w:t>
      </w:r>
      <w:r w:rsidRPr="00DD1F63">
        <w:rPr>
          <w:rFonts w:ascii="Times New Roman" w:hAnsi="Times New Roman" w:cs="Times New Roman"/>
          <w:szCs w:val="20"/>
        </w:rPr>
        <w:t xml:space="preserve">48 to Week-144 data. </w:t>
      </w:r>
    </w:p>
    <w:p w14:paraId="24F3C0B9" w14:textId="3A197EB6"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**Patients changed over to adalimumab at Week 24 </w:t>
      </w:r>
    </w:p>
    <w:p w14:paraId="15F6C534" w14:textId="77777777" w:rsidR="002A53AF" w:rsidRPr="00DD1F63" w:rsidRDefault="002A53AF" w:rsidP="00377A09">
      <w:pPr>
        <w:spacing w:after="0" w:line="240" w:lineRule="auto"/>
        <w:ind w:left="426" w:right="367"/>
        <w:jc w:val="left"/>
        <w:rPr>
          <w:rFonts w:ascii="Times New Roman" w:hAnsi="Times New Roman" w:cs="Times New Roman"/>
          <w:szCs w:val="20"/>
        </w:rPr>
      </w:pPr>
    </w:p>
    <w:p w14:paraId="686378EF" w14:textId="114A6AFD" w:rsidR="002A53AF"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subjects treated with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with no radiographic progression from baseline to Week 48 (n = 102), 84% continued to show no radiographic progression through 144 weeks of treatment.</w:t>
      </w:r>
    </w:p>
    <w:p w14:paraId="36354975" w14:textId="36F82300"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354FD596" w14:textId="5EC9FCF5" w:rsidR="006B7C8E" w:rsidRPr="00DD1F63" w:rsidRDefault="00CA72FF" w:rsidP="00377A09">
      <w:pPr>
        <w:pStyle w:val="Heading4"/>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Quality of </w:t>
      </w:r>
      <w:r w:rsidR="00526BF0" w:rsidRPr="00DD1F63">
        <w:rPr>
          <w:rFonts w:ascii="Times New Roman" w:hAnsi="Times New Roman" w:cs="Times New Roman"/>
          <w:i/>
          <w:iCs/>
        </w:rPr>
        <w:t>l</w:t>
      </w:r>
      <w:r w:rsidRPr="00DD1F63">
        <w:rPr>
          <w:rFonts w:ascii="Times New Roman" w:hAnsi="Times New Roman" w:cs="Times New Roman"/>
          <w:i/>
          <w:iCs/>
        </w:rPr>
        <w:t xml:space="preserve">ife and </w:t>
      </w:r>
      <w:r w:rsidR="00526BF0" w:rsidRPr="00DD1F63">
        <w:rPr>
          <w:rFonts w:ascii="Times New Roman" w:hAnsi="Times New Roman" w:cs="Times New Roman"/>
          <w:i/>
          <w:iCs/>
        </w:rPr>
        <w:t>p</w:t>
      </w:r>
      <w:r w:rsidRPr="00DD1F63">
        <w:rPr>
          <w:rFonts w:ascii="Times New Roman" w:hAnsi="Times New Roman" w:cs="Times New Roman"/>
          <w:i/>
          <w:iCs/>
        </w:rPr>
        <w:t xml:space="preserve">hysical </w:t>
      </w:r>
      <w:r w:rsidR="00526BF0" w:rsidRPr="00DD1F63">
        <w:rPr>
          <w:rFonts w:ascii="Times New Roman" w:hAnsi="Times New Roman" w:cs="Times New Roman"/>
          <w:i/>
          <w:iCs/>
        </w:rPr>
        <w:t>f</w:t>
      </w:r>
      <w:r w:rsidRPr="00DD1F63">
        <w:rPr>
          <w:rFonts w:ascii="Times New Roman" w:hAnsi="Times New Roman" w:cs="Times New Roman"/>
          <w:i/>
          <w:iCs/>
        </w:rPr>
        <w:t>unction</w:t>
      </w:r>
      <w:r w:rsidRPr="00DD1F63">
        <w:rPr>
          <w:rFonts w:ascii="Times New Roman" w:hAnsi="Times New Roman" w:cs="Times New Roman"/>
          <w:i/>
          <w:iCs/>
          <w:u w:val="none"/>
        </w:rPr>
        <w:t xml:space="preserve"> </w:t>
      </w:r>
    </w:p>
    <w:p w14:paraId="279B0D90" w14:textId="77777777" w:rsidR="002A53AF" w:rsidRPr="00DD1F63" w:rsidRDefault="002A53AF" w:rsidP="00377A09">
      <w:pPr>
        <w:spacing w:after="0" w:line="240" w:lineRule="auto"/>
        <w:ind w:left="426" w:hanging="11"/>
        <w:jc w:val="left"/>
        <w:rPr>
          <w:sz w:val="22"/>
        </w:rPr>
      </w:pPr>
    </w:p>
    <w:p w14:paraId="6AD520E1" w14:textId="05FA265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PsA study VI, physical function and disability were assessed using the HAQ Disability Index (HAQ-DI) and the Short Form Health Survey (SF-36). Patients treated with 40 mg of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fortnightly showed greater improvement from baseline in the HAQ-DI score (mean decreases of 47% and 49% at Weeks 12 and 24 respectively) in comparison to placebo (mean decreases of 1% and 3% at Weeks 12 and 24 respectively). </w:t>
      </w:r>
    </w:p>
    <w:p w14:paraId="5D4EC682" w14:textId="77777777" w:rsidR="002A53AF" w:rsidRPr="00DD1F63" w:rsidRDefault="002A53AF" w:rsidP="00377A09">
      <w:pPr>
        <w:spacing w:after="0" w:line="240" w:lineRule="auto"/>
        <w:ind w:left="426" w:right="370"/>
        <w:jc w:val="left"/>
        <w:rPr>
          <w:rFonts w:ascii="Times New Roman" w:hAnsi="Times New Roman" w:cs="Times New Roman"/>
          <w:sz w:val="22"/>
        </w:rPr>
      </w:pPr>
    </w:p>
    <w:p w14:paraId="0D5B4044" w14:textId="689E6BB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from the Short Form Health Survey (SF-36) support these findings, with statistically significant Physical Component Summary (PCS) scores, as well as statistically significant pain and vitality domain scores. At Weeks 12 and 24, patients treated with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 </w:t>
      </w:r>
    </w:p>
    <w:p w14:paraId="20EBDB71" w14:textId="77777777" w:rsidR="00526BF0" w:rsidRPr="00DD1F63" w:rsidRDefault="00526BF0" w:rsidP="00377A09">
      <w:pPr>
        <w:pStyle w:val="Heading3"/>
        <w:spacing w:after="0" w:line="240" w:lineRule="auto"/>
        <w:ind w:left="426"/>
        <w:rPr>
          <w:rFonts w:ascii="Times New Roman" w:hAnsi="Times New Roman" w:cs="Times New Roman"/>
          <w:b/>
        </w:rPr>
      </w:pPr>
    </w:p>
    <w:p w14:paraId="56CAAC74" w14:textId="77777777" w:rsidR="00EB3965" w:rsidRPr="00DD1F63" w:rsidRDefault="00526BF0" w:rsidP="00377A09">
      <w:pPr>
        <w:keepNext/>
        <w:spacing w:after="0" w:line="240" w:lineRule="auto"/>
        <w:ind w:left="425" w:hanging="11"/>
        <w:jc w:val="left"/>
        <w:rPr>
          <w:rFonts w:ascii="Times New Roman" w:hAnsi="Times New Roman" w:cs="Times New Roman"/>
          <w:bCs/>
          <w:sz w:val="22"/>
          <w:u w:val="single"/>
        </w:rPr>
      </w:pPr>
      <w:r w:rsidRPr="00DD1F63">
        <w:rPr>
          <w:rFonts w:ascii="Times New Roman" w:hAnsi="Times New Roman" w:cs="Times New Roman"/>
          <w:bCs/>
          <w:sz w:val="22"/>
          <w:u w:val="single"/>
        </w:rPr>
        <w:t>Clinical trials for ankylosing spondylitis</w:t>
      </w:r>
    </w:p>
    <w:p w14:paraId="6C19BF4E" w14:textId="33EB9AE8" w:rsidR="002A53AF" w:rsidRPr="00DD1F63" w:rsidRDefault="00526BF0" w:rsidP="00377A09">
      <w:pPr>
        <w:spacing w:after="0" w:line="240" w:lineRule="auto"/>
        <w:ind w:left="426" w:hanging="11"/>
        <w:jc w:val="left"/>
        <w:rPr>
          <w:sz w:val="22"/>
        </w:rPr>
      </w:pPr>
      <w:r w:rsidRPr="00DD1F63">
        <w:rPr>
          <w:rFonts w:ascii="Times New Roman" w:hAnsi="Times New Roman" w:cs="Times New Roman"/>
          <w:b/>
        </w:rPr>
        <w:t xml:space="preserve"> </w:t>
      </w:r>
    </w:p>
    <w:p w14:paraId="1960A521" w14:textId="70A27A1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w:t>
      </w:r>
      <w:r w:rsidR="00FF5418" w:rsidRPr="00DD1F63">
        <w:rPr>
          <w:rFonts w:ascii="Times New Roman" w:hAnsi="Times New Roman" w:cs="Times New Roman"/>
          <w:sz w:val="22"/>
        </w:rPr>
        <w:t xml:space="preserve"> </w:t>
      </w:r>
      <w:r w:rsidRPr="00DD1F63">
        <w:rPr>
          <w:rFonts w:ascii="Times New Roman" w:hAnsi="Times New Roman" w:cs="Times New Roman"/>
          <w:sz w:val="22"/>
        </w:rPr>
        <w:t xml:space="preserve">(BASDAI) score </w:t>
      </w:r>
      <w:r w:rsidR="00526BF0" w:rsidRPr="00DD1F63">
        <w:rPr>
          <w:rFonts w:ascii="Times New Roman" w:eastAsia="Segoe UI Symbol" w:hAnsi="Times New Roman" w:cs="Times New Roman"/>
          <w:sz w:val="22"/>
        </w:rPr>
        <w:t>≥</w:t>
      </w:r>
      <w:r w:rsidRPr="00DD1F63">
        <w:rPr>
          <w:rFonts w:ascii="Times New Roman" w:hAnsi="Times New Roman" w:cs="Times New Roman"/>
          <w:sz w:val="22"/>
        </w:rPr>
        <w:t xml:space="preserve">4 cm, (2) a visual </w:t>
      </w:r>
      <w:proofErr w:type="spellStart"/>
      <w:r w:rsidRPr="00DD1F63">
        <w:rPr>
          <w:rFonts w:ascii="Times New Roman" w:hAnsi="Times New Roman" w:cs="Times New Roman"/>
          <w:sz w:val="22"/>
        </w:rPr>
        <w:t>analog</w:t>
      </w:r>
      <w:proofErr w:type="spellEnd"/>
      <w:r w:rsidRPr="00DD1F63">
        <w:rPr>
          <w:rFonts w:ascii="Times New Roman" w:hAnsi="Times New Roman" w:cs="Times New Roman"/>
          <w:sz w:val="22"/>
        </w:rPr>
        <w:t xml:space="preserve"> score (VAS) for total back pain </w:t>
      </w:r>
      <w:r w:rsidR="00526BF0" w:rsidRPr="00DD1F63">
        <w:rPr>
          <w:rFonts w:ascii="Times New Roman" w:eastAsia="Segoe UI Symbol" w:hAnsi="Times New Roman" w:cs="Times New Roman"/>
          <w:sz w:val="22"/>
        </w:rPr>
        <w:t>≥</w:t>
      </w:r>
      <w:r w:rsidRPr="00DD1F63">
        <w:rPr>
          <w:rFonts w:ascii="Times New Roman" w:hAnsi="Times New Roman" w:cs="Times New Roman"/>
          <w:sz w:val="22"/>
        </w:rPr>
        <w:t xml:space="preserve"> 40 mm, (3) morning stiffness </w:t>
      </w:r>
      <w:r w:rsidR="00526BF0" w:rsidRPr="00DD1F63">
        <w:rPr>
          <w:rFonts w:ascii="Times New Roman" w:eastAsia="Segoe UI Symbol" w:hAnsi="Times New Roman" w:cs="Times New Roman"/>
          <w:sz w:val="22"/>
        </w:rPr>
        <w:t>≥</w:t>
      </w:r>
      <w:r w:rsidRPr="00DD1F63">
        <w:rPr>
          <w:rFonts w:ascii="Times New Roman" w:hAnsi="Times New Roman" w:cs="Times New Roman"/>
          <w:sz w:val="22"/>
        </w:rPr>
        <w:t xml:space="preserve"> 1 hour), who had an inadequate response to conventional therapy. Seventy-nine (20.1%) patients were treated concomitantly with disease modifying anti-rheumatic drugs, and 37 (9.4%) patients with glucocorticoids. The blinded period was followed by an open-label period. Subjects (N=215, 54.7%) who failed to achieve ASAS 20 at Weeks 12, or 16 or 20 received early escape open-label adalimumab 40 mg fortnightly SC and were subsequently treated as non-responders in double-blind statistical analyses. </w:t>
      </w:r>
    </w:p>
    <w:p w14:paraId="1A270D4F" w14:textId="77777777" w:rsidR="00FF5418" w:rsidRPr="00DD1F63" w:rsidRDefault="00FF5418" w:rsidP="00377A09">
      <w:pPr>
        <w:spacing w:after="0" w:line="240" w:lineRule="auto"/>
        <w:ind w:left="426" w:right="375"/>
        <w:jc w:val="left"/>
        <w:rPr>
          <w:rFonts w:ascii="Times New Roman" w:hAnsi="Times New Roman" w:cs="Times New Roman"/>
          <w:sz w:val="22"/>
        </w:rPr>
      </w:pPr>
    </w:p>
    <w:p w14:paraId="75E687D9" w14:textId="6BBBEEE2" w:rsidR="005D2650"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showed statistically significant improvement of signs and symptoms of AS in patients treated with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compared to placebo. Significant improvement in measures of disease activity was first observed at Week 2 and maintained through 24 weeks as shown in Figure 4 and Table 1</w:t>
      </w:r>
      <w:r w:rsidR="00127F14" w:rsidRPr="00DD1F63">
        <w:rPr>
          <w:rFonts w:ascii="Times New Roman" w:hAnsi="Times New Roman" w:cs="Times New Roman"/>
          <w:sz w:val="22"/>
        </w:rPr>
        <w:t>5</w:t>
      </w:r>
      <w:r w:rsidRPr="00DD1F63">
        <w:rPr>
          <w:rFonts w:ascii="Times New Roman" w:hAnsi="Times New Roman" w:cs="Times New Roman"/>
          <w:sz w:val="22"/>
        </w:rPr>
        <w:t>.</w:t>
      </w:r>
    </w:p>
    <w:p w14:paraId="2BAB94AB" w14:textId="7988109E" w:rsidR="006B7C8E" w:rsidRPr="00DD1F63" w:rsidRDefault="006B7C8E" w:rsidP="00377A09">
      <w:pPr>
        <w:spacing w:after="0" w:line="240" w:lineRule="auto"/>
        <w:ind w:left="426" w:right="375"/>
        <w:jc w:val="left"/>
        <w:rPr>
          <w:rFonts w:ascii="Times New Roman" w:hAnsi="Times New Roman" w:cs="Times New Roman"/>
          <w:sz w:val="22"/>
        </w:rPr>
      </w:pPr>
    </w:p>
    <w:p w14:paraId="70732801" w14:textId="7777777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Patients with total spinal ankylosis were included in the larger study (n=11). Responses of these patients were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without total ankylosis. </w:t>
      </w:r>
    </w:p>
    <w:p w14:paraId="0CD29DEF"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7019F23" w14:textId="34534F49" w:rsidR="006B7C8E" w:rsidRPr="00DD1F63" w:rsidRDefault="00CA72FF" w:rsidP="00377A09">
      <w:pPr>
        <w:pStyle w:val="Heading4"/>
        <w:spacing w:after="0" w:line="240" w:lineRule="auto"/>
        <w:ind w:left="425" w:right="393"/>
        <w:rPr>
          <w:rFonts w:ascii="Times New Roman" w:hAnsi="Times New Roman" w:cs="Times New Roman"/>
        </w:rPr>
      </w:pPr>
      <w:r w:rsidRPr="00DD1F63">
        <w:rPr>
          <w:rFonts w:ascii="Times New Roman" w:hAnsi="Times New Roman" w:cs="Times New Roman"/>
          <w:b/>
          <w:u w:val="none"/>
        </w:rPr>
        <w:lastRenderedPageBreak/>
        <w:t xml:space="preserve">Figure 4. ASAS 20 </w:t>
      </w:r>
      <w:r w:rsidR="00526BF0" w:rsidRPr="00DD1F63">
        <w:rPr>
          <w:rFonts w:ascii="Times New Roman" w:hAnsi="Times New Roman" w:cs="Times New Roman"/>
          <w:b/>
          <w:u w:val="none"/>
        </w:rPr>
        <w:t>r</w:t>
      </w:r>
      <w:r w:rsidRPr="00DD1F63">
        <w:rPr>
          <w:rFonts w:ascii="Times New Roman" w:hAnsi="Times New Roman" w:cs="Times New Roman"/>
          <w:b/>
          <w:u w:val="none"/>
        </w:rPr>
        <w:t xml:space="preserve">esponse </w:t>
      </w:r>
      <w:r w:rsidR="00526BF0" w:rsidRPr="00DD1F63">
        <w:rPr>
          <w:rFonts w:ascii="Times New Roman" w:hAnsi="Times New Roman" w:cs="Times New Roman"/>
          <w:b/>
          <w:u w:val="none"/>
        </w:rPr>
        <w:t>b</w:t>
      </w:r>
      <w:r w:rsidRPr="00DD1F63">
        <w:rPr>
          <w:rFonts w:ascii="Times New Roman" w:hAnsi="Times New Roman" w:cs="Times New Roman"/>
          <w:b/>
          <w:u w:val="none"/>
        </w:rPr>
        <w:t xml:space="preserve">y </w:t>
      </w:r>
      <w:r w:rsidR="00526BF0" w:rsidRPr="00DD1F63">
        <w:rPr>
          <w:rFonts w:ascii="Times New Roman" w:hAnsi="Times New Roman" w:cs="Times New Roman"/>
          <w:b/>
          <w:u w:val="none"/>
        </w:rPr>
        <w:t>v</w:t>
      </w:r>
      <w:r w:rsidRPr="00DD1F63">
        <w:rPr>
          <w:rFonts w:ascii="Times New Roman" w:hAnsi="Times New Roman" w:cs="Times New Roman"/>
          <w:b/>
          <w:u w:val="none"/>
        </w:rPr>
        <w:t xml:space="preserve">isit, AS </w:t>
      </w:r>
      <w:r w:rsidR="00526BF0" w:rsidRPr="00DD1F63">
        <w:rPr>
          <w:rFonts w:ascii="Times New Roman" w:hAnsi="Times New Roman" w:cs="Times New Roman"/>
          <w:b/>
          <w:u w:val="none"/>
        </w:rPr>
        <w:t>s</w:t>
      </w:r>
      <w:r w:rsidRPr="00DD1F63">
        <w:rPr>
          <w:rFonts w:ascii="Times New Roman" w:hAnsi="Times New Roman" w:cs="Times New Roman"/>
          <w:b/>
          <w:u w:val="none"/>
        </w:rPr>
        <w:t xml:space="preserve">tudy I </w:t>
      </w:r>
    </w:p>
    <w:p w14:paraId="43A916A1" w14:textId="6AD915E2" w:rsidR="005D2650" w:rsidRPr="00DD1F63" w:rsidRDefault="00CA72FF" w:rsidP="00377A09">
      <w:pPr>
        <w:keepNext/>
        <w:spacing w:after="0" w:line="240" w:lineRule="auto"/>
        <w:ind w:left="425" w:firstLine="0"/>
        <w:jc w:val="left"/>
        <w:rPr>
          <w:rFonts w:ascii="Times New Roman" w:eastAsia="Times New Roman" w:hAnsi="Times New Roman" w:cs="Times New Roman"/>
          <w:b/>
          <w:sz w:val="22"/>
        </w:rPr>
      </w:pPr>
      <w:r w:rsidRPr="00DD1F63">
        <w:rPr>
          <w:rFonts w:ascii="Times New Roman" w:eastAsia="Times New Roman" w:hAnsi="Times New Roman" w:cs="Times New Roman"/>
          <w:b/>
          <w:sz w:val="22"/>
        </w:rPr>
        <w:t xml:space="preserve"> </w:t>
      </w:r>
    </w:p>
    <w:p w14:paraId="4B6A58FD" w14:textId="7B157DBB" w:rsidR="00EC4A1D" w:rsidRPr="00DD1F63" w:rsidRDefault="00EC4A1D" w:rsidP="00377A09">
      <w:pPr>
        <w:keepNext/>
        <w:spacing w:line="240" w:lineRule="auto"/>
        <w:ind w:left="425" w:firstLine="0"/>
        <w:jc w:val="left"/>
      </w:pPr>
      <w:r w:rsidRPr="00DD1F63">
        <w:rPr>
          <w:noProof/>
        </w:rPr>
        <w:drawing>
          <wp:inline distT="0" distB="0" distL="0" distR="0" wp14:anchorId="425ED6FC" wp14:editId="4D184987">
            <wp:extent cx="3467405" cy="2152505"/>
            <wp:effectExtent l="0" t="0" r="0" b="635"/>
            <wp:docPr id="12" name="Picture 12" descr="Machine generated alternative text:&#10;placebo (N=107) &#10;o &#10;70 &#10;60 &#10;50 &#10;40 &#10;30 &#10;20 &#10;10 &#10;o &#10;Ada limumab (N =208) &#10;2 &#10;4 &#10;6 &#10;8 &#10;10 12 14 16 18 &#10;Time (Weeks) &#10;20 &#10;22 &#10;24 &#1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chine generated alternative text:&#10;placebo (N=107) &#10;o &#10;70 &#10;60 &#10;50 &#10;40 &#10;30 &#10;20 &#10;10 &#10;o &#10;Ada limumab (N =208) &#10;2 &#10;4 &#10;6 &#10;8 &#10;10 12 14 16 18 &#10;Time (Weeks) &#10;20 &#10;22 &#10;24 &#10;26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2688" cy="2174408"/>
                    </a:xfrm>
                    <a:prstGeom prst="rect">
                      <a:avLst/>
                    </a:prstGeom>
                    <a:noFill/>
                    <a:ln>
                      <a:noFill/>
                    </a:ln>
                  </pic:spPr>
                </pic:pic>
              </a:graphicData>
            </a:graphic>
          </wp:inline>
        </w:drawing>
      </w:r>
    </w:p>
    <w:tbl>
      <w:tblPr>
        <w:tblStyle w:val="TableGrid1"/>
        <w:tblW w:w="4601" w:type="pct"/>
        <w:tblInd w:w="421" w:type="dxa"/>
        <w:tblCellMar>
          <w:left w:w="57" w:type="dxa"/>
          <w:right w:w="57" w:type="dxa"/>
        </w:tblCellMar>
        <w:tblLook w:val="04A0" w:firstRow="1" w:lastRow="0" w:firstColumn="1" w:lastColumn="0" w:noHBand="0" w:noVBand="1"/>
      </w:tblPr>
      <w:tblGrid>
        <w:gridCol w:w="1560"/>
        <w:gridCol w:w="1876"/>
        <w:gridCol w:w="2552"/>
        <w:gridCol w:w="2657"/>
      </w:tblGrid>
      <w:tr w:rsidR="00817F15" w:rsidRPr="00DD1F63" w14:paraId="610299D5" w14:textId="77777777" w:rsidTr="00817F15">
        <w:trPr>
          <w:trHeight w:val="14"/>
        </w:trPr>
        <w:tc>
          <w:tcPr>
            <w:tcW w:w="5000" w:type="pct"/>
            <w:gridSpan w:val="4"/>
            <w:tcBorders>
              <w:top w:val="single" w:sz="4" w:space="0" w:color="000000"/>
              <w:left w:val="single" w:sz="4" w:space="0" w:color="000000"/>
              <w:bottom w:val="single" w:sz="4" w:space="0" w:color="000000"/>
              <w:right w:val="single" w:sz="4" w:space="0" w:color="000000"/>
            </w:tcBorders>
          </w:tcPr>
          <w:p w14:paraId="0E049631" w14:textId="23C83942" w:rsidR="00817F15" w:rsidRPr="00DD1F63" w:rsidRDefault="00817F15"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5</w:t>
            </w:r>
            <w:r w:rsidRPr="00DD1F63">
              <w:rPr>
                <w:rFonts w:ascii="Times New Roman" w:hAnsi="Times New Roman" w:cs="Times New Roman"/>
                <w:b/>
                <w:sz w:val="21"/>
                <w:szCs w:val="21"/>
              </w:rPr>
              <w:t xml:space="preserve">: </w:t>
            </w:r>
            <w:proofErr w:type="spellStart"/>
            <w:r w:rsidRPr="00DD1F63">
              <w:rPr>
                <w:rFonts w:ascii="Times New Roman" w:hAnsi="Times New Roman" w:cs="Times New Roman"/>
                <w:b/>
                <w:sz w:val="21"/>
                <w:szCs w:val="21"/>
              </w:rPr>
              <w:t>ASAS</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b/>
                <w:sz w:val="21"/>
                <w:szCs w:val="21"/>
              </w:rPr>
              <w:t xml:space="preserve"> responses in </w:t>
            </w:r>
            <w:proofErr w:type="gramStart"/>
            <w:r w:rsidRPr="00DD1F63">
              <w:rPr>
                <w:rFonts w:ascii="Times New Roman" w:hAnsi="Times New Roman" w:cs="Times New Roman"/>
                <w:b/>
                <w:sz w:val="21"/>
                <w:szCs w:val="21"/>
              </w:rPr>
              <w:t>placebo-controlled</w:t>
            </w:r>
            <w:proofErr w:type="gramEnd"/>
            <w:r w:rsidRPr="00DD1F63">
              <w:rPr>
                <w:rFonts w:ascii="Times New Roman" w:hAnsi="Times New Roman" w:cs="Times New Roman"/>
                <w:b/>
                <w:sz w:val="21"/>
                <w:szCs w:val="21"/>
              </w:rPr>
              <w:t xml:space="preserve"> AS study</w:t>
            </w:r>
            <w:r w:rsidRPr="00DD1F63">
              <w:rPr>
                <w:rFonts w:ascii="Times New Roman" w:hAnsi="Times New Roman" w:cs="Times New Roman"/>
                <w:sz w:val="21"/>
                <w:szCs w:val="21"/>
              </w:rPr>
              <w:t xml:space="preserve"> </w:t>
            </w:r>
          </w:p>
        </w:tc>
      </w:tr>
      <w:tr w:rsidR="000737A1" w:rsidRPr="00DD1F63" w14:paraId="668AA13C" w14:textId="77777777" w:rsidTr="00EC4A1D">
        <w:trPr>
          <w:trHeight w:val="14"/>
        </w:trPr>
        <w:tc>
          <w:tcPr>
            <w:tcW w:w="902" w:type="pct"/>
            <w:tcBorders>
              <w:top w:val="single" w:sz="4" w:space="0" w:color="000000"/>
              <w:left w:val="single" w:sz="4" w:space="0" w:color="000000"/>
              <w:bottom w:val="single" w:sz="4" w:space="0" w:color="000000"/>
              <w:right w:val="nil"/>
            </w:tcBorders>
            <w:vAlign w:val="center"/>
          </w:tcPr>
          <w:p w14:paraId="3BD47DE2"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Response </w:t>
            </w:r>
          </w:p>
        </w:tc>
        <w:tc>
          <w:tcPr>
            <w:tcW w:w="1085" w:type="pct"/>
            <w:tcBorders>
              <w:top w:val="single" w:sz="4" w:space="0" w:color="000000"/>
              <w:left w:val="nil"/>
              <w:bottom w:val="single" w:sz="4" w:space="0" w:color="000000"/>
              <w:right w:val="single" w:sz="4" w:space="0" w:color="000000"/>
            </w:tcBorders>
          </w:tcPr>
          <w:p w14:paraId="61EE2A74"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3F33A661" w14:textId="77777777" w:rsidR="00EC4A1D"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Placebo </w:t>
            </w:r>
          </w:p>
          <w:p w14:paraId="05DBDF37" w14:textId="5A45B4BD"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N=107</w:t>
            </w:r>
          </w:p>
        </w:tc>
        <w:tc>
          <w:tcPr>
            <w:tcW w:w="1537" w:type="pct"/>
            <w:tcBorders>
              <w:top w:val="single" w:sz="4" w:space="0" w:color="000000"/>
              <w:left w:val="single" w:sz="4" w:space="0" w:color="000000"/>
              <w:bottom w:val="single" w:sz="4" w:space="0" w:color="000000"/>
              <w:right w:val="single" w:sz="4" w:space="0" w:color="000000"/>
            </w:tcBorders>
            <w:vAlign w:val="center"/>
          </w:tcPr>
          <w:p w14:paraId="1ED04973" w14:textId="6CFDABDA" w:rsidR="00EC4A1D" w:rsidRPr="00DD1F63" w:rsidRDefault="000737A1"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rPr>
              <w:t xml:space="preserve"> </w:t>
            </w:r>
          </w:p>
          <w:p w14:paraId="5B690250" w14:textId="3B82AA6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N=208</w:t>
            </w:r>
          </w:p>
        </w:tc>
      </w:tr>
      <w:tr w:rsidR="000737A1" w:rsidRPr="00DD1F63" w14:paraId="476B225B" w14:textId="77777777" w:rsidTr="00EC4A1D">
        <w:trPr>
          <w:trHeight w:val="14"/>
        </w:trPr>
        <w:tc>
          <w:tcPr>
            <w:tcW w:w="902" w:type="pct"/>
            <w:tcBorders>
              <w:top w:val="single" w:sz="4" w:space="0" w:color="000000"/>
              <w:left w:val="single" w:sz="4" w:space="0" w:color="000000"/>
              <w:bottom w:val="single" w:sz="4" w:space="0" w:color="000000"/>
              <w:right w:val="nil"/>
            </w:tcBorders>
          </w:tcPr>
          <w:p w14:paraId="6F586365" w14:textId="7777777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ASAS 20 </w:t>
            </w:r>
          </w:p>
        </w:tc>
        <w:tc>
          <w:tcPr>
            <w:tcW w:w="1085" w:type="pct"/>
            <w:tcBorders>
              <w:top w:val="single" w:sz="4" w:space="0" w:color="000000"/>
              <w:left w:val="nil"/>
              <w:bottom w:val="single" w:sz="4" w:space="0" w:color="000000"/>
              <w:right w:val="single" w:sz="4" w:space="0" w:color="000000"/>
            </w:tcBorders>
          </w:tcPr>
          <w:p w14:paraId="2CEA0969"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977D464" w14:textId="6EE0E6C0"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51BD299" w14:textId="45013BD3" w:rsidR="006B7C8E" w:rsidRPr="00DD1F63" w:rsidRDefault="006B7C8E" w:rsidP="00377A09">
            <w:pPr>
              <w:spacing w:after="0" w:line="240" w:lineRule="auto"/>
              <w:ind w:left="426" w:firstLine="0"/>
              <w:jc w:val="left"/>
              <w:rPr>
                <w:rFonts w:ascii="Times New Roman" w:hAnsi="Times New Roman" w:cs="Times New Roman"/>
                <w:sz w:val="21"/>
                <w:szCs w:val="21"/>
              </w:rPr>
            </w:pPr>
          </w:p>
        </w:tc>
      </w:tr>
      <w:tr w:rsidR="000737A1" w:rsidRPr="00DD1F63" w14:paraId="50964E37" w14:textId="77777777" w:rsidTr="00EC4A1D">
        <w:trPr>
          <w:trHeight w:val="14"/>
        </w:trPr>
        <w:tc>
          <w:tcPr>
            <w:tcW w:w="902" w:type="pct"/>
            <w:tcBorders>
              <w:top w:val="single" w:sz="4" w:space="0" w:color="000000"/>
              <w:left w:val="single" w:sz="4" w:space="0" w:color="000000"/>
              <w:bottom w:val="single" w:sz="4" w:space="0" w:color="000000"/>
              <w:right w:val="nil"/>
            </w:tcBorders>
          </w:tcPr>
          <w:p w14:paraId="7411D0C0"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1085" w:type="pct"/>
            <w:tcBorders>
              <w:top w:val="single" w:sz="4" w:space="0" w:color="000000"/>
              <w:left w:val="nil"/>
              <w:bottom w:val="single" w:sz="4" w:space="0" w:color="000000"/>
              <w:right w:val="single" w:sz="4" w:space="0" w:color="000000"/>
            </w:tcBorders>
          </w:tcPr>
          <w:p w14:paraId="6A8251D4"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48A2A6D" w14:textId="5B60F30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21%</w:t>
            </w:r>
          </w:p>
        </w:tc>
        <w:tc>
          <w:tcPr>
            <w:tcW w:w="1537" w:type="pct"/>
            <w:tcBorders>
              <w:top w:val="single" w:sz="4" w:space="0" w:color="000000"/>
              <w:left w:val="single" w:sz="4" w:space="0" w:color="000000"/>
              <w:bottom w:val="single" w:sz="4" w:space="0" w:color="000000"/>
              <w:right w:val="single" w:sz="4" w:space="0" w:color="000000"/>
            </w:tcBorders>
            <w:vAlign w:val="center"/>
          </w:tcPr>
          <w:p w14:paraId="638A6D77" w14:textId="31584A88"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58%*</w:t>
            </w:r>
          </w:p>
        </w:tc>
      </w:tr>
      <w:tr w:rsidR="000737A1" w:rsidRPr="00DD1F63" w14:paraId="14675F80" w14:textId="77777777" w:rsidTr="00EC4A1D">
        <w:trPr>
          <w:trHeight w:val="14"/>
        </w:trPr>
        <w:tc>
          <w:tcPr>
            <w:tcW w:w="902" w:type="pct"/>
            <w:tcBorders>
              <w:top w:val="single" w:sz="4" w:space="0" w:color="000000"/>
              <w:left w:val="single" w:sz="4" w:space="0" w:color="000000"/>
              <w:bottom w:val="single" w:sz="4" w:space="0" w:color="000000"/>
              <w:right w:val="nil"/>
            </w:tcBorders>
          </w:tcPr>
          <w:p w14:paraId="3143619B"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1085" w:type="pct"/>
            <w:tcBorders>
              <w:top w:val="single" w:sz="4" w:space="0" w:color="000000"/>
              <w:left w:val="nil"/>
              <w:bottom w:val="single" w:sz="4" w:space="0" w:color="000000"/>
              <w:right w:val="single" w:sz="4" w:space="0" w:color="000000"/>
            </w:tcBorders>
          </w:tcPr>
          <w:p w14:paraId="0104580C"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1EB26495" w14:textId="233007F8"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19%</w:t>
            </w:r>
          </w:p>
        </w:tc>
        <w:tc>
          <w:tcPr>
            <w:tcW w:w="1537" w:type="pct"/>
            <w:tcBorders>
              <w:top w:val="single" w:sz="4" w:space="0" w:color="000000"/>
              <w:left w:val="single" w:sz="4" w:space="0" w:color="000000"/>
              <w:bottom w:val="single" w:sz="4" w:space="0" w:color="000000"/>
              <w:right w:val="single" w:sz="4" w:space="0" w:color="000000"/>
            </w:tcBorders>
            <w:vAlign w:val="center"/>
          </w:tcPr>
          <w:p w14:paraId="3CC95FA7" w14:textId="04AE704B"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51%*</w:t>
            </w:r>
          </w:p>
        </w:tc>
      </w:tr>
      <w:tr w:rsidR="000737A1" w:rsidRPr="00DD1F63" w14:paraId="2DD32541" w14:textId="77777777" w:rsidTr="00EC4A1D">
        <w:trPr>
          <w:trHeight w:val="14"/>
        </w:trPr>
        <w:tc>
          <w:tcPr>
            <w:tcW w:w="902" w:type="pct"/>
            <w:tcBorders>
              <w:top w:val="single" w:sz="4" w:space="0" w:color="000000"/>
              <w:left w:val="single" w:sz="4" w:space="0" w:color="000000"/>
              <w:bottom w:val="single" w:sz="4" w:space="0" w:color="000000"/>
              <w:right w:val="nil"/>
            </w:tcBorders>
          </w:tcPr>
          <w:p w14:paraId="5CC77AC7" w14:textId="7777777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ASAS 50 </w:t>
            </w:r>
          </w:p>
        </w:tc>
        <w:tc>
          <w:tcPr>
            <w:tcW w:w="1085" w:type="pct"/>
            <w:tcBorders>
              <w:top w:val="single" w:sz="4" w:space="0" w:color="000000"/>
              <w:left w:val="nil"/>
              <w:bottom w:val="single" w:sz="4" w:space="0" w:color="000000"/>
              <w:right w:val="single" w:sz="4" w:space="0" w:color="000000"/>
            </w:tcBorders>
          </w:tcPr>
          <w:p w14:paraId="6BBE16DB"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767FC558" w14:textId="33168D64"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EC2AF7E" w14:textId="033B0C40" w:rsidR="006B7C8E" w:rsidRPr="00DD1F63" w:rsidRDefault="006B7C8E" w:rsidP="00377A09">
            <w:pPr>
              <w:spacing w:after="0" w:line="240" w:lineRule="auto"/>
              <w:ind w:left="426" w:firstLine="0"/>
              <w:jc w:val="left"/>
              <w:rPr>
                <w:rFonts w:ascii="Times New Roman" w:hAnsi="Times New Roman" w:cs="Times New Roman"/>
                <w:sz w:val="21"/>
                <w:szCs w:val="21"/>
              </w:rPr>
            </w:pPr>
          </w:p>
        </w:tc>
      </w:tr>
      <w:tr w:rsidR="000737A1" w:rsidRPr="00DD1F63" w14:paraId="26ECC400" w14:textId="77777777" w:rsidTr="00EC4A1D">
        <w:trPr>
          <w:trHeight w:val="14"/>
        </w:trPr>
        <w:tc>
          <w:tcPr>
            <w:tcW w:w="902" w:type="pct"/>
            <w:tcBorders>
              <w:top w:val="single" w:sz="4" w:space="0" w:color="000000"/>
              <w:left w:val="single" w:sz="4" w:space="0" w:color="000000"/>
              <w:bottom w:val="single" w:sz="4" w:space="0" w:color="000000"/>
              <w:right w:val="nil"/>
            </w:tcBorders>
          </w:tcPr>
          <w:p w14:paraId="1848F619"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1085" w:type="pct"/>
            <w:tcBorders>
              <w:top w:val="single" w:sz="4" w:space="0" w:color="000000"/>
              <w:left w:val="nil"/>
              <w:bottom w:val="single" w:sz="4" w:space="0" w:color="000000"/>
              <w:right w:val="single" w:sz="4" w:space="0" w:color="000000"/>
            </w:tcBorders>
          </w:tcPr>
          <w:p w14:paraId="4215DB7F"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5B927CBD" w14:textId="0B519B5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1537" w:type="pct"/>
            <w:tcBorders>
              <w:top w:val="single" w:sz="4" w:space="0" w:color="000000"/>
              <w:left w:val="single" w:sz="4" w:space="0" w:color="000000"/>
              <w:bottom w:val="single" w:sz="4" w:space="0" w:color="000000"/>
              <w:right w:val="single" w:sz="4" w:space="0" w:color="000000"/>
            </w:tcBorders>
            <w:vAlign w:val="center"/>
          </w:tcPr>
          <w:p w14:paraId="1DC84431" w14:textId="54C112E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38%*</w:t>
            </w:r>
          </w:p>
        </w:tc>
      </w:tr>
      <w:tr w:rsidR="000737A1" w:rsidRPr="00DD1F63" w14:paraId="1D7084B7" w14:textId="77777777" w:rsidTr="00EC4A1D">
        <w:trPr>
          <w:trHeight w:val="14"/>
        </w:trPr>
        <w:tc>
          <w:tcPr>
            <w:tcW w:w="902" w:type="pct"/>
            <w:tcBorders>
              <w:top w:val="single" w:sz="4" w:space="0" w:color="000000"/>
              <w:left w:val="single" w:sz="4" w:space="0" w:color="000000"/>
              <w:bottom w:val="single" w:sz="4" w:space="0" w:color="000000"/>
              <w:right w:val="nil"/>
            </w:tcBorders>
          </w:tcPr>
          <w:p w14:paraId="6427F051"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1085" w:type="pct"/>
            <w:tcBorders>
              <w:top w:val="single" w:sz="4" w:space="0" w:color="000000"/>
              <w:left w:val="nil"/>
              <w:bottom w:val="single" w:sz="4" w:space="0" w:color="000000"/>
              <w:right w:val="single" w:sz="4" w:space="0" w:color="000000"/>
            </w:tcBorders>
          </w:tcPr>
          <w:p w14:paraId="6B3B35BB"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59892CC3" w14:textId="0DFEFE8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11%</w:t>
            </w:r>
          </w:p>
        </w:tc>
        <w:tc>
          <w:tcPr>
            <w:tcW w:w="1537" w:type="pct"/>
            <w:tcBorders>
              <w:top w:val="single" w:sz="4" w:space="0" w:color="000000"/>
              <w:left w:val="single" w:sz="4" w:space="0" w:color="000000"/>
              <w:bottom w:val="single" w:sz="4" w:space="0" w:color="000000"/>
              <w:right w:val="single" w:sz="4" w:space="0" w:color="000000"/>
            </w:tcBorders>
            <w:vAlign w:val="center"/>
          </w:tcPr>
          <w:p w14:paraId="7E8708FB" w14:textId="0A774AB3"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35%*</w:t>
            </w:r>
          </w:p>
        </w:tc>
      </w:tr>
      <w:tr w:rsidR="000737A1" w:rsidRPr="00DD1F63" w14:paraId="1028B664" w14:textId="77777777" w:rsidTr="00EC4A1D">
        <w:trPr>
          <w:trHeight w:val="14"/>
        </w:trPr>
        <w:tc>
          <w:tcPr>
            <w:tcW w:w="902" w:type="pct"/>
            <w:tcBorders>
              <w:top w:val="single" w:sz="4" w:space="0" w:color="000000"/>
              <w:left w:val="single" w:sz="4" w:space="0" w:color="000000"/>
              <w:bottom w:val="single" w:sz="4" w:space="0" w:color="000000"/>
              <w:right w:val="nil"/>
            </w:tcBorders>
          </w:tcPr>
          <w:p w14:paraId="00A019F4" w14:textId="7777777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ASAS 70 </w:t>
            </w:r>
          </w:p>
        </w:tc>
        <w:tc>
          <w:tcPr>
            <w:tcW w:w="1085" w:type="pct"/>
            <w:tcBorders>
              <w:top w:val="single" w:sz="4" w:space="0" w:color="000000"/>
              <w:left w:val="nil"/>
              <w:bottom w:val="single" w:sz="4" w:space="0" w:color="000000"/>
              <w:right w:val="single" w:sz="4" w:space="0" w:color="000000"/>
            </w:tcBorders>
          </w:tcPr>
          <w:p w14:paraId="19106555"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50C307E" w14:textId="1D797DB6"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FAD231B" w14:textId="58D869EF" w:rsidR="006B7C8E" w:rsidRPr="00DD1F63" w:rsidRDefault="006B7C8E" w:rsidP="00377A09">
            <w:pPr>
              <w:spacing w:after="0" w:line="240" w:lineRule="auto"/>
              <w:ind w:left="426" w:firstLine="0"/>
              <w:jc w:val="left"/>
              <w:rPr>
                <w:rFonts w:ascii="Times New Roman" w:hAnsi="Times New Roman" w:cs="Times New Roman"/>
                <w:sz w:val="21"/>
                <w:szCs w:val="21"/>
              </w:rPr>
            </w:pPr>
          </w:p>
        </w:tc>
      </w:tr>
      <w:tr w:rsidR="000737A1" w:rsidRPr="00DD1F63" w14:paraId="6D5A14BB" w14:textId="77777777" w:rsidTr="00EC4A1D">
        <w:trPr>
          <w:trHeight w:val="15"/>
        </w:trPr>
        <w:tc>
          <w:tcPr>
            <w:tcW w:w="902" w:type="pct"/>
            <w:tcBorders>
              <w:top w:val="single" w:sz="4" w:space="0" w:color="000000"/>
              <w:left w:val="single" w:sz="4" w:space="0" w:color="000000"/>
              <w:bottom w:val="single" w:sz="4" w:space="0" w:color="000000"/>
              <w:right w:val="nil"/>
            </w:tcBorders>
          </w:tcPr>
          <w:p w14:paraId="04E9C198"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1085" w:type="pct"/>
            <w:tcBorders>
              <w:top w:val="single" w:sz="4" w:space="0" w:color="000000"/>
              <w:left w:val="nil"/>
              <w:bottom w:val="single" w:sz="4" w:space="0" w:color="000000"/>
              <w:right w:val="single" w:sz="4" w:space="0" w:color="000000"/>
            </w:tcBorders>
          </w:tcPr>
          <w:p w14:paraId="16B49E97"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A34CD71" w14:textId="0164E639"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1537" w:type="pct"/>
            <w:tcBorders>
              <w:top w:val="single" w:sz="4" w:space="0" w:color="000000"/>
              <w:left w:val="single" w:sz="4" w:space="0" w:color="000000"/>
              <w:bottom w:val="single" w:sz="4" w:space="0" w:color="000000"/>
              <w:right w:val="single" w:sz="4" w:space="0" w:color="000000"/>
            </w:tcBorders>
            <w:vAlign w:val="center"/>
          </w:tcPr>
          <w:p w14:paraId="46BA1F93" w14:textId="16E0B781"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23%*</w:t>
            </w:r>
          </w:p>
        </w:tc>
      </w:tr>
      <w:tr w:rsidR="000737A1" w:rsidRPr="00DD1F63" w14:paraId="252D40FA" w14:textId="77777777" w:rsidTr="00EC4A1D">
        <w:trPr>
          <w:trHeight w:val="67"/>
        </w:trPr>
        <w:tc>
          <w:tcPr>
            <w:tcW w:w="902" w:type="pct"/>
            <w:tcBorders>
              <w:top w:val="single" w:sz="4" w:space="0" w:color="000000"/>
              <w:left w:val="single" w:sz="4" w:space="0" w:color="000000"/>
              <w:bottom w:val="single" w:sz="4" w:space="0" w:color="000000"/>
              <w:right w:val="nil"/>
            </w:tcBorders>
          </w:tcPr>
          <w:p w14:paraId="33DA2AF8" w14:textId="38A11081" w:rsidR="006B7C8E" w:rsidRPr="00DD1F63" w:rsidRDefault="00BC17F8" w:rsidP="00377A09">
            <w:pPr>
              <w:spacing w:after="0" w:line="240" w:lineRule="auto"/>
              <w:ind w:left="356"/>
              <w:jc w:val="left"/>
              <w:rPr>
                <w:rFonts w:ascii="Times New Roman" w:hAnsi="Times New Roman" w:cs="Times New Roman"/>
                <w:sz w:val="21"/>
                <w:szCs w:val="21"/>
              </w:rPr>
            </w:pPr>
            <w:r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 xml:space="preserve">Week 24 </w:t>
            </w:r>
          </w:p>
        </w:tc>
        <w:tc>
          <w:tcPr>
            <w:tcW w:w="1085" w:type="pct"/>
            <w:tcBorders>
              <w:top w:val="single" w:sz="4" w:space="0" w:color="000000"/>
              <w:left w:val="nil"/>
              <w:bottom w:val="single" w:sz="4" w:space="0" w:color="000000"/>
              <w:right w:val="single" w:sz="4" w:space="0" w:color="000000"/>
            </w:tcBorders>
          </w:tcPr>
          <w:p w14:paraId="53AF2843"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01A866B7" w14:textId="45EC9C71"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8%</w:t>
            </w:r>
          </w:p>
        </w:tc>
        <w:tc>
          <w:tcPr>
            <w:tcW w:w="1537" w:type="pct"/>
            <w:tcBorders>
              <w:top w:val="single" w:sz="4" w:space="0" w:color="000000"/>
              <w:left w:val="single" w:sz="4" w:space="0" w:color="000000"/>
              <w:bottom w:val="single" w:sz="4" w:space="0" w:color="000000"/>
              <w:right w:val="single" w:sz="4" w:space="0" w:color="000000"/>
            </w:tcBorders>
            <w:vAlign w:val="center"/>
          </w:tcPr>
          <w:p w14:paraId="34791BD3" w14:textId="213A7275"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24%*</w:t>
            </w:r>
          </w:p>
        </w:tc>
      </w:tr>
    </w:tbl>
    <w:p w14:paraId="0E0C0FF3" w14:textId="5AB6C54D" w:rsidR="005D2650" w:rsidRPr="00DD1F63" w:rsidRDefault="00CA72FF" w:rsidP="00377A09">
      <w:pPr>
        <w:spacing w:after="0" w:line="240" w:lineRule="auto"/>
        <w:ind w:left="416" w:right="-93" w:firstLine="0"/>
        <w:jc w:val="left"/>
        <w:rPr>
          <w:rFonts w:ascii="Times New Roman" w:hAnsi="Times New Roman" w:cs="Times New Roman"/>
          <w:szCs w:val="20"/>
        </w:rPr>
      </w:pPr>
      <w:r w:rsidRPr="00DD1F63">
        <w:rPr>
          <w:rFonts w:ascii="Times New Roman" w:hAnsi="Times New Roman" w:cs="Times New Roman"/>
          <w:szCs w:val="20"/>
        </w:rPr>
        <w:t xml:space="preserve">* Statistically significant at p&lt;0.001 for all comparisons between </w:t>
      </w:r>
      <w:r w:rsidR="00D2612B" w:rsidRPr="00DD1F63">
        <w:rPr>
          <w:rFonts w:ascii="Times New Roman" w:hAnsi="Times New Roman" w:cs="Times New Roman"/>
          <w:szCs w:val="20"/>
        </w:rPr>
        <w:t>adalimumab</w:t>
      </w:r>
      <w:r w:rsidRPr="00DD1F63">
        <w:rPr>
          <w:rFonts w:ascii="Times New Roman" w:hAnsi="Times New Roman" w:cs="Times New Roman"/>
          <w:szCs w:val="20"/>
        </w:rPr>
        <w:t xml:space="preserve"> and placebo at Weeks 12 and 24 </w:t>
      </w:r>
    </w:p>
    <w:p w14:paraId="48F6F477" w14:textId="336F51D9" w:rsidR="006B7C8E" w:rsidRPr="00DD1F63" w:rsidRDefault="00CA72FF" w:rsidP="00377A09">
      <w:pPr>
        <w:spacing w:after="0" w:line="240" w:lineRule="auto"/>
        <w:ind w:left="426" w:right="1855"/>
        <w:jc w:val="left"/>
        <w:rPr>
          <w:rFonts w:ascii="Times New Roman" w:hAnsi="Times New Roman" w:cs="Times New Roman"/>
          <w:szCs w:val="20"/>
        </w:rPr>
      </w:pPr>
      <w:proofErr w:type="spellStart"/>
      <w:proofErr w:type="gramStart"/>
      <w:r w:rsidRPr="00DD1F63">
        <w:rPr>
          <w:rFonts w:ascii="Times New Roman" w:hAnsi="Times New Roman" w:cs="Times New Roman"/>
          <w:szCs w:val="20"/>
          <w:vertAlign w:val="superscript"/>
        </w:rPr>
        <w:t>a</w:t>
      </w:r>
      <w:proofErr w:type="spellEnd"/>
      <w:proofErr w:type="gramEnd"/>
      <w:r w:rsidRPr="00DD1F63">
        <w:rPr>
          <w:rFonts w:ascii="Times New Roman" w:hAnsi="Times New Roman" w:cs="Times New Roman"/>
          <w:szCs w:val="20"/>
        </w:rPr>
        <w:t xml:space="preserve"> Assessments in Ankylosing Spondylitis </w:t>
      </w:r>
    </w:p>
    <w:p w14:paraId="450D4D9A"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eastAsia="Times New Roman" w:hAnsi="Times New Roman" w:cs="Times New Roman"/>
          <w:sz w:val="18"/>
        </w:rPr>
        <w:t xml:space="preserve"> </w:t>
      </w:r>
    </w:p>
    <w:p w14:paraId="2A66D4A7" w14:textId="30BC059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 low level of disease activity (defined as a value &lt;20 [on a scale of 0-100 mm] in each of the four ASAS response parameters) was achieved at 24 weeks in 22% of </w:t>
      </w:r>
      <w:r w:rsidR="00D2612B" w:rsidRPr="00DD1F63">
        <w:rPr>
          <w:rFonts w:ascii="Times New Roman" w:hAnsi="Times New Roman" w:cs="Times New Roman"/>
          <w:sz w:val="22"/>
        </w:rPr>
        <w:t>adalimumab</w:t>
      </w:r>
      <w:r w:rsidRPr="00DD1F63">
        <w:rPr>
          <w:rFonts w:ascii="Times New Roman" w:hAnsi="Times New Roman" w:cs="Times New Roman"/>
          <w:sz w:val="22"/>
        </w:rPr>
        <w:t>-treated patients vs. 6% in placebo-treated patients (p&lt;0.001).</w:t>
      </w:r>
    </w:p>
    <w:p w14:paraId="03FC9F93" w14:textId="77777777" w:rsidR="00191C7F" w:rsidRPr="00DD1F63" w:rsidRDefault="00191C7F" w:rsidP="00377A09">
      <w:pPr>
        <w:spacing w:after="0" w:line="240" w:lineRule="auto"/>
        <w:ind w:left="426" w:right="375"/>
        <w:jc w:val="left"/>
        <w:rPr>
          <w:rFonts w:ascii="Times New Roman" w:hAnsi="Times New Roman" w:cs="Times New Roman"/>
        </w:rPr>
      </w:pPr>
    </w:p>
    <w:tbl>
      <w:tblPr>
        <w:tblStyle w:val="TableGrid1"/>
        <w:tblW w:w="8592" w:type="dxa"/>
        <w:tblInd w:w="421" w:type="dxa"/>
        <w:tblCellMar>
          <w:left w:w="57" w:type="dxa"/>
          <w:right w:w="61" w:type="dxa"/>
        </w:tblCellMar>
        <w:tblLook w:val="04A0" w:firstRow="1" w:lastRow="0" w:firstColumn="1" w:lastColumn="0" w:noHBand="0" w:noVBand="1"/>
      </w:tblPr>
      <w:tblGrid>
        <w:gridCol w:w="4394"/>
        <w:gridCol w:w="1134"/>
        <w:gridCol w:w="1134"/>
        <w:gridCol w:w="965"/>
        <w:gridCol w:w="965"/>
      </w:tblGrid>
      <w:tr w:rsidR="006B7C8E" w:rsidRPr="00DD1F63" w14:paraId="77690C26" w14:textId="77777777" w:rsidTr="00191C7F">
        <w:trPr>
          <w:trHeight w:val="96"/>
        </w:trPr>
        <w:tc>
          <w:tcPr>
            <w:tcW w:w="8592" w:type="dxa"/>
            <w:gridSpan w:val="5"/>
            <w:tcBorders>
              <w:top w:val="single" w:sz="4" w:space="0" w:color="000000"/>
              <w:left w:val="single" w:sz="4" w:space="0" w:color="000000"/>
              <w:bottom w:val="single" w:sz="4" w:space="0" w:color="000000"/>
              <w:right w:val="single" w:sz="4" w:space="0" w:color="000000"/>
            </w:tcBorders>
          </w:tcPr>
          <w:p w14:paraId="45F8DDFD" w14:textId="534954D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6</w:t>
            </w:r>
            <w:r w:rsidRPr="00DD1F63">
              <w:rPr>
                <w:rFonts w:ascii="Times New Roman" w:hAnsi="Times New Roman" w:cs="Times New Roman"/>
                <w:b/>
                <w:sz w:val="21"/>
                <w:szCs w:val="21"/>
              </w:rPr>
              <w:t xml:space="preserve">: Components of </w:t>
            </w:r>
            <w:r w:rsidR="00D2612B"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nkylosing </w:t>
            </w:r>
            <w:r w:rsidR="00D2612B"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pondylitis </w:t>
            </w:r>
            <w:r w:rsidR="00D2612B" w:rsidRPr="00DD1F63">
              <w:rPr>
                <w:rFonts w:ascii="Times New Roman" w:hAnsi="Times New Roman" w:cs="Times New Roman"/>
                <w:b/>
                <w:sz w:val="21"/>
                <w:szCs w:val="21"/>
              </w:rPr>
              <w:t>d</w:t>
            </w:r>
            <w:r w:rsidRPr="00DD1F63">
              <w:rPr>
                <w:rFonts w:ascii="Times New Roman" w:hAnsi="Times New Roman" w:cs="Times New Roman"/>
                <w:b/>
                <w:sz w:val="21"/>
                <w:szCs w:val="21"/>
              </w:rPr>
              <w:t xml:space="preserve">isease </w:t>
            </w:r>
            <w:r w:rsidR="00D2612B"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ctivity </w:t>
            </w:r>
          </w:p>
        </w:tc>
      </w:tr>
      <w:tr w:rsidR="006B7C8E" w:rsidRPr="00DD1F63" w14:paraId="6059C847" w14:textId="77777777" w:rsidTr="00191C7F">
        <w:trPr>
          <w:trHeight w:val="12"/>
        </w:trPr>
        <w:tc>
          <w:tcPr>
            <w:tcW w:w="4394" w:type="dxa"/>
            <w:tcBorders>
              <w:top w:val="single" w:sz="4" w:space="0" w:color="000000"/>
              <w:left w:val="single" w:sz="4" w:space="0" w:color="000000"/>
              <w:bottom w:val="single" w:sz="4" w:space="0" w:color="000000"/>
              <w:right w:val="single" w:sz="4" w:space="0" w:color="000000"/>
            </w:tcBorders>
          </w:tcPr>
          <w:p w14:paraId="1403F476"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A866DD0" w14:textId="77777777" w:rsidR="00191C7F"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Placebo </w:t>
            </w:r>
          </w:p>
          <w:p w14:paraId="2513B979" w14:textId="66B50B7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N=107</w:t>
            </w: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14:paraId="15980137" w14:textId="1200E49D" w:rsidR="00191C7F" w:rsidRPr="00DD1F63" w:rsidRDefault="00D2612B"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Adalimumab </w:t>
            </w:r>
          </w:p>
          <w:p w14:paraId="3CE60BA7" w14:textId="222F8F4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N=208</w:t>
            </w:r>
          </w:p>
        </w:tc>
      </w:tr>
      <w:tr w:rsidR="006B7C8E" w:rsidRPr="00DD1F63" w14:paraId="0ABAC8C0"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6F654373"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9960E" w14:textId="7501AAA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Baseline mean</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E538E" w14:textId="5BFC01D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 mean</w:t>
            </w:r>
          </w:p>
        </w:tc>
        <w:tc>
          <w:tcPr>
            <w:tcW w:w="965" w:type="dxa"/>
            <w:tcBorders>
              <w:top w:val="single" w:sz="4" w:space="0" w:color="000000"/>
              <w:left w:val="single" w:sz="4" w:space="0" w:color="000000"/>
              <w:bottom w:val="single" w:sz="4" w:space="0" w:color="000000"/>
              <w:right w:val="single" w:sz="4" w:space="0" w:color="000000"/>
            </w:tcBorders>
            <w:vAlign w:val="center"/>
          </w:tcPr>
          <w:p w14:paraId="45B83877" w14:textId="6DE03C3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 mean</w:t>
            </w:r>
          </w:p>
        </w:tc>
        <w:tc>
          <w:tcPr>
            <w:tcW w:w="965" w:type="dxa"/>
            <w:tcBorders>
              <w:top w:val="single" w:sz="4" w:space="0" w:color="000000"/>
              <w:left w:val="single" w:sz="4" w:space="0" w:color="000000"/>
              <w:bottom w:val="single" w:sz="4" w:space="0" w:color="000000"/>
              <w:right w:val="single" w:sz="4" w:space="0" w:color="000000"/>
            </w:tcBorders>
            <w:vAlign w:val="center"/>
          </w:tcPr>
          <w:p w14:paraId="475B0AD1" w14:textId="4E74293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 mean</w:t>
            </w:r>
          </w:p>
        </w:tc>
      </w:tr>
      <w:tr w:rsidR="006B7C8E" w:rsidRPr="00DD1F63" w14:paraId="5FA61609"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3AB4128A"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ASAS 20 Response Criteria*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9381917" w14:textId="595EAF73"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2762D7" w14:textId="207DA1A6"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A07C9FE" w14:textId="0EAF331A"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27DCE0BA" w14:textId="72481F18" w:rsidR="006B7C8E" w:rsidRPr="00DD1F63" w:rsidRDefault="006B7C8E" w:rsidP="00377A09">
            <w:pPr>
              <w:spacing w:after="0" w:line="240" w:lineRule="auto"/>
              <w:ind w:left="0" w:firstLine="0"/>
              <w:jc w:val="left"/>
              <w:rPr>
                <w:rFonts w:ascii="Times New Roman" w:hAnsi="Times New Roman" w:cs="Times New Roman"/>
                <w:sz w:val="21"/>
                <w:szCs w:val="21"/>
              </w:rPr>
            </w:pPr>
          </w:p>
        </w:tc>
      </w:tr>
      <w:tr w:rsidR="006B7C8E" w:rsidRPr="00DD1F63" w14:paraId="4B4526A9"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vAlign w:val="bottom"/>
          </w:tcPr>
          <w:p w14:paraId="2FF7683D" w14:textId="5EDCC25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Patient’s Global Assessment of Disease</w:t>
            </w:r>
            <w:r w:rsidR="00D2612B" w:rsidRPr="00DD1F63">
              <w:rPr>
                <w:rFonts w:ascii="Times New Roman" w:hAnsi="Times New Roman" w:cs="Times New Roman"/>
                <w:sz w:val="21"/>
                <w:szCs w:val="21"/>
              </w:rPr>
              <w:t xml:space="preserve"> </w:t>
            </w:r>
            <w:proofErr w:type="spellStart"/>
            <w:r w:rsidRPr="00DD1F63">
              <w:rPr>
                <w:rFonts w:ascii="Times New Roman" w:hAnsi="Times New Roman" w:cs="Times New Roman"/>
                <w:sz w:val="21"/>
                <w:szCs w:val="21"/>
              </w:rPr>
              <w:t>Activity</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6A987" w14:textId="53DDD3D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27C52" w14:textId="00144C7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60</w:t>
            </w:r>
          </w:p>
        </w:tc>
        <w:tc>
          <w:tcPr>
            <w:tcW w:w="965" w:type="dxa"/>
            <w:tcBorders>
              <w:top w:val="single" w:sz="4" w:space="0" w:color="000000"/>
              <w:left w:val="single" w:sz="4" w:space="0" w:color="000000"/>
              <w:bottom w:val="single" w:sz="4" w:space="0" w:color="000000"/>
              <w:right w:val="single" w:sz="4" w:space="0" w:color="000000"/>
            </w:tcBorders>
            <w:vAlign w:val="center"/>
          </w:tcPr>
          <w:p w14:paraId="1AE81089" w14:textId="25C5A8D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63</w:t>
            </w:r>
          </w:p>
        </w:tc>
        <w:tc>
          <w:tcPr>
            <w:tcW w:w="965" w:type="dxa"/>
            <w:tcBorders>
              <w:top w:val="single" w:sz="4" w:space="0" w:color="000000"/>
              <w:left w:val="single" w:sz="4" w:space="0" w:color="000000"/>
              <w:bottom w:val="single" w:sz="4" w:space="0" w:color="000000"/>
              <w:right w:val="single" w:sz="4" w:space="0" w:color="000000"/>
            </w:tcBorders>
            <w:vAlign w:val="center"/>
          </w:tcPr>
          <w:p w14:paraId="53CF1AD4" w14:textId="2AEB7B3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38</w:t>
            </w:r>
          </w:p>
        </w:tc>
      </w:tr>
      <w:tr w:rsidR="006B7C8E" w:rsidRPr="00DD1F63" w14:paraId="51A10AA7"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36E8ED99"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Total back pain </w:t>
            </w:r>
          </w:p>
        </w:tc>
        <w:tc>
          <w:tcPr>
            <w:tcW w:w="1134" w:type="dxa"/>
            <w:tcBorders>
              <w:top w:val="single" w:sz="4" w:space="0" w:color="000000"/>
              <w:left w:val="single" w:sz="4" w:space="0" w:color="000000"/>
              <w:bottom w:val="single" w:sz="4" w:space="0" w:color="000000"/>
              <w:right w:val="single" w:sz="4" w:space="0" w:color="000000"/>
            </w:tcBorders>
            <w:vAlign w:val="center"/>
          </w:tcPr>
          <w:p w14:paraId="20EFD602" w14:textId="26E2505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2BF1D2E2" w14:textId="5331A46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58</w:t>
            </w:r>
          </w:p>
        </w:tc>
        <w:tc>
          <w:tcPr>
            <w:tcW w:w="965" w:type="dxa"/>
            <w:tcBorders>
              <w:top w:val="single" w:sz="4" w:space="0" w:color="000000"/>
              <w:left w:val="single" w:sz="4" w:space="0" w:color="000000"/>
              <w:bottom w:val="single" w:sz="4" w:space="0" w:color="000000"/>
              <w:right w:val="single" w:sz="4" w:space="0" w:color="000000"/>
            </w:tcBorders>
            <w:vAlign w:val="center"/>
          </w:tcPr>
          <w:p w14:paraId="7733FEDE" w14:textId="327DBC9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65</w:t>
            </w:r>
          </w:p>
        </w:tc>
        <w:tc>
          <w:tcPr>
            <w:tcW w:w="965" w:type="dxa"/>
            <w:tcBorders>
              <w:top w:val="single" w:sz="4" w:space="0" w:color="000000"/>
              <w:left w:val="single" w:sz="4" w:space="0" w:color="000000"/>
              <w:bottom w:val="single" w:sz="4" w:space="0" w:color="000000"/>
              <w:right w:val="single" w:sz="4" w:space="0" w:color="000000"/>
            </w:tcBorders>
            <w:vAlign w:val="center"/>
          </w:tcPr>
          <w:p w14:paraId="20C57187" w14:textId="1CB9DD2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37</w:t>
            </w:r>
          </w:p>
        </w:tc>
      </w:tr>
      <w:tr w:rsidR="006B7C8E" w:rsidRPr="00DD1F63" w14:paraId="3760476F"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2A2294DE"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Inflammation</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B5C738" w14:textId="21650BC3"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57A85628" w14:textId="3C810A5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w:t>
            </w:r>
          </w:p>
        </w:tc>
        <w:tc>
          <w:tcPr>
            <w:tcW w:w="965" w:type="dxa"/>
            <w:tcBorders>
              <w:top w:val="single" w:sz="4" w:space="0" w:color="000000"/>
              <w:left w:val="single" w:sz="4" w:space="0" w:color="000000"/>
              <w:bottom w:val="single" w:sz="4" w:space="0" w:color="000000"/>
              <w:right w:val="single" w:sz="4" w:space="0" w:color="000000"/>
            </w:tcBorders>
            <w:vAlign w:val="center"/>
          </w:tcPr>
          <w:p w14:paraId="6FFE19D0" w14:textId="3D765E8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965" w:type="dxa"/>
            <w:tcBorders>
              <w:top w:val="single" w:sz="4" w:space="0" w:color="000000"/>
              <w:left w:val="single" w:sz="4" w:space="0" w:color="000000"/>
              <w:bottom w:val="single" w:sz="4" w:space="0" w:color="000000"/>
              <w:right w:val="single" w:sz="4" w:space="0" w:color="000000"/>
            </w:tcBorders>
            <w:vAlign w:val="center"/>
          </w:tcPr>
          <w:p w14:paraId="0231463D" w14:textId="01165B3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3.6</w:t>
            </w:r>
          </w:p>
        </w:tc>
      </w:tr>
      <w:tr w:rsidR="006B7C8E" w:rsidRPr="00DD1F63" w14:paraId="5B574EE4"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03A14CCA"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BASFI</w:t>
            </w:r>
            <w:r w:rsidRPr="00DD1F63">
              <w:rPr>
                <w:rFonts w:ascii="Times New Roman" w:hAnsi="Times New Roman" w:cs="Times New Roman"/>
                <w:sz w:val="21"/>
                <w:szCs w:val="21"/>
                <w:vertAlign w:val="superscript"/>
              </w:rPr>
              <w:t>c</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E0B953B" w14:textId="51B5D02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w:t>
            </w:r>
          </w:p>
        </w:tc>
        <w:tc>
          <w:tcPr>
            <w:tcW w:w="1134" w:type="dxa"/>
            <w:tcBorders>
              <w:top w:val="single" w:sz="4" w:space="0" w:color="000000"/>
              <w:left w:val="single" w:sz="4" w:space="0" w:color="000000"/>
              <w:bottom w:val="single" w:sz="4" w:space="0" w:color="000000"/>
              <w:right w:val="single" w:sz="4" w:space="0" w:color="000000"/>
            </w:tcBorders>
            <w:vAlign w:val="center"/>
          </w:tcPr>
          <w:p w14:paraId="7D68ECF2" w14:textId="46FE4D98"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51</w:t>
            </w:r>
          </w:p>
        </w:tc>
        <w:tc>
          <w:tcPr>
            <w:tcW w:w="965" w:type="dxa"/>
            <w:tcBorders>
              <w:top w:val="single" w:sz="4" w:space="0" w:color="000000"/>
              <w:left w:val="single" w:sz="4" w:space="0" w:color="000000"/>
              <w:bottom w:val="single" w:sz="4" w:space="0" w:color="000000"/>
              <w:right w:val="single" w:sz="4" w:space="0" w:color="000000"/>
            </w:tcBorders>
            <w:vAlign w:val="center"/>
          </w:tcPr>
          <w:p w14:paraId="3D56EB10" w14:textId="24F389B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52</w:t>
            </w:r>
          </w:p>
        </w:tc>
        <w:tc>
          <w:tcPr>
            <w:tcW w:w="965" w:type="dxa"/>
            <w:tcBorders>
              <w:top w:val="single" w:sz="4" w:space="0" w:color="000000"/>
              <w:left w:val="single" w:sz="4" w:space="0" w:color="000000"/>
              <w:bottom w:val="single" w:sz="4" w:space="0" w:color="000000"/>
              <w:right w:val="single" w:sz="4" w:space="0" w:color="000000"/>
            </w:tcBorders>
            <w:vAlign w:val="center"/>
          </w:tcPr>
          <w:p w14:paraId="4A84950F" w14:textId="2DF75F5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34</w:t>
            </w:r>
          </w:p>
        </w:tc>
      </w:tr>
      <w:tr w:rsidR="006B7C8E" w:rsidRPr="00DD1F63" w14:paraId="6E7043F2"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3F7A76FE"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BASDAI</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vertAlign w:val="superscript"/>
              </w:rPr>
              <w:t xml:space="preserve"> </w:t>
            </w:r>
            <w:r w:rsidRPr="00DD1F63">
              <w:rPr>
                <w:rFonts w:ascii="Times New Roman" w:hAnsi="Times New Roman" w:cs="Times New Roman"/>
                <w:sz w:val="21"/>
                <w:szCs w:val="21"/>
              </w:rPr>
              <w:t xml:space="preserve">score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33B2E8" w14:textId="0610697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26356CE" w14:textId="3EABA9B1"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5.5</w:t>
            </w:r>
          </w:p>
        </w:tc>
        <w:tc>
          <w:tcPr>
            <w:tcW w:w="965" w:type="dxa"/>
            <w:tcBorders>
              <w:top w:val="single" w:sz="4" w:space="0" w:color="000000"/>
              <w:left w:val="single" w:sz="4" w:space="0" w:color="000000"/>
              <w:bottom w:val="single" w:sz="4" w:space="0" w:color="000000"/>
              <w:right w:val="single" w:sz="4" w:space="0" w:color="000000"/>
            </w:tcBorders>
            <w:vAlign w:val="center"/>
          </w:tcPr>
          <w:p w14:paraId="48060596" w14:textId="5A99B780"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6.3</w:t>
            </w:r>
          </w:p>
        </w:tc>
        <w:tc>
          <w:tcPr>
            <w:tcW w:w="965" w:type="dxa"/>
            <w:tcBorders>
              <w:top w:val="single" w:sz="4" w:space="0" w:color="000000"/>
              <w:left w:val="single" w:sz="4" w:space="0" w:color="000000"/>
              <w:bottom w:val="single" w:sz="4" w:space="0" w:color="000000"/>
              <w:right w:val="single" w:sz="4" w:space="0" w:color="000000"/>
            </w:tcBorders>
            <w:vAlign w:val="center"/>
          </w:tcPr>
          <w:p w14:paraId="2A1122C9" w14:textId="56219F4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3.7</w:t>
            </w:r>
          </w:p>
        </w:tc>
      </w:tr>
      <w:tr w:rsidR="006B7C8E" w:rsidRPr="00DD1F63" w14:paraId="6DE9585C"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63EB8D54" w14:textId="77777777"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CRP</w:t>
            </w:r>
            <w:r w:rsidRPr="00DD1F63">
              <w:rPr>
                <w:rFonts w:ascii="Times New Roman" w:hAnsi="Times New Roman" w:cs="Times New Roman"/>
                <w:sz w:val="21"/>
                <w:szCs w:val="21"/>
                <w:vertAlign w:val="superscript"/>
              </w:rPr>
              <w:t>e</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9B771" w14:textId="62E8A20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F416B" w14:textId="119D306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2.0</w:t>
            </w:r>
          </w:p>
        </w:tc>
        <w:tc>
          <w:tcPr>
            <w:tcW w:w="965" w:type="dxa"/>
            <w:tcBorders>
              <w:top w:val="single" w:sz="4" w:space="0" w:color="000000"/>
              <w:left w:val="single" w:sz="4" w:space="0" w:color="000000"/>
              <w:bottom w:val="single" w:sz="4" w:space="0" w:color="000000"/>
              <w:right w:val="single" w:sz="4" w:space="0" w:color="000000"/>
            </w:tcBorders>
            <w:vAlign w:val="center"/>
          </w:tcPr>
          <w:p w14:paraId="2C1D77C5" w14:textId="56569FE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w:t>
            </w:r>
          </w:p>
        </w:tc>
        <w:tc>
          <w:tcPr>
            <w:tcW w:w="965" w:type="dxa"/>
            <w:tcBorders>
              <w:top w:val="single" w:sz="4" w:space="0" w:color="000000"/>
              <w:left w:val="single" w:sz="4" w:space="0" w:color="000000"/>
              <w:bottom w:val="single" w:sz="4" w:space="0" w:color="000000"/>
              <w:right w:val="single" w:sz="4" w:space="0" w:color="000000"/>
            </w:tcBorders>
            <w:vAlign w:val="center"/>
          </w:tcPr>
          <w:p w14:paraId="01888880" w14:textId="5442565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0.6</w:t>
            </w:r>
          </w:p>
        </w:tc>
      </w:tr>
    </w:tbl>
    <w:p w14:paraId="06747BB7" w14:textId="545FFCDB" w:rsidR="005D2650" w:rsidRPr="00DD1F63" w:rsidRDefault="00CA72FF" w:rsidP="00377A09">
      <w:pPr>
        <w:spacing w:after="0" w:line="240" w:lineRule="auto"/>
        <w:ind w:left="567" w:right="333" w:hanging="141"/>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Percent of subjects with at least a 20% and 10-unit improvement measured on a Visual Analog Scale (VAS) with 0 = “none” and 100 = “severe” </w:t>
      </w:r>
    </w:p>
    <w:p w14:paraId="1BC77D06" w14:textId="71F46DD9" w:rsidR="005D2650" w:rsidRPr="00DD1F63" w:rsidRDefault="00CA72FF" w:rsidP="00377A09">
      <w:pPr>
        <w:spacing w:after="0" w:line="240" w:lineRule="auto"/>
        <w:ind w:left="567" w:right="2742"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b </w:t>
      </w:r>
      <w:proofErr w:type="gramStart"/>
      <w:r w:rsidRPr="00DD1F63">
        <w:rPr>
          <w:rFonts w:ascii="Times New Roman" w:hAnsi="Times New Roman" w:cs="Times New Roman"/>
          <w:szCs w:val="20"/>
        </w:rPr>
        <w:t>mean</w:t>
      </w:r>
      <w:proofErr w:type="gramEnd"/>
      <w:r w:rsidRPr="00DD1F63">
        <w:rPr>
          <w:rFonts w:ascii="Times New Roman" w:hAnsi="Times New Roman" w:cs="Times New Roman"/>
          <w:szCs w:val="20"/>
        </w:rPr>
        <w:t xml:space="preserve"> of questions 5 and 6 of BASDAI (defined in ‘d’) </w:t>
      </w:r>
    </w:p>
    <w:p w14:paraId="00AD130D" w14:textId="3CA7D5CF" w:rsidR="005D2650" w:rsidRPr="00DD1F63" w:rsidRDefault="00CA72FF" w:rsidP="00377A09">
      <w:pPr>
        <w:tabs>
          <w:tab w:val="left" w:pos="3969"/>
        </w:tabs>
        <w:spacing w:after="0" w:line="240" w:lineRule="auto"/>
        <w:ind w:left="567" w:right="474"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c </w:t>
      </w:r>
      <w:r w:rsidRPr="00DD1F63">
        <w:rPr>
          <w:rFonts w:ascii="Times New Roman" w:hAnsi="Times New Roman" w:cs="Times New Roman"/>
          <w:szCs w:val="20"/>
        </w:rPr>
        <w:t xml:space="preserve">Bath Ankylosing Spondylitis Functional Index </w:t>
      </w:r>
    </w:p>
    <w:p w14:paraId="048F36F2" w14:textId="5E8C8874" w:rsidR="005D2650" w:rsidRPr="00DD1F63" w:rsidRDefault="00CA72FF" w:rsidP="00377A09">
      <w:pPr>
        <w:spacing w:after="0" w:line="240" w:lineRule="auto"/>
        <w:ind w:left="567" w:right="4018"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d </w:t>
      </w:r>
      <w:r w:rsidRPr="00DD1F63">
        <w:rPr>
          <w:rFonts w:ascii="Times New Roman" w:hAnsi="Times New Roman" w:cs="Times New Roman"/>
          <w:szCs w:val="20"/>
        </w:rPr>
        <w:t>Bath Ankylosing Spondylitis Disease Activity Index</w:t>
      </w:r>
    </w:p>
    <w:p w14:paraId="698BD07F" w14:textId="505BA361" w:rsidR="006B7C8E" w:rsidRPr="00DD1F63" w:rsidRDefault="00CA72FF" w:rsidP="00377A09">
      <w:pPr>
        <w:spacing w:after="0" w:line="240" w:lineRule="auto"/>
        <w:ind w:left="567" w:right="5232" w:hanging="141"/>
        <w:jc w:val="left"/>
        <w:rPr>
          <w:rFonts w:ascii="Times New Roman" w:hAnsi="Times New Roman" w:cs="Times New Roman"/>
          <w:szCs w:val="20"/>
        </w:rPr>
      </w:pPr>
      <w:r w:rsidRPr="00DD1F63">
        <w:rPr>
          <w:rFonts w:ascii="Times New Roman" w:hAnsi="Times New Roman" w:cs="Times New Roman"/>
          <w:szCs w:val="20"/>
          <w:vertAlign w:val="superscript"/>
        </w:rPr>
        <w:lastRenderedPageBreak/>
        <w:t xml:space="preserve">e </w:t>
      </w:r>
      <w:r w:rsidRPr="00DD1F63">
        <w:rPr>
          <w:rFonts w:ascii="Times New Roman" w:hAnsi="Times New Roman" w:cs="Times New Roman"/>
          <w:szCs w:val="20"/>
        </w:rPr>
        <w:t xml:space="preserve">C-Reactive Protein (mg/dL) </w:t>
      </w:r>
    </w:p>
    <w:p w14:paraId="33CA83CF" w14:textId="474F1328" w:rsidR="006B7C8E" w:rsidRPr="00DD1F63" w:rsidRDefault="00CA72FF" w:rsidP="00377A09">
      <w:pPr>
        <w:spacing w:after="0" w:line="240" w:lineRule="auto"/>
        <w:ind w:left="567" w:right="49" w:hanging="141"/>
        <w:jc w:val="left"/>
        <w:rPr>
          <w:rFonts w:ascii="Times New Roman" w:hAnsi="Times New Roman" w:cs="Times New Roman"/>
          <w:szCs w:val="20"/>
        </w:rPr>
      </w:pPr>
      <w:r w:rsidRPr="00DD1F63">
        <w:rPr>
          <w:rFonts w:ascii="Times New Roman" w:hAnsi="Times New Roman" w:cs="Times New Roman"/>
          <w:szCs w:val="20"/>
        </w:rPr>
        <w:t xml:space="preserve">* Statistically significant as p&lt;0.001 for all comparisons between </w:t>
      </w:r>
      <w:r w:rsidR="00BA3BAA" w:rsidRPr="00DD1F63">
        <w:rPr>
          <w:rFonts w:ascii="Times New Roman" w:hAnsi="Times New Roman" w:cs="Times New Roman"/>
          <w:szCs w:val="20"/>
        </w:rPr>
        <w:t>adalimumab</w:t>
      </w:r>
      <w:r w:rsidRPr="00DD1F63">
        <w:rPr>
          <w:rFonts w:ascii="Times New Roman" w:hAnsi="Times New Roman" w:cs="Times New Roman"/>
          <w:szCs w:val="20"/>
        </w:rPr>
        <w:t xml:space="preserve"> and placebo at Week 24 </w:t>
      </w:r>
    </w:p>
    <w:p w14:paraId="7B2F76B6"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3C2D55D1" w14:textId="3F9EC13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Results of this study were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seen in the second randomised trial (AS Study II or M03</w:t>
      </w:r>
      <w:r w:rsidR="00BD2B68" w:rsidRPr="00DD1F63">
        <w:rPr>
          <w:rFonts w:ascii="Times New Roman" w:hAnsi="Times New Roman" w:cs="Times New Roman"/>
          <w:sz w:val="22"/>
        </w:rPr>
        <w:t>-</w:t>
      </w:r>
      <w:r w:rsidRPr="00DD1F63">
        <w:rPr>
          <w:rFonts w:ascii="Times New Roman" w:hAnsi="Times New Roman" w:cs="Times New Roman"/>
          <w:sz w:val="22"/>
        </w:rPr>
        <w:t xml:space="preserve">606), a </w:t>
      </w:r>
      <w:proofErr w:type="spellStart"/>
      <w:r w:rsidRPr="00DD1F63">
        <w:rPr>
          <w:rFonts w:ascii="Times New Roman" w:hAnsi="Times New Roman" w:cs="Times New Roman"/>
          <w:sz w:val="22"/>
        </w:rPr>
        <w:t>multicenter</w:t>
      </w:r>
      <w:proofErr w:type="spellEnd"/>
      <w:r w:rsidRPr="00DD1F63">
        <w:rPr>
          <w:rFonts w:ascii="Times New Roman" w:hAnsi="Times New Roman" w:cs="Times New Roman"/>
          <w:sz w:val="22"/>
        </w:rPr>
        <w:t>,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w:t>
      </w:r>
      <w:proofErr w:type="spellStart"/>
      <w:r w:rsidRPr="00DD1F63">
        <w:rPr>
          <w:rFonts w:ascii="Times New Roman" w:hAnsi="Times New Roman" w:cs="Times New Roman"/>
          <w:sz w:val="22"/>
        </w:rPr>
        <w:t>ASQoL</w:t>
      </w:r>
      <w:proofErr w:type="spellEnd"/>
      <w:r w:rsidRPr="00DD1F63">
        <w:rPr>
          <w:rFonts w:ascii="Times New Roman" w:hAnsi="Times New Roman" w:cs="Times New Roman"/>
          <w:sz w:val="22"/>
        </w:rPr>
        <w:t xml:space="preserve">). The </w:t>
      </w:r>
      <w:r w:rsidR="00BA3BAA"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significantly greater improvement in SF-36 Physical Component Score (mean change: 6.93) compared to placebo-treated patients (mean change: 1.55; p&lt;0.001) at Week 12, which was maintained through Week 24. </w:t>
      </w:r>
    </w:p>
    <w:p w14:paraId="00068E3F" w14:textId="77777777" w:rsidR="005D2650" w:rsidRPr="00DD1F63" w:rsidRDefault="005D2650" w:rsidP="00377A09">
      <w:pPr>
        <w:spacing w:after="0" w:line="240" w:lineRule="auto"/>
        <w:ind w:left="426" w:right="375"/>
        <w:jc w:val="left"/>
        <w:rPr>
          <w:rFonts w:ascii="Times New Roman" w:hAnsi="Times New Roman" w:cs="Times New Roman"/>
          <w:sz w:val="22"/>
        </w:rPr>
      </w:pPr>
    </w:p>
    <w:p w14:paraId="0B288010" w14:textId="48684DF3" w:rsidR="005D2650"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Results from the </w:t>
      </w:r>
      <w:proofErr w:type="spellStart"/>
      <w:r w:rsidRPr="00DD1F63">
        <w:rPr>
          <w:rFonts w:ascii="Times New Roman" w:hAnsi="Times New Roman" w:cs="Times New Roman"/>
          <w:sz w:val="22"/>
        </w:rPr>
        <w:t>ASQoL</w:t>
      </w:r>
      <w:proofErr w:type="spellEnd"/>
      <w:r w:rsidRPr="00DD1F63">
        <w:rPr>
          <w:rFonts w:ascii="Times New Roman" w:hAnsi="Times New Roman" w:cs="Times New Roman"/>
          <w:sz w:val="22"/>
        </w:rPr>
        <w:t xml:space="preserve"> support these findings demonstrating improvement in overall quality of life. The </w:t>
      </w:r>
      <w:r w:rsidR="007A575D"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statistically significant improvement (mean </w:t>
      </w:r>
      <w:proofErr w:type="gramStart"/>
      <w:r w:rsidRPr="00DD1F63">
        <w:rPr>
          <w:rFonts w:ascii="Times New Roman" w:hAnsi="Times New Roman" w:cs="Times New Roman"/>
          <w:sz w:val="22"/>
        </w:rPr>
        <w:t>change:-</w:t>
      </w:r>
      <w:proofErr w:type="gramEnd"/>
      <w:r w:rsidRPr="00DD1F63">
        <w:rPr>
          <w:rFonts w:ascii="Times New Roman" w:hAnsi="Times New Roman" w:cs="Times New Roman"/>
          <w:sz w:val="22"/>
        </w:rPr>
        <w:t>3.15) compared to placebo-treated patients (mean change:-0.95; p&lt;0.001) at Week 12, which was maintained through Week 24.</w:t>
      </w:r>
    </w:p>
    <w:p w14:paraId="7ACD4148" w14:textId="1C28941F" w:rsidR="00F27814" w:rsidRPr="00DD1F63" w:rsidRDefault="00F27814" w:rsidP="00377A09">
      <w:pPr>
        <w:spacing w:after="0" w:line="240" w:lineRule="auto"/>
        <w:ind w:left="426" w:right="375"/>
        <w:jc w:val="left"/>
        <w:rPr>
          <w:rFonts w:ascii="Times New Roman" w:hAnsi="Times New Roman" w:cs="Times New Roman"/>
          <w:sz w:val="22"/>
        </w:rPr>
      </w:pPr>
    </w:p>
    <w:p w14:paraId="5BC73995" w14:textId="4C3B44FA" w:rsidR="003A288F" w:rsidRPr="00DD1F63" w:rsidRDefault="003A288F" w:rsidP="00377A09">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 xml:space="preserve">Clinical trials for </w:t>
      </w:r>
      <w:r w:rsidR="004E6CD9" w:rsidRPr="00DD1F63">
        <w:rPr>
          <w:rFonts w:ascii="Times New Roman" w:hAnsi="Times New Roman" w:cs="Times New Roman"/>
          <w:sz w:val="22"/>
          <w:u w:val="single"/>
        </w:rPr>
        <w:t>C</w:t>
      </w:r>
      <w:r w:rsidRPr="00DD1F63">
        <w:rPr>
          <w:rFonts w:ascii="Times New Roman" w:hAnsi="Times New Roman" w:cs="Times New Roman"/>
          <w:sz w:val="22"/>
          <w:u w:val="single"/>
        </w:rPr>
        <w:t xml:space="preserve">rohn’s </w:t>
      </w:r>
      <w:r w:rsidR="004E6CD9" w:rsidRPr="00DD1F63">
        <w:rPr>
          <w:rFonts w:ascii="Times New Roman" w:hAnsi="Times New Roman" w:cs="Times New Roman"/>
          <w:sz w:val="22"/>
          <w:u w:val="single"/>
        </w:rPr>
        <w:t>D</w:t>
      </w:r>
      <w:r w:rsidRPr="00DD1F63">
        <w:rPr>
          <w:rFonts w:ascii="Times New Roman" w:hAnsi="Times New Roman" w:cs="Times New Roman"/>
          <w:sz w:val="22"/>
          <w:u w:val="single"/>
        </w:rPr>
        <w:t>isease</w:t>
      </w:r>
    </w:p>
    <w:p w14:paraId="31209A96" w14:textId="628B469A" w:rsidR="003A288F" w:rsidRPr="00DD1F63" w:rsidRDefault="003A288F" w:rsidP="00377A09">
      <w:pPr>
        <w:spacing w:after="0" w:line="240" w:lineRule="auto"/>
        <w:ind w:left="426" w:right="375"/>
        <w:jc w:val="left"/>
        <w:rPr>
          <w:rFonts w:ascii="Times New Roman" w:hAnsi="Times New Roman" w:cs="Times New Roman"/>
          <w:sz w:val="22"/>
        </w:rPr>
      </w:pPr>
    </w:p>
    <w:p w14:paraId="142077E3" w14:textId="1727F88F" w:rsidR="003A288F" w:rsidRPr="00DD1F63" w:rsidRDefault="003A288F" w:rsidP="00377A09">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t>Adults</w:t>
      </w:r>
    </w:p>
    <w:p w14:paraId="598EFC5C" w14:textId="08F8B0A8" w:rsidR="003A288F" w:rsidRPr="00DD1F63" w:rsidRDefault="003A288F" w:rsidP="00377A09">
      <w:pPr>
        <w:spacing w:after="0" w:line="240" w:lineRule="auto"/>
        <w:ind w:left="426" w:right="375"/>
        <w:jc w:val="left"/>
        <w:rPr>
          <w:rFonts w:ascii="Times New Roman" w:hAnsi="Times New Roman" w:cs="Times New Roman"/>
          <w:sz w:val="22"/>
        </w:rPr>
      </w:pPr>
    </w:p>
    <w:p w14:paraId="479DD7C6" w14:textId="773A04A2" w:rsidR="003A288F" w:rsidRPr="00DD1F63" w:rsidRDefault="003A288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and efficacy of multiple doses of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were assessed in over 1500 patients with moderately to severely active Crohn’s disease (Crohn’s Disease Activity Index (CDAI) ≥ 220 and ≤ 450) in randomised, double-blind, placebo-controlled studies. Concomitant stable doses of </w:t>
      </w:r>
      <w:proofErr w:type="spellStart"/>
      <w:r w:rsidRPr="00DD1F63">
        <w:rPr>
          <w:rFonts w:ascii="Times New Roman" w:hAnsi="Times New Roman" w:cs="Times New Roman"/>
          <w:sz w:val="22"/>
        </w:rPr>
        <w:t>aminosalicylates</w:t>
      </w:r>
      <w:proofErr w:type="spellEnd"/>
      <w:r w:rsidRPr="00DD1F63">
        <w:rPr>
          <w:rFonts w:ascii="Times New Roman" w:hAnsi="Times New Roman" w:cs="Times New Roman"/>
          <w:sz w:val="22"/>
        </w:rPr>
        <w:t>, corticosteroids, and/or immunomodulatory agents were permitted and 80% of patients continued to receive at least one of these medications.</w:t>
      </w:r>
    </w:p>
    <w:p w14:paraId="6293A7D4" w14:textId="5E6C8B37" w:rsidR="003A288F" w:rsidRPr="00DD1F63" w:rsidRDefault="003A288F" w:rsidP="00377A09">
      <w:pPr>
        <w:spacing w:after="0" w:line="240" w:lineRule="auto"/>
        <w:ind w:left="426" w:right="375"/>
        <w:jc w:val="left"/>
        <w:rPr>
          <w:rFonts w:ascii="Times New Roman" w:hAnsi="Times New Roman" w:cs="Times New Roman"/>
          <w:sz w:val="22"/>
        </w:rPr>
      </w:pPr>
    </w:p>
    <w:p w14:paraId="0525A941" w14:textId="313D6B33" w:rsidR="003A288F" w:rsidRPr="00DD1F63" w:rsidRDefault="003A288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0 and 80 mg at Week 2, the 80/40 group received 80 mg at Week 0 and 40 mg at Week 2, and the 40/20 group received 40 mg at Week 0 and 20 mg at Week 2. In CD Study II, 325 patients who had lost response or were intolerant to infliximab were randomised to receive either 160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at Week 0 and 80 mg at Week 2, or placebo at Weeks 0 and 2.</w:t>
      </w:r>
    </w:p>
    <w:p w14:paraId="2CAE8316" w14:textId="5F6250B4" w:rsidR="003A288F" w:rsidRPr="00DD1F63" w:rsidRDefault="003A288F" w:rsidP="00377A09">
      <w:pPr>
        <w:spacing w:after="0" w:line="240" w:lineRule="auto"/>
        <w:ind w:left="426" w:right="375"/>
        <w:jc w:val="left"/>
        <w:rPr>
          <w:rFonts w:ascii="Times New Roman" w:hAnsi="Times New Roman" w:cs="Times New Roman"/>
          <w:sz w:val="22"/>
        </w:rPr>
      </w:pPr>
    </w:p>
    <w:p w14:paraId="59BEFDE7" w14:textId="22A69AC2" w:rsidR="003A288F" w:rsidRPr="00DD1F63" w:rsidRDefault="003A288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Maintenance of clinical remission was evaluated in a third study, CD Study III (M02-404). In CD Study III, 854 patients received open-label 80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0 and 40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2. Patients were then randomised at Week 4 to 40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fortnightly, 40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every week or placebo with a total study duration of 56 weeks. Patients in clinical response (decrease in CDAI ≥ 70) at Week 4 were stratified and analysed separately from those not in clinical response at Week 4. Corticosteroid taper was permitted after Week 8. Fistula healing was an important pre-determined secondary endpoint for this study.</w:t>
      </w:r>
    </w:p>
    <w:p w14:paraId="7D7CE58E" w14:textId="3B7F6528" w:rsidR="003A288F" w:rsidRPr="00DD1F63" w:rsidRDefault="003A288F" w:rsidP="00377A09">
      <w:pPr>
        <w:spacing w:after="0" w:line="240" w:lineRule="auto"/>
        <w:ind w:left="426" w:right="375"/>
        <w:jc w:val="left"/>
        <w:rPr>
          <w:rFonts w:ascii="Times New Roman" w:hAnsi="Times New Roman" w:cs="Times New Roman"/>
          <w:sz w:val="22"/>
        </w:rPr>
      </w:pPr>
    </w:p>
    <w:p w14:paraId="21589104" w14:textId="3ACFD440" w:rsidR="003A288F" w:rsidRPr="00DD1F63" w:rsidRDefault="003A288F" w:rsidP="00377A09">
      <w:pPr>
        <w:keepNext/>
        <w:spacing w:after="0" w:line="240" w:lineRule="auto"/>
        <w:ind w:left="425" w:right="374" w:hanging="11"/>
        <w:jc w:val="left"/>
        <w:rPr>
          <w:rFonts w:ascii="Times New Roman" w:hAnsi="Times New Roman" w:cs="Times New Roman"/>
          <w:i/>
          <w:iCs/>
          <w:sz w:val="22"/>
          <w:u w:val="single"/>
        </w:rPr>
      </w:pPr>
      <w:r w:rsidRPr="00DD1F63">
        <w:rPr>
          <w:rFonts w:ascii="Times New Roman" w:hAnsi="Times New Roman" w:cs="Times New Roman"/>
          <w:i/>
          <w:iCs/>
          <w:sz w:val="22"/>
          <w:u w:val="single"/>
        </w:rPr>
        <w:t>Clinical Results</w:t>
      </w:r>
    </w:p>
    <w:p w14:paraId="2AB2BC50" w14:textId="25EF1724" w:rsidR="003A288F" w:rsidRPr="00DD1F63" w:rsidRDefault="003A288F" w:rsidP="00377A09">
      <w:pPr>
        <w:keepNext/>
        <w:spacing w:after="0" w:line="240" w:lineRule="auto"/>
        <w:ind w:left="425" w:right="374" w:hanging="11"/>
        <w:jc w:val="left"/>
        <w:rPr>
          <w:rFonts w:ascii="Times New Roman" w:hAnsi="Times New Roman" w:cs="Times New Roman"/>
          <w:sz w:val="22"/>
        </w:rPr>
      </w:pPr>
    </w:p>
    <w:p w14:paraId="60577DE4" w14:textId="6D63EF45" w:rsidR="003A288F" w:rsidRPr="00DD1F63" w:rsidRDefault="003A288F" w:rsidP="00377A09">
      <w:pPr>
        <w:keepNext/>
        <w:spacing w:after="0" w:line="240" w:lineRule="auto"/>
        <w:ind w:left="425" w:right="374" w:hanging="11"/>
        <w:jc w:val="left"/>
        <w:rPr>
          <w:rFonts w:ascii="Times New Roman" w:hAnsi="Times New Roman" w:cs="Times New Roman"/>
          <w:sz w:val="22"/>
        </w:rPr>
      </w:pPr>
      <w:r w:rsidRPr="00DD1F63">
        <w:rPr>
          <w:rFonts w:ascii="Times New Roman" w:hAnsi="Times New Roman" w:cs="Times New Roman"/>
          <w:i/>
          <w:iCs/>
          <w:sz w:val="22"/>
        </w:rPr>
        <w:t>CD Study I / CD Study II</w:t>
      </w:r>
    </w:p>
    <w:p w14:paraId="79B53246" w14:textId="3756A95B" w:rsidR="003A288F" w:rsidRPr="00DD1F63" w:rsidRDefault="003A288F" w:rsidP="00377A09">
      <w:pPr>
        <w:keepNext/>
        <w:spacing w:after="0" w:line="240" w:lineRule="auto"/>
        <w:ind w:left="425" w:right="374" w:hanging="11"/>
        <w:jc w:val="left"/>
        <w:rPr>
          <w:rFonts w:ascii="Times New Roman" w:hAnsi="Times New Roman" w:cs="Times New Roman"/>
          <w:sz w:val="22"/>
        </w:rPr>
      </w:pPr>
    </w:p>
    <w:p w14:paraId="12ABE0B4" w14:textId="3ECE8C9F" w:rsidR="003A288F" w:rsidRPr="00DD1F63" w:rsidRDefault="003A288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 statistically significantly greater percentage of the groups treated with 160/80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achieved induction of clinical remission versus placebo at Week 4 regardless of whether the patients were TNF antagonist naïve (CD Study I) or had been previously exposed to infliximab (CD Study II) (see Table 1</w:t>
      </w:r>
      <w:r w:rsidR="00BD4FF7" w:rsidRPr="00DD1F63">
        <w:rPr>
          <w:rFonts w:ascii="Times New Roman" w:hAnsi="Times New Roman" w:cs="Times New Roman"/>
          <w:sz w:val="22"/>
        </w:rPr>
        <w:t>7</w:t>
      </w:r>
      <w:r w:rsidRPr="00DD1F63">
        <w:rPr>
          <w:rFonts w:ascii="Times New Roman" w:hAnsi="Times New Roman" w:cs="Times New Roman"/>
          <w:sz w:val="22"/>
        </w:rPr>
        <w:t>).</w:t>
      </w:r>
    </w:p>
    <w:p w14:paraId="08C31A36" w14:textId="3FD151D9" w:rsidR="003A288F" w:rsidRPr="00DD1F63" w:rsidRDefault="003A288F" w:rsidP="00377A09">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2814"/>
        <w:gridCol w:w="1039"/>
        <w:gridCol w:w="1637"/>
        <w:gridCol w:w="230"/>
        <w:gridCol w:w="1077"/>
        <w:gridCol w:w="2177"/>
      </w:tblGrid>
      <w:tr w:rsidR="00506E7D" w:rsidRPr="00DD1F63" w14:paraId="6BC17584" w14:textId="77777777" w:rsidTr="00B70E4E">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14:paraId="170A45F5" w14:textId="02A5DD21" w:rsidR="003A288F" w:rsidRPr="00DD1F63" w:rsidRDefault="003A288F" w:rsidP="00377A09">
            <w:pPr>
              <w:spacing w:after="0" w:line="240" w:lineRule="auto"/>
              <w:ind w:left="0" w:right="3" w:firstLine="0"/>
              <w:jc w:val="left"/>
              <w:rPr>
                <w:rFonts w:ascii="Times New Roman" w:hAnsi="Times New Roman" w:cs="Times New Roman"/>
                <w:sz w:val="22"/>
              </w:rPr>
            </w:pPr>
            <w:r w:rsidRPr="00DD1F63">
              <w:rPr>
                <w:rFonts w:ascii="Times New Roman" w:hAnsi="Times New Roman" w:cs="Times New Roman"/>
                <w:b/>
                <w:sz w:val="22"/>
              </w:rPr>
              <w:t>Table 1</w:t>
            </w:r>
            <w:r w:rsidR="00BD4FF7" w:rsidRPr="00DD1F63">
              <w:rPr>
                <w:rFonts w:ascii="Times New Roman" w:hAnsi="Times New Roman" w:cs="Times New Roman"/>
                <w:b/>
                <w:sz w:val="22"/>
              </w:rPr>
              <w:t>7</w:t>
            </w:r>
            <w:r w:rsidRPr="00DD1F63">
              <w:rPr>
                <w:rFonts w:ascii="Times New Roman" w:hAnsi="Times New Roman" w:cs="Times New Roman"/>
                <w:b/>
                <w:sz w:val="22"/>
              </w:rPr>
              <w:t xml:space="preserve">: Induction of Clinical Remission and Response (Percent of Patients) </w:t>
            </w:r>
          </w:p>
        </w:tc>
      </w:tr>
      <w:tr w:rsidR="00506E7D" w:rsidRPr="00DD1F63" w14:paraId="3265807C"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7CE64047" w14:textId="7777777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1491" w:type="pct"/>
            <w:gridSpan w:val="2"/>
            <w:tcBorders>
              <w:top w:val="single" w:sz="4" w:space="0" w:color="000000"/>
              <w:left w:val="single" w:sz="4" w:space="0" w:color="000000"/>
              <w:bottom w:val="single" w:sz="4" w:space="0" w:color="000000"/>
              <w:right w:val="single" w:sz="4" w:space="0" w:color="000000"/>
            </w:tcBorders>
          </w:tcPr>
          <w:p w14:paraId="283CDFA7" w14:textId="77777777" w:rsidR="003A288F" w:rsidRPr="00DD1F63" w:rsidRDefault="003A288F"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CD Study I </w:t>
            </w:r>
          </w:p>
        </w:tc>
        <w:tc>
          <w:tcPr>
            <w:tcW w:w="1941" w:type="pct"/>
            <w:gridSpan w:val="3"/>
            <w:tcBorders>
              <w:top w:val="single" w:sz="4" w:space="0" w:color="000000"/>
              <w:left w:val="single" w:sz="4" w:space="0" w:color="000000"/>
              <w:bottom w:val="single" w:sz="4" w:space="0" w:color="000000"/>
              <w:right w:val="single" w:sz="4" w:space="0" w:color="000000"/>
            </w:tcBorders>
          </w:tcPr>
          <w:p w14:paraId="425CD545" w14:textId="77777777" w:rsidR="003A288F" w:rsidRPr="00DD1F63" w:rsidRDefault="003A288F" w:rsidP="00377A09">
            <w:pPr>
              <w:spacing w:after="0" w:line="240" w:lineRule="auto"/>
              <w:ind w:left="1" w:firstLine="0"/>
              <w:jc w:val="left"/>
              <w:rPr>
                <w:rFonts w:ascii="Times New Roman" w:hAnsi="Times New Roman" w:cs="Times New Roman"/>
                <w:sz w:val="22"/>
              </w:rPr>
            </w:pPr>
            <w:r w:rsidRPr="00DD1F63">
              <w:rPr>
                <w:rFonts w:ascii="Times New Roman" w:hAnsi="Times New Roman" w:cs="Times New Roman"/>
                <w:b/>
                <w:sz w:val="22"/>
              </w:rPr>
              <w:t xml:space="preserve">CD Study II </w:t>
            </w:r>
          </w:p>
        </w:tc>
      </w:tr>
      <w:tr w:rsidR="00506E7D" w:rsidRPr="00DD1F63" w14:paraId="01C6A34E"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747590B7" w14:textId="77777777" w:rsidR="003A288F" w:rsidRPr="00DD1F63" w:rsidRDefault="003A288F" w:rsidP="00377A09">
            <w:pPr>
              <w:spacing w:after="0" w:line="240" w:lineRule="auto"/>
              <w:ind w:left="55"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579" w:type="pct"/>
            <w:tcBorders>
              <w:top w:val="single" w:sz="4" w:space="0" w:color="000000"/>
              <w:left w:val="single" w:sz="4" w:space="0" w:color="000000"/>
              <w:bottom w:val="single" w:sz="4" w:space="0" w:color="000000"/>
              <w:right w:val="single" w:sz="4" w:space="0" w:color="000000"/>
            </w:tcBorders>
          </w:tcPr>
          <w:p w14:paraId="5D3DB6B0"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 xml:space="preserve">Placebo </w:t>
            </w:r>
          </w:p>
          <w:p w14:paraId="239661AB" w14:textId="77777777" w:rsidR="003A288F" w:rsidRPr="00DD1F63" w:rsidRDefault="003A288F" w:rsidP="00377A09">
            <w:pPr>
              <w:spacing w:after="0" w:line="240" w:lineRule="auto"/>
              <w:ind w:left="7" w:firstLine="0"/>
              <w:jc w:val="left"/>
              <w:rPr>
                <w:rFonts w:ascii="Times New Roman" w:hAnsi="Times New Roman" w:cs="Times New Roman"/>
                <w:sz w:val="22"/>
              </w:rPr>
            </w:pPr>
            <w:r w:rsidRPr="00DD1F63">
              <w:rPr>
                <w:rFonts w:ascii="Times New Roman" w:hAnsi="Times New Roman" w:cs="Times New Roman"/>
                <w:b/>
                <w:sz w:val="22"/>
              </w:rPr>
              <w:t xml:space="preserve">N=74 </w:t>
            </w:r>
          </w:p>
        </w:tc>
        <w:tc>
          <w:tcPr>
            <w:tcW w:w="1040" w:type="pct"/>
            <w:gridSpan w:val="2"/>
            <w:tcBorders>
              <w:top w:val="single" w:sz="4" w:space="0" w:color="000000"/>
              <w:left w:val="single" w:sz="4" w:space="0" w:color="000000"/>
              <w:bottom w:val="single" w:sz="4" w:space="0" w:color="000000"/>
              <w:right w:val="single" w:sz="4" w:space="0" w:color="000000"/>
            </w:tcBorders>
          </w:tcPr>
          <w:p w14:paraId="5B2DADE4" w14:textId="7807CD7F" w:rsidR="003A288F" w:rsidRPr="00DD1F63" w:rsidRDefault="00910E5C"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3A288F" w:rsidRPr="00DD1F63">
              <w:rPr>
                <w:rFonts w:ascii="Times New Roman" w:hAnsi="Times New Roman" w:cs="Times New Roman"/>
                <w:b/>
                <w:sz w:val="22"/>
              </w:rPr>
              <w:t xml:space="preserve">160/80 mg </w:t>
            </w:r>
          </w:p>
          <w:p w14:paraId="0274FCB1" w14:textId="77777777" w:rsidR="003A288F" w:rsidRPr="00DD1F63" w:rsidRDefault="003A288F"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N=76 </w:t>
            </w:r>
          </w:p>
        </w:tc>
        <w:tc>
          <w:tcPr>
            <w:tcW w:w="600" w:type="pct"/>
            <w:tcBorders>
              <w:top w:val="single" w:sz="4" w:space="0" w:color="000000"/>
              <w:left w:val="single" w:sz="4" w:space="0" w:color="000000"/>
              <w:bottom w:val="single" w:sz="4" w:space="0" w:color="000000"/>
              <w:right w:val="single" w:sz="4" w:space="0" w:color="000000"/>
            </w:tcBorders>
          </w:tcPr>
          <w:p w14:paraId="5D0EC540" w14:textId="77777777" w:rsidR="003A288F" w:rsidRPr="00DD1F63" w:rsidRDefault="003A288F"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Placebo </w:t>
            </w:r>
          </w:p>
          <w:p w14:paraId="1AB215E0" w14:textId="77777777" w:rsidR="003A288F" w:rsidRPr="00DD1F63" w:rsidRDefault="003A288F"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N=166 </w:t>
            </w:r>
          </w:p>
        </w:tc>
        <w:tc>
          <w:tcPr>
            <w:tcW w:w="1212" w:type="pct"/>
            <w:tcBorders>
              <w:top w:val="single" w:sz="4" w:space="0" w:color="000000"/>
              <w:left w:val="single" w:sz="4" w:space="0" w:color="000000"/>
              <w:bottom w:val="single" w:sz="4" w:space="0" w:color="000000"/>
              <w:right w:val="single" w:sz="4" w:space="0" w:color="000000"/>
            </w:tcBorders>
          </w:tcPr>
          <w:p w14:paraId="12CA2CCD" w14:textId="77777777" w:rsidR="00780AF2" w:rsidRDefault="00910E5C" w:rsidP="00377A09">
            <w:pPr>
              <w:spacing w:after="0" w:line="240" w:lineRule="auto"/>
              <w:ind w:left="6" w:firstLine="0"/>
              <w:jc w:val="left"/>
              <w:rPr>
                <w:rFonts w:ascii="Times New Roman" w:hAnsi="Times New Roman" w:cs="Times New Roman"/>
                <w:b/>
                <w:sz w:val="22"/>
              </w:rPr>
            </w:pPr>
            <w:r w:rsidRPr="00DD1F63">
              <w:rPr>
                <w:rFonts w:ascii="Times New Roman" w:hAnsi="Times New Roman" w:cs="Times New Roman"/>
                <w:b/>
                <w:sz w:val="22"/>
              </w:rPr>
              <w:t xml:space="preserve">Adalimumab </w:t>
            </w:r>
          </w:p>
          <w:p w14:paraId="3CFDF2E4" w14:textId="0DE12EB9" w:rsidR="003A288F" w:rsidRPr="00DD1F63" w:rsidRDefault="003A288F"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160/80 mg </w:t>
            </w:r>
          </w:p>
          <w:p w14:paraId="755BD75D"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 xml:space="preserve">N=159 </w:t>
            </w:r>
          </w:p>
        </w:tc>
      </w:tr>
      <w:tr w:rsidR="00506E7D" w:rsidRPr="00DD1F63" w14:paraId="1C7A9660"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4B418C37" w14:textId="7777777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Week 4 </w:t>
            </w:r>
          </w:p>
        </w:tc>
        <w:tc>
          <w:tcPr>
            <w:tcW w:w="579" w:type="pct"/>
            <w:tcBorders>
              <w:top w:val="single" w:sz="4" w:space="0" w:color="000000"/>
              <w:left w:val="single" w:sz="4" w:space="0" w:color="000000"/>
              <w:bottom w:val="single" w:sz="4" w:space="0" w:color="000000"/>
              <w:right w:val="single" w:sz="4" w:space="0" w:color="000000"/>
            </w:tcBorders>
          </w:tcPr>
          <w:p w14:paraId="2CACEDC0" w14:textId="77777777" w:rsidR="003A288F" w:rsidRPr="00DD1F63" w:rsidRDefault="003A288F" w:rsidP="00377A09">
            <w:pPr>
              <w:spacing w:after="0" w:line="240" w:lineRule="auto"/>
              <w:ind w:left="1"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040" w:type="pct"/>
            <w:gridSpan w:val="2"/>
            <w:tcBorders>
              <w:top w:val="single" w:sz="4" w:space="0" w:color="000000"/>
              <w:left w:val="single" w:sz="4" w:space="0" w:color="000000"/>
              <w:bottom w:val="single" w:sz="4" w:space="0" w:color="000000"/>
              <w:right w:val="single" w:sz="4" w:space="0" w:color="000000"/>
            </w:tcBorders>
          </w:tcPr>
          <w:p w14:paraId="0129BB71" w14:textId="7777777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tcPr>
          <w:p w14:paraId="3908859D" w14:textId="7777777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212" w:type="pct"/>
            <w:tcBorders>
              <w:top w:val="single" w:sz="4" w:space="0" w:color="000000"/>
              <w:left w:val="single" w:sz="4" w:space="0" w:color="000000"/>
              <w:bottom w:val="single" w:sz="4" w:space="0" w:color="000000"/>
              <w:right w:val="single" w:sz="4" w:space="0" w:color="000000"/>
            </w:tcBorders>
          </w:tcPr>
          <w:p w14:paraId="16FAAE48" w14:textId="7777777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506E7D" w:rsidRPr="00DD1F63" w14:paraId="6BC78923"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60A08735" w14:textId="7777777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579" w:type="pct"/>
            <w:tcBorders>
              <w:top w:val="single" w:sz="4" w:space="0" w:color="000000"/>
              <w:left w:val="single" w:sz="4" w:space="0" w:color="000000"/>
              <w:bottom w:val="single" w:sz="4" w:space="0" w:color="000000"/>
              <w:right w:val="single" w:sz="4" w:space="0" w:color="000000"/>
            </w:tcBorders>
          </w:tcPr>
          <w:p w14:paraId="096FF484"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12% </w:t>
            </w:r>
          </w:p>
        </w:tc>
        <w:tc>
          <w:tcPr>
            <w:tcW w:w="1040" w:type="pct"/>
            <w:gridSpan w:val="2"/>
            <w:tcBorders>
              <w:top w:val="single" w:sz="4" w:space="0" w:color="000000"/>
              <w:left w:val="single" w:sz="4" w:space="0" w:color="000000"/>
              <w:bottom w:val="single" w:sz="4" w:space="0" w:color="000000"/>
              <w:right w:val="single" w:sz="4" w:space="0" w:color="000000"/>
            </w:tcBorders>
          </w:tcPr>
          <w:p w14:paraId="270433E3" w14:textId="77777777" w:rsidR="003A288F" w:rsidRPr="00DD1F63" w:rsidRDefault="003A288F"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36%</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tcPr>
          <w:p w14:paraId="67474D53"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7% </w:t>
            </w:r>
          </w:p>
        </w:tc>
        <w:tc>
          <w:tcPr>
            <w:tcW w:w="1212" w:type="pct"/>
            <w:tcBorders>
              <w:top w:val="single" w:sz="4" w:space="0" w:color="000000"/>
              <w:left w:val="single" w:sz="4" w:space="0" w:color="000000"/>
              <w:bottom w:val="single" w:sz="4" w:space="0" w:color="000000"/>
              <w:right w:val="single" w:sz="4" w:space="0" w:color="000000"/>
            </w:tcBorders>
          </w:tcPr>
          <w:p w14:paraId="356E5C65" w14:textId="77777777" w:rsidR="003A288F" w:rsidRPr="00DD1F63" w:rsidRDefault="003A288F" w:rsidP="00377A09">
            <w:pPr>
              <w:spacing w:after="0" w:line="240" w:lineRule="auto"/>
              <w:ind w:left="7" w:firstLine="0"/>
              <w:jc w:val="left"/>
              <w:rPr>
                <w:rFonts w:ascii="Times New Roman" w:hAnsi="Times New Roman" w:cs="Times New Roman"/>
                <w:sz w:val="22"/>
              </w:rPr>
            </w:pPr>
            <w:r w:rsidRPr="00DD1F63">
              <w:rPr>
                <w:rFonts w:ascii="Times New Roman" w:hAnsi="Times New Roman" w:cs="Times New Roman"/>
                <w:sz w:val="22"/>
              </w:rPr>
              <w:t>21%</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7AEE15B3"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03132F4E" w14:textId="7B85273A"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(CR-100) </w:t>
            </w:r>
          </w:p>
        </w:tc>
        <w:tc>
          <w:tcPr>
            <w:tcW w:w="579" w:type="pct"/>
            <w:tcBorders>
              <w:top w:val="single" w:sz="4" w:space="0" w:color="000000"/>
              <w:left w:val="single" w:sz="4" w:space="0" w:color="000000"/>
              <w:bottom w:val="single" w:sz="4" w:space="0" w:color="000000"/>
              <w:right w:val="single" w:sz="4" w:space="0" w:color="000000"/>
            </w:tcBorders>
            <w:vAlign w:val="center"/>
          </w:tcPr>
          <w:p w14:paraId="120A6428"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24% </w:t>
            </w:r>
          </w:p>
        </w:tc>
        <w:tc>
          <w:tcPr>
            <w:tcW w:w="1040" w:type="pct"/>
            <w:gridSpan w:val="2"/>
            <w:tcBorders>
              <w:top w:val="single" w:sz="4" w:space="0" w:color="000000"/>
              <w:left w:val="single" w:sz="4" w:space="0" w:color="000000"/>
              <w:bottom w:val="single" w:sz="4" w:space="0" w:color="000000"/>
              <w:right w:val="single" w:sz="4" w:space="0" w:color="000000"/>
            </w:tcBorders>
            <w:vAlign w:val="center"/>
          </w:tcPr>
          <w:p w14:paraId="33B11B71" w14:textId="77777777" w:rsidR="003A288F" w:rsidRPr="00DD1F63" w:rsidRDefault="003A288F"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49%</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vAlign w:val="center"/>
          </w:tcPr>
          <w:p w14:paraId="2C767E6A"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25% </w:t>
            </w:r>
          </w:p>
        </w:tc>
        <w:tc>
          <w:tcPr>
            <w:tcW w:w="1212" w:type="pct"/>
            <w:tcBorders>
              <w:top w:val="single" w:sz="4" w:space="0" w:color="000000"/>
              <w:left w:val="single" w:sz="4" w:space="0" w:color="000000"/>
              <w:bottom w:val="single" w:sz="4" w:space="0" w:color="000000"/>
              <w:right w:val="single" w:sz="4" w:space="0" w:color="000000"/>
            </w:tcBorders>
            <w:vAlign w:val="center"/>
          </w:tcPr>
          <w:p w14:paraId="58DC8378"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38%</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3D155887"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25250262" w14:textId="25C9B687" w:rsidR="003A288F" w:rsidRPr="00DD1F63" w:rsidRDefault="003A288F"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(CR-70) </w:t>
            </w:r>
          </w:p>
        </w:tc>
        <w:tc>
          <w:tcPr>
            <w:tcW w:w="579" w:type="pct"/>
            <w:tcBorders>
              <w:top w:val="single" w:sz="4" w:space="0" w:color="000000"/>
              <w:left w:val="single" w:sz="4" w:space="0" w:color="000000"/>
              <w:bottom w:val="single" w:sz="4" w:space="0" w:color="000000"/>
              <w:right w:val="single" w:sz="4" w:space="0" w:color="000000"/>
            </w:tcBorders>
            <w:vAlign w:val="center"/>
          </w:tcPr>
          <w:p w14:paraId="17D926E5"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34% </w:t>
            </w:r>
          </w:p>
        </w:tc>
        <w:tc>
          <w:tcPr>
            <w:tcW w:w="1040" w:type="pct"/>
            <w:gridSpan w:val="2"/>
            <w:tcBorders>
              <w:top w:val="single" w:sz="4" w:space="0" w:color="000000"/>
              <w:left w:val="single" w:sz="4" w:space="0" w:color="000000"/>
              <w:bottom w:val="single" w:sz="4" w:space="0" w:color="000000"/>
              <w:right w:val="single" w:sz="4" w:space="0" w:color="000000"/>
            </w:tcBorders>
            <w:vAlign w:val="center"/>
          </w:tcPr>
          <w:p w14:paraId="00B5E900" w14:textId="77777777" w:rsidR="003A288F" w:rsidRPr="00DD1F63" w:rsidRDefault="003A288F"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58%</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vAlign w:val="center"/>
          </w:tcPr>
          <w:p w14:paraId="5DB85541"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34% </w:t>
            </w:r>
          </w:p>
        </w:tc>
        <w:tc>
          <w:tcPr>
            <w:tcW w:w="1212" w:type="pct"/>
            <w:tcBorders>
              <w:top w:val="single" w:sz="4" w:space="0" w:color="000000"/>
              <w:left w:val="single" w:sz="4" w:space="0" w:color="000000"/>
              <w:bottom w:val="single" w:sz="4" w:space="0" w:color="000000"/>
              <w:right w:val="single" w:sz="4" w:space="0" w:color="000000"/>
            </w:tcBorders>
            <w:vAlign w:val="center"/>
          </w:tcPr>
          <w:p w14:paraId="03AB778F" w14:textId="77777777" w:rsidR="003A288F" w:rsidRPr="00DD1F63" w:rsidRDefault="003A288F"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52%</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bl>
    <w:p w14:paraId="3D93D646" w14:textId="77777777" w:rsidR="003A288F" w:rsidRPr="00DD1F63" w:rsidRDefault="003A288F"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Clinical remission is CDAI score &lt;150; clinical response (CR-100) is decrease in CDAI ≥ 100 points; clinical response (CR-70) is decrease in CDAI ≥ 70 points</w:t>
      </w:r>
    </w:p>
    <w:p w14:paraId="6B900681" w14:textId="098F6C3A" w:rsidR="003A288F" w:rsidRPr="00DD1F63" w:rsidRDefault="003A288F"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xml:space="preserve">All p-values are pairwise comparisons of proportions for </w:t>
      </w:r>
      <w:r w:rsidR="00910E5C" w:rsidRPr="00DD1F63">
        <w:rPr>
          <w:rFonts w:ascii="Times New Roman" w:hAnsi="Times New Roman" w:cs="Times New Roman"/>
          <w:szCs w:val="20"/>
        </w:rPr>
        <w:t xml:space="preserve">adalimumab </w:t>
      </w:r>
      <w:r w:rsidRPr="00DD1F63">
        <w:rPr>
          <w:rFonts w:ascii="Times New Roman" w:hAnsi="Times New Roman" w:cs="Times New Roman"/>
          <w:szCs w:val="20"/>
        </w:rPr>
        <w:t>vs. placebo</w:t>
      </w:r>
    </w:p>
    <w:p w14:paraId="0F568338" w14:textId="77777777" w:rsidR="003A288F" w:rsidRPr="00DD1F63" w:rsidRDefault="003A288F"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p&lt;0.001</w:t>
      </w:r>
    </w:p>
    <w:p w14:paraId="5C3DCF91" w14:textId="04F4B4AB" w:rsidR="003A288F" w:rsidRPr="00DD1F63" w:rsidRDefault="003A288F"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p&lt;0.01</w:t>
      </w:r>
    </w:p>
    <w:p w14:paraId="1958F53D" w14:textId="04C4E082" w:rsidR="003A288F" w:rsidRPr="00DD1F63" w:rsidRDefault="003A288F" w:rsidP="00377A09">
      <w:pPr>
        <w:spacing w:after="0" w:line="240" w:lineRule="auto"/>
        <w:ind w:left="426" w:right="375"/>
        <w:jc w:val="left"/>
        <w:rPr>
          <w:rFonts w:ascii="Times New Roman" w:hAnsi="Times New Roman" w:cs="Times New Roman"/>
          <w:sz w:val="22"/>
        </w:rPr>
      </w:pPr>
    </w:p>
    <w:p w14:paraId="0FE58950" w14:textId="7A4FC23D" w:rsidR="003A288F" w:rsidRPr="00DD1F63" w:rsidRDefault="003A288F" w:rsidP="00377A09">
      <w:pPr>
        <w:spacing w:after="0" w:line="240" w:lineRule="auto"/>
        <w:ind w:left="426" w:right="375"/>
        <w:jc w:val="left"/>
        <w:rPr>
          <w:rFonts w:ascii="Times New Roman" w:hAnsi="Times New Roman" w:cs="Times New Roman"/>
          <w:i/>
          <w:iCs/>
          <w:sz w:val="22"/>
        </w:rPr>
      </w:pPr>
      <w:r w:rsidRPr="00DD1F63">
        <w:rPr>
          <w:rFonts w:ascii="Times New Roman" w:hAnsi="Times New Roman" w:cs="Times New Roman"/>
          <w:i/>
          <w:iCs/>
          <w:sz w:val="22"/>
        </w:rPr>
        <w:t>CD Study III (M02-404)</w:t>
      </w:r>
    </w:p>
    <w:p w14:paraId="43EAB413" w14:textId="1E0B1698" w:rsidR="003A288F" w:rsidRPr="00DD1F63" w:rsidRDefault="003A288F" w:rsidP="00377A09">
      <w:pPr>
        <w:spacing w:after="0" w:line="240" w:lineRule="auto"/>
        <w:ind w:left="426" w:right="375"/>
        <w:jc w:val="left"/>
        <w:rPr>
          <w:rFonts w:ascii="Times New Roman" w:hAnsi="Times New Roman" w:cs="Times New Roman"/>
          <w:sz w:val="22"/>
        </w:rPr>
      </w:pPr>
    </w:p>
    <w:p w14:paraId="2A6E88F5" w14:textId="44096B8B" w:rsidR="003A288F" w:rsidRPr="00DD1F63" w:rsidRDefault="003A288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patients who were in clinical response at Week 4 achieved clinical remission in the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maintenance groups compared to patients in the placebo maintenance group. Additionally, statistically significantly greater proportions of patients receiving concomitant corticosteroids at baseline were in clinical remission and were able to discontinue corticosteroid use for at least 90 days in the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maintenance groups compared to patients in the placebo maintenance group at Weeks 26 and 56 (see Table 1</w:t>
      </w:r>
      <w:r w:rsidR="00BD4FF7" w:rsidRPr="00DD1F63">
        <w:rPr>
          <w:rFonts w:ascii="Times New Roman" w:hAnsi="Times New Roman" w:cs="Times New Roman"/>
          <w:sz w:val="22"/>
        </w:rPr>
        <w:t>9</w:t>
      </w:r>
      <w:r w:rsidRPr="00DD1F63">
        <w:rPr>
          <w:rFonts w:ascii="Times New Roman" w:hAnsi="Times New Roman" w:cs="Times New Roman"/>
          <w:sz w:val="22"/>
        </w:rPr>
        <w:t>).</w:t>
      </w:r>
    </w:p>
    <w:p w14:paraId="362A7CE8" w14:textId="5E0D2FF0" w:rsidR="003A288F" w:rsidRPr="00DD1F63" w:rsidRDefault="003A288F" w:rsidP="00377A09">
      <w:pPr>
        <w:spacing w:after="0" w:line="240" w:lineRule="auto"/>
        <w:ind w:left="426" w:right="375"/>
        <w:jc w:val="left"/>
        <w:rPr>
          <w:rFonts w:ascii="Times New Roman" w:hAnsi="Times New Roman" w:cs="Times New Roman"/>
          <w:sz w:val="22"/>
        </w:rPr>
      </w:pPr>
    </w:p>
    <w:p w14:paraId="3AF4F8B5" w14:textId="6C504BDF" w:rsidR="00C46F87" w:rsidRPr="00DD1F63" w:rsidRDefault="00C46F87"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Disease-related hospitalisations and surgeries were statistically significantly reduced with adalimumab compared with placebo at Week 56 (see Table 1</w:t>
      </w:r>
      <w:r w:rsidR="00BD4FF7" w:rsidRPr="00DD1F63">
        <w:rPr>
          <w:rFonts w:ascii="Times New Roman" w:hAnsi="Times New Roman" w:cs="Times New Roman"/>
          <w:sz w:val="22"/>
        </w:rPr>
        <w:t>8</w:t>
      </w:r>
      <w:r w:rsidRPr="00DD1F63">
        <w:rPr>
          <w:rFonts w:ascii="Times New Roman" w:hAnsi="Times New Roman" w:cs="Times New Roman"/>
          <w:sz w:val="22"/>
        </w:rPr>
        <w:t>).</w:t>
      </w:r>
    </w:p>
    <w:p w14:paraId="74B0C4D4" w14:textId="3C7BF446" w:rsidR="003A288F" w:rsidRPr="00DD1F63" w:rsidRDefault="003A288F" w:rsidP="00377A09">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2607"/>
        <w:gridCol w:w="1511"/>
        <w:gridCol w:w="1707"/>
        <w:gridCol w:w="1614"/>
        <w:gridCol w:w="1535"/>
      </w:tblGrid>
      <w:tr w:rsidR="00506E7D" w:rsidRPr="00DD1F63" w14:paraId="6BAD5876" w14:textId="77777777" w:rsidTr="00873FBA">
        <w:trPr>
          <w:trHeight w:val="20"/>
        </w:trPr>
        <w:tc>
          <w:tcPr>
            <w:tcW w:w="4145" w:type="pct"/>
            <w:gridSpan w:val="4"/>
            <w:tcBorders>
              <w:top w:val="single" w:sz="4" w:space="0" w:color="000000"/>
              <w:left w:val="single" w:sz="4" w:space="0" w:color="000000"/>
              <w:bottom w:val="single" w:sz="4" w:space="0" w:color="000000"/>
              <w:right w:val="nil"/>
            </w:tcBorders>
            <w:vAlign w:val="center"/>
          </w:tcPr>
          <w:p w14:paraId="13052BDA" w14:textId="3EACA86B" w:rsidR="00C46F87" w:rsidRPr="00DD1F63" w:rsidRDefault="00C46F87" w:rsidP="00377A09">
            <w:pPr>
              <w:spacing w:after="0" w:line="240" w:lineRule="auto"/>
              <w:ind w:left="87" w:firstLine="0"/>
              <w:jc w:val="left"/>
              <w:rPr>
                <w:rFonts w:ascii="Times New Roman" w:hAnsi="Times New Roman" w:cs="Times New Roman"/>
                <w:sz w:val="22"/>
              </w:rPr>
            </w:pPr>
            <w:r w:rsidRPr="00DD1F63">
              <w:rPr>
                <w:rFonts w:ascii="Times New Roman" w:hAnsi="Times New Roman" w:cs="Times New Roman"/>
                <w:b/>
                <w:sz w:val="22"/>
              </w:rPr>
              <w:t>Table 1</w:t>
            </w:r>
            <w:r w:rsidR="00BD4FF7" w:rsidRPr="00DD1F63">
              <w:rPr>
                <w:rFonts w:ascii="Times New Roman" w:hAnsi="Times New Roman" w:cs="Times New Roman"/>
                <w:b/>
                <w:sz w:val="22"/>
              </w:rPr>
              <w:t>8</w:t>
            </w:r>
            <w:r w:rsidRPr="00DD1F63">
              <w:rPr>
                <w:rFonts w:ascii="Times New Roman" w:hAnsi="Times New Roman" w:cs="Times New Roman"/>
                <w:b/>
                <w:sz w:val="22"/>
              </w:rPr>
              <w:t xml:space="preserve">: Hospitalisations to Week 56 (ITT population) </w:t>
            </w:r>
          </w:p>
        </w:tc>
        <w:tc>
          <w:tcPr>
            <w:tcW w:w="855" w:type="pct"/>
            <w:tcBorders>
              <w:top w:val="single" w:sz="4" w:space="0" w:color="000000"/>
              <w:left w:val="nil"/>
              <w:bottom w:val="single" w:sz="4" w:space="0" w:color="000000"/>
              <w:right w:val="single" w:sz="4" w:space="0" w:color="000000"/>
            </w:tcBorders>
          </w:tcPr>
          <w:p w14:paraId="48700C48" w14:textId="77777777" w:rsidR="00C46F87" w:rsidRPr="00DD1F63" w:rsidRDefault="00C46F87" w:rsidP="00377A09">
            <w:pPr>
              <w:spacing w:after="0" w:line="240" w:lineRule="auto"/>
              <w:ind w:left="0" w:firstLine="0"/>
              <w:jc w:val="left"/>
              <w:rPr>
                <w:rFonts w:ascii="Times New Roman" w:hAnsi="Times New Roman" w:cs="Times New Roman"/>
                <w:sz w:val="22"/>
              </w:rPr>
            </w:pPr>
          </w:p>
        </w:tc>
      </w:tr>
      <w:tr w:rsidR="00506E7D" w:rsidRPr="00DD1F63" w14:paraId="019DF986"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03015D9B"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6670A77F"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Placebo </w:t>
            </w:r>
          </w:p>
        </w:tc>
        <w:tc>
          <w:tcPr>
            <w:tcW w:w="951" w:type="pct"/>
            <w:tcBorders>
              <w:top w:val="single" w:sz="4" w:space="0" w:color="000000"/>
              <w:left w:val="single" w:sz="4" w:space="0" w:color="000000"/>
              <w:bottom w:val="single" w:sz="4" w:space="0" w:color="000000"/>
              <w:right w:val="single" w:sz="4" w:space="0" w:color="000000"/>
            </w:tcBorders>
          </w:tcPr>
          <w:p w14:paraId="0AD6A914" w14:textId="2A7E9E99"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fortnightly </w:t>
            </w:r>
          </w:p>
        </w:tc>
        <w:tc>
          <w:tcPr>
            <w:tcW w:w="899" w:type="pct"/>
            <w:tcBorders>
              <w:top w:val="single" w:sz="4" w:space="0" w:color="000000"/>
              <w:left w:val="single" w:sz="4" w:space="0" w:color="000000"/>
              <w:bottom w:val="single" w:sz="4" w:space="0" w:color="000000"/>
              <w:right w:val="single" w:sz="4" w:space="0" w:color="000000"/>
            </w:tcBorders>
          </w:tcPr>
          <w:p w14:paraId="68212AFF" w14:textId="3BE9FC19"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every week </w:t>
            </w:r>
          </w:p>
        </w:tc>
        <w:tc>
          <w:tcPr>
            <w:tcW w:w="855" w:type="pct"/>
            <w:tcBorders>
              <w:top w:val="single" w:sz="4" w:space="0" w:color="000000"/>
              <w:left w:val="single" w:sz="4" w:space="0" w:color="000000"/>
              <w:bottom w:val="single" w:sz="4" w:space="0" w:color="000000"/>
              <w:right w:val="single" w:sz="4" w:space="0" w:color="000000"/>
            </w:tcBorders>
          </w:tcPr>
          <w:p w14:paraId="5B7B6475"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Combined </w:t>
            </w:r>
          </w:p>
          <w:p w14:paraId="27C9C4F5" w14:textId="04788459" w:rsidR="00C46F87" w:rsidRPr="00DD1F63" w:rsidRDefault="00910E5C"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Adalimumab</w:t>
            </w:r>
          </w:p>
        </w:tc>
      </w:tr>
      <w:tr w:rsidR="00506E7D" w:rsidRPr="00DD1F63" w14:paraId="3D7BA939"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421E58A6"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213BA2DD" w14:textId="77777777" w:rsidR="00C46F87" w:rsidRPr="00DD1F63" w:rsidRDefault="00C46F87" w:rsidP="00377A09">
            <w:pPr>
              <w:spacing w:after="0" w:line="240" w:lineRule="auto"/>
              <w:ind w:left="293" w:right="238" w:firstLine="0"/>
              <w:jc w:val="left"/>
              <w:rPr>
                <w:rFonts w:ascii="Times New Roman" w:hAnsi="Times New Roman" w:cs="Times New Roman"/>
                <w:sz w:val="22"/>
              </w:rPr>
            </w:pPr>
            <w:r w:rsidRPr="00DD1F63">
              <w:rPr>
                <w:rFonts w:ascii="Times New Roman" w:hAnsi="Times New Roman" w:cs="Times New Roman"/>
                <w:b/>
                <w:sz w:val="22"/>
              </w:rPr>
              <w:t xml:space="preserve">N=261 n (%)  </w:t>
            </w:r>
          </w:p>
        </w:tc>
        <w:tc>
          <w:tcPr>
            <w:tcW w:w="951" w:type="pct"/>
            <w:tcBorders>
              <w:top w:val="single" w:sz="4" w:space="0" w:color="000000"/>
              <w:left w:val="single" w:sz="4" w:space="0" w:color="000000"/>
              <w:bottom w:val="single" w:sz="4" w:space="0" w:color="000000"/>
              <w:right w:val="single" w:sz="4" w:space="0" w:color="000000"/>
            </w:tcBorders>
          </w:tcPr>
          <w:p w14:paraId="07E3B881" w14:textId="77777777" w:rsidR="00C46F87" w:rsidRPr="00DD1F63" w:rsidRDefault="00C46F87" w:rsidP="00377A09">
            <w:pPr>
              <w:spacing w:after="0" w:line="240" w:lineRule="auto"/>
              <w:ind w:left="387" w:right="332" w:firstLine="0"/>
              <w:jc w:val="left"/>
              <w:rPr>
                <w:rFonts w:ascii="Times New Roman" w:hAnsi="Times New Roman" w:cs="Times New Roman"/>
                <w:sz w:val="22"/>
              </w:rPr>
            </w:pPr>
            <w:r w:rsidRPr="00DD1F63">
              <w:rPr>
                <w:rFonts w:ascii="Times New Roman" w:hAnsi="Times New Roman" w:cs="Times New Roman"/>
                <w:b/>
                <w:sz w:val="22"/>
              </w:rPr>
              <w:t xml:space="preserve">N=260 n (%) </w:t>
            </w:r>
          </w:p>
        </w:tc>
        <w:tc>
          <w:tcPr>
            <w:tcW w:w="899" w:type="pct"/>
            <w:tcBorders>
              <w:top w:val="single" w:sz="4" w:space="0" w:color="000000"/>
              <w:left w:val="single" w:sz="4" w:space="0" w:color="000000"/>
              <w:bottom w:val="single" w:sz="4" w:space="0" w:color="000000"/>
              <w:right w:val="single" w:sz="4" w:space="0" w:color="000000"/>
            </w:tcBorders>
          </w:tcPr>
          <w:p w14:paraId="4629D387" w14:textId="77777777" w:rsidR="00C46F87" w:rsidRPr="00DD1F63" w:rsidRDefault="00C46F87" w:rsidP="00377A09">
            <w:pPr>
              <w:spacing w:after="0" w:line="240" w:lineRule="auto"/>
              <w:ind w:left="343" w:right="287" w:firstLine="0"/>
              <w:jc w:val="left"/>
              <w:rPr>
                <w:rFonts w:ascii="Times New Roman" w:hAnsi="Times New Roman" w:cs="Times New Roman"/>
                <w:sz w:val="22"/>
              </w:rPr>
            </w:pPr>
            <w:r w:rsidRPr="00DD1F63">
              <w:rPr>
                <w:rFonts w:ascii="Times New Roman" w:hAnsi="Times New Roman" w:cs="Times New Roman"/>
                <w:b/>
                <w:sz w:val="22"/>
              </w:rPr>
              <w:t xml:space="preserve">N=257 n (%) </w:t>
            </w:r>
          </w:p>
        </w:tc>
        <w:tc>
          <w:tcPr>
            <w:tcW w:w="855" w:type="pct"/>
            <w:tcBorders>
              <w:top w:val="single" w:sz="4" w:space="0" w:color="000000"/>
              <w:left w:val="single" w:sz="4" w:space="0" w:color="000000"/>
              <w:bottom w:val="single" w:sz="4" w:space="0" w:color="000000"/>
              <w:right w:val="single" w:sz="4" w:space="0" w:color="000000"/>
            </w:tcBorders>
          </w:tcPr>
          <w:p w14:paraId="4DA4B164" w14:textId="77777777" w:rsidR="00C46F87" w:rsidRPr="00DD1F63" w:rsidRDefault="00C46F87" w:rsidP="00377A09">
            <w:pPr>
              <w:spacing w:after="0" w:line="240" w:lineRule="auto"/>
              <w:ind w:left="281" w:right="224" w:firstLine="0"/>
              <w:jc w:val="left"/>
              <w:rPr>
                <w:rFonts w:ascii="Times New Roman" w:hAnsi="Times New Roman" w:cs="Times New Roman"/>
                <w:sz w:val="22"/>
              </w:rPr>
            </w:pPr>
            <w:r w:rsidRPr="00DD1F63">
              <w:rPr>
                <w:rFonts w:ascii="Times New Roman" w:hAnsi="Times New Roman" w:cs="Times New Roman"/>
                <w:b/>
                <w:sz w:val="22"/>
              </w:rPr>
              <w:t xml:space="preserve">N= 517 n (%) </w:t>
            </w:r>
          </w:p>
        </w:tc>
      </w:tr>
      <w:tr w:rsidR="00506E7D" w:rsidRPr="00DD1F63" w14:paraId="6C7D1B52"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33FE02A1"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All-cause Hospitalisation  </w:t>
            </w:r>
          </w:p>
        </w:tc>
        <w:tc>
          <w:tcPr>
            <w:tcW w:w="842" w:type="pct"/>
            <w:tcBorders>
              <w:top w:val="single" w:sz="4" w:space="0" w:color="000000"/>
              <w:left w:val="single" w:sz="4" w:space="0" w:color="000000"/>
              <w:bottom w:val="single" w:sz="4" w:space="0" w:color="000000"/>
              <w:right w:val="single" w:sz="4" w:space="0" w:color="000000"/>
            </w:tcBorders>
          </w:tcPr>
          <w:p w14:paraId="32B79AA1"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47 (18) </w:t>
            </w:r>
          </w:p>
        </w:tc>
        <w:tc>
          <w:tcPr>
            <w:tcW w:w="951" w:type="pct"/>
            <w:tcBorders>
              <w:top w:val="single" w:sz="4" w:space="0" w:color="000000"/>
              <w:left w:val="single" w:sz="4" w:space="0" w:color="000000"/>
              <w:bottom w:val="single" w:sz="4" w:space="0" w:color="000000"/>
              <w:right w:val="single" w:sz="4" w:space="0" w:color="000000"/>
            </w:tcBorders>
          </w:tcPr>
          <w:p w14:paraId="48B3D88C" w14:textId="77777777" w:rsidR="00C46F87" w:rsidRPr="00DD1F63" w:rsidRDefault="00C46F87"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25 (9.6) * </w:t>
            </w:r>
          </w:p>
        </w:tc>
        <w:tc>
          <w:tcPr>
            <w:tcW w:w="899" w:type="pct"/>
            <w:tcBorders>
              <w:top w:val="single" w:sz="4" w:space="0" w:color="000000"/>
              <w:left w:val="single" w:sz="4" w:space="0" w:color="000000"/>
              <w:bottom w:val="single" w:sz="4" w:space="0" w:color="000000"/>
              <w:right w:val="single" w:sz="4" w:space="0" w:color="000000"/>
            </w:tcBorders>
          </w:tcPr>
          <w:p w14:paraId="36874655"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29 (11.3) * </w:t>
            </w:r>
          </w:p>
        </w:tc>
        <w:tc>
          <w:tcPr>
            <w:tcW w:w="855" w:type="pct"/>
            <w:tcBorders>
              <w:top w:val="single" w:sz="4" w:space="0" w:color="000000"/>
              <w:left w:val="single" w:sz="4" w:space="0" w:color="000000"/>
              <w:bottom w:val="single" w:sz="4" w:space="0" w:color="000000"/>
              <w:right w:val="single" w:sz="4" w:space="0" w:color="000000"/>
            </w:tcBorders>
          </w:tcPr>
          <w:p w14:paraId="7EA1EBB0"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54 (10.4) * </w:t>
            </w:r>
          </w:p>
        </w:tc>
      </w:tr>
      <w:tr w:rsidR="00506E7D" w:rsidRPr="00DD1F63" w14:paraId="5DF2062B"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1DEFF1DD"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CD – Related Hospitalisation </w:t>
            </w:r>
          </w:p>
        </w:tc>
        <w:tc>
          <w:tcPr>
            <w:tcW w:w="842" w:type="pct"/>
            <w:tcBorders>
              <w:top w:val="single" w:sz="4" w:space="0" w:color="000000"/>
              <w:left w:val="single" w:sz="4" w:space="0" w:color="000000"/>
              <w:bottom w:val="single" w:sz="4" w:space="0" w:color="000000"/>
              <w:right w:val="single" w:sz="4" w:space="0" w:color="000000"/>
            </w:tcBorders>
          </w:tcPr>
          <w:p w14:paraId="191E6F79" w14:textId="77777777" w:rsidR="00C46F87" w:rsidRPr="00DD1F63" w:rsidRDefault="00C46F87" w:rsidP="00377A09">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 xml:space="preserve">31 (11.9)  </w:t>
            </w:r>
          </w:p>
        </w:tc>
        <w:tc>
          <w:tcPr>
            <w:tcW w:w="951" w:type="pct"/>
            <w:tcBorders>
              <w:top w:val="single" w:sz="4" w:space="0" w:color="000000"/>
              <w:left w:val="single" w:sz="4" w:space="0" w:color="000000"/>
              <w:bottom w:val="single" w:sz="4" w:space="0" w:color="000000"/>
              <w:right w:val="single" w:sz="4" w:space="0" w:color="000000"/>
            </w:tcBorders>
          </w:tcPr>
          <w:p w14:paraId="3FA733AC" w14:textId="77777777" w:rsidR="00C46F87" w:rsidRPr="00DD1F63" w:rsidRDefault="00C46F87"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16 (6.2) * </w:t>
            </w:r>
          </w:p>
        </w:tc>
        <w:tc>
          <w:tcPr>
            <w:tcW w:w="899" w:type="pct"/>
            <w:tcBorders>
              <w:top w:val="single" w:sz="4" w:space="0" w:color="000000"/>
              <w:left w:val="single" w:sz="4" w:space="0" w:color="000000"/>
              <w:bottom w:val="single" w:sz="4" w:space="0" w:color="000000"/>
              <w:right w:val="single" w:sz="4" w:space="0" w:color="000000"/>
            </w:tcBorders>
          </w:tcPr>
          <w:p w14:paraId="0C76289A" w14:textId="77777777" w:rsidR="00C46F87" w:rsidRPr="00DD1F63" w:rsidRDefault="00C46F87" w:rsidP="00377A09">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18 (</w:t>
            </w:r>
            <w:proofErr w:type="gramStart"/>
            <w:r w:rsidRPr="00DD1F63">
              <w:rPr>
                <w:rFonts w:ascii="Times New Roman" w:hAnsi="Times New Roman" w:cs="Times New Roman"/>
                <w:sz w:val="22"/>
              </w:rPr>
              <w:t>7.0)*</w:t>
            </w:r>
            <w:proofErr w:type="gramEnd"/>
            <w:r w:rsidRPr="00DD1F63">
              <w:rPr>
                <w:rFonts w:ascii="Times New Roman" w:hAnsi="Times New Roman" w:cs="Times New Roman"/>
                <w:sz w:val="22"/>
              </w:rPr>
              <w:t xml:space="preserve"> </w:t>
            </w:r>
          </w:p>
        </w:tc>
        <w:tc>
          <w:tcPr>
            <w:tcW w:w="855" w:type="pct"/>
            <w:tcBorders>
              <w:top w:val="single" w:sz="4" w:space="0" w:color="000000"/>
              <w:left w:val="single" w:sz="4" w:space="0" w:color="000000"/>
              <w:bottom w:val="single" w:sz="4" w:space="0" w:color="000000"/>
              <w:right w:val="single" w:sz="4" w:space="0" w:color="000000"/>
            </w:tcBorders>
          </w:tcPr>
          <w:p w14:paraId="2C004AA1" w14:textId="77777777" w:rsidR="00C46F87" w:rsidRPr="00DD1F63" w:rsidRDefault="00C46F87" w:rsidP="00377A09">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 xml:space="preserve">34 (6.6) *  </w:t>
            </w:r>
          </w:p>
        </w:tc>
      </w:tr>
      <w:tr w:rsidR="00506E7D" w:rsidRPr="00DD1F63" w14:paraId="4C01D76A"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68AF2BAB"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Major Surgery  </w:t>
            </w:r>
          </w:p>
        </w:tc>
        <w:tc>
          <w:tcPr>
            <w:tcW w:w="842" w:type="pct"/>
            <w:tcBorders>
              <w:top w:val="single" w:sz="4" w:space="0" w:color="000000"/>
              <w:left w:val="single" w:sz="4" w:space="0" w:color="000000"/>
              <w:bottom w:val="single" w:sz="4" w:space="0" w:color="000000"/>
              <w:right w:val="single" w:sz="4" w:space="0" w:color="000000"/>
            </w:tcBorders>
          </w:tcPr>
          <w:p w14:paraId="232B1BBC"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11 (4.2) </w:t>
            </w:r>
          </w:p>
        </w:tc>
        <w:tc>
          <w:tcPr>
            <w:tcW w:w="951" w:type="pct"/>
            <w:tcBorders>
              <w:top w:val="single" w:sz="4" w:space="0" w:color="000000"/>
              <w:left w:val="single" w:sz="4" w:space="0" w:color="000000"/>
              <w:bottom w:val="single" w:sz="4" w:space="0" w:color="000000"/>
              <w:right w:val="single" w:sz="4" w:space="0" w:color="000000"/>
            </w:tcBorders>
          </w:tcPr>
          <w:p w14:paraId="47D3C241" w14:textId="77777777" w:rsidR="00C46F87" w:rsidRPr="00DD1F63" w:rsidRDefault="00C46F87" w:rsidP="00377A09">
            <w:pPr>
              <w:spacing w:after="0" w:line="240" w:lineRule="auto"/>
              <w:ind w:left="7" w:firstLine="0"/>
              <w:jc w:val="left"/>
              <w:rPr>
                <w:rFonts w:ascii="Times New Roman" w:hAnsi="Times New Roman" w:cs="Times New Roman"/>
                <w:sz w:val="22"/>
              </w:rPr>
            </w:pPr>
            <w:r w:rsidRPr="00DD1F63">
              <w:rPr>
                <w:rFonts w:ascii="Times New Roman" w:hAnsi="Times New Roman" w:cs="Times New Roman"/>
                <w:sz w:val="22"/>
              </w:rPr>
              <w:t xml:space="preserve">1 (0.4) *  </w:t>
            </w:r>
          </w:p>
        </w:tc>
        <w:tc>
          <w:tcPr>
            <w:tcW w:w="899" w:type="pct"/>
            <w:tcBorders>
              <w:top w:val="single" w:sz="4" w:space="0" w:color="000000"/>
              <w:left w:val="single" w:sz="4" w:space="0" w:color="000000"/>
              <w:bottom w:val="single" w:sz="4" w:space="0" w:color="000000"/>
              <w:right w:val="single" w:sz="4" w:space="0" w:color="000000"/>
            </w:tcBorders>
          </w:tcPr>
          <w:p w14:paraId="21D011FB" w14:textId="77777777" w:rsidR="00C46F87" w:rsidRPr="00DD1F63" w:rsidRDefault="00C46F87" w:rsidP="00377A09">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 xml:space="preserve">2 (0.8) *  </w:t>
            </w:r>
          </w:p>
        </w:tc>
        <w:tc>
          <w:tcPr>
            <w:tcW w:w="855" w:type="pct"/>
            <w:tcBorders>
              <w:top w:val="single" w:sz="4" w:space="0" w:color="000000"/>
              <w:left w:val="single" w:sz="4" w:space="0" w:color="000000"/>
              <w:bottom w:val="single" w:sz="4" w:space="0" w:color="000000"/>
              <w:right w:val="single" w:sz="4" w:space="0" w:color="000000"/>
            </w:tcBorders>
          </w:tcPr>
          <w:p w14:paraId="464E7FE8" w14:textId="77777777" w:rsidR="00C46F87" w:rsidRPr="00DD1F63" w:rsidRDefault="00C46F87" w:rsidP="00377A09">
            <w:pPr>
              <w:spacing w:after="0" w:line="240" w:lineRule="auto"/>
              <w:ind w:left="7" w:firstLine="0"/>
              <w:jc w:val="left"/>
              <w:rPr>
                <w:rFonts w:ascii="Times New Roman" w:hAnsi="Times New Roman" w:cs="Times New Roman"/>
                <w:sz w:val="22"/>
              </w:rPr>
            </w:pPr>
            <w:r w:rsidRPr="00DD1F63">
              <w:rPr>
                <w:rFonts w:ascii="Times New Roman" w:hAnsi="Times New Roman" w:cs="Times New Roman"/>
                <w:sz w:val="22"/>
              </w:rPr>
              <w:t xml:space="preserve">3 (0.6) * </w:t>
            </w:r>
          </w:p>
        </w:tc>
      </w:tr>
    </w:tbl>
    <w:p w14:paraId="7A56F39F" w14:textId="694EFCB6" w:rsidR="003A288F" w:rsidRPr="00DD1F63" w:rsidRDefault="00C46F87"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p ≤0.05</w:t>
      </w:r>
    </w:p>
    <w:p w14:paraId="7D0E9633" w14:textId="33A51757" w:rsidR="003A288F" w:rsidRPr="00DD1F63" w:rsidRDefault="003A288F" w:rsidP="00377A09">
      <w:pPr>
        <w:spacing w:after="0" w:line="240" w:lineRule="auto"/>
        <w:ind w:left="426" w:right="375"/>
        <w:jc w:val="left"/>
        <w:rPr>
          <w:rFonts w:ascii="Times New Roman" w:hAnsi="Times New Roman" w:cs="Times New Roman"/>
          <w:sz w:val="22"/>
        </w:rPr>
      </w:pPr>
    </w:p>
    <w:p w14:paraId="5F7D4556" w14:textId="05C4E797" w:rsidR="003A288F" w:rsidRPr="00DD1F63" w:rsidRDefault="00C46F87"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Clinical remission results presented in Table 1</w:t>
      </w:r>
      <w:r w:rsidR="00BD4FF7" w:rsidRPr="00DD1F63">
        <w:rPr>
          <w:rFonts w:ascii="Times New Roman" w:hAnsi="Times New Roman" w:cs="Times New Roman"/>
          <w:sz w:val="22"/>
        </w:rPr>
        <w:t>9</w:t>
      </w:r>
      <w:r w:rsidRPr="00DD1F63">
        <w:rPr>
          <w:rFonts w:ascii="Times New Roman" w:hAnsi="Times New Roman" w:cs="Times New Roman"/>
          <w:sz w:val="22"/>
        </w:rPr>
        <w:t xml:space="preserve"> remained relatively constant irrespective of previous TNF antagonist exposure.</w:t>
      </w:r>
    </w:p>
    <w:p w14:paraId="38A0CC53" w14:textId="0BCB567C" w:rsidR="003A288F" w:rsidRPr="00DD1F63" w:rsidRDefault="003A288F" w:rsidP="00377A09">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3335"/>
        <w:gridCol w:w="1773"/>
        <w:gridCol w:w="1965"/>
        <w:gridCol w:w="1901"/>
      </w:tblGrid>
      <w:tr w:rsidR="00506E7D" w:rsidRPr="00DD1F63" w14:paraId="425E86A6" w14:textId="77777777" w:rsidTr="00C46F8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847AC71" w14:textId="0329F5C4" w:rsidR="00C46F87" w:rsidRPr="00DD1F63" w:rsidRDefault="00C46F87" w:rsidP="00377A09">
            <w:pPr>
              <w:spacing w:after="0" w:line="240" w:lineRule="auto"/>
              <w:ind w:left="87" w:firstLine="0"/>
              <w:jc w:val="left"/>
              <w:rPr>
                <w:rFonts w:ascii="Times New Roman" w:hAnsi="Times New Roman" w:cs="Times New Roman"/>
                <w:sz w:val="22"/>
              </w:rPr>
            </w:pPr>
            <w:r w:rsidRPr="00DD1F63">
              <w:rPr>
                <w:rFonts w:ascii="Times New Roman" w:hAnsi="Times New Roman" w:cs="Times New Roman"/>
                <w:b/>
                <w:sz w:val="22"/>
              </w:rPr>
              <w:t>Table 1</w:t>
            </w:r>
            <w:r w:rsidR="00BD4FF7" w:rsidRPr="00DD1F63">
              <w:rPr>
                <w:rFonts w:ascii="Times New Roman" w:hAnsi="Times New Roman" w:cs="Times New Roman"/>
                <w:b/>
                <w:sz w:val="22"/>
              </w:rPr>
              <w:t>9</w:t>
            </w:r>
            <w:r w:rsidRPr="00DD1F63">
              <w:rPr>
                <w:rFonts w:ascii="Times New Roman" w:hAnsi="Times New Roman" w:cs="Times New Roman"/>
                <w:b/>
                <w:sz w:val="22"/>
              </w:rPr>
              <w:t xml:space="preserve">:  Maintenance of Clinical Remission and Response (Percent of Patients) </w:t>
            </w:r>
          </w:p>
        </w:tc>
      </w:tr>
      <w:tr w:rsidR="00506E7D" w:rsidRPr="00DD1F63" w14:paraId="0BF30754"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6E54979C"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988" w:type="pct"/>
            <w:tcBorders>
              <w:top w:val="single" w:sz="4" w:space="0" w:color="000000"/>
              <w:left w:val="single" w:sz="4" w:space="0" w:color="000000"/>
              <w:bottom w:val="single" w:sz="4" w:space="0" w:color="000000"/>
              <w:right w:val="single" w:sz="4" w:space="0" w:color="000000"/>
            </w:tcBorders>
          </w:tcPr>
          <w:p w14:paraId="3E4937E7" w14:textId="77777777" w:rsidR="00C46F87" w:rsidRPr="00DD1F63" w:rsidRDefault="00C46F87"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Placebo </w:t>
            </w:r>
          </w:p>
        </w:tc>
        <w:tc>
          <w:tcPr>
            <w:tcW w:w="1095" w:type="pct"/>
            <w:tcBorders>
              <w:top w:val="single" w:sz="4" w:space="0" w:color="000000"/>
              <w:left w:val="single" w:sz="4" w:space="0" w:color="000000"/>
              <w:bottom w:val="single" w:sz="4" w:space="0" w:color="000000"/>
              <w:right w:val="single" w:sz="4" w:space="0" w:color="000000"/>
            </w:tcBorders>
          </w:tcPr>
          <w:p w14:paraId="19F2790E" w14:textId="08CF1F18"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fortnightly </w:t>
            </w:r>
          </w:p>
        </w:tc>
        <w:tc>
          <w:tcPr>
            <w:tcW w:w="1059" w:type="pct"/>
            <w:tcBorders>
              <w:top w:val="single" w:sz="4" w:space="0" w:color="000000"/>
              <w:left w:val="single" w:sz="4" w:space="0" w:color="000000"/>
              <w:bottom w:val="single" w:sz="4" w:space="0" w:color="000000"/>
              <w:right w:val="single" w:sz="4" w:space="0" w:color="000000"/>
            </w:tcBorders>
          </w:tcPr>
          <w:p w14:paraId="061AC34A" w14:textId="7B717932"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every week </w:t>
            </w:r>
          </w:p>
        </w:tc>
      </w:tr>
      <w:tr w:rsidR="00506E7D" w:rsidRPr="00DD1F63" w14:paraId="1D3C1F44"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04815A6D"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26 </w:t>
            </w:r>
          </w:p>
        </w:tc>
        <w:tc>
          <w:tcPr>
            <w:tcW w:w="988" w:type="pct"/>
            <w:tcBorders>
              <w:top w:val="single" w:sz="4" w:space="0" w:color="000000"/>
              <w:left w:val="single" w:sz="4" w:space="0" w:color="000000"/>
              <w:bottom w:val="single" w:sz="4" w:space="0" w:color="000000"/>
              <w:right w:val="single" w:sz="4" w:space="0" w:color="000000"/>
            </w:tcBorders>
          </w:tcPr>
          <w:p w14:paraId="7176B813"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N=170 </w:t>
            </w:r>
          </w:p>
        </w:tc>
        <w:tc>
          <w:tcPr>
            <w:tcW w:w="1095" w:type="pct"/>
            <w:tcBorders>
              <w:top w:val="single" w:sz="4" w:space="0" w:color="000000"/>
              <w:left w:val="single" w:sz="4" w:space="0" w:color="000000"/>
              <w:bottom w:val="single" w:sz="4" w:space="0" w:color="000000"/>
              <w:right w:val="single" w:sz="4" w:space="0" w:color="000000"/>
            </w:tcBorders>
          </w:tcPr>
          <w:p w14:paraId="72809EBF"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N=172 </w:t>
            </w:r>
          </w:p>
        </w:tc>
        <w:tc>
          <w:tcPr>
            <w:tcW w:w="1059" w:type="pct"/>
            <w:tcBorders>
              <w:top w:val="single" w:sz="4" w:space="0" w:color="000000"/>
              <w:left w:val="single" w:sz="4" w:space="0" w:color="000000"/>
              <w:bottom w:val="single" w:sz="4" w:space="0" w:color="000000"/>
              <w:right w:val="single" w:sz="4" w:space="0" w:color="000000"/>
            </w:tcBorders>
          </w:tcPr>
          <w:p w14:paraId="4B56EA51" w14:textId="77777777" w:rsidR="00C46F87" w:rsidRPr="00DD1F63" w:rsidRDefault="00C46F87" w:rsidP="00377A09">
            <w:pPr>
              <w:spacing w:after="0" w:line="240" w:lineRule="auto"/>
              <w:ind w:left="7" w:firstLine="0"/>
              <w:jc w:val="left"/>
              <w:rPr>
                <w:rFonts w:ascii="Times New Roman" w:hAnsi="Times New Roman" w:cs="Times New Roman"/>
                <w:sz w:val="22"/>
              </w:rPr>
            </w:pPr>
            <w:r w:rsidRPr="00DD1F63">
              <w:rPr>
                <w:rFonts w:ascii="Times New Roman" w:hAnsi="Times New Roman" w:cs="Times New Roman"/>
                <w:b/>
                <w:sz w:val="22"/>
              </w:rPr>
              <w:t xml:space="preserve">N=157 </w:t>
            </w:r>
          </w:p>
        </w:tc>
      </w:tr>
      <w:tr w:rsidR="00506E7D" w:rsidRPr="00DD1F63" w14:paraId="5818DA74"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0ED5BB1B"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lastRenderedPageBreak/>
              <w:t xml:space="preserve">Clinical remission </w:t>
            </w:r>
          </w:p>
        </w:tc>
        <w:tc>
          <w:tcPr>
            <w:tcW w:w="988" w:type="pct"/>
            <w:tcBorders>
              <w:top w:val="single" w:sz="4" w:space="0" w:color="000000"/>
              <w:left w:val="single" w:sz="4" w:space="0" w:color="000000"/>
              <w:bottom w:val="single" w:sz="4" w:space="0" w:color="000000"/>
              <w:right w:val="single" w:sz="4" w:space="0" w:color="000000"/>
            </w:tcBorders>
          </w:tcPr>
          <w:p w14:paraId="3877AFA2"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17% </w:t>
            </w:r>
          </w:p>
        </w:tc>
        <w:tc>
          <w:tcPr>
            <w:tcW w:w="1095" w:type="pct"/>
            <w:tcBorders>
              <w:top w:val="single" w:sz="4" w:space="0" w:color="000000"/>
              <w:left w:val="single" w:sz="4" w:space="0" w:color="000000"/>
              <w:bottom w:val="single" w:sz="4" w:space="0" w:color="000000"/>
              <w:right w:val="single" w:sz="4" w:space="0" w:color="000000"/>
            </w:tcBorders>
          </w:tcPr>
          <w:p w14:paraId="6299B5DD"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40%</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3DE2BB39"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47%</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48DAD8CB"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1E181BF1"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(CR-100) </w:t>
            </w:r>
          </w:p>
        </w:tc>
        <w:tc>
          <w:tcPr>
            <w:tcW w:w="988" w:type="pct"/>
            <w:tcBorders>
              <w:top w:val="single" w:sz="4" w:space="0" w:color="000000"/>
              <w:left w:val="single" w:sz="4" w:space="0" w:color="000000"/>
              <w:bottom w:val="single" w:sz="4" w:space="0" w:color="000000"/>
              <w:right w:val="single" w:sz="4" w:space="0" w:color="000000"/>
            </w:tcBorders>
          </w:tcPr>
          <w:p w14:paraId="1DF49EE8"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27% </w:t>
            </w:r>
          </w:p>
        </w:tc>
        <w:tc>
          <w:tcPr>
            <w:tcW w:w="1095" w:type="pct"/>
            <w:tcBorders>
              <w:top w:val="single" w:sz="4" w:space="0" w:color="000000"/>
              <w:left w:val="single" w:sz="4" w:space="0" w:color="000000"/>
              <w:bottom w:val="single" w:sz="4" w:space="0" w:color="000000"/>
              <w:right w:val="single" w:sz="4" w:space="0" w:color="000000"/>
            </w:tcBorders>
          </w:tcPr>
          <w:p w14:paraId="4C80E027"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52%</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07242904"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52%</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1AFC6BED"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4A6126E1"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(CR-70) </w:t>
            </w:r>
          </w:p>
        </w:tc>
        <w:tc>
          <w:tcPr>
            <w:tcW w:w="988" w:type="pct"/>
            <w:tcBorders>
              <w:top w:val="single" w:sz="4" w:space="0" w:color="000000"/>
              <w:left w:val="single" w:sz="4" w:space="0" w:color="000000"/>
              <w:bottom w:val="single" w:sz="4" w:space="0" w:color="000000"/>
              <w:right w:val="single" w:sz="4" w:space="0" w:color="000000"/>
            </w:tcBorders>
          </w:tcPr>
          <w:p w14:paraId="0C1D53E4"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28% </w:t>
            </w:r>
          </w:p>
        </w:tc>
        <w:tc>
          <w:tcPr>
            <w:tcW w:w="1095" w:type="pct"/>
            <w:tcBorders>
              <w:top w:val="single" w:sz="4" w:space="0" w:color="000000"/>
              <w:left w:val="single" w:sz="4" w:space="0" w:color="000000"/>
              <w:bottom w:val="single" w:sz="4" w:space="0" w:color="000000"/>
              <w:right w:val="single" w:sz="4" w:space="0" w:color="000000"/>
            </w:tcBorders>
          </w:tcPr>
          <w:p w14:paraId="5C28169C"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54%</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08F85523"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56%</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6A85D1FF"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6840A4F6" w14:textId="49DFD608" w:rsidR="00C46F87" w:rsidRPr="00DD1F63" w:rsidRDefault="00C46F87" w:rsidP="00377A09">
            <w:pPr>
              <w:spacing w:after="0" w:line="240" w:lineRule="auto"/>
              <w:ind w:left="0" w:right="385" w:firstLine="0"/>
              <w:jc w:val="left"/>
              <w:rPr>
                <w:rFonts w:ascii="Times New Roman" w:hAnsi="Times New Roman" w:cs="Times New Roman"/>
                <w:sz w:val="22"/>
              </w:rPr>
            </w:pPr>
            <w:r w:rsidRPr="00DD1F63">
              <w:rPr>
                <w:rFonts w:ascii="Times New Roman" w:hAnsi="Times New Roman" w:cs="Times New Roman"/>
                <w:sz w:val="22"/>
              </w:rPr>
              <w:t xml:space="preserve">Patients in steroid-free remission for ≥ 90 </w:t>
            </w:r>
            <w:proofErr w:type="spellStart"/>
            <w:r w:rsidRPr="00DD1F63">
              <w:rPr>
                <w:rFonts w:ascii="Times New Roman" w:hAnsi="Times New Roman" w:cs="Times New Roman"/>
                <w:sz w:val="22"/>
              </w:rPr>
              <w:t>days</w:t>
            </w:r>
            <w:r w:rsidRPr="00DD1F63">
              <w:rPr>
                <w:rFonts w:ascii="Times New Roman" w:hAnsi="Times New Roman" w:cs="Times New Roman"/>
                <w:sz w:val="22"/>
                <w:vertAlign w:val="superscript"/>
              </w:rPr>
              <w:t>a</w:t>
            </w:r>
            <w:proofErr w:type="spellEnd"/>
            <w:r w:rsidRPr="00DD1F63">
              <w:rPr>
                <w:rFonts w:ascii="Times New Roman" w:hAnsi="Times New Roman" w:cs="Times New Roman"/>
                <w:sz w:val="22"/>
              </w:rPr>
              <w:t xml:space="preserve"> </w:t>
            </w:r>
          </w:p>
        </w:tc>
        <w:tc>
          <w:tcPr>
            <w:tcW w:w="988" w:type="pct"/>
            <w:tcBorders>
              <w:top w:val="single" w:sz="4" w:space="0" w:color="000000"/>
              <w:left w:val="single" w:sz="4" w:space="0" w:color="000000"/>
              <w:bottom w:val="single" w:sz="4" w:space="0" w:color="000000"/>
              <w:right w:val="single" w:sz="4" w:space="0" w:color="000000"/>
            </w:tcBorders>
            <w:vAlign w:val="center"/>
          </w:tcPr>
          <w:p w14:paraId="13055B9E"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3% (2/66) </w:t>
            </w:r>
          </w:p>
        </w:tc>
        <w:tc>
          <w:tcPr>
            <w:tcW w:w="1095" w:type="pct"/>
            <w:tcBorders>
              <w:top w:val="single" w:sz="4" w:space="0" w:color="000000"/>
              <w:left w:val="single" w:sz="4" w:space="0" w:color="000000"/>
              <w:bottom w:val="single" w:sz="4" w:space="0" w:color="000000"/>
              <w:right w:val="single" w:sz="4" w:space="0" w:color="000000"/>
            </w:tcBorders>
            <w:vAlign w:val="center"/>
          </w:tcPr>
          <w:p w14:paraId="4F98859A"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19% (11/</w:t>
            </w:r>
            <w:proofErr w:type="gramStart"/>
            <w:r w:rsidRPr="00DD1F63">
              <w:rPr>
                <w:rFonts w:ascii="Times New Roman" w:hAnsi="Times New Roman" w:cs="Times New Roman"/>
                <w:sz w:val="22"/>
              </w:rPr>
              <w:t>58)</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vAlign w:val="center"/>
          </w:tcPr>
          <w:p w14:paraId="294A508B"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15% (11/</w:t>
            </w:r>
            <w:proofErr w:type="gramStart"/>
            <w:r w:rsidRPr="00DD1F63">
              <w:rPr>
                <w:rFonts w:ascii="Times New Roman" w:hAnsi="Times New Roman" w:cs="Times New Roman"/>
                <w:sz w:val="22"/>
              </w:rPr>
              <w:t>74</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1AEF3725"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6DA145C6"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56 </w:t>
            </w:r>
          </w:p>
        </w:tc>
        <w:tc>
          <w:tcPr>
            <w:tcW w:w="988" w:type="pct"/>
            <w:tcBorders>
              <w:top w:val="single" w:sz="4" w:space="0" w:color="000000"/>
              <w:left w:val="single" w:sz="4" w:space="0" w:color="000000"/>
              <w:bottom w:val="single" w:sz="4" w:space="0" w:color="000000"/>
              <w:right w:val="single" w:sz="4" w:space="0" w:color="000000"/>
            </w:tcBorders>
          </w:tcPr>
          <w:p w14:paraId="5EFEBD94"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N=170 </w:t>
            </w:r>
          </w:p>
        </w:tc>
        <w:tc>
          <w:tcPr>
            <w:tcW w:w="1095" w:type="pct"/>
            <w:tcBorders>
              <w:top w:val="single" w:sz="4" w:space="0" w:color="000000"/>
              <w:left w:val="single" w:sz="4" w:space="0" w:color="000000"/>
              <w:bottom w:val="single" w:sz="4" w:space="0" w:color="000000"/>
              <w:right w:val="single" w:sz="4" w:space="0" w:color="000000"/>
            </w:tcBorders>
          </w:tcPr>
          <w:p w14:paraId="6DBBD252"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N=172 </w:t>
            </w:r>
          </w:p>
        </w:tc>
        <w:tc>
          <w:tcPr>
            <w:tcW w:w="1059" w:type="pct"/>
            <w:tcBorders>
              <w:top w:val="single" w:sz="4" w:space="0" w:color="000000"/>
              <w:left w:val="single" w:sz="4" w:space="0" w:color="000000"/>
              <w:bottom w:val="single" w:sz="4" w:space="0" w:color="000000"/>
              <w:right w:val="single" w:sz="4" w:space="0" w:color="000000"/>
            </w:tcBorders>
          </w:tcPr>
          <w:p w14:paraId="598081C8" w14:textId="77777777" w:rsidR="00C46F87" w:rsidRPr="00DD1F63" w:rsidRDefault="00C46F87" w:rsidP="00377A09">
            <w:pPr>
              <w:spacing w:after="0" w:line="240" w:lineRule="auto"/>
              <w:ind w:left="7" w:firstLine="0"/>
              <w:jc w:val="left"/>
              <w:rPr>
                <w:rFonts w:ascii="Times New Roman" w:hAnsi="Times New Roman" w:cs="Times New Roman"/>
                <w:sz w:val="22"/>
              </w:rPr>
            </w:pPr>
            <w:r w:rsidRPr="00DD1F63">
              <w:rPr>
                <w:rFonts w:ascii="Times New Roman" w:hAnsi="Times New Roman" w:cs="Times New Roman"/>
                <w:b/>
                <w:sz w:val="22"/>
              </w:rPr>
              <w:t xml:space="preserve">N=157 </w:t>
            </w:r>
          </w:p>
        </w:tc>
      </w:tr>
      <w:tr w:rsidR="00506E7D" w:rsidRPr="00DD1F63" w14:paraId="64ABB8F3"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3CB6C1DF"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988" w:type="pct"/>
            <w:tcBorders>
              <w:top w:val="single" w:sz="4" w:space="0" w:color="000000"/>
              <w:left w:val="single" w:sz="4" w:space="0" w:color="000000"/>
              <w:bottom w:val="single" w:sz="4" w:space="0" w:color="000000"/>
              <w:right w:val="single" w:sz="4" w:space="0" w:color="000000"/>
            </w:tcBorders>
          </w:tcPr>
          <w:p w14:paraId="4A386E4A"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12% </w:t>
            </w:r>
          </w:p>
        </w:tc>
        <w:tc>
          <w:tcPr>
            <w:tcW w:w="1095" w:type="pct"/>
            <w:tcBorders>
              <w:top w:val="single" w:sz="4" w:space="0" w:color="000000"/>
              <w:left w:val="single" w:sz="4" w:space="0" w:color="000000"/>
              <w:bottom w:val="single" w:sz="4" w:space="0" w:color="000000"/>
              <w:right w:val="single" w:sz="4" w:space="0" w:color="000000"/>
            </w:tcBorders>
          </w:tcPr>
          <w:p w14:paraId="71EBE465"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36%</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01A5FCE4"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41%</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5F9990CC"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4C496ECD"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(CR-100) </w:t>
            </w:r>
          </w:p>
        </w:tc>
        <w:tc>
          <w:tcPr>
            <w:tcW w:w="988" w:type="pct"/>
            <w:tcBorders>
              <w:top w:val="single" w:sz="4" w:space="0" w:color="000000"/>
              <w:left w:val="single" w:sz="4" w:space="0" w:color="000000"/>
              <w:bottom w:val="single" w:sz="4" w:space="0" w:color="000000"/>
              <w:right w:val="single" w:sz="4" w:space="0" w:color="000000"/>
            </w:tcBorders>
          </w:tcPr>
          <w:p w14:paraId="382C7BA6"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17% </w:t>
            </w:r>
          </w:p>
        </w:tc>
        <w:tc>
          <w:tcPr>
            <w:tcW w:w="1095" w:type="pct"/>
            <w:tcBorders>
              <w:top w:val="single" w:sz="4" w:space="0" w:color="000000"/>
              <w:left w:val="single" w:sz="4" w:space="0" w:color="000000"/>
              <w:bottom w:val="single" w:sz="4" w:space="0" w:color="000000"/>
              <w:right w:val="single" w:sz="4" w:space="0" w:color="000000"/>
            </w:tcBorders>
          </w:tcPr>
          <w:p w14:paraId="1D906C98"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41%</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48A2BC2A"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48%</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14CF89D1"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39599AA7" w14:textId="77777777" w:rsidR="00C46F87" w:rsidRPr="00DD1F63" w:rsidRDefault="00C46F87"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(CR-70) </w:t>
            </w:r>
          </w:p>
        </w:tc>
        <w:tc>
          <w:tcPr>
            <w:tcW w:w="988" w:type="pct"/>
            <w:tcBorders>
              <w:top w:val="single" w:sz="4" w:space="0" w:color="000000"/>
              <w:left w:val="single" w:sz="4" w:space="0" w:color="000000"/>
              <w:bottom w:val="single" w:sz="4" w:space="0" w:color="000000"/>
              <w:right w:val="single" w:sz="4" w:space="0" w:color="000000"/>
            </w:tcBorders>
          </w:tcPr>
          <w:p w14:paraId="3D8EBBE1" w14:textId="77777777" w:rsidR="00C46F87" w:rsidRPr="00DD1F63" w:rsidRDefault="00C46F87"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18% </w:t>
            </w:r>
          </w:p>
        </w:tc>
        <w:tc>
          <w:tcPr>
            <w:tcW w:w="1095" w:type="pct"/>
            <w:tcBorders>
              <w:top w:val="single" w:sz="4" w:space="0" w:color="000000"/>
              <w:left w:val="single" w:sz="4" w:space="0" w:color="000000"/>
              <w:bottom w:val="single" w:sz="4" w:space="0" w:color="000000"/>
              <w:right w:val="single" w:sz="4" w:space="0" w:color="000000"/>
            </w:tcBorders>
          </w:tcPr>
          <w:p w14:paraId="27CA7DF5"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43%</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1E4EE3F7"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49%</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27039531"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48226765" w14:textId="1FA94919" w:rsidR="00C46F87" w:rsidRPr="00DD1F63" w:rsidRDefault="00C46F87" w:rsidP="00377A09">
            <w:pPr>
              <w:spacing w:after="0" w:line="240" w:lineRule="auto"/>
              <w:ind w:left="0" w:right="385" w:firstLine="0"/>
              <w:jc w:val="left"/>
              <w:rPr>
                <w:rFonts w:ascii="Times New Roman" w:hAnsi="Times New Roman" w:cs="Times New Roman"/>
                <w:sz w:val="22"/>
              </w:rPr>
            </w:pPr>
            <w:r w:rsidRPr="00DD1F63">
              <w:rPr>
                <w:rFonts w:ascii="Times New Roman" w:hAnsi="Times New Roman" w:cs="Times New Roman"/>
                <w:sz w:val="22"/>
              </w:rPr>
              <w:t xml:space="preserve">Patients in steroid-free remission for ≥ 90 </w:t>
            </w:r>
            <w:proofErr w:type="spellStart"/>
            <w:r w:rsidRPr="00DD1F63">
              <w:rPr>
                <w:rFonts w:ascii="Times New Roman" w:hAnsi="Times New Roman" w:cs="Times New Roman"/>
                <w:sz w:val="22"/>
              </w:rPr>
              <w:t>days</w:t>
            </w:r>
            <w:r w:rsidRPr="00DD1F63">
              <w:rPr>
                <w:rFonts w:ascii="Times New Roman" w:hAnsi="Times New Roman" w:cs="Times New Roman"/>
                <w:sz w:val="22"/>
                <w:vertAlign w:val="superscript"/>
              </w:rPr>
              <w:t>a</w:t>
            </w:r>
            <w:proofErr w:type="spellEnd"/>
            <w:r w:rsidRPr="00DD1F63">
              <w:rPr>
                <w:rFonts w:ascii="Times New Roman" w:hAnsi="Times New Roman" w:cs="Times New Roman"/>
                <w:sz w:val="22"/>
              </w:rPr>
              <w:t xml:space="preserve"> </w:t>
            </w:r>
          </w:p>
        </w:tc>
        <w:tc>
          <w:tcPr>
            <w:tcW w:w="988" w:type="pct"/>
            <w:tcBorders>
              <w:top w:val="single" w:sz="4" w:space="0" w:color="000000"/>
              <w:left w:val="single" w:sz="4" w:space="0" w:color="000000"/>
              <w:bottom w:val="single" w:sz="4" w:space="0" w:color="000000"/>
              <w:right w:val="single" w:sz="4" w:space="0" w:color="000000"/>
            </w:tcBorders>
            <w:vAlign w:val="center"/>
          </w:tcPr>
          <w:p w14:paraId="6AE5619C" w14:textId="77777777" w:rsidR="00C46F87" w:rsidRPr="00DD1F63" w:rsidRDefault="00C46F87"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5% (3/66) </w:t>
            </w:r>
          </w:p>
        </w:tc>
        <w:tc>
          <w:tcPr>
            <w:tcW w:w="1095" w:type="pct"/>
            <w:tcBorders>
              <w:top w:val="single" w:sz="4" w:space="0" w:color="000000"/>
              <w:left w:val="single" w:sz="4" w:space="0" w:color="000000"/>
              <w:bottom w:val="single" w:sz="4" w:space="0" w:color="000000"/>
              <w:right w:val="single" w:sz="4" w:space="0" w:color="000000"/>
            </w:tcBorders>
            <w:vAlign w:val="center"/>
          </w:tcPr>
          <w:p w14:paraId="7CDE884B" w14:textId="77777777" w:rsidR="00C46F87" w:rsidRPr="00DD1F63" w:rsidRDefault="00C46F87" w:rsidP="00377A09">
            <w:pPr>
              <w:spacing w:after="0" w:line="240" w:lineRule="auto"/>
              <w:ind w:left="11" w:firstLine="0"/>
              <w:jc w:val="left"/>
              <w:rPr>
                <w:rFonts w:ascii="Times New Roman" w:hAnsi="Times New Roman" w:cs="Times New Roman"/>
                <w:sz w:val="22"/>
              </w:rPr>
            </w:pPr>
            <w:r w:rsidRPr="00DD1F63">
              <w:rPr>
                <w:rFonts w:ascii="Times New Roman" w:hAnsi="Times New Roman" w:cs="Times New Roman"/>
                <w:sz w:val="22"/>
              </w:rPr>
              <w:t>29% (17/</w:t>
            </w:r>
            <w:proofErr w:type="gramStart"/>
            <w:r w:rsidRPr="00DD1F63">
              <w:rPr>
                <w:rFonts w:ascii="Times New Roman" w:hAnsi="Times New Roman" w:cs="Times New Roman"/>
                <w:sz w:val="22"/>
              </w:rPr>
              <w:t>58)</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vAlign w:val="center"/>
          </w:tcPr>
          <w:p w14:paraId="001F915F" w14:textId="77777777" w:rsidR="00C46F87" w:rsidRPr="00DD1F63" w:rsidRDefault="00C46F87"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20% (15/</w:t>
            </w:r>
            <w:proofErr w:type="gramStart"/>
            <w:r w:rsidRPr="00DD1F63">
              <w:rPr>
                <w:rFonts w:ascii="Times New Roman" w:hAnsi="Times New Roman" w:cs="Times New Roman"/>
                <w:sz w:val="22"/>
              </w:rPr>
              <w:t>74)</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bl>
    <w:p w14:paraId="033879D1" w14:textId="77777777" w:rsidR="00C46F87" w:rsidRPr="00DD1F63" w:rsidRDefault="00C46F87"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Clinical remission is CDAI score &lt;150; clinical response (CR-100) is decrease in CDAI ≥ 100 points; clinical response (CR-70) is decrease in CDAI ≥ 70 points</w:t>
      </w:r>
    </w:p>
    <w:p w14:paraId="28A5F276" w14:textId="00252437" w:rsidR="00C46F87" w:rsidRPr="00DD1F63" w:rsidRDefault="00C46F87"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xml:space="preserve">* p&lt;0.001 for </w:t>
      </w:r>
      <w:r w:rsidR="00910E5C" w:rsidRPr="00DD1F63">
        <w:rPr>
          <w:rFonts w:ascii="Times New Roman" w:hAnsi="Times New Roman" w:cs="Times New Roman"/>
          <w:szCs w:val="20"/>
        </w:rPr>
        <w:t xml:space="preserve">adalimumab </w:t>
      </w:r>
      <w:r w:rsidRPr="00DD1F63">
        <w:rPr>
          <w:rFonts w:ascii="Times New Roman" w:hAnsi="Times New Roman" w:cs="Times New Roman"/>
          <w:szCs w:val="20"/>
        </w:rPr>
        <w:t>vs. placebo pairwise comparisons of proportions</w:t>
      </w:r>
    </w:p>
    <w:p w14:paraId="015360CE" w14:textId="4EB09C50" w:rsidR="00C46F87" w:rsidRPr="00DD1F63" w:rsidRDefault="00C46F87"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xml:space="preserve">** p&lt;0.02 for </w:t>
      </w:r>
      <w:r w:rsidR="00910E5C" w:rsidRPr="00DD1F63">
        <w:rPr>
          <w:rFonts w:ascii="Times New Roman" w:hAnsi="Times New Roman" w:cs="Times New Roman"/>
          <w:szCs w:val="20"/>
        </w:rPr>
        <w:t xml:space="preserve">adalimumab </w:t>
      </w:r>
      <w:r w:rsidRPr="00DD1F63">
        <w:rPr>
          <w:rFonts w:ascii="Times New Roman" w:hAnsi="Times New Roman" w:cs="Times New Roman"/>
          <w:szCs w:val="20"/>
        </w:rPr>
        <w:t>vs. placebo pairwise comparisons of proportions</w:t>
      </w:r>
    </w:p>
    <w:p w14:paraId="12C18DB8" w14:textId="76B57156" w:rsidR="003A288F" w:rsidRPr="00DD1F63" w:rsidRDefault="00C46F87" w:rsidP="00377A09">
      <w:pPr>
        <w:spacing w:after="0" w:line="240" w:lineRule="auto"/>
        <w:ind w:left="426" w:right="375"/>
        <w:jc w:val="left"/>
        <w:rPr>
          <w:rFonts w:ascii="Times New Roman" w:hAnsi="Times New Roman" w:cs="Times New Roman"/>
          <w:szCs w:val="20"/>
        </w:rPr>
      </w:pPr>
      <w:proofErr w:type="spellStart"/>
      <w:r w:rsidRPr="00DD1F63">
        <w:rPr>
          <w:rFonts w:ascii="Times New Roman" w:hAnsi="Times New Roman" w:cs="Times New Roman"/>
          <w:szCs w:val="20"/>
          <w:vertAlign w:val="superscript"/>
        </w:rPr>
        <w:t>a</w:t>
      </w:r>
      <w:proofErr w:type="spellEnd"/>
      <w:r w:rsidRPr="00DD1F63">
        <w:rPr>
          <w:rFonts w:ascii="Times New Roman" w:hAnsi="Times New Roman" w:cs="Times New Roman"/>
          <w:szCs w:val="20"/>
        </w:rPr>
        <w:t xml:space="preserve"> </w:t>
      </w:r>
      <w:proofErr w:type="gramStart"/>
      <w:r w:rsidRPr="00DD1F63">
        <w:rPr>
          <w:rFonts w:ascii="Times New Roman" w:hAnsi="Times New Roman" w:cs="Times New Roman"/>
          <w:szCs w:val="20"/>
        </w:rPr>
        <w:t>Of</w:t>
      </w:r>
      <w:proofErr w:type="gramEnd"/>
      <w:r w:rsidRPr="00DD1F63">
        <w:rPr>
          <w:rFonts w:ascii="Times New Roman" w:hAnsi="Times New Roman" w:cs="Times New Roman"/>
          <w:szCs w:val="20"/>
        </w:rPr>
        <w:t xml:space="preserve"> those receiving corticosteroids at baseline</w:t>
      </w:r>
    </w:p>
    <w:p w14:paraId="4679CF97" w14:textId="4A1D9FAF" w:rsidR="003A288F" w:rsidRPr="00DD1F63" w:rsidRDefault="003A288F" w:rsidP="00377A09">
      <w:pPr>
        <w:spacing w:after="0" w:line="240" w:lineRule="auto"/>
        <w:ind w:left="426" w:right="375"/>
        <w:jc w:val="left"/>
        <w:rPr>
          <w:rFonts w:ascii="Times New Roman" w:hAnsi="Times New Roman" w:cs="Times New Roman"/>
          <w:sz w:val="22"/>
        </w:rPr>
      </w:pPr>
    </w:p>
    <w:p w14:paraId="6D83CF84" w14:textId="116EE370" w:rsidR="003A288F" w:rsidRPr="00DD1F63" w:rsidRDefault="00C46F87"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Of those in response at Week 4 who attained remission during the study, patients in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maintenance groups, maintained remission for a significantly longer time than patients in the placebo maintenance group (see Figure 5). Among patients who were not in response by Week 12, therapy continued beyond 12 weeks did not result in significantly more responses. The group that received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every week did not show significantly higher remission rates than the group that received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fortnightly.</w:t>
      </w:r>
    </w:p>
    <w:p w14:paraId="116C1A50" w14:textId="7B3A28D4" w:rsidR="003A288F" w:rsidRPr="00DD1F63" w:rsidRDefault="003A288F" w:rsidP="00377A09">
      <w:pPr>
        <w:spacing w:after="0" w:line="240" w:lineRule="auto"/>
        <w:ind w:left="426" w:right="375"/>
        <w:jc w:val="left"/>
        <w:rPr>
          <w:rFonts w:ascii="Times New Roman" w:hAnsi="Times New Roman" w:cs="Times New Roman"/>
          <w:sz w:val="22"/>
        </w:rPr>
      </w:pPr>
    </w:p>
    <w:p w14:paraId="013D4EF2" w14:textId="4BF538C9" w:rsidR="003A288F" w:rsidRPr="00DD1F63" w:rsidRDefault="00C46F87"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117/854 patients had draining fistulas both at screening and at baseline. For the assessment of fistula healing, the data for both doses of adalimumab used in the study were pooled. The proportion of subjects (ITT population) with fistula healing at Week 26 was statistically significantly greater in patients treated with adalimumab [21/70 (30.0%)] compared to placebo [6/47 (12.8%)]. Complete fistula healing was maintained through Week 56 in 23/70 (32.9%) and 6/47 (12.8%) patients (ITT population) in the adalimumab and placebo groups, respectively.</w:t>
      </w:r>
    </w:p>
    <w:p w14:paraId="19904758" w14:textId="26F03C7B" w:rsidR="00C46F87" w:rsidRPr="00DD1F63" w:rsidRDefault="00C46F87" w:rsidP="00377A09">
      <w:pPr>
        <w:spacing w:after="0" w:line="240" w:lineRule="auto"/>
        <w:ind w:left="426" w:right="375"/>
        <w:jc w:val="left"/>
        <w:rPr>
          <w:rFonts w:ascii="Times New Roman" w:hAnsi="Times New Roman" w:cs="Times New Roman"/>
          <w:sz w:val="22"/>
        </w:rPr>
      </w:pPr>
    </w:p>
    <w:p w14:paraId="694CFAAC" w14:textId="0276C988" w:rsidR="00C46F87" w:rsidRPr="00DD1F63" w:rsidRDefault="00C46F87"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117/276 patients from CD study I and 272/777 patients from CD studies II and III were followed through at least 3 years of open-label adalimumab therapy. 88 (75.2%) and 189 (69.5%) patients, respectively, continued to be in clinical remission. Clinical response (CR-100) was maintained in 102 (87.2%) and 233 (85.7%) patients, respectively.</w:t>
      </w:r>
    </w:p>
    <w:p w14:paraId="221E177D" w14:textId="48060DCB" w:rsidR="00C46F87" w:rsidRPr="00DD1F63" w:rsidRDefault="00C46F87" w:rsidP="00377A09">
      <w:pPr>
        <w:spacing w:after="0" w:line="240" w:lineRule="auto"/>
        <w:ind w:left="426" w:right="375"/>
        <w:jc w:val="left"/>
        <w:rPr>
          <w:rFonts w:ascii="Times New Roman" w:hAnsi="Times New Roman" w:cs="Times New Roman"/>
          <w:sz w:val="22"/>
        </w:rPr>
      </w:pPr>
    </w:p>
    <w:p w14:paraId="2B4C0F98" w14:textId="29D4F72E" w:rsidR="00C46F87" w:rsidRPr="00DD1F63" w:rsidRDefault="00C46F87"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An endoscopy study (n=135) assessed rates of mucosal healing in patients with moderate to severe Crohn’s Disease given either adalimumab or placebo. After 8 weeks of randomised treatment (Week 12 of study) there was a trend towards higher levels of mucosal healing in subjects given adalimumab compared with subjects given </w:t>
      </w:r>
      <w:proofErr w:type="gramStart"/>
      <w:r w:rsidRPr="00DD1F63">
        <w:rPr>
          <w:rFonts w:ascii="Times New Roman" w:hAnsi="Times New Roman" w:cs="Times New Roman"/>
          <w:sz w:val="22"/>
        </w:rPr>
        <w:t>placebo</w:t>
      </w:r>
      <w:proofErr w:type="gramEnd"/>
      <w:r w:rsidRPr="00DD1F63">
        <w:rPr>
          <w:rFonts w:ascii="Times New Roman" w:hAnsi="Times New Roman" w:cs="Times New Roman"/>
          <w:sz w:val="22"/>
        </w:rPr>
        <w:t xml:space="preserve"> but the differences were not statistically significant (healing in 27.4% (17/62) adalimumab vs 13.1% (8/61) given placebo; p = 0.056). Subjects who continued randomised adalimumab for 52 weeks (n=135) were more likely to experience mucosal healing relative to placebo (healing in 24.2% [15/62] adalimumab vs 0% [0/61] given placebo; p&lt;0.001).</w:t>
      </w:r>
    </w:p>
    <w:p w14:paraId="6A1B5EA6" w14:textId="0CE4CAB0" w:rsidR="00C46F87" w:rsidRPr="00DD1F63" w:rsidRDefault="00C46F87" w:rsidP="00377A09">
      <w:pPr>
        <w:spacing w:after="0" w:line="240" w:lineRule="auto"/>
        <w:ind w:left="426" w:right="375"/>
        <w:jc w:val="left"/>
        <w:rPr>
          <w:rFonts w:ascii="Times New Roman" w:hAnsi="Times New Roman" w:cs="Times New Roman"/>
          <w:sz w:val="22"/>
        </w:rPr>
      </w:pPr>
    </w:p>
    <w:p w14:paraId="40407A0F" w14:textId="713D0B7C" w:rsidR="00C46F87" w:rsidRPr="00DD1F63" w:rsidRDefault="00C46F87" w:rsidP="00377A09">
      <w:pPr>
        <w:keepNext/>
        <w:pageBreakBefore/>
        <w:spacing w:after="0" w:line="240" w:lineRule="auto"/>
        <w:ind w:left="425" w:right="374" w:hanging="11"/>
        <w:jc w:val="left"/>
        <w:rPr>
          <w:rFonts w:ascii="Times New Roman" w:hAnsi="Times New Roman" w:cs="Times New Roman"/>
          <w:sz w:val="22"/>
        </w:rPr>
      </w:pPr>
      <w:r w:rsidRPr="00DD1F63">
        <w:rPr>
          <w:rFonts w:ascii="Times New Roman" w:hAnsi="Times New Roman" w:cs="Times New Roman"/>
          <w:b/>
          <w:bCs/>
          <w:sz w:val="22"/>
        </w:rPr>
        <w:lastRenderedPageBreak/>
        <w:t>Figure 5: Days in Clinical Remission for Patients Who Achieved Clinical Remission in CD Study III</w:t>
      </w:r>
    </w:p>
    <w:p w14:paraId="4873B756" w14:textId="77777777" w:rsidR="00C46F87" w:rsidRPr="00DD1F63" w:rsidRDefault="00C46F87" w:rsidP="00377A09">
      <w:pPr>
        <w:spacing w:after="0" w:line="240" w:lineRule="auto"/>
        <w:ind w:left="426" w:right="375"/>
        <w:jc w:val="left"/>
        <w:rPr>
          <w:rFonts w:ascii="Times New Roman" w:hAnsi="Times New Roman" w:cs="Times New Roman"/>
          <w:sz w:val="22"/>
        </w:rPr>
      </w:pPr>
    </w:p>
    <w:p w14:paraId="6874D224" w14:textId="3A479C3B"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noProof/>
          <w:sz w:val="22"/>
        </w:rPr>
        <w:drawing>
          <wp:inline distT="0" distB="0" distL="0" distR="0" wp14:anchorId="528F8F2F" wp14:editId="2FD02484">
            <wp:extent cx="5561508" cy="4238625"/>
            <wp:effectExtent l="0" t="0" r="127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6730" cy="4242605"/>
                    </a:xfrm>
                    <a:prstGeom prst="rect">
                      <a:avLst/>
                    </a:prstGeom>
                    <a:noFill/>
                    <a:ln>
                      <a:noFill/>
                    </a:ln>
                  </pic:spPr>
                </pic:pic>
              </a:graphicData>
            </a:graphic>
          </wp:inline>
        </w:drawing>
      </w:r>
    </w:p>
    <w:p w14:paraId="3501EB32" w14:textId="4493AED8" w:rsidR="00C46F87" w:rsidRPr="00DD1F63" w:rsidRDefault="00C46F87" w:rsidP="00377A09">
      <w:pPr>
        <w:spacing w:after="0" w:line="240" w:lineRule="auto"/>
        <w:ind w:left="426" w:right="375"/>
        <w:jc w:val="left"/>
        <w:rPr>
          <w:rFonts w:ascii="Times New Roman" w:hAnsi="Times New Roman" w:cs="Times New Roman"/>
          <w:sz w:val="22"/>
        </w:rPr>
      </w:pPr>
    </w:p>
    <w:p w14:paraId="70A75DAC" w14:textId="73D4DE09" w:rsidR="00916A9B" w:rsidRPr="00DD1F63" w:rsidRDefault="00916A9B" w:rsidP="00377A09">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t>Patient Reported Outcomes</w:t>
      </w:r>
    </w:p>
    <w:p w14:paraId="2E19C912" w14:textId="09D80B68" w:rsidR="003A288F" w:rsidRPr="00DD1F63" w:rsidRDefault="003A288F" w:rsidP="00377A09">
      <w:pPr>
        <w:spacing w:after="0" w:line="240" w:lineRule="auto"/>
        <w:ind w:left="426" w:right="375"/>
        <w:jc w:val="left"/>
        <w:rPr>
          <w:rFonts w:ascii="Times New Roman" w:hAnsi="Times New Roman" w:cs="Times New Roman"/>
          <w:sz w:val="22"/>
        </w:rPr>
      </w:pPr>
    </w:p>
    <w:p w14:paraId="403A43E9" w14:textId="2AE43E40"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CD Study I and CD Study II, statistically significant improvement in disease-specific inflammatory bowel disease questionnaire (IBDQ) total score was achieved at Week 4 in patients randomised to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160/80 mg compared to placebo. Statistically significant improvement from baseline in IBDQ scores was seen at Weeks 26 and 56 in CD Study III among the adalimumab treatment groups compared to the placebo group.</w:t>
      </w:r>
    </w:p>
    <w:p w14:paraId="0D2C7A63" w14:textId="10383EDE" w:rsidR="00916A9B" w:rsidRPr="00DD1F63" w:rsidRDefault="00916A9B" w:rsidP="00377A09">
      <w:pPr>
        <w:spacing w:after="0" w:line="240" w:lineRule="auto"/>
        <w:ind w:left="426" w:right="375"/>
        <w:jc w:val="left"/>
        <w:rPr>
          <w:rFonts w:ascii="Times New Roman" w:hAnsi="Times New Roman" w:cs="Times New Roman"/>
          <w:sz w:val="22"/>
        </w:rPr>
      </w:pPr>
    </w:p>
    <w:p w14:paraId="58D088EA" w14:textId="5730474D" w:rsidR="00916A9B" w:rsidRPr="00DD1F63" w:rsidRDefault="00916A9B" w:rsidP="00377A09">
      <w:pPr>
        <w:spacing w:after="0" w:line="240" w:lineRule="auto"/>
        <w:ind w:left="426" w:right="375"/>
        <w:jc w:val="left"/>
        <w:rPr>
          <w:rFonts w:ascii="Times New Roman" w:hAnsi="Times New Roman" w:cs="Times New Roman"/>
          <w:i/>
          <w:iCs/>
          <w:sz w:val="22"/>
        </w:rPr>
      </w:pPr>
      <w:r w:rsidRPr="00DD1F63">
        <w:rPr>
          <w:rFonts w:ascii="Times New Roman" w:hAnsi="Times New Roman" w:cs="Times New Roman"/>
          <w:i/>
          <w:iCs/>
          <w:sz w:val="22"/>
        </w:rPr>
        <w:t>Children and Adolescents</w:t>
      </w:r>
    </w:p>
    <w:p w14:paraId="4020C441" w14:textId="4415CF6C" w:rsidR="00916A9B" w:rsidRPr="00DD1F63" w:rsidRDefault="00916A9B" w:rsidP="00377A09">
      <w:pPr>
        <w:spacing w:after="0" w:line="240" w:lineRule="auto"/>
        <w:ind w:left="426" w:right="375"/>
        <w:jc w:val="left"/>
        <w:rPr>
          <w:rFonts w:ascii="Times New Roman" w:hAnsi="Times New Roman" w:cs="Times New Roman"/>
          <w:sz w:val="22"/>
        </w:rPr>
      </w:pPr>
    </w:p>
    <w:p w14:paraId="13C34BF6" w14:textId="5E7020A8" w:rsidR="00916A9B" w:rsidRPr="00DD1F63" w:rsidRDefault="00910E5C"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Adalimumab </w:t>
      </w:r>
      <w:r w:rsidR="00916A9B" w:rsidRPr="00DD1F63">
        <w:rPr>
          <w:rFonts w:ascii="Times New Roman" w:hAnsi="Times New Roman" w:cs="Times New Roman"/>
          <w:sz w:val="22"/>
        </w:rPr>
        <w:t>was assessed in a multi-centre, randomised, double-blind clinical trial designed to evaluate the efficacy and safety of induction and maintenance treatment with doses dependent on body weight (&lt; 40 kg or ≥ 40 kg) in 192 paediatric subjects between the ages of 6 and 17 (inclusive) years, with moderate to severe Crohn´s disease (CD) defined as Paediatric Crohn's Disease Activity Index (PCDAI) score &gt; 30. Subjects had to have failed conventional therapy (including a corticosteroid and/or an immunomodulator) for CD. Subjects may also have previously lost response or been intolerant to infliximab.</w:t>
      </w:r>
    </w:p>
    <w:p w14:paraId="00F56F9E" w14:textId="62C7AAF5" w:rsidR="00916A9B" w:rsidRPr="00DD1F63" w:rsidRDefault="00916A9B" w:rsidP="00377A09">
      <w:pPr>
        <w:spacing w:after="0" w:line="240" w:lineRule="auto"/>
        <w:ind w:left="426" w:right="375"/>
        <w:jc w:val="left"/>
        <w:rPr>
          <w:rFonts w:ascii="Times New Roman" w:hAnsi="Times New Roman" w:cs="Times New Roman"/>
          <w:sz w:val="22"/>
        </w:rPr>
      </w:pPr>
    </w:p>
    <w:p w14:paraId="20F65971" w14:textId="3DC66494"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All subjects received open-label induction therapy at a dose based on their Baseline body weight: 160 mg at Week 0 and 80 mg at Week 2 for subjects ≥ 40 kg, and 80 mg and 40 mg, respectively, for subjects &lt; 40 kg.</w:t>
      </w:r>
    </w:p>
    <w:p w14:paraId="03794310" w14:textId="5E0E74EF" w:rsidR="00916A9B" w:rsidRPr="00DD1F63" w:rsidRDefault="00916A9B" w:rsidP="00377A09">
      <w:pPr>
        <w:spacing w:after="0" w:line="240" w:lineRule="auto"/>
        <w:ind w:left="426" w:right="375"/>
        <w:jc w:val="left"/>
        <w:rPr>
          <w:rFonts w:ascii="Times New Roman" w:hAnsi="Times New Roman" w:cs="Times New Roman"/>
          <w:sz w:val="22"/>
        </w:rPr>
      </w:pPr>
    </w:p>
    <w:p w14:paraId="6BA8D089" w14:textId="5CAD56F0"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At Week 4, subjects were randomised 1:1 based on their body weight at the time to either the Low Dose or Standard Dose maintenance regimens as shown in Table </w:t>
      </w:r>
      <w:r w:rsidR="00BD4FF7" w:rsidRPr="00DD1F63">
        <w:rPr>
          <w:rFonts w:ascii="Times New Roman" w:hAnsi="Times New Roman" w:cs="Times New Roman"/>
          <w:sz w:val="22"/>
        </w:rPr>
        <w:t>20</w:t>
      </w:r>
      <w:r w:rsidRPr="00DD1F63">
        <w:rPr>
          <w:rFonts w:ascii="Times New Roman" w:hAnsi="Times New Roman" w:cs="Times New Roman"/>
          <w:sz w:val="22"/>
        </w:rPr>
        <w:t>.</w:t>
      </w:r>
    </w:p>
    <w:p w14:paraId="45A8A9B1" w14:textId="03B0045A" w:rsidR="00916A9B" w:rsidRPr="00DD1F63" w:rsidRDefault="00916A9B" w:rsidP="00377A09">
      <w:pPr>
        <w:spacing w:after="0" w:line="240" w:lineRule="auto"/>
        <w:ind w:left="426" w:right="375"/>
        <w:jc w:val="left"/>
        <w:rPr>
          <w:rFonts w:ascii="Times New Roman" w:hAnsi="Times New Roman" w:cs="Times New Roman"/>
          <w:sz w:val="22"/>
        </w:rPr>
      </w:pPr>
    </w:p>
    <w:tbl>
      <w:tblPr>
        <w:tblStyle w:val="TableGrid"/>
        <w:tblW w:w="8602" w:type="dxa"/>
        <w:tblInd w:w="421" w:type="dxa"/>
        <w:tblCellMar>
          <w:left w:w="57" w:type="dxa"/>
          <w:right w:w="58" w:type="dxa"/>
        </w:tblCellMar>
        <w:tblLook w:val="04A0" w:firstRow="1" w:lastRow="0" w:firstColumn="1" w:lastColumn="0" w:noHBand="0" w:noVBand="1"/>
      </w:tblPr>
      <w:tblGrid>
        <w:gridCol w:w="2584"/>
        <w:gridCol w:w="3008"/>
        <w:gridCol w:w="3010"/>
      </w:tblGrid>
      <w:tr w:rsidR="00916A9B" w:rsidRPr="00DD1F63" w14:paraId="49E998C8" w14:textId="77777777" w:rsidTr="00245F1E">
        <w:trPr>
          <w:trHeight w:val="20"/>
        </w:trPr>
        <w:tc>
          <w:tcPr>
            <w:tcW w:w="8602" w:type="dxa"/>
            <w:gridSpan w:val="3"/>
            <w:tcBorders>
              <w:top w:val="single" w:sz="4" w:space="0" w:color="000000"/>
              <w:left w:val="single" w:sz="4" w:space="0" w:color="000000"/>
              <w:bottom w:val="single" w:sz="4" w:space="0" w:color="000000"/>
              <w:right w:val="single" w:sz="4" w:space="0" w:color="000000"/>
            </w:tcBorders>
          </w:tcPr>
          <w:p w14:paraId="3895123E" w14:textId="33D8CF2D"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Table </w:t>
            </w:r>
            <w:r w:rsidR="00BD4FF7" w:rsidRPr="00DD1F63">
              <w:rPr>
                <w:rFonts w:ascii="Times New Roman" w:hAnsi="Times New Roman" w:cs="Times New Roman"/>
                <w:b/>
                <w:sz w:val="22"/>
              </w:rPr>
              <w:t>20</w:t>
            </w:r>
            <w:r w:rsidRPr="00DD1F63">
              <w:rPr>
                <w:rFonts w:ascii="Times New Roman" w:hAnsi="Times New Roman" w:cs="Times New Roman"/>
                <w:b/>
                <w:sz w:val="22"/>
              </w:rPr>
              <w:t xml:space="preserve">:  Maintenance Regimen </w:t>
            </w:r>
          </w:p>
        </w:tc>
      </w:tr>
      <w:tr w:rsidR="00916A9B" w:rsidRPr="00DD1F63" w14:paraId="3A70C95A" w14:textId="77777777" w:rsidTr="00873FBA">
        <w:trPr>
          <w:trHeight w:val="20"/>
        </w:trPr>
        <w:tc>
          <w:tcPr>
            <w:tcW w:w="2584" w:type="dxa"/>
            <w:tcBorders>
              <w:top w:val="single" w:sz="4" w:space="0" w:color="000000"/>
              <w:left w:val="single" w:sz="4" w:space="0" w:color="000000"/>
              <w:bottom w:val="single" w:sz="4" w:space="0" w:color="000000"/>
              <w:right w:val="single" w:sz="4" w:space="0" w:color="000000"/>
            </w:tcBorders>
          </w:tcPr>
          <w:p w14:paraId="21971CB4"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Patient Weight </w:t>
            </w:r>
          </w:p>
        </w:tc>
        <w:tc>
          <w:tcPr>
            <w:tcW w:w="3008" w:type="dxa"/>
            <w:tcBorders>
              <w:top w:val="single" w:sz="4" w:space="0" w:color="000000"/>
              <w:left w:val="single" w:sz="4" w:space="0" w:color="000000"/>
              <w:bottom w:val="single" w:sz="4" w:space="0" w:color="000000"/>
              <w:right w:val="single" w:sz="4" w:space="0" w:color="000000"/>
            </w:tcBorders>
          </w:tcPr>
          <w:p w14:paraId="3D34FC62"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Low Dose </w:t>
            </w:r>
          </w:p>
        </w:tc>
        <w:tc>
          <w:tcPr>
            <w:tcW w:w="3010" w:type="dxa"/>
            <w:tcBorders>
              <w:top w:val="single" w:sz="4" w:space="0" w:color="000000"/>
              <w:left w:val="single" w:sz="4" w:space="0" w:color="000000"/>
              <w:bottom w:val="single" w:sz="4" w:space="0" w:color="000000"/>
              <w:right w:val="single" w:sz="4" w:space="0" w:color="000000"/>
            </w:tcBorders>
          </w:tcPr>
          <w:p w14:paraId="34C31105"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Standard Dose </w:t>
            </w:r>
          </w:p>
        </w:tc>
      </w:tr>
      <w:tr w:rsidR="00916A9B" w:rsidRPr="00DD1F63" w14:paraId="0DF25F24" w14:textId="77777777" w:rsidTr="00873FBA">
        <w:trPr>
          <w:trHeight w:val="20"/>
        </w:trPr>
        <w:tc>
          <w:tcPr>
            <w:tcW w:w="2584" w:type="dxa"/>
            <w:tcBorders>
              <w:top w:val="single" w:sz="4" w:space="0" w:color="000000"/>
              <w:left w:val="single" w:sz="4" w:space="0" w:color="000000"/>
              <w:bottom w:val="single" w:sz="4" w:space="0" w:color="000000"/>
              <w:right w:val="single" w:sz="4" w:space="0" w:color="000000"/>
            </w:tcBorders>
          </w:tcPr>
          <w:p w14:paraId="13E9680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&lt; 40 kg </w:t>
            </w:r>
          </w:p>
        </w:tc>
        <w:tc>
          <w:tcPr>
            <w:tcW w:w="3008" w:type="dxa"/>
            <w:tcBorders>
              <w:top w:val="single" w:sz="4" w:space="0" w:color="000000"/>
              <w:left w:val="single" w:sz="4" w:space="0" w:color="000000"/>
              <w:bottom w:val="single" w:sz="4" w:space="0" w:color="000000"/>
              <w:right w:val="single" w:sz="4" w:space="0" w:color="000000"/>
            </w:tcBorders>
          </w:tcPr>
          <w:p w14:paraId="7C4972D7"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10 mg fortnightly </w:t>
            </w:r>
          </w:p>
        </w:tc>
        <w:tc>
          <w:tcPr>
            <w:tcW w:w="3010" w:type="dxa"/>
            <w:tcBorders>
              <w:top w:val="single" w:sz="4" w:space="0" w:color="000000"/>
              <w:left w:val="single" w:sz="4" w:space="0" w:color="000000"/>
              <w:bottom w:val="single" w:sz="4" w:space="0" w:color="000000"/>
              <w:right w:val="single" w:sz="4" w:space="0" w:color="000000"/>
            </w:tcBorders>
          </w:tcPr>
          <w:p w14:paraId="28C7A42F"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20 mg fortnightly </w:t>
            </w:r>
          </w:p>
        </w:tc>
      </w:tr>
      <w:tr w:rsidR="00916A9B" w:rsidRPr="00DD1F63" w14:paraId="2C0DC4CE" w14:textId="77777777" w:rsidTr="00873FBA">
        <w:trPr>
          <w:trHeight w:val="20"/>
        </w:trPr>
        <w:tc>
          <w:tcPr>
            <w:tcW w:w="2584" w:type="dxa"/>
            <w:tcBorders>
              <w:top w:val="single" w:sz="4" w:space="0" w:color="000000"/>
              <w:left w:val="single" w:sz="4" w:space="0" w:color="000000"/>
              <w:bottom w:val="single" w:sz="4" w:space="0" w:color="000000"/>
              <w:right w:val="single" w:sz="4" w:space="0" w:color="000000"/>
            </w:tcBorders>
          </w:tcPr>
          <w:p w14:paraId="2638A72B"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40 kg </w:t>
            </w:r>
          </w:p>
        </w:tc>
        <w:tc>
          <w:tcPr>
            <w:tcW w:w="3008" w:type="dxa"/>
            <w:tcBorders>
              <w:top w:val="single" w:sz="4" w:space="0" w:color="000000"/>
              <w:left w:val="single" w:sz="4" w:space="0" w:color="000000"/>
              <w:bottom w:val="single" w:sz="4" w:space="0" w:color="000000"/>
              <w:right w:val="single" w:sz="4" w:space="0" w:color="000000"/>
            </w:tcBorders>
          </w:tcPr>
          <w:p w14:paraId="6671F436"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20 mg fortnightly </w:t>
            </w:r>
          </w:p>
        </w:tc>
        <w:tc>
          <w:tcPr>
            <w:tcW w:w="3010" w:type="dxa"/>
            <w:tcBorders>
              <w:top w:val="single" w:sz="4" w:space="0" w:color="000000"/>
              <w:left w:val="single" w:sz="4" w:space="0" w:color="000000"/>
              <w:bottom w:val="single" w:sz="4" w:space="0" w:color="000000"/>
              <w:right w:val="single" w:sz="4" w:space="0" w:color="000000"/>
            </w:tcBorders>
          </w:tcPr>
          <w:p w14:paraId="3CB2A26B"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40 mg fortnightly </w:t>
            </w:r>
          </w:p>
        </w:tc>
      </w:tr>
    </w:tbl>
    <w:p w14:paraId="12A3957D" w14:textId="347C16F2" w:rsidR="00916A9B" w:rsidRPr="00DD1F63" w:rsidRDefault="00916A9B" w:rsidP="00377A09">
      <w:pPr>
        <w:spacing w:after="0" w:line="240" w:lineRule="auto"/>
        <w:ind w:left="426" w:right="375"/>
        <w:jc w:val="left"/>
        <w:rPr>
          <w:rFonts w:ascii="Times New Roman" w:hAnsi="Times New Roman" w:cs="Times New Roman"/>
          <w:sz w:val="22"/>
        </w:rPr>
      </w:pPr>
    </w:p>
    <w:p w14:paraId="17891A8F" w14:textId="4D4121D0" w:rsidR="00916A9B" w:rsidRPr="00DD1F63" w:rsidRDefault="00916A9B" w:rsidP="00377A09">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t>Efficacy Results</w:t>
      </w:r>
    </w:p>
    <w:p w14:paraId="1F913629" w14:textId="20D78B21" w:rsidR="00916A9B" w:rsidRPr="00DD1F63" w:rsidRDefault="00916A9B" w:rsidP="00377A09">
      <w:pPr>
        <w:spacing w:after="0" w:line="240" w:lineRule="auto"/>
        <w:ind w:left="426" w:right="375"/>
        <w:jc w:val="left"/>
        <w:rPr>
          <w:rFonts w:ascii="Times New Roman" w:hAnsi="Times New Roman" w:cs="Times New Roman"/>
          <w:sz w:val="22"/>
        </w:rPr>
      </w:pPr>
    </w:p>
    <w:p w14:paraId="08013F5E" w14:textId="78DA9549"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The primary endpoint of the study was clinical remission at Week 26, defined as PCDAI score ≤ 10.</w:t>
      </w:r>
    </w:p>
    <w:p w14:paraId="749E067B" w14:textId="2E70047D" w:rsidR="00916A9B" w:rsidRPr="00DD1F63" w:rsidRDefault="00916A9B" w:rsidP="00377A09">
      <w:pPr>
        <w:spacing w:after="0" w:line="240" w:lineRule="auto"/>
        <w:ind w:left="426" w:right="375"/>
        <w:jc w:val="left"/>
        <w:rPr>
          <w:rFonts w:ascii="Times New Roman" w:hAnsi="Times New Roman" w:cs="Times New Roman"/>
          <w:sz w:val="22"/>
        </w:rPr>
      </w:pPr>
    </w:p>
    <w:p w14:paraId="1A68EB81" w14:textId="64CE23A2"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Clinical remission and clinical response (defined as reduction in PCDAI score of at least 15 points from Baseline) rates are presented in Table 2</w:t>
      </w:r>
      <w:r w:rsidR="00BD4FF7" w:rsidRPr="00DD1F63">
        <w:rPr>
          <w:rFonts w:ascii="Times New Roman" w:hAnsi="Times New Roman" w:cs="Times New Roman"/>
          <w:sz w:val="22"/>
        </w:rPr>
        <w:t>1</w:t>
      </w:r>
      <w:r w:rsidRPr="00DD1F63">
        <w:rPr>
          <w:rFonts w:ascii="Times New Roman" w:hAnsi="Times New Roman" w:cs="Times New Roman"/>
          <w:sz w:val="22"/>
        </w:rPr>
        <w:t>.</w:t>
      </w:r>
    </w:p>
    <w:p w14:paraId="232D880F" w14:textId="24C962B8" w:rsidR="00916A9B" w:rsidRPr="00DD1F63" w:rsidRDefault="00916A9B" w:rsidP="00377A09">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1939"/>
        <w:gridCol w:w="2934"/>
        <w:gridCol w:w="2593"/>
        <w:gridCol w:w="1508"/>
      </w:tblGrid>
      <w:tr w:rsidR="00506E7D" w:rsidRPr="00DD1F63" w14:paraId="28108EBC" w14:textId="77777777" w:rsidTr="00916A9B">
        <w:trPr>
          <w:trHeight w:val="20"/>
        </w:trPr>
        <w:tc>
          <w:tcPr>
            <w:tcW w:w="4160" w:type="pct"/>
            <w:gridSpan w:val="3"/>
            <w:tcBorders>
              <w:top w:val="single" w:sz="4" w:space="0" w:color="000000"/>
              <w:left w:val="single" w:sz="4" w:space="0" w:color="000000"/>
              <w:bottom w:val="single" w:sz="4" w:space="0" w:color="000000"/>
              <w:right w:val="nil"/>
            </w:tcBorders>
          </w:tcPr>
          <w:p w14:paraId="56A5C4BF" w14:textId="2921700E"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1</w:t>
            </w:r>
            <w:r w:rsidRPr="00DD1F63">
              <w:rPr>
                <w:rFonts w:ascii="Times New Roman" w:hAnsi="Times New Roman" w:cs="Times New Roman"/>
                <w:b/>
                <w:sz w:val="22"/>
              </w:rPr>
              <w:t>: Paediatric CD Study PCDAI Clinical Remission and Response</w:t>
            </w:r>
          </w:p>
        </w:tc>
        <w:tc>
          <w:tcPr>
            <w:tcW w:w="840" w:type="pct"/>
            <w:tcBorders>
              <w:top w:val="single" w:sz="4" w:space="0" w:color="000000"/>
              <w:left w:val="nil"/>
              <w:bottom w:val="single" w:sz="4" w:space="0" w:color="000000"/>
              <w:right w:val="single" w:sz="4" w:space="0" w:color="000000"/>
            </w:tcBorders>
          </w:tcPr>
          <w:p w14:paraId="3079CA99"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r>
      <w:tr w:rsidR="00506E7D" w:rsidRPr="00DD1F63" w14:paraId="113A8964"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7659868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1635" w:type="pct"/>
            <w:tcBorders>
              <w:top w:val="single" w:sz="4" w:space="0" w:color="000000"/>
              <w:left w:val="single" w:sz="4" w:space="0" w:color="000000"/>
              <w:bottom w:val="single" w:sz="4" w:space="0" w:color="000000"/>
              <w:right w:val="single" w:sz="4" w:space="0" w:color="000000"/>
            </w:tcBorders>
          </w:tcPr>
          <w:p w14:paraId="638BBD37"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Standard Dose 40/20 mg </w:t>
            </w:r>
          </w:p>
          <w:p w14:paraId="02E6D9B3"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fortnightly </w:t>
            </w:r>
          </w:p>
          <w:p w14:paraId="6D3A5F06"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N =93 </w:t>
            </w:r>
          </w:p>
        </w:tc>
        <w:tc>
          <w:tcPr>
            <w:tcW w:w="1445" w:type="pct"/>
            <w:tcBorders>
              <w:top w:val="single" w:sz="4" w:space="0" w:color="000000"/>
              <w:left w:val="single" w:sz="4" w:space="0" w:color="000000"/>
              <w:bottom w:val="single" w:sz="4" w:space="0" w:color="000000"/>
              <w:right w:val="single" w:sz="4" w:space="0" w:color="000000"/>
            </w:tcBorders>
          </w:tcPr>
          <w:p w14:paraId="735C4F75"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Low Dose 20/10 mg </w:t>
            </w:r>
          </w:p>
          <w:p w14:paraId="37612A06"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fortnightly </w:t>
            </w:r>
          </w:p>
          <w:p w14:paraId="2595FF06"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N =95 </w:t>
            </w:r>
          </w:p>
        </w:tc>
        <w:tc>
          <w:tcPr>
            <w:tcW w:w="840" w:type="pct"/>
            <w:tcBorders>
              <w:top w:val="single" w:sz="4" w:space="0" w:color="000000"/>
              <w:left w:val="single" w:sz="4" w:space="0" w:color="000000"/>
              <w:bottom w:val="single" w:sz="4" w:space="0" w:color="000000"/>
              <w:right w:val="single" w:sz="4" w:space="0" w:color="000000"/>
            </w:tcBorders>
          </w:tcPr>
          <w:p w14:paraId="066550AA"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P value* </w:t>
            </w:r>
          </w:p>
        </w:tc>
      </w:tr>
      <w:tr w:rsidR="00506E7D" w:rsidRPr="00DD1F63" w14:paraId="497BC9B3"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25E1A597"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Week 26 </w:t>
            </w:r>
          </w:p>
        </w:tc>
        <w:tc>
          <w:tcPr>
            <w:tcW w:w="1635" w:type="pct"/>
            <w:tcBorders>
              <w:top w:val="single" w:sz="4" w:space="0" w:color="000000"/>
              <w:left w:val="single" w:sz="4" w:space="0" w:color="000000"/>
              <w:bottom w:val="single" w:sz="4" w:space="0" w:color="000000"/>
              <w:right w:val="single" w:sz="4" w:space="0" w:color="000000"/>
            </w:tcBorders>
          </w:tcPr>
          <w:p w14:paraId="5C9A5105"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445" w:type="pct"/>
            <w:tcBorders>
              <w:top w:val="single" w:sz="4" w:space="0" w:color="000000"/>
              <w:left w:val="single" w:sz="4" w:space="0" w:color="000000"/>
              <w:bottom w:val="single" w:sz="4" w:space="0" w:color="000000"/>
              <w:right w:val="single" w:sz="4" w:space="0" w:color="000000"/>
            </w:tcBorders>
          </w:tcPr>
          <w:p w14:paraId="27230B61"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0678448F"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506E7D" w:rsidRPr="00DD1F63" w14:paraId="7B1A3171"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234F59A8"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1635" w:type="pct"/>
            <w:tcBorders>
              <w:top w:val="single" w:sz="4" w:space="0" w:color="000000"/>
              <w:left w:val="single" w:sz="4" w:space="0" w:color="000000"/>
              <w:bottom w:val="single" w:sz="4" w:space="0" w:color="000000"/>
              <w:right w:val="single" w:sz="4" w:space="0" w:color="000000"/>
            </w:tcBorders>
          </w:tcPr>
          <w:p w14:paraId="362F561A"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38.7% </w:t>
            </w:r>
          </w:p>
        </w:tc>
        <w:tc>
          <w:tcPr>
            <w:tcW w:w="1445" w:type="pct"/>
            <w:tcBorders>
              <w:top w:val="single" w:sz="4" w:space="0" w:color="000000"/>
              <w:left w:val="single" w:sz="4" w:space="0" w:color="000000"/>
              <w:bottom w:val="single" w:sz="4" w:space="0" w:color="000000"/>
              <w:right w:val="single" w:sz="4" w:space="0" w:color="000000"/>
            </w:tcBorders>
          </w:tcPr>
          <w:p w14:paraId="5106F5A4"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28.4% </w:t>
            </w:r>
          </w:p>
        </w:tc>
        <w:tc>
          <w:tcPr>
            <w:tcW w:w="840" w:type="pct"/>
            <w:tcBorders>
              <w:top w:val="single" w:sz="4" w:space="0" w:color="000000"/>
              <w:left w:val="single" w:sz="4" w:space="0" w:color="000000"/>
              <w:bottom w:val="single" w:sz="4" w:space="0" w:color="000000"/>
              <w:right w:val="single" w:sz="4" w:space="0" w:color="000000"/>
            </w:tcBorders>
          </w:tcPr>
          <w:p w14:paraId="130A7863"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0.075 </w:t>
            </w:r>
          </w:p>
        </w:tc>
      </w:tr>
      <w:tr w:rsidR="00506E7D" w:rsidRPr="00DD1F63" w14:paraId="08CF9EDD"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3FF44158"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w:t>
            </w:r>
          </w:p>
        </w:tc>
        <w:tc>
          <w:tcPr>
            <w:tcW w:w="1635" w:type="pct"/>
            <w:tcBorders>
              <w:top w:val="single" w:sz="4" w:space="0" w:color="000000"/>
              <w:left w:val="single" w:sz="4" w:space="0" w:color="000000"/>
              <w:bottom w:val="single" w:sz="4" w:space="0" w:color="000000"/>
              <w:right w:val="single" w:sz="4" w:space="0" w:color="000000"/>
            </w:tcBorders>
          </w:tcPr>
          <w:p w14:paraId="187BA6A9"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59.1% </w:t>
            </w:r>
          </w:p>
        </w:tc>
        <w:tc>
          <w:tcPr>
            <w:tcW w:w="1445" w:type="pct"/>
            <w:tcBorders>
              <w:top w:val="single" w:sz="4" w:space="0" w:color="000000"/>
              <w:left w:val="single" w:sz="4" w:space="0" w:color="000000"/>
              <w:bottom w:val="single" w:sz="4" w:space="0" w:color="000000"/>
              <w:right w:val="single" w:sz="4" w:space="0" w:color="000000"/>
            </w:tcBorders>
          </w:tcPr>
          <w:p w14:paraId="5AB56521"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48.4% </w:t>
            </w:r>
          </w:p>
        </w:tc>
        <w:tc>
          <w:tcPr>
            <w:tcW w:w="840" w:type="pct"/>
            <w:tcBorders>
              <w:top w:val="single" w:sz="4" w:space="0" w:color="000000"/>
              <w:left w:val="single" w:sz="4" w:space="0" w:color="000000"/>
              <w:bottom w:val="single" w:sz="4" w:space="0" w:color="000000"/>
              <w:right w:val="single" w:sz="4" w:space="0" w:color="000000"/>
            </w:tcBorders>
          </w:tcPr>
          <w:p w14:paraId="7BF5849E"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0.073 </w:t>
            </w:r>
          </w:p>
        </w:tc>
      </w:tr>
      <w:tr w:rsidR="00506E7D" w:rsidRPr="00DD1F63" w14:paraId="50D1FBE2"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7983181A"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1635" w:type="pct"/>
            <w:tcBorders>
              <w:top w:val="single" w:sz="4" w:space="0" w:color="000000"/>
              <w:left w:val="single" w:sz="4" w:space="0" w:color="000000"/>
              <w:bottom w:val="single" w:sz="4" w:space="0" w:color="000000"/>
              <w:right w:val="single" w:sz="4" w:space="0" w:color="000000"/>
            </w:tcBorders>
          </w:tcPr>
          <w:p w14:paraId="3540A092"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445" w:type="pct"/>
            <w:tcBorders>
              <w:top w:val="single" w:sz="4" w:space="0" w:color="000000"/>
              <w:left w:val="single" w:sz="4" w:space="0" w:color="000000"/>
              <w:bottom w:val="single" w:sz="4" w:space="0" w:color="000000"/>
              <w:right w:val="single" w:sz="4" w:space="0" w:color="000000"/>
            </w:tcBorders>
          </w:tcPr>
          <w:p w14:paraId="0B5CD616"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038DC3B1"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506E7D" w:rsidRPr="00DD1F63" w14:paraId="0DEDCCF6"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3A5C3D05"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1635" w:type="pct"/>
            <w:tcBorders>
              <w:top w:val="single" w:sz="4" w:space="0" w:color="000000"/>
              <w:left w:val="single" w:sz="4" w:space="0" w:color="000000"/>
              <w:bottom w:val="single" w:sz="4" w:space="0" w:color="000000"/>
              <w:right w:val="single" w:sz="4" w:space="0" w:color="000000"/>
            </w:tcBorders>
          </w:tcPr>
          <w:p w14:paraId="7F9DAFC5"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33.3% </w:t>
            </w:r>
          </w:p>
        </w:tc>
        <w:tc>
          <w:tcPr>
            <w:tcW w:w="1445" w:type="pct"/>
            <w:tcBorders>
              <w:top w:val="single" w:sz="4" w:space="0" w:color="000000"/>
              <w:left w:val="single" w:sz="4" w:space="0" w:color="000000"/>
              <w:bottom w:val="single" w:sz="4" w:space="0" w:color="000000"/>
              <w:right w:val="single" w:sz="4" w:space="0" w:color="000000"/>
            </w:tcBorders>
          </w:tcPr>
          <w:p w14:paraId="5F6D194B"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23.2% </w:t>
            </w:r>
          </w:p>
        </w:tc>
        <w:tc>
          <w:tcPr>
            <w:tcW w:w="840" w:type="pct"/>
            <w:tcBorders>
              <w:top w:val="single" w:sz="4" w:space="0" w:color="000000"/>
              <w:left w:val="single" w:sz="4" w:space="0" w:color="000000"/>
              <w:bottom w:val="single" w:sz="4" w:space="0" w:color="000000"/>
              <w:right w:val="single" w:sz="4" w:space="0" w:color="000000"/>
            </w:tcBorders>
          </w:tcPr>
          <w:p w14:paraId="77702E7B"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0.100 </w:t>
            </w:r>
          </w:p>
        </w:tc>
      </w:tr>
      <w:tr w:rsidR="00506E7D" w:rsidRPr="00DD1F63" w14:paraId="61ACD511"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08AAA4C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w:t>
            </w:r>
          </w:p>
        </w:tc>
        <w:tc>
          <w:tcPr>
            <w:tcW w:w="1635" w:type="pct"/>
            <w:tcBorders>
              <w:top w:val="single" w:sz="4" w:space="0" w:color="000000"/>
              <w:left w:val="single" w:sz="4" w:space="0" w:color="000000"/>
              <w:bottom w:val="single" w:sz="4" w:space="0" w:color="000000"/>
              <w:right w:val="single" w:sz="4" w:space="0" w:color="000000"/>
            </w:tcBorders>
          </w:tcPr>
          <w:p w14:paraId="15810E43"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41.9% </w:t>
            </w:r>
          </w:p>
        </w:tc>
        <w:tc>
          <w:tcPr>
            <w:tcW w:w="1445" w:type="pct"/>
            <w:tcBorders>
              <w:top w:val="single" w:sz="4" w:space="0" w:color="000000"/>
              <w:left w:val="single" w:sz="4" w:space="0" w:color="000000"/>
              <w:bottom w:val="single" w:sz="4" w:space="0" w:color="000000"/>
              <w:right w:val="single" w:sz="4" w:space="0" w:color="000000"/>
            </w:tcBorders>
          </w:tcPr>
          <w:p w14:paraId="130CE640"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28.4% </w:t>
            </w:r>
          </w:p>
        </w:tc>
        <w:tc>
          <w:tcPr>
            <w:tcW w:w="840" w:type="pct"/>
            <w:tcBorders>
              <w:top w:val="single" w:sz="4" w:space="0" w:color="000000"/>
              <w:left w:val="single" w:sz="4" w:space="0" w:color="000000"/>
              <w:bottom w:val="single" w:sz="4" w:space="0" w:color="000000"/>
              <w:right w:val="single" w:sz="4" w:space="0" w:color="000000"/>
            </w:tcBorders>
          </w:tcPr>
          <w:p w14:paraId="70E9EAC8"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0.038 </w:t>
            </w:r>
          </w:p>
        </w:tc>
      </w:tr>
      <w:tr w:rsidR="00506E7D" w:rsidRPr="00DD1F63" w14:paraId="6C95C678" w14:textId="77777777" w:rsidTr="00916A9B">
        <w:trPr>
          <w:trHeight w:val="20"/>
        </w:trPr>
        <w:tc>
          <w:tcPr>
            <w:tcW w:w="4160" w:type="pct"/>
            <w:gridSpan w:val="3"/>
            <w:tcBorders>
              <w:top w:val="single" w:sz="4" w:space="0" w:color="000000"/>
              <w:left w:val="single" w:sz="4" w:space="0" w:color="000000"/>
              <w:bottom w:val="single" w:sz="4" w:space="0" w:color="000000"/>
              <w:right w:val="nil"/>
            </w:tcBorders>
            <w:vAlign w:val="bottom"/>
          </w:tcPr>
          <w:p w14:paraId="4780B8A3"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Cs w:val="20"/>
              </w:rPr>
              <w:t xml:space="preserve">*p value for Standard Dose versus Low Dose comparison </w:t>
            </w:r>
          </w:p>
        </w:tc>
        <w:tc>
          <w:tcPr>
            <w:tcW w:w="840" w:type="pct"/>
            <w:tcBorders>
              <w:top w:val="single" w:sz="4" w:space="0" w:color="000000"/>
              <w:left w:val="nil"/>
              <w:bottom w:val="single" w:sz="4" w:space="0" w:color="000000"/>
              <w:right w:val="single" w:sz="4" w:space="0" w:color="000000"/>
            </w:tcBorders>
          </w:tcPr>
          <w:p w14:paraId="303827F9" w14:textId="77777777" w:rsidR="00916A9B" w:rsidRPr="00DD1F63" w:rsidRDefault="00916A9B" w:rsidP="00377A09">
            <w:pPr>
              <w:spacing w:after="0" w:line="240" w:lineRule="auto"/>
              <w:ind w:left="0" w:firstLine="0"/>
              <w:jc w:val="left"/>
              <w:rPr>
                <w:rFonts w:ascii="Times New Roman" w:hAnsi="Times New Roman" w:cs="Times New Roman"/>
                <w:sz w:val="22"/>
              </w:rPr>
            </w:pPr>
          </w:p>
        </w:tc>
      </w:tr>
    </w:tbl>
    <w:p w14:paraId="5CDCFA51" w14:textId="247BEE96" w:rsidR="00916A9B" w:rsidRPr="00DD1F63" w:rsidRDefault="00916A9B" w:rsidP="00377A09">
      <w:pPr>
        <w:spacing w:after="0" w:line="240" w:lineRule="auto"/>
        <w:ind w:left="426" w:right="375"/>
        <w:jc w:val="left"/>
        <w:rPr>
          <w:rFonts w:ascii="Times New Roman" w:hAnsi="Times New Roman" w:cs="Times New Roman"/>
          <w:sz w:val="22"/>
        </w:rPr>
      </w:pPr>
    </w:p>
    <w:tbl>
      <w:tblPr>
        <w:tblStyle w:val="TableGrid"/>
        <w:tblW w:w="8602" w:type="dxa"/>
        <w:tblInd w:w="421" w:type="dxa"/>
        <w:tblCellMar>
          <w:left w:w="57" w:type="dxa"/>
          <w:right w:w="57" w:type="dxa"/>
        </w:tblCellMar>
        <w:tblLook w:val="04A0" w:firstRow="1" w:lastRow="0" w:firstColumn="1" w:lastColumn="0" w:noHBand="0" w:noVBand="1"/>
      </w:tblPr>
      <w:tblGrid>
        <w:gridCol w:w="2477"/>
        <w:gridCol w:w="2611"/>
        <w:gridCol w:w="2208"/>
        <w:gridCol w:w="1306"/>
      </w:tblGrid>
      <w:tr w:rsidR="00916A9B" w:rsidRPr="00DD1F63" w14:paraId="6C3FCE07" w14:textId="77777777" w:rsidTr="002C1753">
        <w:trPr>
          <w:trHeight w:val="20"/>
        </w:trPr>
        <w:tc>
          <w:tcPr>
            <w:tcW w:w="8602" w:type="dxa"/>
            <w:gridSpan w:val="4"/>
            <w:tcBorders>
              <w:top w:val="single" w:sz="4" w:space="0" w:color="000000"/>
              <w:left w:val="single" w:sz="4" w:space="0" w:color="000000"/>
              <w:bottom w:val="single" w:sz="4" w:space="0" w:color="000000"/>
              <w:right w:val="single" w:sz="4" w:space="0" w:color="000000"/>
            </w:tcBorders>
          </w:tcPr>
          <w:p w14:paraId="65E70F38" w14:textId="2D09F452"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2</w:t>
            </w:r>
            <w:r w:rsidRPr="00DD1F63">
              <w:rPr>
                <w:rFonts w:ascii="Times New Roman" w:hAnsi="Times New Roman" w:cs="Times New Roman"/>
                <w:b/>
                <w:sz w:val="22"/>
              </w:rPr>
              <w:t xml:space="preserve">: Paediatric CD Study Discontinuation of Corticosteroids or Immunomodulators and Fistula Remission </w:t>
            </w:r>
          </w:p>
        </w:tc>
      </w:tr>
      <w:tr w:rsidR="00916A9B" w:rsidRPr="00DD1F63" w14:paraId="0A4EF096"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66CFD7F4"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E9C9DC1"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Standard Dose 40/20 mg </w:t>
            </w:r>
          </w:p>
          <w:p w14:paraId="2C282E06" w14:textId="05B943B5"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fortnightly </w:t>
            </w:r>
          </w:p>
        </w:tc>
        <w:tc>
          <w:tcPr>
            <w:tcW w:w="2208" w:type="dxa"/>
            <w:tcBorders>
              <w:top w:val="single" w:sz="4" w:space="0" w:color="000000"/>
              <w:left w:val="single" w:sz="4" w:space="0" w:color="000000"/>
              <w:bottom w:val="single" w:sz="4" w:space="0" w:color="000000"/>
              <w:right w:val="single" w:sz="4" w:space="0" w:color="000000"/>
            </w:tcBorders>
          </w:tcPr>
          <w:p w14:paraId="1C7A70B4" w14:textId="77777777" w:rsidR="00916A9B" w:rsidRPr="00DD1F63" w:rsidRDefault="00916A9B" w:rsidP="00377A09">
            <w:pPr>
              <w:spacing w:after="0" w:line="240" w:lineRule="auto"/>
              <w:ind w:left="3" w:firstLine="0"/>
              <w:jc w:val="left"/>
              <w:rPr>
                <w:rFonts w:ascii="Times New Roman" w:hAnsi="Times New Roman" w:cs="Times New Roman"/>
                <w:sz w:val="22"/>
              </w:rPr>
            </w:pPr>
            <w:r w:rsidRPr="00DD1F63">
              <w:rPr>
                <w:rFonts w:ascii="Times New Roman" w:hAnsi="Times New Roman" w:cs="Times New Roman"/>
                <w:b/>
                <w:sz w:val="22"/>
              </w:rPr>
              <w:t xml:space="preserve">Low Dose 20/10 mg </w:t>
            </w:r>
          </w:p>
          <w:p w14:paraId="2C508990" w14:textId="227A1019"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fortnightly </w:t>
            </w:r>
          </w:p>
        </w:tc>
        <w:tc>
          <w:tcPr>
            <w:tcW w:w="1306" w:type="dxa"/>
            <w:tcBorders>
              <w:top w:val="single" w:sz="4" w:space="0" w:color="000000"/>
              <w:left w:val="single" w:sz="4" w:space="0" w:color="000000"/>
              <w:bottom w:val="single" w:sz="4" w:space="0" w:color="000000"/>
              <w:right w:val="single" w:sz="4" w:space="0" w:color="000000"/>
            </w:tcBorders>
          </w:tcPr>
          <w:p w14:paraId="28BA334E" w14:textId="77777777" w:rsidR="00916A9B" w:rsidRPr="00DD1F63" w:rsidRDefault="00916A9B" w:rsidP="00377A09">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P value</w:t>
            </w:r>
            <w:r w:rsidRPr="00DD1F63">
              <w:rPr>
                <w:rFonts w:ascii="Times New Roman" w:hAnsi="Times New Roman" w:cs="Times New Roman"/>
                <w:b/>
                <w:sz w:val="22"/>
                <w:vertAlign w:val="superscript"/>
              </w:rPr>
              <w:t>1</w:t>
            </w:r>
            <w:r w:rsidRPr="00DD1F63">
              <w:rPr>
                <w:rFonts w:ascii="Times New Roman" w:hAnsi="Times New Roman" w:cs="Times New Roman"/>
                <w:b/>
                <w:sz w:val="22"/>
              </w:rPr>
              <w:t xml:space="preserve"> </w:t>
            </w:r>
          </w:p>
        </w:tc>
      </w:tr>
      <w:tr w:rsidR="00916A9B" w:rsidRPr="00DD1F63" w14:paraId="0CFE375E"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11705548"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Discontinued corticosteroids </w:t>
            </w:r>
          </w:p>
        </w:tc>
        <w:tc>
          <w:tcPr>
            <w:tcW w:w="2611" w:type="dxa"/>
            <w:tcBorders>
              <w:top w:val="single" w:sz="4" w:space="0" w:color="000000"/>
              <w:left w:val="single" w:sz="4" w:space="0" w:color="000000"/>
              <w:bottom w:val="single" w:sz="4" w:space="0" w:color="000000"/>
              <w:right w:val="single" w:sz="4" w:space="0" w:color="000000"/>
            </w:tcBorders>
          </w:tcPr>
          <w:p w14:paraId="1D8453C5" w14:textId="77777777"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N=33 </w:t>
            </w:r>
          </w:p>
        </w:tc>
        <w:tc>
          <w:tcPr>
            <w:tcW w:w="2208" w:type="dxa"/>
            <w:tcBorders>
              <w:top w:val="single" w:sz="4" w:space="0" w:color="000000"/>
              <w:left w:val="single" w:sz="4" w:space="0" w:color="000000"/>
              <w:bottom w:val="single" w:sz="4" w:space="0" w:color="000000"/>
              <w:right w:val="single" w:sz="4" w:space="0" w:color="000000"/>
            </w:tcBorders>
          </w:tcPr>
          <w:p w14:paraId="788E7146" w14:textId="77777777"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N=38 </w:t>
            </w:r>
          </w:p>
        </w:tc>
        <w:tc>
          <w:tcPr>
            <w:tcW w:w="1306" w:type="dxa"/>
            <w:tcBorders>
              <w:top w:val="single" w:sz="4" w:space="0" w:color="000000"/>
              <w:left w:val="single" w:sz="4" w:space="0" w:color="000000"/>
              <w:bottom w:val="single" w:sz="4" w:space="0" w:color="000000"/>
              <w:right w:val="single" w:sz="4" w:space="0" w:color="000000"/>
            </w:tcBorders>
          </w:tcPr>
          <w:p w14:paraId="0B9C79E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916A9B" w:rsidRPr="00DD1F63" w14:paraId="65D6CF9F"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0F9EC274" w14:textId="77777777" w:rsidR="00916A9B" w:rsidRPr="00DD1F63" w:rsidRDefault="00916A9B" w:rsidP="00377A09">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26 </w:t>
            </w:r>
          </w:p>
        </w:tc>
        <w:tc>
          <w:tcPr>
            <w:tcW w:w="2611" w:type="dxa"/>
            <w:tcBorders>
              <w:top w:val="single" w:sz="4" w:space="0" w:color="000000"/>
              <w:left w:val="single" w:sz="4" w:space="0" w:color="000000"/>
              <w:bottom w:val="single" w:sz="4" w:space="0" w:color="000000"/>
              <w:right w:val="single" w:sz="4" w:space="0" w:color="000000"/>
            </w:tcBorders>
          </w:tcPr>
          <w:p w14:paraId="5896A38C"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84.8% </w:t>
            </w:r>
          </w:p>
        </w:tc>
        <w:tc>
          <w:tcPr>
            <w:tcW w:w="2208" w:type="dxa"/>
            <w:tcBorders>
              <w:top w:val="single" w:sz="4" w:space="0" w:color="000000"/>
              <w:left w:val="single" w:sz="4" w:space="0" w:color="000000"/>
              <w:bottom w:val="single" w:sz="4" w:space="0" w:color="000000"/>
              <w:right w:val="single" w:sz="4" w:space="0" w:color="000000"/>
            </w:tcBorders>
          </w:tcPr>
          <w:p w14:paraId="260D0FAC"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65.8% </w:t>
            </w:r>
          </w:p>
        </w:tc>
        <w:tc>
          <w:tcPr>
            <w:tcW w:w="1306" w:type="dxa"/>
            <w:tcBorders>
              <w:top w:val="single" w:sz="4" w:space="0" w:color="000000"/>
              <w:left w:val="single" w:sz="4" w:space="0" w:color="000000"/>
              <w:bottom w:val="single" w:sz="4" w:space="0" w:color="000000"/>
              <w:right w:val="single" w:sz="4" w:space="0" w:color="000000"/>
            </w:tcBorders>
          </w:tcPr>
          <w:p w14:paraId="5E1EFCD8" w14:textId="77777777" w:rsidR="00916A9B" w:rsidRPr="00DD1F63" w:rsidRDefault="00916A9B"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0.066 </w:t>
            </w:r>
          </w:p>
        </w:tc>
      </w:tr>
      <w:tr w:rsidR="00916A9B" w:rsidRPr="00DD1F63" w14:paraId="0E5D2D04"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7CE7E8D7" w14:textId="77777777" w:rsidR="00916A9B" w:rsidRPr="00DD1F63" w:rsidRDefault="00916A9B" w:rsidP="00377A09">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2611" w:type="dxa"/>
            <w:tcBorders>
              <w:top w:val="single" w:sz="4" w:space="0" w:color="000000"/>
              <w:left w:val="single" w:sz="4" w:space="0" w:color="000000"/>
              <w:bottom w:val="single" w:sz="4" w:space="0" w:color="000000"/>
              <w:right w:val="single" w:sz="4" w:space="0" w:color="000000"/>
            </w:tcBorders>
          </w:tcPr>
          <w:p w14:paraId="67DC7764"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69.7% </w:t>
            </w:r>
          </w:p>
        </w:tc>
        <w:tc>
          <w:tcPr>
            <w:tcW w:w="2208" w:type="dxa"/>
            <w:tcBorders>
              <w:top w:val="single" w:sz="4" w:space="0" w:color="000000"/>
              <w:left w:val="single" w:sz="4" w:space="0" w:color="000000"/>
              <w:bottom w:val="single" w:sz="4" w:space="0" w:color="000000"/>
              <w:right w:val="single" w:sz="4" w:space="0" w:color="000000"/>
            </w:tcBorders>
          </w:tcPr>
          <w:p w14:paraId="0FDD17C4"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60.5% </w:t>
            </w:r>
          </w:p>
        </w:tc>
        <w:tc>
          <w:tcPr>
            <w:tcW w:w="1306" w:type="dxa"/>
            <w:tcBorders>
              <w:top w:val="single" w:sz="4" w:space="0" w:color="000000"/>
              <w:left w:val="single" w:sz="4" w:space="0" w:color="000000"/>
              <w:bottom w:val="single" w:sz="4" w:space="0" w:color="000000"/>
              <w:right w:val="single" w:sz="4" w:space="0" w:color="000000"/>
            </w:tcBorders>
          </w:tcPr>
          <w:p w14:paraId="2FE564EA" w14:textId="77777777" w:rsidR="00916A9B" w:rsidRPr="00DD1F63" w:rsidRDefault="00916A9B"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0.420 </w:t>
            </w:r>
          </w:p>
        </w:tc>
      </w:tr>
      <w:tr w:rsidR="00916A9B" w:rsidRPr="00DD1F63" w14:paraId="7B70D6AC"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2794BB49"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Discontinuation of </w:t>
            </w:r>
          </w:p>
          <w:p w14:paraId="0FE1A847"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Immunomodulators</w:t>
            </w:r>
            <w:r w:rsidRPr="00DD1F63">
              <w:rPr>
                <w:rFonts w:ascii="Times New Roman" w:hAnsi="Times New Roman" w:cs="Times New Roman"/>
                <w:b/>
                <w:sz w:val="22"/>
                <w:vertAlign w:val="superscript"/>
              </w:rPr>
              <w:t>2</w:t>
            </w:r>
            <w:r w:rsidRPr="00DD1F63">
              <w:rPr>
                <w:rFonts w:ascii="Times New Roman" w:hAnsi="Times New Roman" w:cs="Times New Roman"/>
                <w:b/>
                <w:sz w:val="22"/>
              </w:rPr>
              <w:t xml:space="preserve"> </w:t>
            </w:r>
          </w:p>
        </w:tc>
        <w:tc>
          <w:tcPr>
            <w:tcW w:w="2611" w:type="dxa"/>
            <w:tcBorders>
              <w:top w:val="single" w:sz="4" w:space="0" w:color="000000"/>
              <w:left w:val="single" w:sz="4" w:space="0" w:color="000000"/>
              <w:bottom w:val="single" w:sz="4" w:space="0" w:color="000000"/>
              <w:right w:val="single" w:sz="4" w:space="0" w:color="000000"/>
            </w:tcBorders>
            <w:vAlign w:val="bottom"/>
          </w:tcPr>
          <w:p w14:paraId="5F016D94" w14:textId="77777777"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N=60 </w:t>
            </w:r>
          </w:p>
        </w:tc>
        <w:tc>
          <w:tcPr>
            <w:tcW w:w="2208" w:type="dxa"/>
            <w:tcBorders>
              <w:top w:val="single" w:sz="4" w:space="0" w:color="000000"/>
              <w:left w:val="single" w:sz="4" w:space="0" w:color="000000"/>
              <w:bottom w:val="single" w:sz="4" w:space="0" w:color="000000"/>
              <w:right w:val="single" w:sz="4" w:space="0" w:color="000000"/>
            </w:tcBorders>
            <w:vAlign w:val="bottom"/>
          </w:tcPr>
          <w:p w14:paraId="54D5B309" w14:textId="77777777"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N=57 </w:t>
            </w:r>
          </w:p>
        </w:tc>
        <w:tc>
          <w:tcPr>
            <w:tcW w:w="1306" w:type="dxa"/>
            <w:tcBorders>
              <w:top w:val="single" w:sz="4" w:space="0" w:color="000000"/>
              <w:left w:val="single" w:sz="4" w:space="0" w:color="000000"/>
              <w:bottom w:val="single" w:sz="4" w:space="0" w:color="000000"/>
              <w:right w:val="single" w:sz="4" w:space="0" w:color="000000"/>
            </w:tcBorders>
          </w:tcPr>
          <w:p w14:paraId="25424C2B" w14:textId="77777777" w:rsidR="00916A9B" w:rsidRPr="00DD1F63" w:rsidRDefault="00916A9B" w:rsidP="00377A09">
            <w:pPr>
              <w:spacing w:after="0" w:line="240" w:lineRule="auto"/>
              <w:ind w:left="57"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916A9B" w:rsidRPr="00DD1F63" w14:paraId="042EFA9D"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32E88882" w14:textId="77777777" w:rsidR="00916A9B" w:rsidRPr="00DD1F63" w:rsidRDefault="00916A9B" w:rsidP="00377A09">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2611" w:type="dxa"/>
            <w:tcBorders>
              <w:top w:val="single" w:sz="4" w:space="0" w:color="000000"/>
              <w:left w:val="single" w:sz="4" w:space="0" w:color="000000"/>
              <w:bottom w:val="single" w:sz="4" w:space="0" w:color="000000"/>
              <w:right w:val="single" w:sz="4" w:space="0" w:color="000000"/>
            </w:tcBorders>
          </w:tcPr>
          <w:p w14:paraId="1DC9BF2A"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30.0% </w:t>
            </w:r>
          </w:p>
        </w:tc>
        <w:tc>
          <w:tcPr>
            <w:tcW w:w="2208" w:type="dxa"/>
            <w:tcBorders>
              <w:top w:val="single" w:sz="4" w:space="0" w:color="000000"/>
              <w:left w:val="single" w:sz="4" w:space="0" w:color="000000"/>
              <w:bottom w:val="single" w:sz="4" w:space="0" w:color="000000"/>
              <w:right w:val="single" w:sz="4" w:space="0" w:color="000000"/>
            </w:tcBorders>
          </w:tcPr>
          <w:p w14:paraId="5FB7833A"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29.8% </w:t>
            </w:r>
          </w:p>
        </w:tc>
        <w:tc>
          <w:tcPr>
            <w:tcW w:w="1306" w:type="dxa"/>
            <w:tcBorders>
              <w:top w:val="single" w:sz="4" w:space="0" w:color="000000"/>
              <w:left w:val="single" w:sz="4" w:space="0" w:color="000000"/>
              <w:bottom w:val="single" w:sz="4" w:space="0" w:color="000000"/>
              <w:right w:val="single" w:sz="4" w:space="0" w:color="000000"/>
            </w:tcBorders>
          </w:tcPr>
          <w:p w14:paraId="1E32212A" w14:textId="77777777" w:rsidR="00916A9B" w:rsidRPr="00DD1F63" w:rsidRDefault="00916A9B"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0.983 </w:t>
            </w:r>
          </w:p>
        </w:tc>
      </w:tr>
      <w:tr w:rsidR="00916A9B" w:rsidRPr="00DD1F63" w14:paraId="55832674"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19510EE9"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Fistula remission</w:t>
            </w:r>
            <w:r w:rsidRPr="00DD1F63">
              <w:rPr>
                <w:rFonts w:ascii="Times New Roman" w:hAnsi="Times New Roman" w:cs="Times New Roman"/>
                <w:b/>
                <w:sz w:val="22"/>
                <w:vertAlign w:val="superscript"/>
              </w:rPr>
              <w:t>3</w:t>
            </w:r>
            <w:r w:rsidRPr="00DD1F63">
              <w:rPr>
                <w:rFonts w:ascii="Times New Roman" w:hAnsi="Times New Roman" w:cs="Times New Roman"/>
                <w:b/>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5B5CB1F" w14:textId="77777777"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N=15 </w:t>
            </w:r>
          </w:p>
        </w:tc>
        <w:tc>
          <w:tcPr>
            <w:tcW w:w="2208" w:type="dxa"/>
            <w:tcBorders>
              <w:top w:val="single" w:sz="4" w:space="0" w:color="000000"/>
              <w:left w:val="single" w:sz="4" w:space="0" w:color="000000"/>
              <w:bottom w:val="single" w:sz="4" w:space="0" w:color="000000"/>
              <w:right w:val="single" w:sz="4" w:space="0" w:color="000000"/>
            </w:tcBorders>
          </w:tcPr>
          <w:p w14:paraId="3A3E533B" w14:textId="77777777" w:rsidR="00916A9B" w:rsidRPr="00DD1F63" w:rsidRDefault="00916A9B" w:rsidP="00377A09">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N=21 </w:t>
            </w:r>
          </w:p>
        </w:tc>
        <w:tc>
          <w:tcPr>
            <w:tcW w:w="1306" w:type="dxa"/>
            <w:tcBorders>
              <w:top w:val="single" w:sz="4" w:space="0" w:color="000000"/>
              <w:left w:val="single" w:sz="4" w:space="0" w:color="000000"/>
              <w:bottom w:val="single" w:sz="4" w:space="0" w:color="000000"/>
              <w:right w:val="single" w:sz="4" w:space="0" w:color="000000"/>
            </w:tcBorders>
          </w:tcPr>
          <w:p w14:paraId="040BD8A7" w14:textId="77777777" w:rsidR="00916A9B" w:rsidRPr="00DD1F63" w:rsidRDefault="00916A9B" w:rsidP="00377A09">
            <w:pPr>
              <w:spacing w:after="0" w:line="240" w:lineRule="auto"/>
              <w:ind w:left="57"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916A9B" w:rsidRPr="00DD1F63" w14:paraId="3C79C7DB"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23671B4A" w14:textId="77777777" w:rsidR="00916A9B" w:rsidRPr="00DD1F63" w:rsidRDefault="00916A9B" w:rsidP="00377A09">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26 </w:t>
            </w:r>
          </w:p>
        </w:tc>
        <w:tc>
          <w:tcPr>
            <w:tcW w:w="2611" w:type="dxa"/>
            <w:tcBorders>
              <w:top w:val="single" w:sz="4" w:space="0" w:color="000000"/>
              <w:left w:val="single" w:sz="4" w:space="0" w:color="000000"/>
              <w:bottom w:val="single" w:sz="4" w:space="0" w:color="000000"/>
              <w:right w:val="single" w:sz="4" w:space="0" w:color="000000"/>
            </w:tcBorders>
          </w:tcPr>
          <w:p w14:paraId="458EB5FB"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46.7% </w:t>
            </w:r>
          </w:p>
        </w:tc>
        <w:tc>
          <w:tcPr>
            <w:tcW w:w="2208" w:type="dxa"/>
            <w:tcBorders>
              <w:top w:val="single" w:sz="4" w:space="0" w:color="000000"/>
              <w:left w:val="single" w:sz="4" w:space="0" w:color="000000"/>
              <w:bottom w:val="single" w:sz="4" w:space="0" w:color="000000"/>
              <w:right w:val="single" w:sz="4" w:space="0" w:color="000000"/>
            </w:tcBorders>
          </w:tcPr>
          <w:p w14:paraId="0EE83EB2"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38.1% </w:t>
            </w:r>
          </w:p>
        </w:tc>
        <w:tc>
          <w:tcPr>
            <w:tcW w:w="1306" w:type="dxa"/>
            <w:tcBorders>
              <w:top w:val="single" w:sz="4" w:space="0" w:color="000000"/>
              <w:left w:val="single" w:sz="4" w:space="0" w:color="000000"/>
              <w:bottom w:val="single" w:sz="4" w:space="0" w:color="000000"/>
              <w:right w:val="single" w:sz="4" w:space="0" w:color="000000"/>
            </w:tcBorders>
          </w:tcPr>
          <w:p w14:paraId="7EB9E457" w14:textId="77777777" w:rsidR="00916A9B" w:rsidRPr="00DD1F63" w:rsidRDefault="00916A9B"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0.608 </w:t>
            </w:r>
          </w:p>
        </w:tc>
      </w:tr>
      <w:tr w:rsidR="00916A9B" w:rsidRPr="00DD1F63" w14:paraId="5AFB6CCA"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26F4E5EA" w14:textId="77777777" w:rsidR="00916A9B" w:rsidRPr="00DD1F63" w:rsidRDefault="00916A9B" w:rsidP="00377A09">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2611" w:type="dxa"/>
            <w:tcBorders>
              <w:top w:val="single" w:sz="4" w:space="0" w:color="000000"/>
              <w:left w:val="single" w:sz="4" w:space="0" w:color="000000"/>
              <w:bottom w:val="single" w:sz="4" w:space="0" w:color="000000"/>
              <w:right w:val="single" w:sz="4" w:space="0" w:color="000000"/>
            </w:tcBorders>
          </w:tcPr>
          <w:p w14:paraId="1C25152E"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40.0% </w:t>
            </w:r>
          </w:p>
        </w:tc>
        <w:tc>
          <w:tcPr>
            <w:tcW w:w="2208" w:type="dxa"/>
            <w:tcBorders>
              <w:top w:val="single" w:sz="4" w:space="0" w:color="000000"/>
              <w:left w:val="single" w:sz="4" w:space="0" w:color="000000"/>
              <w:bottom w:val="single" w:sz="4" w:space="0" w:color="000000"/>
              <w:right w:val="single" w:sz="4" w:space="0" w:color="000000"/>
            </w:tcBorders>
          </w:tcPr>
          <w:p w14:paraId="55AA5103" w14:textId="77777777" w:rsidR="00916A9B" w:rsidRPr="00DD1F63" w:rsidRDefault="00916A9B" w:rsidP="00377A09">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23.8% </w:t>
            </w:r>
          </w:p>
        </w:tc>
        <w:tc>
          <w:tcPr>
            <w:tcW w:w="1306" w:type="dxa"/>
            <w:tcBorders>
              <w:top w:val="single" w:sz="4" w:space="0" w:color="000000"/>
              <w:left w:val="single" w:sz="4" w:space="0" w:color="000000"/>
              <w:bottom w:val="single" w:sz="4" w:space="0" w:color="000000"/>
              <w:right w:val="single" w:sz="4" w:space="0" w:color="000000"/>
            </w:tcBorders>
          </w:tcPr>
          <w:p w14:paraId="01F2CEFD" w14:textId="77777777" w:rsidR="00916A9B" w:rsidRPr="00DD1F63" w:rsidRDefault="00916A9B" w:rsidP="00377A09">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0.303 </w:t>
            </w:r>
          </w:p>
        </w:tc>
      </w:tr>
    </w:tbl>
    <w:p w14:paraId="43FA53F6" w14:textId="77777777" w:rsidR="00916A9B" w:rsidRPr="00DD1F63" w:rsidRDefault="00916A9B" w:rsidP="00377A09">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vertAlign w:val="superscript"/>
        </w:rPr>
        <w:t>1</w:t>
      </w:r>
      <w:r w:rsidRPr="00DD1F63">
        <w:rPr>
          <w:rFonts w:ascii="Times New Roman" w:hAnsi="Times New Roman" w:cs="Times New Roman"/>
          <w:szCs w:val="20"/>
        </w:rPr>
        <w:t xml:space="preserve"> p value for Standard Dose versus Low Dose comparison. </w:t>
      </w:r>
    </w:p>
    <w:p w14:paraId="7573EC24" w14:textId="77777777" w:rsidR="00916A9B" w:rsidRPr="00DD1F63" w:rsidRDefault="00916A9B" w:rsidP="00377A09">
      <w:pPr>
        <w:spacing w:after="0" w:line="240" w:lineRule="auto"/>
        <w:ind w:left="567" w:right="375" w:hanging="151"/>
        <w:jc w:val="left"/>
        <w:rPr>
          <w:rFonts w:ascii="Times New Roman" w:hAnsi="Times New Roman" w:cs="Times New Roman"/>
          <w:szCs w:val="20"/>
        </w:rPr>
      </w:pPr>
      <w:r w:rsidRPr="00DD1F63">
        <w:rPr>
          <w:rFonts w:ascii="Times New Roman" w:hAnsi="Times New Roman" w:cs="Times New Roman"/>
          <w:szCs w:val="20"/>
          <w:vertAlign w:val="superscript"/>
        </w:rPr>
        <w:t>2</w:t>
      </w:r>
      <w:r w:rsidRPr="00DD1F63">
        <w:rPr>
          <w:rFonts w:ascii="Times New Roman" w:hAnsi="Times New Roman" w:cs="Times New Roman"/>
          <w:szCs w:val="20"/>
        </w:rPr>
        <w:t xml:space="preserve"> Immunosuppressant therapy could only be discontinued at or after Week 26 at the investigator's discretion if the subject met the clinical response criterion </w:t>
      </w:r>
    </w:p>
    <w:p w14:paraId="417CBF51" w14:textId="7B3710DE" w:rsidR="00916A9B" w:rsidRPr="00DD1F63" w:rsidRDefault="00916A9B" w:rsidP="00377A09">
      <w:pPr>
        <w:spacing w:after="0" w:line="240" w:lineRule="auto"/>
        <w:ind w:left="567" w:right="375" w:hanging="151"/>
        <w:jc w:val="left"/>
        <w:rPr>
          <w:rFonts w:ascii="Times New Roman" w:hAnsi="Times New Roman" w:cs="Times New Roman"/>
          <w:szCs w:val="20"/>
        </w:rPr>
      </w:pPr>
      <w:r w:rsidRPr="00DD1F63">
        <w:rPr>
          <w:rFonts w:ascii="Times New Roman" w:hAnsi="Times New Roman" w:cs="Times New Roman"/>
          <w:szCs w:val="20"/>
          <w:vertAlign w:val="superscript"/>
        </w:rPr>
        <w:t>3</w:t>
      </w:r>
      <w:r w:rsidRPr="00DD1F63">
        <w:rPr>
          <w:rFonts w:ascii="Times New Roman" w:hAnsi="Times New Roman" w:cs="Times New Roman"/>
          <w:szCs w:val="20"/>
        </w:rPr>
        <w:t xml:space="preserve"> defined as a closure of all fistulas that were draining at Baseline for at least 2 consecutive post-Baseline visits</w:t>
      </w:r>
    </w:p>
    <w:p w14:paraId="2E2C5CB0" w14:textId="76EC8973" w:rsidR="00916A9B" w:rsidRPr="00DD1F63" w:rsidRDefault="00916A9B" w:rsidP="00377A09">
      <w:pPr>
        <w:spacing w:after="0" w:line="240" w:lineRule="auto"/>
        <w:ind w:left="426" w:right="375"/>
        <w:jc w:val="left"/>
        <w:rPr>
          <w:rFonts w:ascii="Times New Roman" w:hAnsi="Times New Roman" w:cs="Times New Roman"/>
          <w:sz w:val="22"/>
        </w:rPr>
      </w:pPr>
    </w:p>
    <w:p w14:paraId="6B6205D9" w14:textId="5089A552"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 xml:space="preserve">Statistically significant increases (improvement) from Baseline to Week 26 and 52 in Body Mass Index and height velocity were observed for both treatment groups. Statistically and clinically significant improvements from Baseline were also observed in both treatment groups for </w:t>
      </w:r>
      <w:proofErr w:type="gramStart"/>
      <w:r w:rsidRPr="00DD1F63">
        <w:rPr>
          <w:rFonts w:ascii="Times New Roman" w:hAnsi="Times New Roman" w:cs="Times New Roman"/>
          <w:sz w:val="22"/>
        </w:rPr>
        <w:t>quality</w:t>
      </w:r>
      <w:r w:rsidR="00D74F94">
        <w:rPr>
          <w:rFonts w:ascii="Times New Roman" w:hAnsi="Times New Roman" w:cs="Times New Roman"/>
          <w:sz w:val="22"/>
        </w:rPr>
        <w:t xml:space="preserve"> </w:t>
      </w:r>
      <w:r w:rsidRPr="00DD1F63">
        <w:rPr>
          <w:rFonts w:ascii="Times New Roman" w:hAnsi="Times New Roman" w:cs="Times New Roman"/>
          <w:sz w:val="22"/>
        </w:rPr>
        <w:t>of life</w:t>
      </w:r>
      <w:proofErr w:type="gramEnd"/>
      <w:r w:rsidRPr="00DD1F63">
        <w:rPr>
          <w:rFonts w:ascii="Times New Roman" w:hAnsi="Times New Roman" w:cs="Times New Roman"/>
          <w:sz w:val="22"/>
        </w:rPr>
        <w:t xml:space="preserve"> parameters (including IMPACT III).</w:t>
      </w:r>
    </w:p>
    <w:p w14:paraId="22A683EB" w14:textId="691F958D" w:rsidR="00916A9B" w:rsidRPr="00DD1F63" w:rsidRDefault="00916A9B" w:rsidP="00377A09">
      <w:pPr>
        <w:spacing w:after="0" w:line="240" w:lineRule="auto"/>
        <w:ind w:left="426" w:right="375"/>
        <w:jc w:val="left"/>
        <w:rPr>
          <w:rFonts w:ascii="Times New Roman" w:hAnsi="Times New Roman" w:cs="Times New Roman"/>
          <w:sz w:val="22"/>
        </w:rPr>
      </w:pPr>
    </w:p>
    <w:p w14:paraId="7BB9317D" w14:textId="7F2F1D8F" w:rsidR="00916A9B" w:rsidRPr="00DD1F63" w:rsidRDefault="00916A9B" w:rsidP="00377A09">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Clinical trials for ulcerative colitis</w:t>
      </w:r>
    </w:p>
    <w:p w14:paraId="167DB22B" w14:textId="6F28E1E7" w:rsidR="00916A9B" w:rsidRPr="00DD1F63" w:rsidRDefault="00916A9B" w:rsidP="00377A09">
      <w:pPr>
        <w:spacing w:after="0" w:line="240" w:lineRule="auto"/>
        <w:ind w:left="426" w:right="375"/>
        <w:jc w:val="left"/>
        <w:rPr>
          <w:rFonts w:ascii="Times New Roman" w:hAnsi="Times New Roman" w:cs="Times New Roman"/>
          <w:sz w:val="22"/>
        </w:rPr>
      </w:pPr>
    </w:p>
    <w:p w14:paraId="0E6F434C" w14:textId="5BF3F005"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was assessed in adult patients with moderately to severely active ulcerative colitis (Mayo score 6 to 12 with endoscopy sub score of 2 to 3) in randomised, double-blind, placebo-controlled studies. Enrolled patients received concurrent or prior treatment with immunosuppressants such as corticosteroids, azathioprine, or 6-MP.</w:t>
      </w:r>
    </w:p>
    <w:p w14:paraId="7D3551DA" w14:textId="0192049F" w:rsidR="00916A9B" w:rsidRPr="00DD1F63" w:rsidRDefault="00916A9B" w:rsidP="00377A09">
      <w:pPr>
        <w:spacing w:after="0" w:line="240" w:lineRule="auto"/>
        <w:ind w:left="426" w:right="375"/>
        <w:jc w:val="left"/>
        <w:rPr>
          <w:rFonts w:ascii="Times New Roman" w:hAnsi="Times New Roman" w:cs="Times New Roman"/>
          <w:sz w:val="22"/>
        </w:rPr>
      </w:pPr>
    </w:p>
    <w:p w14:paraId="59C7F4F1" w14:textId="50182B9C"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Study UC-I, 576 TNF-antagonist naïve patients were randomised to receive either placebo at Weeks 0 and 2, 160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0 followed by 80 mg at Week 2, or 80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at Week 0 followed by 40 mg at Week 2. After Week 2, patients in both adalimumab arms received 40 mg fortnightly. Clinical remission (defined as Mayo score ≤ 2 with no sub score &gt; 1) was assessed at Week 8. The primary endpoint was evaluated based on the 390 patients recruited after the 80/40 induction group was added by protocol amendment.</w:t>
      </w:r>
    </w:p>
    <w:p w14:paraId="1E86DF9B" w14:textId="373CF954" w:rsidR="00916A9B" w:rsidRPr="00DD1F63" w:rsidRDefault="00916A9B" w:rsidP="00377A09">
      <w:pPr>
        <w:spacing w:after="0" w:line="240" w:lineRule="auto"/>
        <w:ind w:left="426" w:right="375"/>
        <w:jc w:val="left"/>
        <w:rPr>
          <w:rFonts w:ascii="Times New Roman" w:hAnsi="Times New Roman" w:cs="Times New Roman"/>
          <w:sz w:val="22"/>
        </w:rPr>
      </w:pPr>
    </w:p>
    <w:p w14:paraId="3935D1F3" w14:textId="237DA4CB"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Study UC-II, 248 patients received 160 mg of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at Week 0, 80 mg at Week 2 and 40 mg fortnightly thereafter, and 246 patients received placebo. Clinical results were assessed for induction of remission at Week 8 and for maintenance of remission at Week 52.</w:t>
      </w:r>
    </w:p>
    <w:p w14:paraId="6021AEA4" w14:textId="0735A9DD" w:rsidR="00916A9B" w:rsidRPr="00DD1F63" w:rsidRDefault="00916A9B" w:rsidP="00377A09">
      <w:pPr>
        <w:spacing w:after="0" w:line="240" w:lineRule="auto"/>
        <w:ind w:left="426" w:right="375"/>
        <w:jc w:val="left"/>
        <w:rPr>
          <w:rFonts w:ascii="Times New Roman" w:hAnsi="Times New Roman" w:cs="Times New Roman"/>
          <w:sz w:val="22"/>
        </w:rPr>
      </w:pPr>
    </w:p>
    <w:p w14:paraId="30C2466C" w14:textId="22FB9B69"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Subjects induced with 160/80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 xml:space="preserve">achieved clinical remission versus placebo at Week 8 in statistically significantly greater percentages in Study UC-I (18% vs. 9% respectively, p=0.031) and Study UC-II (17% vs. 9% respectively, p=0.019). In Study UC-II, among those treated with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 xml:space="preserve">who were in clinical remission at Week 8, 21/41 (51%) were in clinical remission at Week 52. The percentage of subjects induced with 80/40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in Study UC-I who achieved clinical remission at Week 8 was not statistically significantly different versus placebo.</w:t>
      </w:r>
    </w:p>
    <w:p w14:paraId="7DC122CC" w14:textId="391402A9" w:rsidR="00916A9B" w:rsidRPr="00DD1F63" w:rsidRDefault="00916A9B" w:rsidP="00377A09">
      <w:pPr>
        <w:spacing w:after="0" w:line="240" w:lineRule="auto"/>
        <w:ind w:left="426" w:right="375"/>
        <w:jc w:val="left"/>
        <w:rPr>
          <w:rFonts w:ascii="Times New Roman" w:hAnsi="Times New Roman" w:cs="Times New Roman"/>
          <w:sz w:val="22"/>
        </w:rPr>
      </w:pPr>
    </w:p>
    <w:p w14:paraId="4FB6EBCE" w14:textId="47C0FA3F" w:rsidR="00916A9B" w:rsidRPr="00DD1F63" w:rsidRDefault="00916A9B"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Results from the overall UC-II study population are shown in Table 2</w:t>
      </w:r>
      <w:r w:rsidR="00BD4FF7" w:rsidRPr="00DD1F63">
        <w:rPr>
          <w:rFonts w:ascii="Times New Roman" w:hAnsi="Times New Roman" w:cs="Times New Roman"/>
          <w:sz w:val="22"/>
        </w:rPr>
        <w:t>3</w:t>
      </w:r>
      <w:r w:rsidRPr="00DD1F63">
        <w:rPr>
          <w:rFonts w:ascii="Times New Roman" w:hAnsi="Times New Roman" w:cs="Times New Roman"/>
          <w:sz w:val="22"/>
        </w:rPr>
        <w:t>.</w:t>
      </w:r>
    </w:p>
    <w:p w14:paraId="10E7C991" w14:textId="272C7BB2" w:rsidR="00916A9B" w:rsidRPr="00DD1F63" w:rsidRDefault="00916A9B" w:rsidP="00377A09">
      <w:pPr>
        <w:spacing w:after="0" w:line="240" w:lineRule="auto"/>
        <w:ind w:left="426" w:right="375"/>
        <w:jc w:val="left"/>
        <w:rPr>
          <w:rFonts w:ascii="Times New Roman" w:hAnsi="Times New Roman" w:cs="Times New Roman"/>
          <w:sz w:val="22"/>
        </w:rPr>
      </w:pPr>
    </w:p>
    <w:tbl>
      <w:tblPr>
        <w:tblStyle w:val="TableGrid"/>
        <w:tblW w:w="8585" w:type="dxa"/>
        <w:tblInd w:w="421" w:type="dxa"/>
        <w:tblCellMar>
          <w:left w:w="57" w:type="dxa"/>
          <w:right w:w="57" w:type="dxa"/>
        </w:tblCellMar>
        <w:tblLook w:val="04A0" w:firstRow="1" w:lastRow="0" w:firstColumn="1" w:lastColumn="0" w:noHBand="0" w:noVBand="1"/>
      </w:tblPr>
      <w:tblGrid>
        <w:gridCol w:w="3141"/>
        <w:gridCol w:w="2585"/>
        <w:gridCol w:w="2859"/>
      </w:tblGrid>
      <w:tr w:rsidR="00916A9B" w:rsidRPr="00DD1F63" w14:paraId="518E01BF" w14:textId="77777777" w:rsidTr="002C1753">
        <w:trPr>
          <w:trHeight w:val="20"/>
        </w:trPr>
        <w:tc>
          <w:tcPr>
            <w:tcW w:w="8585" w:type="dxa"/>
            <w:gridSpan w:val="3"/>
            <w:tcBorders>
              <w:top w:val="single" w:sz="4" w:space="0" w:color="000000"/>
              <w:left w:val="single" w:sz="4" w:space="0" w:color="000000"/>
              <w:bottom w:val="single" w:sz="4" w:space="0" w:color="000000"/>
              <w:right w:val="single" w:sz="4" w:space="0" w:color="000000"/>
            </w:tcBorders>
          </w:tcPr>
          <w:p w14:paraId="113FA447" w14:textId="03097DF8" w:rsidR="00916A9B" w:rsidRPr="00DD1F63" w:rsidRDefault="00916A9B" w:rsidP="00377A09">
            <w:pPr>
              <w:spacing w:after="0" w:line="240" w:lineRule="auto"/>
              <w:ind w:left="0" w:right="135"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3</w:t>
            </w:r>
            <w:r w:rsidRPr="00DD1F63">
              <w:rPr>
                <w:rFonts w:ascii="Times New Roman" w:hAnsi="Times New Roman" w:cs="Times New Roman"/>
                <w:b/>
                <w:sz w:val="22"/>
              </w:rPr>
              <w:t xml:space="preserve">: Clinical Remission, Clinical Response and Mucosal Healing in Study UC-II (Percent of Patients) </w:t>
            </w:r>
          </w:p>
        </w:tc>
      </w:tr>
      <w:tr w:rsidR="00506E7D" w:rsidRPr="00DD1F63" w14:paraId="00004835"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4FE5E0F1"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2585" w:type="dxa"/>
            <w:tcBorders>
              <w:top w:val="single" w:sz="4" w:space="0" w:color="000000"/>
              <w:left w:val="single" w:sz="4" w:space="0" w:color="000000"/>
              <w:bottom w:val="single" w:sz="4" w:space="0" w:color="000000"/>
              <w:right w:val="single" w:sz="4" w:space="0" w:color="000000"/>
            </w:tcBorders>
          </w:tcPr>
          <w:p w14:paraId="40F34E40" w14:textId="77777777" w:rsidR="00916A9B" w:rsidRPr="00DD1F63" w:rsidRDefault="00916A9B" w:rsidP="00377A09">
            <w:pPr>
              <w:spacing w:after="0" w:line="240" w:lineRule="auto"/>
              <w:ind w:left="0" w:right="14" w:firstLine="0"/>
              <w:jc w:val="left"/>
              <w:rPr>
                <w:rFonts w:ascii="Times New Roman" w:hAnsi="Times New Roman" w:cs="Times New Roman"/>
                <w:sz w:val="22"/>
              </w:rPr>
            </w:pPr>
            <w:r w:rsidRPr="00DD1F63">
              <w:rPr>
                <w:rFonts w:ascii="Times New Roman" w:hAnsi="Times New Roman" w:cs="Times New Roman"/>
                <w:b/>
                <w:sz w:val="22"/>
              </w:rPr>
              <w:t>Placebo</w:t>
            </w:r>
            <w:r w:rsidRPr="00DD1F63">
              <w:rPr>
                <w:rFonts w:ascii="Times New Roman" w:hAnsi="Times New Roman" w:cs="Times New Roman"/>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510DB8C7" w14:textId="5BD005A7" w:rsidR="00916A9B" w:rsidRPr="00DD1F63" w:rsidRDefault="00506E7D"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916A9B" w:rsidRPr="00DD1F63">
              <w:rPr>
                <w:rFonts w:ascii="Times New Roman" w:hAnsi="Times New Roman" w:cs="Times New Roman"/>
                <w:b/>
                <w:sz w:val="22"/>
              </w:rPr>
              <w:t>40 mg fortnightly</w:t>
            </w:r>
            <w:r w:rsidR="00916A9B" w:rsidRPr="00DD1F63">
              <w:rPr>
                <w:rFonts w:ascii="Times New Roman" w:hAnsi="Times New Roman" w:cs="Times New Roman"/>
                <w:sz w:val="22"/>
              </w:rPr>
              <w:t xml:space="preserve"> </w:t>
            </w:r>
          </w:p>
        </w:tc>
      </w:tr>
      <w:tr w:rsidR="00506E7D" w:rsidRPr="00DD1F63" w14:paraId="21DE0BA0"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5C41D7D0"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8 </w:t>
            </w:r>
          </w:p>
        </w:tc>
        <w:tc>
          <w:tcPr>
            <w:tcW w:w="2585" w:type="dxa"/>
            <w:tcBorders>
              <w:top w:val="single" w:sz="4" w:space="0" w:color="000000"/>
              <w:left w:val="single" w:sz="4" w:space="0" w:color="000000"/>
              <w:bottom w:val="single" w:sz="4" w:space="0" w:color="000000"/>
              <w:right w:val="single" w:sz="4" w:space="0" w:color="000000"/>
            </w:tcBorders>
          </w:tcPr>
          <w:p w14:paraId="65014052" w14:textId="77777777" w:rsidR="00916A9B" w:rsidRPr="00DD1F63" w:rsidRDefault="00916A9B" w:rsidP="00377A09">
            <w:pPr>
              <w:spacing w:after="0" w:line="240" w:lineRule="auto"/>
              <w:ind w:left="0" w:right="1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2859" w:type="dxa"/>
            <w:tcBorders>
              <w:top w:val="single" w:sz="4" w:space="0" w:color="000000"/>
              <w:left w:val="single" w:sz="4" w:space="0" w:color="000000"/>
              <w:bottom w:val="single" w:sz="4" w:space="0" w:color="000000"/>
              <w:right w:val="single" w:sz="4" w:space="0" w:color="000000"/>
            </w:tcBorders>
          </w:tcPr>
          <w:p w14:paraId="7C0D69FE" w14:textId="77777777" w:rsidR="00916A9B" w:rsidRPr="00DD1F63" w:rsidRDefault="00916A9B" w:rsidP="00377A09">
            <w:pPr>
              <w:spacing w:after="0" w:line="240" w:lineRule="auto"/>
              <w:ind w:left="0" w:right="15" w:firstLine="0"/>
              <w:jc w:val="left"/>
              <w:rPr>
                <w:rFonts w:ascii="Times New Roman" w:hAnsi="Times New Roman" w:cs="Times New Roman"/>
                <w:sz w:val="22"/>
              </w:rPr>
            </w:pPr>
            <w:r w:rsidRPr="00DD1F63">
              <w:rPr>
                <w:rFonts w:ascii="Times New Roman" w:hAnsi="Times New Roman" w:cs="Times New Roman"/>
                <w:b/>
                <w:sz w:val="22"/>
              </w:rPr>
              <w:t xml:space="preserve">N = 248 </w:t>
            </w:r>
          </w:p>
        </w:tc>
      </w:tr>
      <w:tr w:rsidR="00506E7D" w:rsidRPr="00DD1F63" w14:paraId="07C7B79B"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3665CC11"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Remission </w:t>
            </w:r>
          </w:p>
        </w:tc>
        <w:tc>
          <w:tcPr>
            <w:tcW w:w="2585" w:type="dxa"/>
            <w:tcBorders>
              <w:top w:val="single" w:sz="4" w:space="0" w:color="000000"/>
              <w:left w:val="single" w:sz="4" w:space="0" w:color="000000"/>
              <w:bottom w:val="single" w:sz="4" w:space="0" w:color="000000"/>
              <w:right w:val="single" w:sz="4" w:space="0" w:color="000000"/>
            </w:tcBorders>
          </w:tcPr>
          <w:p w14:paraId="7A5276D9"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9%</w:t>
            </w:r>
            <w:r w:rsidRPr="00DD1F63">
              <w:rPr>
                <w:rFonts w:ascii="Times New Roman" w:hAnsi="Times New Roman" w:cs="Times New Roman"/>
                <w:b/>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48A65865"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17%*</w:t>
            </w:r>
            <w:r w:rsidRPr="00DD1F63">
              <w:rPr>
                <w:rFonts w:ascii="Times New Roman" w:hAnsi="Times New Roman" w:cs="Times New Roman"/>
                <w:b/>
                <w:sz w:val="22"/>
              </w:rPr>
              <w:t xml:space="preserve"> </w:t>
            </w:r>
          </w:p>
        </w:tc>
      </w:tr>
      <w:tr w:rsidR="00506E7D" w:rsidRPr="00DD1F63" w14:paraId="4333740B"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D411757"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Response  </w:t>
            </w:r>
          </w:p>
        </w:tc>
        <w:tc>
          <w:tcPr>
            <w:tcW w:w="2585" w:type="dxa"/>
            <w:tcBorders>
              <w:top w:val="single" w:sz="4" w:space="0" w:color="000000"/>
              <w:left w:val="single" w:sz="4" w:space="0" w:color="000000"/>
              <w:bottom w:val="single" w:sz="4" w:space="0" w:color="000000"/>
              <w:right w:val="single" w:sz="4" w:space="0" w:color="000000"/>
            </w:tcBorders>
          </w:tcPr>
          <w:p w14:paraId="65291FDF"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35%</w:t>
            </w:r>
            <w:r w:rsidRPr="00DD1F63">
              <w:rPr>
                <w:rFonts w:ascii="Times New Roman" w:hAnsi="Times New Roman" w:cs="Times New Roman"/>
                <w:b/>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75B8A1D9" w14:textId="77777777" w:rsidR="00916A9B" w:rsidRPr="00DD1F63" w:rsidRDefault="00916A9B" w:rsidP="00377A09">
            <w:pPr>
              <w:spacing w:after="0" w:line="240" w:lineRule="auto"/>
              <w:ind w:left="0" w:right="16" w:firstLine="0"/>
              <w:jc w:val="left"/>
              <w:rPr>
                <w:rFonts w:ascii="Times New Roman" w:hAnsi="Times New Roman" w:cs="Times New Roman"/>
                <w:sz w:val="22"/>
              </w:rPr>
            </w:pPr>
            <w:r w:rsidRPr="00DD1F63">
              <w:rPr>
                <w:rFonts w:ascii="Times New Roman" w:hAnsi="Times New Roman" w:cs="Times New Roman"/>
                <w:sz w:val="22"/>
              </w:rPr>
              <w:t>50%**</w:t>
            </w:r>
            <w:r w:rsidRPr="00DD1F63">
              <w:rPr>
                <w:rFonts w:ascii="Times New Roman" w:hAnsi="Times New Roman" w:cs="Times New Roman"/>
                <w:b/>
                <w:sz w:val="22"/>
              </w:rPr>
              <w:t xml:space="preserve"> </w:t>
            </w:r>
          </w:p>
        </w:tc>
      </w:tr>
      <w:tr w:rsidR="00506E7D" w:rsidRPr="00DD1F63" w14:paraId="36A1BFFB"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71AB12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Mucosal Healing  </w:t>
            </w:r>
          </w:p>
        </w:tc>
        <w:tc>
          <w:tcPr>
            <w:tcW w:w="2585" w:type="dxa"/>
            <w:tcBorders>
              <w:top w:val="single" w:sz="4" w:space="0" w:color="000000"/>
              <w:left w:val="single" w:sz="4" w:space="0" w:color="000000"/>
              <w:bottom w:val="single" w:sz="4" w:space="0" w:color="000000"/>
              <w:right w:val="single" w:sz="4" w:space="0" w:color="000000"/>
            </w:tcBorders>
          </w:tcPr>
          <w:p w14:paraId="760BC916"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32%</w:t>
            </w:r>
            <w:r w:rsidRPr="00DD1F63">
              <w:rPr>
                <w:rFonts w:ascii="Times New Roman" w:hAnsi="Times New Roman" w:cs="Times New Roman"/>
                <w:b/>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3D2E449B"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41%*</w:t>
            </w:r>
            <w:r w:rsidRPr="00DD1F63">
              <w:rPr>
                <w:rFonts w:ascii="Times New Roman" w:hAnsi="Times New Roman" w:cs="Times New Roman"/>
                <w:b/>
                <w:sz w:val="22"/>
              </w:rPr>
              <w:t xml:space="preserve"> </w:t>
            </w:r>
          </w:p>
        </w:tc>
      </w:tr>
      <w:tr w:rsidR="00506E7D" w:rsidRPr="00DD1F63" w14:paraId="565A3872"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413F995F"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52 </w:t>
            </w:r>
          </w:p>
        </w:tc>
        <w:tc>
          <w:tcPr>
            <w:tcW w:w="2585" w:type="dxa"/>
            <w:tcBorders>
              <w:top w:val="single" w:sz="4" w:space="0" w:color="000000"/>
              <w:left w:val="single" w:sz="4" w:space="0" w:color="000000"/>
              <w:bottom w:val="single" w:sz="4" w:space="0" w:color="000000"/>
              <w:right w:val="single" w:sz="4" w:space="0" w:color="000000"/>
            </w:tcBorders>
          </w:tcPr>
          <w:p w14:paraId="3FEBA967" w14:textId="77777777" w:rsidR="00916A9B" w:rsidRPr="00DD1F63" w:rsidRDefault="00916A9B" w:rsidP="00377A09">
            <w:pPr>
              <w:spacing w:after="0" w:line="240" w:lineRule="auto"/>
              <w:ind w:left="0" w:right="1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2859" w:type="dxa"/>
            <w:tcBorders>
              <w:top w:val="single" w:sz="4" w:space="0" w:color="000000"/>
              <w:left w:val="single" w:sz="4" w:space="0" w:color="000000"/>
              <w:bottom w:val="single" w:sz="4" w:space="0" w:color="000000"/>
              <w:right w:val="single" w:sz="4" w:space="0" w:color="000000"/>
            </w:tcBorders>
          </w:tcPr>
          <w:p w14:paraId="4ECEB0BB" w14:textId="77777777" w:rsidR="00916A9B" w:rsidRPr="00DD1F63" w:rsidRDefault="00916A9B" w:rsidP="00377A09">
            <w:pPr>
              <w:spacing w:after="0" w:line="240" w:lineRule="auto"/>
              <w:ind w:left="0" w:right="15" w:firstLine="0"/>
              <w:jc w:val="left"/>
              <w:rPr>
                <w:rFonts w:ascii="Times New Roman" w:hAnsi="Times New Roman" w:cs="Times New Roman"/>
                <w:sz w:val="22"/>
              </w:rPr>
            </w:pPr>
            <w:r w:rsidRPr="00DD1F63">
              <w:rPr>
                <w:rFonts w:ascii="Times New Roman" w:hAnsi="Times New Roman" w:cs="Times New Roman"/>
                <w:b/>
                <w:sz w:val="22"/>
              </w:rPr>
              <w:t xml:space="preserve">N = 248 </w:t>
            </w:r>
          </w:p>
        </w:tc>
      </w:tr>
      <w:tr w:rsidR="00506E7D" w:rsidRPr="00DD1F63" w14:paraId="2934D607"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5113BF16"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Remission </w:t>
            </w:r>
          </w:p>
        </w:tc>
        <w:tc>
          <w:tcPr>
            <w:tcW w:w="2585" w:type="dxa"/>
            <w:tcBorders>
              <w:top w:val="single" w:sz="4" w:space="0" w:color="000000"/>
              <w:left w:val="single" w:sz="4" w:space="0" w:color="000000"/>
              <w:bottom w:val="single" w:sz="4" w:space="0" w:color="000000"/>
              <w:right w:val="single" w:sz="4" w:space="0" w:color="000000"/>
            </w:tcBorders>
          </w:tcPr>
          <w:p w14:paraId="7D968994"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9% </w:t>
            </w:r>
          </w:p>
        </w:tc>
        <w:tc>
          <w:tcPr>
            <w:tcW w:w="2859" w:type="dxa"/>
            <w:tcBorders>
              <w:top w:val="single" w:sz="4" w:space="0" w:color="000000"/>
              <w:left w:val="single" w:sz="4" w:space="0" w:color="000000"/>
              <w:bottom w:val="single" w:sz="4" w:space="0" w:color="000000"/>
              <w:right w:val="single" w:sz="4" w:space="0" w:color="000000"/>
            </w:tcBorders>
          </w:tcPr>
          <w:p w14:paraId="1328E3C3"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17%* </w:t>
            </w:r>
          </w:p>
        </w:tc>
      </w:tr>
      <w:tr w:rsidR="00506E7D" w:rsidRPr="00DD1F63" w14:paraId="7259633E"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498E71CA"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Response  </w:t>
            </w:r>
          </w:p>
        </w:tc>
        <w:tc>
          <w:tcPr>
            <w:tcW w:w="2585" w:type="dxa"/>
            <w:tcBorders>
              <w:top w:val="single" w:sz="4" w:space="0" w:color="000000"/>
              <w:left w:val="single" w:sz="4" w:space="0" w:color="000000"/>
              <w:bottom w:val="single" w:sz="4" w:space="0" w:color="000000"/>
              <w:right w:val="single" w:sz="4" w:space="0" w:color="000000"/>
            </w:tcBorders>
          </w:tcPr>
          <w:p w14:paraId="78B02147"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18% </w:t>
            </w:r>
          </w:p>
        </w:tc>
        <w:tc>
          <w:tcPr>
            <w:tcW w:w="2859" w:type="dxa"/>
            <w:tcBorders>
              <w:top w:val="single" w:sz="4" w:space="0" w:color="000000"/>
              <w:left w:val="single" w:sz="4" w:space="0" w:color="000000"/>
              <w:bottom w:val="single" w:sz="4" w:space="0" w:color="000000"/>
              <w:right w:val="single" w:sz="4" w:space="0" w:color="000000"/>
            </w:tcBorders>
          </w:tcPr>
          <w:p w14:paraId="17F9AB43"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30%* </w:t>
            </w:r>
          </w:p>
        </w:tc>
      </w:tr>
      <w:tr w:rsidR="00506E7D" w:rsidRPr="00DD1F63" w14:paraId="3DF9DE88"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19FE31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Mucosal Healing  </w:t>
            </w:r>
          </w:p>
        </w:tc>
        <w:tc>
          <w:tcPr>
            <w:tcW w:w="2585" w:type="dxa"/>
            <w:tcBorders>
              <w:top w:val="single" w:sz="4" w:space="0" w:color="000000"/>
              <w:left w:val="single" w:sz="4" w:space="0" w:color="000000"/>
              <w:bottom w:val="single" w:sz="4" w:space="0" w:color="000000"/>
              <w:right w:val="single" w:sz="4" w:space="0" w:color="000000"/>
            </w:tcBorders>
          </w:tcPr>
          <w:p w14:paraId="3DD8845C"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15% </w:t>
            </w:r>
          </w:p>
        </w:tc>
        <w:tc>
          <w:tcPr>
            <w:tcW w:w="2859" w:type="dxa"/>
            <w:tcBorders>
              <w:top w:val="single" w:sz="4" w:space="0" w:color="000000"/>
              <w:left w:val="single" w:sz="4" w:space="0" w:color="000000"/>
              <w:bottom w:val="single" w:sz="4" w:space="0" w:color="000000"/>
              <w:right w:val="single" w:sz="4" w:space="0" w:color="000000"/>
            </w:tcBorders>
          </w:tcPr>
          <w:p w14:paraId="365A996F"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25%* </w:t>
            </w:r>
          </w:p>
        </w:tc>
      </w:tr>
      <w:tr w:rsidR="00506E7D" w:rsidRPr="00DD1F63" w14:paraId="329E5A4A"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0C98C650"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Steroid-free remission </w:t>
            </w:r>
            <w:r w:rsidRPr="00DD1F63">
              <w:rPr>
                <w:rFonts w:ascii="Times New Roman" w:hAnsi="Times New Roman" w:cs="Times New Roman"/>
                <w:sz w:val="22"/>
                <w:vertAlign w:val="superscript"/>
              </w:rPr>
              <w:t>a</w:t>
            </w:r>
            <w:r w:rsidRPr="00DD1F63">
              <w:rPr>
                <w:rFonts w:ascii="Times New Roman" w:hAnsi="Times New Roman" w:cs="Times New Roman"/>
                <w:sz w:val="22"/>
              </w:rPr>
              <w:t xml:space="preserve">  </w:t>
            </w:r>
          </w:p>
        </w:tc>
        <w:tc>
          <w:tcPr>
            <w:tcW w:w="2585" w:type="dxa"/>
            <w:tcBorders>
              <w:top w:val="single" w:sz="4" w:space="0" w:color="000000"/>
              <w:left w:val="single" w:sz="4" w:space="0" w:color="000000"/>
              <w:bottom w:val="single" w:sz="4" w:space="0" w:color="000000"/>
              <w:right w:val="single" w:sz="4" w:space="0" w:color="000000"/>
            </w:tcBorders>
          </w:tcPr>
          <w:p w14:paraId="5BFC9DCA" w14:textId="77777777" w:rsidR="00916A9B" w:rsidRPr="00DD1F63" w:rsidRDefault="00916A9B" w:rsidP="00377A09">
            <w:pPr>
              <w:spacing w:after="0" w:line="240" w:lineRule="auto"/>
              <w:ind w:left="819" w:right="783" w:firstLine="0"/>
              <w:jc w:val="left"/>
              <w:rPr>
                <w:rFonts w:ascii="Times New Roman" w:hAnsi="Times New Roman" w:cs="Times New Roman"/>
                <w:sz w:val="22"/>
              </w:rPr>
            </w:pPr>
            <w:r w:rsidRPr="00DD1F63">
              <w:rPr>
                <w:rFonts w:ascii="Times New Roman" w:hAnsi="Times New Roman" w:cs="Times New Roman"/>
                <w:sz w:val="22"/>
              </w:rPr>
              <w:t xml:space="preserve">6% (N=140) </w:t>
            </w:r>
          </w:p>
        </w:tc>
        <w:tc>
          <w:tcPr>
            <w:tcW w:w="2859" w:type="dxa"/>
            <w:tcBorders>
              <w:top w:val="single" w:sz="4" w:space="0" w:color="000000"/>
              <w:left w:val="single" w:sz="4" w:space="0" w:color="000000"/>
              <w:bottom w:val="single" w:sz="4" w:space="0" w:color="000000"/>
              <w:right w:val="single" w:sz="4" w:space="0" w:color="000000"/>
            </w:tcBorders>
          </w:tcPr>
          <w:p w14:paraId="053E271A" w14:textId="77777777" w:rsidR="00916A9B" w:rsidRPr="00DD1F63" w:rsidRDefault="00916A9B" w:rsidP="00377A09">
            <w:pPr>
              <w:spacing w:after="0" w:line="240" w:lineRule="auto"/>
              <w:ind w:left="0" w:right="12" w:firstLine="0"/>
              <w:jc w:val="left"/>
              <w:rPr>
                <w:rFonts w:ascii="Times New Roman" w:hAnsi="Times New Roman" w:cs="Times New Roman"/>
                <w:sz w:val="22"/>
              </w:rPr>
            </w:pPr>
            <w:r w:rsidRPr="00DD1F63">
              <w:rPr>
                <w:rFonts w:ascii="Times New Roman" w:hAnsi="Times New Roman" w:cs="Times New Roman"/>
                <w:sz w:val="22"/>
              </w:rPr>
              <w:t xml:space="preserve">13% * </w:t>
            </w:r>
          </w:p>
          <w:p w14:paraId="3C6EC652" w14:textId="77777777" w:rsidR="00916A9B" w:rsidRPr="00DD1F63" w:rsidRDefault="00916A9B" w:rsidP="00377A09">
            <w:pPr>
              <w:spacing w:after="0" w:line="240" w:lineRule="auto"/>
              <w:ind w:left="0" w:right="16" w:firstLine="0"/>
              <w:jc w:val="left"/>
              <w:rPr>
                <w:rFonts w:ascii="Times New Roman" w:hAnsi="Times New Roman" w:cs="Times New Roman"/>
                <w:sz w:val="22"/>
              </w:rPr>
            </w:pPr>
            <w:r w:rsidRPr="00DD1F63">
              <w:rPr>
                <w:rFonts w:ascii="Times New Roman" w:hAnsi="Times New Roman" w:cs="Times New Roman"/>
                <w:sz w:val="22"/>
              </w:rPr>
              <w:t xml:space="preserve">(N=150) </w:t>
            </w:r>
          </w:p>
        </w:tc>
      </w:tr>
      <w:tr w:rsidR="00506E7D" w:rsidRPr="00DD1F63" w14:paraId="29D0E4CA"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2152D9AD"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8 and 52 </w:t>
            </w:r>
          </w:p>
        </w:tc>
        <w:tc>
          <w:tcPr>
            <w:tcW w:w="2585" w:type="dxa"/>
            <w:tcBorders>
              <w:top w:val="single" w:sz="4" w:space="0" w:color="000000"/>
              <w:left w:val="single" w:sz="4" w:space="0" w:color="000000"/>
              <w:bottom w:val="single" w:sz="4" w:space="0" w:color="000000"/>
              <w:right w:val="single" w:sz="4" w:space="0" w:color="000000"/>
            </w:tcBorders>
          </w:tcPr>
          <w:p w14:paraId="027575B4" w14:textId="77777777" w:rsidR="00916A9B" w:rsidRPr="00DD1F63" w:rsidRDefault="00916A9B" w:rsidP="00377A09">
            <w:pPr>
              <w:spacing w:after="0" w:line="240" w:lineRule="auto"/>
              <w:ind w:left="0" w:right="1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2859" w:type="dxa"/>
            <w:tcBorders>
              <w:top w:val="single" w:sz="4" w:space="0" w:color="000000"/>
              <w:left w:val="single" w:sz="4" w:space="0" w:color="000000"/>
              <w:bottom w:val="single" w:sz="4" w:space="0" w:color="000000"/>
              <w:right w:val="single" w:sz="4" w:space="0" w:color="000000"/>
            </w:tcBorders>
          </w:tcPr>
          <w:p w14:paraId="6F312DAD" w14:textId="77777777" w:rsidR="00916A9B" w:rsidRPr="00DD1F63" w:rsidRDefault="00916A9B" w:rsidP="00377A09">
            <w:pPr>
              <w:spacing w:after="0" w:line="240" w:lineRule="auto"/>
              <w:ind w:left="0" w:right="15" w:firstLine="0"/>
              <w:jc w:val="left"/>
              <w:rPr>
                <w:rFonts w:ascii="Times New Roman" w:hAnsi="Times New Roman" w:cs="Times New Roman"/>
                <w:sz w:val="22"/>
              </w:rPr>
            </w:pPr>
            <w:r w:rsidRPr="00DD1F63">
              <w:rPr>
                <w:rFonts w:ascii="Times New Roman" w:hAnsi="Times New Roman" w:cs="Times New Roman"/>
                <w:b/>
                <w:sz w:val="22"/>
              </w:rPr>
              <w:t xml:space="preserve">N = 248 </w:t>
            </w:r>
          </w:p>
        </w:tc>
      </w:tr>
      <w:tr w:rsidR="00506E7D" w:rsidRPr="00DD1F63" w14:paraId="28569C03"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6D408491"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Sustained Clinical Remission  </w:t>
            </w:r>
          </w:p>
        </w:tc>
        <w:tc>
          <w:tcPr>
            <w:tcW w:w="2585" w:type="dxa"/>
            <w:tcBorders>
              <w:top w:val="single" w:sz="4" w:space="0" w:color="000000"/>
              <w:left w:val="single" w:sz="4" w:space="0" w:color="000000"/>
              <w:bottom w:val="single" w:sz="4" w:space="0" w:color="000000"/>
              <w:right w:val="single" w:sz="4" w:space="0" w:color="000000"/>
            </w:tcBorders>
          </w:tcPr>
          <w:p w14:paraId="5F2A9088"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4% </w:t>
            </w:r>
          </w:p>
        </w:tc>
        <w:tc>
          <w:tcPr>
            <w:tcW w:w="2859" w:type="dxa"/>
            <w:tcBorders>
              <w:top w:val="single" w:sz="4" w:space="0" w:color="000000"/>
              <w:left w:val="single" w:sz="4" w:space="0" w:color="000000"/>
              <w:bottom w:val="single" w:sz="4" w:space="0" w:color="000000"/>
              <w:right w:val="single" w:sz="4" w:space="0" w:color="000000"/>
            </w:tcBorders>
          </w:tcPr>
          <w:p w14:paraId="7EF793EF"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8%* </w:t>
            </w:r>
          </w:p>
        </w:tc>
      </w:tr>
      <w:tr w:rsidR="00506E7D" w:rsidRPr="00DD1F63" w14:paraId="53A0AD69"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5EE75FCE"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Sustained Clinical Response  </w:t>
            </w:r>
          </w:p>
        </w:tc>
        <w:tc>
          <w:tcPr>
            <w:tcW w:w="2585" w:type="dxa"/>
            <w:tcBorders>
              <w:top w:val="single" w:sz="4" w:space="0" w:color="000000"/>
              <w:left w:val="single" w:sz="4" w:space="0" w:color="000000"/>
              <w:bottom w:val="single" w:sz="4" w:space="0" w:color="000000"/>
              <w:right w:val="single" w:sz="4" w:space="0" w:color="000000"/>
            </w:tcBorders>
          </w:tcPr>
          <w:p w14:paraId="6D53432A"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12% </w:t>
            </w:r>
          </w:p>
        </w:tc>
        <w:tc>
          <w:tcPr>
            <w:tcW w:w="2859" w:type="dxa"/>
            <w:tcBorders>
              <w:top w:val="single" w:sz="4" w:space="0" w:color="000000"/>
              <w:left w:val="single" w:sz="4" w:space="0" w:color="000000"/>
              <w:bottom w:val="single" w:sz="4" w:space="0" w:color="000000"/>
              <w:right w:val="single" w:sz="4" w:space="0" w:color="000000"/>
            </w:tcBorders>
          </w:tcPr>
          <w:p w14:paraId="2E44A097" w14:textId="77777777" w:rsidR="00916A9B" w:rsidRPr="00DD1F63" w:rsidRDefault="00916A9B" w:rsidP="00377A09">
            <w:pPr>
              <w:spacing w:after="0" w:line="240" w:lineRule="auto"/>
              <w:ind w:left="0" w:right="16" w:firstLine="0"/>
              <w:jc w:val="left"/>
              <w:rPr>
                <w:rFonts w:ascii="Times New Roman" w:hAnsi="Times New Roman" w:cs="Times New Roman"/>
                <w:sz w:val="22"/>
              </w:rPr>
            </w:pPr>
            <w:r w:rsidRPr="00DD1F63">
              <w:rPr>
                <w:rFonts w:ascii="Times New Roman" w:hAnsi="Times New Roman" w:cs="Times New Roman"/>
                <w:sz w:val="22"/>
              </w:rPr>
              <w:t xml:space="preserve">24%** </w:t>
            </w:r>
          </w:p>
        </w:tc>
      </w:tr>
      <w:tr w:rsidR="00506E7D" w:rsidRPr="00DD1F63" w14:paraId="146E6D62"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4D8A200" w14:textId="77777777" w:rsidR="00916A9B" w:rsidRPr="00DD1F63" w:rsidRDefault="00916A9B"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lastRenderedPageBreak/>
              <w:t xml:space="preserve">  Sustained Mucosal Healing  </w:t>
            </w:r>
          </w:p>
        </w:tc>
        <w:tc>
          <w:tcPr>
            <w:tcW w:w="2585" w:type="dxa"/>
            <w:tcBorders>
              <w:top w:val="single" w:sz="4" w:space="0" w:color="000000"/>
              <w:left w:val="single" w:sz="4" w:space="0" w:color="000000"/>
              <w:bottom w:val="single" w:sz="4" w:space="0" w:color="000000"/>
              <w:right w:val="single" w:sz="4" w:space="0" w:color="000000"/>
            </w:tcBorders>
          </w:tcPr>
          <w:p w14:paraId="55CB969E"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11% </w:t>
            </w:r>
          </w:p>
        </w:tc>
        <w:tc>
          <w:tcPr>
            <w:tcW w:w="2859" w:type="dxa"/>
            <w:tcBorders>
              <w:top w:val="single" w:sz="4" w:space="0" w:color="000000"/>
              <w:left w:val="single" w:sz="4" w:space="0" w:color="000000"/>
              <w:bottom w:val="single" w:sz="4" w:space="0" w:color="000000"/>
              <w:right w:val="single" w:sz="4" w:space="0" w:color="000000"/>
            </w:tcBorders>
          </w:tcPr>
          <w:p w14:paraId="7E5E0336" w14:textId="77777777" w:rsidR="00916A9B" w:rsidRPr="00DD1F63" w:rsidRDefault="00916A9B" w:rsidP="00377A09">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19%* </w:t>
            </w:r>
          </w:p>
        </w:tc>
      </w:tr>
      <w:tr w:rsidR="00916A9B" w:rsidRPr="00DD1F63" w14:paraId="06709BF8" w14:textId="77777777" w:rsidTr="002C1753">
        <w:trPr>
          <w:trHeight w:val="20"/>
        </w:trPr>
        <w:tc>
          <w:tcPr>
            <w:tcW w:w="8585" w:type="dxa"/>
            <w:gridSpan w:val="3"/>
            <w:tcBorders>
              <w:top w:val="single" w:sz="4" w:space="0" w:color="000000"/>
              <w:left w:val="single" w:sz="4" w:space="0" w:color="000000"/>
              <w:bottom w:val="single" w:sz="4" w:space="0" w:color="000000"/>
              <w:right w:val="single" w:sz="4" w:space="0" w:color="000000"/>
            </w:tcBorders>
          </w:tcPr>
          <w:p w14:paraId="16586844" w14:textId="7E8769E7" w:rsidR="00916A9B" w:rsidRPr="00DD1F63" w:rsidRDefault="00916A9B" w:rsidP="00377A09">
            <w:pPr>
              <w:spacing w:after="0" w:line="240" w:lineRule="auto"/>
              <w:ind w:left="0" w:firstLine="0"/>
              <w:jc w:val="left"/>
              <w:rPr>
                <w:rFonts w:ascii="Times New Roman" w:hAnsi="Times New Roman" w:cs="Times New Roman"/>
                <w:szCs w:val="20"/>
              </w:rPr>
            </w:pPr>
            <w:r w:rsidRPr="00DD1F63">
              <w:rPr>
                <w:rFonts w:ascii="Times New Roman" w:hAnsi="Times New Roman" w:cs="Times New Roman"/>
                <w:sz w:val="22"/>
              </w:rPr>
              <w:t xml:space="preserve"> </w:t>
            </w:r>
            <w:r w:rsidRPr="00DD1F63">
              <w:rPr>
                <w:rFonts w:ascii="Times New Roman" w:hAnsi="Times New Roman" w:cs="Times New Roman"/>
                <w:szCs w:val="20"/>
              </w:rPr>
              <w:t xml:space="preserve">Clinical Remission is Mayo score ≤ 2 with no sub score &gt; </w:t>
            </w:r>
            <w:proofErr w:type="gramStart"/>
            <w:r w:rsidRPr="00DD1F63">
              <w:rPr>
                <w:rFonts w:ascii="Times New Roman" w:hAnsi="Times New Roman" w:cs="Times New Roman"/>
                <w:szCs w:val="20"/>
              </w:rPr>
              <w:t>1;</w:t>
            </w:r>
            <w:proofErr w:type="gramEnd"/>
            <w:r w:rsidRPr="00DD1F63">
              <w:rPr>
                <w:rFonts w:ascii="Times New Roman" w:hAnsi="Times New Roman" w:cs="Times New Roman"/>
                <w:szCs w:val="20"/>
              </w:rPr>
              <w:t xml:space="preserve"> </w:t>
            </w:r>
          </w:p>
          <w:p w14:paraId="58A4B35F" w14:textId="77777777" w:rsidR="00916A9B" w:rsidRPr="00DD1F63" w:rsidRDefault="00916A9B" w:rsidP="00377A09">
            <w:pPr>
              <w:spacing w:after="0" w:line="240" w:lineRule="auto"/>
              <w:ind w:left="127" w:firstLine="0"/>
              <w:jc w:val="left"/>
              <w:rPr>
                <w:rFonts w:ascii="Times New Roman" w:hAnsi="Times New Roman" w:cs="Times New Roman"/>
                <w:szCs w:val="20"/>
              </w:rPr>
            </w:pPr>
            <w:r w:rsidRPr="00DD1F63">
              <w:rPr>
                <w:rFonts w:ascii="Times New Roman" w:hAnsi="Times New Roman" w:cs="Times New Roman"/>
                <w:szCs w:val="20"/>
              </w:rPr>
              <w:t xml:space="preserve">Clinical Response is decrease from baseline in Mayo score ≥ 3 points and ≥ 30%, and rectal bleeding sub score of 0 or 1 or its decrease from baseline ≥ 1 point.   </w:t>
            </w:r>
          </w:p>
          <w:p w14:paraId="418225F8" w14:textId="77777777" w:rsidR="00916A9B" w:rsidRPr="00DD1F63" w:rsidRDefault="00916A9B" w:rsidP="00377A09">
            <w:pPr>
              <w:spacing w:after="0" w:line="240" w:lineRule="auto"/>
              <w:ind w:left="127" w:firstLine="0"/>
              <w:jc w:val="left"/>
              <w:rPr>
                <w:rFonts w:ascii="Times New Roman" w:hAnsi="Times New Roman" w:cs="Times New Roman"/>
                <w:szCs w:val="20"/>
              </w:rPr>
            </w:pPr>
            <w:r w:rsidRPr="00DD1F63">
              <w:rPr>
                <w:rFonts w:ascii="Times New Roman" w:hAnsi="Times New Roman" w:cs="Times New Roman"/>
                <w:szCs w:val="20"/>
              </w:rPr>
              <w:t xml:space="preserve">Mucosal healing is defined as endoscopy sub score ≤ 1 </w:t>
            </w:r>
          </w:p>
          <w:p w14:paraId="5711C8E0" w14:textId="4BE11822" w:rsidR="000802A6" w:rsidRPr="00DD1F63" w:rsidRDefault="00916A9B" w:rsidP="00377A09">
            <w:pPr>
              <w:tabs>
                <w:tab w:val="left" w:pos="3915"/>
              </w:tabs>
              <w:spacing w:after="0" w:line="240" w:lineRule="auto"/>
              <w:ind w:left="127" w:right="167" w:firstLine="0"/>
              <w:jc w:val="left"/>
              <w:rPr>
                <w:rFonts w:ascii="Times New Roman" w:hAnsi="Times New Roman" w:cs="Times New Roman"/>
                <w:szCs w:val="20"/>
              </w:rPr>
            </w:pPr>
            <w:r w:rsidRPr="00DD1F63">
              <w:rPr>
                <w:rFonts w:ascii="Times New Roman" w:hAnsi="Times New Roman" w:cs="Times New Roman"/>
                <w:szCs w:val="20"/>
                <w:vertAlign w:val="superscript"/>
              </w:rPr>
              <w:t>*</w:t>
            </w:r>
            <w:r w:rsidRPr="00DD1F63">
              <w:rPr>
                <w:rFonts w:ascii="Times New Roman" w:hAnsi="Times New Roman" w:cs="Times New Roman"/>
                <w:szCs w:val="20"/>
              </w:rPr>
              <w:t xml:space="preserve">p&lt;0.05 for </w:t>
            </w:r>
            <w:r w:rsidR="00F62D5D" w:rsidRPr="00DD1F63">
              <w:rPr>
                <w:rFonts w:ascii="Times New Roman" w:hAnsi="Times New Roman" w:cs="Times New Roman"/>
                <w:szCs w:val="20"/>
              </w:rPr>
              <w:t xml:space="preserve">adalimumab </w:t>
            </w:r>
            <w:r w:rsidRPr="00DD1F63">
              <w:rPr>
                <w:rFonts w:ascii="Times New Roman" w:hAnsi="Times New Roman" w:cs="Times New Roman"/>
                <w:i/>
                <w:szCs w:val="20"/>
              </w:rPr>
              <w:t>vs.</w:t>
            </w:r>
            <w:r w:rsidRPr="00DD1F63">
              <w:rPr>
                <w:rFonts w:ascii="Times New Roman" w:hAnsi="Times New Roman" w:cs="Times New Roman"/>
                <w:szCs w:val="20"/>
              </w:rPr>
              <w:t xml:space="preserve"> placebo pairwise comparison of proportions  </w:t>
            </w:r>
          </w:p>
          <w:p w14:paraId="191A536D" w14:textId="72414184" w:rsidR="000802A6" w:rsidRPr="00DD1F63" w:rsidRDefault="00916A9B" w:rsidP="00377A09">
            <w:pPr>
              <w:tabs>
                <w:tab w:val="left" w:pos="3915"/>
              </w:tabs>
              <w:spacing w:after="0" w:line="240" w:lineRule="auto"/>
              <w:ind w:left="127" w:right="167" w:firstLine="0"/>
              <w:jc w:val="left"/>
              <w:rPr>
                <w:rFonts w:ascii="Times New Roman" w:hAnsi="Times New Roman" w:cs="Times New Roman"/>
                <w:szCs w:val="20"/>
              </w:rPr>
            </w:pPr>
            <w:r w:rsidRPr="00DD1F63">
              <w:rPr>
                <w:rFonts w:ascii="Times New Roman" w:hAnsi="Times New Roman" w:cs="Times New Roman"/>
                <w:szCs w:val="20"/>
              </w:rPr>
              <w:t xml:space="preserve">**p&lt;0.001 for </w:t>
            </w:r>
            <w:r w:rsidR="00F62D5D" w:rsidRPr="00DD1F63">
              <w:rPr>
                <w:rFonts w:ascii="Times New Roman" w:hAnsi="Times New Roman" w:cs="Times New Roman"/>
                <w:szCs w:val="20"/>
              </w:rPr>
              <w:t xml:space="preserve">adalimumab </w:t>
            </w:r>
            <w:r w:rsidRPr="00DD1F63">
              <w:rPr>
                <w:rFonts w:ascii="Times New Roman" w:hAnsi="Times New Roman" w:cs="Times New Roman"/>
                <w:i/>
                <w:szCs w:val="20"/>
              </w:rPr>
              <w:t>vs.</w:t>
            </w:r>
            <w:r w:rsidRPr="00DD1F63">
              <w:rPr>
                <w:rFonts w:ascii="Times New Roman" w:hAnsi="Times New Roman" w:cs="Times New Roman"/>
                <w:szCs w:val="20"/>
              </w:rPr>
              <w:t xml:space="preserve"> placebo pairwise comparison of proportions </w:t>
            </w:r>
          </w:p>
          <w:p w14:paraId="38F7687F" w14:textId="7EA12158" w:rsidR="00916A9B" w:rsidRPr="00DD1F63" w:rsidRDefault="00916A9B" w:rsidP="00377A09">
            <w:pPr>
              <w:tabs>
                <w:tab w:val="left" w:pos="3915"/>
              </w:tabs>
              <w:spacing w:after="0" w:line="240" w:lineRule="auto"/>
              <w:ind w:left="127" w:right="167" w:firstLine="0"/>
              <w:jc w:val="left"/>
              <w:rPr>
                <w:rFonts w:ascii="Times New Roman" w:hAnsi="Times New Roman" w:cs="Times New Roman"/>
                <w:sz w:val="22"/>
              </w:rPr>
            </w:pPr>
            <w:proofErr w:type="spellStart"/>
            <w:r w:rsidRPr="00DD1F63">
              <w:rPr>
                <w:rFonts w:ascii="Times New Roman" w:hAnsi="Times New Roman" w:cs="Times New Roman"/>
                <w:szCs w:val="20"/>
                <w:vertAlign w:val="superscript"/>
              </w:rPr>
              <w:t>a</w:t>
            </w:r>
            <w:proofErr w:type="spellEnd"/>
            <w:r w:rsidRPr="00DD1F63">
              <w:rPr>
                <w:rFonts w:ascii="Times New Roman" w:hAnsi="Times New Roman" w:cs="Times New Roman"/>
                <w:szCs w:val="20"/>
                <w:vertAlign w:val="superscript"/>
              </w:rPr>
              <w:t xml:space="preserve"> </w:t>
            </w:r>
            <w:proofErr w:type="gramStart"/>
            <w:r w:rsidRPr="00DD1F63">
              <w:rPr>
                <w:rFonts w:ascii="Times New Roman" w:hAnsi="Times New Roman" w:cs="Times New Roman"/>
                <w:szCs w:val="20"/>
              </w:rPr>
              <w:t>Of</w:t>
            </w:r>
            <w:proofErr w:type="gramEnd"/>
            <w:r w:rsidRPr="00DD1F63">
              <w:rPr>
                <w:rFonts w:ascii="Times New Roman" w:hAnsi="Times New Roman" w:cs="Times New Roman"/>
                <w:szCs w:val="20"/>
              </w:rPr>
              <w:t xml:space="preserve"> those receiving corticosteroids at baseline</w:t>
            </w:r>
            <w:r w:rsidRPr="00DD1F63">
              <w:rPr>
                <w:rFonts w:ascii="Times New Roman" w:hAnsi="Times New Roman" w:cs="Times New Roman"/>
                <w:b/>
                <w:szCs w:val="20"/>
              </w:rPr>
              <w:t xml:space="preserve"> </w:t>
            </w:r>
          </w:p>
        </w:tc>
      </w:tr>
    </w:tbl>
    <w:p w14:paraId="70922218" w14:textId="3132E908" w:rsidR="00916A9B" w:rsidRPr="00DD1F63" w:rsidRDefault="00916A9B" w:rsidP="00377A09">
      <w:pPr>
        <w:spacing w:after="0" w:line="240" w:lineRule="auto"/>
        <w:ind w:left="426" w:right="375"/>
        <w:jc w:val="left"/>
        <w:rPr>
          <w:rFonts w:ascii="Times New Roman" w:hAnsi="Times New Roman" w:cs="Times New Roman"/>
          <w:sz w:val="22"/>
        </w:rPr>
      </w:pPr>
    </w:p>
    <w:p w14:paraId="0922AA8E" w14:textId="5D84961A" w:rsidR="00916A9B" w:rsidRPr="00DD1F63" w:rsidRDefault="00F62D5D"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Adalimumab </w:t>
      </w:r>
      <w:r w:rsidR="000802A6" w:rsidRPr="00DD1F63">
        <w:rPr>
          <w:rFonts w:ascii="Times New Roman" w:hAnsi="Times New Roman" w:cs="Times New Roman"/>
          <w:sz w:val="22"/>
        </w:rPr>
        <w:t xml:space="preserve">should be discontinued in patients who do not achieve a clinical response during the first 8 weeks of therapy because very few patients will achieve clinical remission with continuing treatment. In UC-1 and UC-2, of patients given </w:t>
      </w:r>
      <w:r w:rsidRPr="00DD1F63">
        <w:rPr>
          <w:rFonts w:ascii="Times New Roman" w:hAnsi="Times New Roman" w:cs="Times New Roman"/>
          <w:sz w:val="22"/>
        </w:rPr>
        <w:t xml:space="preserve">adalimumab </w:t>
      </w:r>
      <w:r w:rsidR="000802A6" w:rsidRPr="00DD1F63">
        <w:rPr>
          <w:rFonts w:ascii="Times New Roman" w:hAnsi="Times New Roman" w:cs="Times New Roman"/>
          <w:sz w:val="22"/>
        </w:rPr>
        <w:t xml:space="preserve">160/80 mg at baseline who did not achieve a clinical response at </w:t>
      </w:r>
      <w:proofErr w:type="gramStart"/>
      <w:r w:rsidR="000802A6" w:rsidRPr="00DD1F63">
        <w:rPr>
          <w:rFonts w:ascii="Times New Roman" w:hAnsi="Times New Roman" w:cs="Times New Roman"/>
          <w:sz w:val="22"/>
        </w:rPr>
        <w:t>Week</w:t>
      </w:r>
      <w:proofErr w:type="gramEnd"/>
      <w:r w:rsidR="000802A6" w:rsidRPr="00DD1F63">
        <w:rPr>
          <w:rFonts w:ascii="Times New Roman" w:hAnsi="Times New Roman" w:cs="Times New Roman"/>
          <w:sz w:val="22"/>
        </w:rPr>
        <w:t xml:space="preserve"> 8, 5.2%, and 17.0% went on to be in remission and response, respectively at Week 52.</w:t>
      </w:r>
    </w:p>
    <w:p w14:paraId="1D656956" w14:textId="5686D8DD" w:rsidR="00916A9B" w:rsidRPr="00DD1F63" w:rsidRDefault="00916A9B" w:rsidP="00377A09">
      <w:pPr>
        <w:spacing w:after="0" w:line="240" w:lineRule="auto"/>
        <w:ind w:left="426" w:right="375"/>
        <w:jc w:val="left"/>
        <w:rPr>
          <w:rFonts w:ascii="Times New Roman" w:hAnsi="Times New Roman" w:cs="Times New Roman"/>
          <w:sz w:val="22"/>
        </w:rPr>
      </w:pPr>
    </w:p>
    <w:tbl>
      <w:tblPr>
        <w:tblStyle w:val="TableGrid"/>
        <w:tblW w:w="8938" w:type="dxa"/>
        <w:tblInd w:w="421" w:type="dxa"/>
        <w:tblCellMar>
          <w:left w:w="57" w:type="dxa"/>
          <w:right w:w="57" w:type="dxa"/>
        </w:tblCellMar>
        <w:tblLook w:val="04A0" w:firstRow="1" w:lastRow="0" w:firstColumn="1" w:lastColumn="0" w:noHBand="0" w:noVBand="1"/>
      </w:tblPr>
      <w:tblGrid>
        <w:gridCol w:w="2268"/>
        <w:gridCol w:w="1559"/>
        <w:gridCol w:w="1134"/>
        <w:gridCol w:w="1843"/>
        <w:gridCol w:w="2134"/>
      </w:tblGrid>
      <w:tr w:rsidR="000802A6" w:rsidRPr="00DD1F63" w14:paraId="58B465CA" w14:textId="77777777" w:rsidTr="005F0842">
        <w:trPr>
          <w:trHeight w:val="20"/>
        </w:trPr>
        <w:tc>
          <w:tcPr>
            <w:tcW w:w="8938" w:type="dxa"/>
            <w:gridSpan w:val="5"/>
            <w:tcBorders>
              <w:top w:val="single" w:sz="4" w:space="0" w:color="000000"/>
              <w:left w:val="single" w:sz="4" w:space="0" w:color="000000"/>
              <w:bottom w:val="single" w:sz="4" w:space="0" w:color="000000"/>
              <w:right w:val="single" w:sz="4" w:space="0" w:color="000000"/>
            </w:tcBorders>
          </w:tcPr>
          <w:p w14:paraId="475310B2" w14:textId="6B4E9407" w:rsidR="000802A6" w:rsidRPr="00DD1F63" w:rsidRDefault="000802A6" w:rsidP="00377A09">
            <w:pPr>
              <w:spacing w:after="0" w:line="240" w:lineRule="auto"/>
              <w:ind w:left="25"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4</w:t>
            </w:r>
            <w:r w:rsidRPr="00DD1F63">
              <w:rPr>
                <w:rFonts w:ascii="Times New Roman" w:hAnsi="Times New Roman" w:cs="Times New Roman"/>
                <w:b/>
                <w:sz w:val="22"/>
              </w:rPr>
              <w:t xml:space="preserve">: Remission, Response and Mucosal Healing at Week 52 Among Week 8 Responders in Study UC-II (Percent of Patients) </w:t>
            </w:r>
          </w:p>
        </w:tc>
      </w:tr>
      <w:tr w:rsidR="000802A6" w:rsidRPr="00DD1F63" w14:paraId="131704AB"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vAlign w:val="bottom"/>
          </w:tcPr>
          <w:p w14:paraId="1BB1CA28" w14:textId="77777777"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6E6A9D7B" w14:textId="0D11E9E1" w:rsidR="000802A6" w:rsidRPr="00DD1F63" w:rsidRDefault="000802A6" w:rsidP="00377A09">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b/>
                <w:sz w:val="22"/>
              </w:rPr>
              <w:t xml:space="preserve">ITT Population </w:t>
            </w:r>
          </w:p>
        </w:tc>
        <w:tc>
          <w:tcPr>
            <w:tcW w:w="3977" w:type="dxa"/>
            <w:gridSpan w:val="2"/>
            <w:tcBorders>
              <w:top w:val="single" w:sz="4" w:space="0" w:color="000000"/>
              <w:left w:val="single" w:sz="4" w:space="0" w:color="000000"/>
              <w:bottom w:val="single" w:sz="4" w:space="0" w:color="000000"/>
              <w:right w:val="single" w:sz="4" w:space="0" w:color="000000"/>
            </w:tcBorders>
          </w:tcPr>
          <w:p w14:paraId="0B28744B" w14:textId="5C47DAC3" w:rsidR="000802A6" w:rsidRPr="00DD1F63" w:rsidRDefault="00506E7D" w:rsidP="00377A09">
            <w:pPr>
              <w:spacing w:after="0" w:line="240" w:lineRule="auto"/>
              <w:ind w:left="0" w:right="24"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0802A6" w:rsidRPr="00DD1F63">
              <w:rPr>
                <w:rFonts w:ascii="Times New Roman" w:hAnsi="Times New Roman" w:cs="Times New Roman"/>
                <w:b/>
                <w:sz w:val="22"/>
              </w:rPr>
              <w:t xml:space="preserve">-Treated Patients </w:t>
            </w:r>
          </w:p>
        </w:tc>
      </w:tr>
      <w:tr w:rsidR="000802A6" w:rsidRPr="00DD1F63" w14:paraId="7DB58C26"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vAlign w:val="bottom"/>
          </w:tcPr>
          <w:p w14:paraId="2D494A39" w14:textId="77777777"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52 </w:t>
            </w:r>
          </w:p>
          <w:p w14:paraId="6FB14B30" w14:textId="77777777"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Outcome </w:t>
            </w:r>
          </w:p>
        </w:tc>
        <w:tc>
          <w:tcPr>
            <w:tcW w:w="1559" w:type="dxa"/>
            <w:tcBorders>
              <w:top w:val="single" w:sz="4" w:space="0" w:color="000000"/>
              <w:left w:val="single" w:sz="4" w:space="0" w:color="000000"/>
              <w:bottom w:val="single" w:sz="4" w:space="0" w:color="000000"/>
              <w:right w:val="single" w:sz="4" w:space="0" w:color="000000"/>
            </w:tcBorders>
          </w:tcPr>
          <w:p w14:paraId="05A068FC" w14:textId="60AF2316" w:rsidR="000802A6" w:rsidRPr="00DD1F63" w:rsidRDefault="00F62D5D" w:rsidP="00377A09">
            <w:pPr>
              <w:spacing w:after="0" w:line="240" w:lineRule="auto"/>
              <w:ind w:left="0" w:right="26"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0802A6" w:rsidRPr="00DD1F63">
              <w:rPr>
                <w:rFonts w:ascii="Times New Roman" w:hAnsi="Times New Roman" w:cs="Times New Roman"/>
                <w:b/>
                <w:sz w:val="22"/>
              </w:rPr>
              <w:t xml:space="preserve">40 mg fortnightly </w:t>
            </w:r>
          </w:p>
          <w:p w14:paraId="75E843D1" w14:textId="77777777" w:rsidR="000802A6" w:rsidRPr="00DD1F63" w:rsidRDefault="000802A6" w:rsidP="00377A09">
            <w:pPr>
              <w:spacing w:after="0" w:line="240" w:lineRule="auto"/>
              <w:ind w:left="0" w:right="26" w:firstLine="0"/>
              <w:jc w:val="left"/>
              <w:rPr>
                <w:rFonts w:ascii="Times New Roman" w:hAnsi="Times New Roman" w:cs="Times New Roman"/>
                <w:sz w:val="22"/>
              </w:rPr>
            </w:pPr>
            <w:r w:rsidRPr="00DD1F63">
              <w:rPr>
                <w:rFonts w:ascii="Times New Roman" w:hAnsi="Times New Roman" w:cs="Times New Roman"/>
                <w:b/>
                <w:sz w:val="22"/>
              </w:rPr>
              <w:t xml:space="preserve">N = 248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7E9293" w14:textId="77777777" w:rsidR="000802A6" w:rsidRPr="00DD1F63" w:rsidRDefault="000802A6" w:rsidP="00377A09">
            <w:pPr>
              <w:spacing w:after="0" w:line="240" w:lineRule="auto"/>
              <w:ind w:left="0" w:right="19" w:firstLine="0"/>
              <w:jc w:val="left"/>
              <w:rPr>
                <w:rFonts w:ascii="Times New Roman" w:hAnsi="Times New Roman" w:cs="Times New Roman"/>
                <w:sz w:val="22"/>
              </w:rPr>
            </w:pPr>
            <w:r w:rsidRPr="00DD1F63">
              <w:rPr>
                <w:rFonts w:ascii="Times New Roman" w:hAnsi="Times New Roman" w:cs="Times New Roman"/>
                <w:b/>
                <w:sz w:val="22"/>
              </w:rPr>
              <w:t xml:space="preserve">Placebo </w:t>
            </w:r>
          </w:p>
          <w:p w14:paraId="14C9EFBD" w14:textId="77777777" w:rsidR="000802A6" w:rsidRPr="00DD1F63" w:rsidRDefault="000802A6" w:rsidP="00377A09">
            <w:pPr>
              <w:spacing w:after="0" w:line="240" w:lineRule="auto"/>
              <w:ind w:left="0" w:right="2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1843" w:type="dxa"/>
            <w:tcBorders>
              <w:top w:val="single" w:sz="4" w:space="0" w:color="000000"/>
              <w:left w:val="single" w:sz="4" w:space="0" w:color="000000"/>
              <w:bottom w:val="single" w:sz="4" w:space="0" w:color="000000"/>
              <w:right w:val="single" w:sz="4" w:space="0" w:color="000000"/>
            </w:tcBorders>
            <w:vAlign w:val="center"/>
          </w:tcPr>
          <w:p w14:paraId="21FEF370" w14:textId="77777777"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8 Responders per Full Mayo Score </w:t>
            </w:r>
          </w:p>
          <w:p w14:paraId="4CCDD7FE" w14:textId="77777777" w:rsidR="000802A6" w:rsidRPr="00DD1F63" w:rsidRDefault="000802A6" w:rsidP="00377A09">
            <w:pPr>
              <w:spacing w:after="0" w:line="240" w:lineRule="auto"/>
              <w:ind w:left="0" w:right="20" w:firstLine="0"/>
              <w:jc w:val="left"/>
              <w:rPr>
                <w:rFonts w:ascii="Times New Roman" w:hAnsi="Times New Roman" w:cs="Times New Roman"/>
                <w:sz w:val="22"/>
              </w:rPr>
            </w:pPr>
            <w:r w:rsidRPr="00DD1F63">
              <w:rPr>
                <w:rFonts w:ascii="Times New Roman" w:hAnsi="Times New Roman" w:cs="Times New Roman"/>
                <w:b/>
                <w:sz w:val="22"/>
              </w:rPr>
              <w:t xml:space="preserve">N = 125 </w:t>
            </w:r>
          </w:p>
        </w:tc>
        <w:tc>
          <w:tcPr>
            <w:tcW w:w="2134" w:type="dxa"/>
            <w:tcBorders>
              <w:top w:val="single" w:sz="4" w:space="0" w:color="000000"/>
              <w:left w:val="single" w:sz="4" w:space="0" w:color="000000"/>
              <w:bottom w:val="single" w:sz="4" w:space="0" w:color="000000"/>
              <w:right w:val="single" w:sz="4" w:space="0" w:color="000000"/>
            </w:tcBorders>
            <w:vAlign w:val="center"/>
          </w:tcPr>
          <w:p w14:paraId="0FE40FFB" w14:textId="77777777" w:rsidR="000802A6" w:rsidRPr="00DD1F63" w:rsidRDefault="000802A6" w:rsidP="00377A09">
            <w:pPr>
              <w:spacing w:after="0" w:line="240" w:lineRule="auto"/>
              <w:ind w:left="113" w:right="85" w:firstLine="0"/>
              <w:jc w:val="left"/>
              <w:rPr>
                <w:rFonts w:ascii="Times New Roman" w:hAnsi="Times New Roman" w:cs="Times New Roman"/>
                <w:sz w:val="22"/>
              </w:rPr>
            </w:pPr>
            <w:r w:rsidRPr="00DD1F63">
              <w:rPr>
                <w:rFonts w:ascii="Times New Roman" w:hAnsi="Times New Roman" w:cs="Times New Roman"/>
                <w:b/>
                <w:sz w:val="22"/>
              </w:rPr>
              <w:t xml:space="preserve">Week 8 Responders per Partial Mayo Score </w:t>
            </w:r>
          </w:p>
          <w:p w14:paraId="3B45C875" w14:textId="77777777" w:rsidR="000802A6" w:rsidRPr="00DD1F63" w:rsidRDefault="000802A6" w:rsidP="00377A09">
            <w:pPr>
              <w:spacing w:after="0" w:line="240" w:lineRule="auto"/>
              <w:ind w:left="0" w:right="20" w:firstLine="0"/>
              <w:jc w:val="left"/>
              <w:rPr>
                <w:rFonts w:ascii="Times New Roman" w:hAnsi="Times New Roman" w:cs="Times New Roman"/>
                <w:sz w:val="22"/>
              </w:rPr>
            </w:pPr>
            <w:r w:rsidRPr="00DD1F63">
              <w:rPr>
                <w:rFonts w:ascii="Times New Roman" w:hAnsi="Times New Roman" w:cs="Times New Roman"/>
                <w:b/>
                <w:sz w:val="22"/>
              </w:rPr>
              <w:t xml:space="preserve">N = 123 </w:t>
            </w:r>
          </w:p>
        </w:tc>
      </w:tr>
      <w:tr w:rsidR="000802A6" w:rsidRPr="00DD1F63" w14:paraId="293151C4"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02C522F5" w14:textId="708BED06"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1559" w:type="dxa"/>
            <w:tcBorders>
              <w:top w:val="single" w:sz="4" w:space="0" w:color="000000"/>
              <w:left w:val="single" w:sz="4" w:space="0" w:color="000000"/>
              <w:bottom w:val="single" w:sz="4" w:space="0" w:color="000000"/>
              <w:right w:val="single" w:sz="4" w:space="0" w:color="000000"/>
            </w:tcBorders>
          </w:tcPr>
          <w:p w14:paraId="5FDAC228" w14:textId="77777777" w:rsidR="000802A6" w:rsidRPr="00DD1F63" w:rsidRDefault="000802A6" w:rsidP="00377A09">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sz w:val="22"/>
              </w:rPr>
              <w:t xml:space="preserve">17% </w:t>
            </w:r>
          </w:p>
        </w:tc>
        <w:tc>
          <w:tcPr>
            <w:tcW w:w="1134" w:type="dxa"/>
            <w:tcBorders>
              <w:top w:val="single" w:sz="4" w:space="0" w:color="000000"/>
              <w:left w:val="single" w:sz="4" w:space="0" w:color="000000"/>
              <w:bottom w:val="single" w:sz="4" w:space="0" w:color="000000"/>
              <w:right w:val="single" w:sz="4" w:space="0" w:color="000000"/>
            </w:tcBorders>
          </w:tcPr>
          <w:p w14:paraId="6657585D" w14:textId="77777777" w:rsidR="000802A6" w:rsidRPr="00DD1F63" w:rsidRDefault="000802A6" w:rsidP="00377A09">
            <w:pPr>
              <w:spacing w:after="0" w:line="240" w:lineRule="auto"/>
              <w:ind w:left="0" w:right="18" w:firstLine="0"/>
              <w:jc w:val="left"/>
              <w:rPr>
                <w:rFonts w:ascii="Times New Roman" w:hAnsi="Times New Roman" w:cs="Times New Roman"/>
                <w:sz w:val="22"/>
              </w:rPr>
            </w:pPr>
            <w:r w:rsidRPr="00DD1F63">
              <w:rPr>
                <w:rFonts w:ascii="Times New Roman" w:hAnsi="Times New Roman" w:cs="Times New Roman"/>
                <w:sz w:val="22"/>
              </w:rPr>
              <w:t xml:space="preserve">9% </w:t>
            </w:r>
          </w:p>
        </w:tc>
        <w:tc>
          <w:tcPr>
            <w:tcW w:w="1843" w:type="dxa"/>
            <w:tcBorders>
              <w:top w:val="single" w:sz="4" w:space="0" w:color="000000"/>
              <w:left w:val="single" w:sz="4" w:space="0" w:color="000000"/>
              <w:bottom w:val="single" w:sz="4" w:space="0" w:color="000000"/>
              <w:right w:val="single" w:sz="4" w:space="0" w:color="000000"/>
            </w:tcBorders>
          </w:tcPr>
          <w:p w14:paraId="3FE5E4D7"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29% </w:t>
            </w:r>
          </w:p>
        </w:tc>
        <w:tc>
          <w:tcPr>
            <w:tcW w:w="2134" w:type="dxa"/>
            <w:tcBorders>
              <w:top w:val="single" w:sz="4" w:space="0" w:color="000000"/>
              <w:left w:val="single" w:sz="4" w:space="0" w:color="000000"/>
              <w:bottom w:val="single" w:sz="4" w:space="0" w:color="000000"/>
              <w:right w:val="single" w:sz="4" w:space="0" w:color="000000"/>
            </w:tcBorders>
          </w:tcPr>
          <w:p w14:paraId="7188EC03"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31% </w:t>
            </w:r>
          </w:p>
        </w:tc>
      </w:tr>
      <w:tr w:rsidR="000802A6" w:rsidRPr="00DD1F63" w14:paraId="6E5E5883"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6B1D099F" w14:textId="7FCA4B26"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w:t>
            </w:r>
          </w:p>
        </w:tc>
        <w:tc>
          <w:tcPr>
            <w:tcW w:w="1559" w:type="dxa"/>
            <w:tcBorders>
              <w:top w:val="single" w:sz="4" w:space="0" w:color="000000"/>
              <w:left w:val="single" w:sz="4" w:space="0" w:color="000000"/>
              <w:bottom w:val="single" w:sz="4" w:space="0" w:color="000000"/>
              <w:right w:val="single" w:sz="4" w:space="0" w:color="000000"/>
            </w:tcBorders>
          </w:tcPr>
          <w:p w14:paraId="5406F60C" w14:textId="77777777" w:rsidR="000802A6" w:rsidRPr="00DD1F63" w:rsidRDefault="000802A6" w:rsidP="00377A09">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sz w:val="22"/>
              </w:rPr>
              <w:t xml:space="preserve">30% </w:t>
            </w:r>
          </w:p>
        </w:tc>
        <w:tc>
          <w:tcPr>
            <w:tcW w:w="1134" w:type="dxa"/>
            <w:tcBorders>
              <w:top w:val="single" w:sz="4" w:space="0" w:color="000000"/>
              <w:left w:val="single" w:sz="4" w:space="0" w:color="000000"/>
              <w:bottom w:val="single" w:sz="4" w:space="0" w:color="000000"/>
              <w:right w:val="single" w:sz="4" w:space="0" w:color="000000"/>
            </w:tcBorders>
          </w:tcPr>
          <w:p w14:paraId="2A1A09BF" w14:textId="77777777" w:rsidR="000802A6" w:rsidRPr="00DD1F63" w:rsidRDefault="000802A6" w:rsidP="00377A09">
            <w:pPr>
              <w:spacing w:after="0" w:line="240" w:lineRule="auto"/>
              <w:ind w:left="0" w:right="18" w:firstLine="0"/>
              <w:jc w:val="left"/>
              <w:rPr>
                <w:rFonts w:ascii="Times New Roman" w:hAnsi="Times New Roman" w:cs="Times New Roman"/>
                <w:sz w:val="22"/>
              </w:rPr>
            </w:pPr>
            <w:r w:rsidRPr="00DD1F63">
              <w:rPr>
                <w:rFonts w:ascii="Times New Roman" w:hAnsi="Times New Roman" w:cs="Times New Roman"/>
                <w:sz w:val="22"/>
              </w:rPr>
              <w:t xml:space="preserve">18% </w:t>
            </w:r>
          </w:p>
        </w:tc>
        <w:tc>
          <w:tcPr>
            <w:tcW w:w="1843" w:type="dxa"/>
            <w:tcBorders>
              <w:top w:val="single" w:sz="4" w:space="0" w:color="000000"/>
              <w:left w:val="single" w:sz="4" w:space="0" w:color="000000"/>
              <w:bottom w:val="single" w:sz="4" w:space="0" w:color="000000"/>
              <w:right w:val="single" w:sz="4" w:space="0" w:color="000000"/>
            </w:tcBorders>
          </w:tcPr>
          <w:p w14:paraId="43F4A0A1"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47% </w:t>
            </w:r>
          </w:p>
        </w:tc>
        <w:tc>
          <w:tcPr>
            <w:tcW w:w="2134" w:type="dxa"/>
            <w:tcBorders>
              <w:top w:val="single" w:sz="4" w:space="0" w:color="000000"/>
              <w:left w:val="single" w:sz="4" w:space="0" w:color="000000"/>
              <w:bottom w:val="single" w:sz="4" w:space="0" w:color="000000"/>
              <w:right w:val="single" w:sz="4" w:space="0" w:color="000000"/>
            </w:tcBorders>
          </w:tcPr>
          <w:p w14:paraId="1AC31BD4"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50% </w:t>
            </w:r>
          </w:p>
        </w:tc>
      </w:tr>
      <w:tr w:rsidR="000802A6" w:rsidRPr="00DD1F63" w14:paraId="4520ADDA"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49A082A4" w14:textId="77777777"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Mucosal healing </w:t>
            </w:r>
          </w:p>
        </w:tc>
        <w:tc>
          <w:tcPr>
            <w:tcW w:w="1559" w:type="dxa"/>
            <w:tcBorders>
              <w:top w:val="single" w:sz="4" w:space="0" w:color="000000"/>
              <w:left w:val="single" w:sz="4" w:space="0" w:color="000000"/>
              <w:bottom w:val="single" w:sz="4" w:space="0" w:color="000000"/>
              <w:right w:val="single" w:sz="4" w:space="0" w:color="000000"/>
            </w:tcBorders>
          </w:tcPr>
          <w:p w14:paraId="2DC0A34C" w14:textId="77777777" w:rsidR="000802A6" w:rsidRPr="00DD1F63" w:rsidRDefault="000802A6" w:rsidP="00377A09">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sz w:val="22"/>
              </w:rPr>
              <w:t xml:space="preserve">25% </w:t>
            </w:r>
          </w:p>
        </w:tc>
        <w:tc>
          <w:tcPr>
            <w:tcW w:w="1134" w:type="dxa"/>
            <w:tcBorders>
              <w:top w:val="single" w:sz="4" w:space="0" w:color="000000"/>
              <w:left w:val="single" w:sz="4" w:space="0" w:color="000000"/>
              <w:bottom w:val="single" w:sz="4" w:space="0" w:color="000000"/>
              <w:right w:val="single" w:sz="4" w:space="0" w:color="000000"/>
            </w:tcBorders>
          </w:tcPr>
          <w:p w14:paraId="52456CA8" w14:textId="77777777" w:rsidR="000802A6" w:rsidRPr="00DD1F63" w:rsidRDefault="000802A6" w:rsidP="00377A09">
            <w:pPr>
              <w:spacing w:after="0" w:line="240" w:lineRule="auto"/>
              <w:ind w:left="0" w:right="18" w:firstLine="0"/>
              <w:jc w:val="left"/>
              <w:rPr>
                <w:rFonts w:ascii="Times New Roman" w:hAnsi="Times New Roman" w:cs="Times New Roman"/>
                <w:sz w:val="22"/>
              </w:rPr>
            </w:pPr>
            <w:r w:rsidRPr="00DD1F63">
              <w:rPr>
                <w:rFonts w:ascii="Times New Roman" w:hAnsi="Times New Roman" w:cs="Times New Roman"/>
                <w:sz w:val="22"/>
              </w:rPr>
              <w:t xml:space="preserve">15% </w:t>
            </w:r>
          </w:p>
        </w:tc>
        <w:tc>
          <w:tcPr>
            <w:tcW w:w="1843" w:type="dxa"/>
            <w:tcBorders>
              <w:top w:val="single" w:sz="4" w:space="0" w:color="000000"/>
              <w:left w:val="single" w:sz="4" w:space="0" w:color="000000"/>
              <w:bottom w:val="single" w:sz="4" w:space="0" w:color="000000"/>
              <w:right w:val="single" w:sz="4" w:space="0" w:color="000000"/>
            </w:tcBorders>
          </w:tcPr>
          <w:p w14:paraId="4C663EE6"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41% </w:t>
            </w:r>
          </w:p>
        </w:tc>
        <w:tc>
          <w:tcPr>
            <w:tcW w:w="2134" w:type="dxa"/>
            <w:tcBorders>
              <w:top w:val="single" w:sz="4" w:space="0" w:color="000000"/>
              <w:left w:val="single" w:sz="4" w:space="0" w:color="000000"/>
              <w:bottom w:val="single" w:sz="4" w:space="0" w:color="000000"/>
              <w:right w:val="single" w:sz="4" w:space="0" w:color="000000"/>
            </w:tcBorders>
          </w:tcPr>
          <w:p w14:paraId="0987DD8B"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43% </w:t>
            </w:r>
          </w:p>
        </w:tc>
      </w:tr>
      <w:tr w:rsidR="000802A6" w:rsidRPr="00DD1F63" w14:paraId="088EF041"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1B6B2736" w14:textId="77777777" w:rsidR="000802A6" w:rsidRPr="00DD1F63" w:rsidRDefault="000802A6" w:rsidP="00377A09">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Steroid-free </w:t>
            </w:r>
            <w:proofErr w:type="spellStart"/>
            <w:r w:rsidRPr="00DD1F63">
              <w:rPr>
                <w:rFonts w:ascii="Times New Roman" w:hAnsi="Times New Roman" w:cs="Times New Roman"/>
                <w:sz w:val="22"/>
              </w:rPr>
              <w:t>remission</w:t>
            </w:r>
            <w:r w:rsidRPr="00DD1F63">
              <w:rPr>
                <w:rFonts w:ascii="Times New Roman" w:hAnsi="Times New Roman" w:cs="Times New Roman"/>
                <w:sz w:val="22"/>
                <w:vertAlign w:val="superscript"/>
              </w:rPr>
              <w:t>a</w:t>
            </w:r>
            <w:proofErr w:type="spellEnd"/>
            <w:r w:rsidRPr="00DD1F63">
              <w:rPr>
                <w:rFonts w:ascii="Times New Roman" w:hAnsi="Times New Roman" w:cs="Times New Roman"/>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8CC0932" w14:textId="77777777" w:rsidR="000802A6" w:rsidRPr="00DD1F63" w:rsidRDefault="000802A6" w:rsidP="00377A09">
            <w:pPr>
              <w:spacing w:after="0" w:line="240" w:lineRule="auto"/>
              <w:ind w:left="0" w:right="27"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89C76A"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B3F7EA" w14:textId="77777777" w:rsidR="000802A6" w:rsidRPr="00DD1F63" w:rsidRDefault="000802A6" w:rsidP="00377A09">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20% </w:t>
            </w:r>
          </w:p>
        </w:tc>
        <w:tc>
          <w:tcPr>
            <w:tcW w:w="2134" w:type="dxa"/>
            <w:tcBorders>
              <w:top w:val="single" w:sz="4" w:space="0" w:color="000000"/>
              <w:left w:val="single" w:sz="4" w:space="0" w:color="000000"/>
              <w:bottom w:val="single" w:sz="4" w:space="0" w:color="000000"/>
              <w:right w:val="single" w:sz="4" w:space="0" w:color="000000"/>
            </w:tcBorders>
          </w:tcPr>
          <w:p w14:paraId="493A8DA5" w14:textId="77777777" w:rsidR="000802A6" w:rsidRPr="00DD1F63" w:rsidRDefault="000802A6" w:rsidP="00377A09">
            <w:pPr>
              <w:spacing w:after="0" w:line="240" w:lineRule="auto"/>
              <w:ind w:left="0" w:right="21"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0802A6" w:rsidRPr="00DD1F63" w14:paraId="4A75CF58" w14:textId="77777777" w:rsidTr="005F0842">
        <w:trPr>
          <w:trHeight w:val="20"/>
        </w:trPr>
        <w:tc>
          <w:tcPr>
            <w:tcW w:w="8938" w:type="dxa"/>
            <w:gridSpan w:val="5"/>
            <w:tcBorders>
              <w:top w:val="single" w:sz="4" w:space="0" w:color="000000"/>
              <w:left w:val="single" w:sz="4" w:space="0" w:color="000000"/>
              <w:bottom w:val="single" w:sz="4" w:space="0" w:color="000000"/>
              <w:right w:val="single" w:sz="4" w:space="0" w:color="000000"/>
            </w:tcBorders>
          </w:tcPr>
          <w:p w14:paraId="78615E91" w14:textId="347BE530" w:rsidR="000802A6" w:rsidRPr="00DD1F63" w:rsidRDefault="000802A6" w:rsidP="00377A09">
            <w:pPr>
              <w:spacing w:after="0" w:line="240" w:lineRule="auto"/>
              <w:ind w:left="0" w:firstLine="0"/>
              <w:jc w:val="left"/>
              <w:rPr>
                <w:rFonts w:ascii="Times New Roman" w:hAnsi="Times New Roman" w:cs="Times New Roman"/>
                <w:sz w:val="22"/>
              </w:rPr>
            </w:pPr>
            <w:proofErr w:type="spellStart"/>
            <w:r w:rsidRPr="00DD1F63">
              <w:rPr>
                <w:rFonts w:ascii="Times New Roman" w:hAnsi="Times New Roman" w:cs="Times New Roman"/>
                <w:szCs w:val="20"/>
                <w:vertAlign w:val="superscript"/>
              </w:rPr>
              <w:t>a</w:t>
            </w:r>
            <w:proofErr w:type="spellEnd"/>
            <w:r w:rsidRPr="00DD1F63">
              <w:rPr>
                <w:rFonts w:ascii="Times New Roman" w:hAnsi="Times New Roman" w:cs="Times New Roman"/>
                <w:szCs w:val="20"/>
                <w:vertAlign w:val="superscript"/>
              </w:rPr>
              <w:t xml:space="preserve"> </w:t>
            </w:r>
            <w:proofErr w:type="gramStart"/>
            <w:r w:rsidRPr="00DD1F63">
              <w:rPr>
                <w:rFonts w:ascii="Times New Roman" w:hAnsi="Times New Roman" w:cs="Times New Roman"/>
                <w:szCs w:val="20"/>
              </w:rPr>
              <w:t>Of</w:t>
            </w:r>
            <w:proofErr w:type="gramEnd"/>
            <w:r w:rsidRPr="00DD1F63">
              <w:rPr>
                <w:rFonts w:ascii="Times New Roman" w:hAnsi="Times New Roman" w:cs="Times New Roman"/>
                <w:szCs w:val="20"/>
              </w:rPr>
              <w:t xml:space="preserve"> those receiving corticosteroids at baseline (N=90) </w:t>
            </w:r>
          </w:p>
        </w:tc>
      </w:tr>
    </w:tbl>
    <w:p w14:paraId="0E3A8136" w14:textId="757BAFCF" w:rsidR="00916A9B" w:rsidRPr="00DD1F63" w:rsidRDefault="00916A9B" w:rsidP="00377A09">
      <w:pPr>
        <w:spacing w:after="0" w:line="240" w:lineRule="auto"/>
        <w:ind w:left="426" w:right="375"/>
        <w:jc w:val="left"/>
        <w:rPr>
          <w:rFonts w:ascii="Times New Roman" w:hAnsi="Times New Roman" w:cs="Times New Roman"/>
          <w:sz w:val="22"/>
        </w:rPr>
      </w:pPr>
    </w:p>
    <w:p w14:paraId="25148512" w14:textId="66F3765A" w:rsidR="00916A9B" w:rsidRPr="00DD1F63" w:rsidRDefault="000802A6"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Statistically significant reductions of both all-cause and UC-related rates of hospitalisation were observed in a pooled analysis of Studies UC I and II.</w:t>
      </w:r>
    </w:p>
    <w:p w14:paraId="3C6968D3" w14:textId="32E74331" w:rsidR="00916A9B" w:rsidRPr="00DD1F63" w:rsidRDefault="00916A9B" w:rsidP="00377A09">
      <w:pPr>
        <w:spacing w:after="0" w:line="240" w:lineRule="auto"/>
        <w:ind w:left="426" w:right="375"/>
        <w:jc w:val="left"/>
        <w:rPr>
          <w:rFonts w:ascii="Times New Roman" w:hAnsi="Times New Roman" w:cs="Times New Roman"/>
          <w:sz w:val="22"/>
        </w:rPr>
      </w:pPr>
    </w:p>
    <w:p w14:paraId="6D096ECA" w14:textId="33FFBC2B" w:rsidR="00916A9B" w:rsidRPr="00DD1F63" w:rsidRDefault="000802A6"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Approximately 40% of patients in Study UC-II had failed prior anti-TNF treatment with infliximab. The efficacy of adalimumab in those patients was reduced compared to that in anti-TNF naïve patients.</w:t>
      </w:r>
    </w:p>
    <w:p w14:paraId="05A93571" w14:textId="4773D0B8" w:rsidR="00916A9B" w:rsidRPr="00DD1F63" w:rsidRDefault="00916A9B" w:rsidP="00377A09">
      <w:pPr>
        <w:spacing w:after="0" w:line="240" w:lineRule="auto"/>
        <w:ind w:left="426" w:right="375"/>
        <w:jc w:val="left"/>
        <w:rPr>
          <w:rFonts w:ascii="Times New Roman" w:hAnsi="Times New Roman" w:cs="Times New Roman"/>
          <w:sz w:val="22"/>
        </w:rPr>
      </w:pPr>
    </w:p>
    <w:p w14:paraId="411B042D" w14:textId="7328DD2E" w:rsidR="00916A9B" w:rsidRPr="00DD1F63" w:rsidRDefault="000802A6"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The effectiveness of adalimumab in patients who have lost response to infliximab has not been established, statistically significant differences for Week 8 clinical remission and Week 8 clinical response were not observed for adalimumab versus placebo in those patients. However, at Week 52, clinical remission and clinical response were achieved in a statistically significantly greater number of patients on adalimumab versus placebo in patients who had failed prior anti-TNF treatment (i.e.</w:t>
      </w:r>
      <w:r w:rsidR="00CC3C5F" w:rsidRPr="00DD1F63">
        <w:rPr>
          <w:rFonts w:ascii="Times New Roman" w:hAnsi="Times New Roman" w:cs="Times New Roman"/>
          <w:sz w:val="22"/>
        </w:rPr>
        <w:t>,</w:t>
      </w:r>
      <w:r w:rsidRPr="00DD1F63">
        <w:rPr>
          <w:rFonts w:ascii="Times New Roman" w:hAnsi="Times New Roman" w:cs="Times New Roman"/>
          <w:sz w:val="22"/>
        </w:rPr>
        <w:t xml:space="preserve"> remission: 3% on placebo versus 10% on adalimumab, and response: 10% on placebo versus 20% on adalimumab).</w:t>
      </w:r>
    </w:p>
    <w:p w14:paraId="65A48257" w14:textId="7329374B" w:rsidR="00916A9B" w:rsidRPr="00DD1F63" w:rsidRDefault="00916A9B" w:rsidP="00377A09">
      <w:pPr>
        <w:spacing w:after="0" w:line="240" w:lineRule="auto"/>
        <w:ind w:left="426" w:right="375"/>
        <w:jc w:val="left"/>
        <w:rPr>
          <w:rFonts w:ascii="Times New Roman" w:hAnsi="Times New Roman" w:cs="Times New Roman"/>
          <w:sz w:val="22"/>
        </w:rPr>
      </w:pPr>
    </w:p>
    <w:p w14:paraId="0F3B2379" w14:textId="664877E5" w:rsidR="00916A9B" w:rsidRPr="00DD1F63" w:rsidRDefault="000802A6"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Patients who completed 52 weeks in UC Study I and II continued in an open, uncontrolled extension study (UC-III). Of the 588 patients who entered in the open-label study, 299 (51%) were in remission at year 3 and 273 (46%) were in remission at year 4.</w:t>
      </w:r>
    </w:p>
    <w:p w14:paraId="43CCD4A7" w14:textId="2406DF1D" w:rsidR="00916A9B" w:rsidRPr="00DD1F63" w:rsidRDefault="00916A9B" w:rsidP="00377A09">
      <w:pPr>
        <w:spacing w:after="0" w:line="240" w:lineRule="auto"/>
        <w:ind w:left="426" w:right="375"/>
        <w:jc w:val="left"/>
        <w:rPr>
          <w:rFonts w:ascii="Times New Roman" w:hAnsi="Times New Roman" w:cs="Times New Roman"/>
          <w:sz w:val="22"/>
        </w:rPr>
      </w:pPr>
    </w:p>
    <w:p w14:paraId="36AA2A36" w14:textId="4A4BADC1" w:rsidR="00916A9B" w:rsidRPr="00DD1F63" w:rsidRDefault="000802A6"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Patients, who lose response may benefit from an increase of dosing frequency to 40 mg weekly. 17% of patients initially responding to treatment with adalimumab required an increase in dosing frequency to 40 mg adalimumab every week.</w:t>
      </w:r>
    </w:p>
    <w:p w14:paraId="6E84B38A" w14:textId="73E89843" w:rsidR="00916A9B" w:rsidRPr="00DD1F63" w:rsidRDefault="00916A9B" w:rsidP="00377A09">
      <w:pPr>
        <w:spacing w:after="0" w:line="240" w:lineRule="auto"/>
        <w:ind w:left="426" w:right="375"/>
        <w:jc w:val="left"/>
        <w:rPr>
          <w:rFonts w:ascii="Times New Roman" w:hAnsi="Times New Roman" w:cs="Times New Roman"/>
          <w:sz w:val="22"/>
        </w:rPr>
      </w:pPr>
    </w:p>
    <w:p w14:paraId="3D26282B" w14:textId="2C041FAC" w:rsidR="00916A9B" w:rsidRPr="00DD1F63" w:rsidRDefault="000802A6" w:rsidP="00377A09">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lastRenderedPageBreak/>
        <w:t>Quality of Life</w:t>
      </w:r>
    </w:p>
    <w:p w14:paraId="53E5B15E" w14:textId="2DD242FC" w:rsidR="00916A9B" w:rsidRPr="00DD1F63" w:rsidRDefault="00916A9B" w:rsidP="00377A09">
      <w:pPr>
        <w:spacing w:after="0" w:line="240" w:lineRule="auto"/>
        <w:ind w:left="426" w:right="375"/>
        <w:jc w:val="left"/>
        <w:rPr>
          <w:rFonts w:ascii="Times New Roman" w:hAnsi="Times New Roman" w:cs="Times New Roman"/>
          <w:sz w:val="22"/>
        </w:rPr>
      </w:pPr>
    </w:p>
    <w:p w14:paraId="7E1B4D03" w14:textId="380B1AD2" w:rsidR="00916A9B" w:rsidRPr="00DD1F63" w:rsidRDefault="000802A6"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UC Study II, improvement in the disease-specific inflammatory bowel disease questionnaire (IBDQ) total score was achieved at Week 52 in patients randomised to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160/80 mg compared to placebo (p=0.007).</w:t>
      </w:r>
    </w:p>
    <w:p w14:paraId="6B3368C6" w14:textId="77777777" w:rsidR="003A288F" w:rsidRPr="00DD1F63" w:rsidRDefault="003A288F" w:rsidP="00377A09">
      <w:pPr>
        <w:spacing w:after="0" w:line="240" w:lineRule="auto"/>
        <w:ind w:left="426" w:right="375"/>
        <w:jc w:val="left"/>
        <w:rPr>
          <w:rFonts w:ascii="Times New Roman" w:hAnsi="Times New Roman" w:cs="Times New Roman"/>
          <w:sz w:val="22"/>
        </w:rPr>
      </w:pPr>
    </w:p>
    <w:p w14:paraId="2B05E8FE" w14:textId="04EBBF05" w:rsidR="00E45DF0" w:rsidRPr="00DD1F63" w:rsidRDefault="00E45DF0" w:rsidP="00377A09">
      <w:pPr>
        <w:pStyle w:val="Heading3"/>
        <w:keepLines w:val="0"/>
        <w:spacing w:after="0" w:line="240" w:lineRule="auto"/>
        <w:ind w:left="425"/>
        <w:rPr>
          <w:rFonts w:ascii="Times New Roman" w:hAnsi="Times New Roman" w:cs="Times New Roman"/>
          <w:bCs/>
          <w:u w:val="none"/>
        </w:rPr>
      </w:pPr>
      <w:r w:rsidRPr="00DD1F63">
        <w:rPr>
          <w:rFonts w:ascii="Times New Roman" w:hAnsi="Times New Roman" w:cs="Times New Roman"/>
          <w:bCs/>
        </w:rPr>
        <w:t>Clinical trials for psoriasis</w:t>
      </w:r>
      <w:r w:rsidRPr="00DD1F63">
        <w:rPr>
          <w:rFonts w:ascii="Times New Roman" w:hAnsi="Times New Roman" w:cs="Times New Roman"/>
          <w:bCs/>
          <w:u w:val="none"/>
        </w:rPr>
        <w:t xml:space="preserve"> </w:t>
      </w:r>
    </w:p>
    <w:p w14:paraId="6A22D14F" w14:textId="77777777" w:rsidR="00F27814" w:rsidRPr="00DD1F63" w:rsidRDefault="00F27814" w:rsidP="00377A09">
      <w:pPr>
        <w:keepNext/>
        <w:spacing w:after="0" w:line="240" w:lineRule="auto"/>
        <w:ind w:left="425" w:hanging="11"/>
        <w:jc w:val="left"/>
        <w:rPr>
          <w:sz w:val="22"/>
        </w:rPr>
      </w:pPr>
    </w:p>
    <w:p w14:paraId="065EA00A" w14:textId="781072AE" w:rsidR="006B7C8E" w:rsidRPr="00DD1F63" w:rsidRDefault="00CA72FF" w:rsidP="00377A09">
      <w:pPr>
        <w:pStyle w:val="Heading4"/>
        <w:keepLines w:val="0"/>
        <w:spacing w:after="0" w:line="240" w:lineRule="auto"/>
        <w:ind w:left="425" w:right="366"/>
        <w:rPr>
          <w:rFonts w:ascii="Times New Roman" w:hAnsi="Times New Roman" w:cs="Times New Roman"/>
          <w:bCs/>
          <w:i/>
          <w:iCs/>
        </w:rPr>
      </w:pPr>
      <w:r w:rsidRPr="00DD1F63">
        <w:rPr>
          <w:rFonts w:ascii="Times New Roman" w:hAnsi="Times New Roman" w:cs="Times New Roman"/>
          <w:bCs/>
          <w:i/>
          <w:iCs/>
        </w:rPr>
        <w:t xml:space="preserve">Adults </w:t>
      </w:r>
    </w:p>
    <w:p w14:paraId="2A0C7CBE" w14:textId="77777777" w:rsidR="00F27814" w:rsidRPr="00DD1F63" w:rsidRDefault="00F27814" w:rsidP="00377A09">
      <w:pPr>
        <w:keepNext/>
        <w:spacing w:after="0" w:line="240" w:lineRule="auto"/>
        <w:ind w:left="425" w:hanging="11"/>
        <w:jc w:val="left"/>
        <w:rPr>
          <w:sz w:val="22"/>
        </w:rPr>
      </w:pPr>
    </w:p>
    <w:p w14:paraId="772E5055" w14:textId="7D41363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7353FE" w:rsidRPr="00DD1F63">
        <w:rPr>
          <w:rFonts w:ascii="Times New Roman" w:hAnsi="Times New Roman" w:cs="Times New Roman"/>
          <w:sz w:val="22"/>
        </w:rPr>
        <w:t>adalimumab</w:t>
      </w:r>
      <w:r w:rsidRPr="00DD1F63">
        <w:rPr>
          <w:rFonts w:ascii="Times New Roman" w:hAnsi="Times New Roman" w:cs="Times New Roman"/>
          <w:sz w:val="22"/>
        </w:rPr>
        <w:t xml:space="preserve"> were assessed in over 1600 patients 18 years of age or older with moderate to severe chronic plaque psoriasis who were candidates for systemic therapy or phototherapy in randomised, double-blind, well-controlled studies. The safety and efficacy of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were also studied in adult patients with moderate to severe plaque psoriasis with concomitant hand and/or foot psoriasis who were candidates for systemic therapy. </w:t>
      </w:r>
    </w:p>
    <w:p w14:paraId="46CCCFA1"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1120384" w14:textId="4443FED3"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Ps Study I (M03-656) evaluated 1212 patients with chronic plaque psoriasis with </w:t>
      </w:r>
      <w:r w:rsidR="00186A72" w:rsidRPr="00DD1F63">
        <w:rPr>
          <w:rFonts w:ascii="Times New Roman" w:eastAsia="Segoe UI Symbol" w:hAnsi="Times New Roman" w:cs="Times New Roman"/>
          <w:sz w:val="22"/>
        </w:rPr>
        <w:t>≥</w:t>
      </w:r>
      <w:r w:rsidRPr="00DD1F63">
        <w:rPr>
          <w:rFonts w:ascii="Times New Roman" w:hAnsi="Times New Roman" w:cs="Times New Roman"/>
          <w:sz w:val="22"/>
        </w:rPr>
        <w:t xml:space="preserve"> 10% BSA involvement and Psoriasis Area and Severity Index (PASI) </w:t>
      </w:r>
      <w:r w:rsidR="00186A72" w:rsidRPr="00DD1F63">
        <w:rPr>
          <w:rFonts w:ascii="Times New Roman" w:eastAsia="Segoe UI Symbol" w:hAnsi="Times New Roman" w:cs="Times New Roman"/>
          <w:sz w:val="22"/>
        </w:rPr>
        <w:t>≥</w:t>
      </w:r>
      <w:r w:rsidRPr="00DD1F63">
        <w:rPr>
          <w:rFonts w:ascii="Times New Roman" w:hAnsi="Times New Roman" w:cs="Times New Roman"/>
          <w:sz w:val="22"/>
        </w:rPr>
        <w:t xml:space="preserve"> 12 within three treatment periods. In period A, patients received placebo or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subcutaneously at an initial dose of 80 mg at Week 0 followed by a dose of 40 mg fortnightly starting at Week 1. After 16 weeks of therapy, patients who achieved at least a PASI 75 response at Week 16, defined as a PASI score improvement of at least 75% relative to baseline, entered period B and received open label 40 mg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fortnightly. After 17 weeks of open label therapy, </w:t>
      </w:r>
      <w:r w:rsidRPr="00DD1F63">
        <w:rPr>
          <w:rFonts w:ascii="Times New Roman" w:hAnsi="Times New Roman" w:cs="Times New Roman"/>
          <w:spacing w:val="-2"/>
          <w:sz w:val="22"/>
        </w:rPr>
        <w:t xml:space="preserve">patients who maintained at least a PASI 75 response at Week 33 and were originally randomised to active therapy in Period A were re-randomised in period C to receive 40 mg </w:t>
      </w:r>
      <w:r w:rsidR="00186A72"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fortnightly or placebo for an additional 19</w:t>
      </w:r>
      <w:r w:rsidRPr="00DD1F63">
        <w:rPr>
          <w:rFonts w:ascii="Times New Roman" w:hAnsi="Times New Roman" w:cs="Times New Roman"/>
          <w:sz w:val="22"/>
        </w:rPr>
        <w:t xml:space="preserve"> weeks. Across all treatment groups the mean baseline PASI score was 18.9 and the baseline Physician’s Global Assessment (PGA) score ranged from “moderate”</w:t>
      </w:r>
      <w:r w:rsidR="00F27814" w:rsidRPr="00DD1F63">
        <w:rPr>
          <w:rFonts w:ascii="Times New Roman" w:hAnsi="Times New Roman" w:cs="Times New Roman"/>
          <w:sz w:val="22"/>
        </w:rPr>
        <w:t xml:space="preserve"> </w:t>
      </w:r>
      <w:r w:rsidRPr="00DD1F63">
        <w:rPr>
          <w:rFonts w:ascii="Times New Roman" w:hAnsi="Times New Roman" w:cs="Times New Roman"/>
          <w:sz w:val="22"/>
        </w:rPr>
        <w:t xml:space="preserve">(52.6%) to “severe” (41.3%) to “very severe” (6.1%). </w:t>
      </w:r>
    </w:p>
    <w:p w14:paraId="1B1DB5CC"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6C2D2A5" w14:textId="59D31CD5" w:rsidR="00D83BF5"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Ps Study II (M04-716) compared the efficacy and safety of </w:t>
      </w:r>
      <w:r w:rsidR="00186A72"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versus methotrexate and placebo in</w:t>
      </w:r>
      <w:r w:rsidR="00D83BF5"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271 patients with 10% BSA involvement and PASI ≥ 10. Patients received placebo, an initial dose of MTX 7.5 mg and thereafter dose increases up to Week 12, with a maximum dose of 25 </w:t>
      </w:r>
      <w:r w:rsidRPr="00DD1F63">
        <w:rPr>
          <w:rFonts w:ascii="Times New Roman" w:hAnsi="Times New Roman" w:cs="Times New Roman"/>
          <w:sz w:val="22"/>
        </w:rPr>
        <w:t xml:space="preserve">mg or an initial dose of 80 mg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followed by 40 mg fortnightly (starting one week after the initial dose) for 16 weeks. There are no data available comparing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and MTX beyond 16 weeks of therapy. Patients receiving MTX who achieved a </w:t>
      </w:r>
      <w:r w:rsidR="00186A72" w:rsidRPr="00DD1F63">
        <w:rPr>
          <w:rFonts w:ascii="Times New Roman" w:eastAsia="Segoe UI Symbol" w:hAnsi="Times New Roman" w:cs="Times New Roman"/>
          <w:sz w:val="22"/>
        </w:rPr>
        <w:t>≥</w:t>
      </w:r>
      <w:r w:rsidRPr="00DD1F63">
        <w:rPr>
          <w:rFonts w:ascii="Times New Roman" w:hAnsi="Times New Roman" w:cs="Times New Roman"/>
          <w:sz w:val="22"/>
        </w:rPr>
        <w:t xml:space="preserve"> PASI 50 response at Week 8 and/or 12 did not receive further dose increases. Across all treatment groups, the mean baseline PASI score was 19.7 and the baseline PGA score ranged from “mild” (&lt;1%) to “moderate” (48%) to “severe” (46%) to “very severe” (6%).</w:t>
      </w:r>
    </w:p>
    <w:p w14:paraId="2D0CF7A3" w14:textId="3E073D2E"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6584E774" w14:textId="6770D297"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Ps Study III (M02-528) evaluated 148 patients with chronic plaque psoriasis with </w:t>
      </w:r>
      <w:r w:rsidR="0029472B" w:rsidRPr="00DD1F63">
        <w:rPr>
          <w:rFonts w:ascii="Times New Roman" w:eastAsia="Segoe UI Symbol" w:hAnsi="Times New Roman" w:cs="Times New Roman"/>
          <w:sz w:val="22"/>
        </w:rPr>
        <w:t>≥</w:t>
      </w:r>
      <w:r w:rsidRPr="00DD1F63">
        <w:rPr>
          <w:rFonts w:ascii="Times New Roman" w:hAnsi="Times New Roman" w:cs="Times New Roman"/>
          <w:sz w:val="22"/>
        </w:rPr>
        <w:t xml:space="preserve"> 5% BSA involvement for at least 1 year. Patients received placebo or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subcutaneously at a dose of 40 mg fortnightly starting at Week 1 after an initial dose of 80 mg at Week 0 or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at an initial dose of 80 mg at Week 0 followed by a dose of 40 mg weekly. </w:t>
      </w:r>
    </w:p>
    <w:p w14:paraId="0E450C17"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36B032AB" w14:textId="6E4BD1F4" w:rsidR="006B7C8E" w:rsidRPr="00DD1F63" w:rsidRDefault="00CA72FF" w:rsidP="00377A09">
      <w:pPr>
        <w:spacing w:after="0" w:line="240" w:lineRule="auto"/>
        <w:ind w:left="426" w:right="375"/>
        <w:jc w:val="left"/>
        <w:rPr>
          <w:rFonts w:ascii="Times New Roman" w:hAnsi="Times New Roman" w:cs="Times New Roman"/>
          <w:spacing w:val="2"/>
          <w:sz w:val="22"/>
        </w:rPr>
      </w:pPr>
      <w:r w:rsidRPr="00DD1F63">
        <w:rPr>
          <w:rFonts w:ascii="Times New Roman" w:hAnsi="Times New Roman" w:cs="Times New Roman"/>
          <w:spacing w:val="2"/>
          <w:sz w:val="22"/>
        </w:rPr>
        <w:t>Patients participating in all Phase 2 and Phase 3 psoriasis studies were eligible to enrol into an open</w:t>
      </w:r>
      <w:r w:rsidR="0029472B" w:rsidRPr="00DD1F63">
        <w:rPr>
          <w:rFonts w:ascii="Times New Roman" w:hAnsi="Times New Roman" w:cs="Times New Roman"/>
          <w:spacing w:val="2"/>
          <w:sz w:val="22"/>
        </w:rPr>
        <w:t>-</w:t>
      </w:r>
      <w:r w:rsidRPr="00DD1F63">
        <w:rPr>
          <w:rFonts w:ascii="Times New Roman" w:hAnsi="Times New Roman" w:cs="Times New Roman"/>
          <w:spacing w:val="2"/>
          <w:sz w:val="22"/>
        </w:rPr>
        <w:t xml:space="preserve">label extension trial (M03-658) where </w:t>
      </w:r>
      <w:r w:rsidR="0029472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was given for at least an additional 108 weeks at 40 mg fortnightly, with the option to dose-escalate to 40 mg weekly if response was sub-optimal. </w:t>
      </w:r>
    </w:p>
    <w:p w14:paraId="77781B99"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2094A8AF" w14:textId="6DC27B71" w:rsidR="006B7C8E" w:rsidRPr="00DD1F63" w:rsidRDefault="00CA72FF" w:rsidP="00377A09">
      <w:pPr>
        <w:pStyle w:val="Heading4"/>
        <w:pageBreakBefore/>
        <w:spacing w:after="0" w:line="240" w:lineRule="auto"/>
        <w:ind w:left="425" w:hanging="11"/>
        <w:rPr>
          <w:rFonts w:ascii="Times New Roman" w:hAnsi="Times New Roman" w:cs="Times New Roman"/>
          <w:bCs/>
          <w:i/>
          <w:iCs/>
          <w:u w:val="none"/>
        </w:rPr>
      </w:pPr>
      <w:r w:rsidRPr="00DD1F63">
        <w:rPr>
          <w:rFonts w:ascii="Times New Roman" w:hAnsi="Times New Roman" w:cs="Times New Roman"/>
          <w:bCs/>
          <w:i/>
          <w:iCs/>
          <w:u w:val="none"/>
        </w:rPr>
        <w:lastRenderedPageBreak/>
        <w:t xml:space="preserve">Clinical </w:t>
      </w:r>
      <w:r w:rsidR="0029472B" w:rsidRPr="00DD1F63">
        <w:rPr>
          <w:rFonts w:ascii="Times New Roman" w:hAnsi="Times New Roman" w:cs="Times New Roman"/>
          <w:bCs/>
          <w:i/>
          <w:iCs/>
          <w:u w:val="none"/>
        </w:rPr>
        <w:t>r</w:t>
      </w:r>
      <w:r w:rsidRPr="00DD1F63">
        <w:rPr>
          <w:rFonts w:ascii="Times New Roman" w:hAnsi="Times New Roman" w:cs="Times New Roman"/>
          <w:bCs/>
          <w:i/>
          <w:iCs/>
          <w:u w:val="none"/>
        </w:rPr>
        <w:t xml:space="preserve">esults </w:t>
      </w:r>
    </w:p>
    <w:p w14:paraId="6C3A6A66" w14:textId="77777777" w:rsidR="00D83BF5" w:rsidRPr="00DD1F63" w:rsidRDefault="00D83BF5" w:rsidP="00377A09">
      <w:pPr>
        <w:spacing w:after="0" w:line="240" w:lineRule="auto"/>
        <w:ind w:left="426" w:hanging="11"/>
        <w:jc w:val="left"/>
        <w:rPr>
          <w:sz w:val="22"/>
        </w:rPr>
      </w:pPr>
    </w:p>
    <w:p w14:paraId="5EE9316F" w14:textId="5F6D9346"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resulted in a &lt;PASI 50 response relative to baseline with a minimum of a 6</w:t>
      </w:r>
      <w:r w:rsidR="0029472B" w:rsidRPr="00DD1F63">
        <w:rPr>
          <w:rFonts w:ascii="Times New Roman" w:hAnsi="Times New Roman" w:cs="Times New Roman"/>
          <w:sz w:val="22"/>
        </w:rPr>
        <w:t>-</w:t>
      </w:r>
      <w:r w:rsidRPr="00DD1F63">
        <w:rPr>
          <w:rFonts w:ascii="Times New Roman" w:hAnsi="Times New Roman" w:cs="Times New Roman"/>
          <w:sz w:val="22"/>
        </w:rPr>
        <w:t xml:space="preserve">point increase in PASI score relative to Week 33. In Ps Studies I and II, more patients randomised to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than to placebo achieved at least a 75% reduction from baseline of PASI score at Week 16. Other relevant clinical parameters including PASI 100 (</w:t>
      </w:r>
      <w:proofErr w:type="gramStart"/>
      <w:r w:rsidRPr="00DD1F63">
        <w:rPr>
          <w:rFonts w:ascii="Times New Roman" w:hAnsi="Times New Roman" w:cs="Times New Roman"/>
          <w:sz w:val="22"/>
        </w:rPr>
        <w:t>i.e.</w:t>
      </w:r>
      <w:proofErr w:type="gramEnd"/>
      <w:r w:rsidRPr="00DD1F63">
        <w:rPr>
          <w:rFonts w:ascii="Times New Roman" w:hAnsi="Times New Roman" w:cs="Times New Roman"/>
          <w:sz w:val="22"/>
        </w:rPr>
        <w:t xml:space="preserve"> complete clearance of psoriasis skin signs) and PGA of “clear or minimal” were also improved over placebo. Patients with ≥PASI 75 response continued to Week 33. In Ps Study I, patients who were PASI 75 responders and were re-randomised to continue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therapy at Week 33 were less likely to experience a loss of adequate response on or before Week 52 than the PASI 75 responders who were re-randomised to placebo at Week 33 (4.9% versus 28.4%, p&lt;0.001). In Ps Study II, superior results were achieved for PASI 75, PASI 100 and PGA of "clear or minimal" in patients randomised to the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treatment group versus those randomised to receive methotrexate (see Tables </w:t>
      </w:r>
      <w:r w:rsidR="00BD4FF7" w:rsidRPr="00DD1F63">
        <w:rPr>
          <w:rFonts w:ascii="Times New Roman" w:hAnsi="Times New Roman" w:cs="Times New Roman"/>
          <w:sz w:val="22"/>
        </w:rPr>
        <w:t>25</w:t>
      </w:r>
      <w:r w:rsidRPr="00DD1F63">
        <w:rPr>
          <w:rFonts w:ascii="Times New Roman" w:hAnsi="Times New Roman" w:cs="Times New Roman"/>
          <w:sz w:val="22"/>
        </w:rPr>
        <w:t xml:space="preserve"> and </w:t>
      </w:r>
      <w:r w:rsidR="00BD4FF7" w:rsidRPr="00DD1F63">
        <w:rPr>
          <w:rFonts w:ascii="Times New Roman" w:hAnsi="Times New Roman" w:cs="Times New Roman"/>
          <w:sz w:val="22"/>
        </w:rPr>
        <w:t>26</w:t>
      </w:r>
      <w:r w:rsidRPr="00DD1F63">
        <w:rPr>
          <w:rFonts w:ascii="Times New Roman" w:hAnsi="Times New Roman" w:cs="Times New Roman"/>
          <w:sz w:val="22"/>
        </w:rPr>
        <w:t>).</w:t>
      </w:r>
    </w:p>
    <w:p w14:paraId="331A4711"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rPr>
        <w:tab/>
        <w:t xml:space="preserve"> </w:t>
      </w:r>
    </w:p>
    <w:tbl>
      <w:tblPr>
        <w:tblStyle w:val="TableGrid1"/>
        <w:tblW w:w="8646" w:type="dxa"/>
        <w:tblInd w:w="421" w:type="dxa"/>
        <w:tblLayout w:type="fixed"/>
        <w:tblCellMar>
          <w:left w:w="57" w:type="dxa"/>
          <w:right w:w="58" w:type="dxa"/>
        </w:tblCellMar>
        <w:tblLook w:val="04A0" w:firstRow="1" w:lastRow="0" w:firstColumn="1" w:lastColumn="0" w:noHBand="0" w:noVBand="1"/>
      </w:tblPr>
      <w:tblGrid>
        <w:gridCol w:w="1559"/>
        <w:gridCol w:w="1276"/>
        <w:gridCol w:w="1417"/>
        <w:gridCol w:w="1701"/>
        <w:gridCol w:w="1276"/>
        <w:gridCol w:w="1417"/>
      </w:tblGrid>
      <w:tr w:rsidR="00284E30" w:rsidRPr="00DD1F63" w14:paraId="481EB3BE" w14:textId="77777777" w:rsidTr="008C7DFF">
        <w:trPr>
          <w:trHeight w:val="29"/>
        </w:trPr>
        <w:tc>
          <w:tcPr>
            <w:tcW w:w="5953" w:type="dxa"/>
            <w:gridSpan w:val="4"/>
            <w:tcBorders>
              <w:top w:val="single" w:sz="4" w:space="0" w:color="000000"/>
              <w:left w:val="single" w:sz="4" w:space="0" w:color="000000"/>
              <w:bottom w:val="single" w:sz="4" w:space="0" w:color="000000"/>
              <w:right w:val="nil"/>
            </w:tcBorders>
          </w:tcPr>
          <w:p w14:paraId="1225258E" w14:textId="6BE26E04" w:rsidR="006B7C8E" w:rsidRPr="00DD1F63" w:rsidRDefault="00CA72FF" w:rsidP="00377A09">
            <w:pPr>
              <w:spacing w:after="0" w:line="240" w:lineRule="auto"/>
              <w:ind w:right="482"/>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BD4FF7" w:rsidRPr="00DD1F63">
              <w:rPr>
                <w:rFonts w:ascii="Times New Roman" w:hAnsi="Times New Roman" w:cs="Times New Roman"/>
                <w:b/>
                <w:sz w:val="21"/>
                <w:szCs w:val="21"/>
              </w:rPr>
              <w:t>25</w:t>
            </w:r>
            <w:r w:rsidRPr="00DD1F63">
              <w:rPr>
                <w:rFonts w:ascii="Times New Roman" w:hAnsi="Times New Roman" w:cs="Times New Roman"/>
                <w:b/>
                <w:sz w:val="21"/>
                <w:szCs w:val="21"/>
              </w:rPr>
              <w:t xml:space="preserve">: Ps </w:t>
            </w:r>
            <w:r w:rsidR="0029472B"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 (M03-656) </w:t>
            </w:r>
          </w:p>
        </w:tc>
        <w:tc>
          <w:tcPr>
            <w:tcW w:w="2693" w:type="dxa"/>
            <w:gridSpan w:val="2"/>
            <w:tcBorders>
              <w:top w:val="single" w:sz="4" w:space="0" w:color="000000"/>
              <w:left w:val="nil"/>
              <w:bottom w:val="single" w:sz="4" w:space="0" w:color="000000"/>
              <w:right w:val="single" w:sz="4" w:space="0" w:color="000000"/>
            </w:tcBorders>
          </w:tcPr>
          <w:p w14:paraId="361E6BEA"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r>
      <w:tr w:rsidR="0029472B" w:rsidRPr="00DD1F63" w14:paraId="1AC1F55F"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5CE261A7"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3C93781" w14:textId="72BB61CD"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b/>
                <w:sz w:val="21"/>
                <w:szCs w:val="21"/>
              </w:rPr>
              <w:t>Period A</w:t>
            </w:r>
          </w:p>
        </w:tc>
        <w:tc>
          <w:tcPr>
            <w:tcW w:w="1701" w:type="dxa"/>
            <w:tcBorders>
              <w:top w:val="single" w:sz="4" w:space="0" w:color="000000"/>
              <w:left w:val="single" w:sz="4" w:space="0" w:color="000000"/>
              <w:bottom w:val="single" w:sz="4" w:space="0" w:color="000000"/>
              <w:right w:val="single" w:sz="4" w:space="0" w:color="000000"/>
            </w:tcBorders>
            <w:vAlign w:val="center"/>
          </w:tcPr>
          <w:p w14:paraId="09634907" w14:textId="19A3EB43" w:rsidR="006B7C8E" w:rsidRPr="00DD1F63" w:rsidRDefault="00CA72FF" w:rsidP="00377A09">
            <w:pPr>
              <w:spacing w:after="0" w:line="240" w:lineRule="auto"/>
              <w:ind w:right="50"/>
              <w:jc w:val="left"/>
              <w:rPr>
                <w:rFonts w:ascii="Times New Roman" w:hAnsi="Times New Roman" w:cs="Times New Roman"/>
                <w:sz w:val="21"/>
                <w:szCs w:val="21"/>
              </w:rPr>
            </w:pPr>
            <w:r w:rsidRPr="00DD1F63">
              <w:rPr>
                <w:rFonts w:ascii="Times New Roman" w:hAnsi="Times New Roman" w:cs="Times New Roman"/>
                <w:b/>
                <w:sz w:val="21"/>
                <w:szCs w:val="21"/>
              </w:rPr>
              <w:t>Period B</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0F53A14" w14:textId="4085317F"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b/>
                <w:sz w:val="21"/>
                <w:szCs w:val="21"/>
              </w:rPr>
              <w:t>Period C</w:t>
            </w:r>
          </w:p>
        </w:tc>
      </w:tr>
      <w:tr w:rsidR="0029472B" w:rsidRPr="00DD1F63" w14:paraId="20C17007"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1DEF0AC4" w14:textId="7592637B" w:rsidR="006B7C8E" w:rsidRPr="00DD1F63" w:rsidRDefault="006B7C8E" w:rsidP="00377A09">
            <w:pPr>
              <w:spacing w:after="0" w:line="240" w:lineRule="auto"/>
              <w:ind w:left="426" w:firstLine="0"/>
              <w:jc w:val="left"/>
              <w:rPr>
                <w:rFonts w:ascii="Times New Roman" w:hAnsi="Times New Roman" w:cs="Times New Roman"/>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67CBF17" w14:textId="7572F688" w:rsidR="006B7C8E" w:rsidRPr="00DD1F63" w:rsidRDefault="00CA72FF" w:rsidP="00377A09">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b/>
                <w:sz w:val="21"/>
                <w:szCs w:val="21"/>
              </w:rPr>
              <w:t>Efficacy Results at</w:t>
            </w:r>
          </w:p>
          <w:p w14:paraId="03305E5F" w14:textId="2E17E2A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16 Weeks (Percent of Patients)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4D312CEF" w14:textId="52C651D5" w:rsidR="006B7C8E" w:rsidRPr="00DD1F63" w:rsidRDefault="00CA72FF" w:rsidP="00377A09">
            <w:pPr>
              <w:spacing w:after="0" w:line="240" w:lineRule="auto"/>
              <w:ind w:left="0" w:right="55" w:firstLine="0"/>
              <w:jc w:val="left"/>
              <w:rPr>
                <w:rFonts w:ascii="Times New Roman" w:hAnsi="Times New Roman" w:cs="Times New Roman"/>
                <w:sz w:val="21"/>
                <w:szCs w:val="21"/>
              </w:rPr>
            </w:pPr>
            <w:r w:rsidRPr="00DD1F63">
              <w:rPr>
                <w:rFonts w:ascii="Times New Roman" w:hAnsi="Times New Roman" w:cs="Times New Roman"/>
                <w:b/>
                <w:sz w:val="21"/>
                <w:szCs w:val="21"/>
              </w:rPr>
              <w:t>Efficacy Results at</w:t>
            </w:r>
            <w:r w:rsidR="0029472B"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33 Weeks (Percent</w:t>
            </w:r>
            <w:r w:rsidR="00D83BF5"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of Patients)</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295BD4A" w14:textId="110E9822" w:rsidR="006B7C8E" w:rsidRPr="00DD1F63" w:rsidRDefault="00CA72FF" w:rsidP="00377A09">
            <w:pPr>
              <w:spacing w:after="0" w:line="240" w:lineRule="auto"/>
              <w:ind w:left="0" w:right="54" w:firstLine="0"/>
              <w:jc w:val="left"/>
              <w:rPr>
                <w:rFonts w:ascii="Times New Roman" w:hAnsi="Times New Roman" w:cs="Times New Roman"/>
                <w:sz w:val="21"/>
                <w:szCs w:val="21"/>
              </w:rPr>
            </w:pPr>
            <w:r w:rsidRPr="00DD1F63">
              <w:rPr>
                <w:rFonts w:ascii="Times New Roman" w:hAnsi="Times New Roman" w:cs="Times New Roman"/>
                <w:b/>
                <w:sz w:val="21"/>
                <w:szCs w:val="21"/>
              </w:rPr>
              <w:t>Among PASI 75</w:t>
            </w:r>
          </w:p>
          <w:p w14:paraId="4E90B6CB" w14:textId="7AA0F2F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Responders at Week 33,</w:t>
            </w:r>
            <w:r w:rsidR="00284E30" w:rsidRPr="00DD1F63">
              <w:rPr>
                <w:rFonts w:ascii="Times New Roman" w:hAnsi="Times New Roman" w:cs="Times New Roman"/>
                <w:sz w:val="21"/>
                <w:szCs w:val="21"/>
              </w:rPr>
              <w:t xml:space="preserve"> </w:t>
            </w:r>
            <w:r w:rsidRPr="00DD1F63">
              <w:rPr>
                <w:rFonts w:ascii="Times New Roman" w:hAnsi="Times New Roman" w:cs="Times New Roman"/>
                <w:b/>
                <w:sz w:val="21"/>
                <w:szCs w:val="21"/>
              </w:rPr>
              <w:t>Efficacy Results at 52</w:t>
            </w:r>
            <w:r w:rsidR="00284E30" w:rsidRPr="00DD1F63">
              <w:rPr>
                <w:rFonts w:ascii="Times New Roman" w:hAnsi="Times New Roman" w:cs="Times New Roman"/>
                <w:sz w:val="21"/>
                <w:szCs w:val="21"/>
              </w:rPr>
              <w:t xml:space="preserve"> </w:t>
            </w:r>
            <w:r w:rsidRPr="00DD1F63">
              <w:rPr>
                <w:rFonts w:ascii="Times New Roman" w:hAnsi="Times New Roman" w:cs="Times New Roman"/>
                <w:b/>
                <w:sz w:val="21"/>
                <w:szCs w:val="21"/>
              </w:rPr>
              <w:t>Weeks (Percent of</w:t>
            </w:r>
            <w:r w:rsidR="00284E30" w:rsidRPr="00DD1F63">
              <w:rPr>
                <w:rFonts w:ascii="Times New Roman" w:hAnsi="Times New Roman" w:cs="Times New Roman"/>
                <w:sz w:val="21"/>
                <w:szCs w:val="21"/>
              </w:rPr>
              <w:t xml:space="preserve"> </w:t>
            </w:r>
            <w:r w:rsidRPr="00DD1F63">
              <w:rPr>
                <w:rFonts w:ascii="Times New Roman" w:hAnsi="Times New Roman" w:cs="Times New Roman"/>
                <w:b/>
                <w:sz w:val="21"/>
                <w:szCs w:val="21"/>
              </w:rPr>
              <w:t>Patients)</w:t>
            </w:r>
          </w:p>
        </w:tc>
      </w:tr>
      <w:tr w:rsidR="00284E30" w:rsidRPr="00DD1F63" w14:paraId="06360D89"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vAlign w:val="center"/>
          </w:tcPr>
          <w:p w14:paraId="37F36DB2"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8A7CDE0" w14:textId="0DD59F37" w:rsidR="00284E30" w:rsidRPr="00DD1F63" w:rsidRDefault="00CA72FF"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p w14:paraId="4FDF5F30" w14:textId="3D77A3C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 398</w:t>
            </w:r>
          </w:p>
        </w:tc>
        <w:tc>
          <w:tcPr>
            <w:tcW w:w="1417" w:type="dxa"/>
            <w:tcBorders>
              <w:top w:val="single" w:sz="4" w:space="0" w:color="000000"/>
              <w:left w:val="single" w:sz="4" w:space="0" w:color="000000"/>
              <w:bottom w:val="single" w:sz="4" w:space="0" w:color="000000"/>
              <w:right w:val="single" w:sz="4" w:space="0" w:color="000000"/>
            </w:tcBorders>
            <w:vAlign w:val="center"/>
          </w:tcPr>
          <w:p w14:paraId="6DCAB157" w14:textId="4124C7B4" w:rsidR="006B7C8E" w:rsidRPr="00DD1F63" w:rsidRDefault="0029472B"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40 mg fortnightly</w:t>
            </w:r>
          </w:p>
          <w:p w14:paraId="14023B89" w14:textId="1BA11E2C" w:rsidR="006B7C8E" w:rsidRPr="00DD1F63" w:rsidRDefault="00CA72FF" w:rsidP="00377A09">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b/>
                <w:sz w:val="21"/>
                <w:szCs w:val="21"/>
              </w:rPr>
              <w:t>N = 814</w:t>
            </w:r>
          </w:p>
        </w:tc>
        <w:tc>
          <w:tcPr>
            <w:tcW w:w="1701" w:type="dxa"/>
            <w:tcBorders>
              <w:top w:val="single" w:sz="4" w:space="0" w:color="000000"/>
              <w:left w:val="single" w:sz="4" w:space="0" w:color="000000"/>
              <w:bottom w:val="single" w:sz="4" w:space="0" w:color="000000"/>
              <w:right w:val="single" w:sz="4" w:space="0" w:color="000000"/>
            </w:tcBorders>
            <w:vAlign w:val="center"/>
          </w:tcPr>
          <w:p w14:paraId="05C97A44" w14:textId="77777777" w:rsidR="00780AF2" w:rsidRDefault="0029472B" w:rsidP="00377A09">
            <w:pPr>
              <w:spacing w:after="0" w:line="240" w:lineRule="auto"/>
              <w:jc w:val="left"/>
              <w:rPr>
                <w:rFonts w:ascii="Times New Roman" w:hAnsi="Times New Roman" w:cs="Times New Roman"/>
                <w:b/>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w:t>
            </w:r>
          </w:p>
          <w:p w14:paraId="34B2C406" w14:textId="06B5C169"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40 mg fortnightly</w:t>
            </w:r>
          </w:p>
          <w:p w14:paraId="4916D812" w14:textId="5730D349"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b/>
                <w:sz w:val="21"/>
                <w:szCs w:val="21"/>
              </w:rPr>
              <w:t>N = 580</w:t>
            </w:r>
          </w:p>
        </w:tc>
        <w:tc>
          <w:tcPr>
            <w:tcW w:w="1276" w:type="dxa"/>
            <w:tcBorders>
              <w:top w:val="single" w:sz="4" w:space="0" w:color="000000"/>
              <w:left w:val="single" w:sz="4" w:space="0" w:color="000000"/>
              <w:bottom w:val="single" w:sz="4" w:space="0" w:color="000000"/>
              <w:right w:val="single" w:sz="4" w:space="0" w:color="000000"/>
            </w:tcBorders>
            <w:vAlign w:val="center"/>
          </w:tcPr>
          <w:p w14:paraId="0C6C05BB" w14:textId="07267855"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Placebo</w:t>
            </w:r>
          </w:p>
          <w:p w14:paraId="27248C96" w14:textId="69E2FC10"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N = 240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320C11" w14:textId="255789E1" w:rsidR="006B7C8E" w:rsidRPr="00DD1F63" w:rsidRDefault="0029472B"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Adalimumab </w:t>
            </w:r>
            <w:r w:rsidR="00CA72FF" w:rsidRPr="00DD1F63">
              <w:rPr>
                <w:rFonts w:ascii="Times New Roman" w:hAnsi="Times New Roman" w:cs="Times New Roman"/>
                <w:b/>
                <w:sz w:val="21"/>
                <w:szCs w:val="21"/>
              </w:rPr>
              <w:t>40 mg fortnightly</w:t>
            </w:r>
          </w:p>
          <w:p w14:paraId="5B05BD25" w14:textId="740A7540" w:rsidR="006B7C8E" w:rsidRPr="00DD1F63" w:rsidRDefault="00CA72FF" w:rsidP="00377A09">
            <w:pPr>
              <w:spacing w:after="0" w:line="240" w:lineRule="auto"/>
              <w:ind w:right="50"/>
              <w:jc w:val="left"/>
              <w:rPr>
                <w:rFonts w:ascii="Times New Roman" w:hAnsi="Times New Roman" w:cs="Times New Roman"/>
                <w:sz w:val="21"/>
                <w:szCs w:val="21"/>
              </w:rPr>
            </w:pPr>
            <w:r w:rsidRPr="00DD1F63">
              <w:rPr>
                <w:rFonts w:ascii="Times New Roman" w:hAnsi="Times New Roman" w:cs="Times New Roman"/>
                <w:b/>
                <w:sz w:val="21"/>
                <w:szCs w:val="21"/>
              </w:rPr>
              <w:t>N = 250</w:t>
            </w:r>
          </w:p>
        </w:tc>
      </w:tr>
      <w:tr w:rsidR="00284E30" w:rsidRPr="00DD1F63" w14:paraId="482AD028"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62B1F31F" w14:textId="0B951E63" w:rsidR="006B7C8E" w:rsidRPr="00DD1F63" w:rsidRDefault="0029472B" w:rsidP="00377A09">
            <w:pPr>
              <w:spacing w:after="0" w:line="240" w:lineRule="auto"/>
              <w:ind w:left="0" w:firstLine="0"/>
              <w:jc w:val="left"/>
              <w:rPr>
                <w:rFonts w:ascii="Times New Roman" w:hAnsi="Times New Roman" w:cs="Times New Roman"/>
                <w:sz w:val="21"/>
                <w:szCs w:val="21"/>
              </w:rPr>
            </w:pPr>
            <w:r w:rsidRPr="00DD1F63">
              <w:rPr>
                <w:rFonts w:ascii="Times New Roman" w:eastAsia="Segoe UI Symbol" w:hAnsi="Times New Roman" w:cs="Times New Roman"/>
              </w:rPr>
              <w:t>≥</w:t>
            </w:r>
            <w:r w:rsidR="00CA72FF" w:rsidRPr="00DD1F63">
              <w:rPr>
                <w:rFonts w:ascii="Times New Roman" w:hAnsi="Times New Roman" w:cs="Times New Roman"/>
                <w:b/>
                <w:sz w:val="21"/>
                <w:szCs w:val="21"/>
              </w:rPr>
              <w:t xml:space="preserve">PASI 75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8C87F" w14:textId="50411C20"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6.5</w:t>
            </w:r>
          </w:p>
        </w:tc>
        <w:tc>
          <w:tcPr>
            <w:tcW w:w="1417" w:type="dxa"/>
            <w:tcBorders>
              <w:top w:val="single" w:sz="4" w:space="0" w:color="000000"/>
              <w:left w:val="single" w:sz="4" w:space="0" w:color="000000"/>
              <w:bottom w:val="single" w:sz="4" w:space="0" w:color="000000"/>
              <w:right w:val="single" w:sz="4" w:space="0" w:color="000000"/>
            </w:tcBorders>
            <w:vAlign w:val="center"/>
          </w:tcPr>
          <w:p w14:paraId="34C0A0FB" w14:textId="6CE0C579"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70.9</w:t>
            </w:r>
            <w:r w:rsidRPr="00DD1F63">
              <w:rPr>
                <w:rFonts w:ascii="Times New Roman" w:hAnsi="Times New Roman" w:cs="Times New Roman"/>
                <w:sz w:val="21"/>
                <w:szCs w:val="21"/>
                <w:vertAlign w:val="superscript"/>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5CEC85CA" w14:textId="0604A899" w:rsidR="006B7C8E" w:rsidRPr="00DD1F63" w:rsidRDefault="00CA72FF" w:rsidP="00377A09">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sz w:val="21"/>
                <w:szCs w:val="21"/>
              </w:rPr>
              <w:t>84.5</w:t>
            </w:r>
          </w:p>
        </w:tc>
        <w:tc>
          <w:tcPr>
            <w:tcW w:w="1276" w:type="dxa"/>
            <w:tcBorders>
              <w:top w:val="single" w:sz="4" w:space="0" w:color="000000"/>
              <w:left w:val="single" w:sz="4" w:space="0" w:color="000000"/>
              <w:bottom w:val="single" w:sz="4" w:space="0" w:color="000000"/>
              <w:right w:val="single" w:sz="4" w:space="0" w:color="000000"/>
            </w:tcBorders>
            <w:vAlign w:val="center"/>
          </w:tcPr>
          <w:p w14:paraId="78D57098" w14:textId="7BC4AFF3"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42.5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D6BBC" w14:textId="439EEA39"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79.2</w:t>
            </w:r>
          </w:p>
        </w:tc>
      </w:tr>
      <w:tr w:rsidR="00284E30" w:rsidRPr="00DD1F63" w14:paraId="1585A3D0"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2D806599" w14:textId="42045EC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PASI 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1C67AF8" w14:textId="428C6ABE"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0.8</w:t>
            </w:r>
          </w:p>
        </w:tc>
        <w:tc>
          <w:tcPr>
            <w:tcW w:w="1417" w:type="dxa"/>
            <w:tcBorders>
              <w:top w:val="single" w:sz="4" w:space="0" w:color="000000"/>
              <w:left w:val="single" w:sz="4" w:space="0" w:color="000000"/>
              <w:bottom w:val="single" w:sz="4" w:space="0" w:color="000000"/>
              <w:right w:val="single" w:sz="4" w:space="0" w:color="000000"/>
            </w:tcBorders>
            <w:vAlign w:val="center"/>
          </w:tcPr>
          <w:p w14:paraId="26685483" w14:textId="1FE7D34B"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20.0</w:t>
            </w:r>
            <w:r w:rsidRPr="00DD1F63">
              <w:rPr>
                <w:rFonts w:ascii="Times New Roman" w:hAnsi="Times New Roman" w:cs="Times New Roman"/>
                <w:sz w:val="21"/>
                <w:szCs w:val="21"/>
                <w:vertAlign w:val="superscript"/>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0B7EE5F5" w14:textId="1BA196AD" w:rsidR="006B7C8E" w:rsidRPr="00DD1F63" w:rsidRDefault="00CA72FF" w:rsidP="00377A09">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sz w:val="21"/>
                <w:szCs w:val="21"/>
              </w:rPr>
              <w:t>30.3</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89C9B" w14:textId="211E27B1"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7.5</w:t>
            </w:r>
          </w:p>
        </w:tc>
        <w:tc>
          <w:tcPr>
            <w:tcW w:w="1417" w:type="dxa"/>
            <w:tcBorders>
              <w:top w:val="single" w:sz="4" w:space="0" w:color="000000"/>
              <w:left w:val="single" w:sz="4" w:space="0" w:color="000000"/>
              <w:bottom w:val="single" w:sz="4" w:space="0" w:color="000000"/>
              <w:right w:val="single" w:sz="4" w:space="0" w:color="000000"/>
            </w:tcBorders>
            <w:vAlign w:val="center"/>
          </w:tcPr>
          <w:p w14:paraId="62ACAD6A" w14:textId="1CE577A9"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32.0</w:t>
            </w:r>
          </w:p>
        </w:tc>
      </w:tr>
      <w:tr w:rsidR="00284E30" w:rsidRPr="00DD1F63" w14:paraId="3E0B0861"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287659A7" w14:textId="3CB511D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PGA: Clear/minimal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A2579" w14:textId="2A2C5760"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4.3</w:t>
            </w:r>
          </w:p>
        </w:tc>
        <w:tc>
          <w:tcPr>
            <w:tcW w:w="1417" w:type="dxa"/>
            <w:tcBorders>
              <w:top w:val="single" w:sz="4" w:space="0" w:color="000000"/>
              <w:left w:val="single" w:sz="4" w:space="0" w:color="000000"/>
              <w:bottom w:val="single" w:sz="4" w:space="0" w:color="000000"/>
              <w:right w:val="single" w:sz="4" w:space="0" w:color="000000"/>
            </w:tcBorders>
            <w:vAlign w:val="center"/>
          </w:tcPr>
          <w:p w14:paraId="205C6994" w14:textId="0220D492"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62.2</w:t>
            </w:r>
            <w:r w:rsidRPr="00DD1F63">
              <w:rPr>
                <w:rFonts w:ascii="Times New Roman" w:hAnsi="Times New Roman" w:cs="Times New Roman"/>
                <w:sz w:val="21"/>
                <w:szCs w:val="21"/>
                <w:vertAlign w:val="superscript"/>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B0558" w14:textId="40879E96" w:rsidR="006B7C8E" w:rsidRPr="00DD1F63" w:rsidRDefault="00CA72FF" w:rsidP="00377A09">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sz w:val="21"/>
                <w:szCs w:val="21"/>
              </w:rPr>
              <w:t>73.3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D18CBC0" w14:textId="2DDBA727" w:rsidR="006B7C8E" w:rsidRPr="00DD1F63" w:rsidRDefault="00CA72FF" w:rsidP="00377A09">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27.9</w:t>
            </w:r>
          </w:p>
        </w:tc>
        <w:tc>
          <w:tcPr>
            <w:tcW w:w="1417" w:type="dxa"/>
            <w:tcBorders>
              <w:top w:val="single" w:sz="4" w:space="0" w:color="000000"/>
              <w:left w:val="single" w:sz="4" w:space="0" w:color="000000"/>
              <w:bottom w:val="single" w:sz="4" w:space="0" w:color="000000"/>
              <w:right w:val="single" w:sz="4" w:space="0" w:color="000000"/>
            </w:tcBorders>
            <w:vAlign w:val="center"/>
          </w:tcPr>
          <w:p w14:paraId="5B4D42DD" w14:textId="5EA858A9" w:rsidR="006B7C8E" w:rsidRPr="00DD1F63" w:rsidRDefault="00CA72FF" w:rsidP="00377A09">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68.0</w:t>
            </w:r>
          </w:p>
        </w:tc>
      </w:tr>
      <w:tr w:rsidR="00284E30" w:rsidRPr="00DD1F63" w14:paraId="7D760271" w14:textId="77777777" w:rsidTr="008C7DFF">
        <w:trPr>
          <w:trHeight w:val="15"/>
        </w:trPr>
        <w:tc>
          <w:tcPr>
            <w:tcW w:w="5953" w:type="dxa"/>
            <w:gridSpan w:val="4"/>
            <w:tcBorders>
              <w:top w:val="single" w:sz="4" w:space="0" w:color="000000"/>
              <w:left w:val="single" w:sz="4" w:space="0" w:color="000000"/>
              <w:bottom w:val="single" w:sz="4" w:space="0" w:color="000000"/>
              <w:right w:val="nil"/>
            </w:tcBorders>
          </w:tcPr>
          <w:p w14:paraId="484D40E3" w14:textId="2A5138D5" w:rsidR="006B7C8E" w:rsidRPr="00DD1F63" w:rsidRDefault="00CA72FF" w:rsidP="00377A09">
            <w:pPr>
              <w:spacing w:after="0" w:line="240" w:lineRule="auto"/>
              <w:ind w:left="0" w:firstLine="0"/>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p&lt;0.001, </w:t>
            </w:r>
            <w:r w:rsidR="00905933" w:rsidRPr="00DD1F63">
              <w:rPr>
                <w:rFonts w:ascii="Times New Roman" w:hAnsi="Times New Roman" w:cs="Times New Roman"/>
                <w:szCs w:val="20"/>
              </w:rPr>
              <w:t>a</w:t>
            </w:r>
            <w:r w:rsidR="0029472B" w:rsidRPr="00DD1F63">
              <w:rPr>
                <w:rFonts w:ascii="Times New Roman" w:hAnsi="Times New Roman" w:cs="Times New Roman"/>
                <w:szCs w:val="20"/>
              </w:rPr>
              <w:t>dalimumab</w:t>
            </w:r>
            <w:r w:rsidRPr="00DD1F63">
              <w:rPr>
                <w:rFonts w:ascii="Times New Roman" w:hAnsi="Times New Roman" w:cs="Times New Roman"/>
                <w:szCs w:val="20"/>
              </w:rPr>
              <w:t xml:space="preserve"> vs. placebo </w:t>
            </w:r>
          </w:p>
        </w:tc>
        <w:tc>
          <w:tcPr>
            <w:tcW w:w="2693" w:type="dxa"/>
            <w:gridSpan w:val="2"/>
            <w:tcBorders>
              <w:top w:val="single" w:sz="4" w:space="0" w:color="000000"/>
              <w:left w:val="nil"/>
              <w:bottom w:val="single" w:sz="4" w:space="0" w:color="000000"/>
              <w:right w:val="single" w:sz="4" w:space="0" w:color="000000"/>
            </w:tcBorders>
          </w:tcPr>
          <w:p w14:paraId="56BF2186" w14:textId="77777777" w:rsidR="006B7C8E" w:rsidRPr="00DD1F63" w:rsidRDefault="006B7C8E" w:rsidP="00377A09">
            <w:pPr>
              <w:spacing w:after="0" w:line="240" w:lineRule="auto"/>
              <w:ind w:left="426" w:firstLine="0"/>
              <w:jc w:val="left"/>
              <w:rPr>
                <w:rFonts w:ascii="Times New Roman" w:hAnsi="Times New Roman" w:cs="Times New Roman"/>
                <w:sz w:val="21"/>
                <w:szCs w:val="21"/>
              </w:rPr>
            </w:pPr>
          </w:p>
        </w:tc>
      </w:tr>
    </w:tbl>
    <w:p w14:paraId="3348B76A" w14:textId="75428529" w:rsidR="006B7C8E" w:rsidRPr="00DD1F63" w:rsidRDefault="00CA72FF" w:rsidP="00377A09">
      <w:pPr>
        <w:spacing w:after="0" w:line="240" w:lineRule="auto"/>
        <w:ind w:left="426" w:firstLine="0"/>
        <w:jc w:val="left"/>
        <w:rPr>
          <w:rFonts w:ascii="Times New Roman" w:hAnsi="Times New Roman" w:cs="Times New Roman"/>
          <w:sz w:val="18"/>
        </w:rPr>
      </w:pPr>
      <w:r w:rsidRPr="00DD1F63">
        <w:rPr>
          <w:rFonts w:ascii="Times New Roman" w:hAnsi="Times New Roman" w:cs="Times New Roman"/>
          <w:sz w:val="18"/>
        </w:rPr>
        <w:t xml:space="preserve"> </w:t>
      </w:r>
    </w:p>
    <w:p w14:paraId="13FB6AB6" w14:textId="77777777" w:rsidR="002A13DF" w:rsidRPr="00DD1F63" w:rsidRDefault="002A13DF" w:rsidP="00377A09">
      <w:pPr>
        <w:spacing w:after="0" w:line="240" w:lineRule="auto"/>
        <w:ind w:left="426" w:firstLine="0"/>
        <w:jc w:val="left"/>
        <w:rPr>
          <w:rFonts w:ascii="Times New Roman" w:hAnsi="Times New Roman" w:cs="Times New Roman"/>
          <w:sz w:val="18"/>
        </w:rPr>
      </w:pPr>
    </w:p>
    <w:tbl>
      <w:tblPr>
        <w:tblStyle w:val="TableGrid1"/>
        <w:tblW w:w="8646" w:type="dxa"/>
        <w:tblInd w:w="421" w:type="dxa"/>
        <w:tblCellMar>
          <w:top w:w="2" w:type="dxa"/>
          <w:left w:w="108" w:type="dxa"/>
          <w:right w:w="82" w:type="dxa"/>
        </w:tblCellMar>
        <w:tblLook w:val="04A0" w:firstRow="1" w:lastRow="0" w:firstColumn="1" w:lastColumn="0" w:noHBand="0" w:noVBand="1"/>
      </w:tblPr>
      <w:tblGrid>
        <w:gridCol w:w="2126"/>
        <w:gridCol w:w="1843"/>
        <w:gridCol w:w="1559"/>
        <w:gridCol w:w="3118"/>
      </w:tblGrid>
      <w:tr w:rsidR="006B7C8E" w:rsidRPr="00DD1F63" w14:paraId="16BD8832" w14:textId="77777777" w:rsidTr="00284E30">
        <w:trPr>
          <w:trHeight w:val="174"/>
        </w:trPr>
        <w:tc>
          <w:tcPr>
            <w:tcW w:w="8646" w:type="dxa"/>
            <w:gridSpan w:val="4"/>
            <w:tcBorders>
              <w:top w:val="single" w:sz="4" w:space="0" w:color="000000"/>
              <w:left w:val="single" w:sz="4" w:space="0" w:color="000000"/>
              <w:bottom w:val="single" w:sz="4" w:space="0" w:color="000000"/>
              <w:right w:val="single" w:sz="4" w:space="0" w:color="000000"/>
            </w:tcBorders>
          </w:tcPr>
          <w:p w14:paraId="35519B3F" w14:textId="64B41E65" w:rsidR="006B7C8E" w:rsidRPr="00DD1F63" w:rsidRDefault="00CA72FF" w:rsidP="00377A09">
            <w:pPr>
              <w:spacing w:after="0" w:line="240" w:lineRule="auto"/>
              <w:ind w:left="0" w:right="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BD4FF7" w:rsidRPr="00DD1F63">
              <w:rPr>
                <w:rFonts w:ascii="Times New Roman" w:hAnsi="Times New Roman" w:cs="Times New Roman"/>
                <w:b/>
                <w:sz w:val="21"/>
                <w:szCs w:val="21"/>
              </w:rPr>
              <w:t>26</w:t>
            </w:r>
            <w:r w:rsidRPr="00DD1F63">
              <w:rPr>
                <w:rFonts w:ascii="Times New Roman" w:hAnsi="Times New Roman" w:cs="Times New Roman"/>
                <w:b/>
                <w:sz w:val="21"/>
                <w:szCs w:val="21"/>
              </w:rPr>
              <w:t xml:space="preserve">: Ps </w:t>
            </w:r>
            <w:r w:rsidR="00284E30" w:rsidRPr="00DD1F63">
              <w:rPr>
                <w:rFonts w:ascii="Times New Roman" w:hAnsi="Times New Roman" w:cs="Times New Roman"/>
                <w:b/>
                <w:sz w:val="21"/>
                <w:szCs w:val="21"/>
              </w:rPr>
              <w:t>s</w:t>
            </w:r>
            <w:r w:rsidRPr="00DD1F63">
              <w:rPr>
                <w:rFonts w:ascii="Times New Roman" w:hAnsi="Times New Roman" w:cs="Times New Roman"/>
                <w:b/>
                <w:sz w:val="21"/>
                <w:szCs w:val="21"/>
              </w:rPr>
              <w:t>tudy II (M04-716)</w:t>
            </w:r>
            <w:r w:rsidR="00284E30" w:rsidRPr="00DD1F63">
              <w:rPr>
                <w:rFonts w:ascii="Times New Roman" w:hAnsi="Times New Roman" w:cs="Times New Roman"/>
                <w:b/>
                <w:sz w:val="21"/>
                <w:szCs w:val="21"/>
              </w:rPr>
              <w:t xml:space="preserve"> e</w:t>
            </w:r>
            <w:r w:rsidRPr="00DD1F63">
              <w:rPr>
                <w:rFonts w:ascii="Times New Roman" w:hAnsi="Times New Roman" w:cs="Times New Roman"/>
                <w:b/>
                <w:sz w:val="21"/>
                <w:szCs w:val="21"/>
              </w:rPr>
              <w:t xml:space="preserve">fficacy </w:t>
            </w:r>
            <w:r w:rsidR="00284E30"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esults at 16 </w:t>
            </w:r>
            <w:r w:rsidR="00284E30" w:rsidRPr="00DD1F63">
              <w:rPr>
                <w:rFonts w:ascii="Times New Roman" w:hAnsi="Times New Roman" w:cs="Times New Roman"/>
                <w:b/>
                <w:sz w:val="21"/>
                <w:szCs w:val="21"/>
              </w:rPr>
              <w:t>w</w:t>
            </w:r>
            <w:r w:rsidRPr="00DD1F63">
              <w:rPr>
                <w:rFonts w:ascii="Times New Roman" w:hAnsi="Times New Roman" w:cs="Times New Roman"/>
                <w:b/>
                <w:sz w:val="21"/>
                <w:szCs w:val="21"/>
              </w:rPr>
              <w:t>eeks (</w:t>
            </w:r>
            <w:r w:rsidR="00284E30"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ercent of </w:t>
            </w:r>
            <w:r w:rsidR="00284E30"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t>
            </w:r>
          </w:p>
        </w:tc>
      </w:tr>
      <w:tr w:rsidR="006B7C8E" w:rsidRPr="00DD1F63" w14:paraId="605EDC8E" w14:textId="77777777" w:rsidTr="00284E30">
        <w:trPr>
          <w:trHeight w:val="75"/>
        </w:trPr>
        <w:tc>
          <w:tcPr>
            <w:tcW w:w="2126" w:type="dxa"/>
            <w:tcBorders>
              <w:top w:val="single" w:sz="4" w:space="0" w:color="000000"/>
              <w:left w:val="single" w:sz="4" w:space="0" w:color="000000"/>
              <w:bottom w:val="single" w:sz="4" w:space="0" w:color="000000"/>
              <w:right w:val="single" w:sz="4" w:space="0" w:color="000000"/>
            </w:tcBorders>
          </w:tcPr>
          <w:p w14:paraId="001EA482"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0873CC9" w14:textId="3E0EC269" w:rsidR="006B7C8E" w:rsidRPr="00DD1F63" w:rsidRDefault="00CA72FF" w:rsidP="00377A09">
            <w:pPr>
              <w:spacing w:after="0" w:line="240" w:lineRule="auto"/>
              <w:ind w:right="28"/>
              <w:jc w:val="left"/>
              <w:rPr>
                <w:rFonts w:ascii="Times New Roman" w:hAnsi="Times New Roman" w:cs="Times New Roman"/>
                <w:sz w:val="21"/>
                <w:szCs w:val="21"/>
              </w:rPr>
            </w:pPr>
            <w:r w:rsidRPr="00DD1F63">
              <w:rPr>
                <w:rFonts w:ascii="Times New Roman" w:hAnsi="Times New Roman" w:cs="Times New Roman"/>
                <w:b/>
                <w:sz w:val="21"/>
                <w:szCs w:val="21"/>
              </w:rPr>
              <w:t xml:space="preserve">Placebo N = 53 </w:t>
            </w:r>
          </w:p>
        </w:tc>
        <w:tc>
          <w:tcPr>
            <w:tcW w:w="1559" w:type="dxa"/>
            <w:tcBorders>
              <w:top w:val="single" w:sz="4" w:space="0" w:color="000000"/>
              <w:left w:val="single" w:sz="4" w:space="0" w:color="000000"/>
              <w:bottom w:val="single" w:sz="4" w:space="0" w:color="000000"/>
              <w:right w:val="single" w:sz="4" w:space="0" w:color="000000"/>
            </w:tcBorders>
          </w:tcPr>
          <w:p w14:paraId="32E29D43" w14:textId="07C66FB1" w:rsidR="006B7C8E" w:rsidRPr="00DD1F63" w:rsidRDefault="00CA72FF" w:rsidP="00377A09">
            <w:pPr>
              <w:spacing w:after="0" w:line="240" w:lineRule="auto"/>
              <w:ind w:left="0" w:right="27" w:firstLine="0"/>
              <w:jc w:val="left"/>
              <w:rPr>
                <w:rFonts w:ascii="Times New Roman" w:hAnsi="Times New Roman" w:cs="Times New Roman"/>
                <w:sz w:val="21"/>
                <w:szCs w:val="21"/>
              </w:rPr>
            </w:pPr>
            <w:r w:rsidRPr="00DD1F63">
              <w:rPr>
                <w:rFonts w:ascii="Times New Roman" w:hAnsi="Times New Roman" w:cs="Times New Roman"/>
                <w:b/>
                <w:sz w:val="21"/>
                <w:szCs w:val="21"/>
              </w:rPr>
              <w:t>MTX</w:t>
            </w:r>
            <w:r w:rsidR="00284E30"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N = 110 </w:t>
            </w:r>
          </w:p>
        </w:tc>
        <w:tc>
          <w:tcPr>
            <w:tcW w:w="3118" w:type="dxa"/>
            <w:tcBorders>
              <w:top w:val="single" w:sz="4" w:space="0" w:color="000000"/>
              <w:left w:val="single" w:sz="4" w:space="0" w:color="000000"/>
              <w:bottom w:val="single" w:sz="4" w:space="0" w:color="000000"/>
              <w:right w:val="single" w:sz="4" w:space="0" w:color="000000"/>
            </w:tcBorders>
          </w:tcPr>
          <w:p w14:paraId="3DD64697" w14:textId="69A2B9D6" w:rsidR="006B7C8E" w:rsidRPr="00DD1F63" w:rsidRDefault="00284E30"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40 mg fortnightly N = 108 </w:t>
            </w:r>
          </w:p>
        </w:tc>
      </w:tr>
      <w:tr w:rsidR="006B7C8E" w:rsidRPr="00DD1F63" w14:paraId="5261C2F3" w14:textId="77777777" w:rsidTr="00284E30">
        <w:trPr>
          <w:trHeight w:val="87"/>
        </w:trPr>
        <w:tc>
          <w:tcPr>
            <w:tcW w:w="2126" w:type="dxa"/>
            <w:tcBorders>
              <w:top w:val="single" w:sz="4" w:space="0" w:color="000000"/>
              <w:left w:val="single" w:sz="4" w:space="0" w:color="000000"/>
              <w:bottom w:val="single" w:sz="4" w:space="0" w:color="000000"/>
              <w:right w:val="single" w:sz="4" w:space="0" w:color="000000"/>
            </w:tcBorders>
          </w:tcPr>
          <w:p w14:paraId="32401B4A" w14:textId="74A398E4" w:rsidR="006B7C8E" w:rsidRPr="00DD1F63" w:rsidRDefault="00284E30" w:rsidP="00377A09">
            <w:pPr>
              <w:spacing w:after="0" w:line="240" w:lineRule="auto"/>
              <w:ind w:left="0" w:firstLine="0"/>
              <w:jc w:val="left"/>
              <w:rPr>
                <w:rFonts w:ascii="Times New Roman" w:hAnsi="Times New Roman" w:cs="Times New Roman"/>
                <w:sz w:val="21"/>
                <w:szCs w:val="21"/>
              </w:rPr>
            </w:pPr>
            <w:r w:rsidRPr="00DD1F63">
              <w:rPr>
                <w:rFonts w:ascii="Times New Roman" w:eastAsia="Segoe UI Symbol" w:hAnsi="Times New Roman" w:cs="Times New Roman"/>
              </w:rPr>
              <w:t>≥</w:t>
            </w:r>
            <w:r w:rsidR="00CA72FF" w:rsidRPr="00DD1F63">
              <w:rPr>
                <w:rFonts w:ascii="Times New Roman" w:hAnsi="Times New Roman" w:cs="Times New Roman"/>
                <w:b/>
                <w:sz w:val="21"/>
                <w:szCs w:val="21"/>
              </w:rPr>
              <w:t xml:space="preserve">PASI 75 </w:t>
            </w:r>
          </w:p>
        </w:tc>
        <w:tc>
          <w:tcPr>
            <w:tcW w:w="1843" w:type="dxa"/>
            <w:tcBorders>
              <w:top w:val="single" w:sz="4" w:space="0" w:color="000000"/>
              <w:left w:val="single" w:sz="4" w:space="0" w:color="000000"/>
              <w:bottom w:val="single" w:sz="4" w:space="0" w:color="000000"/>
              <w:right w:val="single" w:sz="4" w:space="0" w:color="000000"/>
            </w:tcBorders>
          </w:tcPr>
          <w:p w14:paraId="6063A858" w14:textId="77777777" w:rsidR="006B7C8E" w:rsidRPr="00DD1F63" w:rsidRDefault="00CA72FF" w:rsidP="00377A09">
            <w:pPr>
              <w:spacing w:after="0" w:line="240" w:lineRule="auto"/>
              <w:ind w:left="0" w:right="28"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18.9 </w:t>
            </w:r>
          </w:p>
        </w:tc>
        <w:tc>
          <w:tcPr>
            <w:tcW w:w="1559" w:type="dxa"/>
            <w:tcBorders>
              <w:top w:val="single" w:sz="4" w:space="0" w:color="000000"/>
              <w:left w:val="single" w:sz="4" w:space="0" w:color="000000"/>
              <w:bottom w:val="single" w:sz="4" w:space="0" w:color="000000"/>
              <w:right w:val="single" w:sz="4" w:space="0" w:color="000000"/>
            </w:tcBorders>
          </w:tcPr>
          <w:p w14:paraId="6A3E163A" w14:textId="77777777" w:rsidR="006B7C8E" w:rsidRPr="00DD1F63" w:rsidRDefault="00CA72FF" w:rsidP="00377A09">
            <w:pPr>
              <w:spacing w:after="0" w:line="240" w:lineRule="auto"/>
              <w:ind w:right="27"/>
              <w:jc w:val="left"/>
              <w:rPr>
                <w:rFonts w:ascii="Times New Roman" w:hAnsi="Times New Roman" w:cs="Times New Roman"/>
                <w:sz w:val="21"/>
                <w:szCs w:val="21"/>
              </w:rPr>
            </w:pPr>
            <w:r w:rsidRPr="00DD1F63">
              <w:rPr>
                <w:rFonts w:ascii="Times New Roman" w:hAnsi="Times New Roman" w:cs="Times New Roman"/>
                <w:sz w:val="21"/>
                <w:szCs w:val="21"/>
              </w:rPr>
              <w:t xml:space="preserve">35.5 </w:t>
            </w:r>
          </w:p>
        </w:tc>
        <w:tc>
          <w:tcPr>
            <w:tcW w:w="3118" w:type="dxa"/>
            <w:tcBorders>
              <w:top w:val="single" w:sz="4" w:space="0" w:color="000000"/>
              <w:left w:val="single" w:sz="4" w:space="0" w:color="000000"/>
              <w:bottom w:val="single" w:sz="4" w:space="0" w:color="000000"/>
              <w:right w:val="single" w:sz="4" w:space="0" w:color="000000"/>
            </w:tcBorders>
          </w:tcPr>
          <w:p w14:paraId="6AE79C3D" w14:textId="77777777" w:rsidR="006B7C8E" w:rsidRPr="00DD1F63" w:rsidRDefault="00CA72FF" w:rsidP="00377A09">
            <w:pPr>
              <w:spacing w:after="0" w:line="240" w:lineRule="auto"/>
              <w:ind w:left="0" w:right="24"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79.6 </w:t>
            </w:r>
            <w:r w:rsidRPr="00DD1F63">
              <w:rPr>
                <w:rFonts w:ascii="Times New Roman" w:hAnsi="Times New Roman" w:cs="Times New Roman"/>
                <w:sz w:val="21"/>
                <w:szCs w:val="21"/>
                <w:vertAlign w:val="superscript"/>
              </w:rPr>
              <w:t>a, b</w:t>
            </w:r>
            <w:r w:rsidRPr="00DD1F63">
              <w:rPr>
                <w:rFonts w:ascii="Times New Roman" w:hAnsi="Times New Roman" w:cs="Times New Roman"/>
                <w:sz w:val="21"/>
                <w:szCs w:val="21"/>
              </w:rPr>
              <w:t xml:space="preserve"> </w:t>
            </w:r>
          </w:p>
        </w:tc>
      </w:tr>
      <w:tr w:rsidR="006B7C8E" w:rsidRPr="00DD1F63" w14:paraId="13A35EDA" w14:textId="77777777" w:rsidTr="00284E30">
        <w:trPr>
          <w:trHeight w:val="120"/>
        </w:trPr>
        <w:tc>
          <w:tcPr>
            <w:tcW w:w="2126" w:type="dxa"/>
            <w:tcBorders>
              <w:top w:val="single" w:sz="4" w:space="0" w:color="000000"/>
              <w:left w:val="single" w:sz="4" w:space="0" w:color="000000"/>
              <w:bottom w:val="single" w:sz="4" w:space="0" w:color="000000"/>
              <w:right w:val="single" w:sz="4" w:space="0" w:color="000000"/>
            </w:tcBorders>
          </w:tcPr>
          <w:p w14:paraId="0B80C89C" w14:textId="0DDAFA0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PASI 100 </w:t>
            </w:r>
          </w:p>
        </w:tc>
        <w:tc>
          <w:tcPr>
            <w:tcW w:w="1843" w:type="dxa"/>
            <w:tcBorders>
              <w:top w:val="single" w:sz="4" w:space="0" w:color="000000"/>
              <w:left w:val="single" w:sz="4" w:space="0" w:color="000000"/>
              <w:bottom w:val="single" w:sz="4" w:space="0" w:color="000000"/>
              <w:right w:val="single" w:sz="4" w:space="0" w:color="000000"/>
            </w:tcBorders>
          </w:tcPr>
          <w:p w14:paraId="669CC476" w14:textId="77777777" w:rsidR="006B7C8E" w:rsidRPr="00DD1F63" w:rsidRDefault="00CA72FF" w:rsidP="00377A09">
            <w:pPr>
              <w:spacing w:after="0" w:line="240" w:lineRule="auto"/>
              <w:ind w:right="28"/>
              <w:jc w:val="left"/>
              <w:rPr>
                <w:rFonts w:ascii="Times New Roman" w:hAnsi="Times New Roman" w:cs="Times New Roman"/>
                <w:sz w:val="21"/>
                <w:szCs w:val="21"/>
              </w:rPr>
            </w:pPr>
            <w:r w:rsidRPr="00DD1F63">
              <w:rPr>
                <w:rFonts w:ascii="Times New Roman" w:hAnsi="Times New Roman" w:cs="Times New Roman"/>
                <w:sz w:val="21"/>
                <w:szCs w:val="21"/>
              </w:rPr>
              <w:t xml:space="preserve">1.9 </w:t>
            </w:r>
          </w:p>
        </w:tc>
        <w:tc>
          <w:tcPr>
            <w:tcW w:w="1559" w:type="dxa"/>
            <w:tcBorders>
              <w:top w:val="single" w:sz="4" w:space="0" w:color="000000"/>
              <w:left w:val="single" w:sz="4" w:space="0" w:color="000000"/>
              <w:bottom w:val="single" w:sz="4" w:space="0" w:color="000000"/>
              <w:right w:val="single" w:sz="4" w:space="0" w:color="000000"/>
            </w:tcBorders>
          </w:tcPr>
          <w:p w14:paraId="2729E120" w14:textId="77777777" w:rsidR="006B7C8E" w:rsidRPr="00DD1F63" w:rsidRDefault="00CA72FF" w:rsidP="00377A09">
            <w:pPr>
              <w:spacing w:after="0" w:line="240" w:lineRule="auto"/>
              <w:ind w:right="27"/>
              <w:jc w:val="left"/>
              <w:rPr>
                <w:rFonts w:ascii="Times New Roman" w:hAnsi="Times New Roman" w:cs="Times New Roman"/>
                <w:sz w:val="21"/>
                <w:szCs w:val="21"/>
              </w:rPr>
            </w:pPr>
            <w:r w:rsidRPr="00DD1F63">
              <w:rPr>
                <w:rFonts w:ascii="Times New Roman" w:hAnsi="Times New Roman" w:cs="Times New Roman"/>
                <w:sz w:val="21"/>
                <w:szCs w:val="21"/>
              </w:rPr>
              <w:t xml:space="preserve">7.3 </w:t>
            </w:r>
          </w:p>
        </w:tc>
        <w:tc>
          <w:tcPr>
            <w:tcW w:w="3118" w:type="dxa"/>
            <w:tcBorders>
              <w:top w:val="single" w:sz="4" w:space="0" w:color="000000"/>
              <w:left w:val="single" w:sz="4" w:space="0" w:color="000000"/>
              <w:bottom w:val="single" w:sz="4" w:space="0" w:color="000000"/>
              <w:right w:val="single" w:sz="4" w:space="0" w:color="000000"/>
            </w:tcBorders>
          </w:tcPr>
          <w:p w14:paraId="0CAE3E94" w14:textId="77777777" w:rsidR="006B7C8E" w:rsidRPr="00DD1F63" w:rsidRDefault="00CA72FF" w:rsidP="00377A09">
            <w:pPr>
              <w:spacing w:after="0" w:line="240" w:lineRule="auto"/>
              <w:ind w:right="24"/>
              <w:jc w:val="left"/>
              <w:rPr>
                <w:rFonts w:ascii="Times New Roman" w:hAnsi="Times New Roman" w:cs="Times New Roman"/>
                <w:sz w:val="21"/>
                <w:szCs w:val="21"/>
              </w:rPr>
            </w:pPr>
            <w:r w:rsidRPr="00DD1F63">
              <w:rPr>
                <w:rFonts w:ascii="Times New Roman" w:hAnsi="Times New Roman" w:cs="Times New Roman"/>
                <w:sz w:val="21"/>
                <w:szCs w:val="21"/>
              </w:rPr>
              <w:t xml:space="preserve">16.7 </w:t>
            </w:r>
            <w:r w:rsidRPr="00DD1F63">
              <w:rPr>
                <w:rFonts w:ascii="Times New Roman" w:hAnsi="Times New Roman" w:cs="Times New Roman"/>
                <w:sz w:val="21"/>
                <w:szCs w:val="21"/>
                <w:vertAlign w:val="superscript"/>
              </w:rPr>
              <w:t>c, d</w:t>
            </w:r>
            <w:r w:rsidRPr="00DD1F63">
              <w:rPr>
                <w:rFonts w:ascii="Times New Roman" w:hAnsi="Times New Roman" w:cs="Times New Roman"/>
                <w:sz w:val="21"/>
                <w:szCs w:val="21"/>
              </w:rPr>
              <w:t xml:space="preserve"> </w:t>
            </w:r>
          </w:p>
        </w:tc>
      </w:tr>
      <w:tr w:rsidR="006B7C8E" w:rsidRPr="00DD1F63" w14:paraId="372135C6" w14:textId="77777777" w:rsidTr="00284E30">
        <w:trPr>
          <w:trHeight w:val="75"/>
        </w:trPr>
        <w:tc>
          <w:tcPr>
            <w:tcW w:w="2126" w:type="dxa"/>
            <w:tcBorders>
              <w:top w:val="single" w:sz="4" w:space="0" w:color="000000"/>
              <w:left w:val="single" w:sz="4" w:space="0" w:color="000000"/>
              <w:bottom w:val="single" w:sz="4" w:space="0" w:color="000000"/>
              <w:right w:val="single" w:sz="4" w:space="0" w:color="000000"/>
            </w:tcBorders>
          </w:tcPr>
          <w:p w14:paraId="7D7A95AD" w14:textId="13ACDA1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PGA: Clear/minimal </w:t>
            </w:r>
          </w:p>
        </w:tc>
        <w:tc>
          <w:tcPr>
            <w:tcW w:w="1843" w:type="dxa"/>
            <w:tcBorders>
              <w:top w:val="single" w:sz="4" w:space="0" w:color="000000"/>
              <w:left w:val="single" w:sz="4" w:space="0" w:color="000000"/>
              <w:bottom w:val="single" w:sz="4" w:space="0" w:color="000000"/>
              <w:right w:val="single" w:sz="4" w:space="0" w:color="000000"/>
            </w:tcBorders>
          </w:tcPr>
          <w:p w14:paraId="62CD0ECC" w14:textId="77777777" w:rsidR="006B7C8E" w:rsidRPr="00DD1F63" w:rsidRDefault="00CA72FF" w:rsidP="00377A09">
            <w:pPr>
              <w:spacing w:after="0" w:line="240" w:lineRule="auto"/>
              <w:ind w:right="28"/>
              <w:jc w:val="left"/>
              <w:rPr>
                <w:rFonts w:ascii="Times New Roman" w:hAnsi="Times New Roman" w:cs="Times New Roman"/>
                <w:sz w:val="21"/>
                <w:szCs w:val="21"/>
              </w:rPr>
            </w:pPr>
            <w:r w:rsidRPr="00DD1F63">
              <w:rPr>
                <w:rFonts w:ascii="Times New Roman" w:hAnsi="Times New Roman" w:cs="Times New Roman"/>
                <w:sz w:val="21"/>
                <w:szCs w:val="21"/>
              </w:rPr>
              <w:t xml:space="preserve">11.3 </w:t>
            </w:r>
          </w:p>
        </w:tc>
        <w:tc>
          <w:tcPr>
            <w:tcW w:w="1559" w:type="dxa"/>
            <w:tcBorders>
              <w:top w:val="single" w:sz="4" w:space="0" w:color="000000"/>
              <w:left w:val="single" w:sz="4" w:space="0" w:color="000000"/>
              <w:bottom w:val="single" w:sz="4" w:space="0" w:color="000000"/>
              <w:right w:val="single" w:sz="4" w:space="0" w:color="000000"/>
            </w:tcBorders>
          </w:tcPr>
          <w:p w14:paraId="6FBD992C" w14:textId="77777777" w:rsidR="006B7C8E" w:rsidRPr="00DD1F63" w:rsidRDefault="00CA72FF" w:rsidP="00377A09">
            <w:pPr>
              <w:spacing w:after="0" w:line="240" w:lineRule="auto"/>
              <w:ind w:right="27"/>
              <w:jc w:val="left"/>
              <w:rPr>
                <w:rFonts w:ascii="Times New Roman" w:hAnsi="Times New Roman" w:cs="Times New Roman"/>
                <w:sz w:val="21"/>
                <w:szCs w:val="21"/>
              </w:rPr>
            </w:pPr>
            <w:r w:rsidRPr="00DD1F63">
              <w:rPr>
                <w:rFonts w:ascii="Times New Roman" w:hAnsi="Times New Roman" w:cs="Times New Roman"/>
                <w:sz w:val="21"/>
                <w:szCs w:val="21"/>
              </w:rPr>
              <w:t xml:space="preserve">30.0 </w:t>
            </w:r>
          </w:p>
        </w:tc>
        <w:tc>
          <w:tcPr>
            <w:tcW w:w="3118" w:type="dxa"/>
            <w:tcBorders>
              <w:top w:val="single" w:sz="4" w:space="0" w:color="000000"/>
              <w:left w:val="single" w:sz="4" w:space="0" w:color="000000"/>
              <w:bottom w:val="single" w:sz="4" w:space="0" w:color="000000"/>
              <w:right w:val="single" w:sz="4" w:space="0" w:color="000000"/>
            </w:tcBorders>
          </w:tcPr>
          <w:p w14:paraId="57AA30DB" w14:textId="77777777" w:rsidR="006B7C8E" w:rsidRPr="00DD1F63" w:rsidRDefault="00CA72FF" w:rsidP="00377A09">
            <w:pPr>
              <w:spacing w:after="0" w:line="240" w:lineRule="auto"/>
              <w:ind w:right="24"/>
              <w:jc w:val="left"/>
              <w:rPr>
                <w:rFonts w:ascii="Times New Roman" w:hAnsi="Times New Roman" w:cs="Times New Roman"/>
                <w:sz w:val="21"/>
                <w:szCs w:val="21"/>
              </w:rPr>
            </w:pPr>
            <w:r w:rsidRPr="00DD1F63">
              <w:rPr>
                <w:rFonts w:ascii="Times New Roman" w:hAnsi="Times New Roman" w:cs="Times New Roman"/>
                <w:sz w:val="21"/>
                <w:szCs w:val="21"/>
              </w:rPr>
              <w:t xml:space="preserve">73.1 </w:t>
            </w:r>
            <w:r w:rsidRPr="00DD1F63">
              <w:rPr>
                <w:rFonts w:ascii="Times New Roman" w:hAnsi="Times New Roman" w:cs="Times New Roman"/>
                <w:sz w:val="21"/>
                <w:szCs w:val="21"/>
                <w:vertAlign w:val="superscript"/>
              </w:rPr>
              <w:t>a, b</w:t>
            </w:r>
            <w:r w:rsidRPr="00DD1F63">
              <w:rPr>
                <w:rFonts w:ascii="Times New Roman" w:hAnsi="Times New Roman" w:cs="Times New Roman"/>
                <w:sz w:val="21"/>
                <w:szCs w:val="21"/>
              </w:rPr>
              <w:t xml:space="preserve"> </w:t>
            </w:r>
          </w:p>
        </w:tc>
      </w:tr>
      <w:tr w:rsidR="006B7C8E" w:rsidRPr="00DD1F63" w14:paraId="2D3ABBF8" w14:textId="77777777" w:rsidTr="00284E30">
        <w:trPr>
          <w:trHeight w:val="83"/>
        </w:trPr>
        <w:tc>
          <w:tcPr>
            <w:tcW w:w="8646" w:type="dxa"/>
            <w:gridSpan w:val="4"/>
            <w:tcBorders>
              <w:top w:val="single" w:sz="4" w:space="0" w:color="000000"/>
              <w:left w:val="single" w:sz="4" w:space="0" w:color="000000"/>
              <w:bottom w:val="single" w:sz="4" w:space="0" w:color="000000"/>
              <w:right w:val="single" w:sz="4" w:space="0" w:color="000000"/>
            </w:tcBorders>
          </w:tcPr>
          <w:p w14:paraId="72EE45A3" w14:textId="22C04214" w:rsidR="00284E30" w:rsidRPr="00DD1F63" w:rsidRDefault="00CA72FF" w:rsidP="00377A09">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a</w:t>
            </w:r>
            <w:r w:rsidRPr="00DD1F63">
              <w:rPr>
                <w:rFonts w:ascii="Times New Roman" w:hAnsi="Times New Roman" w:cs="Times New Roman"/>
                <w:sz w:val="21"/>
                <w:szCs w:val="21"/>
              </w:rPr>
              <w:t xml:space="preserve"> p&lt;0.001,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dalimumab</w:t>
            </w:r>
            <w:r w:rsidRPr="00DD1F63">
              <w:rPr>
                <w:rFonts w:ascii="Times New Roman" w:hAnsi="Times New Roman" w:cs="Times New Roman"/>
                <w:sz w:val="21"/>
                <w:szCs w:val="21"/>
              </w:rPr>
              <w:t xml:space="preserve"> vs. placebo </w:t>
            </w:r>
          </w:p>
          <w:p w14:paraId="245EFDD9" w14:textId="44B3C2FF" w:rsidR="00284E30" w:rsidRPr="00DD1F63" w:rsidRDefault="00CA72FF" w:rsidP="00377A09">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b</w:t>
            </w:r>
            <w:r w:rsidRPr="00DD1F63">
              <w:rPr>
                <w:rFonts w:ascii="Times New Roman" w:hAnsi="Times New Roman" w:cs="Times New Roman"/>
                <w:sz w:val="21"/>
                <w:szCs w:val="21"/>
              </w:rPr>
              <w:t xml:space="preserve"> p&lt;0.001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 xml:space="preserve">dalimumab </w:t>
            </w:r>
            <w:r w:rsidRPr="00DD1F63">
              <w:rPr>
                <w:rFonts w:ascii="Times New Roman" w:hAnsi="Times New Roman" w:cs="Times New Roman"/>
                <w:sz w:val="21"/>
                <w:szCs w:val="21"/>
              </w:rPr>
              <w:t xml:space="preserve">vs. methotrexate </w:t>
            </w:r>
          </w:p>
          <w:p w14:paraId="25C5E7C2" w14:textId="3F4C8049" w:rsidR="00284E30" w:rsidRPr="00DD1F63" w:rsidRDefault="00CA72FF" w:rsidP="00377A09">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c</w:t>
            </w:r>
            <w:r w:rsidRPr="00DD1F63">
              <w:rPr>
                <w:rFonts w:ascii="Times New Roman" w:hAnsi="Times New Roman" w:cs="Times New Roman"/>
                <w:sz w:val="21"/>
                <w:szCs w:val="21"/>
              </w:rPr>
              <w:t xml:space="preserve"> p&lt; 0.01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dalimumab</w:t>
            </w:r>
            <w:r w:rsidRPr="00DD1F63">
              <w:rPr>
                <w:rFonts w:ascii="Times New Roman" w:hAnsi="Times New Roman" w:cs="Times New Roman"/>
                <w:sz w:val="21"/>
                <w:szCs w:val="21"/>
              </w:rPr>
              <w:t xml:space="preserve"> vs. placebo </w:t>
            </w:r>
          </w:p>
          <w:p w14:paraId="1FF8F77A" w14:textId="74E24D94" w:rsidR="006B7C8E" w:rsidRPr="00DD1F63" w:rsidRDefault="00CA72FF" w:rsidP="00377A09">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d</w:t>
            </w:r>
            <w:r w:rsidRPr="00DD1F63">
              <w:rPr>
                <w:rFonts w:ascii="Times New Roman" w:hAnsi="Times New Roman" w:cs="Times New Roman"/>
                <w:sz w:val="21"/>
                <w:szCs w:val="21"/>
              </w:rPr>
              <w:t xml:space="preserve"> p&lt; 0.05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dalimumab</w:t>
            </w:r>
            <w:r w:rsidRPr="00DD1F63">
              <w:rPr>
                <w:rFonts w:ascii="Times New Roman" w:hAnsi="Times New Roman" w:cs="Times New Roman"/>
                <w:sz w:val="21"/>
                <w:szCs w:val="21"/>
              </w:rPr>
              <w:t xml:space="preserve"> vs. methotrexate </w:t>
            </w:r>
          </w:p>
        </w:tc>
      </w:tr>
    </w:tbl>
    <w:p w14:paraId="454D1585" w14:textId="77777777" w:rsidR="00450731" w:rsidRPr="00DD1F63" w:rsidRDefault="00450731" w:rsidP="00377A09">
      <w:pPr>
        <w:spacing w:after="0" w:line="240" w:lineRule="auto"/>
        <w:ind w:left="426" w:right="375"/>
        <w:jc w:val="left"/>
        <w:rPr>
          <w:rFonts w:ascii="Times New Roman" w:hAnsi="Times New Roman" w:cs="Times New Roman"/>
          <w:sz w:val="22"/>
        </w:rPr>
      </w:pPr>
    </w:p>
    <w:p w14:paraId="4149D8DC" w14:textId="432D4728"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Two of the continuous treatment populations entering trial M03-658 were those from Period C of Study I and those from Study II. </w:t>
      </w:r>
    </w:p>
    <w:p w14:paraId="6B5CE636"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540454FB" w14:textId="1058E7FD" w:rsidR="009341FF"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250 subjects in the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group in Period C of Study I achieved PASI 75 at Weeks 16 and 33 and received continuous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therapy at 40 mg fortnightly for up to 52 weeks. Of these, 233 </w:t>
      </w:r>
      <w:r w:rsidRPr="00DD1F63">
        <w:rPr>
          <w:rFonts w:ascii="Times New Roman" w:hAnsi="Times New Roman" w:cs="Times New Roman"/>
          <w:spacing w:val="2"/>
          <w:sz w:val="22"/>
        </w:rPr>
        <w:t>entered the extension trial M03-658 and the proportion of patients with PGA of “clear or minimal” response was</w:t>
      </w:r>
      <w:r w:rsidR="00D83BF5"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70.0% at entry to the extension trial (52 weeks </w:t>
      </w:r>
      <w:r w:rsidR="00BF099D"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treatment), 73.4% after 76</w:t>
      </w:r>
      <w:r w:rsidRPr="00DD1F63">
        <w:rPr>
          <w:rFonts w:ascii="Times New Roman" w:hAnsi="Times New Roman" w:cs="Times New Roman"/>
          <w:sz w:val="22"/>
        </w:rPr>
        <w:t xml:space="preserve"> weeks treatment, and 59.0% after 160 weeks treatment. The corresponding percentages for PASI 75 were 83.7% at entry, 86.5% after 76 weeks treatment, and 74.7% after 160 weeks treatment. </w:t>
      </w:r>
    </w:p>
    <w:p w14:paraId="4FE9E1AE" w14:textId="77777777" w:rsidR="009341FF" w:rsidRPr="00DD1F63" w:rsidRDefault="009341FF" w:rsidP="00377A09">
      <w:pPr>
        <w:spacing w:after="0" w:line="240" w:lineRule="auto"/>
        <w:ind w:left="426" w:right="49"/>
        <w:jc w:val="left"/>
        <w:rPr>
          <w:rFonts w:ascii="Times New Roman" w:hAnsi="Times New Roman" w:cs="Times New Roman"/>
          <w:sz w:val="22"/>
        </w:rPr>
      </w:pPr>
    </w:p>
    <w:p w14:paraId="7FA86CD2" w14:textId="1740293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108 subjects in the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group of Study II received continuous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therapy at 40 mg </w:t>
      </w:r>
      <w:r w:rsidRPr="00DD1F63">
        <w:rPr>
          <w:rFonts w:ascii="Times New Roman" w:hAnsi="Times New Roman" w:cs="Times New Roman"/>
          <w:spacing w:val="2"/>
          <w:sz w:val="22"/>
        </w:rPr>
        <w:t>fortnightly for 16 weeks. Of these, 94 entered the extension trial M03-658, and the proportion of these patients with PGA of “clear or minimal” response was 68.1% at entry to the extension trial (16</w:t>
      </w:r>
      <w:r w:rsidRPr="00DD1F63">
        <w:rPr>
          <w:rFonts w:ascii="Times New Roman" w:hAnsi="Times New Roman" w:cs="Times New Roman"/>
          <w:sz w:val="22"/>
        </w:rPr>
        <w:t xml:space="preserve"> weeks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treatment) and 46.2% after 124 weeks treatment. The corresponding percentages for PASI 75 were</w:t>
      </w:r>
      <w:r w:rsidR="00D83BF5" w:rsidRPr="00DD1F63">
        <w:rPr>
          <w:rFonts w:ascii="Times New Roman" w:hAnsi="Times New Roman" w:cs="Times New Roman"/>
          <w:sz w:val="22"/>
        </w:rPr>
        <w:t xml:space="preserve"> </w:t>
      </w:r>
      <w:r w:rsidRPr="00DD1F63">
        <w:rPr>
          <w:rFonts w:ascii="Times New Roman" w:hAnsi="Times New Roman" w:cs="Times New Roman"/>
          <w:sz w:val="22"/>
        </w:rPr>
        <w:t xml:space="preserve">74.5% at entry and 58.1% after 124 weeks treatment. </w:t>
      </w:r>
    </w:p>
    <w:p w14:paraId="22E91932"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7B63BBD5" w14:textId="1841C225"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was a withdrawal and retreatment evaluation in the extension trial (M03-658) after subjects had received at least 2 years of treatment with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A pre-specified evaluable population of stable responders to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was assessed after withdrawal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This </w:t>
      </w:r>
      <w:r w:rsidRPr="00DD1F63">
        <w:rPr>
          <w:rFonts w:ascii="Times New Roman" w:hAnsi="Times New Roman" w:cs="Times New Roman"/>
          <w:spacing w:val="-2"/>
          <w:sz w:val="22"/>
        </w:rPr>
        <w:t xml:space="preserve">population consisted of subjects with stable psoriasis defined as PGA clear or minimal at the last 2 visits at least 12 weeks apart and receiving </w:t>
      </w:r>
      <w:r w:rsidR="003A6D7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 mg fortnightly during the last 12</w:t>
      </w:r>
      <w:r w:rsidRPr="00DD1F63">
        <w:rPr>
          <w:rFonts w:ascii="Times New Roman" w:hAnsi="Times New Roman" w:cs="Times New Roman"/>
          <w:sz w:val="22"/>
        </w:rPr>
        <w:t xml:space="preserve"> weeks. If subjects relapsed (PGA became moderate or worse) during the withdrawal period,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was recommenced at an initial dose of 80 mg and then, from the following week, at 40 mg fortnightly. After 178 subjects had relapsed and recommenced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the remaining subjects who had not relapsed were also eligible for retreatment with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1A7119C6"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6F1CE401" w14:textId="48801715" w:rsidR="00D83BF5"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347 stable responders withdrawn from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339 had at least one post-baseline evaluation. Approximately half (55.5%) of these subjects relapsed. The median time to relapse was approximately 5 months. None of the subjects experienced rebound of disease (PASI ≥ 125% or new generalised erythrodermic or pustular psoriasis within 3 months of withdrawal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The number of retreated subjects was 285, of whom 178 had relapsed during the withdrawal period. At week 16 of retreatment, PGA “clear or minimal” increased from 0% to 69.1% in relapsed subjects and from 59.8% to 88.8% in non-relapsed subjects. Therefore, after withdrawal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and relapse, most subjects responded to retreatment within 16 weeks.</w:t>
      </w:r>
    </w:p>
    <w:p w14:paraId="017C2FB3" w14:textId="6EB9972A" w:rsidR="006B7C8E" w:rsidRPr="00DD1F63" w:rsidRDefault="006B7C8E" w:rsidP="00377A09">
      <w:pPr>
        <w:spacing w:after="0" w:line="240" w:lineRule="auto"/>
        <w:ind w:left="426" w:right="375"/>
        <w:jc w:val="left"/>
        <w:rPr>
          <w:rFonts w:ascii="Times New Roman" w:hAnsi="Times New Roman" w:cs="Times New Roman"/>
          <w:sz w:val="22"/>
        </w:rPr>
      </w:pPr>
    </w:p>
    <w:p w14:paraId="143E87D3" w14:textId="5A839E36"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open-label extension trial (M03-658), patients who dose escalated from 40 mg fortnightly to 40 mg every week due to a PASI response below 50%, 26.4% (92/349) and 37.8% (132/349) of patients achieved PASI 75 response at Week 12 and 24, respectively. </w:t>
      </w:r>
    </w:p>
    <w:p w14:paraId="0CE74896"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287AE0F6" w14:textId="3D1980DE" w:rsidR="00D83BF5"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An additional Ps Study (M10-405) compared the efficacy and safety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versus placebo in 72 patients with moderate to severe chronic plaque psoriasis and hand and/or foot psoriasis. Patients received an initial dose of 80 mg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followed by 40 mg fortnightly (starting one week after the initial dose), or placebo for 16 weeks. At </w:t>
      </w:r>
      <w:r w:rsidR="003A6D7B" w:rsidRPr="00DD1F63">
        <w:rPr>
          <w:rFonts w:ascii="Times New Roman" w:hAnsi="Times New Roman" w:cs="Times New Roman"/>
          <w:sz w:val="22"/>
        </w:rPr>
        <w:t>w</w:t>
      </w:r>
      <w:r w:rsidRPr="00DD1F63">
        <w:rPr>
          <w:rFonts w:ascii="Times New Roman" w:hAnsi="Times New Roman" w:cs="Times New Roman"/>
          <w:sz w:val="22"/>
        </w:rPr>
        <w:t xml:space="preserve">eek 16, a statistically significantly greater proportion of patients who received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achieved a PGA score of “clear” or “almost clear” for the hands and/or feet compared to patients who received placebo (30.6% versus 4.3%, respectively [P = 0.014]).</w:t>
      </w:r>
    </w:p>
    <w:p w14:paraId="55A4BD77" w14:textId="33E30D1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C054F74" w14:textId="0955473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Psoriasis Study IV (M13-674) compared efficacy and safety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versus placebo in 217 adult patients with moderate to severe nail psoriasis. Patients received an initial dose of 80 mg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followed by 40 mg fortnightly (starting one week after the initial dose) or placebo for 26 weeks followed by open-label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treatment for an additional 26 weeks. </w:t>
      </w:r>
    </w:p>
    <w:p w14:paraId="7A81BC72" w14:textId="77777777" w:rsidR="00D83BF5" w:rsidRPr="00DD1F63" w:rsidRDefault="00D83BF5" w:rsidP="00377A09">
      <w:pPr>
        <w:spacing w:after="0" w:line="240" w:lineRule="auto"/>
        <w:ind w:left="426" w:right="375"/>
        <w:jc w:val="left"/>
        <w:rPr>
          <w:rFonts w:ascii="Times New Roman" w:hAnsi="Times New Roman" w:cs="Times New Roman"/>
          <w:sz w:val="22"/>
        </w:rPr>
      </w:pPr>
    </w:p>
    <w:p w14:paraId="6DA733E9" w14:textId="0DB4B9FF" w:rsidR="005E590D"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This study evaluated the proportion of subjects who achieved at least a 75% improvement from baseline in the Modified Nail Psoriasis Severity Index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75) and the proportion of </w:t>
      </w:r>
      <w:r w:rsidRPr="00DD1F63">
        <w:rPr>
          <w:rFonts w:ascii="Times New Roman" w:hAnsi="Times New Roman" w:cs="Times New Roman"/>
          <w:sz w:val="22"/>
        </w:rPr>
        <w:lastRenderedPageBreak/>
        <w:t xml:space="preserve">subjects who achieved “clear” or “minimal” assessment with at least a 2-grade improvement on the PGA-F scale at week 26 (see Table </w:t>
      </w:r>
      <w:r w:rsidR="00BD4FF7" w:rsidRPr="00DD1F63">
        <w:rPr>
          <w:rFonts w:ascii="Times New Roman" w:hAnsi="Times New Roman" w:cs="Times New Roman"/>
          <w:sz w:val="22"/>
        </w:rPr>
        <w:t>27</w:t>
      </w:r>
      <w:r w:rsidRPr="00DD1F63">
        <w:rPr>
          <w:rFonts w:ascii="Times New Roman" w:hAnsi="Times New Roman" w:cs="Times New Roman"/>
          <w:sz w:val="22"/>
        </w:rPr>
        <w:t xml:space="preserve">). The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is a numeric index for the evaluation of nail psoriasis. The index assessed each nail abnormality for each of a subject’s fingernails. Pitting, onycholysis and oil-drop dyschromia and crumbling of each fingernail were graded on a scale from 0 to 3. Leukonychia, splinter </w:t>
      </w:r>
      <w:proofErr w:type="spellStart"/>
      <w:r w:rsidRPr="00DD1F63">
        <w:rPr>
          <w:rFonts w:ascii="Times New Roman" w:hAnsi="Times New Roman" w:cs="Times New Roman"/>
          <w:sz w:val="22"/>
        </w:rPr>
        <w:t>hemmorrhages</w:t>
      </w:r>
      <w:proofErr w:type="spellEnd"/>
      <w:r w:rsidRPr="00DD1F63">
        <w:rPr>
          <w:rFonts w:ascii="Times New Roman" w:hAnsi="Times New Roman" w:cs="Times New Roman"/>
          <w:sz w:val="22"/>
        </w:rPr>
        <w:t xml:space="preserve">, hyperkeratosis and red spots in the lunula were graded as either present (scored as 1) or absent (scored as 0) for each fingernail. The mean (±SD) severity of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at baseline was 58.11 ± 21.550 and 57.59 ± 20.159 in the placebo and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treatment group, respectively.</w:t>
      </w:r>
    </w:p>
    <w:p w14:paraId="6885646A" w14:textId="77777777" w:rsidR="009341FF" w:rsidRPr="00DD1F63" w:rsidRDefault="009341FF" w:rsidP="00377A09">
      <w:pPr>
        <w:spacing w:after="0" w:line="240" w:lineRule="auto"/>
        <w:ind w:left="426" w:right="375"/>
        <w:jc w:val="left"/>
        <w:rPr>
          <w:rFonts w:ascii="Times New Roman" w:hAnsi="Times New Roman" w:cs="Times New Roman"/>
        </w:rPr>
      </w:pPr>
    </w:p>
    <w:tbl>
      <w:tblPr>
        <w:tblStyle w:val="TableGrid0"/>
        <w:tblW w:w="0" w:type="auto"/>
        <w:tblInd w:w="426" w:type="dxa"/>
        <w:tblCellMar>
          <w:left w:w="57" w:type="dxa"/>
          <w:right w:w="57" w:type="dxa"/>
        </w:tblCellMar>
        <w:tblLook w:val="04A0" w:firstRow="1" w:lastRow="0" w:firstColumn="1" w:lastColumn="0" w:noHBand="0" w:noVBand="1"/>
      </w:tblPr>
      <w:tblGrid>
        <w:gridCol w:w="4531"/>
        <w:gridCol w:w="1417"/>
        <w:gridCol w:w="3021"/>
      </w:tblGrid>
      <w:tr w:rsidR="005E590D" w:rsidRPr="00DD1F63" w14:paraId="085CEDDA" w14:textId="77777777" w:rsidTr="009341FF">
        <w:tc>
          <w:tcPr>
            <w:tcW w:w="8969" w:type="dxa"/>
            <w:gridSpan w:val="3"/>
          </w:tcPr>
          <w:p w14:paraId="60FDEC3E" w14:textId="44FC8838" w:rsidR="005E590D" w:rsidRPr="00DD1F63" w:rsidRDefault="005E590D" w:rsidP="00377A09">
            <w:pPr>
              <w:spacing w:after="0" w:line="240" w:lineRule="auto"/>
              <w:ind w:left="0" w:right="375" w:firstLine="0"/>
              <w:jc w:val="left"/>
              <w:rPr>
                <w:rFonts w:ascii="Times New Roman" w:hAnsi="Times New Roman" w:cs="Times New Roman"/>
              </w:rPr>
            </w:pPr>
            <w:r w:rsidRPr="00DD1F63">
              <w:rPr>
                <w:rFonts w:ascii="Times New Roman" w:hAnsi="Times New Roman" w:cs="Times New Roman"/>
                <w:b/>
                <w:sz w:val="21"/>
                <w:szCs w:val="21"/>
              </w:rPr>
              <w:t xml:space="preserve">Table </w:t>
            </w:r>
            <w:r w:rsidR="00BD4FF7" w:rsidRPr="00DD1F63">
              <w:rPr>
                <w:rFonts w:ascii="Times New Roman" w:hAnsi="Times New Roman" w:cs="Times New Roman"/>
                <w:b/>
                <w:sz w:val="21"/>
                <w:szCs w:val="21"/>
              </w:rPr>
              <w:t>27</w:t>
            </w:r>
            <w:r w:rsidRPr="00DD1F63">
              <w:rPr>
                <w:rFonts w:ascii="Times New Roman" w:hAnsi="Times New Roman" w:cs="Times New Roman"/>
                <w:b/>
                <w:sz w:val="21"/>
                <w:szCs w:val="21"/>
              </w:rPr>
              <w:t>: Ps study IV (M13-674) efficacy results at 26 weeks in ranked order</w:t>
            </w:r>
          </w:p>
        </w:tc>
      </w:tr>
      <w:tr w:rsidR="005E590D" w:rsidRPr="00DD1F63" w14:paraId="06BFAD9C" w14:textId="77777777" w:rsidTr="009341FF">
        <w:tc>
          <w:tcPr>
            <w:tcW w:w="4531" w:type="dxa"/>
          </w:tcPr>
          <w:p w14:paraId="29159752" w14:textId="77777777" w:rsidR="005E590D" w:rsidRPr="00DD1F63" w:rsidRDefault="005E590D" w:rsidP="00377A09">
            <w:pPr>
              <w:spacing w:after="0" w:line="240" w:lineRule="auto"/>
              <w:ind w:left="0" w:right="375" w:firstLine="0"/>
              <w:jc w:val="left"/>
              <w:rPr>
                <w:rFonts w:ascii="Times New Roman" w:hAnsi="Times New Roman" w:cs="Times New Roman"/>
              </w:rPr>
            </w:pPr>
          </w:p>
        </w:tc>
        <w:tc>
          <w:tcPr>
            <w:tcW w:w="1417" w:type="dxa"/>
            <w:vAlign w:val="center"/>
          </w:tcPr>
          <w:p w14:paraId="715AA7B6" w14:textId="7AE8BF2B" w:rsidR="00175CAA" w:rsidRPr="00DD1F63" w:rsidRDefault="005E590D"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p w14:paraId="3C5AF005" w14:textId="6D1C4A48"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 108</w:t>
            </w:r>
          </w:p>
        </w:tc>
        <w:tc>
          <w:tcPr>
            <w:tcW w:w="3021" w:type="dxa"/>
            <w:vAlign w:val="center"/>
          </w:tcPr>
          <w:p w14:paraId="275ECCEF" w14:textId="2E4B7235" w:rsidR="009341FF" w:rsidRPr="00DD1F63" w:rsidRDefault="005E590D"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Adalimumab 40 mg fortnightly</w:t>
            </w:r>
          </w:p>
          <w:p w14:paraId="07B6B162" w14:textId="6F86F480"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 109</w:t>
            </w:r>
          </w:p>
        </w:tc>
      </w:tr>
      <w:tr w:rsidR="005E590D" w:rsidRPr="00DD1F63" w14:paraId="6AC9D91C" w14:textId="77777777" w:rsidTr="009341FF">
        <w:tc>
          <w:tcPr>
            <w:tcW w:w="4531" w:type="dxa"/>
          </w:tcPr>
          <w:p w14:paraId="321616E9" w14:textId="31C59285" w:rsidR="005E590D" w:rsidRPr="00DD1F63" w:rsidRDefault="005E590D" w:rsidP="00377A09">
            <w:pPr>
              <w:spacing w:after="0" w:line="240" w:lineRule="auto"/>
              <w:ind w:left="0" w:right="375" w:firstLine="0"/>
              <w:jc w:val="left"/>
              <w:rPr>
                <w:rFonts w:ascii="Times New Roman" w:hAnsi="Times New Roman" w:cs="Times New Roman"/>
              </w:rPr>
            </w:pPr>
            <w:r w:rsidRPr="00DD1F63">
              <w:rPr>
                <w:rFonts w:ascii="Times New Roman" w:hAnsi="Times New Roman" w:cs="Times New Roman"/>
                <w:sz w:val="21"/>
                <w:szCs w:val="21"/>
              </w:rPr>
              <w:t xml:space="preserve">≥ </w:t>
            </w:r>
            <w:proofErr w:type="spellStart"/>
            <w:r w:rsidRPr="00DD1F63">
              <w:rPr>
                <w:rFonts w:ascii="Times New Roman" w:hAnsi="Times New Roman" w:cs="Times New Roman"/>
                <w:sz w:val="21"/>
                <w:szCs w:val="21"/>
              </w:rPr>
              <w:t>mNAPSI</w:t>
            </w:r>
            <w:proofErr w:type="spellEnd"/>
            <w:r w:rsidRPr="00DD1F63">
              <w:rPr>
                <w:rFonts w:ascii="Times New Roman" w:hAnsi="Times New Roman" w:cs="Times New Roman"/>
                <w:sz w:val="21"/>
                <w:szCs w:val="21"/>
              </w:rPr>
              <w:t xml:space="preserve"> 75 (%)</w:t>
            </w:r>
          </w:p>
        </w:tc>
        <w:tc>
          <w:tcPr>
            <w:tcW w:w="1417" w:type="dxa"/>
            <w:vAlign w:val="center"/>
          </w:tcPr>
          <w:p w14:paraId="1479AA96" w14:textId="56B13245" w:rsidR="005E590D" w:rsidRPr="00DD1F63" w:rsidRDefault="005E590D" w:rsidP="00377A09">
            <w:pPr>
              <w:spacing w:after="0" w:line="240" w:lineRule="auto"/>
              <w:jc w:val="left"/>
              <w:rPr>
                <w:rFonts w:ascii="Times New Roman" w:hAnsi="Times New Roman" w:cs="Times New Roman"/>
                <w:b/>
                <w:sz w:val="21"/>
                <w:szCs w:val="21"/>
              </w:rPr>
            </w:pPr>
            <w:r w:rsidRPr="00DD1F63">
              <w:rPr>
                <w:rFonts w:ascii="Times New Roman" w:hAnsi="Times New Roman" w:cs="Times New Roman"/>
                <w:sz w:val="21"/>
                <w:szCs w:val="21"/>
              </w:rPr>
              <w:t>3.4</w:t>
            </w:r>
          </w:p>
        </w:tc>
        <w:tc>
          <w:tcPr>
            <w:tcW w:w="3021" w:type="dxa"/>
            <w:vAlign w:val="center"/>
          </w:tcPr>
          <w:p w14:paraId="1A91E9FA" w14:textId="178AFBFD" w:rsidR="005E590D" w:rsidRPr="00DD1F63" w:rsidRDefault="005E590D"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46.6</w:t>
            </w:r>
            <w:r w:rsidRPr="00DD1F63">
              <w:rPr>
                <w:rFonts w:ascii="Times New Roman" w:hAnsi="Times New Roman" w:cs="Times New Roman"/>
                <w:sz w:val="21"/>
                <w:szCs w:val="21"/>
                <w:vertAlign w:val="superscript"/>
              </w:rPr>
              <w:t>a</w:t>
            </w:r>
          </w:p>
        </w:tc>
      </w:tr>
      <w:tr w:rsidR="005E590D" w:rsidRPr="00DD1F63" w14:paraId="61539DF5" w14:textId="77777777" w:rsidTr="009341FF">
        <w:tc>
          <w:tcPr>
            <w:tcW w:w="4531" w:type="dxa"/>
          </w:tcPr>
          <w:p w14:paraId="6CD2E14C" w14:textId="59990064" w:rsidR="005E590D" w:rsidRPr="00DD1F63" w:rsidRDefault="005E590D" w:rsidP="00377A09">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Percent Change in Total Fingernail NAPSI (%)</w:t>
            </w:r>
          </w:p>
        </w:tc>
        <w:tc>
          <w:tcPr>
            <w:tcW w:w="1417" w:type="dxa"/>
            <w:vAlign w:val="center"/>
          </w:tcPr>
          <w:p w14:paraId="711A18CB" w14:textId="530DC366"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-11.5</w:t>
            </w:r>
          </w:p>
        </w:tc>
        <w:tc>
          <w:tcPr>
            <w:tcW w:w="3021" w:type="dxa"/>
            <w:vAlign w:val="center"/>
          </w:tcPr>
          <w:p w14:paraId="11360B13" w14:textId="0E7D104C"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-56.2</w:t>
            </w:r>
            <w:r w:rsidRPr="00DD1F63">
              <w:rPr>
                <w:rFonts w:ascii="Times New Roman" w:hAnsi="Times New Roman" w:cs="Times New Roman"/>
                <w:sz w:val="21"/>
                <w:szCs w:val="21"/>
                <w:vertAlign w:val="superscript"/>
              </w:rPr>
              <w:t>a</w:t>
            </w:r>
          </w:p>
        </w:tc>
      </w:tr>
      <w:tr w:rsidR="005E590D" w:rsidRPr="00DD1F63" w14:paraId="7AA11E3E" w14:textId="77777777" w:rsidTr="009341FF">
        <w:tc>
          <w:tcPr>
            <w:tcW w:w="4531" w:type="dxa"/>
          </w:tcPr>
          <w:p w14:paraId="114CA1CC" w14:textId="775219F0" w:rsidR="005E590D" w:rsidRPr="00DD1F63" w:rsidRDefault="005E590D" w:rsidP="00377A09">
            <w:pPr>
              <w:spacing w:after="0" w:line="240" w:lineRule="auto"/>
              <w:ind w:left="0" w:right="375"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mNAPSI</w:t>
            </w:r>
            <w:proofErr w:type="spellEnd"/>
            <w:r w:rsidRPr="00DD1F63">
              <w:rPr>
                <w:rFonts w:ascii="Times New Roman" w:hAnsi="Times New Roman" w:cs="Times New Roman"/>
                <w:sz w:val="21"/>
                <w:szCs w:val="21"/>
              </w:rPr>
              <w:t xml:space="preserve"> = 0 (%) </w:t>
            </w:r>
          </w:p>
        </w:tc>
        <w:tc>
          <w:tcPr>
            <w:tcW w:w="1417" w:type="dxa"/>
            <w:vAlign w:val="center"/>
          </w:tcPr>
          <w:p w14:paraId="43E7CDD3" w14:textId="2898AD70"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0</w:t>
            </w:r>
          </w:p>
        </w:tc>
        <w:tc>
          <w:tcPr>
            <w:tcW w:w="3021" w:type="dxa"/>
            <w:vAlign w:val="center"/>
          </w:tcPr>
          <w:p w14:paraId="2ECFF2C4" w14:textId="04425864"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6.6</w:t>
            </w:r>
            <w:r w:rsidRPr="00DD1F63">
              <w:rPr>
                <w:rFonts w:ascii="Times New Roman" w:hAnsi="Times New Roman" w:cs="Times New Roman"/>
                <w:sz w:val="21"/>
                <w:szCs w:val="21"/>
                <w:vertAlign w:val="superscript"/>
              </w:rPr>
              <w:t>b</w:t>
            </w:r>
          </w:p>
        </w:tc>
      </w:tr>
      <w:tr w:rsidR="005E590D" w:rsidRPr="00DD1F63" w14:paraId="4524BC98" w14:textId="77777777" w:rsidTr="009341FF">
        <w:tc>
          <w:tcPr>
            <w:tcW w:w="4531" w:type="dxa"/>
          </w:tcPr>
          <w:p w14:paraId="5AD73DC4" w14:textId="793A2805" w:rsidR="005E590D" w:rsidRPr="00DD1F63" w:rsidRDefault="005E590D" w:rsidP="00377A09">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Change in Nail Pain Numeric Rating Scale </w:t>
            </w:r>
          </w:p>
        </w:tc>
        <w:tc>
          <w:tcPr>
            <w:tcW w:w="1417" w:type="dxa"/>
            <w:vAlign w:val="center"/>
          </w:tcPr>
          <w:p w14:paraId="0E696A36" w14:textId="0045985F"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-1.1</w:t>
            </w:r>
          </w:p>
        </w:tc>
        <w:tc>
          <w:tcPr>
            <w:tcW w:w="3021" w:type="dxa"/>
            <w:vAlign w:val="center"/>
          </w:tcPr>
          <w:p w14:paraId="7D1C6391" w14:textId="08F33627"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-3.7</w:t>
            </w:r>
            <w:r w:rsidRPr="00DD1F63">
              <w:rPr>
                <w:rFonts w:ascii="Times New Roman" w:hAnsi="Times New Roman" w:cs="Times New Roman"/>
                <w:sz w:val="21"/>
                <w:szCs w:val="21"/>
                <w:vertAlign w:val="superscript"/>
              </w:rPr>
              <w:t>a</w:t>
            </w:r>
          </w:p>
        </w:tc>
      </w:tr>
      <w:tr w:rsidR="005E590D" w:rsidRPr="00DD1F63" w14:paraId="211BA953" w14:textId="77777777" w:rsidTr="009341FF">
        <w:tc>
          <w:tcPr>
            <w:tcW w:w="4531" w:type="dxa"/>
          </w:tcPr>
          <w:p w14:paraId="7EDFD0D3" w14:textId="1BA18F70" w:rsidR="005E590D" w:rsidRPr="00DD1F63" w:rsidRDefault="005E590D" w:rsidP="00377A09">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Change in Nail Psoriasis Physical Functioning Severity score</w:t>
            </w:r>
          </w:p>
        </w:tc>
        <w:tc>
          <w:tcPr>
            <w:tcW w:w="1417" w:type="dxa"/>
            <w:vAlign w:val="center"/>
          </w:tcPr>
          <w:p w14:paraId="6B5B1BF8" w14:textId="5312FAC6"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-0.8</w:t>
            </w:r>
          </w:p>
        </w:tc>
        <w:tc>
          <w:tcPr>
            <w:tcW w:w="3021" w:type="dxa"/>
            <w:vAlign w:val="center"/>
          </w:tcPr>
          <w:p w14:paraId="214CF9E6" w14:textId="30EF3B5C"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-3.7</w:t>
            </w:r>
            <w:r w:rsidRPr="00DD1F63">
              <w:rPr>
                <w:rFonts w:ascii="Times New Roman" w:hAnsi="Times New Roman" w:cs="Times New Roman"/>
                <w:sz w:val="21"/>
                <w:szCs w:val="21"/>
                <w:vertAlign w:val="superscript"/>
              </w:rPr>
              <w:t>a</w:t>
            </w:r>
          </w:p>
        </w:tc>
      </w:tr>
      <w:tr w:rsidR="005E590D" w:rsidRPr="00DD1F63" w14:paraId="0D7A84EF" w14:textId="77777777" w:rsidTr="009341FF">
        <w:tc>
          <w:tcPr>
            <w:tcW w:w="4531" w:type="dxa"/>
          </w:tcPr>
          <w:p w14:paraId="19F699F4" w14:textId="0F001B0B" w:rsidR="005E590D" w:rsidRPr="00DD1F63" w:rsidRDefault="005E590D" w:rsidP="00377A09">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PGA-F clear/minimal and ≥2-grade improvement (%)</w:t>
            </w:r>
          </w:p>
        </w:tc>
        <w:tc>
          <w:tcPr>
            <w:tcW w:w="1417" w:type="dxa"/>
            <w:vAlign w:val="center"/>
          </w:tcPr>
          <w:p w14:paraId="247CF79D" w14:textId="7BB99A67"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6.9</w:t>
            </w:r>
          </w:p>
        </w:tc>
        <w:tc>
          <w:tcPr>
            <w:tcW w:w="3021" w:type="dxa"/>
            <w:vAlign w:val="center"/>
          </w:tcPr>
          <w:p w14:paraId="693410EF" w14:textId="74BAD43D"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48.9</w:t>
            </w:r>
            <w:r w:rsidRPr="00DD1F63">
              <w:rPr>
                <w:rFonts w:ascii="Times New Roman" w:hAnsi="Times New Roman" w:cs="Times New Roman"/>
                <w:sz w:val="21"/>
                <w:szCs w:val="21"/>
                <w:vertAlign w:val="superscript"/>
              </w:rPr>
              <w:t>a</w:t>
            </w:r>
          </w:p>
        </w:tc>
      </w:tr>
      <w:tr w:rsidR="005E590D" w:rsidRPr="00DD1F63" w14:paraId="1BC2C18F" w14:textId="77777777" w:rsidTr="009341FF">
        <w:tc>
          <w:tcPr>
            <w:tcW w:w="4531" w:type="dxa"/>
          </w:tcPr>
          <w:p w14:paraId="7F891B14" w14:textId="2008844C" w:rsidR="005E590D" w:rsidRPr="00DD1F63" w:rsidRDefault="005E590D" w:rsidP="00377A09">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B-SNIPI 50 Scalp (%)</w:t>
            </w:r>
          </w:p>
        </w:tc>
        <w:tc>
          <w:tcPr>
            <w:tcW w:w="1417" w:type="dxa"/>
            <w:vAlign w:val="center"/>
          </w:tcPr>
          <w:p w14:paraId="679A86A2" w14:textId="75712E23"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N=12</w:t>
            </w:r>
          </w:p>
          <w:p w14:paraId="49E0CB52" w14:textId="2E2BD74F"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0.4</w:t>
            </w:r>
          </w:p>
        </w:tc>
        <w:tc>
          <w:tcPr>
            <w:tcW w:w="3021" w:type="dxa"/>
            <w:vAlign w:val="center"/>
          </w:tcPr>
          <w:p w14:paraId="2A415491" w14:textId="1203F73C" w:rsidR="005E590D" w:rsidRPr="00DD1F63" w:rsidRDefault="005E590D"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N=18</w:t>
            </w:r>
          </w:p>
          <w:p w14:paraId="4FE4E8C6" w14:textId="275613A5" w:rsidR="005E590D" w:rsidRPr="00DD1F63" w:rsidRDefault="005E590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58.3</w:t>
            </w:r>
            <w:r w:rsidRPr="00DD1F63">
              <w:rPr>
                <w:rFonts w:ascii="Times New Roman" w:hAnsi="Times New Roman" w:cs="Times New Roman"/>
                <w:sz w:val="21"/>
                <w:szCs w:val="21"/>
                <w:vertAlign w:val="superscript"/>
              </w:rPr>
              <w:t>b</w:t>
            </w:r>
          </w:p>
        </w:tc>
      </w:tr>
      <w:tr w:rsidR="005E590D" w:rsidRPr="00DD1F63" w14:paraId="5922D803" w14:textId="77777777" w:rsidTr="009341FF">
        <w:tc>
          <w:tcPr>
            <w:tcW w:w="8969" w:type="dxa"/>
            <w:gridSpan w:val="3"/>
          </w:tcPr>
          <w:p w14:paraId="6370E15C" w14:textId="1F692822" w:rsidR="005E590D" w:rsidRPr="00DD1F63" w:rsidRDefault="005E590D" w:rsidP="00377A09">
            <w:pPr>
              <w:spacing w:after="0" w:line="240" w:lineRule="auto"/>
              <w:jc w:val="left"/>
              <w:rPr>
                <w:rFonts w:ascii="Times New Roman" w:hAnsi="Times New Roman" w:cs="Times New Roman"/>
                <w:szCs w:val="20"/>
              </w:rPr>
            </w:pPr>
            <w:r w:rsidRPr="00DD1F63">
              <w:rPr>
                <w:rFonts w:ascii="Times New Roman" w:hAnsi="Times New Roman" w:cs="Times New Roman"/>
                <w:sz w:val="21"/>
                <w:szCs w:val="21"/>
              </w:rPr>
              <w:tab/>
            </w: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p&lt;0.001, </w:t>
            </w:r>
            <w:r w:rsidR="00905933" w:rsidRPr="00DD1F63">
              <w:rPr>
                <w:rFonts w:ascii="Times New Roman" w:hAnsi="Times New Roman" w:cs="Times New Roman"/>
                <w:szCs w:val="20"/>
              </w:rPr>
              <w:t>adalimumab</w:t>
            </w:r>
            <w:r w:rsidRPr="00DD1F63">
              <w:rPr>
                <w:rFonts w:ascii="Times New Roman" w:hAnsi="Times New Roman" w:cs="Times New Roman"/>
                <w:szCs w:val="20"/>
              </w:rPr>
              <w:t xml:space="preserve"> </w:t>
            </w:r>
            <w:r w:rsidRPr="00DD1F63">
              <w:rPr>
                <w:rFonts w:ascii="Times New Roman" w:hAnsi="Times New Roman" w:cs="Times New Roman"/>
                <w:i/>
                <w:szCs w:val="20"/>
              </w:rPr>
              <w:t>vs.</w:t>
            </w:r>
            <w:r w:rsidRPr="00DD1F63">
              <w:rPr>
                <w:rFonts w:ascii="Times New Roman" w:hAnsi="Times New Roman" w:cs="Times New Roman"/>
                <w:szCs w:val="20"/>
              </w:rPr>
              <w:t xml:space="preserve"> placebo </w:t>
            </w:r>
          </w:p>
          <w:p w14:paraId="7C826CC5" w14:textId="203561C4" w:rsidR="005E590D" w:rsidRPr="00DD1F63" w:rsidRDefault="005E590D" w:rsidP="00377A09">
            <w:pPr>
              <w:spacing w:after="0" w:line="240" w:lineRule="auto"/>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p&lt;0.05, </w:t>
            </w:r>
            <w:r w:rsidR="00905933" w:rsidRPr="00DD1F63">
              <w:rPr>
                <w:rFonts w:ascii="Times New Roman" w:hAnsi="Times New Roman" w:cs="Times New Roman"/>
                <w:szCs w:val="20"/>
              </w:rPr>
              <w:t>adalimumab</w:t>
            </w:r>
            <w:r w:rsidRPr="00DD1F63">
              <w:rPr>
                <w:rFonts w:ascii="Times New Roman" w:hAnsi="Times New Roman" w:cs="Times New Roman"/>
                <w:szCs w:val="20"/>
              </w:rPr>
              <w:t xml:space="preserve"> </w:t>
            </w:r>
            <w:r w:rsidRPr="00DD1F63">
              <w:rPr>
                <w:rFonts w:ascii="Times New Roman" w:hAnsi="Times New Roman" w:cs="Times New Roman"/>
                <w:i/>
                <w:szCs w:val="20"/>
              </w:rPr>
              <w:t>vs.</w:t>
            </w:r>
            <w:r w:rsidRPr="00DD1F63">
              <w:rPr>
                <w:rFonts w:ascii="Times New Roman" w:hAnsi="Times New Roman" w:cs="Times New Roman"/>
                <w:szCs w:val="20"/>
              </w:rPr>
              <w:t xml:space="preserve"> placebo </w:t>
            </w:r>
          </w:p>
          <w:p w14:paraId="3293C66A" w14:textId="0B043C9F" w:rsidR="005E590D" w:rsidRPr="00DD1F63" w:rsidRDefault="005E590D" w:rsidP="00377A09">
            <w:pPr>
              <w:spacing w:after="0" w:line="240" w:lineRule="auto"/>
              <w:jc w:val="left"/>
              <w:rPr>
                <w:rFonts w:ascii="Times New Roman" w:hAnsi="Times New Roman" w:cs="Times New Roman"/>
                <w:szCs w:val="20"/>
              </w:rPr>
            </w:pPr>
            <w:r w:rsidRPr="00DD1F63">
              <w:rPr>
                <w:rFonts w:ascii="Times New Roman" w:hAnsi="Times New Roman" w:cs="Times New Roman"/>
                <w:szCs w:val="20"/>
              </w:rPr>
              <w:t xml:space="preserve">B-SNIPI 50: At least a 50% reduction in scalp component of Brigham Scalp Nail Inverse </w:t>
            </w:r>
            <w:proofErr w:type="spellStart"/>
            <w:r w:rsidRPr="00DD1F63">
              <w:rPr>
                <w:rFonts w:ascii="Times New Roman" w:hAnsi="Times New Roman" w:cs="Times New Roman"/>
                <w:szCs w:val="20"/>
              </w:rPr>
              <w:t>Palmo</w:t>
            </w:r>
            <w:proofErr w:type="spellEnd"/>
            <w:r w:rsidRPr="00DD1F63">
              <w:rPr>
                <w:rFonts w:ascii="Times New Roman" w:hAnsi="Times New Roman" w:cs="Times New Roman"/>
                <w:szCs w:val="20"/>
              </w:rPr>
              <w:t xml:space="preserve">-Plantar Psoriasis index </w:t>
            </w:r>
          </w:p>
          <w:p w14:paraId="237BA2D7" w14:textId="3C965E7A" w:rsidR="005E590D" w:rsidRPr="00DD1F63" w:rsidRDefault="005E590D" w:rsidP="00377A09">
            <w:pPr>
              <w:tabs>
                <w:tab w:val="left" w:pos="2528"/>
              </w:tabs>
              <w:spacing w:after="0" w:line="240" w:lineRule="auto"/>
              <w:jc w:val="left"/>
              <w:rPr>
                <w:rFonts w:ascii="Times New Roman" w:hAnsi="Times New Roman" w:cs="Times New Roman"/>
                <w:sz w:val="21"/>
                <w:szCs w:val="21"/>
              </w:rPr>
            </w:pPr>
            <w:r w:rsidRPr="00DD1F63">
              <w:rPr>
                <w:rFonts w:ascii="Times New Roman" w:hAnsi="Times New Roman" w:cs="Times New Roman"/>
                <w:szCs w:val="20"/>
              </w:rPr>
              <w:t>(B-SNIPI) among subjects with Baseline scalp score of 6 or greater).</w:t>
            </w:r>
            <w:r w:rsidRPr="00DD1F63">
              <w:rPr>
                <w:rFonts w:ascii="Times New Roman" w:hAnsi="Times New Roman" w:cs="Times New Roman"/>
                <w:sz w:val="21"/>
                <w:szCs w:val="21"/>
              </w:rPr>
              <w:t xml:space="preserve"> </w:t>
            </w:r>
          </w:p>
        </w:tc>
      </w:tr>
    </w:tbl>
    <w:p w14:paraId="6F7BAA7F" w14:textId="77777777" w:rsidR="006B7C8E" w:rsidRPr="00DD1F63" w:rsidRDefault="00CA72FF"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 xml:space="preserve"> </w:t>
      </w:r>
    </w:p>
    <w:p w14:paraId="7648C910" w14:textId="3AF465A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those who continued to receive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treatment until Week 52, 65.0% achieved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75 response and 61.3% achieved PGA-F response. </w:t>
      </w:r>
    </w:p>
    <w:p w14:paraId="3C7B7637" w14:textId="77777777" w:rsidR="00586A9C" w:rsidRPr="00DD1F63" w:rsidRDefault="00586A9C" w:rsidP="00377A09">
      <w:pPr>
        <w:spacing w:after="0" w:line="240" w:lineRule="auto"/>
        <w:ind w:left="426" w:right="375"/>
        <w:jc w:val="left"/>
        <w:rPr>
          <w:rFonts w:ascii="Times New Roman" w:hAnsi="Times New Roman" w:cs="Times New Roman"/>
          <w:sz w:val="22"/>
        </w:rPr>
      </w:pPr>
    </w:p>
    <w:p w14:paraId="4169DE28" w14:textId="4CEBD1FD" w:rsidR="00586A9C"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percent improvement in NAPSI was also statistically significantly greater in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patients compared with placebo at Week 16 (44.2% vs 7.8%).</w:t>
      </w:r>
    </w:p>
    <w:p w14:paraId="61565FA0" w14:textId="6772FD3C"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99F5DDB" w14:textId="0DE3C475" w:rsidR="006B7C8E" w:rsidRPr="00DD1F63" w:rsidRDefault="00CA72FF" w:rsidP="00377A09">
      <w:pPr>
        <w:pStyle w:val="Heading4"/>
        <w:spacing w:after="0" w:line="240" w:lineRule="auto"/>
        <w:ind w:left="426"/>
        <w:rPr>
          <w:rFonts w:ascii="Times New Roman" w:hAnsi="Times New Roman" w:cs="Times New Roman"/>
          <w:bCs/>
          <w:i/>
          <w:iCs/>
          <w:u w:val="none"/>
        </w:rPr>
      </w:pPr>
      <w:r w:rsidRPr="00DD1F63">
        <w:rPr>
          <w:rFonts w:ascii="Times New Roman" w:hAnsi="Times New Roman" w:cs="Times New Roman"/>
          <w:bCs/>
          <w:i/>
          <w:iCs/>
          <w:u w:val="none"/>
        </w:rPr>
        <w:t xml:space="preserve">Quality of </w:t>
      </w:r>
      <w:r w:rsidR="00905933" w:rsidRPr="00DD1F63">
        <w:rPr>
          <w:rFonts w:ascii="Times New Roman" w:hAnsi="Times New Roman" w:cs="Times New Roman"/>
          <w:bCs/>
          <w:i/>
          <w:iCs/>
          <w:u w:val="none"/>
        </w:rPr>
        <w:t>l</w:t>
      </w:r>
      <w:r w:rsidRPr="00DD1F63">
        <w:rPr>
          <w:rFonts w:ascii="Times New Roman" w:hAnsi="Times New Roman" w:cs="Times New Roman"/>
          <w:bCs/>
          <w:i/>
          <w:iCs/>
          <w:u w:val="none"/>
        </w:rPr>
        <w:t xml:space="preserve">ife </w:t>
      </w:r>
    </w:p>
    <w:p w14:paraId="66111CC6" w14:textId="77777777" w:rsidR="00586A9C" w:rsidRPr="00DD1F63" w:rsidRDefault="00586A9C" w:rsidP="00377A09">
      <w:pPr>
        <w:spacing w:after="0" w:line="240" w:lineRule="auto"/>
        <w:ind w:left="426" w:hanging="11"/>
        <w:jc w:val="left"/>
        <w:rPr>
          <w:sz w:val="22"/>
        </w:rPr>
      </w:pPr>
    </w:p>
    <w:p w14:paraId="01E08782" w14:textId="40AEDCD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 Reported Outcomes (PRO) were evaluated by several measures. Quality of Life was assessed using the disease-specific Dermatology Life Quality Index (DLQI) in Ps Study I and Ps Study II. In Ps Study I, patients receiving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demonstrated clinically meaningful improvement in the DLQI total score, disease severity, pain, and pruritus compared to the placebo group at both Weeks 4 and 16. The DLQI result was maintained at Week 52. In Ps Study II, patients receiving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demonstrated clinically meaningful improvement in the DLQI total score, disease severity, and pruritus compared to the placebo and methotrexate groups at Week 16, and clinically meaningful improvement in pain compared to the placebo group at Week 16. </w:t>
      </w:r>
    </w:p>
    <w:p w14:paraId="256DB848" w14:textId="77777777" w:rsidR="008A5540" w:rsidRPr="00DD1F63" w:rsidRDefault="008A5540" w:rsidP="00377A09">
      <w:pPr>
        <w:spacing w:after="0" w:line="240" w:lineRule="auto"/>
        <w:ind w:left="426" w:right="375"/>
        <w:jc w:val="left"/>
        <w:rPr>
          <w:rFonts w:ascii="Times New Roman" w:hAnsi="Times New Roman" w:cs="Times New Roman"/>
          <w:sz w:val="22"/>
        </w:rPr>
      </w:pPr>
    </w:p>
    <w:p w14:paraId="1DBB3DC0" w14:textId="0F5C14AE" w:rsidR="006B7C8E" w:rsidRPr="00DD1F63" w:rsidRDefault="00CA72FF" w:rsidP="00377A09">
      <w:pPr>
        <w:spacing w:after="0" w:line="240" w:lineRule="auto"/>
        <w:ind w:left="426" w:right="49"/>
        <w:jc w:val="left"/>
        <w:rPr>
          <w:rFonts w:ascii="Times New Roman" w:hAnsi="Times New Roman" w:cs="Times New Roman"/>
          <w:b/>
          <w:sz w:val="22"/>
        </w:rPr>
      </w:pPr>
      <w:r w:rsidRPr="00DD1F63">
        <w:rPr>
          <w:rFonts w:ascii="Times New Roman" w:hAnsi="Times New Roman" w:cs="Times New Roman"/>
          <w:sz w:val="22"/>
        </w:rPr>
        <w:t xml:space="preserve">The Short Form Health Survey (SF-36) was used to assess general health-related quality of life in Ps Study I. The </w:t>
      </w:r>
      <w:r w:rsidR="00905933" w:rsidRPr="00DD1F63">
        <w:rPr>
          <w:rFonts w:ascii="Times New Roman" w:hAnsi="Times New Roman" w:cs="Times New Roman"/>
          <w:sz w:val="22"/>
        </w:rPr>
        <w:t>adalimumab</w:t>
      </w:r>
      <w:r w:rsidRPr="00DD1F63">
        <w:rPr>
          <w:rFonts w:ascii="Times New Roman" w:hAnsi="Times New Roman" w:cs="Times New Roman"/>
          <w:sz w:val="22"/>
        </w:rPr>
        <w:t>-treated patients had significantly greater improvement in the SF-36 Physical Component Summary (PCS) and Mental Component Summary (MCS) scores.</w:t>
      </w:r>
      <w:r w:rsidRPr="00DD1F63">
        <w:rPr>
          <w:rFonts w:ascii="Times New Roman" w:hAnsi="Times New Roman" w:cs="Times New Roman"/>
          <w:b/>
          <w:sz w:val="22"/>
        </w:rPr>
        <w:t xml:space="preserve"> </w:t>
      </w:r>
    </w:p>
    <w:p w14:paraId="1CBA2832" w14:textId="77777777" w:rsidR="008A5540" w:rsidRPr="00DD1F63" w:rsidRDefault="008A5540" w:rsidP="00377A09">
      <w:pPr>
        <w:spacing w:after="0" w:line="240" w:lineRule="auto"/>
        <w:ind w:left="426" w:right="375"/>
        <w:jc w:val="left"/>
        <w:rPr>
          <w:rFonts w:ascii="Times New Roman" w:hAnsi="Times New Roman" w:cs="Times New Roman"/>
          <w:sz w:val="22"/>
        </w:rPr>
      </w:pPr>
    </w:p>
    <w:p w14:paraId="49DC72EF" w14:textId="5A921D7E" w:rsidR="008A5540"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Ps Study IV, patients receiving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showed clinically meaningful improvements at Week 26 from baseline compared with placebo in the DLQI.</w:t>
      </w:r>
    </w:p>
    <w:p w14:paraId="333CB915" w14:textId="2CA4D06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sz w:val="22"/>
        </w:rPr>
        <w:t xml:space="preserve"> </w:t>
      </w:r>
    </w:p>
    <w:p w14:paraId="3B952C4D" w14:textId="32825326" w:rsidR="006B7C8E" w:rsidRPr="00DD1F63" w:rsidRDefault="00CA72FF" w:rsidP="00377A09">
      <w:pPr>
        <w:pStyle w:val="Heading5"/>
        <w:spacing w:line="240" w:lineRule="auto"/>
        <w:ind w:left="426" w:right="366"/>
        <w:jc w:val="left"/>
        <w:rPr>
          <w:rFonts w:ascii="Times New Roman" w:hAnsi="Times New Roman" w:cs="Times New Roman"/>
          <w:b w:val="0"/>
          <w:bCs/>
          <w:i/>
          <w:iCs/>
          <w:sz w:val="22"/>
          <w:u w:val="single"/>
        </w:rPr>
      </w:pPr>
      <w:r w:rsidRPr="00DD1F63">
        <w:rPr>
          <w:rFonts w:ascii="Times New Roman" w:hAnsi="Times New Roman" w:cs="Times New Roman"/>
          <w:b w:val="0"/>
          <w:bCs/>
          <w:i/>
          <w:iCs/>
          <w:sz w:val="22"/>
          <w:u w:val="single"/>
        </w:rPr>
        <w:lastRenderedPageBreak/>
        <w:t xml:space="preserve">Children and </w:t>
      </w:r>
      <w:r w:rsidR="00905933" w:rsidRPr="00DD1F63">
        <w:rPr>
          <w:rFonts w:ascii="Times New Roman" w:hAnsi="Times New Roman" w:cs="Times New Roman"/>
          <w:b w:val="0"/>
          <w:bCs/>
          <w:i/>
          <w:iCs/>
          <w:sz w:val="22"/>
          <w:u w:val="single"/>
        </w:rPr>
        <w:t>a</w:t>
      </w:r>
      <w:r w:rsidRPr="00DD1F63">
        <w:rPr>
          <w:rFonts w:ascii="Times New Roman" w:hAnsi="Times New Roman" w:cs="Times New Roman"/>
          <w:b w:val="0"/>
          <w:bCs/>
          <w:i/>
          <w:iCs/>
          <w:sz w:val="22"/>
          <w:u w:val="single"/>
        </w:rPr>
        <w:t xml:space="preserve">dolescents </w:t>
      </w:r>
    </w:p>
    <w:p w14:paraId="03383973" w14:textId="77777777" w:rsidR="008A5540" w:rsidRPr="00DD1F63" w:rsidRDefault="008A5540" w:rsidP="00377A09">
      <w:pPr>
        <w:spacing w:after="0" w:line="240" w:lineRule="auto"/>
        <w:ind w:left="426" w:hanging="11"/>
        <w:jc w:val="left"/>
        <w:rPr>
          <w:sz w:val="22"/>
        </w:rPr>
      </w:pPr>
    </w:p>
    <w:p w14:paraId="4F444102" w14:textId="4CBCB39E"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efficacy of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was assessed in a randomised, double-blind, controlled study of 114 paediatric patients from 4 years of age with severe chronic plaque psoriasis (as defined by a PGA ≥ 4 or &gt; 20% BSA involvement or &gt; 10% BSA involvement with very thick lesions or PASI ≥ 20 or ≥ 10 with clinically relevant facial, genital, or hand/ foot involvement) who were inadequately controlled with topical therapy and heliotherapy or phototherapy. </w:t>
      </w:r>
    </w:p>
    <w:p w14:paraId="35EF2598" w14:textId="77777777" w:rsidR="00077772" w:rsidRPr="00DD1F63" w:rsidRDefault="00077772" w:rsidP="00377A09">
      <w:pPr>
        <w:spacing w:after="0" w:line="240" w:lineRule="auto"/>
        <w:ind w:left="426" w:right="375"/>
        <w:jc w:val="left"/>
        <w:rPr>
          <w:rFonts w:ascii="Times New Roman" w:hAnsi="Times New Roman" w:cs="Times New Roman"/>
          <w:sz w:val="22"/>
        </w:rPr>
      </w:pPr>
    </w:p>
    <w:p w14:paraId="05C4B973" w14:textId="018F0202"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Patients received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0.8 mg/kg fortnightly (up to 40 mg), 0.4 mg/kg fortnightly (up to 20 mg), or methotrexate 0.1 – 0.4 mg/kg weekly (up to 25 mg). At week 16, more patients randomised to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0.8 mg/kg had positive efficacy responses (e.g., PASI 75) than those randomised to MTX. </w:t>
      </w:r>
    </w:p>
    <w:p w14:paraId="673D60C7" w14:textId="77777777" w:rsidR="008A5540" w:rsidRPr="00DD1F63" w:rsidRDefault="008A5540" w:rsidP="00377A09">
      <w:pPr>
        <w:spacing w:after="0" w:line="240" w:lineRule="auto"/>
        <w:ind w:left="426" w:right="375"/>
        <w:jc w:val="left"/>
        <w:rPr>
          <w:rFonts w:ascii="Times New Roman" w:hAnsi="Times New Roman" w:cs="Times New Roman"/>
        </w:rPr>
      </w:pPr>
    </w:p>
    <w:tbl>
      <w:tblPr>
        <w:tblStyle w:val="TableGrid1"/>
        <w:tblW w:w="8148" w:type="dxa"/>
        <w:tblInd w:w="494" w:type="dxa"/>
        <w:tblCellMar>
          <w:left w:w="57" w:type="dxa"/>
          <w:right w:w="57" w:type="dxa"/>
        </w:tblCellMar>
        <w:tblLook w:val="04A0" w:firstRow="1" w:lastRow="0" w:firstColumn="1" w:lastColumn="0" w:noHBand="0" w:noVBand="1"/>
      </w:tblPr>
      <w:tblGrid>
        <w:gridCol w:w="2762"/>
        <w:gridCol w:w="2126"/>
        <w:gridCol w:w="3260"/>
      </w:tblGrid>
      <w:tr w:rsidR="006B7C8E" w:rsidRPr="00DD1F63" w14:paraId="3288D721" w14:textId="77777777" w:rsidTr="00077772">
        <w:trPr>
          <w:trHeight w:val="48"/>
        </w:trPr>
        <w:tc>
          <w:tcPr>
            <w:tcW w:w="8148" w:type="dxa"/>
            <w:gridSpan w:val="3"/>
            <w:tcBorders>
              <w:top w:val="single" w:sz="4" w:space="0" w:color="000000"/>
              <w:left w:val="single" w:sz="4" w:space="0" w:color="000000"/>
              <w:bottom w:val="single" w:sz="6" w:space="0" w:color="000000"/>
              <w:right w:val="single" w:sz="4" w:space="0" w:color="000000"/>
            </w:tcBorders>
          </w:tcPr>
          <w:p w14:paraId="670B2B4B" w14:textId="2702B060"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2</w:t>
            </w:r>
            <w:r w:rsidR="00BD4FF7" w:rsidRPr="00DD1F63">
              <w:rPr>
                <w:rFonts w:ascii="Times New Roman" w:hAnsi="Times New Roman" w:cs="Times New Roman"/>
                <w:b/>
                <w:sz w:val="21"/>
                <w:szCs w:val="21"/>
              </w:rPr>
              <w:t>8</w:t>
            </w:r>
            <w:r w:rsidRPr="00DD1F63">
              <w:rPr>
                <w:rFonts w:ascii="Times New Roman" w:hAnsi="Times New Roman" w:cs="Times New Roman"/>
                <w:b/>
                <w:sz w:val="21"/>
                <w:szCs w:val="21"/>
              </w:rPr>
              <w:t>:</w:t>
            </w:r>
            <w:r w:rsidRPr="00DD1F63">
              <w:rPr>
                <w:rFonts w:ascii="Times New Roman" w:hAnsi="Times New Roman" w:cs="Times New Roman"/>
                <w:sz w:val="21"/>
                <w:szCs w:val="21"/>
              </w:rPr>
              <w:t xml:space="preserve"> </w:t>
            </w:r>
            <w:r w:rsidRPr="00DD1F63">
              <w:rPr>
                <w:rFonts w:ascii="Times New Roman" w:hAnsi="Times New Roman" w:cs="Times New Roman"/>
                <w:b/>
                <w:sz w:val="21"/>
                <w:szCs w:val="21"/>
              </w:rPr>
              <w:t xml:space="preserve">Paediatric </w:t>
            </w:r>
            <w:r w:rsidR="00905933"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laque </w:t>
            </w:r>
            <w:r w:rsidR="00905933"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soriasis </w:t>
            </w:r>
            <w:r w:rsidR="00905933" w:rsidRPr="00DD1F63">
              <w:rPr>
                <w:rFonts w:ascii="Times New Roman" w:hAnsi="Times New Roman" w:cs="Times New Roman"/>
                <w:b/>
                <w:sz w:val="21"/>
                <w:szCs w:val="21"/>
              </w:rPr>
              <w:t>e</w:t>
            </w:r>
            <w:r w:rsidRPr="00DD1F63">
              <w:rPr>
                <w:rFonts w:ascii="Times New Roman" w:hAnsi="Times New Roman" w:cs="Times New Roman"/>
                <w:b/>
                <w:sz w:val="21"/>
                <w:szCs w:val="21"/>
              </w:rPr>
              <w:t xml:space="preserve">fficacy </w:t>
            </w:r>
            <w:r w:rsidR="00905933"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esults at 16 </w:t>
            </w:r>
            <w:r w:rsidR="00905933" w:rsidRPr="00DD1F63">
              <w:rPr>
                <w:rFonts w:ascii="Times New Roman" w:hAnsi="Times New Roman" w:cs="Times New Roman"/>
                <w:b/>
                <w:sz w:val="21"/>
                <w:szCs w:val="21"/>
              </w:rPr>
              <w:t>w</w:t>
            </w:r>
            <w:r w:rsidRPr="00DD1F63">
              <w:rPr>
                <w:rFonts w:ascii="Times New Roman" w:hAnsi="Times New Roman" w:cs="Times New Roman"/>
                <w:b/>
                <w:sz w:val="21"/>
                <w:szCs w:val="21"/>
              </w:rPr>
              <w:t xml:space="preserve">eeks </w:t>
            </w:r>
          </w:p>
        </w:tc>
      </w:tr>
      <w:tr w:rsidR="006B7C8E" w:rsidRPr="00DD1F63" w14:paraId="574BB482" w14:textId="77777777" w:rsidTr="00077772">
        <w:trPr>
          <w:trHeight w:val="43"/>
        </w:trPr>
        <w:tc>
          <w:tcPr>
            <w:tcW w:w="2762" w:type="dxa"/>
            <w:tcBorders>
              <w:top w:val="single" w:sz="6" w:space="0" w:color="000000"/>
              <w:left w:val="single" w:sz="4" w:space="0" w:color="000000"/>
              <w:bottom w:val="single" w:sz="6" w:space="0" w:color="000000"/>
              <w:right w:val="single" w:sz="6" w:space="0" w:color="000000"/>
            </w:tcBorders>
            <w:vAlign w:val="center"/>
          </w:tcPr>
          <w:p w14:paraId="46B1E2A2" w14:textId="7777777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7E4FED90" w14:textId="3281FB22" w:rsidR="00175CAA" w:rsidRPr="00DD1F63" w:rsidRDefault="00CA72FF" w:rsidP="00377A09">
            <w:pPr>
              <w:spacing w:after="0" w:line="240" w:lineRule="auto"/>
              <w:jc w:val="left"/>
              <w:rPr>
                <w:rFonts w:ascii="Times New Roman" w:hAnsi="Times New Roman" w:cs="Times New Roman"/>
                <w:b/>
                <w:sz w:val="21"/>
                <w:szCs w:val="21"/>
              </w:rPr>
            </w:pPr>
            <w:proofErr w:type="spellStart"/>
            <w:r w:rsidRPr="00DD1F63">
              <w:rPr>
                <w:rFonts w:ascii="Times New Roman" w:hAnsi="Times New Roman" w:cs="Times New Roman"/>
                <w:b/>
                <w:sz w:val="21"/>
                <w:szCs w:val="21"/>
              </w:rPr>
              <w:t>MTX</w:t>
            </w:r>
            <w:r w:rsidRPr="00DD1F63">
              <w:rPr>
                <w:rFonts w:ascii="Times New Roman" w:hAnsi="Times New Roman" w:cs="Times New Roman"/>
                <w:b/>
                <w:sz w:val="21"/>
                <w:szCs w:val="21"/>
                <w:vertAlign w:val="superscript"/>
              </w:rPr>
              <w:t>a</w:t>
            </w:r>
            <w:proofErr w:type="spellEnd"/>
          </w:p>
          <w:p w14:paraId="6BB22373" w14:textId="3F8C02B2"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N = 37</w:t>
            </w:r>
          </w:p>
        </w:tc>
        <w:tc>
          <w:tcPr>
            <w:tcW w:w="3260" w:type="dxa"/>
            <w:tcBorders>
              <w:top w:val="single" w:sz="6" w:space="0" w:color="000000"/>
              <w:left w:val="single" w:sz="6" w:space="0" w:color="000000"/>
              <w:bottom w:val="single" w:sz="6" w:space="0" w:color="000000"/>
              <w:right w:val="single" w:sz="4" w:space="0" w:color="000000"/>
            </w:tcBorders>
            <w:vAlign w:val="center"/>
          </w:tcPr>
          <w:p w14:paraId="2C06D263" w14:textId="516C0B20" w:rsidR="006B7C8E" w:rsidRPr="00DD1F63" w:rsidRDefault="00905933"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0.8 mg/kg fortnightly</w:t>
            </w:r>
          </w:p>
          <w:p w14:paraId="1CC1F11D" w14:textId="15F86FD9"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N = 38</w:t>
            </w:r>
          </w:p>
        </w:tc>
      </w:tr>
      <w:tr w:rsidR="006B7C8E" w:rsidRPr="00DD1F63" w14:paraId="3A112FA5" w14:textId="77777777" w:rsidTr="00077772">
        <w:trPr>
          <w:trHeight w:val="43"/>
        </w:trPr>
        <w:tc>
          <w:tcPr>
            <w:tcW w:w="2762" w:type="dxa"/>
            <w:tcBorders>
              <w:top w:val="single" w:sz="6" w:space="0" w:color="000000"/>
              <w:left w:val="single" w:sz="4" w:space="0" w:color="000000"/>
              <w:bottom w:val="single" w:sz="6" w:space="0" w:color="000000"/>
              <w:right w:val="single" w:sz="6" w:space="0" w:color="000000"/>
            </w:tcBorders>
          </w:tcPr>
          <w:p w14:paraId="0E58CA4D" w14:textId="7777777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 PASI 75</w:t>
            </w:r>
            <w:r w:rsidRPr="00DD1F63">
              <w:rPr>
                <w:rFonts w:ascii="Times New Roman" w:hAnsi="Times New Roman" w:cs="Times New Roman"/>
                <w:b/>
                <w:sz w:val="21"/>
                <w:szCs w:val="21"/>
                <w:vertAlign w:val="superscript"/>
              </w:rPr>
              <w:t>b</w:t>
            </w:r>
            <w:r w:rsidRPr="00DD1F63">
              <w:rPr>
                <w:rFonts w:ascii="Times New Roman" w:hAnsi="Times New Roman" w:cs="Times New Roman"/>
                <w:b/>
                <w:sz w:val="21"/>
                <w:szCs w:val="21"/>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7F55B519" w14:textId="76E7A72E"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12 (32.4%)</w:t>
            </w:r>
          </w:p>
        </w:tc>
        <w:tc>
          <w:tcPr>
            <w:tcW w:w="3260" w:type="dxa"/>
            <w:tcBorders>
              <w:top w:val="single" w:sz="6" w:space="0" w:color="000000"/>
              <w:left w:val="single" w:sz="6" w:space="0" w:color="000000"/>
              <w:bottom w:val="single" w:sz="6" w:space="0" w:color="000000"/>
              <w:right w:val="single" w:sz="4" w:space="0" w:color="000000"/>
            </w:tcBorders>
            <w:vAlign w:val="center"/>
          </w:tcPr>
          <w:p w14:paraId="16118B14" w14:textId="30057743"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22 (57.9%)</w:t>
            </w:r>
          </w:p>
        </w:tc>
      </w:tr>
      <w:tr w:rsidR="006B7C8E" w:rsidRPr="00DD1F63" w14:paraId="2089CE7C" w14:textId="77777777" w:rsidTr="00077772">
        <w:trPr>
          <w:trHeight w:val="43"/>
        </w:trPr>
        <w:tc>
          <w:tcPr>
            <w:tcW w:w="2762" w:type="dxa"/>
            <w:tcBorders>
              <w:top w:val="single" w:sz="6" w:space="0" w:color="000000"/>
              <w:left w:val="single" w:sz="4" w:space="0" w:color="000000"/>
              <w:bottom w:val="single" w:sz="6" w:space="0" w:color="000000"/>
              <w:right w:val="single" w:sz="6" w:space="0" w:color="000000"/>
            </w:tcBorders>
          </w:tcPr>
          <w:p w14:paraId="405D9B51" w14:textId="77777777"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 PGA: Clear/</w:t>
            </w:r>
            <w:proofErr w:type="spellStart"/>
            <w:r w:rsidRPr="00DD1F63">
              <w:rPr>
                <w:rFonts w:ascii="Times New Roman" w:hAnsi="Times New Roman" w:cs="Times New Roman"/>
                <w:b/>
                <w:sz w:val="21"/>
                <w:szCs w:val="21"/>
              </w:rPr>
              <w:t>minimal</w:t>
            </w:r>
            <w:r w:rsidRPr="00DD1F63">
              <w:rPr>
                <w:rFonts w:ascii="Times New Roman" w:hAnsi="Times New Roman" w:cs="Times New Roman"/>
                <w:b/>
                <w:sz w:val="21"/>
                <w:szCs w:val="21"/>
                <w:vertAlign w:val="superscript"/>
              </w:rPr>
              <w:t>c</w:t>
            </w:r>
            <w:proofErr w:type="spellEnd"/>
            <w:r w:rsidRPr="00DD1F63">
              <w:rPr>
                <w:rFonts w:ascii="Times New Roman" w:hAnsi="Times New Roman" w:cs="Times New Roman"/>
                <w:b/>
                <w:sz w:val="21"/>
                <w:szCs w:val="21"/>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621C4C1D" w14:textId="5CBD2060"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15 (40.5%)</w:t>
            </w:r>
          </w:p>
        </w:tc>
        <w:tc>
          <w:tcPr>
            <w:tcW w:w="3260" w:type="dxa"/>
            <w:tcBorders>
              <w:top w:val="single" w:sz="6" w:space="0" w:color="000000"/>
              <w:left w:val="single" w:sz="6" w:space="0" w:color="000000"/>
              <w:bottom w:val="single" w:sz="6" w:space="0" w:color="000000"/>
              <w:right w:val="single" w:sz="4" w:space="0" w:color="000000"/>
            </w:tcBorders>
            <w:vAlign w:val="center"/>
          </w:tcPr>
          <w:p w14:paraId="72A0DEA1" w14:textId="5E8FF750" w:rsidR="006B7C8E" w:rsidRPr="00DD1F63" w:rsidRDefault="00CA72FF" w:rsidP="00377A09">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23 (60.5%)</w:t>
            </w:r>
          </w:p>
        </w:tc>
      </w:tr>
      <w:tr w:rsidR="006B7C8E" w:rsidRPr="00DD1F63" w14:paraId="195F1F59" w14:textId="77777777" w:rsidTr="00077772">
        <w:trPr>
          <w:trHeight w:val="679"/>
        </w:trPr>
        <w:tc>
          <w:tcPr>
            <w:tcW w:w="8148" w:type="dxa"/>
            <w:gridSpan w:val="3"/>
            <w:tcBorders>
              <w:top w:val="single" w:sz="6" w:space="0" w:color="000000"/>
              <w:left w:val="single" w:sz="4" w:space="0" w:color="000000"/>
              <w:bottom w:val="single" w:sz="4" w:space="0" w:color="000000"/>
              <w:right w:val="single" w:sz="4" w:space="0" w:color="000000"/>
            </w:tcBorders>
          </w:tcPr>
          <w:p w14:paraId="43C2DA10" w14:textId="77777777" w:rsidR="00175CAA" w:rsidRPr="00DD1F63" w:rsidRDefault="00CA72FF" w:rsidP="00377A09">
            <w:pPr>
              <w:tabs>
                <w:tab w:val="left" w:pos="2600"/>
              </w:tabs>
              <w:spacing w:after="0" w:line="240" w:lineRule="auto"/>
              <w:ind w:right="202"/>
              <w:jc w:val="left"/>
              <w:rPr>
                <w:rFonts w:ascii="Times New Roman" w:hAnsi="Times New Roman" w:cs="Times New Roman"/>
                <w:szCs w:val="20"/>
              </w:rPr>
            </w:pPr>
            <w:r w:rsidRPr="00DD1F63">
              <w:rPr>
                <w:rFonts w:ascii="Times New Roman" w:hAnsi="Times New Roman" w:cs="Times New Roman"/>
                <w:szCs w:val="20"/>
                <w:vertAlign w:val="superscript"/>
              </w:rPr>
              <w:t xml:space="preserve">a </w:t>
            </w:r>
            <w:r w:rsidRPr="00DD1F63">
              <w:rPr>
                <w:rFonts w:ascii="Times New Roman" w:hAnsi="Times New Roman" w:cs="Times New Roman"/>
                <w:szCs w:val="20"/>
              </w:rPr>
              <w:t xml:space="preserve">MTX = methotrexate </w:t>
            </w:r>
          </w:p>
          <w:p w14:paraId="65B15F97" w14:textId="38F3988D" w:rsidR="00175CAA" w:rsidRPr="00DD1F63" w:rsidRDefault="00CA72FF" w:rsidP="00377A09">
            <w:pPr>
              <w:tabs>
                <w:tab w:val="left" w:pos="2600"/>
              </w:tabs>
              <w:spacing w:after="0" w:line="240" w:lineRule="auto"/>
              <w:ind w:right="202"/>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p=0.027, </w:t>
            </w:r>
            <w:r w:rsidR="00905933" w:rsidRPr="00DD1F63">
              <w:rPr>
                <w:rFonts w:ascii="Times New Roman" w:hAnsi="Times New Roman" w:cs="Times New Roman"/>
                <w:szCs w:val="20"/>
              </w:rPr>
              <w:t>adalimumab</w:t>
            </w:r>
            <w:r w:rsidRPr="00DD1F63">
              <w:rPr>
                <w:rFonts w:ascii="Times New Roman" w:hAnsi="Times New Roman" w:cs="Times New Roman"/>
                <w:szCs w:val="20"/>
              </w:rPr>
              <w:t xml:space="preserve"> 0.8 mg/kg versus MTX </w:t>
            </w:r>
          </w:p>
          <w:p w14:paraId="61C33899" w14:textId="74302F76" w:rsidR="006B7C8E" w:rsidRPr="00DD1F63" w:rsidRDefault="00CA72FF" w:rsidP="00377A09">
            <w:pPr>
              <w:tabs>
                <w:tab w:val="left" w:pos="2600"/>
              </w:tabs>
              <w:spacing w:after="0" w:line="240" w:lineRule="auto"/>
              <w:ind w:right="202"/>
              <w:jc w:val="left"/>
              <w:rPr>
                <w:rFonts w:ascii="Times New Roman" w:hAnsi="Times New Roman" w:cs="Times New Roman"/>
                <w:szCs w:val="20"/>
                <w:lang w:val="de-DE"/>
              </w:rPr>
            </w:pPr>
            <w:r w:rsidRPr="00DD1F63">
              <w:rPr>
                <w:rFonts w:ascii="Times New Roman" w:hAnsi="Times New Roman" w:cs="Times New Roman"/>
                <w:szCs w:val="20"/>
                <w:vertAlign w:val="superscript"/>
                <w:lang w:val="de-DE"/>
              </w:rPr>
              <w:t>c</w:t>
            </w:r>
            <w:r w:rsidRPr="00DD1F63">
              <w:rPr>
                <w:rFonts w:ascii="Times New Roman" w:hAnsi="Times New Roman" w:cs="Times New Roman"/>
                <w:szCs w:val="20"/>
                <w:lang w:val="de-DE"/>
              </w:rPr>
              <w:t xml:space="preserve"> p=0.083, </w:t>
            </w:r>
            <w:r w:rsidR="00175CAA" w:rsidRPr="00DD1F63">
              <w:rPr>
                <w:rFonts w:ascii="Times New Roman" w:hAnsi="Times New Roman" w:cs="Times New Roman"/>
                <w:szCs w:val="20"/>
                <w:lang w:val="de-DE"/>
              </w:rPr>
              <w:t>adalimumab</w:t>
            </w:r>
            <w:r w:rsidRPr="00DD1F63">
              <w:rPr>
                <w:rFonts w:ascii="Times New Roman" w:hAnsi="Times New Roman" w:cs="Times New Roman"/>
                <w:szCs w:val="20"/>
                <w:lang w:val="de-DE"/>
              </w:rPr>
              <w:t xml:space="preserve"> 0.8 mg/kg versus MTX </w:t>
            </w:r>
          </w:p>
        </w:tc>
      </w:tr>
    </w:tbl>
    <w:p w14:paraId="2EF724B7" w14:textId="77777777" w:rsidR="008A5540" w:rsidRPr="00DD1F63" w:rsidRDefault="008A5540" w:rsidP="00377A09">
      <w:pPr>
        <w:spacing w:after="0" w:line="240" w:lineRule="auto"/>
        <w:ind w:left="426" w:right="375"/>
        <w:jc w:val="left"/>
        <w:rPr>
          <w:rFonts w:ascii="Times New Roman" w:hAnsi="Times New Roman" w:cs="Times New Roman"/>
          <w:lang w:val="de-DE"/>
        </w:rPr>
      </w:pPr>
    </w:p>
    <w:p w14:paraId="71426408" w14:textId="476A337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Patients who achieved PASI 75 and PGA clear or minimal were withdrawn from treatment for up to</w:t>
      </w:r>
      <w:r w:rsidR="00175CAA" w:rsidRPr="00DD1F63">
        <w:rPr>
          <w:rFonts w:ascii="Times New Roman" w:hAnsi="Times New Roman" w:cs="Times New Roman"/>
          <w:sz w:val="22"/>
        </w:rPr>
        <w:t xml:space="preserve"> </w:t>
      </w:r>
      <w:r w:rsidRPr="00DD1F63">
        <w:rPr>
          <w:rFonts w:ascii="Times New Roman" w:hAnsi="Times New Roman" w:cs="Times New Roman"/>
          <w:sz w:val="22"/>
        </w:rPr>
        <w:t xml:space="preserve">36 weeks and monitored for loss of disease control (loss of PGA response). Patients were then re-treated with adalimumab 0.8 mg/kg fortnightly for an additional 16 weeks. Among patients who were responders to the initial 16 weeks of treatment but who relapsed upon withdrawal and were retreated, PASI 75 response of 78.9% (15 of 19 subjects) and PGA clear or minimal of 52.6% (10 of 19 subjects) was observed. </w:t>
      </w:r>
    </w:p>
    <w:p w14:paraId="59C0EADA" w14:textId="77777777" w:rsidR="00175CAA" w:rsidRPr="00DD1F63" w:rsidRDefault="00175CAA" w:rsidP="00377A09">
      <w:pPr>
        <w:spacing w:after="0" w:line="240" w:lineRule="auto"/>
        <w:ind w:left="426" w:right="375"/>
        <w:jc w:val="left"/>
        <w:rPr>
          <w:rFonts w:ascii="Times New Roman" w:hAnsi="Times New Roman" w:cs="Times New Roman"/>
          <w:sz w:val="22"/>
        </w:rPr>
      </w:pPr>
    </w:p>
    <w:p w14:paraId="1B048AC8" w14:textId="65EC675E"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the open label period of the study, PASI 75 and PGA clear or minimal responses were maintained for up to an additional 52 weeks with no new safety findings. A total of 91 subjects received only adalimumab 0.8</w:t>
      </w:r>
      <w:r w:rsidR="00780AF2">
        <w:rPr>
          <w:rFonts w:ascii="Times New Roman" w:hAnsi="Times New Roman" w:cs="Times New Roman"/>
          <w:sz w:val="22"/>
        </w:rPr>
        <w:t xml:space="preserve"> </w:t>
      </w:r>
      <w:r w:rsidRPr="00DD1F63">
        <w:rPr>
          <w:rFonts w:ascii="Times New Roman" w:hAnsi="Times New Roman" w:cs="Times New Roman"/>
          <w:sz w:val="22"/>
        </w:rPr>
        <w:t>mg/kg in period D, the mean duration of treatment with adalimumab 0.8</w:t>
      </w:r>
      <w:r w:rsidR="00780AF2">
        <w:rPr>
          <w:rFonts w:ascii="Times New Roman" w:hAnsi="Times New Roman" w:cs="Times New Roman"/>
          <w:sz w:val="22"/>
        </w:rPr>
        <w:t xml:space="preserve"> </w:t>
      </w:r>
      <w:r w:rsidRPr="00DD1F63">
        <w:rPr>
          <w:rFonts w:ascii="Times New Roman" w:hAnsi="Times New Roman" w:cs="Times New Roman"/>
          <w:sz w:val="22"/>
        </w:rPr>
        <w:t>mg/kg in period D was 315.0 days (range 42 to 380 days). Of the 91 subjects who only received adalimumab 0.8</w:t>
      </w:r>
      <w:r w:rsidR="00780AF2">
        <w:rPr>
          <w:rFonts w:ascii="Times New Roman" w:hAnsi="Times New Roman" w:cs="Times New Roman"/>
          <w:sz w:val="22"/>
        </w:rPr>
        <w:t xml:space="preserve"> </w:t>
      </w:r>
      <w:r w:rsidRPr="00DD1F63">
        <w:rPr>
          <w:rFonts w:ascii="Times New Roman" w:hAnsi="Times New Roman" w:cs="Times New Roman"/>
          <w:sz w:val="22"/>
        </w:rPr>
        <w:t xml:space="preserve">mg/kg in period D, the PASI 75 response rate and PGA clear/minimal response rate at week 52 were 69.2% and 59.3%, respectively. </w:t>
      </w:r>
    </w:p>
    <w:p w14:paraId="184CE882"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b/>
          <w:sz w:val="22"/>
        </w:rPr>
        <w:t xml:space="preserve"> </w:t>
      </w:r>
    </w:p>
    <w:p w14:paraId="59809280" w14:textId="7AE970FE" w:rsidR="006B7C8E" w:rsidRPr="00DD1F63" w:rsidRDefault="00175CAA" w:rsidP="00377A09">
      <w:pPr>
        <w:pStyle w:val="Heading3"/>
        <w:spacing w:after="0" w:line="240" w:lineRule="auto"/>
        <w:ind w:left="426"/>
        <w:rPr>
          <w:rFonts w:ascii="Times New Roman" w:hAnsi="Times New Roman" w:cs="Times New Roman"/>
          <w:bCs/>
          <w:u w:val="none"/>
        </w:rPr>
      </w:pPr>
      <w:r w:rsidRPr="00DD1F63">
        <w:rPr>
          <w:rFonts w:ascii="Times New Roman" w:hAnsi="Times New Roman" w:cs="Times New Roman"/>
          <w:bCs/>
        </w:rPr>
        <w:t>Clinical trials for hidradenitis suppurativa</w:t>
      </w:r>
      <w:r w:rsidRPr="00DD1F63">
        <w:rPr>
          <w:rFonts w:ascii="Times New Roman" w:hAnsi="Times New Roman" w:cs="Times New Roman"/>
          <w:bCs/>
          <w:u w:val="none"/>
        </w:rPr>
        <w:t xml:space="preserve"> </w:t>
      </w:r>
    </w:p>
    <w:p w14:paraId="20769EBC" w14:textId="77777777" w:rsidR="008A5540" w:rsidRPr="00DD1F63" w:rsidRDefault="008A5540" w:rsidP="00377A09">
      <w:pPr>
        <w:spacing w:after="0" w:line="240" w:lineRule="auto"/>
        <w:ind w:left="426" w:hanging="11"/>
        <w:jc w:val="left"/>
        <w:rPr>
          <w:sz w:val="22"/>
        </w:rPr>
      </w:pPr>
    </w:p>
    <w:p w14:paraId="34811915" w14:textId="6070BE3B" w:rsidR="006B7C8E" w:rsidRPr="00DD1F63" w:rsidRDefault="00CA72FF" w:rsidP="00377A09">
      <w:pPr>
        <w:pStyle w:val="Heading4"/>
        <w:spacing w:after="0" w:line="240" w:lineRule="auto"/>
        <w:ind w:left="426" w:right="366"/>
        <w:rPr>
          <w:rFonts w:ascii="Times New Roman" w:hAnsi="Times New Roman" w:cs="Times New Roman"/>
          <w:bCs/>
          <w:i/>
          <w:iCs/>
        </w:rPr>
      </w:pPr>
      <w:r w:rsidRPr="00DD1F63">
        <w:rPr>
          <w:rFonts w:ascii="Times New Roman" w:hAnsi="Times New Roman" w:cs="Times New Roman"/>
          <w:bCs/>
          <w:i/>
          <w:iCs/>
        </w:rPr>
        <w:t xml:space="preserve">Adults </w:t>
      </w:r>
    </w:p>
    <w:p w14:paraId="603EC80E" w14:textId="77777777" w:rsidR="008A5540" w:rsidRPr="00DD1F63" w:rsidRDefault="008A5540" w:rsidP="00377A09">
      <w:pPr>
        <w:spacing w:after="0" w:line="240" w:lineRule="auto"/>
        <w:ind w:left="426" w:hanging="11"/>
        <w:jc w:val="left"/>
        <w:rPr>
          <w:sz w:val="22"/>
        </w:rPr>
      </w:pPr>
    </w:p>
    <w:p w14:paraId="57AC19A3" w14:textId="68A0C0B3" w:rsidR="006B7C8E" w:rsidRPr="00DD1F63" w:rsidRDefault="00CA72FF" w:rsidP="00377A09">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175CAA" w:rsidRPr="00DD1F63">
        <w:rPr>
          <w:rFonts w:ascii="Times New Roman" w:hAnsi="Times New Roman" w:cs="Times New Roman"/>
          <w:sz w:val="22"/>
        </w:rPr>
        <w:t>adalimumab</w:t>
      </w:r>
      <w:r w:rsidRPr="00DD1F63">
        <w:rPr>
          <w:rFonts w:ascii="Times New Roman" w:hAnsi="Times New Roman" w:cs="Times New Roman"/>
          <w:sz w:val="22"/>
        </w:rPr>
        <w:t xml:space="preserve"> were assessed in randomised, double-blind, placebo-controlled studies and an open-label extension study in adult patients with moderate to severe hidradenitis suppurativa (HS) who were intolerant, had a contraindication or an inadequate response to at least a 3-month trial of systemic antibiotic therapy. The patients in Studies HS-I and HS-II had Hurley Stage II or III disease with at least 3 abscesses or inflammatory nodules. </w:t>
      </w:r>
    </w:p>
    <w:p w14:paraId="4F380CD4" w14:textId="77777777" w:rsidR="00A16609" w:rsidRPr="00DD1F63" w:rsidRDefault="00A16609" w:rsidP="00377A09">
      <w:pPr>
        <w:spacing w:after="0" w:line="240" w:lineRule="auto"/>
        <w:ind w:left="426" w:right="375"/>
        <w:jc w:val="left"/>
        <w:rPr>
          <w:rFonts w:ascii="Times New Roman" w:hAnsi="Times New Roman" w:cs="Times New Roman"/>
          <w:sz w:val="22"/>
        </w:rPr>
      </w:pPr>
    </w:p>
    <w:p w14:paraId="00606859" w14:textId="5777E90F"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Study HS-I (M11-313) evaluated 307 patients with 2 treatment periods. In Period A, patients received placebo or </w:t>
      </w:r>
      <w:r w:rsidR="00175CAA" w:rsidRPr="00DD1F63">
        <w:rPr>
          <w:rFonts w:ascii="Times New Roman" w:hAnsi="Times New Roman" w:cs="Times New Roman"/>
          <w:sz w:val="22"/>
        </w:rPr>
        <w:t>adalimumab</w:t>
      </w:r>
      <w:r w:rsidRPr="00DD1F63">
        <w:rPr>
          <w:rFonts w:ascii="Times New Roman" w:hAnsi="Times New Roman" w:cs="Times New Roman"/>
          <w:sz w:val="22"/>
        </w:rPr>
        <w:t xml:space="preserve"> at an initial dose of 160 mg at Week 0, 80 mg at Week 2, and 40 mg </w:t>
      </w:r>
      <w:r w:rsidRPr="00DD1F63">
        <w:rPr>
          <w:rFonts w:ascii="Times New Roman" w:hAnsi="Times New Roman" w:cs="Times New Roman"/>
          <w:spacing w:val="-2"/>
          <w:sz w:val="22"/>
        </w:rPr>
        <w:t xml:space="preserve">every week starting at Week 4 to Week 11. Concomitant antibiotic use was not allowed during the study. After 12 weeks of therapy, patients who had received </w:t>
      </w:r>
      <w:r w:rsidR="00175CAA"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in Period A were re-randomised in Period B to 1 of 3 treatment groups (</w:t>
      </w:r>
      <w:r w:rsidR="00175CAA"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 mg every week, </w:t>
      </w:r>
      <w:r w:rsidR="00175CAA"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w:t>
      </w:r>
      <w:r w:rsidRPr="00DD1F63">
        <w:rPr>
          <w:rFonts w:ascii="Times New Roman" w:hAnsi="Times New Roman" w:cs="Times New Roman"/>
          <w:sz w:val="22"/>
        </w:rPr>
        <w:t xml:space="preserve"> mg </w:t>
      </w:r>
      <w:r w:rsidRPr="00DD1F63">
        <w:rPr>
          <w:rFonts w:ascii="Times New Roman" w:hAnsi="Times New Roman" w:cs="Times New Roman"/>
          <w:sz w:val="22"/>
        </w:rPr>
        <w:lastRenderedPageBreak/>
        <w:t xml:space="preserve">fortnightly, or placebo from Week 12 to Week 35). Patients who had been randomised to placebo in Period A were assigned to receive </w:t>
      </w:r>
      <w:r w:rsidR="00175CAA" w:rsidRPr="00DD1F63">
        <w:rPr>
          <w:rFonts w:ascii="Times New Roman" w:hAnsi="Times New Roman" w:cs="Times New Roman"/>
          <w:sz w:val="22"/>
        </w:rPr>
        <w:t>adalimumab</w:t>
      </w:r>
      <w:r w:rsidRPr="00DD1F63">
        <w:rPr>
          <w:rFonts w:ascii="Times New Roman" w:hAnsi="Times New Roman" w:cs="Times New Roman"/>
          <w:sz w:val="22"/>
        </w:rPr>
        <w:t xml:space="preserve"> 40 mg every week in Period B. </w:t>
      </w:r>
    </w:p>
    <w:p w14:paraId="23ED9BA0" w14:textId="77777777" w:rsidR="00A16609" w:rsidRPr="00DD1F63" w:rsidRDefault="00A16609" w:rsidP="00377A09">
      <w:pPr>
        <w:spacing w:after="0" w:line="240" w:lineRule="auto"/>
        <w:ind w:left="426" w:right="375"/>
        <w:jc w:val="left"/>
        <w:rPr>
          <w:rFonts w:ascii="Times New Roman" w:hAnsi="Times New Roman" w:cs="Times New Roman"/>
          <w:sz w:val="22"/>
        </w:rPr>
      </w:pPr>
    </w:p>
    <w:p w14:paraId="0D8FC18D" w14:textId="5C7FB47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Study HS-II (M11-810) evaluated 326 patients with 2 treatment periods. In Period A, patients received placebo or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at an initial dose of 160 mg at Week 0 and 80 mg at Week 2 and 40 mg every week starting at Week 4 to Week 11. 19.3% of patients had continued baseline oral antibiotic therapy during the study. After 12 weeks of therapy, patients who had received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in Period A were re-randomised in Period B to 1 of 3 treatment groups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 mg every week,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w:t>
      </w:r>
      <w:r w:rsidRPr="00DD1F63">
        <w:rPr>
          <w:rFonts w:ascii="Times New Roman" w:hAnsi="Times New Roman" w:cs="Times New Roman"/>
          <w:sz w:val="22"/>
        </w:rPr>
        <w:t xml:space="preserve"> mg fortnightly, or placebo from Week 12 to Week 35). Patients who had been randomised to placebo in Period A were assigned to receive placebo in Period B. </w:t>
      </w:r>
    </w:p>
    <w:p w14:paraId="33444207" w14:textId="77777777" w:rsidR="00A16609" w:rsidRPr="00DD1F63" w:rsidRDefault="00A16609" w:rsidP="00377A09">
      <w:pPr>
        <w:spacing w:after="0" w:line="240" w:lineRule="auto"/>
        <w:ind w:left="426" w:right="49"/>
        <w:jc w:val="left"/>
        <w:rPr>
          <w:rFonts w:ascii="Times New Roman" w:hAnsi="Times New Roman" w:cs="Times New Roman"/>
          <w:sz w:val="22"/>
        </w:rPr>
      </w:pPr>
    </w:p>
    <w:p w14:paraId="5F00FFEF" w14:textId="2A3BC8D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participating in Studies HS-I and HS-II were eligible to enrol into an open-label extension study in which </w:t>
      </w:r>
      <w:r w:rsidR="001C14D1" w:rsidRPr="00DD1F63">
        <w:rPr>
          <w:rFonts w:ascii="Times New Roman" w:hAnsi="Times New Roman" w:cs="Times New Roman"/>
          <w:sz w:val="22"/>
        </w:rPr>
        <w:t>adalimumab</w:t>
      </w:r>
      <w:r w:rsidRPr="00DD1F63">
        <w:rPr>
          <w:rFonts w:ascii="Times New Roman" w:hAnsi="Times New Roman" w:cs="Times New Roman"/>
          <w:sz w:val="22"/>
        </w:rPr>
        <w:t xml:space="preserve"> 40 mg was administered every week. Mean exposure in all adalimumab population was 762 days (standard deviation: 397 days). Throughout all 3 studies patients used topical antiseptic wash daily. </w:t>
      </w:r>
    </w:p>
    <w:p w14:paraId="5F8484F7" w14:textId="77777777" w:rsidR="00A16609" w:rsidRPr="00DD1F63" w:rsidRDefault="00A16609" w:rsidP="00377A09">
      <w:pPr>
        <w:spacing w:after="0" w:line="240" w:lineRule="auto"/>
        <w:ind w:left="426" w:right="375"/>
        <w:jc w:val="left"/>
        <w:rPr>
          <w:rFonts w:ascii="Times New Roman" w:hAnsi="Times New Roman" w:cs="Times New Roman"/>
          <w:sz w:val="22"/>
        </w:rPr>
      </w:pPr>
    </w:p>
    <w:p w14:paraId="4467677F" w14:textId="5294F177" w:rsidR="006B7C8E" w:rsidRPr="00DD1F63" w:rsidRDefault="00CA72FF" w:rsidP="00377A09">
      <w:pPr>
        <w:pStyle w:val="Heading4"/>
        <w:spacing w:after="0" w:line="240" w:lineRule="auto"/>
        <w:ind w:left="426" w:firstLine="0"/>
        <w:rPr>
          <w:rFonts w:ascii="Times New Roman" w:hAnsi="Times New Roman" w:cs="Times New Roman"/>
          <w:bCs/>
          <w:i/>
          <w:iCs/>
          <w:u w:val="none"/>
        </w:rPr>
      </w:pPr>
      <w:r w:rsidRPr="00DD1F63">
        <w:rPr>
          <w:rFonts w:ascii="Times New Roman" w:hAnsi="Times New Roman" w:cs="Times New Roman"/>
          <w:bCs/>
          <w:i/>
          <w:iCs/>
          <w:u w:val="none"/>
        </w:rPr>
        <w:t xml:space="preserve">Clinical </w:t>
      </w:r>
      <w:r w:rsidR="001C14D1" w:rsidRPr="00DD1F63">
        <w:rPr>
          <w:rFonts w:ascii="Times New Roman" w:hAnsi="Times New Roman" w:cs="Times New Roman"/>
          <w:bCs/>
          <w:i/>
          <w:iCs/>
          <w:u w:val="none"/>
        </w:rPr>
        <w:t>r</w:t>
      </w:r>
      <w:r w:rsidRPr="00DD1F63">
        <w:rPr>
          <w:rFonts w:ascii="Times New Roman" w:hAnsi="Times New Roman" w:cs="Times New Roman"/>
          <w:bCs/>
          <w:i/>
          <w:iCs/>
          <w:u w:val="none"/>
        </w:rPr>
        <w:t xml:space="preserve">esponse </w:t>
      </w:r>
    </w:p>
    <w:p w14:paraId="3736B58D" w14:textId="77777777" w:rsidR="00A16609" w:rsidRPr="00DD1F63" w:rsidRDefault="00A16609" w:rsidP="00377A09">
      <w:pPr>
        <w:spacing w:after="0" w:line="240" w:lineRule="auto"/>
        <w:ind w:left="426" w:hanging="11"/>
        <w:jc w:val="left"/>
        <w:rPr>
          <w:sz w:val="22"/>
        </w:rPr>
      </w:pPr>
    </w:p>
    <w:p w14:paraId="4DFA3FDD" w14:textId="641897B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Reduction of inflammatory lesions and prevention of worsening of abscesses and draining fistulas was assessed using Hidradenitis Suppurativa Clinical Response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at least a 50% reduction in total abscess and inflammatory nodule count with no increase in abscess count and no increase in draining fistula count relative to Baseline). Reduction in HS-related skin pain was assessed using a Numeric Rating Scale in patients who entered the study with an initial baseline score of 3 or greater on an </w:t>
      </w:r>
      <w:proofErr w:type="gramStart"/>
      <w:r w:rsidRPr="00DD1F63">
        <w:rPr>
          <w:rFonts w:ascii="Times New Roman" w:hAnsi="Times New Roman" w:cs="Times New Roman"/>
          <w:sz w:val="22"/>
        </w:rPr>
        <w:t>11 point</w:t>
      </w:r>
      <w:proofErr w:type="gramEnd"/>
      <w:r w:rsidRPr="00DD1F63">
        <w:rPr>
          <w:rFonts w:ascii="Times New Roman" w:hAnsi="Times New Roman" w:cs="Times New Roman"/>
          <w:sz w:val="22"/>
        </w:rPr>
        <w:t xml:space="preserve"> scale. </w:t>
      </w:r>
    </w:p>
    <w:p w14:paraId="7F14A150" w14:textId="77777777" w:rsidR="00A16609" w:rsidRPr="00DD1F63" w:rsidRDefault="00A16609" w:rsidP="00377A09">
      <w:pPr>
        <w:spacing w:after="0" w:line="240" w:lineRule="auto"/>
        <w:ind w:left="426" w:right="375"/>
        <w:jc w:val="left"/>
        <w:rPr>
          <w:rFonts w:ascii="Times New Roman" w:hAnsi="Times New Roman" w:cs="Times New Roman"/>
          <w:sz w:val="22"/>
        </w:rPr>
      </w:pPr>
    </w:p>
    <w:p w14:paraId="1470DB21" w14:textId="2D35192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12, a significantly higher proportion of patients treated with </w:t>
      </w:r>
      <w:r w:rsidR="001C14D1" w:rsidRPr="00DD1F63">
        <w:rPr>
          <w:rFonts w:ascii="Times New Roman" w:hAnsi="Times New Roman" w:cs="Times New Roman"/>
          <w:sz w:val="22"/>
        </w:rPr>
        <w:t>adalimumab</w:t>
      </w:r>
      <w:r w:rsidRPr="00DD1F63">
        <w:rPr>
          <w:rFonts w:ascii="Times New Roman" w:hAnsi="Times New Roman" w:cs="Times New Roman"/>
          <w:sz w:val="22"/>
        </w:rPr>
        <w:t xml:space="preserve"> versus placebo achieved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At Week 12, a significantly higher proportion of patients in Study HS II experienced a clinically relevant decrease in HS-related skin pain (see Table 2</w:t>
      </w:r>
      <w:r w:rsidR="00BD4FF7" w:rsidRPr="00DD1F63">
        <w:rPr>
          <w:rFonts w:ascii="Times New Roman" w:hAnsi="Times New Roman" w:cs="Times New Roman"/>
          <w:sz w:val="22"/>
        </w:rPr>
        <w:t>9</w:t>
      </w:r>
      <w:r w:rsidRPr="00DD1F63">
        <w:rPr>
          <w:rFonts w:ascii="Times New Roman" w:hAnsi="Times New Roman" w:cs="Times New Roman"/>
          <w:sz w:val="22"/>
        </w:rPr>
        <w:t xml:space="preserve">). Patients treated with </w:t>
      </w:r>
      <w:r w:rsidR="001C14D1" w:rsidRPr="00DD1F63">
        <w:rPr>
          <w:rFonts w:ascii="Times New Roman" w:hAnsi="Times New Roman" w:cs="Times New Roman"/>
          <w:sz w:val="22"/>
        </w:rPr>
        <w:t>adalimumab</w:t>
      </w:r>
      <w:r w:rsidRPr="00DD1F63">
        <w:rPr>
          <w:rFonts w:ascii="Times New Roman" w:hAnsi="Times New Roman" w:cs="Times New Roman"/>
          <w:sz w:val="22"/>
        </w:rPr>
        <w:t xml:space="preserve"> had reduced risk of disease flare during the initial 12 weeks of treatment. </w:t>
      </w:r>
    </w:p>
    <w:p w14:paraId="48932C4C" w14:textId="48F55F32"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tbl>
      <w:tblPr>
        <w:tblStyle w:val="TableGrid0"/>
        <w:tblW w:w="0" w:type="auto"/>
        <w:tblInd w:w="426" w:type="dxa"/>
        <w:tblLayout w:type="fixed"/>
        <w:tblCellMar>
          <w:left w:w="57" w:type="dxa"/>
          <w:right w:w="57" w:type="dxa"/>
        </w:tblCellMar>
        <w:tblLook w:val="04A0" w:firstRow="1" w:lastRow="0" w:firstColumn="1" w:lastColumn="0" w:noHBand="0" w:noVBand="1"/>
      </w:tblPr>
      <w:tblGrid>
        <w:gridCol w:w="2546"/>
        <w:gridCol w:w="1559"/>
        <w:gridCol w:w="1560"/>
        <w:gridCol w:w="1134"/>
        <w:gridCol w:w="1842"/>
      </w:tblGrid>
      <w:tr w:rsidR="0029786D" w:rsidRPr="00DD1F63" w14:paraId="36AFC08F" w14:textId="77777777" w:rsidTr="00A72429">
        <w:trPr>
          <w:trHeight w:val="170"/>
        </w:trPr>
        <w:tc>
          <w:tcPr>
            <w:tcW w:w="8641" w:type="dxa"/>
            <w:gridSpan w:val="5"/>
          </w:tcPr>
          <w:p w14:paraId="15DF6844" w14:textId="6912FBE7" w:rsidR="0029786D" w:rsidRPr="00DD1F63" w:rsidRDefault="0029786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2</w:t>
            </w:r>
            <w:r w:rsidR="00BD4FF7" w:rsidRPr="00DD1F63">
              <w:rPr>
                <w:rFonts w:ascii="Times New Roman" w:hAnsi="Times New Roman" w:cs="Times New Roman"/>
                <w:b/>
                <w:sz w:val="21"/>
                <w:szCs w:val="21"/>
              </w:rPr>
              <w:t>9</w:t>
            </w:r>
            <w:r w:rsidRPr="00DD1F63">
              <w:rPr>
                <w:rFonts w:ascii="Times New Roman" w:hAnsi="Times New Roman" w:cs="Times New Roman"/>
                <w:b/>
                <w:sz w:val="21"/>
                <w:szCs w:val="21"/>
              </w:rPr>
              <w:t>: Efficacy results at 12 weeks, HS studies I and II</w:t>
            </w:r>
          </w:p>
        </w:tc>
      </w:tr>
      <w:tr w:rsidR="0029786D" w:rsidRPr="00DD1F63" w14:paraId="6E04878D" w14:textId="77777777" w:rsidTr="00385000">
        <w:trPr>
          <w:trHeight w:val="170"/>
        </w:trPr>
        <w:tc>
          <w:tcPr>
            <w:tcW w:w="2546" w:type="dxa"/>
          </w:tcPr>
          <w:p w14:paraId="0DFAD6F7" w14:textId="77777777" w:rsidR="0029786D" w:rsidRPr="00DD1F63" w:rsidRDefault="0029786D" w:rsidP="00377A09">
            <w:pPr>
              <w:spacing w:after="0" w:line="240" w:lineRule="auto"/>
              <w:ind w:left="0" w:firstLine="0"/>
              <w:jc w:val="left"/>
              <w:rPr>
                <w:rFonts w:ascii="Times New Roman" w:hAnsi="Times New Roman" w:cs="Times New Roman"/>
                <w:sz w:val="21"/>
                <w:szCs w:val="21"/>
              </w:rPr>
            </w:pPr>
          </w:p>
        </w:tc>
        <w:tc>
          <w:tcPr>
            <w:tcW w:w="3119" w:type="dxa"/>
            <w:gridSpan w:val="2"/>
            <w:vAlign w:val="center"/>
          </w:tcPr>
          <w:p w14:paraId="336BEAD6" w14:textId="40C85792" w:rsidR="0029786D" w:rsidRPr="00DD1F63" w:rsidRDefault="0029786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HS study I</w:t>
            </w:r>
          </w:p>
        </w:tc>
        <w:tc>
          <w:tcPr>
            <w:tcW w:w="2976" w:type="dxa"/>
            <w:gridSpan w:val="2"/>
            <w:vAlign w:val="center"/>
          </w:tcPr>
          <w:p w14:paraId="47ADB4F9" w14:textId="60D46636" w:rsidR="0029786D" w:rsidRPr="00DD1F63" w:rsidRDefault="0029786D"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HS study II</w:t>
            </w:r>
          </w:p>
        </w:tc>
      </w:tr>
      <w:tr w:rsidR="00D428DC" w:rsidRPr="00DD1F63" w14:paraId="11DB872F" w14:textId="77777777" w:rsidTr="00385000">
        <w:trPr>
          <w:trHeight w:val="170"/>
        </w:trPr>
        <w:tc>
          <w:tcPr>
            <w:tcW w:w="2546" w:type="dxa"/>
            <w:vAlign w:val="center"/>
          </w:tcPr>
          <w:p w14:paraId="4F727ABB" w14:textId="6FA3F0D1"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Endpoint</w:t>
            </w:r>
          </w:p>
        </w:tc>
        <w:tc>
          <w:tcPr>
            <w:tcW w:w="1559" w:type="dxa"/>
            <w:vAlign w:val="center"/>
          </w:tcPr>
          <w:p w14:paraId="2EEA9F88" w14:textId="30B3D13D"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tc>
        <w:tc>
          <w:tcPr>
            <w:tcW w:w="1560" w:type="dxa"/>
            <w:vAlign w:val="center"/>
          </w:tcPr>
          <w:p w14:paraId="64F18BA0" w14:textId="77777777" w:rsidR="00780AF2"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bCs/>
                <w:szCs w:val="21"/>
              </w:rPr>
              <w:t>A</w:t>
            </w:r>
            <w:r w:rsidRPr="00DD1F63">
              <w:rPr>
                <w:rFonts w:ascii="Times New Roman" w:hAnsi="Times New Roman" w:cs="Times New Roman"/>
                <w:b/>
                <w:bCs/>
              </w:rPr>
              <w:t>dalimumab</w:t>
            </w:r>
            <w:r w:rsidRPr="00DD1F63">
              <w:rPr>
                <w:rFonts w:ascii="Times New Roman" w:hAnsi="Times New Roman" w:cs="Times New Roman"/>
                <w:b/>
                <w:sz w:val="21"/>
                <w:szCs w:val="21"/>
              </w:rPr>
              <w:t xml:space="preserve"> </w:t>
            </w:r>
          </w:p>
          <w:p w14:paraId="75DB349E" w14:textId="24156C89"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40 mg Weekly</w:t>
            </w:r>
          </w:p>
        </w:tc>
        <w:tc>
          <w:tcPr>
            <w:tcW w:w="1134" w:type="dxa"/>
            <w:vAlign w:val="center"/>
          </w:tcPr>
          <w:p w14:paraId="4067FC93" w14:textId="04A1F0CD"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tc>
        <w:tc>
          <w:tcPr>
            <w:tcW w:w="1842" w:type="dxa"/>
            <w:vAlign w:val="center"/>
          </w:tcPr>
          <w:p w14:paraId="757E85AF" w14:textId="7FC843B2"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bCs/>
                <w:szCs w:val="21"/>
              </w:rPr>
              <w:t>A</w:t>
            </w:r>
            <w:r w:rsidRPr="00DD1F63">
              <w:rPr>
                <w:rFonts w:ascii="Times New Roman" w:hAnsi="Times New Roman" w:cs="Times New Roman"/>
                <w:b/>
                <w:bCs/>
              </w:rPr>
              <w:t>dalimumab</w:t>
            </w:r>
            <w:r w:rsidRPr="00DD1F63">
              <w:rPr>
                <w:rFonts w:ascii="Times New Roman" w:hAnsi="Times New Roman" w:cs="Times New Roman"/>
                <w:b/>
                <w:sz w:val="21"/>
                <w:szCs w:val="21"/>
              </w:rPr>
              <w:t xml:space="preserve"> 40 mg Weekly</w:t>
            </w:r>
          </w:p>
        </w:tc>
      </w:tr>
      <w:tr w:rsidR="00D428DC" w:rsidRPr="00DD1F63" w14:paraId="54A448FE" w14:textId="77777777" w:rsidTr="00385000">
        <w:trPr>
          <w:trHeight w:val="170"/>
        </w:trPr>
        <w:tc>
          <w:tcPr>
            <w:tcW w:w="2546" w:type="dxa"/>
            <w:vAlign w:val="center"/>
          </w:tcPr>
          <w:p w14:paraId="530BAC82" w14:textId="77777777" w:rsidR="00A72429"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Hidradenitis Suppurativa </w:t>
            </w:r>
          </w:p>
          <w:p w14:paraId="3306608D" w14:textId="4AAC6781"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Clinical Response (</w:t>
            </w:r>
            <w:proofErr w:type="spellStart"/>
            <w:r w:rsidRPr="00DD1F63">
              <w:rPr>
                <w:rFonts w:ascii="Times New Roman" w:hAnsi="Times New Roman" w:cs="Times New Roman"/>
                <w:sz w:val="21"/>
                <w:szCs w:val="21"/>
              </w:rPr>
              <w:t>HiSCR</w:t>
            </w:r>
            <w:proofErr w:type="spellEnd"/>
            <w:r w:rsidRPr="00DD1F63">
              <w:rPr>
                <w:rFonts w:ascii="Times New Roman" w:hAnsi="Times New Roman" w:cs="Times New Roman"/>
                <w:sz w:val="21"/>
                <w:szCs w:val="21"/>
              </w:rPr>
              <w:t>)</w:t>
            </w:r>
            <w:r w:rsidRPr="00DD1F63">
              <w:rPr>
                <w:rFonts w:ascii="Times New Roman" w:hAnsi="Times New Roman" w:cs="Times New Roman"/>
                <w:sz w:val="21"/>
                <w:szCs w:val="21"/>
                <w:vertAlign w:val="superscript"/>
              </w:rPr>
              <w:t>a</w:t>
            </w:r>
            <w:r w:rsidRPr="00DD1F63">
              <w:rPr>
                <w:rFonts w:ascii="Times New Roman" w:hAnsi="Times New Roman" w:cs="Times New Roman"/>
                <w:sz w:val="21"/>
                <w:szCs w:val="21"/>
              </w:rPr>
              <w:t xml:space="preserve"> </w:t>
            </w:r>
          </w:p>
        </w:tc>
        <w:tc>
          <w:tcPr>
            <w:tcW w:w="1559" w:type="dxa"/>
            <w:vAlign w:val="center"/>
          </w:tcPr>
          <w:p w14:paraId="3F8B3623" w14:textId="77777777"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154</w:t>
            </w:r>
          </w:p>
          <w:p w14:paraId="16B2D05A" w14:textId="5AA8C53D"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40 (26.0%)</w:t>
            </w:r>
          </w:p>
        </w:tc>
        <w:tc>
          <w:tcPr>
            <w:tcW w:w="1560" w:type="dxa"/>
            <w:vAlign w:val="center"/>
          </w:tcPr>
          <w:p w14:paraId="5BDB9E76" w14:textId="77777777"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153</w:t>
            </w:r>
          </w:p>
          <w:p w14:paraId="64EFB8FA" w14:textId="135B094F" w:rsidR="00D428DC" w:rsidRPr="00DD1F63" w:rsidRDefault="00D428DC" w:rsidP="00377A09">
            <w:pPr>
              <w:spacing w:after="0" w:line="240" w:lineRule="auto"/>
              <w:ind w:left="0" w:firstLine="0"/>
              <w:jc w:val="left"/>
              <w:rPr>
                <w:rFonts w:ascii="Times New Roman" w:hAnsi="Times New Roman" w:cs="Times New Roman"/>
                <w:b/>
                <w:bCs/>
                <w:szCs w:val="21"/>
              </w:rPr>
            </w:pPr>
            <w:r w:rsidRPr="00DD1F63">
              <w:rPr>
                <w:rFonts w:ascii="Times New Roman" w:hAnsi="Times New Roman" w:cs="Times New Roman"/>
                <w:sz w:val="21"/>
                <w:szCs w:val="21"/>
              </w:rPr>
              <w:t xml:space="preserve">64 (41.8%) </w:t>
            </w:r>
            <w:r w:rsidRPr="00DD1F63">
              <w:rPr>
                <w:rFonts w:ascii="Times New Roman" w:hAnsi="Times New Roman" w:cs="Times New Roman"/>
                <w:sz w:val="21"/>
                <w:szCs w:val="21"/>
                <w:vertAlign w:val="superscript"/>
              </w:rPr>
              <w:t>*</w:t>
            </w:r>
          </w:p>
        </w:tc>
        <w:tc>
          <w:tcPr>
            <w:tcW w:w="1134" w:type="dxa"/>
            <w:vAlign w:val="center"/>
          </w:tcPr>
          <w:p w14:paraId="6F93E7F9" w14:textId="77777777"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N=163</w:t>
            </w:r>
          </w:p>
          <w:p w14:paraId="5B983612" w14:textId="18372F00" w:rsidR="00D428DC" w:rsidRPr="00DD1F63" w:rsidRDefault="00D428DC" w:rsidP="00377A09">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45 (27.6%)</w:t>
            </w:r>
          </w:p>
        </w:tc>
        <w:tc>
          <w:tcPr>
            <w:tcW w:w="1842" w:type="dxa"/>
            <w:vAlign w:val="center"/>
          </w:tcPr>
          <w:p w14:paraId="41259D72" w14:textId="77777777"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N=163</w:t>
            </w:r>
          </w:p>
          <w:p w14:paraId="795F35EA" w14:textId="5B160524" w:rsidR="00D428DC" w:rsidRPr="00DD1F63" w:rsidRDefault="00D428DC" w:rsidP="00377A09">
            <w:pPr>
              <w:spacing w:after="0" w:line="240" w:lineRule="auto"/>
              <w:ind w:left="0" w:firstLine="0"/>
              <w:jc w:val="left"/>
              <w:rPr>
                <w:rFonts w:ascii="Times New Roman" w:hAnsi="Times New Roman" w:cs="Times New Roman"/>
                <w:b/>
                <w:bCs/>
                <w:szCs w:val="21"/>
              </w:rPr>
            </w:pPr>
            <w:r w:rsidRPr="00DD1F63">
              <w:rPr>
                <w:rFonts w:ascii="Times New Roman" w:hAnsi="Times New Roman" w:cs="Times New Roman"/>
                <w:sz w:val="21"/>
                <w:szCs w:val="21"/>
              </w:rPr>
              <w:t xml:space="preserve">96 (58.9%) </w:t>
            </w:r>
            <w:r w:rsidRPr="00DD1F63">
              <w:rPr>
                <w:rFonts w:ascii="Times New Roman" w:hAnsi="Times New Roman" w:cs="Times New Roman"/>
                <w:sz w:val="21"/>
                <w:szCs w:val="21"/>
                <w:vertAlign w:val="superscript"/>
              </w:rPr>
              <w:t>***</w:t>
            </w:r>
          </w:p>
        </w:tc>
      </w:tr>
      <w:tr w:rsidR="00D428DC" w:rsidRPr="00DD1F63" w14:paraId="104BBFF9" w14:textId="77777777" w:rsidTr="00385000">
        <w:trPr>
          <w:trHeight w:val="170"/>
        </w:trPr>
        <w:tc>
          <w:tcPr>
            <w:tcW w:w="2546" w:type="dxa"/>
            <w:vAlign w:val="center"/>
          </w:tcPr>
          <w:p w14:paraId="14BC6570" w14:textId="75853D8B"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≥30% Reduction in Skin Pain </w:t>
            </w:r>
            <w:r w:rsidRPr="00DD1F63">
              <w:rPr>
                <w:rFonts w:ascii="Times New Roman" w:hAnsi="Times New Roman" w:cs="Times New Roman"/>
                <w:sz w:val="21"/>
                <w:szCs w:val="21"/>
                <w:vertAlign w:val="superscript"/>
              </w:rPr>
              <w:t>b</w:t>
            </w:r>
            <w:r w:rsidRPr="00DD1F63">
              <w:rPr>
                <w:rFonts w:ascii="Times New Roman" w:hAnsi="Times New Roman" w:cs="Times New Roman"/>
                <w:sz w:val="21"/>
                <w:szCs w:val="21"/>
              </w:rPr>
              <w:t xml:space="preserve"> </w:t>
            </w:r>
          </w:p>
        </w:tc>
        <w:tc>
          <w:tcPr>
            <w:tcW w:w="1559" w:type="dxa"/>
            <w:vAlign w:val="center"/>
          </w:tcPr>
          <w:p w14:paraId="3B6C44CF" w14:textId="19DC269C"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109</w:t>
            </w:r>
          </w:p>
          <w:p w14:paraId="1A8C4657" w14:textId="43988E65"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27 (24.8%)</w:t>
            </w:r>
          </w:p>
        </w:tc>
        <w:tc>
          <w:tcPr>
            <w:tcW w:w="1560" w:type="dxa"/>
            <w:vAlign w:val="center"/>
          </w:tcPr>
          <w:p w14:paraId="6F9F390F" w14:textId="2DC1F089"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122</w:t>
            </w:r>
          </w:p>
          <w:p w14:paraId="12734A7B" w14:textId="4A5CFAA5"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34 (27.9%)</w:t>
            </w:r>
          </w:p>
        </w:tc>
        <w:tc>
          <w:tcPr>
            <w:tcW w:w="1134" w:type="dxa"/>
            <w:vAlign w:val="center"/>
          </w:tcPr>
          <w:p w14:paraId="2CB9AB47" w14:textId="043584A6"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N=111</w:t>
            </w:r>
          </w:p>
          <w:p w14:paraId="6BFD001C" w14:textId="69EC8C38"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23 (20.7%)</w:t>
            </w:r>
          </w:p>
        </w:tc>
        <w:tc>
          <w:tcPr>
            <w:tcW w:w="1842" w:type="dxa"/>
            <w:vAlign w:val="center"/>
          </w:tcPr>
          <w:p w14:paraId="5910B278" w14:textId="77777777"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N=105</w:t>
            </w:r>
          </w:p>
          <w:p w14:paraId="63FA318C" w14:textId="709B923D" w:rsidR="00D428DC" w:rsidRPr="00DD1F63" w:rsidRDefault="00D428DC"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48 (45.7%) </w:t>
            </w:r>
            <w:r w:rsidRPr="00DD1F63">
              <w:rPr>
                <w:rFonts w:ascii="Times New Roman" w:hAnsi="Times New Roman" w:cs="Times New Roman"/>
                <w:sz w:val="21"/>
                <w:szCs w:val="21"/>
                <w:vertAlign w:val="superscript"/>
              </w:rPr>
              <w:t>***</w:t>
            </w:r>
          </w:p>
        </w:tc>
      </w:tr>
    </w:tbl>
    <w:p w14:paraId="38207DB2" w14:textId="40D9FD33" w:rsidR="005348F7" w:rsidRPr="00DD1F63" w:rsidRDefault="00CA72FF" w:rsidP="00377A09">
      <w:pPr>
        <w:spacing w:after="0" w:line="240" w:lineRule="auto"/>
        <w:ind w:left="426" w:right="1325"/>
        <w:jc w:val="left"/>
        <w:rPr>
          <w:rFonts w:ascii="Times New Roman" w:hAnsi="Times New Roman" w:cs="Times New Roman"/>
          <w:szCs w:val="20"/>
        </w:rPr>
      </w:pPr>
      <w:r w:rsidRPr="00DD1F63">
        <w:rPr>
          <w:rFonts w:ascii="Times New Roman" w:hAnsi="Times New Roman" w:cs="Times New Roman"/>
          <w:szCs w:val="20"/>
        </w:rPr>
        <w:t xml:space="preserve">* </w:t>
      </w:r>
      <w:r w:rsidRPr="00DD1F63">
        <w:rPr>
          <w:rFonts w:ascii="Times New Roman" w:hAnsi="Times New Roman" w:cs="Times New Roman"/>
          <w:i/>
          <w:szCs w:val="20"/>
        </w:rPr>
        <w:t>P</w:t>
      </w:r>
      <w:r w:rsidRPr="00DD1F63">
        <w:rPr>
          <w:rFonts w:ascii="Times New Roman" w:hAnsi="Times New Roman" w:cs="Times New Roman"/>
          <w:szCs w:val="20"/>
        </w:rPr>
        <w:t xml:space="preserve"> &lt; 0.05, ***</w:t>
      </w:r>
      <w:r w:rsidRPr="00DD1F63">
        <w:rPr>
          <w:rFonts w:ascii="Times New Roman" w:hAnsi="Times New Roman" w:cs="Times New Roman"/>
          <w:i/>
          <w:szCs w:val="20"/>
        </w:rPr>
        <w:t xml:space="preserve">P </w:t>
      </w:r>
      <w:r w:rsidRPr="00DD1F63">
        <w:rPr>
          <w:rFonts w:ascii="Times New Roman" w:hAnsi="Times New Roman" w:cs="Times New Roman"/>
          <w:szCs w:val="20"/>
        </w:rPr>
        <w:t xml:space="preserve">&lt; 0.001, </w:t>
      </w:r>
      <w:r w:rsidR="00E05F7F" w:rsidRPr="00DD1F63">
        <w:rPr>
          <w:rFonts w:ascii="Times New Roman" w:hAnsi="Times New Roman" w:cs="Times New Roman"/>
          <w:szCs w:val="20"/>
        </w:rPr>
        <w:t>adalimumab</w:t>
      </w:r>
      <w:r w:rsidRPr="00DD1F63">
        <w:rPr>
          <w:rFonts w:ascii="Times New Roman" w:hAnsi="Times New Roman" w:cs="Times New Roman"/>
          <w:szCs w:val="20"/>
        </w:rPr>
        <w:t xml:space="preserve"> versus placebo </w:t>
      </w:r>
    </w:p>
    <w:p w14:paraId="6E651A2E" w14:textId="62286A8B" w:rsidR="006B7C8E" w:rsidRPr="00DD1F63" w:rsidRDefault="00CA72FF" w:rsidP="00377A09">
      <w:pPr>
        <w:spacing w:after="0" w:line="240" w:lineRule="auto"/>
        <w:ind w:left="426" w:right="1325"/>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Among all randomised patients. </w:t>
      </w:r>
    </w:p>
    <w:p w14:paraId="37AA5ABD" w14:textId="0D12180C"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Among patients with baseline HS-related skin pain assessment ≥ 3, based on Numeric Rating Scale 0– 10; 0 = no skin pain, 10 = skin pain as bad as you can imagine. </w:t>
      </w:r>
    </w:p>
    <w:p w14:paraId="1D67D12A" w14:textId="77777777" w:rsidR="006B7C8E" w:rsidRPr="00DD1F63" w:rsidRDefault="00CA72FF" w:rsidP="00377A09">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w:t>
      </w:r>
    </w:p>
    <w:p w14:paraId="32CFFD31" w14:textId="0A312AF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is a statistically significantly higher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rate at Week 36 in patients who continued to receive weekly adalimumab compared to those who stopped adalimumab at Week 12. </w:t>
      </w:r>
    </w:p>
    <w:p w14:paraId="237C23F5" w14:textId="77777777" w:rsidR="005348F7" w:rsidRPr="00DD1F63" w:rsidRDefault="005348F7" w:rsidP="00377A09">
      <w:pPr>
        <w:spacing w:after="0" w:line="240" w:lineRule="auto"/>
        <w:ind w:left="426" w:right="375"/>
        <w:jc w:val="left"/>
        <w:rPr>
          <w:rFonts w:ascii="Times New Roman" w:hAnsi="Times New Roman" w:cs="Times New Roman"/>
          <w:sz w:val="22"/>
        </w:rPr>
      </w:pPr>
    </w:p>
    <w:p w14:paraId="70311ED5" w14:textId="52DE9FE7"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36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was achieved by 43% of the patients receiving ongoing weekly adalimumab and 28% of the patients who were withdrawn from adalimumab treatment after Week 12 (p&lt;0.05), in the pooled Study HS-I and Study HS-II population. </w:t>
      </w:r>
    </w:p>
    <w:p w14:paraId="7264EE9C" w14:textId="77777777" w:rsidR="005348F7" w:rsidRPr="00DD1F63" w:rsidRDefault="005348F7" w:rsidP="00377A09">
      <w:pPr>
        <w:spacing w:after="0" w:line="240" w:lineRule="auto"/>
        <w:ind w:left="426" w:right="370"/>
        <w:jc w:val="left"/>
        <w:rPr>
          <w:rFonts w:ascii="Times New Roman" w:hAnsi="Times New Roman" w:cs="Times New Roman"/>
          <w:sz w:val="22"/>
        </w:rPr>
      </w:pPr>
    </w:p>
    <w:p w14:paraId="2778D002" w14:textId="23EC1FB4"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the 88 patients randomised to adalimumab continuous weekly dosing who were at least partial responders at Week 12 and subsequently entered the open-label extension study, 81 and 53 patients </w:t>
      </w:r>
      <w:r w:rsidRPr="00DD1F63">
        <w:rPr>
          <w:rFonts w:ascii="Times New Roman" w:hAnsi="Times New Roman" w:cs="Times New Roman"/>
          <w:sz w:val="22"/>
        </w:rPr>
        <w:lastRenderedPageBreak/>
        <w:t xml:space="preserve">had observed efficacy assessments at Week 48 and Week 96, respectively. The overall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response rate at Week 12 was maintained through Week 96. </w:t>
      </w:r>
    </w:p>
    <w:p w14:paraId="431EB231" w14:textId="77777777" w:rsidR="005348F7" w:rsidRPr="00DD1F63" w:rsidRDefault="005348F7" w:rsidP="00377A09">
      <w:pPr>
        <w:spacing w:after="0" w:line="240" w:lineRule="auto"/>
        <w:ind w:left="426" w:right="375"/>
        <w:jc w:val="left"/>
        <w:rPr>
          <w:rFonts w:ascii="Times New Roman" w:hAnsi="Times New Roman" w:cs="Times New Roman"/>
          <w:sz w:val="22"/>
        </w:rPr>
      </w:pPr>
    </w:p>
    <w:p w14:paraId="1D477D1A" w14:textId="1D8944CC" w:rsidR="005348F7"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Greater improvements at Week 12 from baseline compared to placebo were demonstrated in skin</w:t>
      </w:r>
      <w:r w:rsidR="00E05F7F" w:rsidRPr="00DD1F63">
        <w:rPr>
          <w:rFonts w:ascii="Times New Roman" w:hAnsi="Times New Roman" w:cs="Times New Roman"/>
          <w:sz w:val="22"/>
        </w:rPr>
        <w:t>-</w:t>
      </w:r>
      <w:r w:rsidRPr="00DD1F63">
        <w:rPr>
          <w:rFonts w:ascii="Times New Roman" w:hAnsi="Times New Roman" w:cs="Times New Roman"/>
          <w:sz w:val="22"/>
        </w:rPr>
        <w:t>specific health-related quality of life, as measured by the Dermatology Life Quality Index (DLQI; Study HS-II), and patient global satisfaction with medication treatment as measured by the Treatment Satisfaction Questionnaire - medication (TSQM; Study HS-II).</w:t>
      </w:r>
    </w:p>
    <w:p w14:paraId="60D0B5AA" w14:textId="0BA6E90E"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1D62BE6" w14:textId="7F07AB37" w:rsidR="006B7C8E" w:rsidRPr="00DD1F63" w:rsidRDefault="00CA72FF" w:rsidP="00377A09">
      <w:pPr>
        <w:pStyle w:val="Heading5"/>
        <w:spacing w:line="240" w:lineRule="auto"/>
        <w:ind w:left="426" w:right="366"/>
        <w:jc w:val="left"/>
        <w:rPr>
          <w:rFonts w:ascii="Times New Roman" w:hAnsi="Times New Roman" w:cs="Times New Roman"/>
          <w:b w:val="0"/>
          <w:bCs/>
          <w:i/>
          <w:iCs/>
          <w:sz w:val="22"/>
          <w:u w:val="single"/>
        </w:rPr>
      </w:pPr>
      <w:r w:rsidRPr="00DD1F63">
        <w:rPr>
          <w:rFonts w:ascii="Times New Roman" w:hAnsi="Times New Roman" w:cs="Times New Roman"/>
          <w:b w:val="0"/>
          <w:bCs/>
          <w:i/>
          <w:iCs/>
          <w:sz w:val="22"/>
          <w:u w:val="single"/>
        </w:rPr>
        <w:t xml:space="preserve">Adolescents </w:t>
      </w:r>
    </w:p>
    <w:p w14:paraId="728FBA18" w14:textId="77777777" w:rsidR="005348F7" w:rsidRPr="00DD1F63" w:rsidRDefault="005348F7" w:rsidP="00377A09">
      <w:pPr>
        <w:spacing w:after="0" w:line="240" w:lineRule="auto"/>
        <w:ind w:left="426" w:hanging="11"/>
        <w:jc w:val="left"/>
        <w:rPr>
          <w:sz w:val="22"/>
        </w:rPr>
      </w:pPr>
    </w:p>
    <w:p w14:paraId="3FFE9B97" w14:textId="3C73B0AC" w:rsidR="005348F7"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are no clinical trials in adolescent patients with hidradenitis suppurativa (HS). Efficacy of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for the treatment of adolescent patients from 12 years of age with HS is predicted based on the demonstrated efficacy and exposure-response relationship in adult HS patients and the likelihood that the disease course, pathophysiology, and drug effects are substantially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that of adults at the same exposure levels. (</w:t>
      </w:r>
      <w:proofErr w:type="gramStart"/>
      <w:r w:rsidRPr="00DD1F63">
        <w:rPr>
          <w:rFonts w:ascii="Times New Roman" w:hAnsi="Times New Roman" w:cs="Times New Roman"/>
          <w:sz w:val="22"/>
        </w:rPr>
        <w:t>see</w:t>
      </w:r>
      <w:proofErr w:type="gramEnd"/>
      <w:r w:rsidRPr="00DD1F63">
        <w:rPr>
          <w:rFonts w:ascii="Times New Roman" w:hAnsi="Times New Roman" w:cs="Times New Roman"/>
          <w:sz w:val="22"/>
        </w:rPr>
        <w:t xml:space="preserve"> </w:t>
      </w:r>
      <w:r w:rsidR="00385000" w:rsidRPr="00DD1F63">
        <w:rPr>
          <w:rFonts w:ascii="Times New Roman" w:hAnsi="Times New Roman" w:cs="Times New Roman"/>
          <w:sz w:val="22"/>
        </w:rPr>
        <w:t xml:space="preserve">section </w:t>
      </w:r>
      <w:r w:rsidRPr="00DD1F63">
        <w:rPr>
          <w:rFonts w:ascii="Times New Roman" w:hAnsi="Times New Roman" w:cs="Times New Roman"/>
          <w:sz w:val="22"/>
        </w:rPr>
        <w:t xml:space="preserve">5.2 </w:t>
      </w:r>
      <w:r w:rsidR="00385000" w:rsidRPr="00DD1F63">
        <w:rPr>
          <w:rFonts w:ascii="Times New Roman" w:hAnsi="Times New Roman" w:cs="Times New Roman"/>
          <w:sz w:val="22"/>
        </w:rPr>
        <w:t>P</w:t>
      </w:r>
      <w:r w:rsidR="00E05F7F" w:rsidRPr="00DD1F63">
        <w:rPr>
          <w:rFonts w:ascii="Times New Roman" w:hAnsi="Times New Roman" w:cs="Times New Roman"/>
          <w:bCs/>
          <w:sz w:val="22"/>
        </w:rPr>
        <w:t>harmacokinetic properties</w:t>
      </w:r>
      <w:r w:rsidRPr="00DD1F63">
        <w:rPr>
          <w:rFonts w:ascii="Times New Roman" w:hAnsi="Times New Roman" w:cs="Times New Roman"/>
          <w:sz w:val="22"/>
        </w:rPr>
        <w:t xml:space="preserve">). </w:t>
      </w:r>
    </w:p>
    <w:p w14:paraId="505EFB08" w14:textId="52DE94C8"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sz w:val="22"/>
        </w:rPr>
        <w:t xml:space="preserve"> </w:t>
      </w:r>
    </w:p>
    <w:p w14:paraId="0DF6DF3B" w14:textId="77777777" w:rsidR="00251F38" w:rsidRPr="00DD1F63" w:rsidRDefault="00E05F7F" w:rsidP="00377A09">
      <w:pPr>
        <w:spacing w:after="0" w:line="240" w:lineRule="auto"/>
        <w:ind w:left="426" w:hanging="11"/>
        <w:jc w:val="left"/>
        <w:rPr>
          <w:rFonts w:ascii="Times New Roman" w:hAnsi="Times New Roman" w:cs="Times New Roman"/>
          <w:bCs/>
          <w:sz w:val="22"/>
          <w:u w:val="single"/>
        </w:rPr>
      </w:pPr>
      <w:r w:rsidRPr="00DD1F63">
        <w:rPr>
          <w:rFonts w:ascii="Times New Roman" w:hAnsi="Times New Roman" w:cs="Times New Roman"/>
          <w:bCs/>
          <w:sz w:val="22"/>
          <w:u w:val="single"/>
        </w:rPr>
        <w:t>Clinical trials for uveitis</w:t>
      </w:r>
    </w:p>
    <w:p w14:paraId="18499A28" w14:textId="552D80FE" w:rsidR="005348F7" w:rsidRPr="00DD1F63" w:rsidRDefault="00E05F7F" w:rsidP="00377A09">
      <w:pPr>
        <w:spacing w:after="0" w:line="240" w:lineRule="auto"/>
        <w:ind w:left="426" w:hanging="11"/>
        <w:jc w:val="left"/>
        <w:rPr>
          <w:sz w:val="22"/>
        </w:rPr>
      </w:pPr>
      <w:r w:rsidRPr="00DD1F63">
        <w:rPr>
          <w:rFonts w:ascii="Times New Roman" w:hAnsi="Times New Roman" w:cs="Times New Roman"/>
          <w:b/>
        </w:rPr>
        <w:t xml:space="preserve"> </w:t>
      </w:r>
    </w:p>
    <w:p w14:paraId="074399A7" w14:textId="026BF8E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were assessed in adult patients with non-infectious intermediate, posterior, and </w:t>
      </w:r>
      <w:proofErr w:type="spellStart"/>
      <w:r w:rsidRPr="00DD1F63">
        <w:rPr>
          <w:rFonts w:ascii="Times New Roman" w:hAnsi="Times New Roman" w:cs="Times New Roman"/>
          <w:sz w:val="22"/>
        </w:rPr>
        <w:t>panuveitis</w:t>
      </w:r>
      <w:proofErr w:type="spellEnd"/>
      <w:r w:rsidRPr="00DD1F63">
        <w:rPr>
          <w:rFonts w:ascii="Times New Roman" w:hAnsi="Times New Roman" w:cs="Times New Roman"/>
          <w:sz w:val="22"/>
        </w:rPr>
        <w:t xml:space="preserve"> (also known as “non-infectious uveitis affecting the posterior segment”), excluding patients with isolated anterior uveitis, in two randomised, double-masked, placebo-controlled studies (UV I and II). Patients received placebo or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at an initial dose of 80 mg followed by 40 mg fortnightly starting one week after the initial dose. Concomitant stable doses of non-biologic </w:t>
      </w:r>
      <w:proofErr w:type="gramStart"/>
      <w:r w:rsidR="00385000" w:rsidRPr="00DD1F63">
        <w:rPr>
          <w:rFonts w:ascii="Times New Roman" w:hAnsi="Times New Roman" w:cs="Times New Roman"/>
          <w:sz w:val="22"/>
        </w:rPr>
        <w:t>immune-</w:t>
      </w:r>
      <w:r w:rsidRPr="00DD1F63">
        <w:rPr>
          <w:rFonts w:ascii="Times New Roman" w:hAnsi="Times New Roman" w:cs="Times New Roman"/>
          <w:sz w:val="22"/>
        </w:rPr>
        <w:t>suppressants</w:t>
      </w:r>
      <w:proofErr w:type="gramEnd"/>
      <w:r w:rsidRPr="00DD1F63">
        <w:rPr>
          <w:rFonts w:ascii="Times New Roman" w:hAnsi="Times New Roman" w:cs="Times New Roman"/>
          <w:sz w:val="22"/>
        </w:rPr>
        <w:t xml:space="preserve"> were permitted. The primary efficacy endpoint in both studies was ´time to treatment failure´. Following initial control of disease, a prolongation in time to treatment failure will result in reduced risk of disease flares, </w:t>
      </w:r>
      <w:proofErr w:type="gramStart"/>
      <w:r w:rsidRPr="00DD1F63">
        <w:rPr>
          <w:rFonts w:ascii="Times New Roman" w:hAnsi="Times New Roman" w:cs="Times New Roman"/>
          <w:sz w:val="22"/>
        </w:rPr>
        <w:t>inflammation</w:t>
      </w:r>
      <w:proofErr w:type="gramEnd"/>
      <w:r w:rsidRPr="00DD1F63">
        <w:rPr>
          <w:rFonts w:ascii="Times New Roman" w:hAnsi="Times New Roman" w:cs="Times New Roman"/>
          <w:sz w:val="22"/>
        </w:rPr>
        <w:t xml:space="preserve"> and vision loss. </w:t>
      </w:r>
    </w:p>
    <w:p w14:paraId="27F69C8D" w14:textId="77777777" w:rsidR="005348F7" w:rsidRPr="00DD1F63" w:rsidRDefault="005348F7" w:rsidP="00377A09">
      <w:pPr>
        <w:spacing w:after="0" w:line="240" w:lineRule="auto"/>
        <w:ind w:left="426" w:right="375"/>
        <w:jc w:val="left"/>
        <w:rPr>
          <w:rFonts w:ascii="Times New Roman" w:hAnsi="Times New Roman" w:cs="Times New Roman"/>
          <w:sz w:val="22"/>
        </w:rPr>
      </w:pPr>
    </w:p>
    <w:p w14:paraId="476A525E" w14:textId="11C2A297"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Treatment failure was defined by a multi-component outcome based on inflammatory </w:t>
      </w:r>
      <w:proofErr w:type="spellStart"/>
      <w:r w:rsidRPr="00DD1F63">
        <w:rPr>
          <w:rFonts w:ascii="Times New Roman" w:hAnsi="Times New Roman" w:cs="Times New Roman"/>
          <w:sz w:val="22"/>
        </w:rPr>
        <w:t>chorioretinal</w:t>
      </w:r>
      <w:proofErr w:type="spellEnd"/>
      <w:r w:rsidRPr="00DD1F63">
        <w:rPr>
          <w:rFonts w:ascii="Times New Roman" w:hAnsi="Times New Roman" w:cs="Times New Roman"/>
          <w:sz w:val="22"/>
        </w:rPr>
        <w:t xml:space="preserve"> and/or inflammatory retinal vascular lesions, anterior chamber (AC) cell grade, vitreous haze (VH) grade and best corrected visual acuity (BCVA). </w:t>
      </w:r>
    </w:p>
    <w:p w14:paraId="52F53658" w14:textId="77777777" w:rsidR="005348F7" w:rsidRPr="00DD1F63" w:rsidRDefault="005348F7" w:rsidP="00377A09">
      <w:pPr>
        <w:spacing w:after="0" w:line="240" w:lineRule="auto"/>
        <w:ind w:left="426" w:right="375"/>
        <w:jc w:val="left"/>
        <w:rPr>
          <w:rFonts w:ascii="Times New Roman" w:hAnsi="Times New Roman" w:cs="Times New Roman"/>
          <w:sz w:val="22"/>
        </w:rPr>
      </w:pPr>
    </w:p>
    <w:p w14:paraId="54E6AA8D" w14:textId="0337BD5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Study UV I evaluated 217 patients with active uveitis despite treatment with corticosteroids (oral prednisone at a dose of 10 to 60 mg/day). A majority of the 217 patients were female and Caucasian </w:t>
      </w:r>
      <w:r w:rsidRPr="00DD1F63">
        <w:rPr>
          <w:rFonts w:ascii="Times New Roman" w:hAnsi="Times New Roman" w:cs="Times New Roman"/>
          <w:spacing w:val="2"/>
          <w:sz w:val="22"/>
        </w:rPr>
        <w:t xml:space="preserve">with mean age of 42.7 years. There was no statistically significant demographic difference between the placebo and </w:t>
      </w:r>
      <w:r w:rsidR="00E05F7F"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groups. All patients received a standardised dose</w:t>
      </w:r>
      <w:r w:rsidRPr="00DD1F63">
        <w:rPr>
          <w:rFonts w:ascii="Times New Roman" w:hAnsi="Times New Roman" w:cs="Times New Roman"/>
          <w:sz w:val="22"/>
        </w:rPr>
        <w:t xml:space="preserve"> of prednisone 60 mg/day at study entry followed by a mandatory taper schedule, with complete corticosteroid discontinuation by Week 15.</w:t>
      </w:r>
    </w:p>
    <w:p w14:paraId="46BB5D9A" w14:textId="77777777" w:rsidR="005348F7" w:rsidRPr="00DD1F63" w:rsidRDefault="005348F7" w:rsidP="00377A09">
      <w:pPr>
        <w:spacing w:after="0" w:line="240" w:lineRule="auto"/>
        <w:ind w:left="426" w:right="375"/>
        <w:jc w:val="left"/>
        <w:rPr>
          <w:rFonts w:ascii="Times New Roman" w:hAnsi="Times New Roman" w:cs="Times New Roman"/>
          <w:sz w:val="22"/>
        </w:rPr>
      </w:pPr>
    </w:p>
    <w:p w14:paraId="3029CB39" w14:textId="0C68424D"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Study UV II evaluated 226 patients with inactive uveitis requiring chronic corticosteroid treatment (oral prednisone 10 to 35 mg/day) at baseline to control their disease. A majority of the 226 patients were female and Caucasian with mean age of 42.5 years. There was no statistically significant demographic difference between the placebo and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groups. Patients subsequently underwent a mandatory taper schedule, with complete corticosteroid discontinuation by Week 19. </w:t>
      </w:r>
    </w:p>
    <w:p w14:paraId="0EB79156" w14:textId="77777777" w:rsidR="005348F7" w:rsidRPr="00DD1F63" w:rsidRDefault="005348F7" w:rsidP="00377A09">
      <w:pPr>
        <w:spacing w:after="0" w:line="240" w:lineRule="auto"/>
        <w:ind w:left="426" w:right="375"/>
        <w:jc w:val="left"/>
        <w:rPr>
          <w:rFonts w:ascii="Times New Roman" w:hAnsi="Times New Roman" w:cs="Times New Roman"/>
          <w:sz w:val="22"/>
        </w:rPr>
      </w:pPr>
    </w:p>
    <w:p w14:paraId="4E66280B" w14:textId="16C44037" w:rsidR="006B7C8E" w:rsidRPr="00DD1F63" w:rsidRDefault="00CA72FF" w:rsidP="00377A09">
      <w:pPr>
        <w:pStyle w:val="Heading4"/>
        <w:spacing w:after="0" w:line="240" w:lineRule="auto"/>
        <w:ind w:left="426"/>
        <w:rPr>
          <w:rFonts w:ascii="Times New Roman" w:hAnsi="Times New Roman" w:cs="Times New Roman"/>
          <w:b/>
          <w:i/>
          <w:iCs/>
          <w:u w:val="none"/>
        </w:rPr>
      </w:pPr>
      <w:r w:rsidRPr="00DD1F63">
        <w:rPr>
          <w:rFonts w:ascii="Times New Roman" w:hAnsi="Times New Roman" w:cs="Times New Roman"/>
          <w:i/>
          <w:iCs/>
          <w:u w:val="none"/>
        </w:rPr>
        <w:t xml:space="preserve">Clinical </w:t>
      </w:r>
      <w:r w:rsidR="00E05F7F" w:rsidRPr="00DD1F63">
        <w:rPr>
          <w:rFonts w:ascii="Times New Roman" w:hAnsi="Times New Roman" w:cs="Times New Roman"/>
          <w:i/>
          <w:iCs/>
          <w:u w:val="none"/>
        </w:rPr>
        <w:t>r</w:t>
      </w:r>
      <w:r w:rsidRPr="00DD1F63">
        <w:rPr>
          <w:rFonts w:ascii="Times New Roman" w:hAnsi="Times New Roman" w:cs="Times New Roman"/>
          <w:i/>
          <w:iCs/>
          <w:u w:val="none"/>
        </w:rPr>
        <w:t>esults</w:t>
      </w:r>
      <w:r w:rsidRPr="00DD1F63">
        <w:rPr>
          <w:rFonts w:ascii="Times New Roman" w:hAnsi="Times New Roman" w:cs="Times New Roman"/>
          <w:b/>
          <w:i/>
          <w:iCs/>
          <w:u w:val="none"/>
        </w:rPr>
        <w:t xml:space="preserve"> </w:t>
      </w:r>
    </w:p>
    <w:p w14:paraId="065DF38F" w14:textId="77777777" w:rsidR="005348F7" w:rsidRPr="00DD1F63" w:rsidRDefault="005348F7" w:rsidP="00377A09">
      <w:pPr>
        <w:spacing w:after="0" w:line="240" w:lineRule="auto"/>
        <w:ind w:left="426" w:hanging="11"/>
        <w:jc w:val="left"/>
        <w:rPr>
          <w:sz w:val="22"/>
        </w:rPr>
      </w:pPr>
    </w:p>
    <w:p w14:paraId="401AFBC6" w14:textId="461FDDC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from both studies demonstrated statistically significant reduction of the risk of treatment failure in patients treated with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versus patients receiving placebo (see Table </w:t>
      </w:r>
      <w:r w:rsidR="00BD4FF7" w:rsidRPr="00DD1F63">
        <w:rPr>
          <w:rFonts w:ascii="Times New Roman" w:hAnsi="Times New Roman" w:cs="Times New Roman"/>
          <w:sz w:val="22"/>
        </w:rPr>
        <w:t>30</w:t>
      </w:r>
      <w:r w:rsidRPr="00DD1F63">
        <w:rPr>
          <w:rFonts w:ascii="Times New Roman" w:hAnsi="Times New Roman" w:cs="Times New Roman"/>
          <w:sz w:val="22"/>
        </w:rPr>
        <w:t xml:space="preserve">). Both studies demonstrated an early and sustained effect of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on the treatment failure rate versus placebo (see Figure </w:t>
      </w:r>
      <w:r w:rsidR="00BA33C2" w:rsidRPr="00DD1F63">
        <w:rPr>
          <w:rFonts w:ascii="Times New Roman" w:hAnsi="Times New Roman" w:cs="Times New Roman"/>
          <w:sz w:val="22"/>
        </w:rPr>
        <w:t>6</w:t>
      </w:r>
      <w:r w:rsidRPr="00DD1F63">
        <w:rPr>
          <w:rFonts w:ascii="Times New Roman" w:hAnsi="Times New Roman" w:cs="Times New Roman"/>
          <w:sz w:val="22"/>
        </w:rPr>
        <w:t xml:space="preserve">). </w:t>
      </w:r>
    </w:p>
    <w:p w14:paraId="2CA7F8A8" w14:textId="77777777" w:rsidR="0053464D" w:rsidRPr="00DD1F63" w:rsidRDefault="0053464D" w:rsidP="00377A09">
      <w:pPr>
        <w:spacing w:after="0" w:line="240" w:lineRule="auto"/>
        <w:ind w:left="426" w:right="375"/>
        <w:jc w:val="left"/>
        <w:rPr>
          <w:rFonts w:ascii="Times New Roman" w:hAnsi="Times New Roman" w:cs="Times New Roman"/>
        </w:rPr>
      </w:pPr>
    </w:p>
    <w:tbl>
      <w:tblPr>
        <w:tblStyle w:val="TableGrid0"/>
        <w:tblW w:w="0" w:type="auto"/>
        <w:tblInd w:w="426" w:type="dxa"/>
        <w:tblLayout w:type="fixed"/>
        <w:tblCellMar>
          <w:left w:w="57" w:type="dxa"/>
          <w:right w:w="57" w:type="dxa"/>
        </w:tblCellMar>
        <w:tblLook w:val="04A0" w:firstRow="1" w:lastRow="0" w:firstColumn="1" w:lastColumn="0" w:noHBand="0" w:noVBand="1"/>
      </w:tblPr>
      <w:tblGrid>
        <w:gridCol w:w="1281"/>
        <w:gridCol w:w="1281"/>
        <w:gridCol w:w="1281"/>
        <w:gridCol w:w="1282"/>
        <w:gridCol w:w="1281"/>
        <w:gridCol w:w="1281"/>
        <w:gridCol w:w="1282"/>
      </w:tblGrid>
      <w:tr w:rsidR="00216797" w:rsidRPr="00DD1F63" w14:paraId="577713EB" w14:textId="77777777" w:rsidTr="0053464D">
        <w:tc>
          <w:tcPr>
            <w:tcW w:w="8969" w:type="dxa"/>
            <w:gridSpan w:val="7"/>
            <w:tcBorders>
              <w:bottom w:val="single" w:sz="4" w:space="0" w:color="auto"/>
            </w:tcBorders>
          </w:tcPr>
          <w:p w14:paraId="30B9802D" w14:textId="5D442DCD"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lastRenderedPageBreak/>
              <w:t xml:space="preserve">Table </w:t>
            </w:r>
            <w:r w:rsidR="00BD4FF7" w:rsidRPr="00DD1F63">
              <w:rPr>
                <w:rFonts w:ascii="Times New Roman" w:hAnsi="Times New Roman" w:cs="Times New Roman"/>
                <w:b/>
                <w:bCs/>
              </w:rPr>
              <w:t>30</w:t>
            </w:r>
            <w:r w:rsidRPr="00DD1F63">
              <w:rPr>
                <w:rFonts w:ascii="Times New Roman" w:hAnsi="Times New Roman" w:cs="Times New Roman"/>
                <w:b/>
                <w:bCs/>
              </w:rPr>
              <w:t xml:space="preserve">: Time to </w:t>
            </w:r>
            <w:r w:rsidR="0053464D" w:rsidRPr="00DD1F63">
              <w:rPr>
                <w:rFonts w:ascii="Times New Roman" w:hAnsi="Times New Roman" w:cs="Times New Roman"/>
                <w:b/>
                <w:bCs/>
              </w:rPr>
              <w:t>t</w:t>
            </w:r>
            <w:r w:rsidRPr="00DD1F63">
              <w:rPr>
                <w:rFonts w:ascii="Times New Roman" w:hAnsi="Times New Roman" w:cs="Times New Roman"/>
                <w:b/>
                <w:bCs/>
              </w:rPr>
              <w:t xml:space="preserve">reatment </w:t>
            </w:r>
            <w:r w:rsidR="0053464D" w:rsidRPr="00DD1F63">
              <w:rPr>
                <w:rFonts w:ascii="Times New Roman" w:hAnsi="Times New Roman" w:cs="Times New Roman"/>
                <w:b/>
                <w:bCs/>
              </w:rPr>
              <w:t>f</w:t>
            </w:r>
            <w:r w:rsidRPr="00DD1F63">
              <w:rPr>
                <w:rFonts w:ascii="Times New Roman" w:hAnsi="Times New Roman" w:cs="Times New Roman"/>
                <w:b/>
                <w:bCs/>
              </w:rPr>
              <w:t xml:space="preserve">ailure in </w:t>
            </w:r>
            <w:r w:rsidR="0053464D" w:rsidRPr="00DD1F63">
              <w:rPr>
                <w:rFonts w:ascii="Times New Roman" w:hAnsi="Times New Roman" w:cs="Times New Roman"/>
                <w:b/>
                <w:bCs/>
              </w:rPr>
              <w:t>s</w:t>
            </w:r>
            <w:r w:rsidRPr="00DD1F63">
              <w:rPr>
                <w:rFonts w:ascii="Times New Roman" w:hAnsi="Times New Roman" w:cs="Times New Roman"/>
                <w:b/>
                <w:bCs/>
              </w:rPr>
              <w:t>tudies UV I and UV II</w:t>
            </w:r>
          </w:p>
        </w:tc>
      </w:tr>
      <w:tr w:rsidR="00216797" w:rsidRPr="00DD1F63" w14:paraId="3328B106" w14:textId="77777777" w:rsidTr="0053464D">
        <w:tc>
          <w:tcPr>
            <w:tcW w:w="1281" w:type="dxa"/>
            <w:tcBorders>
              <w:right w:val="nil"/>
            </w:tcBorders>
            <w:vAlign w:val="center"/>
          </w:tcPr>
          <w:p w14:paraId="0E43F97D" w14:textId="68696BC5"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Analysis Treatment</w:t>
            </w:r>
          </w:p>
        </w:tc>
        <w:tc>
          <w:tcPr>
            <w:tcW w:w="1281" w:type="dxa"/>
            <w:tcBorders>
              <w:left w:val="nil"/>
              <w:right w:val="nil"/>
            </w:tcBorders>
            <w:vAlign w:val="center"/>
          </w:tcPr>
          <w:p w14:paraId="60C6DF17" w14:textId="7E11A143"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N</w:t>
            </w:r>
          </w:p>
        </w:tc>
        <w:tc>
          <w:tcPr>
            <w:tcW w:w="1281" w:type="dxa"/>
            <w:tcBorders>
              <w:left w:val="nil"/>
              <w:right w:val="nil"/>
            </w:tcBorders>
            <w:vAlign w:val="center"/>
          </w:tcPr>
          <w:p w14:paraId="4869556A" w14:textId="0D6152C6"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Failure N (%)</w:t>
            </w:r>
          </w:p>
        </w:tc>
        <w:tc>
          <w:tcPr>
            <w:tcW w:w="1282" w:type="dxa"/>
            <w:tcBorders>
              <w:left w:val="nil"/>
              <w:right w:val="nil"/>
            </w:tcBorders>
            <w:vAlign w:val="center"/>
          </w:tcPr>
          <w:p w14:paraId="0BFE981B" w14:textId="162FA594"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Median Time to Failure (months)</w:t>
            </w:r>
          </w:p>
        </w:tc>
        <w:tc>
          <w:tcPr>
            <w:tcW w:w="1281" w:type="dxa"/>
            <w:tcBorders>
              <w:left w:val="nil"/>
              <w:right w:val="nil"/>
            </w:tcBorders>
            <w:vAlign w:val="center"/>
          </w:tcPr>
          <w:p w14:paraId="411DFA0F" w14:textId="6B495EFF" w:rsidR="00216797" w:rsidRPr="00DD1F63" w:rsidRDefault="00216797" w:rsidP="00377A09">
            <w:pPr>
              <w:spacing w:after="0" w:line="240" w:lineRule="auto"/>
              <w:ind w:left="0" w:firstLine="0"/>
              <w:jc w:val="left"/>
              <w:rPr>
                <w:rFonts w:ascii="Times New Roman" w:hAnsi="Times New Roman" w:cs="Times New Roman"/>
                <w:b/>
                <w:bCs/>
              </w:rPr>
            </w:pPr>
            <w:proofErr w:type="spellStart"/>
            <w:r w:rsidRPr="00DD1F63">
              <w:rPr>
                <w:rFonts w:ascii="Times New Roman" w:hAnsi="Times New Roman" w:cs="Times New Roman"/>
                <w:b/>
                <w:bCs/>
              </w:rPr>
              <w:t>HR</w:t>
            </w:r>
            <w:r w:rsidRPr="00DD1F63">
              <w:rPr>
                <w:rFonts w:ascii="Times New Roman" w:hAnsi="Times New Roman" w:cs="Times New Roman"/>
                <w:b/>
                <w:bCs/>
                <w:vertAlign w:val="superscript"/>
              </w:rPr>
              <w:t>a</w:t>
            </w:r>
            <w:proofErr w:type="spellEnd"/>
          </w:p>
        </w:tc>
        <w:tc>
          <w:tcPr>
            <w:tcW w:w="1281" w:type="dxa"/>
            <w:tcBorders>
              <w:left w:val="nil"/>
              <w:right w:val="nil"/>
            </w:tcBorders>
            <w:vAlign w:val="center"/>
          </w:tcPr>
          <w:p w14:paraId="360ED868" w14:textId="5568CD69"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CI 95% for </w:t>
            </w:r>
            <w:proofErr w:type="spellStart"/>
            <w:r w:rsidRPr="00DD1F63">
              <w:rPr>
                <w:rFonts w:ascii="Times New Roman" w:hAnsi="Times New Roman" w:cs="Times New Roman"/>
                <w:b/>
                <w:bCs/>
              </w:rPr>
              <w:t>HR</w:t>
            </w:r>
            <w:r w:rsidRPr="00DD1F63">
              <w:rPr>
                <w:rFonts w:ascii="Times New Roman" w:hAnsi="Times New Roman" w:cs="Times New Roman"/>
                <w:b/>
                <w:bCs/>
                <w:vertAlign w:val="superscript"/>
              </w:rPr>
              <w:t>a</w:t>
            </w:r>
            <w:proofErr w:type="spellEnd"/>
          </w:p>
        </w:tc>
        <w:tc>
          <w:tcPr>
            <w:tcW w:w="1282" w:type="dxa"/>
            <w:tcBorders>
              <w:left w:val="nil"/>
            </w:tcBorders>
            <w:vAlign w:val="center"/>
          </w:tcPr>
          <w:p w14:paraId="3C26AF87" w14:textId="0292F522"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i/>
                <w:iCs/>
              </w:rPr>
              <w:t xml:space="preserve">P </w:t>
            </w:r>
            <w:r w:rsidRPr="00DD1F63">
              <w:rPr>
                <w:rFonts w:ascii="Times New Roman" w:hAnsi="Times New Roman" w:cs="Times New Roman"/>
                <w:b/>
                <w:bCs/>
              </w:rPr>
              <w:t>Value b</w:t>
            </w:r>
          </w:p>
        </w:tc>
      </w:tr>
      <w:tr w:rsidR="00216797" w:rsidRPr="00DD1F63" w14:paraId="559BF007" w14:textId="77777777" w:rsidTr="0053464D">
        <w:tc>
          <w:tcPr>
            <w:tcW w:w="8969" w:type="dxa"/>
            <w:gridSpan w:val="7"/>
            <w:tcBorders>
              <w:bottom w:val="single" w:sz="4" w:space="0" w:color="auto"/>
            </w:tcBorders>
          </w:tcPr>
          <w:p w14:paraId="401A8CE4" w14:textId="55E41BA1"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Time to Treatment Failure </w:t>
            </w:r>
            <w:proofErr w:type="gramStart"/>
            <w:r w:rsidRPr="00DD1F63">
              <w:rPr>
                <w:rFonts w:ascii="Times New Roman" w:hAnsi="Times New Roman" w:cs="Times New Roman"/>
                <w:b/>
                <w:bCs/>
              </w:rPr>
              <w:t>At</w:t>
            </w:r>
            <w:proofErr w:type="gramEnd"/>
            <w:r w:rsidRPr="00DD1F63">
              <w:rPr>
                <w:rFonts w:ascii="Times New Roman" w:hAnsi="Times New Roman" w:cs="Times New Roman"/>
                <w:b/>
                <w:bCs/>
              </w:rPr>
              <w:t xml:space="preserve"> or After Week 6 in Study UV I</w:t>
            </w:r>
          </w:p>
        </w:tc>
      </w:tr>
      <w:tr w:rsidR="0053464D" w:rsidRPr="00DD1F63" w14:paraId="09C1B317" w14:textId="77777777" w:rsidTr="007269A2">
        <w:tc>
          <w:tcPr>
            <w:tcW w:w="2562" w:type="dxa"/>
            <w:gridSpan w:val="2"/>
            <w:tcBorders>
              <w:bottom w:val="nil"/>
              <w:right w:val="nil"/>
            </w:tcBorders>
          </w:tcPr>
          <w:p w14:paraId="68C5C9EF" w14:textId="6EB1CB4F" w:rsidR="0053464D" w:rsidRPr="00DD1F63" w:rsidRDefault="0053464D"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Primary analysis (ITT)</w:t>
            </w:r>
          </w:p>
        </w:tc>
        <w:tc>
          <w:tcPr>
            <w:tcW w:w="1281" w:type="dxa"/>
            <w:tcBorders>
              <w:left w:val="nil"/>
              <w:bottom w:val="nil"/>
              <w:right w:val="nil"/>
            </w:tcBorders>
          </w:tcPr>
          <w:p w14:paraId="06E0B9C8"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2" w:type="dxa"/>
            <w:tcBorders>
              <w:left w:val="nil"/>
              <w:bottom w:val="nil"/>
              <w:right w:val="nil"/>
            </w:tcBorders>
          </w:tcPr>
          <w:p w14:paraId="7643ECF8"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26E6D297"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0029C54C"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2" w:type="dxa"/>
            <w:tcBorders>
              <w:left w:val="nil"/>
              <w:bottom w:val="nil"/>
            </w:tcBorders>
          </w:tcPr>
          <w:p w14:paraId="79D8B5C1" w14:textId="77777777" w:rsidR="0053464D" w:rsidRPr="00DD1F63" w:rsidRDefault="0053464D" w:rsidP="00377A09">
            <w:pPr>
              <w:spacing w:after="0" w:line="240" w:lineRule="auto"/>
              <w:ind w:left="0" w:firstLine="0"/>
              <w:jc w:val="left"/>
              <w:rPr>
                <w:rFonts w:ascii="Times New Roman" w:hAnsi="Times New Roman" w:cs="Times New Roman"/>
              </w:rPr>
            </w:pPr>
          </w:p>
        </w:tc>
      </w:tr>
      <w:tr w:rsidR="00216797" w:rsidRPr="00DD1F63" w14:paraId="353BDE09" w14:textId="77777777" w:rsidTr="0053464D">
        <w:tc>
          <w:tcPr>
            <w:tcW w:w="1281" w:type="dxa"/>
            <w:tcBorders>
              <w:top w:val="nil"/>
              <w:bottom w:val="nil"/>
              <w:right w:val="nil"/>
            </w:tcBorders>
          </w:tcPr>
          <w:p w14:paraId="67002423" w14:textId="29D64DBF"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Placebo</w:t>
            </w:r>
          </w:p>
        </w:tc>
        <w:tc>
          <w:tcPr>
            <w:tcW w:w="1281" w:type="dxa"/>
            <w:tcBorders>
              <w:top w:val="nil"/>
              <w:left w:val="nil"/>
              <w:bottom w:val="nil"/>
              <w:right w:val="nil"/>
            </w:tcBorders>
          </w:tcPr>
          <w:p w14:paraId="0B77480E" w14:textId="5680543D"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107</w:t>
            </w:r>
          </w:p>
        </w:tc>
        <w:tc>
          <w:tcPr>
            <w:tcW w:w="1281" w:type="dxa"/>
            <w:tcBorders>
              <w:top w:val="nil"/>
              <w:left w:val="nil"/>
              <w:bottom w:val="nil"/>
              <w:right w:val="nil"/>
            </w:tcBorders>
          </w:tcPr>
          <w:p w14:paraId="7A1405CB" w14:textId="7FFA3997"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84 (78.5)</w:t>
            </w:r>
          </w:p>
        </w:tc>
        <w:tc>
          <w:tcPr>
            <w:tcW w:w="1282" w:type="dxa"/>
            <w:tcBorders>
              <w:top w:val="nil"/>
              <w:left w:val="nil"/>
              <w:bottom w:val="nil"/>
              <w:right w:val="nil"/>
            </w:tcBorders>
          </w:tcPr>
          <w:p w14:paraId="6D2F2C3D" w14:textId="57AB496E"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3.0</w:t>
            </w:r>
          </w:p>
        </w:tc>
        <w:tc>
          <w:tcPr>
            <w:tcW w:w="1281" w:type="dxa"/>
            <w:tcBorders>
              <w:top w:val="nil"/>
              <w:left w:val="nil"/>
              <w:bottom w:val="nil"/>
              <w:right w:val="nil"/>
            </w:tcBorders>
          </w:tcPr>
          <w:p w14:paraId="45C104CA" w14:textId="49431A4E"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1" w:type="dxa"/>
            <w:tcBorders>
              <w:top w:val="nil"/>
              <w:left w:val="nil"/>
              <w:bottom w:val="nil"/>
              <w:right w:val="nil"/>
            </w:tcBorders>
          </w:tcPr>
          <w:p w14:paraId="18E19120" w14:textId="2E550B16"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2" w:type="dxa"/>
            <w:tcBorders>
              <w:top w:val="nil"/>
              <w:left w:val="nil"/>
              <w:bottom w:val="nil"/>
            </w:tcBorders>
          </w:tcPr>
          <w:p w14:paraId="4D75A4B0" w14:textId="0F972249"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r>
      <w:tr w:rsidR="00216797" w:rsidRPr="00DD1F63" w14:paraId="0F9D4A03" w14:textId="77777777" w:rsidTr="0053464D">
        <w:tc>
          <w:tcPr>
            <w:tcW w:w="1281" w:type="dxa"/>
            <w:tcBorders>
              <w:top w:val="nil"/>
              <w:right w:val="nil"/>
            </w:tcBorders>
          </w:tcPr>
          <w:p w14:paraId="54C1E0E6" w14:textId="61E510EB" w:rsidR="00216797" w:rsidRPr="00DD1F63" w:rsidRDefault="0053464D"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Adalimumab</w:t>
            </w:r>
          </w:p>
        </w:tc>
        <w:tc>
          <w:tcPr>
            <w:tcW w:w="1281" w:type="dxa"/>
            <w:tcBorders>
              <w:top w:val="nil"/>
              <w:left w:val="nil"/>
              <w:right w:val="nil"/>
            </w:tcBorders>
          </w:tcPr>
          <w:p w14:paraId="2CDDCB65" w14:textId="4C7680BB"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110</w:t>
            </w:r>
          </w:p>
        </w:tc>
        <w:tc>
          <w:tcPr>
            <w:tcW w:w="1281" w:type="dxa"/>
            <w:tcBorders>
              <w:top w:val="nil"/>
              <w:left w:val="nil"/>
              <w:right w:val="nil"/>
            </w:tcBorders>
          </w:tcPr>
          <w:p w14:paraId="53D0B47C" w14:textId="6BC910A2"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60 (54.5)</w:t>
            </w:r>
          </w:p>
        </w:tc>
        <w:tc>
          <w:tcPr>
            <w:tcW w:w="1282" w:type="dxa"/>
            <w:tcBorders>
              <w:top w:val="nil"/>
              <w:left w:val="nil"/>
              <w:right w:val="nil"/>
            </w:tcBorders>
          </w:tcPr>
          <w:p w14:paraId="08A8EE3D" w14:textId="18EFB299"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5.6</w:t>
            </w:r>
          </w:p>
        </w:tc>
        <w:tc>
          <w:tcPr>
            <w:tcW w:w="1281" w:type="dxa"/>
            <w:tcBorders>
              <w:top w:val="nil"/>
              <w:left w:val="nil"/>
              <w:right w:val="nil"/>
            </w:tcBorders>
          </w:tcPr>
          <w:p w14:paraId="53C850EF" w14:textId="7FD694AD"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0.50</w:t>
            </w:r>
          </w:p>
        </w:tc>
        <w:tc>
          <w:tcPr>
            <w:tcW w:w="1281" w:type="dxa"/>
            <w:tcBorders>
              <w:top w:val="nil"/>
              <w:left w:val="nil"/>
              <w:right w:val="nil"/>
            </w:tcBorders>
          </w:tcPr>
          <w:p w14:paraId="46D5B232" w14:textId="4316A66F"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0.36, 0.70</w:t>
            </w:r>
          </w:p>
        </w:tc>
        <w:tc>
          <w:tcPr>
            <w:tcW w:w="1282" w:type="dxa"/>
            <w:tcBorders>
              <w:top w:val="nil"/>
              <w:left w:val="nil"/>
            </w:tcBorders>
          </w:tcPr>
          <w:p w14:paraId="2834E0B5" w14:textId="5D5BD481"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&lt; 0.001</w:t>
            </w:r>
          </w:p>
        </w:tc>
      </w:tr>
      <w:tr w:rsidR="00216797" w:rsidRPr="00DD1F63" w14:paraId="64DE7B46" w14:textId="77777777" w:rsidTr="0053464D">
        <w:tc>
          <w:tcPr>
            <w:tcW w:w="8969" w:type="dxa"/>
            <w:gridSpan w:val="7"/>
            <w:tcBorders>
              <w:bottom w:val="single" w:sz="4" w:space="0" w:color="auto"/>
            </w:tcBorders>
          </w:tcPr>
          <w:p w14:paraId="5451E581" w14:textId="56DD163B" w:rsidR="00216797" w:rsidRPr="00DD1F63" w:rsidRDefault="00216797" w:rsidP="00377A09">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Time to Treatment Failure </w:t>
            </w:r>
            <w:proofErr w:type="gramStart"/>
            <w:r w:rsidRPr="00DD1F63">
              <w:rPr>
                <w:rFonts w:ascii="Times New Roman" w:hAnsi="Times New Roman" w:cs="Times New Roman"/>
                <w:b/>
                <w:bCs/>
              </w:rPr>
              <w:t>At</w:t>
            </w:r>
            <w:proofErr w:type="gramEnd"/>
            <w:r w:rsidRPr="00DD1F63">
              <w:rPr>
                <w:rFonts w:ascii="Times New Roman" w:hAnsi="Times New Roman" w:cs="Times New Roman"/>
                <w:b/>
                <w:bCs/>
              </w:rPr>
              <w:t xml:space="preserve"> or After Week 2 in Study UV II</w:t>
            </w:r>
          </w:p>
        </w:tc>
      </w:tr>
      <w:tr w:rsidR="0053464D" w:rsidRPr="00DD1F63" w14:paraId="2E7D96AB" w14:textId="77777777" w:rsidTr="0053464D">
        <w:tc>
          <w:tcPr>
            <w:tcW w:w="2562" w:type="dxa"/>
            <w:gridSpan w:val="2"/>
            <w:tcBorders>
              <w:bottom w:val="nil"/>
              <w:right w:val="nil"/>
            </w:tcBorders>
          </w:tcPr>
          <w:p w14:paraId="7B37DE84" w14:textId="05D4632A" w:rsidR="0053464D" w:rsidRPr="00DD1F63" w:rsidRDefault="0053464D"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Primary analysis (ITT)</w:t>
            </w:r>
          </w:p>
        </w:tc>
        <w:tc>
          <w:tcPr>
            <w:tcW w:w="1281" w:type="dxa"/>
            <w:tcBorders>
              <w:left w:val="nil"/>
              <w:bottom w:val="nil"/>
              <w:right w:val="nil"/>
            </w:tcBorders>
          </w:tcPr>
          <w:p w14:paraId="296059ED"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2" w:type="dxa"/>
            <w:tcBorders>
              <w:left w:val="nil"/>
              <w:bottom w:val="nil"/>
              <w:right w:val="nil"/>
            </w:tcBorders>
          </w:tcPr>
          <w:p w14:paraId="7066A932"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2D75C3AC"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19E07587" w14:textId="77777777" w:rsidR="0053464D" w:rsidRPr="00DD1F63" w:rsidRDefault="0053464D" w:rsidP="00377A09">
            <w:pPr>
              <w:spacing w:after="0" w:line="240" w:lineRule="auto"/>
              <w:ind w:left="0" w:firstLine="0"/>
              <w:jc w:val="left"/>
              <w:rPr>
                <w:rFonts w:ascii="Times New Roman" w:hAnsi="Times New Roman" w:cs="Times New Roman"/>
              </w:rPr>
            </w:pPr>
          </w:p>
        </w:tc>
        <w:tc>
          <w:tcPr>
            <w:tcW w:w="1282" w:type="dxa"/>
            <w:tcBorders>
              <w:left w:val="nil"/>
              <w:bottom w:val="nil"/>
            </w:tcBorders>
          </w:tcPr>
          <w:p w14:paraId="53097FED" w14:textId="77777777" w:rsidR="0053464D" w:rsidRPr="00DD1F63" w:rsidRDefault="0053464D" w:rsidP="00377A09">
            <w:pPr>
              <w:spacing w:after="0" w:line="240" w:lineRule="auto"/>
              <w:ind w:left="0" w:firstLine="0"/>
              <w:jc w:val="left"/>
              <w:rPr>
                <w:rFonts w:ascii="Times New Roman" w:hAnsi="Times New Roman" w:cs="Times New Roman"/>
              </w:rPr>
            </w:pPr>
          </w:p>
        </w:tc>
      </w:tr>
      <w:tr w:rsidR="00216797" w:rsidRPr="00DD1F63" w14:paraId="7600BF7A" w14:textId="77777777" w:rsidTr="0053464D">
        <w:tc>
          <w:tcPr>
            <w:tcW w:w="1281" w:type="dxa"/>
            <w:tcBorders>
              <w:top w:val="nil"/>
              <w:bottom w:val="nil"/>
              <w:right w:val="nil"/>
            </w:tcBorders>
          </w:tcPr>
          <w:p w14:paraId="0C6FACBC" w14:textId="44A7D013"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Placebo</w:t>
            </w:r>
          </w:p>
        </w:tc>
        <w:tc>
          <w:tcPr>
            <w:tcW w:w="1281" w:type="dxa"/>
            <w:tcBorders>
              <w:top w:val="nil"/>
              <w:left w:val="nil"/>
              <w:bottom w:val="nil"/>
              <w:right w:val="nil"/>
            </w:tcBorders>
          </w:tcPr>
          <w:p w14:paraId="33426BBC" w14:textId="192F63C7"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111</w:t>
            </w:r>
          </w:p>
        </w:tc>
        <w:tc>
          <w:tcPr>
            <w:tcW w:w="1281" w:type="dxa"/>
            <w:tcBorders>
              <w:top w:val="nil"/>
              <w:left w:val="nil"/>
              <w:bottom w:val="nil"/>
              <w:right w:val="nil"/>
            </w:tcBorders>
          </w:tcPr>
          <w:p w14:paraId="162BD10F" w14:textId="034028E5"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61 (55.0)</w:t>
            </w:r>
          </w:p>
        </w:tc>
        <w:tc>
          <w:tcPr>
            <w:tcW w:w="1282" w:type="dxa"/>
            <w:tcBorders>
              <w:top w:val="nil"/>
              <w:left w:val="nil"/>
              <w:bottom w:val="nil"/>
              <w:right w:val="nil"/>
            </w:tcBorders>
          </w:tcPr>
          <w:p w14:paraId="29FFE40C" w14:textId="3A23D5A1"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8.3</w:t>
            </w:r>
          </w:p>
        </w:tc>
        <w:tc>
          <w:tcPr>
            <w:tcW w:w="1281" w:type="dxa"/>
            <w:tcBorders>
              <w:top w:val="nil"/>
              <w:left w:val="nil"/>
              <w:bottom w:val="nil"/>
              <w:right w:val="nil"/>
            </w:tcBorders>
          </w:tcPr>
          <w:p w14:paraId="58DC71A8" w14:textId="24C65FAE"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1" w:type="dxa"/>
            <w:tcBorders>
              <w:top w:val="nil"/>
              <w:left w:val="nil"/>
              <w:bottom w:val="nil"/>
              <w:right w:val="nil"/>
            </w:tcBorders>
          </w:tcPr>
          <w:p w14:paraId="1C0116F2" w14:textId="6F4DED8E"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2" w:type="dxa"/>
            <w:tcBorders>
              <w:top w:val="nil"/>
              <w:left w:val="nil"/>
              <w:bottom w:val="nil"/>
            </w:tcBorders>
          </w:tcPr>
          <w:p w14:paraId="70D9FE61" w14:textId="1B9F4C69"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r>
      <w:tr w:rsidR="00216797" w:rsidRPr="00DD1F63" w14:paraId="2739AA46" w14:textId="77777777" w:rsidTr="0053464D">
        <w:tc>
          <w:tcPr>
            <w:tcW w:w="1281" w:type="dxa"/>
            <w:tcBorders>
              <w:top w:val="nil"/>
              <w:right w:val="nil"/>
            </w:tcBorders>
          </w:tcPr>
          <w:p w14:paraId="372ED146" w14:textId="2BC6FB49" w:rsidR="00216797" w:rsidRPr="00DD1F63" w:rsidRDefault="0053464D"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Adalimumab</w:t>
            </w:r>
          </w:p>
        </w:tc>
        <w:tc>
          <w:tcPr>
            <w:tcW w:w="1281" w:type="dxa"/>
            <w:tcBorders>
              <w:top w:val="nil"/>
              <w:left w:val="nil"/>
              <w:right w:val="nil"/>
            </w:tcBorders>
          </w:tcPr>
          <w:p w14:paraId="1A1F3848" w14:textId="160C15E8"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115</w:t>
            </w:r>
          </w:p>
        </w:tc>
        <w:tc>
          <w:tcPr>
            <w:tcW w:w="1281" w:type="dxa"/>
            <w:tcBorders>
              <w:top w:val="nil"/>
              <w:left w:val="nil"/>
              <w:right w:val="nil"/>
            </w:tcBorders>
          </w:tcPr>
          <w:p w14:paraId="3ABEF16E" w14:textId="076BC33E"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45 (39.1)</w:t>
            </w:r>
          </w:p>
        </w:tc>
        <w:tc>
          <w:tcPr>
            <w:tcW w:w="1282" w:type="dxa"/>
            <w:tcBorders>
              <w:top w:val="nil"/>
              <w:left w:val="nil"/>
              <w:right w:val="nil"/>
            </w:tcBorders>
          </w:tcPr>
          <w:p w14:paraId="4A40E98B" w14:textId="7AD6F88F" w:rsidR="00216797" w:rsidRPr="00DD1F63" w:rsidRDefault="00216797" w:rsidP="00377A09">
            <w:pPr>
              <w:spacing w:after="0" w:line="240" w:lineRule="auto"/>
              <w:ind w:left="0" w:firstLine="0"/>
              <w:jc w:val="left"/>
              <w:rPr>
                <w:rFonts w:ascii="Times New Roman" w:hAnsi="Times New Roman" w:cs="Times New Roman"/>
              </w:rPr>
            </w:pPr>
            <w:proofErr w:type="spellStart"/>
            <w:r w:rsidRPr="00DD1F63">
              <w:rPr>
                <w:rFonts w:ascii="Times New Roman" w:hAnsi="Times New Roman" w:cs="Times New Roman"/>
              </w:rPr>
              <w:t>NE</w:t>
            </w:r>
            <w:r w:rsidRPr="00DD1F63">
              <w:rPr>
                <w:rFonts w:ascii="Times New Roman" w:hAnsi="Times New Roman" w:cs="Times New Roman"/>
                <w:vertAlign w:val="superscript"/>
              </w:rPr>
              <w:t>c</w:t>
            </w:r>
            <w:proofErr w:type="spellEnd"/>
          </w:p>
        </w:tc>
        <w:tc>
          <w:tcPr>
            <w:tcW w:w="1281" w:type="dxa"/>
            <w:tcBorders>
              <w:top w:val="nil"/>
              <w:left w:val="nil"/>
              <w:right w:val="nil"/>
            </w:tcBorders>
          </w:tcPr>
          <w:p w14:paraId="374C5882" w14:textId="6622CA4B"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0.57</w:t>
            </w:r>
          </w:p>
        </w:tc>
        <w:tc>
          <w:tcPr>
            <w:tcW w:w="1281" w:type="dxa"/>
            <w:tcBorders>
              <w:top w:val="nil"/>
              <w:left w:val="nil"/>
              <w:right w:val="nil"/>
            </w:tcBorders>
          </w:tcPr>
          <w:p w14:paraId="06EC32FF" w14:textId="7D70A6F7"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0.39, 0.84</w:t>
            </w:r>
          </w:p>
        </w:tc>
        <w:tc>
          <w:tcPr>
            <w:tcW w:w="1282" w:type="dxa"/>
            <w:tcBorders>
              <w:top w:val="nil"/>
              <w:left w:val="nil"/>
            </w:tcBorders>
          </w:tcPr>
          <w:p w14:paraId="2E6D03DB" w14:textId="598F6659" w:rsidR="00216797" w:rsidRPr="00DD1F63" w:rsidRDefault="00216797" w:rsidP="00377A09">
            <w:pPr>
              <w:spacing w:after="0" w:line="240" w:lineRule="auto"/>
              <w:ind w:left="0" w:firstLine="0"/>
              <w:jc w:val="left"/>
              <w:rPr>
                <w:rFonts w:ascii="Times New Roman" w:hAnsi="Times New Roman" w:cs="Times New Roman"/>
              </w:rPr>
            </w:pPr>
            <w:r w:rsidRPr="00DD1F63">
              <w:rPr>
                <w:rFonts w:ascii="Times New Roman" w:hAnsi="Times New Roman" w:cs="Times New Roman"/>
              </w:rPr>
              <w:t>0.004</w:t>
            </w:r>
          </w:p>
        </w:tc>
      </w:tr>
    </w:tbl>
    <w:p w14:paraId="3B0AA989" w14:textId="78C04043"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Note: Treatment failure at or after Week 6 (Study UV I), or at or after Week 2 (Study UV II), was counted as event. </w:t>
      </w:r>
      <w:proofErr w:type="gramStart"/>
      <w:r w:rsidRPr="00DD1F63">
        <w:rPr>
          <w:rFonts w:ascii="Times New Roman" w:hAnsi="Times New Roman" w:cs="Times New Roman"/>
          <w:szCs w:val="20"/>
        </w:rPr>
        <w:t>Drop outs</w:t>
      </w:r>
      <w:proofErr w:type="gramEnd"/>
      <w:r w:rsidRPr="00DD1F63">
        <w:rPr>
          <w:rFonts w:ascii="Times New Roman" w:hAnsi="Times New Roman" w:cs="Times New Roman"/>
          <w:szCs w:val="20"/>
        </w:rPr>
        <w:t xml:space="preserve"> due to reasons other than treatment failure were censored at the time of dropping out. </w:t>
      </w:r>
    </w:p>
    <w:p w14:paraId="2316CFD4" w14:textId="0BA2F94A" w:rsidR="006B7C8E" w:rsidRPr="00DD1F63" w:rsidRDefault="00CA72FF" w:rsidP="00377A09">
      <w:pPr>
        <w:numPr>
          <w:ilvl w:val="0"/>
          <w:numId w:val="9"/>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HR of </w:t>
      </w:r>
      <w:r w:rsidR="005F47AF" w:rsidRPr="00DD1F63">
        <w:rPr>
          <w:rFonts w:ascii="Times New Roman" w:hAnsi="Times New Roman" w:cs="Times New Roman"/>
          <w:szCs w:val="20"/>
        </w:rPr>
        <w:t>adalimumab</w:t>
      </w:r>
      <w:r w:rsidRPr="00DD1F63">
        <w:rPr>
          <w:rFonts w:ascii="Times New Roman" w:hAnsi="Times New Roman" w:cs="Times New Roman"/>
          <w:szCs w:val="20"/>
        </w:rPr>
        <w:t xml:space="preserve"> vs placebo from proportional hazards regression with treatment as factor. </w:t>
      </w:r>
    </w:p>
    <w:p w14:paraId="3D2FB070" w14:textId="77777777" w:rsidR="006B7C8E" w:rsidRPr="00DD1F63" w:rsidRDefault="00CA72FF" w:rsidP="00377A09">
      <w:pPr>
        <w:numPr>
          <w:ilvl w:val="0"/>
          <w:numId w:val="9"/>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2-sided </w:t>
      </w:r>
      <w:r w:rsidRPr="00DD1F63">
        <w:rPr>
          <w:rFonts w:ascii="Times New Roman" w:hAnsi="Times New Roman" w:cs="Times New Roman"/>
          <w:i/>
          <w:szCs w:val="20"/>
        </w:rPr>
        <w:t>P</w:t>
      </w:r>
      <w:r w:rsidRPr="00DD1F63">
        <w:rPr>
          <w:rFonts w:ascii="Times New Roman" w:hAnsi="Times New Roman" w:cs="Times New Roman"/>
          <w:szCs w:val="20"/>
        </w:rPr>
        <w:t xml:space="preserve"> value from log rank test. </w:t>
      </w:r>
    </w:p>
    <w:p w14:paraId="699089E8" w14:textId="77777777" w:rsidR="006B7C8E" w:rsidRPr="00DD1F63" w:rsidRDefault="00CA72FF" w:rsidP="00377A09">
      <w:pPr>
        <w:numPr>
          <w:ilvl w:val="0"/>
          <w:numId w:val="9"/>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NE = not estimable. Fewer than half of at-risk subjects had an event. </w:t>
      </w:r>
    </w:p>
    <w:p w14:paraId="5BCFB5AA" w14:textId="4FE99C1C" w:rsidR="006B7C8E" w:rsidRPr="00DD1F63" w:rsidRDefault="00CA72FF" w:rsidP="00377A09">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b/>
          <w:szCs w:val="20"/>
        </w:rPr>
        <w:t xml:space="preserve"> </w:t>
      </w:r>
    </w:p>
    <w:p w14:paraId="514D0462" w14:textId="1B9E047D" w:rsidR="0023526A" w:rsidRPr="00DD1F63" w:rsidRDefault="00CA72FF" w:rsidP="00377A09">
      <w:pPr>
        <w:pStyle w:val="Heading5"/>
        <w:keepLines w:val="0"/>
        <w:spacing w:line="240" w:lineRule="auto"/>
        <w:ind w:left="425" w:right="369" w:hanging="11"/>
        <w:jc w:val="left"/>
        <w:rPr>
          <w:rFonts w:ascii="Times New Roman" w:hAnsi="Times New Roman" w:cs="Times New Roman"/>
          <w:sz w:val="22"/>
        </w:rPr>
      </w:pPr>
      <w:r w:rsidRPr="00DD1F63">
        <w:rPr>
          <w:rFonts w:ascii="Times New Roman" w:hAnsi="Times New Roman" w:cs="Times New Roman"/>
          <w:sz w:val="22"/>
        </w:rPr>
        <w:t xml:space="preserve">Figure </w:t>
      </w:r>
      <w:r w:rsidR="00BA33C2" w:rsidRPr="00DD1F63">
        <w:rPr>
          <w:rFonts w:ascii="Times New Roman" w:hAnsi="Times New Roman" w:cs="Times New Roman"/>
          <w:sz w:val="22"/>
        </w:rPr>
        <w:t>6</w:t>
      </w:r>
      <w:r w:rsidRPr="00DD1F63">
        <w:rPr>
          <w:rFonts w:ascii="Times New Roman" w:hAnsi="Times New Roman" w:cs="Times New Roman"/>
          <w:sz w:val="22"/>
        </w:rPr>
        <w:t xml:space="preserve">: </w:t>
      </w:r>
      <w:proofErr w:type="spellStart"/>
      <w:r w:rsidR="0049459A" w:rsidRPr="00DD1F63">
        <w:rPr>
          <w:rFonts w:ascii="Times New Roman" w:hAnsi="Times New Roman" w:cs="Times New Roman"/>
          <w:sz w:val="22"/>
        </w:rPr>
        <w:t>k</w:t>
      </w:r>
      <w:r w:rsidRPr="00DD1F63">
        <w:rPr>
          <w:rFonts w:ascii="Times New Roman" w:hAnsi="Times New Roman" w:cs="Times New Roman"/>
          <w:sz w:val="22"/>
        </w:rPr>
        <w:t>aplan-</w:t>
      </w:r>
      <w:r w:rsidR="0049459A" w:rsidRPr="00DD1F63">
        <w:rPr>
          <w:rFonts w:ascii="Times New Roman" w:hAnsi="Times New Roman" w:cs="Times New Roman"/>
          <w:sz w:val="22"/>
        </w:rPr>
        <w:t>m</w:t>
      </w:r>
      <w:r w:rsidRPr="00DD1F63">
        <w:rPr>
          <w:rFonts w:ascii="Times New Roman" w:hAnsi="Times New Roman" w:cs="Times New Roman"/>
          <w:sz w:val="22"/>
        </w:rPr>
        <w:t>eier</w:t>
      </w:r>
      <w:proofErr w:type="spellEnd"/>
      <w:r w:rsidRPr="00DD1F63">
        <w:rPr>
          <w:rFonts w:ascii="Times New Roman" w:hAnsi="Times New Roman" w:cs="Times New Roman"/>
          <w:sz w:val="22"/>
        </w:rPr>
        <w:t xml:space="preserve"> </w:t>
      </w:r>
      <w:r w:rsidR="0049459A" w:rsidRPr="00DD1F63">
        <w:rPr>
          <w:rFonts w:ascii="Times New Roman" w:hAnsi="Times New Roman" w:cs="Times New Roman"/>
          <w:sz w:val="22"/>
        </w:rPr>
        <w:t>c</w:t>
      </w:r>
      <w:r w:rsidRPr="00DD1F63">
        <w:rPr>
          <w:rFonts w:ascii="Times New Roman" w:hAnsi="Times New Roman" w:cs="Times New Roman"/>
          <w:sz w:val="22"/>
        </w:rPr>
        <w:t xml:space="preserve">urves </w:t>
      </w:r>
      <w:r w:rsidR="0049459A" w:rsidRPr="00DD1F63">
        <w:rPr>
          <w:rFonts w:ascii="Times New Roman" w:hAnsi="Times New Roman" w:cs="Times New Roman"/>
          <w:sz w:val="22"/>
        </w:rPr>
        <w:t>s</w:t>
      </w:r>
      <w:r w:rsidRPr="00DD1F63">
        <w:rPr>
          <w:rFonts w:ascii="Times New Roman" w:hAnsi="Times New Roman" w:cs="Times New Roman"/>
          <w:sz w:val="22"/>
        </w:rPr>
        <w:t xml:space="preserve">ummarizing </w:t>
      </w:r>
      <w:r w:rsidR="0049459A" w:rsidRPr="00DD1F63">
        <w:rPr>
          <w:rFonts w:ascii="Times New Roman" w:hAnsi="Times New Roman" w:cs="Times New Roman"/>
          <w:sz w:val="22"/>
        </w:rPr>
        <w:t>t</w:t>
      </w:r>
      <w:r w:rsidRPr="00DD1F63">
        <w:rPr>
          <w:rFonts w:ascii="Times New Roman" w:hAnsi="Times New Roman" w:cs="Times New Roman"/>
          <w:sz w:val="22"/>
        </w:rPr>
        <w:t xml:space="preserve">ime to </w:t>
      </w:r>
      <w:r w:rsidR="0049459A" w:rsidRPr="00DD1F63">
        <w:rPr>
          <w:rFonts w:ascii="Times New Roman" w:hAnsi="Times New Roman" w:cs="Times New Roman"/>
          <w:sz w:val="22"/>
        </w:rPr>
        <w:t>t</w:t>
      </w:r>
      <w:r w:rsidRPr="00DD1F63">
        <w:rPr>
          <w:rFonts w:ascii="Times New Roman" w:hAnsi="Times New Roman" w:cs="Times New Roman"/>
          <w:sz w:val="22"/>
        </w:rPr>
        <w:t xml:space="preserve">reatment </w:t>
      </w:r>
      <w:r w:rsidR="0049459A" w:rsidRPr="00DD1F63">
        <w:rPr>
          <w:rFonts w:ascii="Times New Roman" w:hAnsi="Times New Roman" w:cs="Times New Roman"/>
          <w:sz w:val="22"/>
        </w:rPr>
        <w:t>f</w:t>
      </w:r>
      <w:r w:rsidRPr="00DD1F63">
        <w:rPr>
          <w:rFonts w:ascii="Times New Roman" w:hAnsi="Times New Roman" w:cs="Times New Roman"/>
          <w:sz w:val="22"/>
        </w:rPr>
        <w:t xml:space="preserve">ailure on-or-after </w:t>
      </w:r>
      <w:r w:rsidR="0049459A" w:rsidRPr="00DD1F63">
        <w:rPr>
          <w:rFonts w:ascii="Times New Roman" w:hAnsi="Times New Roman" w:cs="Times New Roman"/>
          <w:sz w:val="22"/>
        </w:rPr>
        <w:t>w</w:t>
      </w:r>
      <w:r w:rsidRPr="00DD1F63">
        <w:rPr>
          <w:rFonts w:ascii="Times New Roman" w:hAnsi="Times New Roman" w:cs="Times New Roman"/>
          <w:sz w:val="22"/>
        </w:rPr>
        <w:t>eek 6 (</w:t>
      </w:r>
      <w:r w:rsidR="008B42DA" w:rsidRPr="00DD1F63">
        <w:rPr>
          <w:rFonts w:ascii="Times New Roman" w:hAnsi="Times New Roman" w:cs="Times New Roman"/>
          <w:sz w:val="22"/>
        </w:rPr>
        <w:t>s</w:t>
      </w:r>
      <w:r w:rsidRPr="00DD1F63">
        <w:rPr>
          <w:rFonts w:ascii="Times New Roman" w:hAnsi="Times New Roman" w:cs="Times New Roman"/>
          <w:sz w:val="22"/>
        </w:rPr>
        <w:t xml:space="preserve">tudy UV I) </w:t>
      </w:r>
    </w:p>
    <w:p w14:paraId="7C1BCDAE" w14:textId="77777777" w:rsidR="009C38D5" w:rsidRPr="00DD1F63" w:rsidRDefault="009C38D5" w:rsidP="00377A09">
      <w:pPr>
        <w:keepNext/>
        <w:spacing w:after="0" w:line="240" w:lineRule="auto"/>
        <w:ind w:left="426" w:firstLine="0"/>
        <w:jc w:val="left"/>
        <w:rPr>
          <w:rFonts w:ascii="Times New Roman" w:hAnsi="Times New Roman" w:cs="Times New Roman"/>
        </w:rPr>
      </w:pPr>
    </w:p>
    <w:p w14:paraId="0AF428B9" w14:textId="009A8CA5" w:rsidR="008B42DA" w:rsidRPr="00DD1F63" w:rsidRDefault="00BC7C5E"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008B42DA" w:rsidRPr="00DD1F63">
        <w:rPr>
          <w:rFonts w:ascii="Times New Roman" w:hAnsi="Times New Roman" w:cs="Times New Roman"/>
          <w:b/>
          <w:noProof/>
        </w:rPr>
        <w:drawing>
          <wp:inline distT="0" distB="0" distL="0" distR="0" wp14:anchorId="24A28C7C" wp14:editId="081110BE">
            <wp:extent cx="5317490" cy="2486025"/>
            <wp:effectExtent l="0" t="0" r="0" b="9525"/>
            <wp:docPr id="18" name="Picture 18" descr="Machine generated alternative text:&#10;too &#10;p.o,'f07 &#10;AWIIO &#10;35/67 &#10;63,'3S &#10;40/54 &#10;76/ 19 &#10;48/42 &#10;014 &#10;was &#10;12 &#10;83,8 &#10;14 &#10;83/7 &#10;4/17 &#10;ea.'S &#10;60/15 &#10;84/4 &#10;5729 &#10;TIME (MONTHS] &#10;TREATMO/T &#10;Ada limum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achine generated alternative text:&#10;too &#10;p.o,'f07 &#10;AWIIO &#10;35/67 &#10;63,'3S &#10;40/54 &#10;76/ 19 &#10;48/42 &#10;014 &#10;was &#10;12 &#10;83,8 &#10;14 &#10;83/7 &#10;4/17 &#10;ea.'S &#10;60/15 &#10;84/4 &#10;5729 &#10;TIME (MONTHS] &#10;TREATMO/T &#10;Ada limumab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0839" cy="2515642"/>
                    </a:xfrm>
                    <a:prstGeom prst="rect">
                      <a:avLst/>
                    </a:prstGeom>
                    <a:noFill/>
                    <a:ln>
                      <a:noFill/>
                    </a:ln>
                  </pic:spPr>
                </pic:pic>
              </a:graphicData>
            </a:graphic>
          </wp:inline>
        </w:drawing>
      </w:r>
    </w:p>
    <w:p w14:paraId="2DF7AB28" w14:textId="77777777" w:rsidR="009C38D5" w:rsidRPr="00DD1F63" w:rsidRDefault="009C38D5" w:rsidP="00377A09">
      <w:pPr>
        <w:spacing w:after="0" w:line="240" w:lineRule="auto"/>
        <w:ind w:left="426" w:firstLine="0"/>
        <w:jc w:val="left"/>
        <w:rPr>
          <w:rFonts w:ascii="Times New Roman" w:hAnsi="Times New Roman" w:cs="Times New Roman"/>
          <w:bCs/>
        </w:rPr>
      </w:pPr>
    </w:p>
    <w:p w14:paraId="491C8D80" w14:textId="181F0249" w:rsidR="006B7C8E" w:rsidRPr="00DD1F63" w:rsidRDefault="00CA72FF" w:rsidP="00377A09">
      <w:pPr>
        <w:pStyle w:val="Heading5"/>
        <w:keepNext w:val="0"/>
        <w:keepLines w:val="0"/>
        <w:pageBreakBefore/>
        <w:spacing w:line="240" w:lineRule="auto"/>
        <w:ind w:left="284" w:right="369" w:firstLine="0"/>
        <w:jc w:val="left"/>
        <w:rPr>
          <w:rFonts w:ascii="Times New Roman" w:hAnsi="Times New Roman" w:cs="Times New Roman"/>
          <w:sz w:val="22"/>
        </w:rPr>
      </w:pPr>
      <w:r w:rsidRPr="00DD1F63">
        <w:rPr>
          <w:rFonts w:ascii="Times New Roman" w:hAnsi="Times New Roman" w:cs="Times New Roman"/>
          <w:sz w:val="22"/>
        </w:rPr>
        <w:lastRenderedPageBreak/>
        <w:t xml:space="preserve">Figure </w:t>
      </w:r>
      <w:r w:rsidR="00BA33C2" w:rsidRPr="00DD1F63">
        <w:rPr>
          <w:rFonts w:ascii="Times New Roman" w:hAnsi="Times New Roman" w:cs="Times New Roman"/>
          <w:sz w:val="22"/>
        </w:rPr>
        <w:t>7</w:t>
      </w:r>
      <w:r w:rsidRPr="00DD1F63">
        <w:rPr>
          <w:rFonts w:ascii="Times New Roman" w:hAnsi="Times New Roman" w:cs="Times New Roman"/>
          <w:sz w:val="22"/>
        </w:rPr>
        <w:t xml:space="preserve">: </w:t>
      </w:r>
      <w:proofErr w:type="spellStart"/>
      <w:r w:rsidR="0023526A" w:rsidRPr="00DD1F63">
        <w:rPr>
          <w:rFonts w:ascii="Times New Roman" w:hAnsi="Times New Roman" w:cs="Times New Roman"/>
          <w:sz w:val="22"/>
        </w:rPr>
        <w:t>k</w:t>
      </w:r>
      <w:r w:rsidRPr="00DD1F63">
        <w:rPr>
          <w:rFonts w:ascii="Times New Roman" w:hAnsi="Times New Roman" w:cs="Times New Roman"/>
          <w:sz w:val="22"/>
        </w:rPr>
        <w:t>aplan-</w:t>
      </w:r>
      <w:r w:rsidR="0023526A" w:rsidRPr="00DD1F63">
        <w:rPr>
          <w:rFonts w:ascii="Times New Roman" w:hAnsi="Times New Roman" w:cs="Times New Roman"/>
          <w:sz w:val="22"/>
        </w:rPr>
        <w:t>m</w:t>
      </w:r>
      <w:r w:rsidRPr="00DD1F63">
        <w:rPr>
          <w:rFonts w:ascii="Times New Roman" w:hAnsi="Times New Roman" w:cs="Times New Roman"/>
          <w:sz w:val="22"/>
        </w:rPr>
        <w:t>eier</w:t>
      </w:r>
      <w:proofErr w:type="spellEnd"/>
      <w:r w:rsidRPr="00DD1F63">
        <w:rPr>
          <w:rFonts w:ascii="Times New Roman" w:hAnsi="Times New Roman" w:cs="Times New Roman"/>
          <w:sz w:val="22"/>
        </w:rPr>
        <w:t xml:space="preserve"> </w:t>
      </w:r>
      <w:r w:rsidR="0023526A" w:rsidRPr="00DD1F63">
        <w:rPr>
          <w:rFonts w:ascii="Times New Roman" w:hAnsi="Times New Roman" w:cs="Times New Roman"/>
          <w:sz w:val="22"/>
        </w:rPr>
        <w:t>c</w:t>
      </w:r>
      <w:r w:rsidRPr="00DD1F63">
        <w:rPr>
          <w:rFonts w:ascii="Times New Roman" w:hAnsi="Times New Roman" w:cs="Times New Roman"/>
          <w:sz w:val="22"/>
        </w:rPr>
        <w:t xml:space="preserve">urves </w:t>
      </w:r>
      <w:r w:rsidR="0023526A" w:rsidRPr="00DD1F63">
        <w:rPr>
          <w:rFonts w:ascii="Times New Roman" w:hAnsi="Times New Roman" w:cs="Times New Roman"/>
          <w:sz w:val="22"/>
        </w:rPr>
        <w:t>s</w:t>
      </w:r>
      <w:r w:rsidRPr="00DD1F63">
        <w:rPr>
          <w:rFonts w:ascii="Times New Roman" w:hAnsi="Times New Roman" w:cs="Times New Roman"/>
          <w:sz w:val="22"/>
        </w:rPr>
        <w:t xml:space="preserve">ummarizing </w:t>
      </w:r>
      <w:r w:rsidR="0023526A" w:rsidRPr="00DD1F63">
        <w:rPr>
          <w:rFonts w:ascii="Times New Roman" w:hAnsi="Times New Roman" w:cs="Times New Roman"/>
          <w:sz w:val="22"/>
        </w:rPr>
        <w:t>t</w:t>
      </w:r>
      <w:r w:rsidRPr="00DD1F63">
        <w:rPr>
          <w:rFonts w:ascii="Times New Roman" w:hAnsi="Times New Roman" w:cs="Times New Roman"/>
          <w:sz w:val="22"/>
        </w:rPr>
        <w:t xml:space="preserve">ime to </w:t>
      </w:r>
      <w:r w:rsidR="0023526A" w:rsidRPr="00DD1F63">
        <w:rPr>
          <w:rFonts w:ascii="Times New Roman" w:hAnsi="Times New Roman" w:cs="Times New Roman"/>
          <w:sz w:val="22"/>
        </w:rPr>
        <w:t>t</w:t>
      </w:r>
      <w:r w:rsidRPr="00DD1F63">
        <w:rPr>
          <w:rFonts w:ascii="Times New Roman" w:hAnsi="Times New Roman" w:cs="Times New Roman"/>
          <w:sz w:val="22"/>
        </w:rPr>
        <w:t xml:space="preserve">reatment </w:t>
      </w:r>
      <w:r w:rsidR="0023526A" w:rsidRPr="00DD1F63">
        <w:rPr>
          <w:rFonts w:ascii="Times New Roman" w:hAnsi="Times New Roman" w:cs="Times New Roman"/>
          <w:sz w:val="22"/>
        </w:rPr>
        <w:t>f</w:t>
      </w:r>
      <w:r w:rsidRPr="00DD1F63">
        <w:rPr>
          <w:rFonts w:ascii="Times New Roman" w:hAnsi="Times New Roman" w:cs="Times New Roman"/>
          <w:sz w:val="22"/>
        </w:rPr>
        <w:t xml:space="preserve">ailure on-or-after </w:t>
      </w:r>
      <w:r w:rsidR="0023526A" w:rsidRPr="00DD1F63">
        <w:rPr>
          <w:rFonts w:ascii="Times New Roman" w:hAnsi="Times New Roman" w:cs="Times New Roman"/>
          <w:sz w:val="22"/>
        </w:rPr>
        <w:t>w</w:t>
      </w:r>
      <w:r w:rsidRPr="00DD1F63">
        <w:rPr>
          <w:rFonts w:ascii="Times New Roman" w:hAnsi="Times New Roman" w:cs="Times New Roman"/>
          <w:sz w:val="22"/>
        </w:rPr>
        <w:t>eek (</w:t>
      </w:r>
      <w:r w:rsidR="005A05C3" w:rsidRPr="00DD1F63">
        <w:rPr>
          <w:rFonts w:ascii="Times New Roman" w:hAnsi="Times New Roman" w:cs="Times New Roman"/>
          <w:sz w:val="22"/>
        </w:rPr>
        <w:t>s</w:t>
      </w:r>
      <w:r w:rsidRPr="00DD1F63">
        <w:rPr>
          <w:rFonts w:ascii="Times New Roman" w:hAnsi="Times New Roman" w:cs="Times New Roman"/>
          <w:sz w:val="22"/>
        </w:rPr>
        <w:t xml:space="preserve">tudy UV II) </w:t>
      </w:r>
    </w:p>
    <w:p w14:paraId="61F71B5F" w14:textId="77777777" w:rsidR="0023526A" w:rsidRPr="00DD1F63" w:rsidRDefault="0023526A" w:rsidP="00377A09">
      <w:pPr>
        <w:spacing w:after="0" w:line="240" w:lineRule="auto"/>
        <w:ind w:left="11" w:hanging="11"/>
        <w:jc w:val="left"/>
        <w:rPr>
          <w:rFonts w:ascii="Times New Roman" w:hAnsi="Times New Roman" w:cs="Times New Roman"/>
        </w:rPr>
      </w:pPr>
    </w:p>
    <w:p w14:paraId="6A4B4998" w14:textId="47A025F1" w:rsidR="005A05C3" w:rsidRPr="00DD1F63" w:rsidRDefault="005A05C3" w:rsidP="00377A09">
      <w:pPr>
        <w:spacing w:line="240" w:lineRule="auto"/>
        <w:ind w:left="851" w:hanging="9"/>
        <w:jc w:val="left"/>
      </w:pPr>
      <w:r w:rsidRPr="00DD1F63">
        <w:rPr>
          <w:noProof/>
        </w:rPr>
        <w:drawing>
          <wp:inline distT="0" distB="0" distL="0" distR="0" wp14:anchorId="7C1C71EB" wp14:editId="559BDD30">
            <wp:extent cx="4765650" cy="2352675"/>
            <wp:effectExtent l="0" t="0" r="0" b="0"/>
            <wp:docPr id="22" name="Picture 22" descr="Machine generated alternative text:&#10;PMI' &#10;&quot;0/115 &#10;16/0 &#10;5/105 &#10;35166 &#10;23/82 &#10;46/50 &#10;32167 &#10;49/41 &#10;37/58 &#10;54/33 &#10;40/51 &#10;12 &#10;58,26 &#10;44/42 &#10;14 &#10;61/21 &#10;45/37 &#10;61/19 &#10;45134 &#10;18 &#10;61/17 &#10;45/30 &#10;61/0 &#10;45/0 &#10;TREATMENT &#10;TIME [MONTHS] &#10;— PLACEBO &#10;— Adalimum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achine generated alternative text:&#10;PMI' &#10;&quot;0/115 &#10;16/0 &#10;5/105 &#10;35166 &#10;23/82 &#10;46/50 &#10;32167 &#10;49/41 &#10;37/58 &#10;54/33 &#10;40/51 &#10;12 &#10;58,26 &#10;44/42 &#10;14 &#10;61/21 &#10;45/37 &#10;61/19 &#10;45134 &#10;18 &#10;61/17 &#10;45/30 &#10;61/0 &#10;45/0 &#10;TREATMENT &#10;TIME [MONTHS] &#10;— PLACEBO &#10;— Adalimumab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1676" cy="2395144"/>
                    </a:xfrm>
                    <a:prstGeom prst="rect">
                      <a:avLst/>
                    </a:prstGeom>
                    <a:noFill/>
                    <a:ln>
                      <a:noFill/>
                    </a:ln>
                  </pic:spPr>
                </pic:pic>
              </a:graphicData>
            </a:graphic>
          </wp:inline>
        </w:drawing>
      </w:r>
    </w:p>
    <w:p w14:paraId="26EF6980" w14:textId="0B3BA5DD" w:rsidR="00665563" w:rsidRPr="00DD1F63" w:rsidRDefault="00665563" w:rsidP="00377A09">
      <w:pPr>
        <w:spacing w:after="0" w:line="240" w:lineRule="auto"/>
        <w:ind w:left="426" w:firstLine="0"/>
        <w:jc w:val="left"/>
        <w:rPr>
          <w:rFonts w:ascii="Times New Roman" w:hAnsi="Times New Roman" w:cs="Times New Roman"/>
        </w:rPr>
      </w:pPr>
    </w:p>
    <w:p w14:paraId="1A9F0E29" w14:textId="78A759F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both studies, all components of the primary endpoint contributed cumulatively to the overall difference between </w:t>
      </w:r>
      <w:r w:rsidR="0023526A" w:rsidRPr="00DD1F63">
        <w:rPr>
          <w:rFonts w:ascii="Times New Roman" w:hAnsi="Times New Roman" w:cs="Times New Roman"/>
          <w:sz w:val="22"/>
        </w:rPr>
        <w:t>adalimumab</w:t>
      </w:r>
      <w:r w:rsidRPr="00DD1F63">
        <w:rPr>
          <w:rFonts w:ascii="Times New Roman" w:hAnsi="Times New Roman" w:cs="Times New Roman"/>
          <w:sz w:val="22"/>
        </w:rPr>
        <w:t xml:space="preserve"> and placebo groups (Table </w:t>
      </w:r>
      <w:r w:rsidR="00127F14" w:rsidRPr="00DD1F63">
        <w:rPr>
          <w:rFonts w:ascii="Times New Roman" w:hAnsi="Times New Roman" w:cs="Times New Roman"/>
          <w:sz w:val="22"/>
        </w:rPr>
        <w:t>3</w:t>
      </w:r>
      <w:r w:rsidR="00BA33C2" w:rsidRPr="00DD1F63">
        <w:rPr>
          <w:rFonts w:ascii="Times New Roman" w:hAnsi="Times New Roman" w:cs="Times New Roman"/>
          <w:sz w:val="22"/>
        </w:rPr>
        <w:t>1</w:t>
      </w:r>
      <w:r w:rsidRPr="00DD1F63">
        <w:rPr>
          <w:rFonts w:ascii="Times New Roman" w:hAnsi="Times New Roman" w:cs="Times New Roman"/>
          <w:sz w:val="22"/>
        </w:rPr>
        <w:t xml:space="preserve">). </w:t>
      </w:r>
    </w:p>
    <w:p w14:paraId="62EEFD94"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tbl>
      <w:tblPr>
        <w:tblStyle w:val="TableGrid1"/>
        <w:tblW w:w="8930" w:type="dxa"/>
        <w:tblInd w:w="421" w:type="dxa"/>
        <w:tblCellMar>
          <w:left w:w="57" w:type="dxa"/>
          <w:right w:w="57" w:type="dxa"/>
        </w:tblCellMar>
        <w:tblLook w:val="04A0" w:firstRow="1" w:lastRow="0" w:firstColumn="1" w:lastColumn="0" w:noHBand="0" w:noVBand="1"/>
      </w:tblPr>
      <w:tblGrid>
        <w:gridCol w:w="3260"/>
        <w:gridCol w:w="554"/>
        <w:gridCol w:w="1161"/>
        <w:gridCol w:w="1140"/>
        <w:gridCol w:w="680"/>
        <w:gridCol w:w="1177"/>
        <w:gridCol w:w="958"/>
      </w:tblGrid>
      <w:tr w:rsidR="006B7C8E" w:rsidRPr="00DD1F63" w14:paraId="2C37EB2A" w14:textId="77777777" w:rsidTr="00BA6F2B">
        <w:trPr>
          <w:trHeight w:val="20"/>
        </w:trPr>
        <w:tc>
          <w:tcPr>
            <w:tcW w:w="7972" w:type="dxa"/>
            <w:gridSpan w:val="6"/>
            <w:tcBorders>
              <w:top w:val="single" w:sz="4" w:space="0" w:color="000000"/>
              <w:left w:val="single" w:sz="4" w:space="0" w:color="000000"/>
              <w:bottom w:val="single" w:sz="4" w:space="0" w:color="000000"/>
              <w:right w:val="nil"/>
            </w:tcBorders>
            <w:vAlign w:val="bottom"/>
          </w:tcPr>
          <w:p w14:paraId="0F20D046" w14:textId="4732984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3</w:t>
            </w:r>
            <w:r w:rsidR="00BA33C2" w:rsidRPr="00DD1F63">
              <w:rPr>
                <w:rFonts w:ascii="Times New Roman" w:hAnsi="Times New Roman" w:cs="Times New Roman"/>
                <w:b/>
                <w:sz w:val="21"/>
                <w:szCs w:val="21"/>
              </w:rPr>
              <w:t>1</w:t>
            </w:r>
            <w:r w:rsidRPr="00DD1F63">
              <w:rPr>
                <w:rFonts w:ascii="Times New Roman" w:hAnsi="Times New Roman" w:cs="Times New Roman"/>
                <w:b/>
                <w:sz w:val="21"/>
                <w:szCs w:val="21"/>
              </w:rPr>
              <w:t xml:space="preserve">: Treatment </w:t>
            </w:r>
            <w:r w:rsidR="0023526A" w:rsidRPr="00DD1F63">
              <w:rPr>
                <w:rFonts w:ascii="Times New Roman" w:hAnsi="Times New Roman" w:cs="Times New Roman"/>
                <w:b/>
                <w:sz w:val="21"/>
                <w:szCs w:val="21"/>
              </w:rPr>
              <w:t>f</w:t>
            </w:r>
            <w:r w:rsidRPr="00DD1F63">
              <w:rPr>
                <w:rFonts w:ascii="Times New Roman" w:hAnsi="Times New Roman" w:cs="Times New Roman"/>
                <w:b/>
                <w:sz w:val="21"/>
                <w:szCs w:val="21"/>
              </w:rPr>
              <w:t xml:space="preserve">ailure </w:t>
            </w:r>
            <w:r w:rsidR="0023526A"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omponents in </w:t>
            </w:r>
            <w:r w:rsidR="0023526A" w:rsidRPr="00DD1F63">
              <w:rPr>
                <w:rFonts w:ascii="Times New Roman" w:hAnsi="Times New Roman" w:cs="Times New Roman"/>
                <w:b/>
                <w:sz w:val="21"/>
                <w:szCs w:val="21"/>
              </w:rPr>
              <w:t>s</w:t>
            </w:r>
            <w:r w:rsidRPr="00DD1F63">
              <w:rPr>
                <w:rFonts w:ascii="Times New Roman" w:hAnsi="Times New Roman" w:cs="Times New Roman"/>
                <w:b/>
                <w:sz w:val="21"/>
                <w:szCs w:val="21"/>
              </w:rPr>
              <w:t>tudy UV I and UV II</w:t>
            </w:r>
            <w:r w:rsidRPr="00DD1F63">
              <w:rPr>
                <w:rFonts w:ascii="Times New Roman" w:hAnsi="Times New Roman" w:cs="Times New Roman"/>
                <w:sz w:val="21"/>
                <w:szCs w:val="21"/>
              </w:rPr>
              <w:t xml:space="preserve"> </w:t>
            </w:r>
          </w:p>
        </w:tc>
        <w:tc>
          <w:tcPr>
            <w:tcW w:w="958" w:type="dxa"/>
            <w:tcBorders>
              <w:top w:val="single" w:sz="4" w:space="0" w:color="000000"/>
              <w:left w:val="nil"/>
              <w:bottom w:val="single" w:sz="4" w:space="0" w:color="000000"/>
              <w:right w:val="single" w:sz="4" w:space="0" w:color="000000"/>
            </w:tcBorders>
          </w:tcPr>
          <w:p w14:paraId="78E2B49D"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r>
      <w:tr w:rsidR="006B7C8E" w:rsidRPr="00DD1F63" w14:paraId="1A5431F3" w14:textId="77777777" w:rsidTr="00BA6F2B">
        <w:trPr>
          <w:trHeight w:val="20"/>
        </w:trPr>
        <w:tc>
          <w:tcPr>
            <w:tcW w:w="3260" w:type="dxa"/>
            <w:tcBorders>
              <w:top w:val="single" w:sz="4" w:space="0" w:color="000000"/>
              <w:left w:val="single" w:sz="4" w:space="0" w:color="000000"/>
              <w:bottom w:val="single" w:sz="4" w:space="0" w:color="000000"/>
              <w:right w:val="nil"/>
            </w:tcBorders>
          </w:tcPr>
          <w:p w14:paraId="7845751C"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554" w:type="dxa"/>
            <w:tcBorders>
              <w:top w:val="single" w:sz="4" w:space="0" w:color="000000"/>
              <w:left w:val="nil"/>
              <w:bottom w:val="single" w:sz="4" w:space="0" w:color="000000"/>
              <w:right w:val="nil"/>
            </w:tcBorders>
            <w:vAlign w:val="center"/>
          </w:tcPr>
          <w:p w14:paraId="1BAA9E9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161" w:type="dxa"/>
            <w:tcBorders>
              <w:top w:val="single" w:sz="4" w:space="0" w:color="000000"/>
              <w:left w:val="nil"/>
              <w:bottom w:val="single" w:sz="4" w:space="0" w:color="000000"/>
              <w:right w:val="nil"/>
            </w:tcBorders>
            <w:vAlign w:val="center"/>
          </w:tcPr>
          <w:p w14:paraId="7B93FF84" w14:textId="7C16B05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UV I</w:t>
            </w:r>
          </w:p>
        </w:tc>
        <w:tc>
          <w:tcPr>
            <w:tcW w:w="1140" w:type="dxa"/>
            <w:tcBorders>
              <w:top w:val="single" w:sz="4" w:space="0" w:color="000000"/>
              <w:left w:val="nil"/>
              <w:bottom w:val="single" w:sz="4" w:space="0" w:color="000000"/>
              <w:right w:val="single" w:sz="4" w:space="0" w:color="000000"/>
            </w:tcBorders>
            <w:vAlign w:val="center"/>
          </w:tcPr>
          <w:p w14:paraId="77BE6F46"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680" w:type="dxa"/>
            <w:tcBorders>
              <w:top w:val="single" w:sz="4" w:space="0" w:color="000000"/>
              <w:left w:val="single" w:sz="4" w:space="0" w:color="000000"/>
              <w:bottom w:val="single" w:sz="4" w:space="0" w:color="000000"/>
              <w:right w:val="nil"/>
            </w:tcBorders>
            <w:vAlign w:val="center"/>
          </w:tcPr>
          <w:p w14:paraId="5FBFC83D"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177" w:type="dxa"/>
            <w:tcBorders>
              <w:top w:val="single" w:sz="4" w:space="0" w:color="000000"/>
              <w:left w:val="nil"/>
              <w:bottom w:val="single" w:sz="4" w:space="0" w:color="000000"/>
              <w:right w:val="nil"/>
            </w:tcBorders>
            <w:vAlign w:val="center"/>
          </w:tcPr>
          <w:p w14:paraId="5B71B715" w14:textId="0D77ECC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UV II</w:t>
            </w:r>
          </w:p>
        </w:tc>
        <w:tc>
          <w:tcPr>
            <w:tcW w:w="958" w:type="dxa"/>
            <w:tcBorders>
              <w:top w:val="single" w:sz="4" w:space="0" w:color="000000"/>
              <w:left w:val="nil"/>
              <w:bottom w:val="single" w:sz="4" w:space="0" w:color="000000"/>
              <w:right w:val="single" w:sz="4" w:space="0" w:color="000000"/>
            </w:tcBorders>
            <w:vAlign w:val="center"/>
          </w:tcPr>
          <w:p w14:paraId="34898230"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r>
      <w:tr w:rsidR="006B7C8E" w:rsidRPr="00DD1F63" w14:paraId="085E6660" w14:textId="77777777" w:rsidTr="00BA6F2B">
        <w:trPr>
          <w:trHeight w:val="20"/>
        </w:trPr>
        <w:tc>
          <w:tcPr>
            <w:tcW w:w="3260" w:type="dxa"/>
            <w:tcBorders>
              <w:top w:val="single" w:sz="4" w:space="0" w:color="000000"/>
              <w:left w:val="single" w:sz="4" w:space="0" w:color="000000"/>
              <w:bottom w:val="nil"/>
              <w:right w:val="nil"/>
            </w:tcBorders>
          </w:tcPr>
          <w:p w14:paraId="2B0CE7D5" w14:textId="4F3DA92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Component of Time-to-Treatment Failure </w:t>
            </w:r>
          </w:p>
        </w:tc>
        <w:tc>
          <w:tcPr>
            <w:tcW w:w="554" w:type="dxa"/>
            <w:tcBorders>
              <w:top w:val="single" w:sz="4" w:space="0" w:color="000000"/>
              <w:left w:val="nil"/>
              <w:bottom w:val="nil"/>
              <w:right w:val="nil"/>
            </w:tcBorders>
            <w:vAlign w:val="center"/>
          </w:tcPr>
          <w:p w14:paraId="2926A4D5" w14:textId="4CC32273"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HR</w:t>
            </w:r>
            <w:r w:rsidRPr="00DD1F63">
              <w:rPr>
                <w:rFonts w:ascii="Times New Roman" w:hAnsi="Times New Roman" w:cs="Times New Roman"/>
                <w:sz w:val="21"/>
                <w:szCs w:val="21"/>
                <w:vertAlign w:val="superscript"/>
              </w:rPr>
              <w:t>a</w:t>
            </w:r>
            <w:proofErr w:type="spellEnd"/>
          </w:p>
        </w:tc>
        <w:tc>
          <w:tcPr>
            <w:tcW w:w="1161" w:type="dxa"/>
            <w:tcBorders>
              <w:top w:val="single" w:sz="4" w:space="0" w:color="000000"/>
              <w:left w:val="nil"/>
              <w:bottom w:val="nil"/>
              <w:right w:val="nil"/>
            </w:tcBorders>
            <w:vAlign w:val="center"/>
          </w:tcPr>
          <w:p w14:paraId="4A8E39AC" w14:textId="750D6A4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CI 95%</w:t>
            </w:r>
          </w:p>
        </w:tc>
        <w:tc>
          <w:tcPr>
            <w:tcW w:w="1140" w:type="dxa"/>
            <w:tcBorders>
              <w:top w:val="single" w:sz="4" w:space="0" w:color="000000"/>
              <w:left w:val="nil"/>
              <w:bottom w:val="nil"/>
              <w:right w:val="single" w:sz="4" w:space="0" w:color="000000"/>
            </w:tcBorders>
            <w:vAlign w:val="center"/>
          </w:tcPr>
          <w:p w14:paraId="4672CDE0" w14:textId="1EB3BB41"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 xml:space="preserve">p </w:t>
            </w:r>
            <w:proofErr w:type="spellStart"/>
            <w:r w:rsidRPr="00DD1F63">
              <w:rPr>
                <w:rFonts w:ascii="Times New Roman" w:hAnsi="Times New Roman" w:cs="Times New Roman"/>
                <w:i/>
                <w:sz w:val="21"/>
                <w:szCs w:val="21"/>
              </w:rPr>
              <w:t>Value</w:t>
            </w:r>
            <w:r w:rsidRPr="00DD1F63">
              <w:rPr>
                <w:rFonts w:ascii="Times New Roman" w:hAnsi="Times New Roman" w:cs="Times New Roman"/>
                <w:sz w:val="21"/>
                <w:szCs w:val="21"/>
                <w:vertAlign w:val="superscript"/>
              </w:rPr>
              <w:t>b</w:t>
            </w:r>
            <w:proofErr w:type="spellEnd"/>
          </w:p>
        </w:tc>
        <w:tc>
          <w:tcPr>
            <w:tcW w:w="680" w:type="dxa"/>
            <w:tcBorders>
              <w:top w:val="single" w:sz="4" w:space="0" w:color="000000"/>
              <w:left w:val="single" w:sz="4" w:space="0" w:color="000000"/>
              <w:bottom w:val="nil"/>
              <w:right w:val="nil"/>
            </w:tcBorders>
            <w:vAlign w:val="center"/>
          </w:tcPr>
          <w:p w14:paraId="3D50D454" w14:textId="702377C4" w:rsidR="006B7C8E" w:rsidRPr="00DD1F63" w:rsidRDefault="00CA72FF" w:rsidP="00377A09">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HR</w:t>
            </w:r>
            <w:r w:rsidRPr="00DD1F63">
              <w:rPr>
                <w:rFonts w:ascii="Times New Roman" w:hAnsi="Times New Roman" w:cs="Times New Roman"/>
                <w:sz w:val="21"/>
                <w:szCs w:val="21"/>
                <w:vertAlign w:val="superscript"/>
              </w:rPr>
              <w:t>a</w:t>
            </w:r>
            <w:proofErr w:type="spellEnd"/>
          </w:p>
        </w:tc>
        <w:tc>
          <w:tcPr>
            <w:tcW w:w="1177" w:type="dxa"/>
            <w:tcBorders>
              <w:top w:val="single" w:sz="4" w:space="0" w:color="000000"/>
              <w:left w:val="nil"/>
              <w:bottom w:val="nil"/>
              <w:right w:val="nil"/>
            </w:tcBorders>
            <w:vAlign w:val="center"/>
          </w:tcPr>
          <w:p w14:paraId="60EE7F11" w14:textId="1BB67B2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CI 95%</w:t>
            </w:r>
          </w:p>
        </w:tc>
        <w:tc>
          <w:tcPr>
            <w:tcW w:w="958" w:type="dxa"/>
            <w:tcBorders>
              <w:top w:val="single" w:sz="4" w:space="0" w:color="000000"/>
              <w:left w:val="nil"/>
              <w:bottom w:val="nil"/>
              <w:right w:val="single" w:sz="4" w:space="0" w:color="000000"/>
            </w:tcBorders>
            <w:vAlign w:val="center"/>
          </w:tcPr>
          <w:p w14:paraId="2D2F3DB0" w14:textId="429FAF88"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 xml:space="preserve">p </w:t>
            </w:r>
            <w:proofErr w:type="spellStart"/>
            <w:r w:rsidRPr="00DD1F63">
              <w:rPr>
                <w:rFonts w:ascii="Times New Roman" w:hAnsi="Times New Roman" w:cs="Times New Roman"/>
                <w:i/>
                <w:sz w:val="21"/>
                <w:szCs w:val="21"/>
              </w:rPr>
              <w:t>Value</w:t>
            </w:r>
            <w:r w:rsidRPr="00DD1F63">
              <w:rPr>
                <w:rFonts w:ascii="Times New Roman" w:hAnsi="Times New Roman" w:cs="Times New Roman"/>
                <w:sz w:val="21"/>
                <w:szCs w:val="21"/>
                <w:vertAlign w:val="superscript"/>
              </w:rPr>
              <w:t>b</w:t>
            </w:r>
            <w:proofErr w:type="spellEnd"/>
          </w:p>
        </w:tc>
      </w:tr>
      <w:tr w:rsidR="006B7C8E" w:rsidRPr="00DD1F63" w14:paraId="5658E1DF" w14:textId="77777777" w:rsidTr="00BA6F2B">
        <w:trPr>
          <w:trHeight w:val="20"/>
        </w:trPr>
        <w:tc>
          <w:tcPr>
            <w:tcW w:w="3260" w:type="dxa"/>
            <w:tcBorders>
              <w:top w:val="nil"/>
              <w:left w:val="single" w:sz="4" w:space="0" w:color="000000"/>
              <w:bottom w:val="nil"/>
              <w:right w:val="nil"/>
            </w:tcBorders>
            <w:vAlign w:val="center"/>
          </w:tcPr>
          <w:p w14:paraId="288A37C2" w14:textId="2B90B6B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New Active Inflammatory Lesions </w:t>
            </w:r>
          </w:p>
        </w:tc>
        <w:tc>
          <w:tcPr>
            <w:tcW w:w="554" w:type="dxa"/>
            <w:tcBorders>
              <w:top w:val="nil"/>
              <w:left w:val="nil"/>
              <w:bottom w:val="nil"/>
              <w:right w:val="nil"/>
            </w:tcBorders>
            <w:vAlign w:val="center"/>
          </w:tcPr>
          <w:p w14:paraId="5989E0DF" w14:textId="031DD3D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0.38</w:t>
            </w:r>
          </w:p>
        </w:tc>
        <w:tc>
          <w:tcPr>
            <w:tcW w:w="1161" w:type="dxa"/>
            <w:tcBorders>
              <w:top w:val="nil"/>
              <w:left w:val="nil"/>
              <w:bottom w:val="nil"/>
              <w:right w:val="nil"/>
            </w:tcBorders>
            <w:vAlign w:val="center"/>
          </w:tcPr>
          <w:p w14:paraId="1984AB39" w14:textId="2A55AED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(0.21- 0.69)</w:t>
            </w:r>
          </w:p>
        </w:tc>
        <w:tc>
          <w:tcPr>
            <w:tcW w:w="1140" w:type="dxa"/>
            <w:tcBorders>
              <w:top w:val="nil"/>
              <w:left w:val="nil"/>
              <w:bottom w:val="nil"/>
              <w:right w:val="single" w:sz="4" w:space="0" w:color="000000"/>
            </w:tcBorders>
            <w:vAlign w:val="center"/>
          </w:tcPr>
          <w:p w14:paraId="11A965E1" w14:textId="3422052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0.001</w:t>
            </w:r>
          </w:p>
        </w:tc>
        <w:tc>
          <w:tcPr>
            <w:tcW w:w="680" w:type="dxa"/>
            <w:tcBorders>
              <w:top w:val="nil"/>
              <w:left w:val="single" w:sz="4" w:space="0" w:color="000000"/>
              <w:bottom w:val="nil"/>
              <w:right w:val="nil"/>
            </w:tcBorders>
            <w:vAlign w:val="center"/>
          </w:tcPr>
          <w:p w14:paraId="2AB616BF" w14:textId="182C110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0.55</w:t>
            </w:r>
          </w:p>
        </w:tc>
        <w:tc>
          <w:tcPr>
            <w:tcW w:w="1177" w:type="dxa"/>
            <w:tcBorders>
              <w:top w:val="nil"/>
              <w:left w:val="nil"/>
              <w:bottom w:val="nil"/>
              <w:right w:val="nil"/>
            </w:tcBorders>
            <w:vAlign w:val="center"/>
          </w:tcPr>
          <w:p w14:paraId="26936518" w14:textId="6D969A1A"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(0.26-1.15)</w:t>
            </w:r>
          </w:p>
        </w:tc>
        <w:tc>
          <w:tcPr>
            <w:tcW w:w="958" w:type="dxa"/>
            <w:tcBorders>
              <w:top w:val="nil"/>
              <w:left w:val="nil"/>
              <w:bottom w:val="nil"/>
              <w:right w:val="single" w:sz="4" w:space="0" w:color="000000"/>
            </w:tcBorders>
            <w:vAlign w:val="center"/>
          </w:tcPr>
          <w:p w14:paraId="7F9A1D09" w14:textId="45A2BFB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0.105</w:t>
            </w:r>
          </w:p>
        </w:tc>
      </w:tr>
      <w:tr w:rsidR="006B7C8E" w:rsidRPr="00DD1F63" w14:paraId="264688CE" w14:textId="77777777" w:rsidTr="00BA6F2B">
        <w:trPr>
          <w:trHeight w:val="20"/>
        </w:trPr>
        <w:tc>
          <w:tcPr>
            <w:tcW w:w="3260" w:type="dxa"/>
            <w:tcBorders>
              <w:top w:val="nil"/>
              <w:left w:val="single" w:sz="4" w:space="0" w:color="000000"/>
              <w:bottom w:val="nil"/>
              <w:right w:val="nil"/>
            </w:tcBorders>
            <w:vAlign w:val="center"/>
          </w:tcPr>
          <w:p w14:paraId="2ADE0EBD" w14:textId="5E23BFC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Anterior Chamber Cells Grade </w:t>
            </w:r>
          </w:p>
        </w:tc>
        <w:tc>
          <w:tcPr>
            <w:tcW w:w="554" w:type="dxa"/>
            <w:tcBorders>
              <w:top w:val="nil"/>
              <w:left w:val="nil"/>
              <w:bottom w:val="nil"/>
              <w:right w:val="nil"/>
            </w:tcBorders>
            <w:vAlign w:val="center"/>
          </w:tcPr>
          <w:p w14:paraId="23E843A0" w14:textId="0FA2D63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0.51</w:t>
            </w:r>
          </w:p>
        </w:tc>
        <w:tc>
          <w:tcPr>
            <w:tcW w:w="1161" w:type="dxa"/>
            <w:tcBorders>
              <w:top w:val="nil"/>
              <w:left w:val="nil"/>
              <w:bottom w:val="nil"/>
              <w:right w:val="nil"/>
            </w:tcBorders>
            <w:vAlign w:val="center"/>
          </w:tcPr>
          <w:p w14:paraId="2077183C" w14:textId="7501791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(0.30- 0.86)</w:t>
            </w:r>
          </w:p>
        </w:tc>
        <w:tc>
          <w:tcPr>
            <w:tcW w:w="1140" w:type="dxa"/>
            <w:tcBorders>
              <w:top w:val="nil"/>
              <w:left w:val="nil"/>
              <w:bottom w:val="nil"/>
              <w:right w:val="single" w:sz="4" w:space="0" w:color="000000"/>
            </w:tcBorders>
            <w:vAlign w:val="center"/>
          </w:tcPr>
          <w:p w14:paraId="13E977BD" w14:textId="548F312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0.01</w:t>
            </w:r>
          </w:p>
        </w:tc>
        <w:tc>
          <w:tcPr>
            <w:tcW w:w="680" w:type="dxa"/>
            <w:tcBorders>
              <w:top w:val="nil"/>
              <w:left w:val="single" w:sz="4" w:space="0" w:color="000000"/>
              <w:bottom w:val="nil"/>
              <w:right w:val="nil"/>
            </w:tcBorders>
            <w:vAlign w:val="center"/>
          </w:tcPr>
          <w:p w14:paraId="7EA33B23" w14:textId="145DC89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w:t>
            </w:r>
          </w:p>
        </w:tc>
        <w:tc>
          <w:tcPr>
            <w:tcW w:w="1177" w:type="dxa"/>
            <w:tcBorders>
              <w:top w:val="nil"/>
              <w:left w:val="nil"/>
              <w:bottom w:val="nil"/>
              <w:right w:val="nil"/>
            </w:tcBorders>
            <w:vAlign w:val="center"/>
          </w:tcPr>
          <w:p w14:paraId="5720B7BB" w14:textId="6CE50266"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(0.42- 1.18)</w:t>
            </w:r>
          </w:p>
        </w:tc>
        <w:tc>
          <w:tcPr>
            <w:tcW w:w="958" w:type="dxa"/>
            <w:tcBorders>
              <w:top w:val="nil"/>
              <w:left w:val="nil"/>
              <w:bottom w:val="nil"/>
              <w:right w:val="single" w:sz="4" w:space="0" w:color="000000"/>
            </w:tcBorders>
            <w:vAlign w:val="center"/>
          </w:tcPr>
          <w:p w14:paraId="1D357141" w14:textId="2899F01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0.18</w:t>
            </w:r>
          </w:p>
        </w:tc>
      </w:tr>
      <w:tr w:rsidR="006B7C8E" w:rsidRPr="00DD1F63" w14:paraId="1DBC1F41" w14:textId="77777777" w:rsidTr="00BA6F2B">
        <w:trPr>
          <w:trHeight w:val="20"/>
        </w:trPr>
        <w:tc>
          <w:tcPr>
            <w:tcW w:w="3260" w:type="dxa"/>
            <w:tcBorders>
              <w:top w:val="nil"/>
              <w:left w:val="single" w:sz="4" w:space="0" w:color="000000"/>
              <w:bottom w:val="nil"/>
              <w:right w:val="nil"/>
            </w:tcBorders>
            <w:vAlign w:val="center"/>
          </w:tcPr>
          <w:p w14:paraId="7AFB1788" w14:textId="2DAD2A8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Vitreous Haze Grade </w:t>
            </w:r>
          </w:p>
        </w:tc>
        <w:tc>
          <w:tcPr>
            <w:tcW w:w="554" w:type="dxa"/>
            <w:tcBorders>
              <w:top w:val="nil"/>
              <w:left w:val="nil"/>
              <w:bottom w:val="nil"/>
              <w:right w:val="nil"/>
            </w:tcBorders>
            <w:vAlign w:val="center"/>
          </w:tcPr>
          <w:p w14:paraId="0DC2AE4D" w14:textId="349BEDD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0.32</w:t>
            </w:r>
          </w:p>
        </w:tc>
        <w:tc>
          <w:tcPr>
            <w:tcW w:w="1161" w:type="dxa"/>
            <w:tcBorders>
              <w:top w:val="nil"/>
              <w:left w:val="nil"/>
              <w:bottom w:val="nil"/>
              <w:right w:val="nil"/>
            </w:tcBorders>
            <w:vAlign w:val="center"/>
          </w:tcPr>
          <w:p w14:paraId="00A5770D" w14:textId="5CFFD18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(0.18- 0.58)</w:t>
            </w:r>
          </w:p>
        </w:tc>
        <w:tc>
          <w:tcPr>
            <w:tcW w:w="1140" w:type="dxa"/>
            <w:tcBorders>
              <w:top w:val="nil"/>
              <w:left w:val="nil"/>
              <w:bottom w:val="nil"/>
              <w:right w:val="single" w:sz="4" w:space="0" w:color="000000"/>
            </w:tcBorders>
            <w:vAlign w:val="center"/>
          </w:tcPr>
          <w:p w14:paraId="66D4CE3D" w14:textId="5D1711D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&lt;0.001</w:t>
            </w:r>
          </w:p>
        </w:tc>
        <w:tc>
          <w:tcPr>
            <w:tcW w:w="680" w:type="dxa"/>
            <w:tcBorders>
              <w:top w:val="nil"/>
              <w:left w:val="single" w:sz="4" w:space="0" w:color="000000"/>
              <w:bottom w:val="nil"/>
              <w:right w:val="nil"/>
            </w:tcBorders>
            <w:vAlign w:val="center"/>
          </w:tcPr>
          <w:p w14:paraId="0CF8F3EC" w14:textId="59157752"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0.79</w:t>
            </w:r>
          </w:p>
        </w:tc>
        <w:tc>
          <w:tcPr>
            <w:tcW w:w="1177" w:type="dxa"/>
            <w:tcBorders>
              <w:top w:val="nil"/>
              <w:left w:val="nil"/>
              <w:bottom w:val="nil"/>
              <w:right w:val="nil"/>
            </w:tcBorders>
            <w:vAlign w:val="center"/>
          </w:tcPr>
          <w:p w14:paraId="45B26A0B" w14:textId="278F606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(0.34- 1.81)</w:t>
            </w:r>
          </w:p>
        </w:tc>
        <w:tc>
          <w:tcPr>
            <w:tcW w:w="958" w:type="dxa"/>
            <w:tcBorders>
              <w:top w:val="nil"/>
              <w:left w:val="nil"/>
              <w:bottom w:val="nil"/>
              <w:right w:val="single" w:sz="4" w:space="0" w:color="000000"/>
            </w:tcBorders>
            <w:vAlign w:val="center"/>
          </w:tcPr>
          <w:p w14:paraId="689B0282" w14:textId="4273150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0.569</w:t>
            </w:r>
          </w:p>
        </w:tc>
      </w:tr>
      <w:tr w:rsidR="006B7C8E" w:rsidRPr="00DD1F63" w14:paraId="28517A73" w14:textId="77777777" w:rsidTr="00BA6F2B">
        <w:trPr>
          <w:trHeight w:val="20"/>
        </w:trPr>
        <w:tc>
          <w:tcPr>
            <w:tcW w:w="3260" w:type="dxa"/>
            <w:tcBorders>
              <w:top w:val="nil"/>
              <w:left w:val="single" w:sz="4" w:space="0" w:color="000000"/>
              <w:bottom w:val="single" w:sz="4" w:space="0" w:color="000000"/>
              <w:right w:val="nil"/>
            </w:tcBorders>
            <w:vAlign w:val="center"/>
          </w:tcPr>
          <w:p w14:paraId="23B4469B" w14:textId="331150A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Deterioration of Best Corrected Visual Acuity </w:t>
            </w:r>
          </w:p>
        </w:tc>
        <w:tc>
          <w:tcPr>
            <w:tcW w:w="554" w:type="dxa"/>
            <w:tcBorders>
              <w:top w:val="nil"/>
              <w:left w:val="nil"/>
              <w:bottom w:val="single" w:sz="4" w:space="0" w:color="000000"/>
              <w:right w:val="nil"/>
            </w:tcBorders>
            <w:vAlign w:val="center"/>
          </w:tcPr>
          <w:p w14:paraId="56057ABB" w14:textId="53FBA3A9"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0.56</w:t>
            </w:r>
          </w:p>
        </w:tc>
        <w:tc>
          <w:tcPr>
            <w:tcW w:w="1161" w:type="dxa"/>
            <w:tcBorders>
              <w:top w:val="nil"/>
              <w:left w:val="nil"/>
              <w:bottom w:val="single" w:sz="4" w:space="0" w:color="000000"/>
              <w:right w:val="nil"/>
            </w:tcBorders>
            <w:vAlign w:val="center"/>
          </w:tcPr>
          <w:p w14:paraId="2B422A48" w14:textId="77C2619C"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(0.32- 0.98)</w:t>
            </w:r>
          </w:p>
        </w:tc>
        <w:tc>
          <w:tcPr>
            <w:tcW w:w="1140" w:type="dxa"/>
            <w:tcBorders>
              <w:top w:val="nil"/>
              <w:left w:val="nil"/>
              <w:bottom w:val="single" w:sz="4" w:space="0" w:color="000000"/>
              <w:right w:val="single" w:sz="4" w:space="0" w:color="000000"/>
            </w:tcBorders>
            <w:vAlign w:val="center"/>
          </w:tcPr>
          <w:p w14:paraId="245CD789" w14:textId="772787F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0.04</w:t>
            </w:r>
          </w:p>
        </w:tc>
        <w:tc>
          <w:tcPr>
            <w:tcW w:w="1857" w:type="dxa"/>
            <w:gridSpan w:val="2"/>
            <w:tcBorders>
              <w:top w:val="nil"/>
              <w:left w:val="single" w:sz="4" w:space="0" w:color="000000"/>
              <w:bottom w:val="single" w:sz="4" w:space="0" w:color="000000"/>
              <w:right w:val="nil"/>
            </w:tcBorders>
            <w:vAlign w:val="center"/>
          </w:tcPr>
          <w:p w14:paraId="18C57245" w14:textId="429911E3" w:rsidR="006B7C8E" w:rsidRPr="00DD1F63" w:rsidRDefault="00CA72FF" w:rsidP="00377A09">
            <w:pPr>
              <w:tabs>
                <w:tab w:val="center" w:pos="1250"/>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0.33 </w:t>
            </w:r>
            <w:r w:rsidRPr="00DD1F63">
              <w:rPr>
                <w:rFonts w:ascii="Times New Roman" w:hAnsi="Times New Roman" w:cs="Times New Roman"/>
                <w:sz w:val="21"/>
                <w:szCs w:val="21"/>
              </w:rPr>
              <w:tab/>
              <w:t>(0.16- 0.70)</w:t>
            </w:r>
          </w:p>
        </w:tc>
        <w:tc>
          <w:tcPr>
            <w:tcW w:w="958" w:type="dxa"/>
            <w:tcBorders>
              <w:top w:val="nil"/>
              <w:left w:val="nil"/>
              <w:bottom w:val="single" w:sz="4" w:space="0" w:color="000000"/>
              <w:right w:val="single" w:sz="4" w:space="0" w:color="000000"/>
            </w:tcBorders>
            <w:vAlign w:val="center"/>
          </w:tcPr>
          <w:p w14:paraId="69BD9030" w14:textId="054FF9A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0.002</w:t>
            </w:r>
          </w:p>
        </w:tc>
      </w:tr>
    </w:tbl>
    <w:p w14:paraId="58D34EAA" w14:textId="55BF57E6" w:rsidR="006B7C8E" w:rsidRPr="00DD1F63" w:rsidRDefault="00CA72FF" w:rsidP="00377A09">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Note: Treatment failure at or after Week 6 (Study UV I), or at or after Week 2 (Study UV II), was counted as event.</w:t>
      </w:r>
      <w:r w:rsidR="00665563" w:rsidRPr="00DD1F63">
        <w:rPr>
          <w:rFonts w:ascii="Times New Roman" w:hAnsi="Times New Roman" w:cs="Times New Roman"/>
          <w:szCs w:val="20"/>
        </w:rPr>
        <w:t xml:space="preserve"> </w:t>
      </w:r>
      <w:proofErr w:type="gramStart"/>
      <w:r w:rsidRPr="00DD1F63">
        <w:rPr>
          <w:rFonts w:ascii="Times New Roman" w:hAnsi="Times New Roman" w:cs="Times New Roman"/>
          <w:szCs w:val="20"/>
        </w:rPr>
        <w:t>Drop outs</w:t>
      </w:r>
      <w:proofErr w:type="gramEnd"/>
      <w:r w:rsidRPr="00DD1F63">
        <w:rPr>
          <w:rFonts w:ascii="Times New Roman" w:hAnsi="Times New Roman" w:cs="Times New Roman"/>
          <w:szCs w:val="20"/>
        </w:rPr>
        <w:t xml:space="preserve"> due to reasons other than treatment failure were censored at the time of dropping out. </w:t>
      </w:r>
    </w:p>
    <w:p w14:paraId="3FD33269" w14:textId="1CBF08D9" w:rsidR="00C57A9E" w:rsidRPr="00DD1F63" w:rsidRDefault="00CA72FF" w:rsidP="00377A09">
      <w:pPr>
        <w:spacing w:after="0" w:line="240" w:lineRule="auto"/>
        <w:ind w:left="426" w:right="49"/>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HR of </w:t>
      </w:r>
      <w:r w:rsidR="00BC7C5E" w:rsidRPr="00DD1F63">
        <w:rPr>
          <w:rFonts w:ascii="Times New Roman" w:hAnsi="Times New Roman" w:cs="Times New Roman"/>
          <w:szCs w:val="20"/>
        </w:rPr>
        <w:t>adalimumab</w:t>
      </w:r>
      <w:r w:rsidRPr="00DD1F63">
        <w:rPr>
          <w:rFonts w:ascii="Times New Roman" w:hAnsi="Times New Roman" w:cs="Times New Roman"/>
          <w:szCs w:val="20"/>
        </w:rPr>
        <w:t xml:space="preserve"> vs placebo from proportional hazards regression with treatment as factor. </w:t>
      </w:r>
    </w:p>
    <w:p w14:paraId="3D7DB523" w14:textId="2441AE87" w:rsidR="006B7C8E" w:rsidRPr="00DD1F63" w:rsidRDefault="00CA72FF" w:rsidP="00377A09">
      <w:pPr>
        <w:spacing w:after="0" w:line="240" w:lineRule="auto"/>
        <w:ind w:left="426" w:right="900"/>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2-sided </w:t>
      </w:r>
      <w:r w:rsidRPr="00DD1F63">
        <w:rPr>
          <w:rFonts w:ascii="Times New Roman" w:hAnsi="Times New Roman" w:cs="Times New Roman"/>
          <w:i/>
          <w:szCs w:val="20"/>
        </w:rPr>
        <w:t>P</w:t>
      </w:r>
      <w:r w:rsidRPr="00DD1F63">
        <w:rPr>
          <w:rFonts w:ascii="Times New Roman" w:hAnsi="Times New Roman" w:cs="Times New Roman"/>
          <w:szCs w:val="20"/>
        </w:rPr>
        <w:t xml:space="preserve"> value from log rank test. </w:t>
      </w:r>
    </w:p>
    <w:p w14:paraId="06D1365B" w14:textId="77777777" w:rsidR="00C57A9E" w:rsidRPr="00DD1F63" w:rsidRDefault="00C57A9E" w:rsidP="00377A09">
      <w:pPr>
        <w:spacing w:after="0" w:line="240" w:lineRule="auto"/>
        <w:ind w:left="426" w:right="900"/>
        <w:jc w:val="left"/>
        <w:rPr>
          <w:rFonts w:ascii="Times New Roman" w:hAnsi="Times New Roman" w:cs="Times New Roman"/>
          <w:szCs w:val="20"/>
        </w:rPr>
      </w:pPr>
    </w:p>
    <w:p w14:paraId="40375E2A" w14:textId="67C32AF2" w:rsidR="006B7C8E" w:rsidRPr="00DD1F63" w:rsidRDefault="00CA72FF" w:rsidP="00377A09">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Additionally, in Study UV I, statistically significant differences in favour of </w:t>
      </w:r>
      <w:r w:rsidR="00BC7C5E" w:rsidRPr="00DD1F63">
        <w:rPr>
          <w:rFonts w:ascii="Times New Roman" w:hAnsi="Times New Roman" w:cs="Times New Roman"/>
          <w:sz w:val="22"/>
        </w:rPr>
        <w:t>adalimumab</w:t>
      </w:r>
      <w:r w:rsidRPr="00DD1F63">
        <w:rPr>
          <w:rFonts w:ascii="Times New Roman" w:hAnsi="Times New Roman" w:cs="Times New Roman"/>
          <w:sz w:val="22"/>
        </w:rPr>
        <w:t xml:space="preserve"> versus placebo were observed for the secondary endpoints changes in AC cell grade, vitreous haze grade, and log MAR BCVA (mean change from best state prior to Week 6 to the final visit; </w:t>
      </w:r>
      <w:r w:rsidRPr="00DD1F63">
        <w:rPr>
          <w:rFonts w:ascii="Times New Roman" w:hAnsi="Times New Roman" w:cs="Times New Roman"/>
          <w:i/>
          <w:sz w:val="22"/>
        </w:rPr>
        <w:t>P</w:t>
      </w:r>
      <w:r w:rsidRPr="00DD1F63">
        <w:rPr>
          <w:rFonts w:ascii="Times New Roman" w:hAnsi="Times New Roman" w:cs="Times New Roman"/>
          <w:sz w:val="22"/>
        </w:rPr>
        <w:t xml:space="preserve"> Values: 0.011, &lt;0.001 and 0.003, respectively). </w:t>
      </w:r>
    </w:p>
    <w:p w14:paraId="7FD135FE" w14:textId="77777777" w:rsidR="00463732" w:rsidRPr="00DD1F63" w:rsidRDefault="00463732" w:rsidP="00377A09">
      <w:pPr>
        <w:spacing w:after="0" w:line="240" w:lineRule="auto"/>
        <w:ind w:left="426" w:right="375"/>
        <w:jc w:val="left"/>
        <w:rPr>
          <w:rFonts w:ascii="Times New Roman" w:hAnsi="Times New Roman" w:cs="Times New Roman"/>
          <w:sz w:val="22"/>
        </w:rPr>
      </w:pPr>
    </w:p>
    <w:p w14:paraId="6C9A799D" w14:textId="7ADCDAE8" w:rsidR="00463732"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long-term extension of </w:t>
      </w:r>
      <w:proofErr w:type="gramStart"/>
      <w:r w:rsidRPr="00DD1F63">
        <w:rPr>
          <w:rFonts w:ascii="Times New Roman" w:hAnsi="Times New Roman" w:cs="Times New Roman"/>
          <w:sz w:val="22"/>
        </w:rPr>
        <w:t>studies UV</w:t>
      </w:r>
      <w:proofErr w:type="gramEnd"/>
      <w:r w:rsidRPr="00DD1F63">
        <w:rPr>
          <w:rFonts w:ascii="Times New Roman" w:hAnsi="Times New Roman" w:cs="Times New Roman"/>
          <w:sz w:val="22"/>
        </w:rPr>
        <w:t xml:space="preserve"> I and UV II, 276 of 371 eligible patients reached 78 weeks </w:t>
      </w:r>
      <w:r w:rsidRPr="00DD1F63">
        <w:rPr>
          <w:rFonts w:ascii="Times New Roman" w:hAnsi="Times New Roman" w:cs="Times New Roman"/>
          <w:spacing w:val="2"/>
          <w:sz w:val="22"/>
        </w:rPr>
        <w:t>of open-label adalimumab treatment. Of these, 222 (80.4%) were quiescence (no active inflammatory lesions, AC cell grade ≤ 0.5+, VH grade ≤ 0.5+) with a concomitant steroid dose ≤ 7.5</w:t>
      </w:r>
      <w:r w:rsidRPr="00DD1F63">
        <w:rPr>
          <w:rFonts w:ascii="Times New Roman" w:hAnsi="Times New Roman" w:cs="Times New Roman"/>
          <w:sz w:val="22"/>
        </w:rPr>
        <w:t xml:space="preserve"> mg per day, and 184 (66.7%) were in steroid-free quiescence. BCVA was either improved or maintained (&lt; 5 letters deterioration) in 88.4% of the eyes at week 78.</w:t>
      </w:r>
    </w:p>
    <w:p w14:paraId="272452D1" w14:textId="05C6F97C" w:rsidR="006B7C8E" w:rsidRPr="00DD1F63" w:rsidRDefault="006B7C8E" w:rsidP="00377A09">
      <w:pPr>
        <w:spacing w:after="0" w:line="240" w:lineRule="auto"/>
        <w:ind w:left="426" w:right="370"/>
        <w:jc w:val="left"/>
        <w:rPr>
          <w:rFonts w:ascii="Times New Roman" w:hAnsi="Times New Roman" w:cs="Times New Roman"/>
          <w:sz w:val="22"/>
        </w:rPr>
      </w:pPr>
    </w:p>
    <w:p w14:paraId="3789E26F" w14:textId="45537602" w:rsidR="006B7C8E" w:rsidRPr="00DD1F63" w:rsidRDefault="00CA72FF" w:rsidP="00377A09">
      <w:pPr>
        <w:pStyle w:val="Heading4"/>
        <w:pageBreakBefore/>
        <w:spacing w:after="0" w:line="240" w:lineRule="auto"/>
        <w:ind w:left="425" w:hanging="11"/>
        <w:rPr>
          <w:rFonts w:ascii="Times New Roman" w:hAnsi="Times New Roman" w:cs="Times New Roman"/>
          <w:i/>
          <w:iCs/>
          <w:u w:val="none"/>
        </w:rPr>
      </w:pPr>
      <w:r w:rsidRPr="00DD1F63">
        <w:rPr>
          <w:rFonts w:ascii="Times New Roman" w:hAnsi="Times New Roman" w:cs="Times New Roman"/>
          <w:i/>
          <w:iCs/>
          <w:u w:val="none"/>
        </w:rPr>
        <w:lastRenderedPageBreak/>
        <w:t xml:space="preserve">Quality of </w:t>
      </w:r>
      <w:r w:rsidR="00BC7C5E" w:rsidRPr="00DD1F63">
        <w:rPr>
          <w:rFonts w:ascii="Times New Roman" w:hAnsi="Times New Roman" w:cs="Times New Roman"/>
          <w:i/>
          <w:iCs/>
          <w:u w:val="none"/>
        </w:rPr>
        <w:t>l</w:t>
      </w:r>
      <w:r w:rsidRPr="00DD1F63">
        <w:rPr>
          <w:rFonts w:ascii="Times New Roman" w:hAnsi="Times New Roman" w:cs="Times New Roman"/>
          <w:i/>
          <w:iCs/>
          <w:u w:val="none"/>
        </w:rPr>
        <w:t xml:space="preserve">ife </w:t>
      </w:r>
    </w:p>
    <w:p w14:paraId="7B00221C" w14:textId="77777777" w:rsidR="00463732" w:rsidRPr="00DD1F63" w:rsidRDefault="00463732" w:rsidP="00377A09">
      <w:pPr>
        <w:spacing w:after="0" w:line="240" w:lineRule="auto"/>
        <w:ind w:left="426" w:hanging="11"/>
        <w:jc w:val="left"/>
        <w:rPr>
          <w:rFonts w:ascii="Times New Roman" w:hAnsi="Times New Roman" w:cs="Times New Roman"/>
          <w:sz w:val="22"/>
        </w:rPr>
      </w:pPr>
    </w:p>
    <w:p w14:paraId="3FC0933E" w14:textId="07BC0DB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Study UV 1, treatment with </w:t>
      </w:r>
      <w:r w:rsidR="00BC7C5E" w:rsidRPr="00DD1F63">
        <w:rPr>
          <w:rFonts w:ascii="Times New Roman" w:hAnsi="Times New Roman" w:cs="Times New Roman"/>
          <w:sz w:val="22"/>
        </w:rPr>
        <w:t>adalimumab</w:t>
      </w:r>
      <w:r w:rsidRPr="00DD1F63">
        <w:rPr>
          <w:rFonts w:ascii="Times New Roman" w:hAnsi="Times New Roman" w:cs="Times New Roman"/>
          <w:sz w:val="22"/>
        </w:rPr>
        <w:t xml:space="preserve"> resulted in maintenance of vision-related functioning and health</w:t>
      </w:r>
      <w:r w:rsidR="00BC7C5E" w:rsidRPr="00DD1F63">
        <w:rPr>
          <w:rFonts w:ascii="Times New Roman" w:hAnsi="Times New Roman" w:cs="Times New Roman"/>
          <w:sz w:val="22"/>
        </w:rPr>
        <w:t>-</w:t>
      </w:r>
      <w:r w:rsidRPr="00DD1F63">
        <w:rPr>
          <w:rFonts w:ascii="Times New Roman" w:hAnsi="Times New Roman" w:cs="Times New Roman"/>
          <w:sz w:val="22"/>
        </w:rPr>
        <w:t xml:space="preserve">related quality of life, as measured by the National Eye Institute Visual Functioning Questionnaire - 25 (NEI VFQ-25). </w:t>
      </w:r>
    </w:p>
    <w:p w14:paraId="03BB3A5E" w14:textId="40BAE7C3" w:rsidR="00E67BC9" w:rsidRPr="00DD1F63" w:rsidRDefault="00E67BC9" w:rsidP="00377A09">
      <w:pPr>
        <w:spacing w:after="0" w:line="240" w:lineRule="auto"/>
        <w:ind w:left="426" w:right="49"/>
        <w:jc w:val="left"/>
        <w:rPr>
          <w:rFonts w:ascii="Times New Roman" w:hAnsi="Times New Roman" w:cs="Times New Roman"/>
          <w:sz w:val="22"/>
        </w:rPr>
      </w:pPr>
    </w:p>
    <w:p w14:paraId="1380EF83" w14:textId="4CC46B8F" w:rsidR="00E67BC9" w:rsidRPr="00DD1F63" w:rsidRDefault="00E67BC9" w:rsidP="00377A09">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D74F94" w:rsidRPr="00D74F94">
        <w:rPr>
          <w:rFonts w:ascii="Times New Roman" w:hAnsi="Times New Roman" w:cs="Times New Roman"/>
          <w:sz w:val="22"/>
          <w:u w:val="single"/>
        </w:rPr>
        <w:t>Ciptunec</w:t>
      </w:r>
      <w:proofErr w:type="spellEnd"/>
      <w:r w:rsidR="00D74F94" w:rsidRPr="00D74F94" w:rsidDel="00D74F94">
        <w:rPr>
          <w:rFonts w:ascii="Times New Roman" w:hAnsi="Times New Roman" w:cs="Times New Roman"/>
          <w:sz w:val="22"/>
          <w:u w:val="single"/>
        </w:rPr>
        <w:t xml:space="preserve"> </w:t>
      </w:r>
      <w:r w:rsidRPr="00DD1F63">
        <w:rPr>
          <w:rFonts w:ascii="Times New Roman" w:hAnsi="Times New Roman" w:cs="Times New Roman"/>
          <w:sz w:val="22"/>
          <w:u w:val="single"/>
        </w:rPr>
        <w:t>with Humira</w:t>
      </w:r>
      <w:r w:rsidRPr="00DD1F63">
        <w:rPr>
          <w:rFonts w:ascii="Times New Roman" w:hAnsi="Times New Roman" w:cs="Times New Roman"/>
          <w:sz w:val="22"/>
          <w:u w:val="single"/>
          <w:vertAlign w:val="superscript"/>
        </w:rPr>
        <w:t>®</w:t>
      </w:r>
      <w:r w:rsidRPr="00DD1F63">
        <w:rPr>
          <w:rFonts w:ascii="Times New Roman" w:hAnsi="Times New Roman" w:cs="Times New Roman"/>
          <w:sz w:val="22"/>
          <w:u w:val="single"/>
        </w:rPr>
        <w:t xml:space="preserve"> - Clinical Trials</w:t>
      </w:r>
    </w:p>
    <w:p w14:paraId="5471334E" w14:textId="77777777" w:rsidR="00E67BC9" w:rsidRPr="00DD1F63" w:rsidRDefault="00E67BC9" w:rsidP="00377A09">
      <w:pPr>
        <w:spacing w:after="0" w:line="240" w:lineRule="auto"/>
        <w:ind w:left="426"/>
        <w:jc w:val="left"/>
        <w:rPr>
          <w:rFonts w:ascii="Times New Roman" w:hAnsi="Times New Roman" w:cs="Times New Roman"/>
          <w:sz w:val="22"/>
        </w:rPr>
      </w:pPr>
    </w:p>
    <w:p w14:paraId="15CA1274" w14:textId="5EA13E90"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efficacy and safety of </w:t>
      </w:r>
      <w:bookmarkStart w:id="3" w:name="_Hlk77930786"/>
      <w:bookmarkStart w:id="4" w:name="_Hlk77930948"/>
      <w:proofErr w:type="spellStart"/>
      <w:r w:rsidR="00D74F94" w:rsidRPr="00D74F94">
        <w:rPr>
          <w:rFonts w:ascii="Times New Roman" w:hAnsi="Times New Roman" w:cs="Times New Roman"/>
          <w:sz w:val="22"/>
        </w:rPr>
        <w:t>Ciptunec</w:t>
      </w:r>
      <w:proofErr w:type="spellEnd"/>
      <w:r w:rsidR="00D74F94" w:rsidRPr="00D74F94" w:rsidDel="00D74F94">
        <w:rPr>
          <w:rFonts w:ascii="Times New Roman" w:hAnsi="Times New Roman" w:cs="Times New Roman"/>
          <w:sz w:val="22"/>
        </w:rPr>
        <w:t xml:space="preserve"> </w:t>
      </w:r>
      <w:bookmarkEnd w:id="3"/>
      <w:bookmarkEnd w:id="4"/>
      <w:r w:rsidRPr="00DD1F63">
        <w:rPr>
          <w:rFonts w:ascii="Times New Roman" w:hAnsi="Times New Roman" w:cs="Times New Roman"/>
          <w:sz w:val="22"/>
        </w:rPr>
        <w:t xml:space="preserve">were assessed in a randomised active-control, double-blind parallel group, multicentre, clinical Phase III study in 413 patients ≥ 18 years of age with moderate to severe plaque psoriasis (Study AVT02-GL-301-PsO) who were candidates for systemic therapy. Patients had stable moderate to severe plaque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for at least 2 months, a body surface area (BSA) ≥ 10%, and Psoriasis Area and Severity Index (PASI) ≥ 12 at study entry. The patients received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or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at an initial loading dose of 80 mg administered SC on week 1/day1, followed by 40 mg SC given every other week starting one week after the loading dose. </w:t>
      </w:r>
    </w:p>
    <w:p w14:paraId="04329AD3" w14:textId="77777777" w:rsidR="00E67BC9" w:rsidRPr="00DD1F63" w:rsidRDefault="00E67BC9" w:rsidP="00377A09">
      <w:pPr>
        <w:spacing w:after="0" w:line="240" w:lineRule="auto"/>
        <w:ind w:left="426"/>
        <w:jc w:val="left"/>
        <w:rPr>
          <w:rFonts w:ascii="Times New Roman" w:hAnsi="Times New Roman" w:cs="Times New Roman"/>
          <w:sz w:val="22"/>
        </w:rPr>
      </w:pPr>
    </w:p>
    <w:p w14:paraId="246A4A59" w14:textId="00222D5A"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PASI percent improvement from baseline was measured and compared with adalimumab (see Table </w:t>
      </w:r>
      <w:r w:rsidR="00BA33C2" w:rsidRPr="00DD1F63">
        <w:rPr>
          <w:rFonts w:ascii="Times New Roman" w:hAnsi="Times New Roman" w:cs="Times New Roman"/>
          <w:sz w:val="22"/>
        </w:rPr>
        <w:t>32</w:t>
      </w:r>
      <w:r w:rsidRPr="00DD1F63">
        <w:rPr>
          <w:rFonts w:ascii="Times New Roman" w:hAnsi="Times New Roman" w:cs="Times New Roman"/>
          <w:sz w:val="22"/>
        </w:rPr>
        <w:t xml:space="preserve">) and it was within the pre-specified equivalence margin to demonstrate clinical equivalence between </w:t>
      </w:r>
      <w:bookmarkStart w:id="5" w:name="_Hlk77931014"/>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bookmarkEnd w:id="5"/>
    </w:p>
    <w:p w14:paraId="5D3E8F94" w14:textId="3D45DD1B" w:rsidR="00E67BC9" w:rsidRPr="00DD1F63" w:rsidRDefault="00E67BC9" w:rsidP="00377A09">
      <w:pPr>
        <w:spacing w:after="0" w:line="240" w:lineRule="auto"/>
        <w:ind w:left="426"/>
        <w:jc w:val="left"/>
        <w:rPr>
          <w:rFonts w:ascii="Times New Roman" w:hAnsi="Times New Roman" w:cs="Times New Roman"/>
          <w:sz w:val="22"/>
        </w:rPr>
      </w:pPr>
    </w:p>
    <w:p w14:paraId="075E300E" w14:textId="4559EFE9"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b/>
          <w:bCs/>
          <w:sz w:val="22"/>
        </w:rPr>
        <w:t xml:space="preserve">Table </w:t>
      </w:r>
      <w:r w:rsidR="00BA33C2" w:rsidRPr="00DD1F63">
        <w:rPr>
          <w:rFonts w:ascii="Times New Roman" w:hAnsi="Times New Roman" w:cs="Times New Roman"/>
          <w:b/>
          <w:bCs/>
          <w:sz w:val="22"/>
        </w:rPr>
        <w:t>32</w:t>
      </w:r>
      <w:r w:rsidRPr="00DD1F63">
        <w:rPr>
          <w:rFonts w:ascii="Times New Roman" w:hAnsi="Times New Roman" w:cs="Times New Roman"/>
          <w:b/>
          <w:bCs/>
          <w:sz w:val="22"/>
        </w:rPr>
        <w:t xml:space="preserve">. Efficacy results at week 16 in psoriasis study: </w:t>
      </w:r>
      <w:proofErr w:type="spellStart"/>
      <w:r w:rsidR="00B95491" w:rsidRPr="00B95491">
        <w:rPr>
          <w:rFonts w:ascii="Times New Roman" w:hAnsi="Times New Roman" w:cs="Times New Roman"/>
          <w:b/>
          <w:bCs/>
          <w:sz w:val="22"/>
        </w:rPr>
        <w:t>Ciptunec</w:t>
      </w:r>
      <w:proofErr w:type="spellEnd"/>
      <w:r w:rsidR="00B95491" w:rsidRPr="00B95491" w:rsidDel="00B95491">
        <w:rPr>
          <w:rFonts w:ascii="Times New Roman" w:hAnsi="Times New Roman" w:cs="Times New Roman"/>
          <w:b/>
          <w:bCs/>
          <w:sz w:val="22"/>
        </w:rPr>
        <w:t xml:space="preserve"> </w:t>
      </w:r>
      <w:r w:rsidRPr="00DD1F63">
        <w:rPr>
          <w:rFonts w:ascii="Times New Roman" w:hAnsi="Times New Roman" w:cs="Times New Roman"/>
          <w:b/>
          <w:bCs/>
          <w:sz w:val="22"/>
        </w:rPr>
        <w:t>vs Humira</w:t>
      </w:r>
      <w:r w:rsidRPr="00DD1F63">
        <w:rPr>
          <w:rFonts w:ascii="Times New Roman" w:hAnsi="Times New Roman" w:cs="Times New Roman"/>
          <w:b/>
          <w:bCs/>
          <w:sz w:val="22"/>
          <w:vertAlign w:val="superscript"/>
        </w:rPr>
        <w:t>®</w:t>
      </w:r>
      <w:r w:rsidRPr="00DD1F63">
        <w:rPr>
          <w:rFonts w:ascii="Times New Roman" w:hAnsi="Times New Roman" w:cs="Times New Roman"/>
          <w:b/>
          <w:bCs/>
          <w:sz w:val="22"/>
        </w:rPr>
        <w:t xml:space="preserve"> </w:t>
      </w:r>
    </w:p>
    <w:p w14:paraId="436640FC" w14:textId="77777777" w:rsidR="00E67BC9" w:rsidRPr="00DD1F63" w:rsidRDefault="00E67BC9" w:rsidP="00377A09">
      <w:pPr>
        <w:spacing w:after="0" w:line="240" w:lineRule="auto"/>
        <w:jc w:val="left"/>
        <w:rPr>
          <w:rFonts w:ascii="Times New Roman" w:hAnsi="Times New Roman" w:cs="Times New Roman"/>
        </w:rPr>
      </w:pPr>
    </w:p>
    <w:tbl>
      <w:tblPr>
        <w:tblStyle w:val="TableGrid0"/>
        <w:tblW w:w="8935" w:type="dxa"/>
        <w:tblInd w:w="421" w:type="dxa"/>
        <w:tblLook w:val="04A0" w:firstRow="1" w:lastRow="0" w:firstColumn="1" w:lastColumn="0" w:noHBand="0" w:noVBand="1"/>
      </w:tblPr>
      <w:tblGrid>
        <w:gridCol w:w="3116"/>
        <w:gridCol w:w="3117"/>
        <w:gridCol w:w="2702"/>
      </w:tblGrid>
      <w:tr w:rsidR="00E67BC9" w:rsidRPr="00DD1F63" w14:paraId="66A1FB29" w14:textId="77777777" w:rsidTr="00FA4569">
        <w:tc>
          <w:tcPr>
            <w:tcW w:w="3116" w:type="dxa"/>
            <w:tcBorders>
              <w:top w:val="single" w:sz="4" w:space="0" w:color="auto"/>
              <w:left w:val="nil"/>
              <w:bottom w:val="single" w:sz="4" w:space="0" w:color="auto"/>
              <w:right w:val="nil"/>
            </w:tcBorders>
            <w:vAlign w:val="center"/>
          </w:tcPr>
          <w:p w14:paraId="44D7CA5B" w14:textId="77777777" w:rsidR="00E67BC9" w:rsidRPr="00DD1F63" w:rsidRDefault="00E67BC9" w:rsidP="00377A09">
            <w:pPr>
              <w:spacing w:after="0" w:line="240" w:lineRule="auto"/>
              <w:ind w:left="11" w:hanging="11"/>
              <w:jc w:val="left"/>
              <w:rPr>
                <w:rFonts w:ascii="Times New Roman" w:hAnsi="Times New Roman" w:cs="Times New Roman"/>
                <w:sz w:val="22"/>
              </w:rPr>
            </w:pPr>
          </w:p>
        </w:tc>
        <w:tc>
          <w:tcPr>
            <w:tcW w:w="3117" w:type="dxa"/>
            <w:tcBorders>
              <w:top w:val="single" w:sz="4" w:space="0" w:color="auto"/>
              <w:left w:val="nil"/>
              <w:bottom w:val="single" w:sz="4" w:space="0" w:color="auto"/>
              <w:right w:val="nil"/>
            </w:tcBorders>
            <w:vAlign w:val="center"/>
          </w:tcPr>
          <w:p w14:paraId="257AD17D" w14:textId="67FCF69B" w:rsidR="00E67BC9" w:rsidRPr="00DD1F63" w:rsidRDefault="00B95491" w:rsidP="00377A09">
            <w:pPr>
              <w:spacing w:after="0" w:line="240" w:lineRule="auto"/>
              <w:ind w:left="11" w:hanging="11"/>
              <w:jc w:val="left"/>
              <w:rPr>
                <w:rFonts w:ascii="Times New Roman" w:hAnsi="Times New Roman" w:cs="Times New Roman"/>
                <w:sz w:val="22"/>
              </w:rPr>
            </w:pPr>
            <w:proofErr w:type="spellStart"/>
            <w:r w:rsidRPr="00B95491">
              <w:rPr>
                <w:rFonts w:ascii="Times New Roman" w:hAnsi="Times New Roman" w:cs="Times New Roman"/>
                <w:sz w:val="22"/>
              </w:rPr>
              <w:t>Ciptunec</w:t>
            </w:r>
            <w:proofErr w:type="spellEnd"/>
          </w:p>
          <w:p w14:paraId="73C3665F" w14:textId="393C371B" w:rsidR="00E67BC9" w:rsidRPr="00DD1F63" w:rsidRDefault="00E67BC9" w:rsidP="00377A09">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 xml:space="preserve">n = </w:t>
            </w:r>
            <w:r w:rsidR="00AA2418">
              <w:rPr>
                <w:rFonts w:ascii="Times New Roman" w:hAnsi="Times New Roman" w:cs="Times New Roman"/>
                <w:sz w:val="22"/>
              </w:rPr>
              <w:t>205</w:t>
            </w:r>
          </w:p>
        </w:tc>
        <w:tc>
          <w:tcPr>
            <w:tcW w:w="2702" w:type="dxa"/>
            <w:tcBorders>
              <w:top w:val="single" w:sz="4" w:space="0" w:color="auto"/>
              <w:left w:val="nil"/>
              <w:bottom w:val="single" w:sz="4" w:space="0" w:color="auto"/>
              <w:right w:val="nil"/>
            </w:tcBorders>
            <w:vAlign w:val="center"/>
          </w:tcPr>
          <w:p w14:paraId="2A3B5308" w14:textId="77777777" w:rsidR="00E67BC9" w:rsidRPr="00DD1F63" w:rsidRDefault="00E67BC9" w:rsidP="00377A09">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Humira</w:t>
            </w:r>
            <w:r w:rsidRPr="00DD1F63">
              <w:rPr>
                <w:rFonts w:ascii="Times New Roman" w:hAnsi="Times New Roman" w:cs="Times New Roman"/>
                <w:sz w:val="22"/>
                <w:vertAlign w:val="superscript"/>
              </w:rPr>
              <w:t>®</w:t>
            </w:r>
          </w:p>
          <w:p w14:paraId="40ED31F2" w14:textId="561AE0DF" w:rsidR="00E67BC9" w:rsidRPr="00DD1F63" w:rsidRDefault="00E67BC9" w:rsidP="00377A09">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 xml:space="preserve">n = </w:t>
            </w:r>
            <w:r w:rsidR="00AA2418">
              <w:rPr>
                <w:rFonts w:ascii="Times New Roman" w:hAnsi="Times New Roman" w:cs="Times New Roman"/>
                <w:sz w:val="22"/>
              </w:rPr>
              <w:t>207</w:t>
            </w:r>
          </w:p>
        </w:tc>
      </w:tr>
      <w:tr w:rsidR="00E67BC9" w:rsidRPr="00DD1F63" w14:paraId="0C30DB14" w14:textId="77777777" w:rsidTr="00FA4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Borders>
              <w:top w:val="single" w:sz="4" w:space="0" w:color="auto"/>
              <w:bottom w:val="single" w:sz="4" w:space="0" w:color="auto"/>
            </w:tcBorders>
            <w:vAlign w:val="center"/>
          </w:tcPr>
          <w:p w14:paraId="6F2D4376" w14:textId="2B4E03A5" w:rsidR="00E67BC9" w:rsidRPr="00DD1F63" w:rsidRDefault="00E67BC9" w:rsidP="00377A09">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PASI % Improvement from baseline</w:t>
            </w:r>
            <w:r w:rsidR="006C086F" w:rsidRPr="00DD1F63">
              <w:rPr>
                <w:rFonts w:ascii="Times New Roman" w:hAnsi="Times New Roman" w:cs="Times New Roman"/>
                <w:sz w:val="22"/>
              </w:rPr>
              <w:t xml:space="preserve"> (SE*)</w:t>
            </w:r>
          </w:p>
        </w:tc>
        <w:tc>
          <w:tcPr>
            <w:tcW w:w="3117" w:type="dxa"/>
            <w:tcBorders>
              <w:top w:val="single" w:sz="4" w:space="0" w:color="auto"/>
              <w:bottom w:val="single" w:sz="4" w:space="0" w:color="auto"/>
            </w:tcBorders>
            <w:vAlign w:val="center"/>
          </w:tcPr>
          <w:p w14:paraId="3681F177" w14:textId="6031B196" w:rsidR="00E67BC9" w:rsidRPr="00DD1F63" w:rsidRDefault="00AA2418" w:rsidP="00377A09">
            <w:pPr>
              <w:spacing w:after="0" w:line="240" w:lineRule="auto"/>
              <w:ind w:left="11" w:hanging="11"/>
              <w:jc w:val="left"/>
              <w:rPr>
                <w:rFonts w:ascii="Times New Roman" w:hAnsi="Times New Roman" w:cs="Times New Roman"/>
                <w:sz w:val="22"/>
              </w:rPr>
            </w:pPr>
            <w:r w:rsidRPr="00AA2418">
              <w:rPr>
                <w:rFonts w:ascii="Times New Roman" w:hAnsi="Times New Roman" w:cs="Times New Roman"/>
                <w:sz w:val="22"/>
              </w:rPr>
              <w:t>89.2 (1.61)</w:t>
            </w:r>
          </w:p>
        </w:tc>
        <w:tc>
          <w:tcPr>
            <w:tcW w:w="2702" w:type="dxa"/>
            <w:tcBorders>
              <w:top w:val="single" w:sz="4" w:space="0" w:color="auto"/>
              <w:bottom w:val="single" w:sz="4" w:space="0" w:color="auto"/>
            </w:tcBorders>
            <w:vAlign w:val="center"/>
          </w:tcPr>
          <w:p w14:paraId="321935C7" w14:textId="6D76BAE1" w:rsidR="00E67BC9" w:rsidRPr="00DD1F63" w:rsidRDefault="00AA2418" w:rsidP="00377A09">
            <w:pPr>
              <w:spacing w:after="0" w:line="240" w:lineRule="auto"/>
              <w:ind w:left="11" w:hanging="11"/>
              <w:jc w:val="left"/>
              <w:rPr>
                <w:rFonts w:ascii="Times New Roman" w:hAnsi="Times New Roman" w:cs="Times New Roman"/>
                <w:sz w:val="22"/>
              </w:rPr>
            </w:pPr>
            <w:r w:rsidRPr="00AA2418">
              <w:rPr>
                <w:rFonts w:ascii="Times New Roman" w:hAnsi="Times New Roman" w:cs="Times New Roman"/>
                <w:sz w:val="22"/>
              </w:rPr>
              <w:t>86.9 (1.65)</w:t>
            </w:r>
          </w:p>
        </w:tc>
      </w:tr>
    </w:tbl>
    <w:p w14:paraId="3C92EC66" w14:textId="40096D5E" w:rsidR="00E67BC9" w:rsidRPr="00DD1F63" w:rsidRDefault="00E67BC9" w:rsidP="00377A09">
      <w:pPr>
        <w:spacing w:after="0" w:line="240" w:lineRule="auto"/>
        <w:ind w:left="426"/>
        <w:jc w:val="left"/>
        <w:rPr>
          <w:rFonts w:ascii="Times New Roman" w:hAnsi="Times New Roman" w:cs="Times New Roman"/>
        </w:rPr>
      </w:pPr>
      <w:r w:rsidRPr="00DD1F63">
        <w:rPr>
          <w:rFonts w:ascii="Times New Roman" w:hAnsi="Times New Roman" w:cs="Times New Roman"/>
        </w:rPr>
        <w:t xml:space="preserve"> </w:t>
      </w:r>
      <w:r w:rsidR="006C086F" w:rsidRPr="00DD1F63">
        <w:rPr>
          <w:rFonts w:ascii="Times New Roman" w:hAnsi="Times New Roman" w:cs="Times New Roman"/>
        </w:rPr>
        <w:t>* Standard error</w:t>
      </w:r>
    </w:p>
    <w:p w14:paraId="3E156ABF" w14:textId="77777777" w:rsidR="006C086F" w:rsidRPr="00DD1F63" w:rsidRDefault="006C086F" w:rsidP="00377A09">
      <w:pPr>
        <w:spacing w:after="0" w:line="240" w:lineRule="auto"/>
        <w:ind w:left="426"/>
        <w:jc w:val="left"/>
        <w:rPr>
          <w:rFonts w:ascii="Times New Roman" w:hAnsi="Times New Roman" w:cs="Times New Roman"/>
          <w:sz w:val="22"/>
        </w:rPr>
      </w:pPr>
    </w:p>
    <w:p w14:paraId="6B83D586" w14:textId="30ABA11B"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primary endpoint was PASI percent improvement from baseline to week 16. At week 16, the PASI percent improvement from baseline was </w:t>
      </w:r>
      <w:r w:rsidR="00AA2418">
        <w:rPr>
          <w:rFonts w:ascii="Times New Roman" w:hAnsi="Times New Roman" w:cs="Times New Roman"/>
          <w:sz w:val="22"/>
        </w:rPr>
        <w:t>8</w:t>
      </w:r>
      <w:r w:rsidRPr="00DD1F63">
        <w:rPr>
          <w:rFonts w:ascii="Times New Roman" w:hAnsi="Times New Roman" w:cs="Times New Roman"/>
          <w:sz w:val="22"/>
        </w:rPr>
        <w:t>9.</w:t>
      </w:r>
      <w:r w:rsidR="00AA2418">
        <w:rPr>
          <w:rFonts w:ascii="Times New Roman" w:hAnsi="Times New Roman" w:cs="Times New Roman"/>
          <w:sz w:val="22"/>
        </w:rPr>
        <w:t>2</w:t>
      </w:r>
      <w:r w:rsidRPr="00DD1F63">
        <w:rPr>
          <w:rFonts w:ascii="Times New Roman" w:hAnsi="Times New Roman" w:cs="Times New Roman"/>
          <w:sz w:val="22"/>
        </w:rPr>
        <w:t xml:space="preserve"> in the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 xml:space="preserve">group and </w:t>
      </w:r>
      <w:r w:rsidR="00AA2418">
        <w:rPr>
          <w:rFonts w:ascii="Times New Roman" w:hAnsi="Times New Roman" w:cs="Times New Roman"/>
          <w:sz w:val="22"/>
        </w:rPr>
        <w:t>86</w:t>
      </w:r>
      <w:r w:rsidRPr="00DD1F63">
        <w:rPr>
          <w:rFonts w:ascii="Times New Roman" w:hAnsi="Times New Roman" w:cs="Times New Roman"/>
          <w:sz w:val="22"/>
        </w:rPr>
        <w:t>.</w:t>
      </w:r>
      <w:r w:rsidR="00AA2418">
        <w:rPr>
          <w:rFonts w:ascii="Times New Roman" w:hAnsi="Times New Roman" w:cs="Times New Roman"/>
          <w:sz w:val="22"/>
        </w:rPr>
        <w:t>9</w:t>
      </w:r>
      <w:r w:rsidRPr="00DD1F63">
        <w:rPr>
          <w:rFonts w:ascii="Times New Roman" w:hAnsi="Times New Roman" w:cs="Times New Roman"/>
          <w:sz w:val="22"/>
        </w:rPr>
        <w:t xml:space="preserve"> in the Humira</w:t>
      </w:r>
      <w:r w:rsidRPr="00DD1F63">
        <w:rPr>
          <w:rFonts w:ascii="Times New Roman" w:hAnsi="Times New Roman" w:cs="Times New Roman"/>
          <w:sz w:val="22"/>
          <w:vertAlign w:val="superscript"/>
        </w:rPr>
        <w:t xml:space="preserve">® </w:t>
      </w:r>
      <w:r w:rsidRPr="00DD1F63">
        <w:rPr>
          <w:rFonts w:ascii="Times New Roman" w:hAnsi="Times New Roman" w:cs="Times New Roman"/>
          <w:sz w:val="22"/>
        </w:rPr>
        <w:t xml:space="preserve">group. The least-squares (LS) mean difference of PASI percent improvement from baseline to week 16 between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was </w:t>
      </w:r>
      <w:r w:rsidR="00AA2418">
        <w:rPr>
          <w:rFonts w:ascii="Times New Roman" w:hAnsi="Times New Roman" w:cs="Times New Roman"/>
          <w:sz w:val="22"/>
        </w:rPr>
        <w:t>2</w:t>
      </w:r>
      <w:r w:rsidRPr="00DD1F63">
        <w:rPr>
          <w:rFonts w:ascii="Times New Roman" w:hAnsi="Times New Roman" w:cs="Times New Roman"/>
          <w:sz w:val="22"/>
        </w:rPr>
        <w:t>.3 with the 2-sided 95% CI of (–</w:t>
      </w:r>
      <w:r w:rsidR="00AA2418">
        <w:rPr>
          <w:rFonts w:ascii="Times New Roman" w:hAnsi="Times New Roman" w:cs="Times New Roman"/>
          <w:sz w:val="22"/>
        </w:rPr>
        <w:t>1</w:t>
      </w:r>
      <w:r w:rsidRPr="00DD1F63">
        <w:rPr>
          <w:rFonts w:ascii="Times New Roman" w:hAnsi="Times New Roman" w:cs="Times New Roman"/>
          <w:sz w:val="22"/>
        </w:rPr>
        <w:t>.</w:t>
      </w:r>
      <w:r w:rsidR="00AA2418">
        <w:rPr>
          <w:rFonts w:ascii="Times New Roman" w:hAnsi="Times New Roman" w:cs="Times New Roman"/>
          <w:sz w:val="22"/>
        </w:rPr>
        <w:t>3</w:t>
      </w:r>
      <w:r w:rsidRPr="00DD1F63">
        <w:rPr>
          <w:rFonts w:ascii="Times New Roman" w:hAnsi="Times New Roman" w:cs="Times New Roman"/>
          <w:sz w:val="22"/>
        </w:rPr>
        <w:t xml:space="preserve">4, </w:t>
      </w:r>
      <w:r w:rsidR="00AA2418">
        <w:rPr>
          <w:rFonts w:ascii="Times New Roman" w:hAnsi="Times New Roman" w:cs="Times New Roman"/>
          <w:sz w:val="22"/>
        </w:rPr>
        <w:t>5</w:t>
      </w:r>
      <w:r w:rsidRPr="00DD1F63">
        <w:rPr>
          <w:rFonts w:ascii="Times New Roman" w:hAnsi="Times New Roman" w:cs="Times New Roman"/>
          <w:sz w:val="22"/>
        </w:rPr>
        <w:t>.</w:t>
      </w:r>
      <w:r w:rsidR="00AA2418">
        <w:rPr>
          <w:rFonts w:ascii="Times New Roman" w:hAnsi="Times New Roman" w:cs="Times New Roman"/>
          <w:sz w:val="22"/>
        </w:rPr>
        <w:t>88</w:t>
      </w:r>
      <w:r w:rsidRPr="00DD1F63">
        <w:rPr>
          <w:rFonts w:ascii="Times New Roman" w:hAnsi="Times New Roman" w:cs="Times New Roman"/>
          <w:sz w:val="22"/>
        </w:rPr>
        <w:t xml:space="preserve">). The 95% CI was within the predefined equivalence margin, thus demonstrating clinical equivalence of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p w14:paraId="3BA37908" w14:textId="77777777" w:rsidR="00E67BC9" w:rsidRPr="00DD1F63" w:rsidRDefault="00E67BC9" w:rsidP="00377A09">
      <w:pPr>
        <w:spacing w:after="0" w:line="240" w:lineRule="auto"/>
        <w:ind w:left="426"/>
        <w:jc w:val="left"/>
        <w:rPr>
          <w:rFonts w:ascii="Times New Roman" w:hAnsi="Times New Roman" w:cs="Times New Roman"/>
          <w:sz w:val="22"/>
        </w:rPr>
      </w:pPr>
    </w:p>
    <w:p w14:paraId="0966EB6C" w14:textId="58B4ED68"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was also designed to evaluate clinically meaningful differences in safety and immunogenicity in subjects who underwent a single transition from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to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 xml:space="preserve">at week 16 and to provide a descriptive comparison with patients who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The 413 subjects in 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were initially randomised (1:1) to Treatment Group A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or Treatment Group B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At week 16, subjects with a PASI 50 response (50% or better improvement)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study for up to 54 weeks. Subjects who continued treatment beyond week 16 were re-randomised in a blinded fashion such that all subjects initially randomised to Treatment Group A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xml:space="preserve">) continued treatment with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and subjects initially randomised to Treatment Group B (Humira</w:t>
      </w:r>
      <w:r w:rsidRPr="00DD1F63">
        <w:rPr>
          <w:rFonts w:ascii="Times New Roman" w:hAnsi="Times New Roman" w:cs="Times New Roman"/>
          <w:sz w:val="22"/>
          <w:vertAlign w:val="superscript"/>
        </w:rPr>
        <w:t>®</w:t>
      </w:r>
      <w:r w:rsidRPr="00DD1F63">
        <w:rPr>
          <w:rFonts w:ascii="Times New Roman" w:hAnsi="Times New Roman" w:cs="Times New Roman"/>
          <w:sz w:val="22"/>
        </w:rPr>
        <w:t>) were re-randomised (1:1) to either continue treatment with Humira</w:t>
      </w:r>
      <w:r w:rsidRPr="00DD1F63">
        <w:rPr>
          <w:rFonts w:ascii="Times New Roman" w:hAnsi="Times New Roman" w:cs="Times New Roman"/>
          <w:sz w:val="22"/>
          <w:vertAlign w:val="superscript"/>
        </w:rPr>
        <w:t>®</w:t>
      </w:r>
      <w:r w:rsidRPr="00DD1F63">
        <w:rPr>
          <w:rFonts w:ascii="Times New Roman" w:hAnsi="Times New Roman" w:cs="Times New Roman"/>
          <w:sz w:val="22"/>
        </w:rPr>
        <w:t>, Treatment Group B1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or were transitioned to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Treatment Group B2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xml:space="preserve">). Subjects continued with their assigned treatment until week 50, when the last dose of assigned investigational product was administered and week 54 was the end of study. </w:t>
      </w:r>
    </w:p>
    <w:p w14:paraId="4C623499" w14:textId="77777777" w:rsidR="00E67BC9" w:rsidRPr="00DD1F63" w:rsidRDefault="00E67BC9" w:rsidP="00377A09">
      <w:pPr>
        <w:spacing w:after="0" w:line="240" w:lineRule="auto"/>
        <w:ind w:left="426"/>
        <w:jc w:val="left"/>
        <w:rPr>
          <w:rFonts w:ascii="Times New Roman" w:hAnsi="Times New Roman" w:cs="Times New Roman"/>
          <w:sz w:val="22"/>
        </w:rPr>
      </w:pPr>
    </w:p>
    <w:p w14:paraId="6E88AB6B" w14:textId="1A807F1B"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lastRenderedPageBreak/>
        <w:t>The overall safety profile of the subjects who transitioned from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to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 xml:space="preserve">was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the subjects who remained on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throughout the study. The mean PASI percent improvement from baseline over the duration of the study is shown in Figure </w:t>
      </w:r>
      <w:r w:rsidR="00BA33C2" w:rsidRPr="00DD1F63">
        <w:rPr>
          <w:rFonts w:ascii="Times New Roman" w:hAnsi="Times New Roman" w:cs="Times New Roman"/>
          <w:sz w:val="22"/>
        </w:rPr>
        <w:t>8</w:t>
      </w:r>
      <w:r w:rsidRPr="00DD1F63">
        <w:rPr>
          <w:rFonts w:ascii="Times New Roman" w:hAnsi="Times New Roman" w:cs="Times New Roman"/>
          <w:sz w:val="22"/>
        </w:rPr>
        <w:t xml:space="preserve">. </w:t>
      </w:r>
    </w:p>
    <w:p w14:paraId="0C251FE9" w14:textId="77777777" w:rsidR="00E67BC9" w:rsidRPr="00DD1F63" w:rsidRDefault="00E67BC9" w:rsidP="00377A09">
      <w:pPr>
        <w:spacing w:after="0" w:line="240" w:lineRule="auto"/>
        <w:jc w:val="left"/>
        <w:rPr>
          <w:rFonts w:ascii="Times New Roman" w:hAnsi="Times New Roman" w:cs="Times New Roman"/>
          <w:sz w:val="22"/>
        </w:rPr>
      </w:pPr>
      <w:r w:rsidRPr="00DD1F63">
        <w:rPr>
          <w:rFonts w:ascii="Times New Roman" w:hAnsi="Times New Roman" w:cs="Times New Roman"/>
          <w:sz w:val="22"/>
        </w:rPr>
        <w:t xml:space="preserve">   </w:t>
      </w:r>
    </w:p>
    <w:p w14:paraId="0745E0D3" w14:textId="77777777" w:rsidR="00E67BC9" w:rsidRPr="00DD1F63" w:rsidRDefault="00E67BC9" w:rsidP="00377A09">
      <w:pPr>
        <w:spacing w:after="0" w:line="240" w:lineRule="auto"/>
        <w:ind w:left="426"/>
        <w:jc w:val="left"/>
        <w:rPr>
          <w:rFonts w:ascii="Times New Roman" w:hAnsi="Times New Roman" w:cs="Times New Roman"/>
        </w:rPr>
      </w:pPr>
      <w:r w:rsidRPr="00DD1F63">
        <w:rPr>
          <w:rFonts w:ascii="Times New Roman" w:hAnsi="Times New Roman" w:cs="Times New Roman"/>
          <w:noProof/>
        </w:rPr>
        <w:drawing>
          <wp:inline distT="0" distB="0" distL="0" distR="0" wp14:anchorId="655733A7" wp14:editId="5D658241">
            <wp:extent cx="5943600" cy="29457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45765"/>
                    </a:xfrm>
                    <a:prstGeom prst="rect">
                      <a:avLst/>
                    </a:prstGeom>
                    <a:noFill/>
                    <a:ln>
                      <a:noFill/>
                    </a:ln>
                  </pic:spPr>
                </pic:pic>
              </a:graphicData>
            </a:graphic>
          </wp:inline>
        </w:drawing>
      </w:r>
    </w:p>
    <w:p w14:paraId="1ECEB474" w14:textId="77777777" w:rsidR="00E67BC9" w:rsidRPr="00DD1F63" w:rsidRDefault="00E67BC9" w:rsidP="00377A09">
      <w:pPr>
        <w:spacing w:after="0" w:line="240" w:lineRule="auto"/>
        <w:ind w:left="3119"/>
        <w:jc w:val="left"/>
        <w:rPr>
          <w:rFonts w:ascii="Times New Roman" w:hAnsi="Times New Roman" w:cs="Times New Roman"/>
        </w:rPr>
      </w:pPr>
    </w:p>
    <w:p w14:paraId="7AED89A6" w14:textId="7146A2DF" w:rsidR="00E67BC9" w:rsidRPr="00DD1F63" w:rsidRDefault="00E67BC9" w:rsidP="00377A09">
      <w:pPr>
        <w:spacing w:after="0" w:line="240" w:lineRule="auto"/>
        <w:ind w:left="3119"/>
        <w:jc w:val="left"/>
        <w:rPr>
          <w:rFonts w:ascii="Times New Roman" w:hAnsi="Times New Roman" w:cs="Times New Roman"/>
        </w:rPr>
      </w:pPr>
      <w:r w:rsidRPr="00DD1F63">
        <w:rPr>
          <w:rFonts w:ascii="Times New Roman" w:hAnsi="Times New Roman" w:cs="Times New Roman"/>
          <w:noProof/>
        </w:rPr>
        <w:drawing>
          <wp:inline distT="0" distB="0" distL="0" distR="0" wp14:anchorId="1A42E9BB" wp14:editId="140D76EA">
            <wp:extent cx="376518" cy="1163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169" cy="117468"/>
                    </a:xfrm>
                    <a:prstGeom prst="rect">
                      <a:avLst/>
                    </a:prstGeom>
                    <a:noFill/>
                    <a:ln>
                      <a:noFill/>
                    </a:ln>
                  </pic:spPr>
                </pic:pic>
              </a:graphicData>
            </a:graphic>
          </wp:inline>
        </w:drawing>
      </w:r>
      <w:r w:rsidRPr="00DD1F63">
        <w:rPr>
          <w:rFonts w:ascii="Times New Roman" w:hAnsi="Times New Roman" w:cs="Times New Roman"/>
        </w:rPr>
        <w:t xml:space="preserve"> </w:t>
      </w:r>
      <w:proofErr w:type="spellStart"/>
      <w:r w:rsidR="00B95491" w:rsidRPr="00B95491">
        <w:rPr>
          <w:rFonts w:ascii="Times New Roman" w:hAnsi="Times New Roman" w:cs="Times New Roman"/>
        </w:rPr>
        <w:t>Ciptunec</w:t>
      </w:r>
      <w:proofErr w:type="spellEnd"/>
      <w:r w:rsidRPr="00DD1F63">
        <w:rPr>
          <w:rFonts w:ascii="Times New Roman" w:hAnsi="Times New Roman" w:cs="Times New Roman"/>
        </w:rPr>
        <w:t xml:space="preserve">/ </w:t>
      </w:r>
      <w:proofErr w:type="spellStart"/>
      <w:r w:rsidR="00B95491" w:rsidRPr="00B95491">
        <w:rPr>
          <w:rFonts w:ascii="Times New Roman" w:hAnsi="Times New Roman" w:cs="Times New Roman"/>
        </w:rPr>
        <w:t>Ciptunec</w:t>
      </w:r>
      <w:proofErr w:type="spellEnd"/>
      <w:r w:rsidR="00B95491" w:rsidRPr="00B95491" w:rsidDel="00B95491">
        <w:rPr>
          <w:rFonts w:ascii="Times New Roman" w:hAnsi="Times New Roman" w:cs="Times New Roman"/>
        </w:rPr>
        <w:t xml:space="preserve"> </w:t>
      </w:r>
      <w:r w:rsidRPr="00DD1F63">
        <w:rPr>
          <w:rFonts w:ascii="Times New Roman" w:hAnsi="Times New Roman" w:cs="Times New Roman"/>
        </w:rPr>
        <w:t>(N = 197)</w:t>
      </w:r>
    </w:p>
    <w:p w14:paraId="05C69866" w14:textId="200B7437" w:rsidR="00E67BC9" w:rsidRPr="00DD1F63" w:rsidRDefault="00E67BC9" w:rsidP="00377A09">
      <w:pPr>
        <w:spacing w:after="0" w:line="240" w:lineRule="auto"/>
        <w:ind w:left="3119"/>
        <w:jc w:val="left"/>
        <w:rPr>
          <w:rFonts w:ascii="Times New Roman" w:hAnsi="Times New Roman" w:cs="Times New Roman"/>
        </w:rPr>
      </w:pPr>
      <w:r w:rsidRPr="00DD1F63">
        <w:rPr>
          <w:rFonts w:ascii="Times New Roman" w:hAnsi="Times New Roman" w:cs="Times New Roman"/>
          <w:noProof/>
        </w:rPr>
        <w:drawing>
          <wp:inline distT="0" distB="0" distL="0" distR="0" wp14:anchorId="6397A986" wp14:editId="4C4F7490">
            <wp:extent cx="492780" cy="1054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836" cy="110128"/>
                    </a:xfrm>
                    <a:prstGeom prst="rect">
                      <a:avLst/>
                    </a:prstGeom>
                    <a:noFill/>
                    <a:ln>
                      <a:noFill/>
                    </a:ln>
                  </pic:spPr>
                </pic:pic>
              </a:graphicData>
            </a:graphic>
          </wp:inline>
        </w:drawing>
      </w:r>
      <w:r w:rsidRPr="00DD1F63">
        <w:rPr>
          <w:rFonts w:ascii="Times New Roman" w:hAnsi="Times New Roman" w:cs="Times New Roman"/>
        </w:rPr>
        <w:t xml:space="preserve"> Humira</w:t>
      </w:r>
      <w:r w:rsidRPr="00DD1F63">
        <w:rPr>
          <w:rFonts w:ascii="Times New Roman" w:hAnsi="Times New Roman" w:cs="Times New Roman"/>
          <w:vertAlign w:val="superscript"/>
        </w:rPr>
        <w:t>®</w:t>
      </w:r>
      <w:r w:rsidRPr="00DD1F63">
        <w:rPr>
          <w:rFonts w:ascii="Times New Roman" w:hAnsi="Times New Roman" w:cs="Times New Roman"/>
        </w:rPr>
        <w:t>/</w:t>
      </w:r>
      <w:r w:rsidR="00B95491" w:rsidRPr="00B95491">
        <w:t xml:space="preserve"> </w:t>
      </w:r>
      <w:proofErr w:type="spellStart"/>
      <w:r w:rsidR="00B95491" w:rsidRPr="00B95491">
        <w:rPr>
          <w:rFonts w:ascii="Times New Roman" w:hAnsi="Times New Roman" w:cs="Times New Roman"/>
        </w:rPr>
        <w:t>Ciptunec</w:t>
      </w:r>
      <w:proofErr w:type="spellEnd"/>
      <w:r w:rsidR="00B95491" w:rsidRPr="00B95491" w:rsidDel="00B95491">
        <w:rPr>
          <w:rFonts w:ascii="Times New Roman" w:hAnsi="Times New Roman" w:cs="Times New Roman"/>
        </w:rPr>
        <w:t xml:space="preserve"> </w:t>
      </w:r>
      <w:r w:rsidRPr="00DD1F63">
        <w:rPr>
          <w:rFonts w:ascii="Times New Roman" w:hAnsi="Times New Roman" w:cs="Times New Roman"/>
        </w:rPr>
        <w:t xml:space="preserve">(N = 97)     </w:t>
      </w:r>
    </w:p>
    <w:p w14:paraId="2ED13488" w14:textId="77777777" w:rsidR="00E67BC9" w:rsidRPr="00DD1F63" w:rsidRDefault="00E67BC9" w:rsidP="00377A09">
      <w:pPr>
        <w:spacing w:after="0"/>
        <w:ind w:left="3119"/>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noProof/>
        </w:rPr>
        <w:drawing>
          <wp:inline distT="0" distB="0" distL="0" distR="0" wp14:anchorId="1F378DF5" wp14:editId="314DBB15">
            <wp:extent cx="602615" cy="17208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615" cy="172085"/>
                    </a:xfrm>
                    <a:prstGeom prst="rect">
                      <a:avLst/>
                    </a:prstGeom>
                    <a:noFill/>
                    <a:ln>
                      <a:noFill/>
                    </a:ln>
                  </pic:spPr>
                </pic:pic>
              </a:graphicData>
            </a:graphic>
          </wp:inline>
        </w:drawing>
      </w:r>
      <w:r w:rsidRPr="00DD1F63">
        <w:rPr>
          <w:rFonts w:ascii="Times New Roman" w:hAnsi="Times New Roman" w:cs="Times New Roman"/>
        </w:rPr>
        <w:t xml:space="preserve">   Humira</w:t>
      </w:r>
      <w:r w:rsidRPr="00DD1F63">
        <w:rPr>
          <w:rFonts w:ascii="Times New Roman" w:hAnsi="Times New Roman" w:cs="Times New Roman"/>
          <w:vertAlign w:val="superscript"/>
        </w:rPr>
        <w:t>®</w:t>
      </w:r>
      <w:r w:rsidRPr="00DD1F63">
        <w:rPr>
          <w:rFonts w:ascii="Times New Roman" w:hAnsi="Times New Roman" w:cs="Times New Roman"/>
        </w:rPr>
        <w:t>/Humira</w:t>
      </w:r>
      <w:r w:rsidRPr="00DD1F63">
        <w:rPr>
          <w:rFonts w:ascii="Times New Roman" w:hAnsi="Times New Roman" w:cs="Times New Roman"/>
          <w:vertAlign w:val="superscript"/>
        </w:rPr>
        <w:t xml:space="preserve">® </w:t>
      </w:r>
      <w:r w:rsidRPr="00DD1F63">
        <w:rPr>
          <w:rFonts w:ascii="Times New Roman" w:hAnsi="Times New Roman" w:cs="Times New Roman"/>
        </w:rPr>
        <w:t xml:space="preserve">(N = 98)     </w:t>
      </w:r>
    </w:p>
    <w:p w14:paraId="2AD91714" w14:textId="255787D8"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b/>
          <w:bCs/>
          <w:sz w:val="22"/>
        </w:rPr>
        <w:t xml:space="preserve">Figure </w:t>
      </w:r>
      <w:r w:rsidR="00BA33C2" w:rsidRPr="00DD1F63">
        <w:rPr>
          <w:rFonts w:ascii="Times New Roman" w:hAnsi="Times New Roman" w:cs="Times New Roman"/>
          <w:b/>
          <w:bCs/>
          <w:sz w:val="22"/>
        </w:rPr>
        <w:t>8</w:t>
      </w:r>
      <w:r w:rsidRPr="00DD1F63">
        <w:rPr>
          <w:rFonts w:ascii="Times New Roman" w:hAnsi="Times New Roman" w:cs="Times New Roman"/>
          <w:b/>
          <w:bCs/>
          <w:sz w:val="22"/>
        </w:rPr>
        <w:t xml:space="preserve">. Mean PASI percent improvement from baseline over the duration of </w:t>
      </w:r>
      <w:proofErr w:type="spellStart"/>
      <w:r w:rsidRPr="00DD1F63">
        <w:rPr>
          <w:rFonts w:ascii="Times New Roman" w:hAnsi="Times New Roman" w:cs="Times New Roman"/>
          <w:b/>
          <w:bCs/>
          <w:sz w:val="22"/>
        </w:rPr>
        <w:t>PsO</w:t>
      </w:r>
      <w:proofErr w:type="spellEnd"/>
      <w:r w:rsidRPr="00DD1F63">
        <w:rPr>
          <w:rFonts w:ascii="Times New Roman" w:hAnsi="Times New Roman" w:cs="Times New Roman"/>
          <w:b/>
          <w:bCs/>
          <w:sz w:val="22"/>
        </w:rPr>
        <w:t xml:space="preserve"> study for </w:t>
      </w:r>
      <w:proofErr w:type="spellStart"/>
      <w:r w:rsidR="00B95491" w:rsidRPr="00B95491">
        <w:rPr>
          <w:rFonts w:ascii="Times New Roman" w:hAnsi="Times New Roman" w:cs="Times New Roman"/>
          <w:b/>
          <w:bCs/>
          <w:sz w:val="22"/>
        </w:rPr>
        <w:t>Ciptunec</w:t>
      </w:r>
      <w:proofErr w:type="spellEnd"/>
      <w:r w:rsidR="00B95491" w:rsidRPr="00B95491" w:rsidDel="00B95491">
        <w:rPr>
          <w:rFonts w:ascii="Times New Roman" w:hAnsi="Times New Roman" w:cs="Times New Roman"/>
          <w:b/>
          <w:bCs/>
          <w:sz w:val="22"/>
        </w:rPr>
        <w:t xml:space="preserve"> </w:t>
      </w:r>
      <w:r w:rsidRPr="00DD1F63">
        <w:rPr>
          <w:rFonts w:ascii="Times New Roman" w:hAnsi="Times New Roman" w:cs="Times New Roman"/>
          <w:b/>
          <w:bCs/>
          <w:sz w:val="22"/>
        </w:rPr>
        <w:t>and Humira</w:t>
      </w:r>
      <w:r w:rsidRPr="00DD1F63">
        <w:rPr>
          <w:rFonts w:ascii="Times New Roman" w:hAnsi="Times New Roman" w:cs="Times New Roman"/>
          <w:sz w:val="22"/>
          <w:vertAlign w:val="superscript"/>
        </w:rPr>
        <w:t>®</w:t>
      </w:r>
    </w:p>
    <w:p w14:paraId="59DD7FF9"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r w:rsidRPr="00DD1F63">
        <w:rPr>
          <w:rFonts w:ascii="Times New Roman" w:hAnsi="Times New Roman" w:cs="Times New Roman"/>
          <w:sz w:val="22"/>
        </w:rPr>
        <w:tab/>
      </w:r>
      <w:r w:rsidRPr="00DD1F63">
        <w:rPr>
          <w:rFonts w:ascii="Times New Roman" w:hAnsi="Times New Roman" w:cs="Times New Roman"/>
          <w:b/>
          <w:sz w:val="22"/>
        </w:rPr>
        <w:t xml:space="preserve"> </w:t>
      </w:r>
    </w:p>
    <w:p w14:paraId="4C75BA08" w14:textId="77AC11EF" w:rsidR="001E0142" w:rsidRPr="00DD1F63" w:rsidRDefault="00BC7C5E" w:rsidP="00377A09">
      <w:pPr>
        <w:pStyle w:val="Heading3"/>
        <w:spacing w:after="0" w:line="240" w:lineRule="auto"/>
        <w:ind w:left="426"/>
        <w:rPr>
          <w:rFonts w:ascii="Times New Roman" w:hAnsi="Times New Roman" w:cs="Times New Roman"/>
          <w:bCs/>
          <w:u w:val="none"/>
        </w:rPr>
      </w:pPr>
      <w:r w:rsidRPr="00DD1F63">
        <w:rPr>
          <w:rFonts w:ascii="Times New Roman" w:hAnsi="Times New Roman" w:cs="Times New Roman"/>
          <w:bCs/>
        </w:rPr>
        <w:t>Immunogenicity</w:t>
      </w:r>
      <w:r w:rsidRPr="00DD1F63">
        <w:rPr>
          <w:rFonts w:ascii="Times New Roman" w:hAnsi="Times New Roman" w:cs="Times New Roman"/>
          <w:bCs/>
          <w:u w:val="none"/>
        </w:rPr>
        <w:t xml:space="preserve"> </w:t>
      </w:r>
    </w:p>
    <w:p w14:paraId="5CB65062" w14:textId="77777777" w:rsidR="00E67BC9" w:rsidRPr="00DD1F63" w:rsidRDefault="00E67BC9" w:rsidP="00377A09">
      <w:pPr>
        <w:pStyle w:val="Heading3"/>
        <w:spacing w:after="0" w:line="240" w:lineRule="auto"/>
        <w:ind w:left="426"/>
        <w:rPr>
          <w:rFonts w:ascii="Times New Roman" w:hAnsi="Times New Roman" w:cs="Times New Roman"/>
          <w:b/>
          <w:u w:val="none"/>
        </w:rPr>
      </w:pPr>
    </w:p>
    <w:p w14:paraId="0FF110D5" w14:textId="77777777" w:rsidR="00E67BC9" w:rsidRPr="00DD1F63" w:rsidRDefault="00E67BC9" w:rsidP="00377A09">
      <w:pPr>
        <w:pStyle w:val="Heading3"/>
        <w:ind w:left="426"/>
        <w:rPr>
          <w:rFonts w:ascii="Times New Roman" w:hAnsi="Times New Roman" w:cs="Times New Roman"/>
          <w:lang w:val="en-US"/>
        </w:rPr>
      </w:pPr>
      <w:r w:rsidRPr="00DD1F63">
        <w:rPr>
          <w:rFonts w:ascii="Times New Roman" w:hAnsi="Times New Roman" w:cs="Times New Roman"/>
          <w:i/>
          <w:iCs/>
        </w:rPr>
        <w:t>Immunogenicity of Humira</w:t>
      </w:r>
      <w:r w:rsidRPr="00DD1F63">
        <w:rPr>
          <w:rFonts w:ascii="Times New Roman" w:hAnsi="Times New Roman" w:cs="Times New Roman"/>
          <w:i/>
          <w:iCs/>
          <w:vertAlign w:val="superscript"/>
        </w:rPr>
        <w:t>®</w:t>
      </w:r>
    </w:p>
    <w:p w14:paraId="2183541E" w14:textId="5F58620C" w:rsidR="006B7C8E" w:rsidRPr="00DD1F63" w:rsidRDefault="00CA72FF" w:rsidP="00377A09">
      <w:pPr>
        <w:pStyle w:val="Heading3"/>
        <w:spacing w:after="0" w:line="240" w:lineRule="auto"/>
        <w:ind w:left="426"/>
        <w:rPr>
          <w:rFonts w:ascii="Times New Roman" w:hAnsi="Times New Roman" w:cs="Times New Roman"/>
        </w:rPr>
      </w:pPr>
      <w:r w:rsidRPr="00DD1F63">
        <w:rPr>
          <w:rFonts w:ascii="Times New Roman" w:hAnsi="Times New Roman" w:cs="Times New Roman"/>
          <w:b/>
          <w:u w:val="none"/>
        </w:rPr>
        <w:t xml:space="preserve"> </w:t>
      </w:r>
    </w:p>
    <w:p w14:paraId="463EC283" w14:textId="108F4F7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Patients in rheumatoid arthritis studies I, II, and III were tested at multiple time points for anti</w:t>
      </w:r>
      <w:r w:rsidR="00BC7C5E" w:rsidRPr="00DD1F63">
        <w:rPr>
          <w:rFonts w:ascii="Times New Roman" w:hAnsi="Times New Roman" w:cs="Times New Roman"/>
          <w:sz w:val="22"/>
        </w:rPr>
        <w:t>-</w:t>
      </w:r>
      <w:r w:rsidRPr="00DD1F63">
        <w:rPr>
          <w:rFonts w:ascii="Times New Roman" w:hAnsi="Times New Roman" w:cs="Times New Roman"/>
          <w:sz w:val="22"/>
        </w:rPr>
        <w:t xml:space="preserve">adalimumab antibodies during the 6- to 12-month period. Approximately 5.5% (58 of 1062) of adult rheumatoid arthritis patients receiving adalimumab developed low-titre antibodies to adalimumab at least once during treatment, which were neutralising </w:t>
      </w:r>
      <w:r w:rsidRPr="00DD1F63">
        <w:rPr>
          <w:rFonts w:ascii="Times New Roman" w:hAnsi="Times New Roman" w:cs="Times New Roman"/>
          <w:i/>
          <w:sz w:val="22"/>
        </w:rPr>
        <w:t>in vitro</w:t>
      </w:r>
      <w:r w:rsidRPr="00DD1F63">
        <w:rPr>
          <w:rFonts w:ascii="Times New Roman" w:hAnsi="Times New Roman" w:cs="Times New Roman"/>
          <w:sz w:val="22"/>
        </w:rPr>
        <w:t xml:space="preserve">. Patients treated with concomitant MTX had a lower rate of antibody development than patients on adalimumab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response was lower among antibody-positive patients than among antibody-negative patients. The long-term immunogenicity of adalimumab is unknown. </w:t>
      </w:r>
    </w:p>
    <w:p w14:paraId="3ECF8B6B" w14:textId="77777777" w:rsidR="001E0142" w:rsidRPr="00DD1F63" w:rsidRDefault="001E0142" w:rsidP="00377A09">
      <w:pPr>
        <w:spacing w:after="0" w:line="240" w:lineRule="auto"/>
        <w:ind w:left="426" w:right="375"/>
        <w:jc w:val="left"/>
        <w:rPr>
          <w:rFonts w:ascii="Times New Roman" w:hAnsi="Times New Roman" w:cs="Times New Roman"/>
          <w:sz w:val="22"/>
        </w:rPr>
      </w:pPr>
    </w:p>
    <w:p w14:paraId="70B8FD98" w14:textId="2DA2F07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w:t>
      </w:r>
      <w:proofErr w:type="gramStart"/>
      <w:r w:rsidRPr="00DD1F63">
        <w:rPr>
          <w:rFonts w:ascii="Times New Roman" w:hAnsi="Times New Roman" w:cs="Times New Roman"/>
          <w:sz w:val="22"/>
        </w:rPr>
        <w:t>a</w:t>
      </w:r>
      <w:proofErr w:type="gramEnd"/>
      <w:r w:rsidRPr="00DD1F63">
        <w:rPr>
          <w:rFonts w:ascii="Times New Roman" w:hAnsi="Times New Roman" w:cs="Times New Roman"/>
          <w:sz w:val="22"/>
        </w:rPr>
        <w:t xml:space="preserve"> greater percentage of patients developed antibodies to adalimumab compared to adult rheumatoid arthritis patients. Antibody formation was lower when adalimumab was given together with methotrexate in comparison with use as monotherapy. There was no apparent correlation between the presence of antibodies and adverse events. Anti-adalimumab antibodies were identified in 15.8% (27/171) of patients treated with adalimumab. In patients not given concomitant </w:t>
      </w:r>
      <w:r w:rsidRPr="00DD1F63">
        <w:rPr>
          <w:rFonts w:ascii="Times New Roman" w:hAnsi="Times New Roman" w:cs="Times New Roman"/>
          <w:sz w:val="22"/>
        </w:rPr>
        <w:lastRenderedPageBreak/>
        <w:t xml:space="preserve">methotrexate, the incidence was 25.6% (22/86), compared to 5.9% (5/85) when adalimumab was used as an add-on to methotrexate. </w:t>
      </w:r>
    </w:p>
    <w:p w14:paraId="7F9CBF93" w14:textId="77777777" w:rsidR="001E0142" w:rsidRPr="00DD1F63" w:rsidRDefault="001E0142" w:rsidP="00377A09">
      <w:pPr>
        <w:spacing w:after="0" w:line="240" w:lineRule="auto"/>
        <w:ind w:left="426" w:right="375"/>
        <w:jc w:val="left"/>
        <w:rPr>
          <w:rFonts w:ascii="Times New Roman" w:hAnsi="Times New Roman" w:cs="Times New Roman"/>
          <w:sz w:val="22"/>
        </w:rPr>
      </w:pPr>
    </w:p>
    <w:p w14:paraId="03E5A08A" w14:textId="5A0068A3" w:rsidR="006B7C8E" w:rsidRPr="00DD1F63" w:rsidRDefault="00CA72FF" w:rsidP="00377A09">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anti-adalimumab antibodies were identified in 7% (1/15) of patients, and the one patient was receiving concomitant methotrexate. </w:t>
      </w:r>
    </w:p>
    <w:p w14:paraId="181EB57C" w14:textId="77777777" w:rsidR="001E0142" w:rsidRPr="00DD1F63" w:rsidRDefault="001E0142" w:rsidP="00377A09">
      <w:pPr>
        <w:spacing w:after="0" w:line="240" w:lineRule="auto"/>
        <w:ind w:left="426" w:right="375"/>
        <w:jc w:val="left"/>
        <w:rPr>
          <w:rFonts w:ascii="Times New Roman" w:hAnsi="Times New Roman" w:cs="Times New Roman"/>
          <w:sz w:val="22"/>
        </w:rPr>
      </w:pPr>
    </w:p>
    <w:p w14:paraId="1B4C8C67" w14:textId="6D2526AB"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patients with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anti-adalimumab antibodies were identified in 11% (5/46) of patients treated with adalimumab. In patients not given concomitant methotrexate, the incidence was 14% (3/22), compared to 8% (2/24) when adalimumab was used as an add-on to methotrexate. </w:t>
      </w:r>
    </w:p>
    <w:p w14:paraId="4549590B" w14:textId="4CAB668D" w:rsidR="001E0142" w:rsidRPr="00DD1F63" w:rsidRDefault="001E0142" w:rsidP="00377A09">
      <w:pPr>
        <w:spacing w:after="0" w:line="240" w:lineRule="auto"/>
        <w:ind w:left="426" w:right="375"/>
        <w:jc w:val="left"/>
        <w:rPr>
          <w:rFonts w:ascii="Times New Roman" w:hAnsi="Times New Roman" w:cs="Times New Roman"/>
          <w:sz w:val="22"/>
        </w:rPr>
      </w:pPr>
    </w:p>
    <w:p w14:paraId="144BDB7C" w14:textId="77777777" w:rsidR="00A23004" w:rsidRPr="00DD1F63" w:rsidRDefault="00A23004"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paediatric patients with moderately to severely active Crohn’s disease, the rate of antibody development in patients receiving adalimumab was 3.3%.  </w:t>
      </w:r>
    </w:p>
    <w:p w14:paraId="6689FAE6" w14:textId="77777777" w:rsidR="00A23004" w:rsidRPr="00DD1F63" w:rsidRDefault="00A23004" w:rsidP="00377A09">
      <w:pPr>
        <w:spacing w:after="0" w:line="240" w:lineRule="auto"/>
        <w:ind w:left="426" w:right="375"/>
        <w:jc w:val="left"/>
        <w:rPr>
          <w:rFonts w:ascii="Times New Roman" w:hAnsi="Times New Roman" w:cs="Times New Roman"/>
          <w:sz w:val="22"/>
        </w:rPr>
      </w:pPr>
    </w:p>
    <w:p w14:paraId="0BC1D9F8" w14:textId="77777777" w:rsidR="001E0142"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ankylosing spondylitis, the rate of development of anti-adalimumab antibodies in adalimumab-treated patients was comparable to patients with rheumatoid arthritis. In patients with psoriatic arthritis, the rate of antibody development in patients receiving adalimumab monotherapy was comparable to patients with rheumatoid arthritis; however, in patients receiving concomitant methotrexate the rate was 7% compared to 1% in rheumatoid arthritis. The immunogenicity rate was 8% for psoriasis patients who were treated with adalimumab monotherapy.</w:t>
      </w:r>
    </w:p>
    <w:p w14:paraId="4C225564" w14:textId="7891A7B3" w:rsidR="001E0142" w:rsidRPr="00DD1F63" w:rsidRDefault="001E0142" w:rsidP="00377A09">
      <w:pPr>
        <w:spacing w:after="0" w:line="240" w:lineRule="auto"/>
        <w:ind w:left="426" w:right="375"/>
        <w:jc w:val="left"/>
        <w:rPr>
          <w:rFonts w:ascii="Times New Roman" w:hAnsi="Times New Roman" w:cs="Times New Roman"/>
          <w:sz w:val="22"/>
        </w:rPr>
      </w:pPr>
    </w:p>
    <w:p w14:paraId="06DB861A" w14:textId="3C72AD87" w:rsidR="00C0211C" w:rsidRPr="00DD1F63" w:rsidRDefault="00C0211C"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In patients with Crohn’s disease, anti-adalimumab antibodies were identified in 2.6% (7/269) of patients treated with adalimumab.</w:t>
      </w:r>
    </w:p>
    <w:p w14:paraId="1677D9CE" w14:textId="2F0AFECB" w:rsidR="00C0211C" w:rsidRPr="00DD1F63" w:rsidRDefault="00C0211C" w:rsidP="00377A09">
      <w:pPr>
        <w:spacing w:after="0" w:line="240" w:lineRule="auto"/>
        <w:ind w:left="426" w:right="375"/>
        <w:jc w:val="left"/>
        <w:rPr>
          <w:rFonts w:ascii="Times New Roman" w:hAnsi="Times New Roman" w:cs="Times New Roman"/>
          <w:sz w:val="22"/>
        </w:rPr>
      </w:pPr>
    </w:p>
    <w:p w14:paraId="53DD8B96" w14:textId="48E846D2" w:rsidR="00C0211C" w:rsidRPr="00DD1F63" w:rsidRDefault="00C0211C"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ulcerative colitis, anti-adalimumab antibodies were identified in 3.9% (19/487) of patients treated with adalimumab. However, due to the limitation of the assay conditions, antibodies to adalimumab could be detected only when serum adalimumab levels were &lt; 2</w:t>
      </w:r>
      <w:r w:rsidRPr="00DD1F63">
        <w:rPr>
          <w:rFonts w:ascii="Times New Roman" w:hAnsi="Times New Roman" w:cs="Times New Roman"/>
          <w:spacing w:val="4"/>
          <w:sz w:val="22"/>
        </w:rPr>
        <w:t xml:space="preserve"> micrograms/</w:t>
      </w:r>
      <w:proofErr w:type="spellStart"/>
      <w:r w:rsidRPr="00DD1F63">
        <w:rPr>
          <w:rFonts w:ascii="Times New Roman" w:hAnsi="Times New Roman" w:cs="Times New Roman"/>
          <w:spacing w:val="4"/>
          <w:sz w:val="22"/>
        </w:rPr>
        <w:t>mL.</w:t>
      </w:r>
      <w:proofErr w:type="spellEnd"/>
      <w:r w:rsidRPr="00DD1F63">
        <w:rPr>
          <w:rFonts w:ascii="Times New Roman" w:hAnsi="Times New Roman" w:cs="Times New Roman"/>
          <w:spacing w:val="4"/>
          <w:sz w:val="22"/>
        </w:rPr>
        <w:t xml:space="preserve"> Among the patients whose serum adalimumab levels were &lt; 2 micrograms/mL (</w:t>
      </w:r>
      <w:r w:rsidRPr="00DD1F63">
        <w:rPr>
          <w:rFonts w:ascii="Times New Roman" w:hAnsi="Times New Roman" w:cs="Times New Roman"/>
          <w:sz w:val="22"/>
        </w:rPr>
        <w:t>approximately 25% of total patients studied), the immunogenicity rate was 20.7%.</w:t>
      </w:r>
    </w:p>
    <w:p w14:paraId="11F1AFA6" w14:textId="77777777" w:rsidR="00C0211C" w:rsidRPr="00DD1F63" w:rsidRDefault="00C0211C" w:rsidP="00377A09">
      <w:pPr>
        <w:spacing w:after="0" w:line="240" w:lineRule="auto"/>
        <w:ind w:left="426" w:right="375"/>
        <w:jc w:val="left"/>
        <w:rPr>
          <w:rFonts w:ascii="Times New Roman" w:hAnsi="Times New Roman" w:cs="Times New Roman"/>
          <w:sz w:val="22"/>
        </w:rPr>
      </w:pPr>
    </w:p>
    <w:p w14:paraId="3FEC24F4" w14:textId="5C32C13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plaque psoriasis patients on long term adalimumab without concomitant methotrexate who participated in a withdrawal and retreatment study, the rate of anti-adalimumab antibodies after retreatment was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the rate observed prior to withdrawal. </w:t>
      </w:r>
    </w:p>
    <w:p w14:paraId="222AECF7" w14:textId="77777777" w:rsidR="001E0142" w:rsidRPr="00DD1F63" w:rsidRDefault="001E0142" w:rsidP="00377A09">
      <w:pPr>
        <w:spacing w:after="0" w:line="240" w:lineRule="auto"/>
        <w:ind w:left="426" w:right="375"/>
        <w:jc w:val="left"/>
        <w:rPr>
          <w:rFonts w:ascii="Times New Roman" w:hAnsi="Times New Roman" w:cs="Times New Roman"/>
          <w:sz w:val="22"/>
        </w:rPr>
      </w:pPr>
    </w:p>
    <w:p w14:paraId="78A7629C" w14:textId="77777777" w:rsidR="001E0142"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patients with paediatric psoriasis, anti-adalimumab antibodies were identified in 13% (5/38) of subjects treated with 0.8 mg/kg adalimumab monotherapy. 37 of the 38 subjects completed the initial </w:t>
      </w:r>
      <w:proofErr w:type="gramStart"/>
      <w:r w:rsidRPr="00DD1F63">
        <w:rPr>
          <w:rFonts w:ascii="Times New Roman" w:hAnsi="Times New Roman" w:cs="Times New Roman"/>
          <w:sz w:val="22"/>
        </w:rPr>
        <w:t>double blind</w:t>
      </w:r>
      <w:proofErr w:type="gramEnd"/>
      <w:r w:rsidRPr="00DD1F63">
        <w:rPr>
          <w:rFonts w:ascii="Times New Roman" w:hAnsi="Times New Roman" w:cs="Times New Roman"/>
          <w:sz w:val="22"/>
        </w:rPr>
        <w:t xml:space="preserve"> period (16 weeks) of Study M04-717, and one subject entered the long term follow up period after Week 4.</w:t>
      </w:r>
    </w:p>
    <w:p w14:paraId="615286B8" w14:textId="63D189FC"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694215A" w14:textId="77777777" w:rsidR="001E0142"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moderate to severe hidradenitis suppurativa, anti-adalimumab antibodies were identified in 10/99 subjects (10.1%) treated with adalimumab.</w:t>
      </w:r>
    </w:p>
    <w:p w14:paraId="36073821" w14:textId="487EE140"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E012A6C" w14:textId="3BD05003"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patients with non-infectious uveitis, anti-adalimumab antibodies were identified in 4.8% (12/249) of patients treated with adalimumab. </w:t>
      </w:r>
    </w:p>
    <w:p w14:paraId="419A6685" w14:textId="77777777" w:rsidR="001E0142" w:rsidRPr="00DD1F63" w:rsidRDefault="001E0142" w:rsidP="00377A09">
      <w:pPr>
        <w:spacing w:after="0" w:line="240" w:lineRule="auto"/>
        <w:ind w:left="426" w:right="375"/>
        <w:jc w:val="left"/>
        <w:rPr>
          <w:rFonts w:ascii="Times New Roman" w:hAnsi="Times New Roman" w:cs="Times New Roman"/>
          <w:sz w:val="22"/>
        </w:rPr>
      </w:pPr>
    </w:p>
    <w:p w14:paraId="60EE838A" w14:textId="77777777" w:rsidR="00E67BC9"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data reflect the percentage of patients whose test results were considered positive for antibodies to adalimumab in an ELISA </w:t>
      </w:r>
      <w:proofErr w:type="gramStart"/>
      <w:r w:rsidRPr="00DD1F63">
        <w:rPr>
          <w:rFonts w:ascii="Times New Roman" w:hAnsi="Times New Roman" w:cs="Times New Roman"/>
          <w:sz w:val="22"/>
        </w:rPr>
        <w:t>assay, and</w:t>
      </w:r>
      <w:proofErr w:type="gramEnd"/>
      <w:r w:rsidRPr="00DD1F63">
        <w:rPr>
          <w:rFonts w:ascii="Times New Roman" w:hAnsi="Times New Roman" w:cs="Times New Roman"/>
          <w:sz w:val="22"/>
        </w:rPr>
        <w:t xml:space="preserve"> are highly dependent on the sensitivity and specificity of the assay. For these reasons, comparison of the incidence of antibodies to adalimumab with the incidence of antibodies to other products may be misleading.</w:t>
      </w:r>
    </w:p>
    <w:p w14:paraId="62402747" w14:textId="77777777" w:rsidR="00E67BC9" w:rsidRPr="00DD1F63" w:rsidRDefault="00E67BC9" w:rsidP="00377A09">
      <w:pPr>
        <w:spacing w:after="0" w:line="240" w:lineRule="auto"/>
        <w:ind w:left="426" w:right="49"/>
        <w:jc w:val="left"/>
        <w:rPr>
          <w:rFonts w:ascii="Times New Roman" w:hAnsi="Times New Roman" w:cs="Times New Roman"/>
          <w:sz w:val="22"/>
        </w:rPr>
      </w:pPr>
    </w:p>
    <w:p w14:paraId="5A7A2FFF" w14:textId="693A094E" w:rsidR="00E67BC9" w:rsidRPr="00DD1F63" w:rsidRDefault="00E67BC9" w:rsidP="00377A09">
      <w:pPr>
        <w:keepNext/>
        <w:pageBreakBefore/>
        <w:spacing w:after="0" w:line="240" w:lineRule="auto"/>
        <w:ind w:left="425" w:right="51" w:hanging="11"/>
        <w:jc w:val="left"/>
        <w:rPr>
          <w:rFonts w:ascii="Times New Roman" w:hAnsi="Times New Roman" w:cs="Times New Roman"/>
          <w:i/>
          <w:iCs/>
          <w:sz w:val="22"/>
          <w:u w:val="single"/>
        </w:rPr>
      </w:pPr>
      <w:r w:rsidRPr="00DD1F63">
        <w:rPr>
          <w:rFonts w:ascii="Times New Roman" w:hAnsi="Times New Roman" w:cs="Times New Roman"/>
          <w:i/>
          <w:iCs/>
          <w:sz w:val="22"/>
          <w:u w:val="single"/>
        </w:rPr>
        <w:lastRenderedPageBreak/>
        <w:t xml:space="preserve">Immunogenicity of </w:t>
      </w:r>
      <w:proofErr w:type="spellStart"/>
      <w:r w:rsidR="00B95491" w:rsidRPr="00B95491">
        <w:rPr>
          <w:rFonts w:ascii="Times New Roman" w:hAnsi="Times New Roman" w:cs="Times New Roman"/>
          <w:i/>
          <w:iCs/>
          <w:sz w:val="22"/>
          <w:u w:val="single"/>
        </w:rPr>
        <w:t>Ciptunec</w:t>
      </w:r>
      <w:proofErr w:type="spellEnd"/>
      <w:r w:rsidR="00B95491" w:rsidRPr="00B95491" w:rsidDel="00B95491">
        <w:rPr>
          <w:rFonts w:ascii="Times New Roman" w:hAnsi="Times New Roman" w:cs="Times New Roman"/>
          <w:i/>
          <w:iCs/>
          <w:sz w:val="22"/>
          <w:u w:val="single"/>
        </w:rPr>
        <w:t xml:space="preserve"> </w:t>
      </w:r>
    </w:p>
    <w:p w14:paraId="1C902221" w14:textId="77777777" w:rsidR="00E67BC9" w:rsidRPr="00DD1F63" w:rsidRDefault="00E67BC9" w:rsidP="00377A09">
      <w:pPr>
        <w:spacing w:after="0" w:line="240" w:lineRule="auto"/>
        <w:ind w:left="426" w:right="49"/>
        <w:jc w:val="left"/>
        <w:rPr>
          <w:rFonts w:ascii="Times New Roman" w:hAnsi="Times New Roman" w:cs="Times New Roman"/>
          <w:b/>
          <w:bCs/>
          <w:sz w:val="22"/>
          <w:u w:val="single"/>
        </w:rPr>
      </w:pPr>
      <w:r w:rsidRPr="00DD1F63">
        <w:rPr>
          <w:rFonts w:ascii="Times New Roman" w:hAnsi="Times New Roman" w:cs="Times New Roman"/>
          <w:b/>
          <w:bCs/>
          <w:i/>
          <w:iCs/>
          <w:sz w:val="22"/>
          <w:u w:val="single"/>
        </w:rPr>
        <w:t xml:space="preserve"> </w:t>
      </w:r>
    </w:p>
    <w:p w14:paraId="607A1352" w14:textId="5D9C4D14" w:rsidR="00E67BC9" w:rsidRPr="00DD1F63" w:rsidRDefault="00E67BC9"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in 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were tested at multiple time points for antibodies to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and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 xml:space="preserve">during the 54-week study period. The incidence of developing binding antibodies through the duration of the study was 93.4 % in the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group, 95.9%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group, and 93.4%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 xml:space="preserve">group; the incidence of developing neutralising antibodies was 84.3 % in the </w:t>
      </w:r>
      <w:proofErr w:type="spellStart"/>
      <w:r w:rsidR="00B95491" w:rsidRPr="00B95491">
        <w:rPr>
          <w:rFonts w:ascii="Times New Roman" w:hAnsi="Times New Roman" w:cs="Times New Roman"/>
          <w:sz w:val="22"/>
        </w:rPr>
        <w:t>Ciptunec</w:t>
      </w:r>
      <w:proofErr w:type="spellEnd"/>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group, 80.6%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group, and 83.5%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group. The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group reflects data for subjects exposed to both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and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before and after the transition. The safety and immunogenicity profiles of patients who transitioned from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to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Pr="00DD1F63">
        <w:rPr>
          <w:rFonts w:ascii="Times New Roman" w:hAnsi="Times New Roman" w:cs="Times New Roman"/>
          <w:sz w:val="22"/>
        </w:rPr>
        <w:t xml:space="preserve">were comparable to those who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until the end of the study (week 52). </w:t>
      </w:r>
    </w:p>
    <w:p w14:paraId="6D6A2BBE" w14:textId="33B72568" w:rsidR="001E0142"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 </w:t>
      </w:r>
    </w:p>
    <w:p w14:paraId="00BD8C3D" w14:textId="2B53B828" w:rsidR="002B31C4" w:rsidRPr="00DD1F63" w:rsidRDefault="00CA72FF" w:rsidP="00377A09">
      <w:pPr>
        <w:pStyle w:val="Heading3"/>
        <w:spacing w:after="0" w:line="240" w:lineRule="auto"/>
        <w:ind w:left="426" w:hanging="426"/>
        <w:rPr>
          <w:rFonts w:ascii="Times New Roman" w:hAnsi="Times New Roman" w:cs="Times New Roman"/>
          <w:b/>
          <w:u w:val="none"/>
        </w:rPr>
      </w:pPr>
      <w:r w:rsidRPr="00DD1F63">
        <w:rPr>
          <w:rFonts w:ascii="Times New Roman" w:hAnsi="Times New Roman" w:cs="Times New Roman"/>
          <w:b/>
          <w:u w:val="none"/>
        </w:rPr>
        <w:t xml:space="preserve">5.2 </w:t>
      </w:r>
      <w:r w:rsidR="00BA6F2B" w:rsidRPr="00DD1F63">
        <w:rPr>
          <w:rFonts w:ascii="Times New Roman" w:hAnsi="Times New Roman" w:cs="Times New Roman"/>
          <w:b/>
          <w:u w:val="none"/>
        </w:rPr>
        <w:tab/>
      </w:r>
      <w:r w:rsidRPr="00DD1F63">
        <w:rPr>
          <w:rFonts w:ascii="Times New Roman" w:hAnsi="Times New Roman" w:cs="Times New Roman"/>
          <w:b/>
          <w:u w:val="none"/>
        </w:rPr>
        <w:t>Pharmacokinetic properties</w:t>
      </w:r>
    </w:p>
    <w:p w14:paraId="338D98B5" w14:textId="541A6308" w:rsidR="006B7C8E" w:rsidRPr="00DD1F63" w:rsidRDefault="006B7C8E" w:rsidP="00377A09">
      <w:pPr>
        <w:pStyle w:val="Heading3"/>
        <w:spacing w:after="0" w:line="240" w:lineRule="auto"/>
        <w:ind w:left="426"/>
        <w:rPr>
          <w:rFonts w:ascii="Times New Roman" w:hAnsi="Times New Roman" w:cs="Times New Roman"/>
        </w:rPr>
      </w:pPr>
    </w:p>
    <w:p w14:paraId="5A282095" w14:textId="02B9AA33" w:rsidR="006B7C8E" w:rsidRPr="00DD1F63" w:rsidRDefault="00CA72FF" w:rsidP="00377A09">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Absorption</w:t>
      </w:r>
      <w:r w:rsidRPr="00DD1F63">
        <w:rPr>
          <w:rFonts w:ascii="Times New Roman" w:hAnsi="Times New Roman" w:cs="Times New Roman"/>
          <w:u w:val="none"/>
        </w:rPr>
        <w:t xml:space="preserve"> </w:t>
      </w:r>
    </w:p>
    <w:p w14:paraId="27C3162F" w14:textId="77777777" w:rsidR="002B31C4" w:rsidRPr="00DD1F63" w:rsidRDefault="002B31C4" w:rsidP="00377A09">
      <w:pPr>
        <w:spacing w:after="0" w:line="240" w:lineRule="auto"/>
        <w:ind w:left="426" w:hanging="11"/>
        <w:jc w:val="left"/>
        <w:rPr>
          <w:rFonts w:ascii="Times New Roman" w:hAnsi="Times New Roman" w:cs="Times New Roman"/>
          <w:sz w:val="22"/>
        </w:rPr>
      </w:pPr>
    </w:p>
    <w:p w14:paraId="5076E33F" w14:textId="3EDAA3C0"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Following a single 40 mg subcutaneous (SC) administration of adalimumab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 </w:t>
      </w:r>
    </w:p>
    <w:p w14:paraId="64C8D52A" w14:textId="77777777" w:rsidR="009A48C7" w:rsidRPr="00DD1F63" w:rsidRDefault="009A48C7" w:rsidP="00377A09">
      <w:pPr>
        <w:spacing w:after="0" w:line="240" w:lineRule="auto"/>
        <w:ind w:left="426" w:right="375"/>
        <w:jc w:val="left"/>
        <w:rPr>
          <w:rFonts w:ascii="Times New Roman" w:hAnsi="Times New Roman" w:cs="Times New Roman"/>
          <w:sz w:val="22"/>
        </w:rPr>
      </w:pPr>
    </w:p>
    <w:p w14:paraId="7BF8D009" w14:textId="13859AC2" w:rsidR="006B7C8E" w:rsidRPr="00DD1F63" w:rsidRDefault="00CA72FF" w:rsidP="00377A09">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 xml:space="preserve">Distribution and </w:t>
      </w:r>
      <w:r w:rsidR="00BC7C5E" w:rsidRPr="00DD1F63">
        <w:rPr>
          <w:rFonts w:ascii="Times New Roman" w:hAnsi="Times New Roman" w:cs="Times New Roman"/>
        </w:rPr>
        <w:t>e</w:t>
      </w:r>
      <w:r w:rsidRPr="00DD1F63">
        <w:rPr>
          <w:rFonts w:ascii="Times New Roman" w:hAnsi="Times New Roman" w:cs="Times New Roman"/>
        </w:rPr>
        <w:t>limination</w:t>
      </w:r>
      <w:r w:rsidRPr="00DD1F63">
        <w:rPr>
          <w:rFonts w:ascii="Times New Roman" w:hAnsi="Times New Roman" w:cs="Times New Roman"/>
          <w:u w:val="none"/>
        </w:rPr>
        <w:t xml:space="preserve"> </w:t>
      </w:r>
    </w:p>
    <w:p w14:paraId="1C61A883" w14:textId="77777777" w:rsidR="009A48C7" w:rsidRPr="00DD1F63" w:rsidRDefault="009A48C7" w:rsidP="00377A09">
      <w:pPr>
        <w:spacing w:after="0" w:line="240" w:lineRule="auto"/>
        <w:ind w:left="426" w:hanging="11"/>
        <w:jc w:val="left"/>
        <w:rPr>
          <w:rFonts w:ascii="Times New Roman" w:hAnsi="Times New Roman" w:cs="Times New Roman"/>
          <w:sz w:val="22"/>
        </w:rPr>
      </w:pPr>
    </w:p>
    <w:p w14:paraId="1351D58B" w14:textId="13560672"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The single dose pharmacokinetics of adalimumab in rheumatoid arthritis (RA) patients was determined in several studies with intravenous doses ranging from 0.25 to 10 mg/kg. The distribution volume (</w:t>
      </w:r>
      <w:proofErr w:type="spellStart"/>
      <w:r w:rsidRPr="00DD1F63">
        <w:rPr>
          <w:rFonts w:ascii="Times New Roman" w:hAnsi="Times New Roman" w:cs="Times New Roman"/>
          <w:sz w:val="22"/>
        </w:rPr>
        <w:t>V</w:t>
      </w:r>
      <w:r w:rsidRPr="00DD1F63">
        <w:rPr>
          <w:rFonts w:ascii="Times New Roman" w:hAnsi="Times New Roman" w:cs="Times New Roman"/>
          <w:sz w:val="22"/>
          <w:vertAlign w:val="subscript"/>
        </w:rPr>
        <w:t>ss</w:t>
      </w:r>
      <w:proofErr w:type="spellEnd"/>
      <w:r w:rsidRPr="00DD1F63">
        <w:rPr>
          <w:rFonts w:ascii="Times New Roman" w:hAnsi="Times New Roman" w:cs="Times New Roman"/>
          <w:sz w:val="22"/>
        </w:rPr>
        <w:t xml:space="preserve">) ranged from 4.7 to 6.0 L. Adalimumab is slowly eliminated, with clearances typically under 12 mL/h. The mean terminal phase half-life was approximately two weeks, ranging from 10 to 20 days across studies. Adalimumab concentrations in the synovial fluid from several RA patients ranged from 31 to 96% of those in serum. </w:t>
      </w:r>
    </w:p>
    <w:p w14:paraId="484C5CFE" w14:textId="77777777" w:rsidR="009A48C7" w:rsidRPr="00DD1F63" w:rsidRDefault="009A48C7" w:rsidP="00377A09">
      <w:pPr>
        <w:spacing w:after="0" w:line="240" w:lineRule="auto"/>
        <w:ind w:left="426" w:right="375"/>
        <w:jc w:val="left"/>
        <w:rPr>
          <w:rFonts w:ascii="Times New Roman" w:hAnsi="Times New Roman" w:cs="Times New Roman"/>
          <w:sz w:val="22"/>
        </w:rPr>
      </w:pPr>
    </w:p>
    <w:p w14:paraId="4579FB1B" w14:textId="078ED1CE" w:rsidR="006B7C8E" w:rsidRPr="00DD1F63" w:rsidRDefault="00CA72FF" w:rsidP="00377A09">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 xml:space="preserve">Specific </w:t>
      </w:r>
      <w:r w:rsidR="00BC7C5E" w:rsidRPr="00DD1F63">
        <w:rPr>
          <w:rFonts w:ascii="Times New Roman" w:hAnsi="Times New Roman" w:cs="Times New Roman"/>
        </w:rPr>
        <w:t>p</w:t>
      </w:r>
      <w:r w:rsidRPr="00DD1F63">
        <w:rPr>
          <w:rFonts w:ascii="Times New Roman" w:hAnsi="Times New Roman" w:cs="Times New Roman"/>
        </w:rPr>
        <w:t>opulations</w:t>
      </w:r>
      <w:r w:rsidRPr="00DD1F63">
        <w:rPr>
          <w:rFonts w:ascii="Times New Roman" w:hAnsi="Times New Roman" w:cs="Times New Roman"/>
          <w:u w:val="none"/>
        </w:rPr>
        <w:t xml:space="preserve"> </w:t>
      </w:r>
    </w:p>
    <w:p w14:paraId="527A3BB0" w14:textId="77777777" w:rsidR="009A48C7" w:rsidRPr="00DD1F63" w:rsidRDefault="009A48C7" w:rsidP="00377A09">
      <w:pPr>
        <w:spacing w:after="0" w:line="240" w:lineRule="auto"/>
        <w:ind w:left="426" w:hanging="11"/>
        <w:jc w:val="left"/>
        <w:rPr>
          <w:rFonts w:ascii="Times New Roman" w:hAnsi="Times New Roman" w:cs="Times New Roman"/>
          <w:sz w:val="22"/>
        </w:rPr>
      </w:pPr>
    </w:p>
    <w:p w14:paraId="73A30AD4" w14:textId="7777777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Pharmacokinetics in special populations were investigated using population pharmacokinetic analyses. </w:t>
      </w:r>
    </w:p>
    <w:p w14:paraId="3FBE8D96" w14:textId="77777777" w:rsidR="00BC7C5E" w:rsidRPr="00DD1F63" w:rsidRDefault="00BC7C5E" w:rsidP="00377A09">
      <w:pPr>
        <w:pStyle w:val="Heading5"/>
        <w:spacing w:line="240" w:lineRule="auto"/>
        <w:ind w:left="426" w:right="0"/>
        <w:jc w:val="left"/>
        <w:rPr>
          <w:rFonts w:ascii="Times New Roman" w:hAnsi="Times New Roman" w:cs="Times New Roman"/>
          <w:b w:val="0"/>
          <w:i/>
          <w:sz w:val="22"/>
        </w:rPr>
      </w:pPr>
    </w:p>
    <w:p w14:paraId="50E366EB" w14:textId="7BEFF608" w:rsidR="006B7C8E" w:rsidRPr="00DD1F63" w:rsidRDefault="00CA72FF" w:rsidP="00377A09">
      <w:pPr>
        <w:pStyle w:val="Heading5"/>
        <w:keepLines w:val="0"/>
        <w:spacing w:line="240" w:lineRule="auto"/>
        <w:ind w:left="425" w:right="0"/>
        <w:jc w:val="left"/>
        <w:rPr>
          <w:rFonts w:ascii="Times New Roman" w:hAnsi="Times New Roman" w:cs="Times New Roman"/>
          <w:b w:val="0"/>
          <w:i/>
          <w:sz w:val="22"/>
        </w:rPr>
      </w:pPr>
      <w:r w:rsidRPr="00DD1F63">
        <w:rPr>
          <w:rFonts w:ascii="Times New Roman" w:hAnsi="Times New Roman" w:cs="Times New Roman"/>
          <w:b w:val="0"/>
          <w:i/>
          <w:sz w:val="22"/>
        </w:rPr>
        <w:t xml:space="preserve">Race/ethnicity </w:t>
      </w:r>
    </w:p>
    <w:p w14:paraId="0990ADCA" w14:textId="77777777" w:rsidR="00A7665C" w:rsidRPr="00DD1F63" w:rsidRDefault="00A7665C" w:rsidP="00377A09">
      <w:pPr>
        <w:keepNext/>
        <w:spacing w:after="0" w:line="240" w:lineRule="auto"/>
        <w:ind w:left="425" w:hanging="11"/>
        <w:jc w:val="left"/>
        <w:rPr>
          <w:rFonts w:ascii="Times New Roman" w:hAnsi="Times New Roman" w:cs="Times New Roman"/>
          <w:sz w:val="22"/>
        </w:rPr>
      </w:pPr>
    </w:p>
    <w:p w14:paraId="3EF0219C" w14:textId="0C4A96ED"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No differences in immunoglobulin clearance would be expected among races. From limited data in non</w:t>
      </w:r>
      <w:r w:rsidR="00BC7C5E" w:rsidRPr="00DD1F63">
        <w:rPr>
          <w:rFonts w:ascii="Times New Roman" w:hAnsi="Times New Roman" w:cs="Times New Roman"/>
          <w:sz w:val="22"/>
        </w:rPr>
        <w:t>-</w:t>
      </w:r>
      <w:r w:rsidRPr="00DD1F63">
        <w:rPr>
          <w:rFonts w:ascii="Times New Roman" w:hAnsi="Times New Roman" w:cs="Times New Roman"/>
          <w:sz w:val="22"/>
        </w:rPr>
        <w:t xml:space="preserve">Caucasians, no important kinetic differences were observed for adalimumab. </w:t>
      </w:r>
    </w:p>
    <w:p w14:paraId="4A547644" w14:textId="77777777" w:rsidR="00A7665C" w:rsidRPr="00DD1F63" w:rsidRDefault="00A7665C" w:rsidP="00377A09">
      <w:pPr>
        <w:spacing w:after="0" w:line="240" w:lineRule="auto"/>
        <w:ind w:left="426" w:right="375"/>
        <w:jc w:val="left"/>
        <w:rPr>
          <w:rFonts w:ascii="Times New Roman" w:hAnsi="Times New Roman" w:cs="Times New Roman"/>
          <w:sz w:val="22"/>
        </w:rPr>
      </w:pPr>
    </w:p>
    <w:p w14:paraId="1D462827" w14:textId="2549F116" w:rsidR="006B7C8E" w:rsidRPr="00DD1F63" w:rsidRDefault="00CA72FF" w:rsidP="00377A09">
      <w:pPr>
        <w:pStyle w:val="Heading5"/>
        <w:spacing w:line="240" w:lineRule="auto"/>
        <w:ind w:left="426" w:right="0"/>
        <w:jc w:val="left"/>
        <w:rPr>
          <w:rFonts w:ascii="Times New Roman" w:hAnsi="Times New Roman" w:cs="Times New Roman"/>
          <w:b w:val="0"/>
          <w:i/>
          <w:sz w:val="22"/>
        </w:rPr>
      </w:pPr>
      <w:r w:rsidRPr="00DD1F63">
        <w:rPr>
          <w:rFonts w:ascii="Times New Roman" w:hAnsi="Times New Roman" w:cs="Times New Roman"/>
          <w:b w:val="0"/>
          <w:i/>
          <w:sz w:val="22"/>
        </w:rPr>
        <w:t xml:space="preserve">Gender/weight </w:t>
      </w:r>
    </w:p>
    <w:p w14:paraId="20B29F6D" w14:textId="77777777" w:rsidR="00A7665C" w:rsidRPr="00DD1F63" w:rsidRDefault="00A7665C" w:rsidP="00377A09">
      <w:pPr>
        <w:spacing w:after="0" w:line="240" w:lineRule="auto"/>
        <w:ind w:left="426" w:hanging="11"/>
        <w:jc w:val="left"/>
        <w:rPr>
          <w:rFonts w:ascii="Times New Roman" w:hAnsi="Times New Roman" w:cs="Times New Roman"/>
          <w:sz w:val="22"/>
        </w:rPr>
      </w:pPr>
    </w:p>
    <w:p w14:paraId="277F28C6" w14:textId="1CFFF315"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No gender-related pharmacokinetic differences were observed after correction for a patient’s body weight. </w:t>
      </w:r>
    </w:p>
    <w:p w14:paraId="221D3157" w14:textId="77777777" w:rsidR="00A7665C" w:rsidRPr="00DD1F63" w:rsidRDefault="00A7665C" w:rsidP="00377A09">
      <w:pPr>
        <w:spacing w:after="0" w:line="240" w:lineRule="auto"/>
        <w:ind w:left="426" w:right="375"/>
        <w:jc w:val="left"/>
        <w:rPr>
          <w:rFonts w:ascii="Times New Roman" w:hAnsi="Times New Roman" w:cs="Times New Roman"/>
          <w:sz w:val="22"/>
        </w:rPr>
      </w:pPr>
    </w:p>
    <w:p w14:paraId="2DCED3ED" w14:textId="0D1390B3" w:rsidR="00A7665C" w:rsidRPr="00DD1F63" w:rsidRDefault="00CA72FF" w:rsidP="00377A09">
      <w:pPr>
        <w:pStyle w:val="Heading5"/>
        <w:spacing w:line="240" w:lineRule="auto"/>
        <w:ind w:left="426" w:right="0"/>
        <w:jc w:val="left"/>
        <w:rPr>
          <w:rFonts w:ascii="Times New Roman" w:hAnsi="Times New Roman" w:cs="Times New Roman"/>
          <w:b w:val="0"/>
          <w:i/>
          <w:sz w:val="22"/>
        </w:rPr>
      </w:pPr>
      <w:r w:rsidRPr="00DD1F63">
        <w:rPr>
          <w:rFonts w:ascii="Times New Roman" w:hAnsi="Times New Roman" w:cs="Times New Roman"/>
          <w:b w:val="0"/>
          <w:i/>
          <w:sz w:val="22"/>
        </w:rPr>
        <w:t xml:space="preserve">Paediatric </w:t>
      </w:r>
      <w:r w:rsidR="00AB03DC" w:rsidRPr="00DD1F63">
        <w:rPr>
          <w:rFonts w:ascii="Times New Roman" w:hAnsi="Times New Roman" w:cs="Times New Roman"/>
          <w:b w:val="0"/>
          <w:i/>
          <w:sz w:val="22"/>
        </w:rPr>
        <w:t>p</w:t>
      </w:r>
      <w:r w:rsidRPr="00DD1F63">
        <w:rPr>
          <w:rFonts w:ascii="Times New Roman" w:hAnsi="Times New Roman" w:cs="Times New Roman"/>
          <w:b w:val="0"/>
          <w:i/>
          <w:sz w:val="22"/>
        </w:rPr>
        <w:t>atients</w:t>
      </w:r>
    </w:p>
    <w:p w14:paraId="544C0E24" w14:textId="54FA9FBC" w:rsidR="006B7C8E" w:rsidRPr="00DD1F63" w:rsidRDefault="00CA72FF" w:rsidP="00377A09">
      <w:pPr>
        <w:pStyle w:val="Heading5"/>
        <w:spacing w:line="240" w:lineRule="auto"/>
        <w:ind w:left="426" w:right="0"/>
        <w:jc w:val="left"/>
        <w:rPr>
          <w:rFonts w:ascii="Times New Roman" w:hAnsi="Times New Roman" w:cs="Times New Roman"/>
          <w:sz w:val="22"/>
        </w:rPr>
      </w:pPr>
      <w:r w:rsidRPr="00DD1F63">
        <w:rPr>
          <w:rFonts w:ascii="Times New Roman" w:hAnsi="Times New Roman" w:cs="Times New Roman"/>
          <w:b w:val="0"/>
          <w:i/>
          <w:sz w:val="22"/>
        </w:rPr>
        <w:t xml:space="preserve"> </w:t>
      </w:r>
    </w:p>
    <w:p w14:paraId="04C76F98" w14:textId="0E505C74" w:rsidR="006B7C8E" w:rsidRPr="00DD1F63" w:rsidRDefault="00CA72FF" w:rsidP="00377A09">
      <w:pPr>
        <w:tabs>
          <w:tab w:val="left" w:pos="8505"/>
        </w:tabs>
        <w:spacing w:after="0" w:line="240" w:lineRule="auto"/>
        <w:ind w:left="426" w:right="49"/>
        <w:jc w:val="left"/>
        <w:rPr>
          <w:rFonts w:ascii="Times New Roman" w:hAnsi="Times New Roman" w:cs="Times New Roman"/>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for patients with polyarticular juvenile idiopathic arthritis (4 to 17 years of age), the mean steady-state trough serum adalimumab concentrations for patients weighing &lt; 30 kg receiving 20</w:t>
      </w:r>
      <w:r w:rsidRPr="00DD1F63">
        <w:rPr>
          <w:rFonts w:ascii="Times New Roman" w:hAnsi="Times New Roman" w:cs="Times New Roman"/>
          <w:spacing w:val="-2"/>
          <w:sz w:val="22"/>
        </w:rPr>
        <w:t xml:space="preserve"> mg adalimumab subcutaneously fortnightly without concomitant methotrexate or with concomitant </w:t>
      </w:r>
      <w:r w:rsidRPr="00DD1F63">
        <w:rPr>
          <w:rFonts w:ascii="Times New Roman" w:hAnsi="Times New Roman" w:cs="Times New Roman"/>
          <w:spacing w:val="-2"/>
          <w:sz w:val="22"/>
        </w:rPr>
        <w:lastRenderedPageBreak/>
        <w:t xml:space="preserve">methotrexate were 6.8 micrograms/mL and 10.9 micrograms/mL, respectively. The mean steady-state trough serum adalimumab concentrations for patients weighing ≥ 30 kg receiving 40 mg adalimumab subcutaneously fortnightly without concomitant methotrexate, or with concomitant methotrexate, were 6.6 micrograms/mL and 8.1 micrograms/mL, respectively. In </w:t>
      </w:r>
      <w:proofErr w:type="spellStart"/>
      <w:r w:rsidRPr="00DD1F63">
        <w:rPr>
          <w:rFonts w:ascii="Times New Roman" w:hAnsi="Times New Roman" w:cs="Times New Roman"/>
          <w:spacing w:val="-2"/>
          <w:sz w:val="22"/>
        </w:rPr>
        <w:t>pJIA</w:t>
      </w:r>
      <w:proofErr w:type="spellEnd"/>
      <w:r w:rsidRPr="00DD1F63">
        <w:rPr>
          <w:rFonts w:ascii="Times New Roman" w:hAnsi="Times New Roman" w:cs="Times New Roman"/>
          <w:spacing w:val="-2"/>
          <w:sz w:val="22"/>
        </w:rPr>
        <w:t xml:space="preserve"> Study II for patients with polyarticular juvenile idiopathic arthritis who were 2 to &lt; 4 years </w:t>
      </w:r>
      <w:proofErr w:type="gramStart"/>
      <w:r w:rsidRPr="00DD1F63">
        <w:rPr>
          <w:rFonts w:ascii="Times New Roman" w:hAnsi="Times New Roman" w:cs="Times New Roman"/>
          <w:spacing w:val="-2"/>
          <w:sz w:val="22"/>
        </w:rPr>
        <w:t>old, or</w:t>
      </w:r>
      <w:proofErr w:type="gramEnd"/>
      <w:r w:rsidRPr="00DD1F63">
        <w:rPr>
          <w:rFonts w:ascii="Times New Roman" w:hAnsi="Times New Roman" w:cs="Times New Roman"/>
          <w:spacing w:val="-2"/>
          <w:sz w:val="22"/>
        </w:rPr>
        <w:t xml:space="preserve"> aged 4 years and above weighing &lt; 15 kg, the mean steady-state trough serum adalimumab concentrations for patients receiving adalimumab subcutaneously fortnightly were 6.0 ± 6.1</w:t>
      </w:r>
      <w:r w:rsidRPr="00DD1F63">
        <w:rPr>
          <w:rFonts w:ascii="Times New Roman" w:hAnsi="Times New Roman" w:cs="Times New Roman"/>
          <w:sz w:val="22"/>
        </w:rPr>
        <w:t xml:space="preserve"> micrograms/mL (101% CV) for adalimumab without concomitant methotrexate, and 7.9 ± 5.6 micrograms/mL (71.2% CV) with concomitant methotrexate</w:t>
      </w:r>
      <w:r w:rsidRPr="00DD1F63">
        <w:rPr>
          <w:rFonts w:ascii="Times New Roman" w:hAnsi="Times New Roman" w:cs="Times New Roman"/>
        </w:rPr>
        <w:t xml:space="preserve">. </w:t>
      </w:r>
    </w:p>
    <w:p w14:paraId="7210DF00" w14:textId="77777777" w:rsidR="006B7C8E" w:rsidRPr="00DD1F63" w:rsidRDefault="00CA72FF"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rPr>
        <w:tab/>
        <w:t xml:space="preserve"> </w:t>
      </w:r>
    </w:p>
    <w:tbl>
      <w:tblPr>
        <w:tblStyle w:val="TableGrid1"/>
        <w:tblW w:w="8577" w:type="dxa"/>
        <w:tblInd w:w="490" w:type="dxa"/>
        <w:tblCellMar>
          <w:left w:w="57" w:type="dxa"/>
          <w:right w:w="57" w:type="dxa"/>
        </w:tblCellMar>
        <w:tblLook w:val="04A0" w:firstRow="1" w:lastRow="0" w:firstColumn="1" w:lastColumn="0" w:noHBand="0" w:noVBand="1"/>
      </w:tblPr>
      <w:tblGrid>
        <w:gridCol w:w="3636"/>
        <w:gridCol w:w="1416"/>
        <w:gridCol w:w="1437"/>
        <w:gridCol w:w="2088"/>
      </w:tblGrid>
      <w:tr w:rsidR="006B7C8E" w:rsidRPr="00DD1F63" w14:paraId="2687CA63" w14:textId="77777777" w:rsidTr="00B27F47">
        <w:trPr>
          <w:trHeight w:val="20"/>
        </w:trPr>
        <w:tc>
          <w:tcPr>
            <w:tcW w:w="8577" w:type="dxa"/>
            <w:gridSpan w:val="4"/>
            <w:tcBorders>
              <w:top w:val="single" w:sz="4" w:space="0" w:color="000000"/>
              <w:left w:val="single" w:sz="4" w:space="0" w:color="000000"/>
              <w:bottom w:val="single" w:sz="4" w:space="0" w:color="000000"/>
              <w:right w:val="single" w:sz="4" w:space="0" w:color="000000"/>
            </w:tcBorders>
          </w:tcPr>
          <w:p w14:paraId="2B779B26" w14:textId="630060E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BA33C2" w:rsidRPr="00DD1F63">
              <w:rPr>
                <w:rFonts w:ascii="Times New Roman" w:hAnsi="Times New Roman" w:cs="Times New Roman"/>
                <w:b/>
                <w:sz w:val="21"/>
                <w:szCs w:val="21"/>
              </w:rPr>
              <w:t>33</w:t>
            </w:r>
            <w:r w:rsidRPr="00DD1F63">
              <w:rPr>
                <w:rFonts w:ascii="Times New Roman" w:hAnsi="Times New Roman" w:cs="Times New Roman"/>
                <w:b/>
                <w:sz w:val="21"/>
                <w:szCs w:val="21"/>
              </w:rPr>
              <w:t xml:space="preserve">: Summary of </w:t>
            </w:r>
            <w:r w:rsidR="00AB03DC"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erum </w:t>
            </w:r>
            <w:r w:rsidR="00AB03DC"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dalimumab </w:t>
            </w:r>
            <w:r w:rsidR="00AB03DC"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rough </w:t>
            </w:r>
            <w:r w:rsidR="00AB03DC"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oncentrations (microgram/mL) in </w:t>
            </w:r>
            <w:r w:rsidR="00AB03D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with </w:t>
            </w:r>
            <w:r w:rsidR="00AB03D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olyarticular JIA by </w:t>
            </w:r>
            <w:r w:rsidR="00AB03DC" w:rsidRPr="00DD1F63">
              <w:rPr>
                <w:rFonts w:ascii="Times New Roman" w:hAnsi="Times New Roman" w:cs="Times New Roman"/>
                <w:b/>
                <w:sz w:val="21"/>
                <w:szCs w:val="21"/>
              </w:rPr>
              <w:t>w</w:t>
            </w:r>
            <w:r w:rsidRPr="00DD1F63">
              <w:rPr>
                <w:rFonts w:ascii="Times New Roman" w:hAnsi="Times New Roman" w:cs="Times New Roman"/>
                <w:b/>
                <w:sz w:val="21"/>
                <w:szCs w:val="21"/>
              </w:rPr>
              <w:t>eek 24 (N = 15) (</w:t>
            </w:r>
            <w:proofErr w:type="spellStart"/>
            <w:r w:rsidRPr="00DD1F63">
              <w:rPr>
                <w:rFonts w:ascii="Times New Roman" w:hAnsi="Times New Roman" w:cs="Times New Roman"/>
                <w:b/>
                <w:sz w:val="21"/>
                <w:szCs w:val="21"/>
              </w:rPr>
              <w:t>pJIA</w:t>
            </w:r>
            <w:proofErr w:type="spellEnd"/>
            <w:r w:rsidRPr="00DD1F63">
              <w:rPr>
                <w:rFonts w:ascii="Times New Roman" w:hAnsi="Times New Roman" w:cs="Times New Roman"/>
                <w:b/>
                <w:sz w:val="21"/>
                <w:szCs w:val="21"/>
              </w:rPr>
              <w:t xml:space="preserve"> </w:t>
            </w:r>
            <w:r w:rsidR="00AB03DC"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II) </w:t>
            </w:r>
          </w:p>
        </w:tc>
      </w:tr>
      <w:tr w:rsidR="006B7C8E" w:rsidRPr="00DD1F63" w14:paraId="3EFFA355" w14:textId="77777777" w:rsidTr="00B27F47">
        <w:trPr>
          <w:trHeight w:val="20"/>
        </w:trPr>
        <w:tc>
          <w:tcPr>
            <w:tcW w:w="3636" w:type="dxa"/>
            <w:vMerge w:val="restart"/>
            <w:tcBorders>
              <w:top w:val="single" w:sz="4" w:space="0" w:color="000000"/>
              <w:left w:val="single" w:sz="4" w:space="0" w:color="000000"/>
              <w:bottom w:val="single" w:sz="4" w:space="0" w:color="000000"/>
              <w:right w:val="single" w:sz="4" w:space="0" w:color="000000"/>
            </w:tcBorders>
            <w:vAlign w:val="center"/>
          </w:tcPr>
          <w:p w14:paraId="426BF9AD" w14:textId="64208A2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Treatment Groups</w:t>
            </w:r>
          </w:p>
        </w:tc>
        <w:tc>
          <w:tcPr>
            <w:tcW w:w="4941" w:type="dxa"/>
            <w:gridSpan w:val="3"/>
            <w:tcBorders>
              <w:top w:val="single" w:sz="4" w:space="0" w:color="000000"/>
              <w:left w:val="single" w:sz="4" w:space="0" w:color="000000"/>
              <w:bottom w:val="single" w:sz="4" w:space="0" w:color="000000"/>
              <w:right w:val="single" w:sz="4" w:space="0" w:color="000000"/>
            </w:tcBorders>
            <w:vAlign w:val="center"/>
          </w:tcPr>
          <w:p w14:paraId="5FF46CD2" w14:textId="4F61AA8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Mean ± SD (CV%) Min – Max, </w:t>
            </w:r>
            <w:proofErr w:type="spellStart"/>
            <w:r w:rsidRPr="00DD1F63">
              <w:rPr>
                <w:rFonts w:ascii="Times New Roman" w:hAnsi="Times New Roman" w:cs="Times New Roman"/>
                <w:b/>
                <w:sz w:val="21"/>
                <w:szCs w:val="21"/>
              </w:rPr>
              <w:t>Nnmiss</w:t>
            </w:r>
            <w:proofErr w:type="spellEnd"/>
          </w:p>
        </w:tc>
      </w:tr>
      <w:tr w:rsidR="006B7C8E" w:rsidRPr="00DD1F63" w14:paraId="0EC473A2" w14:textId="77777777" w:rsidTr="00B27F47">
        <w:trPr>
          <w:trHeight w:val="20"/>
        </w:trPr>
        <w:tc>
          <w:tcPr>
            <w:tcW w:w="0" w:type="auto"/>
            <w:vMerge/>
            <w:tcBorders>
              <w:top w:val="nil"/>
              <w:left w:val="single" w:sz="4" w:space="0" w:color="000000"/>
              <w:bottom w:val="nil"/>
              <w:right w:val="single" w:sz="4" w:space="0" w:color="000000"/>
            </w:tcBorders>
            <w:vAlign w:val="center"/>
          </w:tcPr>
          <w:p w14:paraId="7029D50F"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4941" w:type="dxa"/>
            <w:gridSpan w:val="3"/>
            <w:tcBorders>
              <w:top w:val="single" w:sz="4" w:space="0" w:color="000000"/>
              <w:left w:val="single" w:sz="4" w:space="0" w:color="000000"/>
              <w:bottom w:val="single" w:sz="4" w:space="0" w:color="000000"/>
              <w:right w:val="single" w:sz="4" w:space="0" w:color="000000"/>
            </w:tcBorders>
            <w:vAlign w:val="center"/>
          </w:tcPr>
          <w:p w14:paraId="0FDF90D8" w14:textId="70D7D023"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Week</w:t>
            </w:r>
          </w:p>
        </w:tc>
      </w:tr>
      <w:tr w:rsidR="006B7C8E" w:rsidRPr="00DD1F63" w14:paraId="03DA07F8" w14:textId="77777777" w:rsidTr="00B27F47">
        <w:trPr>
          <w:trHeight w:val="20"/>
        </w:trPr>
        <w:tc>
          <w:tcPr>
            <w:tcW w:w="0" w:type="auto"/>
            <w:vMerge/>
            <w:tcBorders>
              <w:top w:val="nil"/>
              <w:left w:val="single" w:sz="4" w:space="0" w:color="000000"/>
              <w:bottom w:val="single" w:sz="4" w:space="0" w:color="000000"/>
              <w:right w:val="single" w:sz="4" w:space="0" w:color="000000"/>
            </w:tcBorders>
            <w:vAlign w:val="center"/>
          </w:tcPr>
          <w:p w14:paraId="2194B411" w14:textId="77777777" w:rsidR="006B7C8E" w:rsidRPr="00DD1F63" w:rsidRDefault="006B7C8E" w:rsidP="00377A09">
            <w:pPr>
              <w:spacing w:after="0" w:line="240" w:lineRule="auto"/>
              <w:ind w:left="0" w:firstLine="0"/>
              <w:jc w:val="left"/>
              <w:rPr>
                <w:rFonts w:ascii="Times New Roman" w:hAnsi="Times New Roman"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0CCBC14" w14:textId="2258B96A"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0</w:t>
            </w:r>
          </w:p>
        </w:tc>
        <w:tc>
          <w:tcPr>
            <w:tcW w:w="1437" w:type="dxa"/>
            <w:tcBorders>
              <w:top w:val="single" w:sz="4" w:space="0" w:color="000000"/>
              <w:left w:val="single" w:sz="4" w:space="0" w:color="000000"/>
              <w:bottom w:val="single" w:sz="4" w:space="0" w:color="000000"/>
              <w:right w:val="single" w:sz="4" w:space="0" w:color="000000"/>
            </w:tcBorders>
            <w:vAlign w:val="center"/>
          </w:tcPr>
          <w:p w14:paraId="2958252E" w14:textId="40CDE42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12</w:t>
            </w:r>
          </w:p>
        </w:tc>
        <w:tc>
          <w:tcPr>
            <w:tcW w:w="2088" w:type="dxa"/>
            <w:tcBorders>
              <w:top w:val="single" w:sz="4" w:space="0" w:color="000000"/>
              <w:left w:val="single" w:sz="4" w:space="0" w:color="000000"/>
              <w:bottom w:val="single" w:sz="4" w:space="0" w:color="000000"/>
              <w:right w:val="single" w:sz="4" w:space="0" w:color="000000"/>
            </w:tcBorders>
            <w:vAlign w:val="center"/>
          </w:tcPr>
          <w:p w14:paraId="35972E5A" w14:textId="35B6CBC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24</w:t>
            </w:r>
          </w:p>
        </w:tc>
      </w:tr>
      <w:tr w:rsidR="006B7C8E" w:rsidRPr="00DD1F63" w14:paraId="489D7DBE" w14:textId="77777777" w:rsidTr="00B27F47">
        <w:trPr>
          <w:trHeight w:val="20"/>
        </w:trPr>
        <w:tc>
          <w:tcPr>
            <w:tcW w:w="3636" w:type="dxa"/>
            <w:tcBorders>
              <w:top w:val="single" w:sz="4" w:space="0" w:color="000000"/>
              <w:left w:val="single" w:sz="4" w:space="0" w:color="000000"/>
              <w:bottom w:val="single" w:sz="4" w:space="0" w:color="000000"/>
              <w:right w:val="single" w:sz="4" w:space="0" w:color="000000"/>
            </w:tcBorders>
          </w:tcPr>
          <w:p w14:paraId="5E705D54"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 24 mg/m</w:t>
            </w:r>
            <w:r w:rsidRPr="00DD1F63">
              <w:rPr>
                <w:rFonts w:ascii="Times New Roman" w:hAnsi="Times New Roman" w:cs="Times New Roman"/>
                <w:sz w:val="21"/>
                <w:szCs w:val="21"/>
                <w:vertAlign w:val="superscript"/>
              </w:rPr>
              <w:t>2</w:t>
            </w:r>
            <w:r w:rsidRPr="00DD1F63">
              <w:rPr>
                <w:rFonts w:ascii="Times New Roman" w:hAnsi="Times New Roman" w:cs="Times New Roman"/>
                <w:sz w:val="21"/>
                <w:szCs w:val="21"/>
              </w:rPr>
              <w:t xml:space="preserve"> BSA fortnightly </w:t>
            </w:r>
          </w:p>
          <w:p w14:paraId="17B94E1D"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(All patients N = 15)</w:t>
            </w:r>
            <w:r w:rsidRPr="00DD1F63">
              <w:rPr>
                <w:rFonts w:ascii="Times New Roman" w:hAnsi="Times New Roman" w:cs="Times New Roman"/>
                <w:b/>
                <w:sz w:val="21"/>
                <w:szCs w:val="2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AF665E8" w14:textId="59CDF08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(0%)</w:t>
            </w:r>
          </w:p>
          <w:p w14:paraId="19B0580A" w14:textId="4C90CB6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14</w:t>
            </w:r>
          </w:p>
        </w:tc>
        <w:tc>
          <w:tcPr>
            <w:tcW w:w="1437" w:type="dxa"/>
            <w:tcBorders>
              <w:top w:val="single" w:sz="4" w:space="0" w:color="000000"/>
              <w:left w:val="single" w:sz="4" w:space="0" w:color="000000"/>
              <w:bottom w:val="single" w:sz="4" w:space="0" w:color="000000"/>
              <w:right w:val="single" w:sz="4" w:space="0" w:color="000000"/>
            </w:tcBorders>
            <w:vAlign w:val="center"/>
          </w:tcPr>
          <w:p w14:paraId="1D2E3A8C" w14:textId="40B3F3FF"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6.97 ± 5.69</w:t>
            </w:r>
          </w:p>
          <w:p w14:paraId="1188C835" w14:textId="52A456A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(81.6%)</w:t>
            </w:r>
          </w:p>
          <w:p w14:paraId="47754756" w14:textId="059D166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 – 14.9, 15</w:t>
            </w:r>
          </w:p>
        </w:tc>
        <w:tc>
          <w:tcPr>
            <w:tcW w:w="2088" w:type="dxa"/>
            <w:tcBorders>
              <w:top w:val="single" w:sz="4" w:space="0" w:color="000000"/>
              <w:left w:val="single" w:sz="4" w:space="0" w:color="000000"/>
              <w:bottom w:val="single" w:sz="4" w:space="0" w:color="000000"/>
              <w:right w:val="single" w:sz="4" w:space="0" w:color="000000"/>
            </w:tcBorders>
            <w:vAlign w:val="center"/>
          </w:tcPr>
          <w:p w14:paraId="793E7CEA" w14:textId="7671C0DD"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7.78 ± 5.85</w:t>
            </w:r>
          </w:p>
          <w:p w14:paraId="6D4B1291" w14:textId="0500CEC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(75.2%)</w:t>
            </w:r>
          </w:p>
          <w:p w14:paraId="741444BA" w14:textId="0B088E52"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14.7, 15</w:t>
            </w:r>
          </w:p>
        </w:tc>
      </w:tr>
      <w:tr w:rsidR="006B7C8E" w:rsidRPr="00DD1F63" w14:paraId="3812F61D" w14:textId="77777777" w:rsidTr="00B27F47">
        <w:trPr>
          <w:trHeight w:val="20"/>
        </w:trPr>
        <w:tc>
          <w:tcPr>
            <w:tcW w:w="3636" w:type="dxa"/>
            <w:tcBorders>
              <w:top w:val="single" w:sz="4" w:space="0" w:color="000000"/>
              <w:left w:val="single" w:sz="4" w:space="0" w:color="000000"/>
              <w:bottom w:val="single" w:sz="4" w:space="0" w:color="000000"/>
              <w:right w:val="single" w:sz="4" w:space="0" w:color="000000"/>
            </w:tcBorders>
          </w:tcPr>
          <w:p w14:paraId="2986055A" w14:textId="20376774"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 24 mg/m</w:t>
            </w:r>
            <w:r w:rsidRPr="00DD1F63">
              <w:rPr>
                <w:rFonts w:ascii="Times New Roman" w:hAnsi="Times New Roman" w:cs="Times New Roman"/>
                <w:sz w:val="21"/>
                <w:szCs w:val="21"/>
                <w:vertAlign w:val="superscript"/>
              </w:rPr>
              <w:t>2</w:t>
            </w:r>
            <w:r w:rsidRPr="00DD1F63">
              <w:rPr>
                <w:rFonts w:ascii="Times New Roman" w:hAnsi="Times New Roman" w:cs="Times New Roman"/>
                <w:sz w:val="21"/>
                <w:szCs w:val="21"/>
              </w:rPr>
              <w:t xml:space="preserve"> BSA fortnightly, with Methotrexate </w:t>
            </w:r>
          </w:p>
          <w:p w14:paraId="15881CBF" w14:textId="77777777"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(All patients N = 11)</w:t>
            </w:r>
            <w:r w:rsidRPr="00DD1F63">
              <w:rPr>
                <w:rFonts w:ascii="Times New Roman" w:hAnsi="Times New Roman" w:cs="Times New Roman"/>
                <w:b/>
                <w:sz w:val="21"/>
                <w:szCs w:val="2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1C39711" w14:textId="69D8D56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(0%)</w:t>
            </w:r>
          </w:p>
          <w:p w14:paraId="67872C2F" w14:textId="3E7FFB8E"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10</w:t>
            </w:r>
          </w:p>
        </w:tc>
        <w:tc>
          <w:tcPr>
            <w:tcW w:w="1437" w:type="dxa"/>
            <w:tcBorders>
              <w:top w:val="single" w:sz="4" w:space="0" w:color="000000"/>
              <w:left w:val="single" w:sz="4" w:space="0" w:color="000000"/>
              <w:bottom w:val="single" w:sz="4" w:space="0" w:color="000000"/>
              <w:right w:val="single" w:sz="4" w:space="0" w:color="000000"/>
            </w:tcBorders>
            <w:vAlign w:val="center"/>
          </w:tcPr>
          <w:p w14:paraId="47B6EC14" w14:textId="624888D9"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7.27 ± 5.71</w:t>
            </w:r>
          </w:p>
          <w:p w14:paraId="4F8B8F69" w14:textId="13B6DB5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(78.5%)</w:t>
            </w:r>
          </w:p>
          <w:p w14:paraId="3809884F" w14:textId="6909E276"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14.8, 11</w:t>
            </w:r>
          </w:p>
        </w:tc>
        <w:tc>
          <w:tcPr>
            <w:tcW w:w="2088" w:type="dxa"/>
            <w:tcBorders>
              <w:top w:val="single" w:sz="4" w:space="0" w:color="000000"/>
              <w:left w:val="single" w:sz="4" w:space="0" w:color="000000"/>
              <w:bottom w:val="single" w:sz="4" w:space="0" w:color="000000"/>
              <w:right w:val="single" w:sz="4" w:space="0" w:color="000000"/>
            </w:tcBorders>
            <w:vAlign w:val="center"/>
          </w:tcPr>
          <w:p w14:paraId="60BF1E62" w14:textId="3B41AFB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8.45 ± 5.69</w:t>
            </w:r>
          </w:p>
          <w:p w14:paraId="1EFD6DB8" w14:textId="61FFF4E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(67.3%)</w:t>
            </w:r>
          </w:p>
          <w:p w14:paraId="7B66F6B2" w14:textId="3363E6F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14.7, 11</w:t>
            </w:r>
          </w:p>
        </w:tc>
      </w:tr>
      <w:tr w:rsidR="006B7C8E" w:rsidRPr="00DD1F63" w14:paraId="1764B047" w14:textId="77777777" w:rsidTr="00B27F47">
        <w:trPr>
          <w:trHeight w:val="20"/>
        </w:trPr>
        <w:tc>
          <w:tcPr>
            <w:tcW w:w="3636" w:type="dxa"/>
            <w:tcBorders>
              <w:top w:val="single" w:sz="4" w:space="0" w:color="000000"/>
              <w:left w:val="single" w:sz="4" w:space="0" w:color="000000"/>
              <w:bottom w:val="single" w:sz="4" w:space="0" w:color="000000"/>
              <w:right w:val="single" w:sz="4" w:space="0" w:color="000000"/>
            </w:tcBorders>
          </w:tcPr>
          <w:p w14:paraId="0B452736" w14:textId="0888918E"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 24 mg/m</w:t>
            </w:r>
            <w:r w:rsidRPr="00DD1F63">
              <w:rPr>
                <w:rFonts w:ascii="Times New Roman" w:hAnsi="Times New Roman" w:cs="Times New Roman"/>
                <w:sz w:val="21"/>
                <w:szCs w:val="21"/>
                <w:vertAlign w:val="superscript"/>
              </w:rPr>
              <w:t>2</w:t>
            </w:r>
            <w:r w:rsidRPr="00DD1F63">
              <w:rPr>
                <w:rFonts w:ascii="Times New Roman" w:hAnsi="Times New Roman" w:cs="Times New Roman"/>
                <w:sz w:val="21"/>
                <w:szCs w:val="21"/>
              </w:rPr>
              <w:t xml:space="preserve"> BSA fortnightly, without Methotrexate </w:t>
            </w:r>
          </w:p>
          <w:p w14:paraId="76FDED8C" w14:textId="77777777"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(All patients N = 4)</w:t>
            </w:r>
            <w:r w:rsidRPr="00DD1F63">
              <w:rPr>
                <w:rFonts w:ascii="Times New Roman" w:hAnsi="Times New Roman" w:cs="Times New Roman"/>
                <w:b/>
                <w:sz w:val="21"/>
                <w:szCs w:val="2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68F1723" w14:textId="4EE24B54"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(0%)</w:t>
            </w:r>
          </w:p>
          <w:p w14:paraId="3A77562F" w14:textId="5A70C010"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4</w:t>
            </w:r>
          </w:p>
        </w:tc>
        <w:tc>
          <w:tcPr>
            <w:tcW w:w="1437" w:type="dxa"/>
            <w:tcBorders>
              <w:top w:val="single" w:sz="4" w:space="0" w:color="000000"/>
              <w:left w:val="single" w:sz="4" w:space="0" w:color="000000"/>
              <w:bottom w:val="single" w:sz="4" w:space="0" w:color="000000"/>
              <w:right w:val="single" w:sz="4" w:space="0" w:color="000000"/>
            </w:tcBorders>
            <w:vAlign w:val="center"/>
          </w:tcPr>
          <w:p w14:paraId="0F3212F5" w14:textId="1AA0546B"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6.13 ± 6.41</w:t>
            </w:r>
          </w:p>
          <w:p w14:paraId="0F0DF83B" w14:textId="13D359AD"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(104.6%)</w:t>
            </w:r>
          </w:p>
          <w:p w14:paraId="25F89DE4" w14:textId="2E23FC4B"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 – 14.9, 4</w:t>
            </w:r>
          </w:p>
        </w:tc>
        <w:tc>
          <w:tcPr>
            <w:tcW w:w="2088" w:type="dxa"/>
            <w:tcBorders>
              <w:top w:val="single" w:sz="4" w:space="0" w:color="000000"/>
              <w:left w:val="single" w:sz="4" w:space="0" w:color="000000"/>
              <w:bottom w:val="single" w:sz="4" w:space="0" w:color="000000"/>
              <w:right w:val="single" w:sz="4" w:space="0" w:color="000000"/>
            </w:tcBorders>
            <w:vAlign w:val="center"/>
          </w:tcPr>
          <w:p w14:paraId="4DCDFEFB" w14:textId="359296CC"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5.95 ± 6.74</w:t>
            </w:r>
          </w:p>
          <w:p w14:paraId="72BBC423" w14:textId="53AFE9DF" w:rsidR="006B7C8E" w:rsidRPr="00DD1F63" w:rsidRDefault="00CA72FF" w:rsidP="00377A09">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(113.3%)</w:t>
            </w:r>
          </w:p>
          <w:p w14:paraId="28607491" w14:textId="1EAC0115" w:rsidR="006B7C8E" w:rsidRPr="00DD1F63" w:rsidRDefault="00CA72FF" w:rsidP="00377A09">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 – 12.7, 4</w:t>
            </w:r>
          </w:p>
        </w:tc>
      </w:tr>
    </w:tbl>
    <w:p w14:paraId="0CCB3FDB" w14:textId="33DCB047" w:rsidR="006B7C8E" w:rsidRPr="00DD1F63" w:rsidRDefault="00CA72FF" w:rsidP="00377A09">
      <w:pPr>
        <w:tabs>
          <w:tab w:val="center" w:pos="2290"/>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BSA = Body surface area </w:t>
      </w:r>
    </w:p>
    <w:p w14:paraId="6C5D608A" w14:textId="34636863" w:rsidR="006B7C8E" w:rsidRPr="00DD1F63" w:rsidRDefault="00CA72FF" w:rsidP="00377A09">
      <w:pPr>
        <w:tabs>
          <w:tab w:val="center" w:pos="3052"/>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w:t>
      </w:r>
      <w:proofErr w:type="spellStart"/>
      <w:r w:rsidRPr="00DD1F63">
        <w:rPr>
          <w:rFonts w:ascii="Times New Roman" w:hAnsi="Times New Roman" w:cs="Times New Roman"/>
          <w:szCs w:val="20"/>
        </w:rPr>
        <w:t>N</w:t>
      </w:r>
      <w:r w:rsidRPr="00DD1F63">
        <w:rPr>
          <w:rFonts w:ascii="Times New Roman" w:hAnsi="Times New Roman" w:cs="Times New Roman"/>
          <w:szCs w:val="20"/>
          <w:vertAlign w:val="subscript"/>
        </w:rPr>
        <w:t>nmiss</w:t>
      </w:r>
      <w:proofErr w:type="spellEnd"/>
      <w:r w:rsidRPr="00DD1F63">
        <w:rPr>
          <w:rFonts w:ascii="Times New Roman" w:hAnsi="Times New Roman" w:cs="Times New Roman"/>
          <w:szCs w:val="20"/>
        </w:rPr>
        <w:t xml:space="preserve"> = number of non-missing observations </w:t>
      </w:r>
    </w:p>
    <w:p w14:paraId="6874FDDC" w14:textId="77777777" w:rsidR="007B4785" w:rsidRPr="00DD1F63" w:rsidRDefault="007B4785" w:rsidP="00377A09">
      <w:pPr>
        <w:tabs>
          <w:tab w:val="center" w:pos="3052"/>
        </w:tabs>
        <w:spacing w:after="0" w:line="240" w:lineRule="auto"/>
        <w:ind w:left="426" w:firstLine="0"/>
        <w:jc w:val="left"/>
        <w:rPr>
          <w:rFonts w:ascii="Times New Roman" w:hAnsi="Times New Roman" w:cs="Times New Roman"/>
        </w:rPr>
      </w:pPr>
    </w:p>
    <w:p w14:paraId="554D7FDF" w14:textId="5F9D4797"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Following the administration of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(up to a maximum of 40 mg) subcutaneously fortnightly to patients with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the mean trough steady-state (values measured at Week 24) serum adalimumab concentrations were 8.8 ± 6.6 micrograms/mL for adalimumab without concomitant methotrexate and 11.8 ± 4.3 micrograms/mL with concomitant methotrexate. Based on a population pharmacokinetic (PK) modelling approach, simulated steady-state adalimumab serum trough concentrations for a weight-based dosing regimen (20 mg adalimumab fortnightly for body weight &lt; 30 kg and 40 mg adalimumab fortnightly for body weight ≥ 30 kg) were comparable to the simulated trough concentrations for the body surface area-based regimen. </w:t>
      </w:r>
    </w:p>
    <w:p w14:paraId="2FD04745" w14:textId="54ADF21C" w:rsidR="00CB1E8C" w:rsidRPr="00DD1F63" w:rsidRDefault="00CB1E8C" w:rsidP="00377A09">
      <w:pPr>
        <w:spacing w:after="0" w:line="240" w:lineRule="auto"/>
        <w:ind w:left="426" w:right="49"/>
        <w:jc w:val="left"/>
        <w:rPr>
          <w:rFonts w:ascii="Times New Roman" w:hAnsi="Times New Roman" w:cs="Times New Roman"/>
          <w:sz w:val="22"/>
        </w:rPr>
      </w:pPr>
    </w:p>
    <w:p w14:paraId="73991F16" w14:textId="6ABFFB2B" w:rsidR="00CB1E8C" w:rsidRPr="00DD1F63" w:rsidRDefault="00CB1E8C"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In paediatric patients with moderately to severely active Crohn’s disease, the open-label adalimumab induction dose was 160/80 mg or 80/40 mg at Weeks 0 and 2, respectively, dependent on a body weight cut-off of 40 kg. At Week 4, subjects were randomised 1:1 to either the Standard </w:t>
      </w:r>
      <w:r w:rsidRPr="00DD1F63">
        <w:rPr>
          <w:rFonts w:ascii="Times New Roman" w:hAnsi="Times New Roman" w:cs="Times New Roman"/>
          <w:spacing w:val="-2"/>
          <w:sz w:val="22"/>
        </w:rPr>
        <w:t>Dose (40/20 mg fortnightly) or Low Dose (20/10 mg fortnightly) maintenance treatment groups based on their body weight. The mean (± SD) serum adalimumab trough concentrations achieved at Week 4 were 15.7 ± 6.6 micrograms/mL for patients ≥ 40 kg (160/80 mg) and 10.6 ± 6.1</w:t>
      </w:r>
      <w:r w:rsidRPr="00DD1F63">
        <w:rPr>
          <w:rFonts w:ascii="Times New Roman" w:hAnsi="Times New Roman" w:cs="Times New Roman"/>
          <w:sz w:val="22"/>
        </w:rPr>
        <w:t xml:space="preserve"> micrograms/mL for patients &lt; 40 kg (80/40 mg). </w:t>
      </w:r>
    </w:p>
    <w:p w14:paraId="3B9848E3" w14:textId="77777777" w:rsidR="00097A4E" w:rsidRPr="00DD1F63" w:rsidRDefault="00097A4E" w:rsidP="00377A09">
      <w:pPr>
        <w:spacing w:after="0" w:line="240" w:lineRule="auto"/>
        <w:ind w:left="0" w:right="375" w:firstLine="0"/>
        <w:jc w:val="left"/>
        <w:rPr>
          <w:rFonts w:ascii="Times New Roman" w:hAnsi="Times New Roman" w:cs="Times New Roman"/>
          <w:sz w:val="22"/>
        </w:rPr>
      </w:pPr>
    </w:p>
    <w:p w14:paraId="50CA8FED" w14:textId="2EFDFCF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For subjects who stayed on their randomised therapy, the mean (± SD) adalimumab trough concentrations at Week 52 were 9.5 ± 5.6 micrograms/mL for the Standard Dose group and 3.5 ± 2.2</w:t>
      </w:r>
      <w:r w:rsidRPr="00DD1F63">
        <w:rPr>
          <w:rFonts w:ascii="Times New Roman" w:hAnsi="Times New Roman" w:cs="Times New Roman"/>
          <w:sz w:val="22"/>
        </w:rPr>
        <w:t xml:space="preserve"> micrograms/mL for the Low Dose group. The mean trough concentrations were maintained in </w:t>
      </w:r>
      <w:r w:rsidRPr="00DD1F63">
        <w:rPr>
          <w:rFonts w:ascii="Times New Roman" w:hAnsi="Times New Roman" w:cs="Times New Roman"/>
          <w:spacing w:val="-4"/>
          <w:sz w:val="22"/>
        </w:rPr>
        <w:t xml:space="preserve">subjects who continued to receive adalimumab treatment fortnightly for 52 weeks. For subjects who dose escalated from fortnightly to weekly regimen, the mean (± SD) serum concentrations of adalimumab at </w:t>
      </w:r>
      <w:r w:rsidRPr="00DD1F63">
        <w:rPr>
          <w:rFonts w:ascii="Times New Roman" w:hAnsi="Times New Roman" w:cs="Times New Roman"/>
          <w:spacing w:val="2"/>
          <w:sz w:val="22"/>
        </w:rPr>
        <w:t>Week 52 were 15.3 ± 11.4 micrograms/mL (40/20 mg, weekly) and 6.7 ± 3.5 micrograms/mL (20/10</w:t>
      </w:r>
      <w:r w:rsidRPr="00DD1F63">
        <w:rPr>
          <w:rFonts w:ascii="Times New Roman" w:hAnsi="Times New Roman" w:cs="Times New Roman"/>
          <w:sz w:val="22"/>
        </w:rPr>
        <w:t xml:space="preserve"> mg, weekly). </w:t>
      </w:r>
    </w:p>
    <w:p w14:paraId="51189DA8" w14:textId="77777777" w:rsidR="008B618F" w:rsidRPr="00DD1F63" w:rsidRDefault="008B618F" w:rsidP="00377A09">
      <w:pPr>
        <w:spacing w:after="0" w:line="240" w:lineRule="auto"/>
        <w:ind w:left="426" w:right="375"/>
        <w:jc w:val="left"/>
        <w:rPr>
          <w:rFonts w:ascii="Times New Roman" w:hAnsi="Times New Roman" w:cs="Times New Roman"/>
          <w:sz w:val="22"/>
        </w:rPr>
      </w:pPr>
    </w:p>
    <w:p w14:paraId="06005F1A" w14:textId="2612076A"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Following the administration of 0.8 mg/kg (up to a maximum of 40 mg) subcutaneously fortnightly to paediatric patients with chronic plaque psoriasis, the mean ± SD steady-state adalimumab trough concentration (measured at Week 11) was approximately 7.4 ± 5.8 micrograms/mL (79% CV). Serum adalimumab concentrations after 40</w:t>
      </w:r>
      <w:r w:rsidR="00780AF2">
        <w:rPr>
          <w:rFonts w:ascii="Times New Roman" w:hAnsi="Times New Roman" w:cs="Times New Roman"/>
          <w:sz w:val="22"/>
        </w:rPr>
        <w:t xml:space="preserve"> </w:t>
      </w:r>
      <w:r w:rsidRPr="00DD1F63">
        <w:rPr>
          <w:rFonts w:ascii="Times New Roman" w:hAnsi="Times New Roman" w:cs="Times New Roman"/>
          <w:sz w:val="22"/>
        </w:rPr>
        <w:t xml:space="preserve">mg fortnightly in adult psoriasis patients are comparable to those following 0.8 mg/kg fortnightly in paediatric psoriasis patients in study M04-717 (range 7-11 micrograms/mL). </w:t>
      </w:r>
    </w:p>
    <w:p w14:paraId="3FDEC963" w14:textId="77777777" w:rsidR="00B86AA5" w:rsidRPr="00DD1F63" w:rsidRDefault="00B86AA5" w:rsidP="00377A09">
      <w:pPr>
        <w:spacing w:after="0" w:line="240" w:lineRule="auto"/>
        <w:ind w:left="426" w:right="375"/>
        <w:jc w:val="left"/>
        <w:rPr>
          <w:rFonts w:ascii="Times New Roman" w:hAnsi="Times New Roman" w:cs="Times New Roman"/>
          <w:sz w:val="22"/>
        </w:rPr>
      </w:pPr>
    </w:p>
    <w:p w14:paraId="574D206A" w14:textId="209271E9"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 exposure in adolescent hidradenitis suppurativa (HS) patients was predicted using population pharmacokinetic modelling and simulation based on cross-indication pharmacokinetics in other paediatric patients (paediatric psoriasis, juvenile idiopathic arthritis</w:t>
      </w:r>
      <w:r w:rsidR="00CB1E8C" w:rsidRPr="00DD1F63">
        <w:rPr>
          <w:rFonts w:ascii="Times New Roman" w:hAnsi="Times New Roman" w:cs="Times New Roman"/>
          <w:sz w:val="22"/>
        </w:rPr>
        <w:t xml:space="preserve">, paediatric Crohn’s </w:t>
      </w:r>
      <w:proofErr w:type="gramStart"/>
      <w:r w:rsidR="00CB1E8C" w:rsidRPr="00DD1F63">
        <w:rPr>
          <w:rFonts w:ascii="Times New Roman" w:hAnsi="Times New Roman" w:cs="Times New Roman"/>
          <w:sz w:val="22"/>
        </w:rPr>
        <w:t>disease</w:t>
      </w:r>
      <w:proofErr w:type="gramEnd"/>
      <w:r w:rsidR="00CB1E8C" w:rsidRPr="00DD1F63">
        <w:rPr>
          <w:rFonts w:ascii="Times New Roman" w:hAnsi="Times New Roman" w:cs="Times New Roman"/>
          <w:sz w:val="22"/>
        </w:rPr>
        <w:t xml:space="preserve"> </w:t>
      </w:r>
      <w:r w:rsidRPr="00DD1F63">
        <w:rPr>
          <w:rFonts w:ascii="Times New Roman" w:hAnsi="Times New Roman" w:cs="Times New Roman"/>
          <w:sz w:val="22"/>
        </w:rPr>
        <w:t xml:space="preserve">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The recommended adolescent HS dosing schedule of 40 mg fortnightly is predicted to provide serum adalimumab exposure and efficacy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that observed in adult HS patients receiving the recommended adult dose of 40 mg every week. </w:t>
      </w:r>
    </w:p>
    <w:p w14:paraId="6E676294" w14:textId="77777777" w:rsidR="00802BF5" w:rsidRPr="00DD1F63" w:rsidRDefault="00802BF5" w:rsidP="00377A09">
      <w:pPr>
        <w:spacing w:after="0" w:line="240" w:lineRule="auto"/>
        <w:ind w:left="426" w:right="375"/>
        <w:jc w:val="left"/>
        <w:rPr>
          <w:rFonts w:ascii="Times New Roman" w:hAnsi="Times New Roman" w:cs="Times New Roman"/>
          <w:sz w:val="22"/>
        </w:rPr>
      </w:pPr>
    </w:p>
    <w:p w14:paraId="4FE28A34" w14:textId="4FCF8B91" w:rsidR="00802BF5" w:rsidRPr="00DD1F63" w:rsidRDefault="00CA72FF" w:rsidP="00377A09">
      <w:pPr>
        <w:pStyle w:val="Heading5"/>
        <w:spacing w:line="240" w:lineRule="auto"/>
        <w:ind w:left="426" w:right="0"/>
        <w:jc w:val="left"/>
        <w:rPr>
          <w:rFonts w:ascii="Times New Roman" w:hAnsi="Times New Roman" w:cs="Times New Roman"/>
          <w:b w:val="0"/>
          <w:i/>
          <w:sz w:val="22"/>
        </w:rPr>
      </w:pPr>
      <w:r w:rsidRPr="00DD1F63">
        <w:rPr>
          <w:rFonts w:ascii="Times New Roman" w:hAnsi="Times New Roman" w:cs="Times New Roman"/>
          <w:b w:val="0"/>
          <w:i/>
          <w:sz w:val="22"/>
        </w:rPr>
        <w:t xml:space="preserve">Geriatric </w:t>
      </w:r>
      <w:r w:rsidR="008D36D8" w:rsidRPr="00DD1F63">
        <w:rPr>
          <w:rFonts w:ascii="Times New Roman" w:hAnsi="Times New Roman" w:cs="Times New Roman"/>
          <w:b w:val="0"/>
          <w:i/>
          <w:sz w:val="22"/>
        </w:rPr>
        <w:t>p</w:t>
      </w:r>
      <w:r w:rsidRPr="00DD1F63">
        <w:rPr>
          <w:rFonts w:ascii="Times New Roman" w:hAnsi="Times New Roman" w:cs="Times New Roman"/>
          <w:b w:val="0"/>
          <w:i/>
          <w:sz w:val="22"/>
        </w:rPr>
        <w:t>atients</w:t>
      </w:r>
    </w:p>
    <w:p w14:paraId="44E176A6" w14:textId="0F3DC606" w:rsidR="006B7C8E" w:rsidRPr="00DD1F63" w:rsidRDefault="00CA72FF" w:rsidP="00377A09">
      <w:pPr>
        <w:pStyle w:val="Heading5"/>
        <w:spacing w:line="240" w:lineRule="auto"/>
        <w:ind w:left="426" w:right="0"/>
        <w:jc w:val="left"/>
        <w:rPr>
          <w:rFonts w:ascii="Times New Roman" w:hAnsi="Times New Roman" w:cs="Times New Roman"/>
          <w:sz w:val="22"/>
        </w:rPr>
      </w:pPr>
      <w:r w:rsidRPr="00DD1F63">
        <w:rPr>
          <w:rFonts w:ascii="Times New Roman" w:hAnsi="Times New Roman" w:cs="Times New Roman"/>
          <w:b w:val="0"/>
          <w:i/>
          <w:sz w:val="22"/>
        </w:rPr>
        <w:t xml:space="preserve"> </w:t>
      </w:r>
    </w:p>
    <w:p w14:paraId="1891869D" w14:textId="0EF340C1" w:rsidR="006B7C8E"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Adalimumab’s apparent clearance decreases slightly with increasing age. From the population analyses, the mean weight-adjusted clearances in patients 40 to 65 years (n = 850) and </w:t>
      </w:r>
      <w:r w:rsidR="008D36D8" w:rsidRPr="00DD1F63">
        <w:rPr>
          <w:rFonts w:ascii="Times New Roman" w:eastAsia="Segoe UI Symbol" w:hAnsi="Times New Roman" w:cs="Times New Roman"/>
          <w:sz w:val="22"/>
        </w:rPr>
        <w:t>≥</w:t>
      </w:r>
      <w:r w:rsidRPr="00DD1F63">
        <w:rPr>
          <w:rFonts w:ascii="Times New Roman" w:hAnsi="Times New Roman" w:cs="Times New Roman"/>
          <w:sz w:val="22"/>
        </w:rPr>
        <w:t xml:space="preserve"> 65 years (n = 287) were 0.33 and 0.30 mL/h/kg, respectively. </w:t>
      </w:r>
    </w:p>
    <w:p w14:paraId="27453B77" w14:textId="77777777" w:rsidR="00504535" w:rsidRPr="00DD1F63" w:rsidRDefault="00504535" w:rsidP="00377A09">
      <w:pPr>
        <w:spacing w:after="0" w:line="240" w:lineRule="auto"/>
        <w:ind w:left="426" w:right="375"/>
        <w:jc w:val="left"/>
        <w:rPr>
          <w:rFonts w:ascii="Times New Roman" w:hAnsi="Times New Roman" w:cs="Times New Roman"/>
          <w:sz w:val="22"/>
        </w:rPr>
      </w:pPr>
    </w:p>
    <w:p w14:paraId="21E5F361" w14:textId="2F94F3A3" w:rsidR="006B7C8E" w:rsidRPr="00DD1F63" w:rsidRDefault="00CA72FF" w:rsidP="00377A09">
      <w:pPr>
        <w:spacing w:after="0" w:line="240" w:lineRule="auto"/>
        <w:ind w:left="426"/>
        <w:jc w:val="left"/>
        <w:rPr>
          <w:rFonts w:ascii="Times New Roman" w:hAnsi="Times New Roman" w:cs="Times New Roman"/>
          <w:i/>
          <w:sz w:val="22"/>
        </w:rPr>
      </w:pPr>
      <w:r w:rsidRPr="00DD1F63">
        <w:rPr>
          <w:rFonts w:ascii="Times New Roman" w:hAnsi="Times New Roman" w:cs="Times New Roman"/>
          <w:i/>
          <w:sz w:val="22"/>
        </w:rPr>
        <w:t xml:space="preserve">Hepatic and </w:t>
      </w:r>
      <w:r w:rsidR="008D36D8" w:rsidRPr="00DD1F63">
        <w:rPr>
          <w:rFonts w:ascii="Times New Roman" w:hAnsi="Times New Roman" w:cs="Times New Roman"/>
          <w:i/>
          <w:sz w:val="22"/>
        </w:rPr>
        <w:t>r</w:t>
      </w:r>
      <w:r w:rsidRPr="00DD1F63">
        <w:rPr>
          <w:rFonts w:ascii="Times New Roman" w:hAnsi="Times New Roman" w:cs="Times New Roman"/>
          <w:i/>
          <w:sz w:val="22"/>
        </w:rPr>
        <w:t xml:space="preserve">enal </w:t>
      </w:r>
      <w:r w:rsidR="008D36D8" w:rsidRPr="00DD1F63">
        <w:rPr>
          <w:rFonts w:ascii="Times New Roman" w:hAnsi="Times New Roman" w:cs="Times New Roman"/>
          <w:i/>
          <w:sz w:val="22"/>
        </w:rPr>
        <w:t>i</w:t>
      </w:r>
      <w:r w:rsidRPr="00DD1F63">
        <w:rPr>
          <w:rFonts w:ascii="Times New Roman" w:hAnsi="Times New Roman" w:cs="Times New Roman"/>
          <w:i/>
          <w:sz w:val="22"/>
        </w:rPr>
        <w:t xml:space="preserve">nsufficiency </w:t>
      </w:r>
    </w:p>
    <w:p w14:paraId="791995B8" w14:textId="77777777" w:rsidR="00504535" w:rsidRPr="00DD1F63" w:rsidRDefault="00504535" w:rsidP="00377A09">
      <w:pPr>
        <w:spacing w:after="0" w:line="240" w:lineRule="auto"/>
        <w:ind w:left="426"/>
        <w:jc w:val="left"/>
        <w:rPr>
          <w:rFonts w:ascii="Times New Roman" w:hAnsi="Times New Roman" w:cs="Times New Roman"/>
          <w:sz w:val="22"/>
        </w:rPr>
      </w:pPr>
    </w:p>
    <w:p w14:paraId="0DB68883" w14:textId="7BF9330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pharmacokinetic data are available in patients with hepatic or renal impairment. </w:t>
      </w:r>
    </w:p>
    <w:p w14:paraId="222823C2" w14:textId="77777777" w:rsidR="00410C00" w:rsidRPr="00DD1F63" w:rsidRDefault="00410C00" w:rsidP="00377A09">
      <w:pPr>
        <w:spacing w:after="0" w:line="240" w:lineRule="auto"/>
        <w:ind w:left="426" w:right="375"/>
        <w:jc w:val="left"/>
        <w:rPr>
          <w:rFonts w:ascii="Times New Roman" w:hAnsi="Times New Roman" w:cs="Times New Roman"/>
          <w:sz w:val="22"/>
        </w:rPr>
      </w:pPr>
    </w:p>
    <w:p w14:paraId="2E9FCCE0" w14:textId="00538597" w:rsidR="006B7C8E" w:rsidRPr="00DD1F63" w:rsidRDefault="00CA72FF" w:rsidP="00377A09">
      <w:pPr>
        <w:spacing w:after="0" w:line="240" w:lineRule="auto"/>
        <w:ind w:left="426"/>
        <w:jc w:val="left"/>
        <w:rPr>
          <w:rFonts w:ascii="Times New Roman" w:hAnsi="Times New Roman" w:cs="Times New Roman"/>
          <w:i/>
          <w:sz w:val="22"/>
        </w:rPr>
      </w:pPr>
      <w:r w:rsidRPr="00DD1F63">
        <w:rPr>
          <w:rFonts w:ascii="Times New Roman" w:hAnsi="Times New Roman" w:cs="Times New Roman"/>
          <w:i/>
          <w:sz w:val="22"/>
        </w:rPr>
        <w:t xml:space="preserve">Disease </w:t>
      </w:r>
      <w:r w:rsidR="008D36D8" w:rsidRPr="00DD1F63">
        <w:rPr>
          <w:rFonts w:ascii="Times New Roman" w:hAnsi="Times New Roman" w:cs="Times New Roman"/>
          <w:i/>
          <w:sz w:val="22"/>
        </w:rPr>
        <w:t>s</w:t>
      </w:r>
      <w:r w:rsidRPr="00DD1F63">
        <w:rPr>
          <w:rFonts w:ascii="Times New Roman" w:hAnsi="Times New Roman" w:cs="Times New Roman"/>
          <w:i/>
          <w:sz w:val="22"/>
        </w:rPr>
        <w:t xml:space="preserve">tates </w:t>
      </w:r>
    </w:p>
    <w:p w14:paraId="42267290" w14:textId="77777777" w:rsidR="00410C00" w:rsidRPr="00DD1F63" w:rsidRDefault="00410C00" w:rsidP="00377A09">
      <w:pPr>
        <w:spacing w:after="0" w:line="240" w:lineRule="auto"/>
        <w:ind w:left="426"/>
        <w:jc w:val="left"/>
        <w:rPr>
          <w:rFonts w:ascii="Times New Roman" w:hAnsi="Times New Roman" w:cs="Times New Roman"/>
          <w:sz w:val="22"/>
        </w:rPr>
      </w:pPr>
    </w:p>
    <w:p w14:paraId="43838B8F" w14:textId="56881E08"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Healthy volunteers and patients with RA displayed similar adalimumab pharmacokinetics. </w:t>
      </w:r>
    </w:p>
    <w:p w14:paraId="3EF4F2D2" w14:textId="77777777" w:rsidR="006A44EC" w:rsidRPr="00DD1F63" w:rsidRDefault="006A44EC" w:rsidP="00377A09">
      <w:pPr>
        <w:spacing w:after="0" w:line="240" w:lineRule="auto"/>
        <w:ind w:left="426" w:right="375"/>
        <w:jc w:val="left"/>
        <w:rPr>
          <w:rFonts w:ascii="Times New Roman" w:hAnsi="Times New Roman" w:cs="Times New Roman"/>
          <w:sz w:val="22"/>
        </w:rPr>
      </w:pPr>
    </w:p>
    <w:p w14:paraId="288DD327" w14:textId="5CACAE39" w:rsidR="006B7C8E" w:rsidRPr="00DD1F63" w:rsidRDefault="00CA72FF" w:rsidP="00377A09">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 xml:space="preserve">Drug </w:t>
      </w:r>
      <w:r w:rsidR="008D36D8" w:rsidRPr="00DD1F63">
        <w:rPr>
          <w:rFonts w:ascii="Times New Roman" w:hAnsi="Times New Roman" w:cs="Times New Roman"/>
        </w:rPr>
        <w:t>i</w:t>
      </w:r>
      <w:r w:rsidRPr="00DD1F63">
        <w:rPr>
          <w:rFonts w:ascii="Times New Roman" w:hAnsi="Times New Roman" w:cs="Times New Roman"/>
        </w:rPr>
        <w:t xml:space="preserve">nteractions, </w:t>
      </w:r>
      <w:r w:rsidR="008D36D8" w:rsidRPr="00DD1F63">
        <w:rPr>
          <w:rFonts w:ascii="Times New Roman" w:hAnsi="Times New Roman" w:cs="Times New Roman"/>
        </w:rPr>
        <w:t>m</w:t>
      </w:r>
      <w:r w:rsidRPr="00DD1F63">
        <w:rPr>
          <w:rFonts w:ascii="Times New Roman" w:hAnsi="Times New Roman" w:cs="Times New Roman"/>
        </w:rPr>
        <w:t>ethotrexate</w:t>
      </w:r>
      <w:r w:rsidRPr="00DD1F63">
        <w:rPr>
          <w:rFonts w:ascii="Times New Roman" w:hAnsi="Times New Roman" w:cs="Times New Roman"/>
          <w:u w:val="none"/>
        </w:rPr>
        <w:t xml:space="preserve"> </w:t>
      </w:r>
    </w:p>
    <w:p w14:paraId="65A28A9B" w14:textId="77777777" w:rsidR="00CE2642" w:rsidRPr="00DD1F63" w:rsidRDefault="00CE2642" w:rsidP="00377A09">
      <w:pPr>
        <w:spacing w:after="0" w:line="240" w:lineRule="auto"/>
        <w:ind w:left="426" w:hanging="11"/>
        <w:jc w:val="left"/>
        <w:rPr>
          <w:rFonts w:ascii="Times New Roman" w:hAnsi="Times New Roman" w:cs="Times New Roman"/>
          <w:sz w:val="22"/>
        </w:rPr>
      </w:pPr>
    </w:p>
    <w:p w14:paraId="2F3E41A4" w14:textId="4E82CA72" w:rsidR="00E67BC9" w:rsidRPr="00DD1F63" w:rsidRDefault="00CA72FF"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When adalimumab 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sidR="00B27F47" w:rsidRPr="00DD1F63">
        <w:rPr>
          <w:rFonts w:ascii="Times New Roman" w:hAnsi="Times New Roman" w:cs="Times New Roman"/>
          <w:sz w:val="22"/>
        </w:rPr>
        <w:t xml:space="preserve">section </w:t>
      </w:r>
      <w:r w:rsidRPr="00DD1F63">
        <w:rPr>
          <w:rFonts w:ascii="Times New Roman" w:hAnsi="Times New Roman" w:cs="Times New Roman"/>
          <w:bCs/>
          <w:sz w:val="22"/>
        </w:rPr>
        <w:t xml:space="preserve">4.4 </w:t>
      </w:r>
      <w:r w:rsidR="008D36D8" w:rsidRPr="00DD1F63">
        <w:rPr>
          <w:rFonts w:ascii="Times New Roman" w:hAnsi="Times New Roman" w:cs="Times New Roman"/>
          <w:bCs/>
          <w:sz w:val="22"/>
        </w:rPr>
        <w:t>Special warnings and precautions for use</w:t>
      </w:r>
      <w:r w:rsidRPr="00DD1F63">
        <w:rPr>
          <w:rFonts w:ascii="Times New Roman" w:hAnsi="Times New Roman" w:cs="Times New Roman"/>
          <w:sz w:val="22"/>
        </w:rPr>
        <w:t>).</w:t>
      </w:r>
      <w:r w:rsidRPr="00DD1F63">
        <w:rPr>
          <w:rFonts w:ascii="Times New Roman" w:hAnsi="Times New Roman" w:cs="Times New Roman"/>
          <w:b/>
          <w:sz w:val="22"/>
        </w:rPr>
        <w:t xml:space="preserve"> </w:t>
      </w:r>
      <w:r w:rsidRPr="00DD1F63">
        <w:rPr>
          <w:rFonts w:ascii="Times New Roman" w:hAnsi="Times New Roman" w:cs="Times New Roman"/>
          <w:sz w:val="22"/>
        </w:rPr>
        <w:t xml:space="preserve">This is consistent with the higher trough concentrations of adalimumab found in patients treated with concomitant methotrexate (see </w:t>
      </w:r>
      <w:r w:rsidR="00B27F47" w:rsidRPr="00DD1F63">
        <w:rPr>
          <w:rFonts w:ascii="Times New Roman" w:hAnsi="Times New Roman" w:cs="Times New Roman"/>
          <w:sz w:val="22"/>
        </w:rPr>
        <w:t xml:space="preserve">section </w:t>
      </w:r>
      <w:r w:rsidRPr="00DD1F63">
        <w:rPr>
          <w:rFonts w:ascii="Times New Roman" w:hAnsi="Times New Roman" w:cs="Times New Roman"/>
          <w:bCs/>
          <w:sz w:val="22"/>
        </w:rPr>
        <w:t>5.1</w:t>
      </w:r>
      <w:r w:rsidRPr="00DD1F63">
        <w:rPr>
          <w:rFonts w:ascii="Times New Roman" w:hAnsi="Times New Roman" w:cs="Times New Roman"/>
          <w:sz w:val="22"/>
        </w:rPr>
        <w:t xml:space="preserve"> </w:t>
      </w:r>
      <w:r w:rsidR="008D36D8" w:rsidRPr="00DD1F63">
        <w:rPr>
          <w:rFonts w:ascii="Times New Roman" w:hAnsi="Times New Roman" w:cs="Times New Roman"/>
          <w:bCs/>
          <w:sz w:val="22"/>
        </w:rPr>
        <w:t xml:space="preserve">Pharmacodynamic properties </w:t>
      </w:r>
      <w:r w:rsidRPr="00DD1F63">
        <w:rPr>
          <w:rFonts w:ascii="Times New Roman" w:hAnsi="Times New Roman" w:cs="Times New Roman"/>
          <w:i/>
          <w:sz w:val="22"/>
        </w:rPr>
        <w:t xml:space="preserve">- </w:t>
      </w:r>
      <w:r w:rsidR="00B27F47" w:rsidRPr="00DD1F63">
        <w:rPr>
          <w:rFonts w:ascii="Times New Roman" w:hAnsi="Times New Roman" w:cs="Times New Roman"/>
          <w:sz w:val="22"/>
        </w:rPr>
        <w:t>s</w:t>
      </w:r>
      <w:r w:rsidRPr="00DD1F63">
        <w:rPr>
          <w:rFonts w:ascii="Times New Roman" w:hAnsi="Times New Roman" w:cs="Times New Roman"/>
          <w:sz w:val="22"/>
        </w:rPr>
        <w:t xml:space="preserve">teady </w:t>
      </w:r>
      <w:r w:rsidR="00B27F47" w:rsidRPr="00DD1F63">
        <w:rPr>
          <w:rFonts w:ascii="Times New Roman" w:hAnsi="Times New Roman" w:cs="Times New Roman"/>
          <w:sz w:val="22"/>
        </w:rPr>
        <w:t>s</w:t>
      </w:r>
      <w:r w:rsidRPr="00DD1F63">
        <w:rPr>
          <w:rFonts w:ascii="Times New Roman" w:hAnsi="Times New Roman" w:cs="Times New Roman"/>
          <w:sz w:val="22"/>
        </w:rPr>
        <w:t>tate).</w:t>
      </w:r>
    </w:p>
    <w:p w14:paraId="0EB6AB1B" w14:textId="77777777" w:rsidR="00E67BC9" w:rsidRPr="00DD1F63" w:rsidRDefault="00E67BC9" w:rsidP="00377A09">
      <w:pPr>
        <w:spacing w:after="0" w:line="240" w:lineRule="auto"/>
        <w:ind w:left="426" w:right="49"/>
        <w:jc w:val="left"/>
        <w:rPr>
          <w:rFonts w:ascii="Times New Roman" w:hAnsi="Times New Roman" w:cs="Times New Roman"/>
          <w:sz w:val="22"/>
        </w:rPr>
      </w:pPr>
    </w:p>
    <w:p w14:paraId="10CED141" w14:textId="0EE64F0C" w:rsidR="00E67BC9" w:rsidRPr="00DD1F63" w:rsidRDefault="00E67BC9" w:rsidP="00377A09">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B95491" w:rsidRPr="00B95491">
        <w:rPr>
          <w:rFonts w:ascii="Times New Roman" w:hAnsi="Times New Roman" w:cs="Times New Roman"/>
          <w:sz w:val="22"/>
          <w:u w:val="single"/>
        </w:rPr>
        <w:t>Ciptunec</w:t>
      </w:r>
      <w:proofErr w:type="spellEnd"/>
      <w:r w:rsidR="00B95491" w:rsidRPr="00B95491" w:rsidDel="00B95491">
        <w:rPr>
          <w:rFonts w:ascii="Times New Roman" w:hAnsi="Times New Roman" w:cs="Times New Roman"/>
          <w:sz w:val="22"/>
          <w:u w:val="single"/>
        </w:rPr>
        <w:t xml:space="preserve"> </w:t>
      </w:r>
      <w:r w:rsidRPr="00DD1F63">
        <w:rPr>
          <w:rFonts w:ascii="Times New Roman" w:hAnsi="Times New Roman" w:cs="Times New Roman"/>
          <w:sz w:val="22"/>
          <w:u w:val="single"/>
        </w:rPr>
        <w:t xml:space="preserve">PFS with </w:t>
      </w:r>
      <w:proofErr w:type="spellStart"/>
      <w:r w:rsidR="00B95491" w:rsidRPr="00B95491">
        <w:rPr>
          <w:rFonts w:ascii="Times New Roman" w:hAnsi="Times New Roman" w:cs="Times New Roman"/>
          <w:sz w:val="22"/>
          <w:u w:val="single"/>
        </w:rPr>
        <w:t>Ciptunec</w:t>
      </w:r>
      <w:proofErr w:type="spellEnd"/>
      <w:r w:rsidR="00B95491" w:rsidRPr="00B95491" w:rsidDel="00B95491">
        <w:rPr>
          <w:rFonts w:ascii="Times New Roman" w:hAnsi="Times New Roman" w:cs="Times New Roman"/>
          <w:sz w:val="22"/>
          <w:u w:val="single"/>
        </w:rPr>
        <w:t xml:space="preserve"> </w:t>
      </w:r>
      <w:r w:rsidRPr="00DD1F63">
        <w:rPr>
          <w:rFonts w:ascii="Times New Roman" w:hAnsi="Times New Roman" w:cs="Times New Roman"/>
          <w:sz w:val="22"/>
          <w:u w:val="single"/>
        </w:rPr>
        <w:t xml:space="preserve">AI </w:t>
      </w:r>
    </w:p>
    <w:p w14:paraId="693E55B2" w14:textId="77777777" w:rsidR="00E67BC9" w:rsidRPr="00DD1F63" w:rsidRDefault="00E67BC9" w:rsidP="00377A09">
      <w:pPr>
        <w:spacing w:after="0" w:line="240" w:lineRule="auto"/>
        <w:ind w:left="426"/>
        <w:jc w:val="left"/>
        <w:rPr>
          <w:rFonts w:ascii="Times New Roman" w:hAnsi="Times New Roman" w:cs="Times New Roman"/>
          <w:sz w:val="22"/>
        </w:rPr>
      </w:pPr>
    </w:p>
    <w:p w14:paraId="176A7884" w14:textId="7A0E948E" w:rsidR="00E67BC9" w:rsidRPr="00DD1F63" w:rsidRDefault="00A35997" w:rsidP="00377A09">
      <w:pPr>
        <w:spacing w:after="0" w:line="240" w:lineRule="auto"/>
        <w:ind w:left="426"/>
        <w:jc w:val="left"/>
        <w:rPr>
          <w:rFonts w:ascii="Times New Roman" w:hAnsi="Times New Roman" w:cs="Times New Roman"/>
          <w:sz w:val="22"/>
        </w:rPr>
      </w:pPr>
      <w:r w:rsidRPr="00A35997">
        <w:rPr>
          <w:rFonts w:ascii="Times New Roman" w:hAnsi="Times New Roman" w:cs="Times New Roman"/>
          <w:sz w:val="22"/>
          <w:lang w:val="en-US"/>
        </w:rPr>
        <w:t>As demonstrated</w:t>
      </w:r>
      <w:r w:rsidRPr="00A35997">
        <w:rPr>
          <w:rFonts w:ascii="Times New Roman" w:hAnsi="Times New Roman" w:cs="Times New Roman"/>
          <w:sz w:val="22"/>
        </w:rPr>
        <w:t xml:space="preserve"> </w:t>
      </w:r>
      <w:r>
        <w:rPr>
          <w:rFonts w:ascii="Times New Roman" w:hAnsi="Times New Roman" w:cs="Times New Roman"/>
          <w:sz w:val="22"/>
        </w:rPr>
        <w:t>i</w:t>
      </w:r>
      <w:r w:rsidR="002977FE" w:rsidRPr="00DD1F63">
        <w:rPr>
          <w:rFonts w:ascii="Times New Roman" w:hAnsi="Times New Roman" w:cs="Times New Roman"/>
          <w:sz w:val="22"/>
        </w:rPr>
        <w:t>n AVT02-GL-102 study</w:t>
      </w:r>
      <w:r w:rsidR="00CC3C5F" w:rsidRPr="00DD1F63">
        <w:rPr>
          <w:rFonts w:ascii="Times New Roman" w:hAnsi="Times New Roman" w:cs="Times New Roman"/>
          <w:sz w:val="22"/>
        </w:rPr>
        <w:t>,</w:t>
      </w:r>
      <w:r w:rsidR="002977FE"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00E67BC9" w:rsidRPr="00DD1F63">
        <w:rPr>
          <w:rFonts w:ascii="Times New Roman" w:hAnsi="Times New Roman" w:cs="Times New Roman"/>
          <w:sz w:val="22"/>
        </w:rPr>
        <w:t xml:space="preserve">PFS is pharmacokinetically </w:t>
      </w:r>
      <w:proofErr w:type="gramStart"/>
      <w:r w:rsidR="00E67BC9" w:rsidRPr="00DD1F63">
        <w:rPr>
          <w:rFonts w:ascii="Times New Roman" w:hAnsi="Times New Roman" w:cs="Times New Roman"/>
          <w:sz w:val="22"/>
        </w:rPr>
        <w:t>similar to</w:t>
      </w:r>
      <w:proofErr w:type="gramEnd"/>
      <w:r w:rsidR="00E67BC9" w:rsidRPr="00DD1F63">
        <w:rPr>
          <w:rFonts w:ascii="Times New Roman" w:hAnsi="Times New Roman" w:cs="Times New Roman"/>
          <w:sz w:val="22"/>
        </w:rPr>
        <w:t xml:space="preserve">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00E67BC9" w:rsidRPr="00DD1F63">
        <w:rPr>
          <w:rFonts w:ascii="Times New Roman" w:hAnsi="Times New Roman" w:cs="Times New Roman"/>
          <w:sz w:val="22"/>
        </w:rPr>
        <w:t xml:space="preserve">AI. PK similarity was demonstrated between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00E67BC9" w:rsidRPr="00DD1F63">
        <w:rPr>
          <w:rFonts w:ascii="Times New Roman" w:hAnsi="Times New Roman" w:cs="Times New Roman"/>
          <w:sz w:val="22"/>
        </w:rPr>
        <w:t xml:space="preserve">PFS and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00E67BC9" w:rsidRPr="00DD1F63">
        <w:rPr>
          <w:rFonts w:ascii="Times New Roman" w:hAnsi="Times New Roman" w:cs="Times New Roman"/>
          <w:sz w:val="22"/>
        </w:rPr>
        <w:t xml:space="preserve">AI following administration of a single 40 mg dose subcutaneously in 204 healthy adult subjects. PK parameters including maximum serum concentrations and area under the serum concentration time curves were compared. According to the bioequivalence testing, the 90% CI of the geometric least square mean test-to-reference ratios for these parameters fell within the protocol specified criteria of 0.80 to 1.25 and concluded PK similarity between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00E67BC9" w:rsidRPr="00DD1F63">
        <w:rPr>
          <w:rFonts w:ascii="Times New Roman" w:hAnsi="Times New Roman" w:cs="Times New Roman"/>
          <w:sz w:val="22"/>
        </w:rPr>
        <w:t xml:space="preserve">PFS and </w:t>
      </w:r>
      <w:proofErr w:type="spellStart"/>
      <w:r w:rsidR="00B95491" w:rsidRPr="00B95491">
        <w:rPr>
          <w:rFonts w:ascii="Times New Roman" w:hAnsi="Times New Roman" w:cs="Times New Roman"/>
          <w:sz w:val="22"/>
        </w:rPr>
        <w:t>Ciptunec</w:t>
      </w:r>
      <w:proofErr w:type="spellEnd"/>
      <w:r w:rsidR="00B95491" w:rsidRPr="00B95491" w:rsidDel="00B95491">
        <w:rPr>
          <w:rFonts w:ascii="Times New Roman" w:hAnsi="Times New Roman" w:cs="Times New Roman"/>
          <w:sz w:val="22"/>
        </w:rPr>
        <w:t xml:space="preserve"> </w:t>
      </w:r>
      <w:r w:rsidR="00E67BC9" w:rsidRPr="00DD1F63">
        <w:rPr>
          <w:rFonts w:ascii="Times New Roman" w:hAnsi="Times New Roman" w:cs="Times New Roman"/>
          <w:sz w:val="22"/>
        </w:rPr>
        <w:t>AI.</w:t>
      </w:r>
    </w:p>
    <w:p w14:paraId="6106924A" w14:textId="77777777" w:rsidR="005862E1" w:rsidRPr="00DD1F63" w:rsidRDefault="005862E1" w:rsidP="00377A09">
      <w:pPr>
        <w:spacing w:after="0" w:line="240" w:lineRule="auto"/>
        <w:ind w:left="426"/>
        <w:jc w:val="left"/>
        <w:rPr>
          <w:rFonts w:ascii="Times New Roman" w:hAnsi="Times New Roman" w:cs="Times New Roman"/>
          <w:sz w:val="22"/>
        </w:rPr>
      </w:pPr>
    </w:p>
    <w:p w14:paraId="4D78F357" w14:textId="2A59068F" w:rsidR="00E67BC9" w:rsidRPr="00DD1F63" w:rsidRDefault="00E67BC9" w:rsidP="00377A09">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AF7DA7" w:rsidRPr="00AF7DA7">
        <w:rPr>
          <w:rFonts w:ascii="Times New Roman" w:hAnsi="Times New Roman" w:cs="Times New Roman"/>
          <w:sz w:val="22"/>
          <w:u w:val="single"/>
        </w:rPr>
        <w:t>Ciptunec</w:t>
      </w:r>
      <w:proofErr w:type="spellEnd"/>
      <w:r w:rsidR="00AF7DA7" w:rsidRPr="00AF7DA7" w:rsidDel="00AF7DA7">
        <w:rPr>
          <w:rFonts w:ascii="Times New Roman" w:hAnsi="Times New Roman" w:cs="Times New Roman"/>
          <w:sz w:val="22"/>
          <w:u w:val="single"/>
        </w:rPr>
        <w:t xml:space="preserve"> </w:t>
      </w:r>
      <w:r w:rsidRPr="00DD1F63">
        <w:rPr>
          <w:rFonts w:ascii="Times New Roman" w:hAnsi="Times New Roman" w:cs="Times New Roman"/>
          <w:sz w:val="22"/>
          <w:u w:val="single"/>
        </w:rPr>
        <w:t>with Humira</w:t>
      </w:r>
      <w:r w:rsidRPr="00DD1F63">
        <w:rPr>
          <w:rFonts w:ascii="Times New Roman" w:hAnsi="Times New Roman" w:cs="Times New Roman"/>
          <w:sz w:val="22"/>
          <w:u w:val="single"/>
          <w:vertAlign w:val="superscript"/>
        </w:rPr>
        <w:t>®</w:t>
      </w:r>
      <w:r w:rsidRPr="00DD1F63">
        <w:rPr>
          <w:rFonts w:ascii="Times New Roman" w:hAnsi="Times New Roman" w:cs="Times New Roman"/>
          <w:sz w:val="22"/>
          <w:u w:val="single"/>
        </w:rPr>
        <w:t xml:space="preserve"> - Pharmacokinetic Properties</w:t>
      </w:r>
    </w:p>
    <w:p w14:paraId="3716AEC7" w14:textId="77777777" w:rsidR="00E67BC9" w:rsidRPr="00DD1F63" w:rsidRDefault="00E67BC9" w:rsidP="00377A09">
      <w:pPr>
        <w:spacing w:after="0" w:line="240" w:lineRule="auto"/>
        <w:ind w:left="426"/>
        <w:jc w:val="left"/>
        <w:rPr>
          <w:rFonts w:ascii="Times New Roman" w:hAnsi="Times New Roman" w:cs="Times New Roman"/>
          <w:sz w:val="22"/>
        </w:rPr>
      </w:pPr>
    </w:p>
    <w:p w14:paraId="7C3BD730" w14:textId="3F24B06C" w:rsidR="00E67BC9" w:rsidRPr="00DD1F63" w:rsidRDefault="00E67BC9" w:rsidP="00377A09">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pharmacokinetic profiles of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were comparable in a randomised, double-blind, three-arm, parallel group clinical Phase I study in healthy subjects following a single SC </w:t>
      </w:r>
      <w:r w:rsidRPr="00DD1F63">
        <w:rPr>
          <w:rFonts w:ascii="Times New Roman" w:hAnsi="Times New Roman" w:cs="Times New Roman"/>
          <w:sz w:val="22"/>
        </w:rPr>
        <w:lastRenderedPageBreak/>
        <w:t xml:space="preserve">injection of either </w:t>
      </w:r>
      <w:proofErr w:type="spellStart"/>
      <w:r w:rsidR="00AF7DA7" w:rsidRPr="00AF7DA7">
        <w:rPr>
          <w:rFonts w:ascii="Times New Roman" w:hAnsi="Times New Roman" w:cs="Times New Roman"/>
          <w:sz w:val="22"/>
        </w:rPr>
        <w:t>Ciptunec</w:t>
      </w:r>
      <w:proofErr w:type="spellEnd"/>
      <w:r w:rsidRPr="00DD1F63">
        <w:rPr>
          <w:rFonts w:ascii="Times New Roman" w:hAnsi="Times New Roman" w:cs="Times New Roman"/>
          <w:sz w:val="22"/>
        </w:rPr>
        <w:t>, EU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or US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(40 mg) (Study </w:t>
      </w:r>
      <w:bookmarkStart w:id="6" w:name="_Hlk77864925"/>
      <w:r w:rsidRPr="00DD1F63">
        <w:rPr>
          <w:rFonts w:ascii="Times New Roman" w:hAnsi="Times New Roman" w:cs="Times New Roman"/>
          <w:sz w:val="22"/>
        </w:rPr>
        <w:t>AVT02-GL-101</w:t>
      </w:r>
      <w:bookmarkEnd w:id="6"/>
      <w:r w:rsidRPr="00DD1F63">
        <w:rPr>
          <w:rFonts w:ascii="Times New Roman" w:hAnsi="Times New Roman" w:cs="Times New Roman"/>
          <w:sz w:val="22"/>
        </w:rPr>
        <w:t>). The PK parameters, AUC</w:t>
      </w:r>
      <w:r w:rsidRPr="00DD1F63">
        <w:rPr>
          <w:rFonts w:ascii="Times New Roman" w:hAnsi="Times New Roman" w:cs="Times New Roman"/>
          <w:sz w:val="22"/>
          <w:vertAlign w:val="subscript"/>
        </w:rPr>
        <w:t>0-t</w:t>
      </w:r>
      <w:r w:rsidRPr="00DD1F63">
        <w:rPr>
          <w:rFonts w:ascii="Times New Roman" w:hAnsi="Times New Roman" w:cs="Times New Roman"/>
          <w:sz w:val="22"/>
        </w:rPr>
        <w:t>, AUC</w:t>
      </w:r>
      <w:r w:rsidRPr="00DD1F63">
        <w:rPr>
          <w:rFonts w:ascii="Times New Roman" w:hAnsi="Times New Roman" w:cs="Times New Roman"/>
          <w:sz w:val="22"/>
          <w:vertAlign w:val="subscript"/>
        </w:rPr>
        <w:t>0-inf</w:t>
      </w:r>
      <w:r w:rsidRPr="00DD1F63">
        <w:rPr>
          <w:rFonts w:ascii="Times New Roman" w:hAnsi="Times New Roman" w:cs="Times New Roman"/>
          <w:sz w:val="22"/>
        </w:rPr>
        <w:t xml:space="preserve"> and </w:t>
      </w:r>
      <w:proofErr w:type="spellStart"/>
      <w:r w:rsidRPr="00DD1F63">
        <w:rPr>
          <w:rFonts w:ascii="Times New Roman" w:hAnsi="Times New Roman" w:cs="Times New Roman"/>
          <w:sz w:val="22"/>
        </w:rPr>
        <w:t>C</w:t>
      </w:r>
      <w:r w:rsidRPr="00DD1F63">
        <w:rPr>
          <w:rFonts w:ascii="Times New Roman" w:hAnsi="Times New Roman" w:cs="Times New Roman"/>
          <w:sz w:val="22"/>
          <w:vertAlign w:val="subscript"/>
        </w:rPr>
        <w:t>max</w:t>
      </w:r>
      <w:proofErr w:type="spellEnd"/>
      <w:r w:rsidRPr="00DD1F63">
        <w:rPr>
          <w:rFonts w:ascii="Times New Roman" w:hAnsi="Times New Roman" w:cs="Times New Roman"/>
          <w:sz w:val="22"/>
        </w:rPr>
        <w:t xml:space="preserve">, were compared between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The summary of the pharmacokinetic profiles of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in healthy volunteers are listed in Table </w:t>
      </w:r>
      <w:r w:rsidR="00BA33C2" w:rsidRPr="00DD1F63">
        <w:rPr>
          <w:rFonts w:ascii="Times New Roman" w:hAnsi="Times New Roman" w:cs="Times New Roman"/>
          <w:sz w:val="22"/>
        </w:rPr>
        <w:t>34</w:t>
      </w:r>
      <w:r w:rsidRPr="00DD1F63">
        <w:rPr>
          <w:rFonts w:ascii="Times New Roman" w:hAnsi="Times New Roman" w:cs="Times New Roman"/>
          <w:sz w:val="22"/>
        </w:rPr>
        <w:t xml:space="preserve">. </w:t>
      </w:r>
    </w:p>
    <w:p w14:paraId="1EBB56E8" w14:textId="77777777" w:rsidR="00E67BC9" w:rsidRPr="00DD1F63" w:rsidRDefault="00E67BC9" w:rsidP="00377A09">
      <w:pPr>
        <w:spacing w:after="0" w:line="240" w:lineRule="auto"/>
        <w:ind w:left="426"/>
        <w:jc w:val="left"/>
        <w:rPr>
          <w:rFonts w:ascii="Times New Roman" w:hAnsi="Times New Roman" w:cs="Times New Roman"/>
          <w:sz w:val="22"/>
        </w:rPr>
      </w:pPr>
    </w:p>
    <w:p w14:paraId="1401CF89" w14:textId="5FD36A53" w:rsidR="00E67BC9" w:rsidRPr="00DD1F63" w:rsidRDefault="00E67BC9" w:rsidP="00377A09">
      <w:pPr>
        <w:keepNext/>
        <w:spacing w:after="0" w:line="240" w:lineRule="auto"/>
        <w:ind w:left="425" w:hanging="11"/>
        <w:jc w:val="left"/>
        <w:rPr>
          <w:rFonts w:ascii="Times New Roman" w:hAnsi="Times New Roman" w:cs="Times New Roman"/>
          <w:sz w:val="22"/>
        </w:rPr>
      </w:pPr>
      <w:r w:rsidRPr="00DD1F63">
        <w:rPr>
          <w:rFonts w:ascii="Times New Roman" w:hAnsi="Times New Roman" w:cs="Times New Roman"/>
          <w:b/>
          <w:bCs/>
          <w:sz w:val="22"/>
        </w:rPr>
        <w:t xml:space="preserve">Table </w:t>
      </w:r>
      <w:r w:rsidR="00BA33C2" w:rsidRPr="00DD1F63">
        <w:rPr>
          <w:rFonts w:ascii="Times New Roman" w:hAnsi="Times New Roman" w:cs="Times New Roman"/>
          <w:b/>
          <w:bCs/>
          <w:sz w:val="22"/>
        </w:rPr>
        <w:t>34</w:t>
      </w:r>
      <w:r w:rsidRPr="00DD1F63">
        <w:rPr>
          <w:rFonts w:ascii="Times New Roman" w:hAnsi="Times New Roman" w:cs="Times New Roman"/>
          <w:b/>
          <w:bCs/>
          <w:sz w:val="22"/>
        </w:rPr>
        <w:t>:</w:t>
      </w:r>
      <w:r w:rsidRPr="00DD1F63">
        <w:rPr>
          <w:rFonts w:ascii="Times New Roman" w:hAnsi="Times New Roman" w:cs="Times New Roman"/>
          <w:sz w:val="22"/>
        </w:rPr>
        <w:t xml:space="preserve"> </w:t>
      </w:r>
      <w:r w:rsidRPr="00C44907">
        <w:rPr>
          <w:rFonts w:ascii="Times New Roman" w:hAnsi="Times New Roman" w:cs="Times New Roman"/>
          <w:b/>
          <w:bCs/>
          <w:sz w:val="22"/>
        </w:rPr>
        <w:t>Statistical Comparison of PK Parameters (</w:t>
      </w:r>
      <w:proofErr w:type="spellStart"/>
      <w:r w:rsidR="00AF7DA7" w:rsidRPr="00C44907">
        <w:rPr>
          <w:rFonts w:ascii="Times New Roman" w:hAnsi="Times New Roman" w:cs="Times New Roman"/>
          <w:b/>
          <w:bCs/>
          <w:sz w:val="22"/>
        </w:rPr>
        <w:t>Ciptunec</w:t>
      </w:r>
      <w:proofErr w:type="spellEnd"/>
      <w:r w:rsidR="00AF7DA7" w:rsidRPr="00C44907" w:rsidDel="00AF7DA7">
        <w:rPr>
          <w:rFonts w:ascii="Times New Roman" w:hAnsi="Times New Roman" w:cs="Times New Roman"/>
          <w:b/>
          <w:bCs/>
          <w:sz w:val="22"/>
        </w:rPr>
        <w:t xml:space="preserve"> </w:t>
      </w:r>
      <w:r w:rsidRPr="00C44907">
        <w:rPr>
          <w:rFonts w:ascii="Times New Roman" w:hAnsi="Times New Roman" w:cs="Times New Roman"/>
          <w:b/>
          <w:bCs/>
          <w:sz w:val="22"/>
        </w:rPr>
        <w:t>vs. EU Humira</w:t>
      </w:r>
      <w:r w:rsidRPr="00C44907">
        <w:rPr>
          <w:rFonts w:ascii="Times New Roman" w:hAnsi="Times New Roman" w:cs="Times New Roman"/>
          <w:b/>
          <w:bCs/>
          <w:sz w:val="22"/>
          <w:vertAlign w:val="superscript"/>
        </w:rPr>
        <w:t>®</w:t>
      </w:r>
      <w:r w:rsidRPr="00C44907">
        <w:rPr>
          <w:rFonts w:ascii="Times New Roman" w:hAnsi="Times New Roman" w:cs="Times New Roman"/>
          <w:b/>
          <w:bCs/>
          <w:sz w:val="22"/>
        </w:rPr>
        <w:t xml:space="preserve"> or US Humira</w:t>
      </w:r>
      <w:r w:rsidRPr="00C44907">
        <w:rPr>
          <w:rFonts w:ascii="Times New Roman" w:hAnsi="Times New Roman" w:cs="Times New Roman"/>
          <w:b/>
          <w:bCs/>
          <w:sz w:val="22"/>
          <w:vertAlign w:val="superscript"/>
        </w:rPr>
        <w:t>®</w:t>
      </w:r>
      <w:r w:rsidRPr="00C44907">
        <w:rPr>
          <w:rFonts w:ascii="Times New Roman" w:hAnsi="Times New Roman" w:cs="Times New Roman"/>
          <w:b/>
          <w:bCs/>
          <w:sz w:val="22"/>
        </w:rPr>
        <w:t>) (Study AVT02-GL-101)</w:t>
      </w:r>
    </w:p>
    <w:p w14:paraId="248378AA" w14:textId="77777777" w:rsidR="00E67BC9" w:rsidRPr="00DD1F63" w:rsidRDefault="00E67BC9" w:rsidP="00377A09">
      <w:pPr>
        <w:keepNext/>
        <w:spacing w:after="0" w:line="240" w:lineRule="auto"/>
        <w:jc w:val="left"/>
        <w:rPr>
          <w:rFonts w:ascii="Times New Roman" w:hAnsi="Times New Roman" w:cs="Times New Roman"/>
          <w:sz w:val="22"/>
        </w:rPr>
      </w:pPr>
    </w:p>
    <w:tbl>
      <w:tblPr>
        <w:tblStyle w:val="TableGrid0"/>
        <w:tblW w:w="900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03"/>
        <w:gridCol w:w="2268"/>
        <w:gridCol w:w="2479"/>
      </w:tblGrid>
      <w:tr w:rsidR="00E67BC9" w:rsidRPr="00DD1F63" w14:paraId="573C2704" w14:textId="77777777" w:rsidTr="0026653F">
        <w:trPr>
          <w:trHeight w:val="413"/>
        </w:trPr>
        <w:tc>
          <w:tcPr>
            <w:tcW w:w="22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B8C695" w14:textId="77777777" w:rsidR="00E67BC9" w:rsidRPr="00DD1F63" w:rsidRDefault="00E67BC9" w:rsidP="00377A09">
            <w:pPr>
              <w:pStyle w:val="TableColumnHeading"/>
              <w:keepNext w:val="0"/>
              <w:spacing w:before="0" w:after="0"/>
              <w:rPr>
                <w:sz w:val="22"/>
                <w:szCs w:val="22"/>
              </w:rPr>
            </w:pPr>
            <w:r w:rsidRPr="00DD1F63">
              <w:rPr>
                <w:sz w:val="22"/>
                <w:szCs w:val="22"/>
              </w:rPr>
              <w:t>Parameter</w:t>
            </w:r>
            <w:r w:rsidRPr="00DD1F63">
              <w:rPr>
                <w:sz w:val="22"/>
                <w:szCs w:val="22"/>
              </w:rPr>
              <w:br/>
              <w:t>(unit)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71E24" w14:textId="77777777" w:rsidR="00E67BC9" w:rsidRPr="00DD1F63" w:rsidRDefault="00E67BC9" w:rsidP="00377A09">
            <w:pPr>
              <w:pStyle w:val="TableColumnHeading"/>
              <w:keepNext w:val="0"/>
              <w:spacing w:before="0" w:after="0"/>
              <w:rPr>
                <w:sz w:val="22"/>
                <w:szCs w:val="22"/>
                <w:vertAlign w:val="superscript"/>
              </w:rPr>
            </w:pPr>
            <w:r w:rsidRPr="00DD1F63">
              <w:rPr>
                <w:color w:val="000000"/>
                <w:sz w:val="22"/>
                <w:szCs w:val="22"/>
              </w:rPr>
              <w:t>Combined GM Ratio</w:t>
            </w:r>
            <w:r w:rsidRPr="00DD1F63">
              <w:rPr>
                <w:color w:val="000000"/>
                <w:sz w:val="22"/>
                <w:szCs w:val="22"/>
                <w:vertAlign w:val="superscript"/>
              </w:rPr>
              <w:t xml:space="preserve"> </w:t>
            </w:r>
            <w:r w:rsidRPr="00DD1F63">
              <w:rPr>
                <w:color w:val="000000"/>
                <w:sz w:val="22"/>
                <w:szCs w:val="22"/>
              </w:rPr>
              <w:t xml:space="preserve">(90% </w:t>
            </w:r>
            <w:proofErr w:type="gramStart"/>
            <w:r w:rsidRPr="00DD1F63">
              <w:rPr>
                <w:color w:val="000000"/>
                <w:sz w:val="22"/>
                <w:szCs w:val="22"/>
              </w:rPr>
              <w:t>CI)*</w:t>
            </w:r>
            <w:proofErr w:type="gramEnd"/>
          </w:p>
        </w:tc>
      </w:tr>
      <w:tr w:rsidR="00E67BC9" w:rsidRPr="00DD1F63" w14:paraId="791007F1"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25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9B1996C" w14:textId="77777777" w:rsidR="00E67BC9" w:rsidRPr="00DD1F63" w:rsidRDefault="00E67BC9" w:rsidP="00377A09">
            <w:pPr>
              <w:pStyle w:val="TableColumnHeading"/>
              <w:keepNext w:val="0"/>
              <w:spacing w:before="0" w:after="0"/>
              <w:rPr>
                <w:sz w:val="22"/>
                <w:szCs w:val="22"/>
              </w:rPr>
            </w:pP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79D52" w14:textId="798ED5A5" w:rsidR="00E67BC9" w:rsidRPr="00DD1F63" w:rsidRDefault="00AF7DA7" w:rsidP="00377A09">
            <w:pPr>
              <w:pStyle w:val="TableColumnHeading"/>
              <w:keepNext w:val="0"/>
              <w:spacing w:before="0" w:after="0"/>
              <w:rPr>
                <w:color w:val="000000"/>
                <w:sz w:val="22"/>
                <w:szCs w:val="22"/>
              </w:rPr>
            </w:pPr>
            <w:proofErr w:type="spellStart"/>
            <w:r w:rsidRPr="00AF7DA7">
              <w:rPr>
                <w:color w:val="000000"/>
                <w:sz w:val="22"/>
                <w:szCs w:val="22"/>
                <w:lang w:val="en-IN"/>
              </w:rPr>
              <w:t>Ciptunec</w:t>
            </w:r>
            <w:proofErr w:type="spellEnd"/>
            <w:r w:rsidR="00E67BC9" w:rsidRPr="00DD1F63">
              <w:rPr>
                <w:color w:val="000000"/>
                <w:sz w:val="22"/>
                <w:szCs w:val="22"/>
              </w:rPr>
              <w:t>, /EU-Humira</w:t>
            </w:r>
            <w:r w:rsidR="00E67BC9" w:rsidRPr="00DD1F63">
              <w:rPr>
                <w:sz w:val="22"/>
                <w:szCs w:val="22"/>
                <w:vertAlign w:val="superscript"/>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B51DE" w14:textId="42B9CA74" w:rsidR="00E67BC9" w:rsidRPr="00DD1F63" w:rsidRDefault="00AF7DA7" w:rsidP="00377A09">
            <w:pPr>
              <w:pStyle w:val="TableColumnHeading"/>
              <w:keepNext w:val="0"/>
              <w:spacing w:before="0" w:after="0"/>
              <w:rPr>
                <w:color w:val="000000"/>
                <w:sz w:val="22"/>
                <w:szCs w:val="22"/>
              </w:rPr>
            </w:pPr>
            <w:proofErr w:type="spellStart"/>
            <w:r w:rsidRPr="00AF7DA7">
              <w:rPr>
                <w:color w:val="000000"/>
                <w:sz w:val="22"/>
                <w:szCs w:val="22"/>
                <w:lang w:val="en-IN"/>
              </w:rPr>
              <w:t>Ciptunec</w:t>
            </w:r>
            <w:proofErr w:type="spellEnd"/>
            <w:r w:rsidR="00E67BC9" w:rsidRPr="00DD1F63">
              <w:rPr>
                <w:color w:val="000000"/>
                <w:sz w:val="22"/>
                <w:szCs w:val="22"/>
              </w:rPr>
              <w:t>, /US-Humira</w:t>
            </w:r>
            <w:r w:rsidR="00E67BC9" w:rsidRPr="00DD1F63">
              <w:rPr>
                <w:sz w:val="22"/>
                <w:szCs w:val="22"/>
                <w:vertAlign w:val="superscript"/>
              </w:rPr>
              <w:t>®</w:t>
            </w:r>
          </w:p>
        </w:tc>
        <w:tc>
          <w:tcPr>
            <w:tcW w:w="2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08DE2" w14:textId="77777777" w:rsidR="00E67BC9" w:rsidRPr="00DD1F63" w:rsidRDefault="00E67BC9" w:rsidP="00377A09">
            <w:pPr>
              <w:pStyle w:val="TableColumnHeading"/>
              <w:keepNext w:val="0"/>
              <w:spacing w:before="0" w:after="0"/>
              <w:rPr>
                <w:color w:val="000000"/>
                <w:sz w:val="22"/>
                <w:szCs w:val="22"/>
              </w:rPr>
            </w:pPr>
            <w:r w:rsidRPr="00DD1F63">
              <w:rPr>
                <w:color w:val="000000"/>
                <w:sz w:val="22"/>
                <w:szCs w:val="22"/>
              </w:rPr>
              <w:t>EU-Humira</w:t>
            </w:r>
            <w:r w:rsidRPr="00DD1F63">
              <w:rPr>
                <w:sz w:val="22"/>
                <w:szCs w:val="22"/>
                <w:vertAlign w:val="superscript"/>
              </w:rPr>
              <w:t>®</w:t>
            </w:r>
            <w:r w:rsidRPr="00DD1F63">
              <w:rPr>
                <w:color w:val="000000"/>
                <w:sz w:val="22"/>
                <w:szCs w:val="22"/>
              </w:rPr>
              <w:t>/US-Humira</w:t>
            </w:r>
            <w:r w:rsidRPr="00DD1F63">
              <w:rPr>
                <w:sz w:val="22"/>
                <w:szCs w:val="22"/>
                <w:vertAlign w:val="superscript"/>
              </w:rPr>
              <w:t>®</w:t>
            </w:r>
          </w:p>
        </w:tc>
      </w:tr>
      <w:tr w:rsidR="00E67BC9" w:rsidRPr="00DD1F63" w14:paraId="5F11F67D"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250" w:type="dxa"/>
            <w:tcBorders>
              <w:top w:val="single" w:sz="4" w:space="0" w:color="auto"/>
              <w:left w:val="single" w:sz="4" w:space="0" w:color="auto"/>
              <w:bottom w:val="single" w:sz="4" w:space="0" w:color="auto"/>
              <w:right w:val="single" w:sz="4" w:space="0" w:color="auto"/>
            </w:tcBorders>
            <w:vAlign w:val="center"/>
          </w:tcPr>
          <w:p w14:paraId="770D9784" w14:textId="77777777" w:rsidR="00E67BC9" w:rsidRPr="00DD1F63" w:rsidRDefault="00E67BC9" w:rsidP="00377A09">
            <w:pPr>
              <w:pStyle w:val="TableText"/>
              <w:keepNext w:val="0"/>
              <w:spacing w:before="0" w:after="0"/>
              <w:rPr>
                <w:sz w:val="22"/>
                <w:szCs w:val="22"/>
              </w:rPr>
            </w:pPr>
            <w:proofErr w:type="spellStart"/>
            <w:r w:rsidRPr="00DD1F63">
              <w:rPr>
                <w:sz w:val="22"/>
                <w:szCs w:val="22"/>
              </w:rPr>
              <w:t>C</w:t>
            </w:r>
            <w:r w:rsidRPr="00DD1F63">
              <w:rPr>
                <w:sz w:val="22"/>
                <w:szCs w:val="22"/>
                <w:vertAlign w:val="subscript"/>
              </w:rPr>
              <w:t>max</w:t>
            </w:r>
            <w:proofErr w:type="spellEnd"/>
            <w:r w:rsidRPr="00DD1F63">
              <w:rPr>
                <w:sz w:val="22"/>
                <w:szCs w:val="22"/>
                <w:vertAlign w:val="subscript"/>
              </w:rPr>
              <w:br/>
            </w:r>
            <w:r w:rsidRPr="00DD1F63">
              <w:rPr>
                <w:sz w:val="22"/>
                <w:szCs w:val="22"/>
              </w:rPr>
              <w:t>(ng/mL)</w:t>
            </w:r>
          </w:p>
        </w:tc>
        <w:tc>
          <w:tcPr>
            <w:tcW w:w="2003" w:type="dxa"/>
            <w:tcBorders>
              <w:top w:val="single" w:sz="4" w:space="0" w:color="auto"/>
              <w:left w:val="single" w:sz="4" w:space="0" w:color="auto"/>
              <w:bottom w:val="single" w:sz="4" w:space="0" w:color="auto"/>
              <w:right w:val="single" w:sz="4" w:space="0" w:color="auto"/>
            </w:tcBorders>
            <w:vAlign w:val="center"/>
          </w:tcPr>
          <w:p w14:paraId="5F7AA39A"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1.0500</w:t>
            </w:r>
            <w:r w:rsidRPr="00DD1F63">
              <w:rPr>
                <w:color w:val="000000"/>
                <w:sz w:val="22"/>
                <w:szCs w:val="22"/>
              </w:rPr>
              <w:br/>
              <w:t>(0.96, 1.13)</w:t>
            </w:r>
          </w:p>
        </w:tc>
        <w:tc>
          <w:tcPr>
            <w:tcW w:w="2268" w:type="dxa"/>
            <w:tcBorders>
              <w:top w:val="single" w:sz="4" w:space="0" w:color="auto"/>
              <w:left w:val="single" w:sz="4" w:space="0" w:color="auto"/>
              <w:bottom w:val="single" w:sz="4" w:space="0" w:color="auto"/>
              <w:right w:val="single" w:sz="4" w:space="0" w:color="auto"/>
            </w:tcBorders>
            <w:vAlign w:val="center"/>
          </w:tcPr>
          <w:p w14:paraId="7EE34680"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1.0100</w:t>
            </w:r>
            <w:r w:rsidRPr="00DD1F63">
              <w:rPr>
                <w:color w:val="000000"/>
                <w:sz w:val="22"/>
                <w:szCs w:val="22"/>
              </w:rPr>
              <w:br/>
              <w:t>(0.93, 1.09)</w:t>
            </w:r>
          </w:p>
        </w:tc>
        <w:tc>
          <w:tcPr>
            <w:tcW w:w="2479" w:type="dxa"/>
            <w:tcBorders>
              <w:top w:val="single" w:sz="4" w:space="0" w:color="auto"/>
              <w:left w:val="single" w:sz="4" w:space="0" w:color="auto"/>
              <w:bottom w:val="single" w:sz="4" w:space="0" w:color="auto"/>
              <w:right w:val="single" w:sz="4" w:space="0" w:color="auto"/>
            </w:tcBorders>
            <w:vAlign w:val="center"/>
          </w:tcPr>
          <w:p w14:paraId="70148A7E"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0.9650</w:t>
            </w:r>
            <w:r w:rsidRPr="00DD1F63">
              <w:rPr>
                <w:color w:val="000000"/>
                <w:sz w:val="22"/>
                <w:szCs w:val="22"/>
              </w:rPr>
              <w:br/>
              <w:t>(0.89, 1.05)</w:t>
            </w:r>
          </w:p>
        </w:tc>
      </w:tr>
      <w:tr w:rsidR="00E67BC9" w:rsidRPr="00DD1F63" w14:paraId="689B07A8"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250" w:type="dxa"/>
            <w:tcBorders>
              <w:top w:val="single" w:sz="4" w:space="0" w:color="auto"/>
              <w:left w:val="single" w:sz="4" w:space="0" w:color="auto"/>
              <w:bottom w:val="single" w:sz="4" w:space="0" w:color="auto"/>
              <w:right w:val="single" w:sz="4" w:space="0" w:color="auto"/>
            </w:tcBorders>
            <w:vAlign w:val="center"/>
          </w:tcPr>
          <w:p w14:paraId="4F29F6D8" w14:textId="5B1A27C8" w:rsidR="00E67BC9" w:rsidRPr="00DD1F63" w:rsidRDefault="00E67BC9" w:rsidP="00377A09">
            <w:pPr>
              <w:pStyle w:val="TableText"/>
              <w:keepNext w:val="0"/>
              <w:spacing w:before="0" w:after="0"/>
              <w:rPr>
                <w:sz w:val="22"/>
                <w:szCs w:val="22"/>
              </w:rPr>
            </w:pPr>
            <w:bookmarkStart w:id="7" w:name="_Hlk77865259"/>
            <w:r w:rsidRPr="00DD1F63">
              <w:rPr>
                <w:sz w:val="22"/>
                <w:szCs w:val="22"/>
              </w:rPr>
              <w:t>AUC</w:t>
            </w:r>
            <w:r w:rsidRPr="00DD1F63">
              <w:rPr>
                <w:sz w:val="22"/>
                <w:szCs w:val="22"/>
                <w:vertAlign w:val="subscript"/>
              </w:rPr>
              <w:t>0-t</w:t>
            </w:r>
            <w:bookmarkEnd w:id="7"/>
            <w:r w:rsidRPr="00DD1F63">
              <w:rPr>
                <w:sz w:val="22"/>
                <w:szCs w:val="22"/>
                <w:vertAlign w:val="subscript"/>
              </w:rPr>
              <w:br/>
            </w:r>
            <w:r w:rsidRPr="00DD1F63">
              <w:rPr>
                <w:sz w:val="22"/>
                <w:szCs w:val="22"/>
              </w:rPr>
              <w:t>(</w:t>
            </w:r>
            <w:proofErr w:type="spellStart"/>
            <w:r w:rsidRPr="00DD1F63">
              <w:rPr>
                <w:sz w:val="22"/>
                <w:szCs w:val="22"/>
              </w:rPr>
              <w:t>ng·h</w:t>
            </w:r>
            <w:proofErr w:type="spellEnd"/>
            <w:r w:rsidRPr="00DD1F63">
              <w:rPr>
                <w:sz w:val="22"/>
                <w:szCs w:val="22"/>
              </w:rPr>
              <w:t>/mL)</w:t>
            </w:r>
          </w:p>
        </w:tc>
        <w:tc>
          <w:tcPr>
            <w:tcW w:w="2003" w:type="dxa"/>
            <w:tcBorders>
              <w:top w:val="single" w:sz="4" w:space="0" w:color="auto"/>
              <w:left w:val="single" w:sz="4" w:space="0" w:color="auto"/>
              <w:bottom w:val="single" w:sz="4" w:space="0" w:color="auto"/>
              <w:right w:val="single" w:sz="4" w:space="0" w:color="auto"/>
            </w:tcBorders>
            <w:vAlign w:val="center"/>
          </w:tcPr>
          <w:p w14:paraId="17EFA9B8"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1.1000</w:t>
            </w:r>
            <w:r w:rsidRPr="00DD1F63">
              <w:rPr>
                <w:color w:val="000000"/>
                <w:sz w:val="22"/>
                <w:szCs w:val="22"/>
              </w:rPr>
              <w:br/>
              <w:t>(1.00, 1.23)</w:t>
            </w:r>
          </w:p>
        </w:tc>
        <w:tc>
          <w:tcPr>
            <w:tcW w:w="2268" w:type="dxa"/>
            <w:tcBorders>
              <w:top w:val="single" w:sz="4" w:space="0" w:color="auto"/>
              <w:left w:val="single" w:sz="4" w:space="0" w:color="auto"/>
              <w:bottom w:val="single" w:sz="4" w:space="0" w:color="auto"/>
              <w:right w:val="single" w:sz="4" w:space="0" w:color="auto"/>
            </w:tcBorders>
            <w:vAlign w:val="center"/>
          </w:tcPr>
          <w:p w14:paraId="604EA4E0"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1.0300</w:t>
            </w:r>
            <w:r w:rsidRPr="00DD1F63">
              <w:rPr>
                <w:color w:val="000000"/>
                <w:sz w:val="22"/>
                <w:szCs w:val="22"/>
              </w:rPr>
              <w:br/>
              <w:t>(0.93, 1.15)</w:t>
            </w:r>
          </w:p>
        </w:tc>
        <w:tc>
          <w:tcPr>
            <w:tcW w:w="2479" w:type="dxa"/>
            <w:tcBorders>
              <w:top w:val="single" w:sz="4" w:space="0" w:color="auto"/>
              <w:left w:val="single" w:sz="4" w:space="0" w:color="auto"/>
              <w:bottom w:val="single" w:sz="4" w:space="0" w:color="auto"/>
              <w:right w:val="single" w:sz="4" w:space="0" w:color="auto"/>
            </w:tcBorders>
            <w:vAlign w:val="center"/>
          </w:tcPr>
          <w:p w14:paraId="44180595"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0.9350</w:t>
            </w:r>
            <w:r w:rsidRPr="00DD1F63">
              <w:rPr>
                <w:color w:val="000000"/>
                <w:sz w:val="22"/>
                <w:szCs w:val="22"/>
              </w:rPr>
              <w:br/>
              <w:t>(0.84, 1.04)</w:t>
            </w:r>
          </w:p>
        </w:tc>
      </w:tr>
      <w:tr w:rsidR="00E67BC9" w:rsidRPr="00DD1F63" w14:paraId="1AFE71C0"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250" w:type="dxa"/>
            <w:tcBorders>
              <w:top w:val="single" w:sz="4" w:space="0" w:color="auto"/>
              <w:left w:val="single" w:sz="4" w:space="0" w:color="auto"/>
              <w:bottom w:val="single" w:sz="4" w:space="0" w:color="auto"/>
              <w:right w:val="single" w:sz="4" w:space="0" w:color="auto"/>
            </w:tcBorders>
            <w:vAlign w:val="center"/>
          </w:tcPr>
          <w:p w14:paraId="1E81B2C4" w14:textId="77777777" w:rsidR="00E67BC9" w:rsidRPr="00DD1F63" w:rsidRDefault="00E67BC9" w:rsidP="00377A09">
            <w:pPr>
              <w:pStyle w:val="TableText"/>
              <w:keepNext w:val="0"/>
              <w:spacing w:before="0" w:after="0"/>
              <w:rPr>
                <w:sz w:val="22"/>
                <w:szCs w:val="22"/>
                <w:lang w:val="de-DE"/>
              </w:rPr>
            </w:pPr>
            <w:r w:rsidRPr="00DD1F63">
              <w:rPr>
                <w:sz w:val="22"/>
                <w:szCs w:val="22"/>
                <w:lang w:val="de-DE"/>
              </w:rPr>
              <w:t>AUC</w:t>
            </w:r>
            <w:r w:rsidRPr="00DD1F63">
              <w:rPr>
                <w:sz w:val="22"/>
                <w:szCs w:val="22"/>
                <w:vertAlign w:val="subscript"/>
                <w:lang w:val="de-DE"/>
              </w:rPr>
              <w:t>0-inf</w:t>
            </w:r>
            <w:r w:rsidRPr="00DD1F63">
              <w:rPr>
                <w:sz w:val="22"/>
                <w:szCs w:val="22"/>
                <w:vertAlign w:val="subscript"/>
                <w:lang w:val="de-DE"/>
              </w:rPr>
              <w:br/>
            </w:r>
            <w:r w:rsidRPr="00DD1F63">
              <w:rPr>
                <w:sz w:val="22"/>
                <w:szCs w:val="22"/>
                <w:lang w:val="de-DE"/>
              </w:rPr>
              <w:t>(ng·h/mL)</w:t>
            </w:r>
          </w:p>
        </w:tc>
        <w:tc>
          <w:tcPr>
            <w:tcW w:w="2003" w:type="dxa"/>
            <w:tcBorders>
              <w:top w:val="single" w:sz="4" w:space="0" w:color="auto"/>
              <w:left w:val="single" w:sz="4" w:space="0" w:color="auto"/>
              <w:bottom w:val="single" w:sz="4" w:space="0" w:color="auto"/>
              <w:right w:val="single" w:sz="4" w:space="0" w:color="auto"/>
            </w:tcBorders>
            <w:vAlign w:val="center"/>
          </w:tcPr>
          <w:p w14:paraId="70B3D0E8"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1.1098</w:t>
            </w:r>
            <w:r w:rsidRPr="00DD1F63">
              <w:rPr>
                <w:color w:val="000000"/>
                <w:sz w:val="22"/>
                <w:szCs w:val="22"/>
              </w:rPr>
              <w:br/>
              <w:t>(0.99, 1.24)</w:t>
            </w:r>
          </w:p>
        </w:tc>
        <w:tc>
          <w:tcPr>
            <w:tcW w:w="2268" w:type="dxa"/>
            <w:tcBorders>
              <w:top w:val="single" w:sz="4" w:space="0" w:color="auto"/>
              <w:left w:val="single" w:sz="4" w:space="0" w:color="auto"/>
              <w:bottom w:val="single" w:sz="4" w:space="0" w:color="auto"/>
              <w:right w:val="single" w:sz="4" w:space="0" w:color="auto"/>
            </w:tcBorders>
            <w:vAlign w:val="center"/>
          </w:tcPr>
          <w:p w14:paraId="3D624DF7"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1.0400</w:t>
            </w:r>
            <w:r w:rsidRPr="00DD1F63">
              <w:rPr>
                <w:color w:val="000000"/>
                <w:sz w:val="22"/>
                <w:szCs w:val="22"/>
              </w:rPr>
              <w:br/>
              <w:t>(0.92, 1.16)</w:t>
            </w:r>
          </w:p>
        </w:tc>
        <w:tc>
          <w:tcPr>
            <w:tcW w:w="2479" w:type="dxa"/>
            <w:tcBorders>
              <w:top w:val="single" w:sz="4" w:space="0" w:color="auto"/>
              <w:left w:val="single" w:sz="4" w:space="0" w:color="auto"/>
              <w:bottom w:val="single" w:sz="4" w:space="0" w:color="auto"/>
              <w:right w:val="single" w:sz="4" w:space="0" w:color="auto"/>
            </w:tcBorders>
            <w:vAlign w:val="center"/>
          </w:tcPr>
          <w:p w14:paraId="7F55D5F7" w14:textId="77777777" w:rsidR="00E67BC9" w:rsidRPr="00DD1F63" w:rsidRDefault="00E67BC9" w:rsidP="00377A09">
            <w:pPr>
              <w:pStyle w:val="TableText"/>
              <w:keepNext w:val="0"/>
              <w:spacing w:before="0" w:after="0"/>
              <w:rPr>
                <w:color w:val="000000"/>
                <w:sz w:val="22"/>
                <w:szCs w:val="22"/>
              </w:rPr>
            </w:pPr>
            <w:r w:rsidRPr="00DD1F63">
              <w:rPr>
                <w:color w:val="000000"/>
                <w:sz w:val="22"/>
                <w:szCs w:val="22"/>
              </w:rPr>
              <w:t>0.9350</w:t>
            </w:r>
            <w:r w:rsidRPr="00DD1F63">
              <w:rPr>
                <w:color w:val="000000"/>
                <w:sz w:val="22"/>
                <w:szCs w:val="22"/>
              </w:rPr>
              <w:br/>
              <w:t>(0.84, 1.05)</w:t>
            </w:r>
          </w:p>
        </w:tc>
      </w:tr>
    </w:tbl>
    <w:p w14:paraId="7A75BA91" w14:textId="77777777" w:rsidR="00E67BC9" w:rsidRPr="00DD1F63" w:rsidRDefault="00E67BC9" w:rsidP="00377A09">
      <w:pPr>
        <w:spacing w:after="0" w:line="240" w:lineRule="auto"/>
        <w:ind w:left="426"/>
        <w:jc w:val="left"/>
        <w:rPr>
          <w:rFonts w:ascii="Times New Roman" w:hAnsi="Times New Roman" w:cs="Times New Roman"/>
        </w:rPr>
      </w:pPr>
      <w:r w:rsidRPr="00DD1F63">
        <w:rPr>
          <w:rFonts w:ascii="Times New Roman" w:hAnsi="Times New Roman" w:cs="Times New Roman"/>
        </w:rPr>
        <w:t>AUC</w:t>
      </w:r>
      <w:r w:rsidRPr="00DD1F63">
        <w:rPr>
          <w:rFonts w:ascii="Times New Roman" w:hAnsi="Times New Roman" w:cs="Times New Roman"/>
          <w:vertAlign w:val="subscript"/>
        </w:rPr>
        <w:t>0-t</w:t>
      </w:r>
      <w:r w:rsidRPr="00DD1F63">
        <w:rPr>
          <w:rFonts w:ascii="Times New Roman" w:hAnsi="Times New Roman" w:cs="Times New Roman"/>
        </w:rPr>
        <w:t xml:space="preserve">: area under the concentration-time curve from time zero to the last quantifiable </w:t>
      </w:r>
      <w:proofErr w:type="gramStart"/>
      <w:r w:rsidRPr="00DD1F63">
        <w:rPr>
          <w:rFonts w:ascii="Times New Roman" w:hAnsi="Times New Roman" w:cs="Times New Roman"/>
        </w:rPr>
        <w:t>concentration;</w:t>
      </w:r>
      <w:proofErr w:type="gramEnd"/>
      <w:r w:rsidRPr="00DD1F63">
        <w:rPr>
          <w:rFonts w:ascii="Times New Roman" w:hAnsi="Times New Roman" w:cs="Times New Roman"/>
        </w:rPr>
        <w:t xml:space="preserve"> </w:t>
      </w:r>
    </w:p>
    <w:p w14:paraId="118352BA" w14:textId="77777777" w:rsidR="00E67BC9" w:rsidRPr="00DD1F63" w:rsidRDefault="00E67BC9" w:rsidP="00377A09">
      <w:pPr>
        <w:spacing w:after="0" w:line="240" w:lineRule="auto"/>
        <w:ind w:left="426"/>
        <w:jc w:val="left"/>
        <w:rPr>
          <w:rFonts w:ascii="Times New Roman" w:hAnsi="Times New Roman" w:cs="Times New Roman"/>
        </w:rPr>
      </w:pPr>
      <w:r w:rsidRPr="00DD1F63">
        <w:rPr>
          <w:rFonts w:ascii="Times New Roman" w:hAnsi="Times New Roman" w:cs="Times New Roman"/>
        </w:rPr>
        <w:t>AUC</w:t>
      </w:r>
      <w:r w:rsidRPr="00DD1F63">
        <w:rPr>
          <w:szCs w:val="20"/>
          <w:vertAlign w:val="subscript"/>
        </w:rPr>
        <w:t>0-inf</w:t>
      </w:r>
      <w:r w:rsidRPr="00DD1F63">
        <w:rPr>
          <w:rFonts w:ascii="Times New Roman" w:hAnsi="Times New Roman" w:cs="Times New Roman"/>
        </w:rPr>
        <w:t xml:space="preserve">: area under the concentration-time curve from time zero to </w:t>
      </w:r>
      <w:proofErr w:type="gramStart"/>
      <w:r w:rsidRPr="00DD1F63">
        <w:rPr>
          <w:rFonts w:ascii="Times New Roman" w:hAnsi="Times New Roman" w:cs="Times New Roman"/>
        </w:rPr>
        <w:t>infinity;</w:t>
      </w:r>
      <w:proofErr w:type="gramEnd"/>
      <w:r w:rsidRPr="00DD1F63">
        <w:rPr>
          <w:rFonts w:ascii="Times New Roman" w:hAnsi="Times New Roman" w:cs="Times New Roman"/>
        </w:rPr>
        <w:t xml:space="preserve"> </w:t>
      </w:r>
    </w:p>
    <w:p w14:paraId="76095B65" w14:textId="77777777" w:rsidR="00E67BC9" w:rsidRPr="00DD1F63" w:rsidRDefault="00E67BC9" w:rsidP="00377A09">
      <w:pPr>
        <w:spacing w:after="0" w:line="240" w:lineRule="auto"/>
        <w:ind w:left="426"/>
        <w:jc w:val="left"/>
        <w:rPr>
          <w:rFonts w:ascii="Times New Roman" w:hAnsi="Times New Roman" w:cs="Times New Roman"/>
        </w:rPr>
      </w:pPr>
      <w:r w:rsidRPr="00DD1F63">
        <w:rPr>
          <w:rFonts w:ascii="Times New Roman" w:hAnsi="Times New Roman" w:cs="Times New Roman"/>
        </w:rPr>
        <w:t xml:space="preserve">CI: confidence </w:t>
      </w:r>
      <w:proofErr w:type="gramStart"/>
      <w:r w:rsidRPr="00DD1F63">
        <w:rPr>
          <w:rFonts w:ascii="Times New Roman" w:hAnsi="Times New Roman" w:cs="Times New Roman"/>
        </w:rPr>
        <w:t>interval;</w:t>
      </w:r>
      <w:proofErr w:type="gramEnd"/>
      <w:r w:rsidRPr="00DD1F63">
        <w:rPr>
          <w:rFonts w:ascii="Times New Roman" w:hAnsi="Times New Roman" w:cs="Times New Roman"/>
        </w:rPr>
        <w:t xml:space="preserve"> </w:t>
      </w:r>
    </w:p>
    <w:p w14:paraId="600429E0" w14:textId="77777777" w:rsidR="00E67BC9" w:rsidRPr="00DD1F63" w:rsidRDefault="00E67BC9" w:rsidP="00377A09">
      <w:pPr>
        <w:spacing w:after="0" w:line="240" w:lineRule="auto"/>
        <w:ind w:left="426"/>
        <w:jc w:val="left"/>
        <w:rPr>
          <w:rFonts w:ascii="Times New Roman" w:hAnsi="Times New Roman" w:cs="Times New Roman"/>
        </w:rPr>
      </w:pPr>
      <w:proofErr w:type="spellStart"/>
      <w:r w:rsidRPr="00DD1F63">
        <w:rPr>
          <w:rFonts w:ascii="Times New Roman" w:hAnsi="Times New Roman" w:cs="Times New Roman"/>
        </w:rPr>
        <w:t>C</w:t>
      </w:r>
      <w:r w:rsidRPr="00DD1F63">
        <w:rPr>
          <w:rFonts w:ascii="Times New Roman" w:hAnsi="Times New Roman" w:cs="Times New Roman"/>
          <w:vertAlign w:val="subscript"/>
        </w:rPr>
        <w:t>max</w:t>
      </w:r>
      <w:proofErr w:type="spellEnd"/>
      <w:r w:rsidRPr="00DD1F63">
        <w:rPr>
          <w:rFonts w:ascii="Times New Roman" w:hAnsi="Times New Roman" w:cs="Times New Roman"/>
        </w:rPr>
        <w:t xml:space="preserve">: maximum </w:t>
      </w:r>
      <w:proofErr w:type="gramStart"/>
      <w:r w:rsidRPr="00DD1F63">
        <w:rPr>
          <w:rFonts w:ascii="Times New Roman" w:hAnsi="Times New Roman" w:cs="Times New Roman"/>
        </w:rPr>
        <w:t>concentration;</w:t>
      </w:r>
      <w:proofErr w:type="gramEnd"/>
      <w:r w:rsidRPr="00DD1F63">
        <w:rPr>
          <w:rFonts w:ascii="Times New Roman" w:hAnsi="Times New Roman" w:cs="Times New Roman"/>
        </w:rPr>
        <w:t xml:space="preserve"> </w:t>
      </w:r>
    </w:p>
    <w:p w14:paraId="1AC75DB4" w14:textId="77777777" w:rsidR="00E67BC9" w:rsidRPr="00DD1F63" w:rsidRDefault="00E67BC9" w:rsidP="00377A09">
      <w:pPr>
        <w:spacing w:after="0" w:line="240" w:lineRule="auto"/>
        <w:ind w:left="426"/>
        <w:jc w:val="left"/>
        <w:rPr>
          <w:rFonts w:ascii="Times New Roman" w:hAnsi="Times New Roman" w:cs="Times New Roman"/>
        </w:rPr>
      </w:pPr>
      <w:r w:rsidRPr="00DD1F63">
        <w:rPr>
          <w:rFonts w:ascii="Times New Roman" w:hAnsi="Times New Roman" w:cs="Times New Roman"/>
        </w:rPr>
        <w:t>GM: geometric mean.</w:t>
      </w:r>
    </w:p>
    <w:p w14:paraId="37334BB3" w14:textId="77777777" w:rsidR="00E67BC9" w:rsidRPr="00DD1F63" w:rsidRDefault="00E67BC9" w:rsidP="00377A09">
      <w:pPr>
        <w:spacing w:after="0" w:line="240" w:lineRule="auto"/>
        <w:jc w:val="left"/>
        <w:rPr>
          <w:rFonts w:ascii="Times New Roman" w:hAnsi="Times New Roman" w:cs="Times New Roman"/>
        </w:rPr>
      </w:pPr>
    </w:p>
    <w:p w14:paraId="63EA4FB7" w14:textId="37989D0B" w:rsidR="006B7C8E" w:rsidRPr="00DD1F63" w:rsidRDefault="00E67BC9" w:rsidP="00377A09">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addition, to provide supportive evidence of PK similarity between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and EU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in patients with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pharmacokinetic profiles were evaluated in a subset of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patients receiving either 40 mg of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(n=205) or 40 mg of EU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(n=207) in a randomised, double-blind, parallel group clinical Phase III study (Study AVTO2-GL-301-PsO). Mean adalimumab </w:t>
      </w:r>
      <w:proofErr w:type="spellStart"/>
      <w:r w:rsidRPr="00DD1F63">
        <w:rPr>
          <w:rFonts w:ascii="Times New Roman" w:hAnsi="Times New Roman" w:cs="Times New Roman"/>
          <w:sz w:val="22"/>
        </w:rPr>
        <w:t>C</w:t>
      </w:r>
      <w:r w:rsidRPr="00DD1F63">
        <w:rPr>
          <w:rFonts w:ascii="Times New Roman" w:hAnsi="Times New Roman" w:cs="Times New Roman"/>
          <w:sz w:val="22"/>
          <w:vertAlign w:val="subscript"/>
        </w:rPr>
        <w:t>trough</w:t>
      </w:r>
      <w:proofErr w:type="spellEnd"/>
      <w:r w:rsidRPr="00DD1F63">
        <w:rPr>
          <w:rFonts w:ascii="Times New Roman" w:hAnsi="Times New Roman" w:cs="Times New Roman"/>
          <w:sz w:val="22"/>
        </w:rPr>
        <w:t xml:space="preserve"> values were comparable between those subjects who were randomized to either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or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through Week 16, or </w:t>
      </w:r>
      <w:proofErr w:type="spellStart"/>
      <w:r w:rsidR="00AF7DA7" w:rsidRPr="00AF7DA7">
        <w:rPr>
          <w:rFonts w:ascii="Times New Roman" w:hAnsi="Times New Roman" w:cs="Times New Roman"/>
          <w:sz w:val="22"/>
        </w:rPr>
        <w:t>Ciptunec</w:t>
      </w:r>
      <w:proofErr w:type="spellEnd"/>
      <w:r w:rsidR="00AF7DA7" w:rsidRPr="00AF7DA7" w:rsidDel="00AF7DA7">
        <w:rPr>
          <w:rFonts w:ascii="Times New Roman" w:hAnsi="Times New Roman" w:cs="Times New Roman"/>
          <w:sz w:val="22"/>
        </w:rPr>
        <w:t xml:space="preserve"> </w:t>
      </w:r>
      <w:r w:rsidRPr="00DD1F63">
        <w:rPr>
          <w:rFonts w:ascii="Times New Roman" w:hAnsi="Times New Roman" w:cs="Times New Roman"/>
          <w:sz w:val="22"/>
        </w:rPr>
        <w:t>/</w:t>
      </w:r>
      <w:proofErr w:type="spellStart"/>
      <w:r w:rsidR="00AF7DA7" w:rsidRPr="00AF7DA7">
        <w:rPr>
          <w:rFonts w:ascii="Times New Roman" w:hAnsi="Times New Roman" w:cs="Times New Roman"/>
          <w:sz w:val="22"/>
        </w:rPr>
        <w:t>Ciptunec</w:t>
      </w:r>
      <w:proofErr w:type="spellEnd"/>
      <w:r w:rsidRPr="00DD1F63">
        <w:rPr>
          <w:rFonts w:ascii="Times New Roman" w:hAnsi="Times New Roman" w:cs="Times New Roman"/>
          <w:sz w:val="22"/>
        </w:rPr>
        <w:t>, EU-Humira</w:t>
      </w:r>
      <w:r w:rsidRPr="00DD1F63">
        <w:rPr>
          <w:rFonts w:ascii="Times New Roman" w:hAnsi="Times New Roman" w:cs="Times New Roman"/>
          <w:sz w:val="22"/>
          <w:vertAlign w:val="superscript"/>
        </w:rPr>
        <w:t>®</w:t>
      </w:r>
      <w:r w:rsidRPr="00DD1F63">
        <w:rPr>
          <w:rFonts w:ascii="Times New Roman" w:hAnsi="Times New Roman" w:cs="Times New Roman"/>
          <w:sz w:val="22"/>
        </w:rPr>
        <w:t>/</w:t>
      </w:r>
      <w:r w:rsidR="00AF7DA7" w:rsidRPr="00AF7DA7">
        <w:t xml:space="preserve"> </w:t>
      </w:r>
      <w:proofErr w:type="spellStart"/>
      <w:r w:rsidR="00AF7DA7" w:rsidRPr="00AF7DA7">
        <w:rPr>
          <w:rFonts w:ascii="Times New Roman" w:hAnsi="Times New Roman" w:cs="Times New Roman"/>
          <w:sz w:val="22"/>
        </w:rPr>
        <w:t>Ciptunec</w:t>
      </w:r>
      <w:proofErr w:type="spellEnd"/>
      <w:r w:rsidRPr="00DD1F63">
        <w:rPr>
          <w:rFonts w:ascii="Times New Roman" w:hAnsi="Times New Roman" w:cs="Times New Roman"/>
          <w:sz w:val="22"/>
        </w:rPr>
        <w:t>, and EU Humira</w:t>
      </w:r>
      <w:r w:rsidRPr="00DD1F63">
        <w:rPr>
          <w:rFonts w:ascii="Times New Roman" w:hAnsi="Times New Roman" w:cs="Times New Roman"/>
          <w:sz w:val="22"/>
          <w:vertAlign w:val="superscript"/>
        </w:rPr>
        <w:t>®</w:t>
      </w:r>
      <w:r w:rsidRPr="00DD1F63">
        <w:rPr>
          <w:rFonts w:ascii="Times New Roman" w:hAnsi="Times New Roman" w:cs="Times New Roman"/>
          <w:sz w:val="22"/>
        </w:rPr>
        <w:t>/EU-Humira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through Study (from Week 16 to Week 54).</w:t>
      </w:r>
      <w:r w:rsidR="00CA72FF" w:rsidRPr="00DD1F63">
        <w:rPr>
          <w:rFonts w:ascii="Times New Roman" w:hAnsi="Times New Roman" w:cs="Times New Roman"/>
          <w:sz w:val="22"/>
        </w:rPr>
        <w:t xml:space="preserve"> </w:t>
      </w:r>
    </w:p>
    <w:p w14:paraId="22C3960A" w14:textId="77777777" w:rsidR="001F6C78" w:rsidRPr="00DD1F63" w:rsidRDefault="001F6C78" w:rsidP="00377A09">
      <w:pPr>
        <w:spacing w:after="0" w:line="240" w:lineRule="auto"/>
        <w:ind w:left="426" w:right="375"/>
        <w:jc w:val="left"/>
        <w:rPr>
          <w:rFonts w:ascii="Times New Roman" w:hAnsi="Times New Roman" w:cs="Times New Roman"/>
          <w:sz w:val="22"/>
        </w:rPr>
      </w:pPr>
    </w:p>
    <w:p w14:paraId="2F010370" w14:textId="594DE114" w:rsidR="006B7C8E" w:rsidRPr="00DD1F63" w:rsidRDefault="00CA72FF" w:rsidP="00377A09">
      <w:pPr>
        <w:pStyle w:val="Heading3"/>
        <w:spacing w:after="0" w:line="240" w:lineRule="auto"/>
        <w:ind w:left="426" w:hanging="426"/>
        <w:rPr>
          <w:rFonts w:ascii="Times New Roman" w:hAnsi="Times New Roman" w:cs="Times New Roman"/>
          <w:b/>
          <w:u w:val="none"/>
        </w:rPr>
      </w:pPr>
      <w:r w:rsidRPr="00DD1F63">
        <w:rPr>
          <w:rFonts w:ascii="Times New Roman" w:hAnsi="Times New Roman" w:cs="Times New Roman"/>
          <w:b/>
          <w:u w:val="none"/>
        </w:rPr>
        <w:t xml:space="preserve">5.3 </w:t>
      </w:r>
      <w:r w:rsidR="00B27F47" w:rsidRPr="00DD1F63">
        <w:rPr>
          <w:rFonts w:ascii="Times New Roman" w:hAnsi="Times New Roman" w:cs="Times New Roman"/>
          <w:b/>
          <w:u w:val="none"/>
        </w:rPr>
        <w:tab/>
      </w:r>
      <w:r w:rsidRPr="00DD1F63">
        <w:rPr>
          <w:rFonts w:ascii="Times New Roman" w:hAnsi="Times New Roman" w:cs="Times New Roman"/>
          <w:b/>
          <w:u w:val="none"/>
        </w:rPr>
        <w:t xml:space="preserve">Preclinical safety data </w:t>
      </w:r>
    </w:p>
    <w:p w14:paraId="2A8C9DA2" w14:textId="77777777" w:rsidR="001F6C78" w:rsidRPr="00DD1F63" w:rsidRDefault="001F6C78" w:rsidP="00377A09">
      <w:pPr>
        <w:spacing w:after="0" w:line="240" w:lineRule="auto"/>
        <w:ind w:left="426" w:hanging="11"/>
        <w:jc w:val="left"/>
        <w:rPr>
          <w:rFonts w:ascii="Times New Roman" w:hAnsi="Times New Roman" w:cs="Times New Roman"/>
          <w:sz w:val="22"/>
        </w:rPr>
      </w:pPr>
    </w:p>
    <w:p w14:paraId="54ED9F00" w14:textId="50B75125" w:rsidR="006B7C8E" w:rsidRPr="00DD1F63" w:rsidRDefault="00CA72FF" w:rsidP="00377A09">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Genotoxicity</w:t>
      </w:r>
      <w:r w:rsidRPr="00DD1F63">
        <w:rPr>
          <w:rFonts w:ascii="Times New Roman" w:hAnsi="Times New Roman" w:cs="Times New Roman"/>
          <w:u w:val="none"/>
        </w:rPr>
        <w:t xml:space="preserve"> </w:t>
      </w:r>
    </w:p>
    <w:p w14:paraId="23B0D654" w14:textId="77777777" w:rsidR="001F6C78" w:rsidRPr="00DD1F63" w:rsidRDefault="001F6C78" w:rsidP="00377A09">
      <w:pPr>
        <w:spacing w:after="0" w:line="240" w:lineRule="auto"/>
        <w:ind w:left="426" w:hanging="11"/>
        <w:jc w:val="left"/>
        <w:rPr>
          <w:rFonts w:ascii="Times New Roman" w:hAnsi="Times New Roman" w:cs="Times New Roman"/>
          <w:sz w:val="22"/>
        </w:rPr>
      </w:pPr>
    </w:p>
    <w:p w14:paraId="3AF9AF7F" w14:textId="77F19A83"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genotoxicity was observed in an </w:t>
      </w:r>
      <w:r w:rsidRPr="00DD1F63">
        <w:rPr>
          <w:rFonts w:ascii="Times New Roman" w:hAnsi="Times New Roman" w:cs="Times New Roman"/>
          <w:i/>
          <w:sz w:val="22"/>
        </w:rPr>
        <w:t>in-vitro</w:t>
      </w:r>
      <w:r w:rsidRPr="00DD1F63">
        <w:rPr>
          <w:rFonts w:ascii="Times New Roman" w:hAnsi="Times New Roman" w:cs="Times New Roman"/>
          <w:sz w:val="22"/>
        </w:rPr>
        <w:t xml:space="preserve"> test for bacterial gene mutation or in an </w:t>
      </w:r>
      <w:r w:rsidRPr="00DD1F63">
        <w:rPr>
          <w:rFonts w:ascii="Times New Roman" w:hAnsi="Times New Roman" w:cs="Times New Roman"/>
          <w:i/>
          <w:sz w:val="22"/>
        </w:rPr>
        <w:t>in-vivo</w:t>
      </w:r>
      <w:r w:rsidRPr="00DD1F63">
        <w:rPr>
          <w:rFonts w:ascii="Times New Roman" w:hAnsi="Times New Roman" w:cs="Times New Roman"/>
          <w:sz w:val="22"/>
        </w:rPr>
        <w:t xml:space="preserve"> mouse micronucleus test for </w:t>
      </w:r>
      <w:proofErr w:type="spellStart"/>
      <w:r w:rsidRPr="00DD1F63">
        <w:rPr>
          <w:rFonts w:ascii="Times New Roman" w:hAnsi="Times New Roman" w:cs="Times New Roman"/>
          <w:sz w:val="22"/>
        </w:rPr>
        <w:t>clastogenicity</w:t>
      </w:r>
      <w:proofErr w:type="spellEnd"/>
      <w:r w:rsidRPr="00DD1F63">
        <w:rPr>
          <w:rFonts w:ascii="Times New Roman" w:hAnsi="Times New Roman" w:cs="Times New Roman"/>
          <w:sz w:val="22"/>
        </w:rPr>
        <w:t xml:space="preserve">. </w:t>
      </w:r>
    </w:p>
    <w:p w14:paraId="0AC196CB" w14:textId="77777777" w:rsidR="008D36D8" w:rsidRPr="00DD1F63" w:rsidRDefault="008D36D8" w:rsidP="00377A09">
      <w:pPr>
        <w:spacing w:after="0" w:line="240" w:lineRule="auto"/>
        <w:ind w:left="426" w:right="375"/>
        <w:jc w:val="left"/>
        <w:rPr>
          <w:rFonts w:ascii="Times New Roman" w:hAnsi="Times New Roman" w:cs="Times New Roman"/>
          <w:sz w:val="22"/>
        </w:rPr>
      </w:pPr>
    </w:p>
    <w:p w14:paraId="17CE7594" w14:textId="3D035E5A" w:rsidR="006B7C8E" w:rsidRPr="00DD1F63" w:rsidRDefault="00CA72FF" w:rsidP="00377A09">
      <w:pPr>
        <w:pStyle w:val="Heading4"/>
        <w:keepLines w:val="0"/>
        <w:spacing w:after="0" w:line="240" w:lineRule="auto"/>
        <w:ind w:left="425"/>
        <w:rPr>
          <w:rFonts w:ascii="Times New Roman" w:hAnsi="Times New Roman" w:cs="Times New Roman"/>
          <w:u w:val="none"/>
        </w:rPr>
      </w:pPr>
      <w:r w:rsidRPr="00DD1F63">
        <w:rPr>
          <w:rFonts w:ascii="Times New Roman" w:hAnsi="Times New Roman" w:cs="Times New Roman"/>
        </w:rPr>
        <w:t>Carcinogenicity</w:t>
      </w:r>
      <w:r w:rsidRPr="00DD1F63">
        <w:rPr>
          <w:rFonts w:ascii="Times New Roman" w:hAnsi="Times New Roman" w:cs="Times New Roman"/>
          <w:u w:val="none"/>
        </w:rPr>
        <w:t xml:space="preserve"> </w:t>
      </w:r>
    </w:p>
    <w:p w14:paraId="45476D8C" w14:textId="77777777" w:rsidR="001F6C78" w:rsidRPr="00DD1F63" w:rsidRDefault="001F6C78" w:rsidP="00377A09">
      <w:pPr>
        <w:keepNext/>
        <w:spacing w:after="0" w:line="240" w:lineRule="auto"/>
        <w:ind w:left="425" w:hanging="11"/>
        <w:jc w:val="left"/>
        <w:rPr>
          <w:rFonts w:ascii="Times New Roman" w:hAnsi="Times New Roman" w:cs="Times New Roman"/>
          <w:sz w:val="22"/>
        </w:rPr>
      </w:pPr>
    </w:p>
    <w:p w14:paraId="3BF462E2" w14:textId="77777777" w:rsidR="001F6C78"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Long-term animal studies have not been conducted to evaluate the carcinogenic potential of adalimumab.</w:t>
      </w:r>
    </w:p>
    <w:p w14:paraId="6246CB50" w14:textId="50F2B84B" w:rsidR="005862E1" w:rsidRPr="00DD1F63" w:rsidRDefault="005862E1" w:rsidP="00377A09">
      <w:pPr>
        <w:spacing w:after="0" w:line="240" w:lineRule="auto"/>
        <w:ind w:left="426" w:right="375"/>
        <w:jc w:val="left"/>
        <w:rPr>
          <w:rFonts w:ascii="Times New Roman" w:hAnsi="Times New Roman" w:cs="Times New Roman"/>
          <w:sz w:val="22"/>
        </w:rPr>
      </w:pPr>
    </w:p>
    <w:p w14:paraId="0A94F53C" w14:textId="77777777" w:rsidR="005862E1" w:rsidRPr="00DD1F63" w:rsidRDefault="005862E1" w:rsidP="00377A09">
      <w:pPr>
        <w:spacing w:after="0" w:line="240" w:lineRule="auto"/>
        <w:ind w:left="426" w:right="375"/>
        <w:jc w:val="left"/>
        <w:rPr>
          <w:rFonts w:ascii="Times New Roman" w:hAnsi="Times New Roman" w:cs="Times New Roman"/>
          <w:sz w:val="22"/>
        </w:rPr>
      </w:pPr>
    </w:p>
    <w:p w14:paraId="0E04464B" w14:textId="637E37F6" w:rsidR="006B7C8E" w:rsidRPr="00DD1F63" w:rsidRDefault="00CA72FF" w:rsidP="00377A09">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6</w:t>
      </w:r>
      <w:r w:rsidRPr="00DD1F63">
        <w:rPr>
          <w:rFonts w:ascii="Times New Roman" w:eastAsia="Arial" w:hAnsi="Times New Roman" w:cs="Times New Roman"/>
          <w:sz w:val="22"/>
        </w:rPr>
        <w:t xml:space="preserve"> </w:t>
      </w:r>
      <w:r w:rsidR="00B27F47" w:rsidRPr="00DD1F63">
        <w:rPr>
          <w:rFonts w:ascii="Times New Roman" w:eastAsia="Arial" w:hAnsi="Times New Roman" w:cs="Times New Roman"/>
          <w:sz w:val="22"/>
        </w:rPr>
        <w:tab/>
      </w:r>
      <w:r w:rsidRPr="00DD1F63">
        <w:rPr>
          <w:rFonts w:ascii="Times New Roman" w:hAnsi="Times New Roman" w:cs="Times New Roman"/>
          <w:sz w:val="22"/>
        </w:rPr>
        <w:t xml:space="preserve">PHARMACEUTICAL PARTICULARS </w:t>
      </w:r>
    </w:p>
    <w:p w14:paraId="3B7891DA" w14:textId="77777777" w:rsidR="00D716AB" w:rsidRPr="00DD1F63" w:rsidRDefault="00D716AB" w:rsidP="00377A09">
      <w:pPr>
        <w:spacing w:after="0" w:line="240" w:lineRule="auto"/>
        <w:ind w:left="426" w:hanging="11"/>
        <w:jc w:val="left"/>
        <w:rPr>
          <w:rFonts w:ascii="Times New Roman" w:hAnsi="Times New Roman" w:cs="Times New Roman"/>
          <w:sz w:val="22"/>
        </w:rPr>
      </w:pPr>
    </w:p>
    <w:p w14:paraId="5509561B" w14:textId="7E5FA234" w:rsidR="006B7C8E"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6.1</w:t>
      </w:r>
      <w:r w:rsidR="00B27F47" w:rsidRPr="00DD1F63">
        <w:rPr>
          <w:rFonts w:ascii="Times New Roman" w:hAnsi="Times New Roman" w:cs="Times New Roman"/>
          <w:sz w:val="22"/>
        </w:rPr>
        <w:tab/>
      </w:r>
      <w:r w:rsidRPr="00DD1F63">
        <w:rPr>
          <w:rFonts w:ascii="Times New Roman" w:hAnsi="Times New Roman" w:cs="Times New Roman"/>
          <w:sz w:val="22"/>
        </w:rPr>
        <w:t xml:space="preserve"> List of excipients </w:t>
      </w:r>
    </w:p>
    <w:p w14:paraId="5D5FDDF2" w14:textId="77777777" w:rsidR="00D716AB" w:rsidRPr="00DD1F63" w:rsidRDefault="00D716AB" w:rsidP="00377A09">
      <w:pPr>
        <w:spacing w:after="0" w:line="240" w:lineRule="auto"/>
        <w:ind w:left="426" w:hanging="11"/>
        <w:jc w:val="left"/>
        <w:rPr>
          <w:rFonts w:ascii="Times New Roman" w:hAnsi="Times New Roman" w:cs="Times New Roman"/>
          <w:sz w:val="22"/>
        </w:rPr>
      </w:pPr>
    </w:p>
    <w:p w14:paraId="62391FC0" w14:textId="17F5D109" w:rsidR="006B7C8E" w:rsidRPr="000627CB" w:rsidRDefault="00C54F1B" w:rsidP="00377A09">
      <w:pPr>
        <w:spacing w:after="0" w:line="240" w:lineRule="auto"/>
        <w:ind w:left="426" w:right="375"/>
        <w:jc w:val="left"/>
        <w:rPr>
          <w:rFonts w:ascii="Times New Roman" w:hAnsi="Times New Roman" w:cs="Times New Roman"/>
          <w:spacing w:val="-2"/>
          <w:sz w:val="22"/>
        </w:rPr>
      </w:pPr>
      <w:proofErr w:type="spellStart"/>
      <w:r w:rsidRPr="000627CB">
        <w:rPr>
          <w:rFonts w:ascii="Times New Roman" w:hAnsi="Times New Roman" w:cs="Times New Roman"/>
          <w:spacing w:val="-2"/>
          <w:sz w:val="22"/>
        </w:rPr>
        <w:t>Ciptunec</w:t>
      </w:r>
      <w:proofErr w:type="spellEnd"/>
      <w:r w:rsidRPr="000627CB" w:rsidDel="00C54F1B">
        <w:rPr>
          <w:rFonts w:ascii="Times New Roman" w:hAnsi="Times New Roman" w:cs="Times New Roman"/>
          <w:spacing w:val="-2"/>
          <w:sz w:val="22"/>
        </w:rPr>
        <w:t xml:space="preserve"> </w:t>
      </w:r>
      <w:r w:rsidR="00E07841" w:rsidRPr="000627CB">
        <w:rPr>
          <w:rFonts w:ascii="Times New Roman" w:hAnsi="Times New Roman" w:cs="Times New Roman"/>
          <w:spacing w:val="-2"/>
          <w:sz w:val="22"/>
        </w:rPr>
        <w:t xml:space="preserve">solution for injection </w:t>
      </w:r>
      <w:r w:rsidR="00CA72FF" w:rsidRPr="000627CB">
        <w:rPr>
          <w:rFonts w:ascii="Times New Roman" w:hAnsi="Times New Roman" w:cs="Times New Roman"/>
          <w:spacing w:val="-2"/>
          <w:sz w:val="22"/>
        </w:rPr>
        <w:t xml:space="preserve">80 mg/0.8 mL (100 mg/mL): Inactive ingredients include: </w:t>
      </w:r>
      <w:r w:rsidR="002B6FD0" w:rsidRPr="000627CB">
        <w:rPr>
          <w:rFonts w:ascii="Times New Roman" w:hAnsi="Times New Roman" w:cs="Times New Roman"/>
          <w:spacing w:val="-2"/>
          <w:sz w:val="22"/>
        </w:rPr>
        <w:t xml:space="preserve">0.46 mg sodium chloride, 69.8 mg sucrose, </w:t>
      </w:r>
      <w:r w:rsidR="00CA72FF" w:rsidRPr="000627CB">
        <w:rPr>
          <w:rFonts w:ascii="Times New Roman" w:hAnsi="Times New Roman" w:cs="Times New Roman"/>
          <w:spacing w:val="-2"/>
          <w:sz w:val="22"/>
        </w:rPr>
        <w:t xml:space="preserve">0.8 mg polysorbate 80 and water for injections. </w:t>
      </w:r>
    </w:p>
    <w:p w14:paraId="412133BB" w14:textId="77777777" w:rsidR="00F648C9" w:rsidRPr="00DD1F63" w:rsidRDefault="00F648C9" w:rsidP="00377A09">
      <w:pPr>
        <w:spacing w:after="0" w:line="240" w:lineRule="auto"/>
        <w:ind w:left="0" w:right="375" w:firstLine="0"/>
        <w:jc w:val="left"/>
        <w:rPr>
          <w:rFonts w:ascii="Times New Roman" w:hAnsi="Times New Roman" w:cs="Times New Roman"/>
          <w:sz w:val="22"/>
        </w:rPr>
      </w:pPr>
    </w:p>
    <w:p w14:paraId="148F95E6" w14:textId="3BDD593C" w:rsidR="006B7C8E" w:rsidRPr="000627CB" w:rsidRDefault="00370588" w:rsidP="00377A09">
      <w:pPr>
        <w:spacing w:after="0" w:line="240" w:lineRule="auto"/>
        <w:ind w:left="426" w:right="375"/>
        <w:jc w:val="left"/>
        <w:rPr>
          <w:rFonts w:ascii="Times New Roman" w:hAnsi="Times New Roman" w:cs="Times New Roman"/>
          <w:spacing w:val="-2"/>
          <w:sz w:val="22"/>
        </w:rPr>
      </w:pPr>
      <w:proofErr w:type="spellStart"/>
      <w:r w:rsidRPr="000627CB">
        <w:rPr>
          <w:rFonts w:ascii="Times New Roman" w:hAnsi="Times New Roman" w:cs="Times New Roman"/>
          <w:spacing w:val="-2"/>
          <w:sz w:val="22"/>
        </w:rPr>
        <w:lastRenderedPageBreak/>
        <w:t>Ciptunec</w:t>
      </w:r>
      <w:proofErr w:type="spellEnd"/>
      <w:r w:rsidRPr="000627CB" w:rsidDel="00370588">
        <w:rPr>
          <w:rFonts w:ascii="Times New Roman" w:hAnsi="Times New Roman" w:cs="Times New Roman"/>
          <w:spacing w:val="-2"/>
          <w:sz w:val="22"/>
        </w:rPr>
        <w:t xml:space="preserve"> </w:t>
      </w:r>
      <w:r w:rsidR="00E07841" w:rsidRPr="000627CB">
        <w:rPr>
          <w:rFonts w:ascii="Times New Roman" w:hAnsi="Times New Roman" w:cs="Times New Roman"/>
          <w:spacing w:val="-2"/>
          <w:sz w:val="22"/>
        </w:rPr>
        <w:t xml:space="preserve">solution for injection </w:t>
      </w:r>
      <w:r w:rsidR="00CA72FF" w:rsidRPr="000627CB">
        <w:rPr>
          <w:rFonts w:ascii="Times New Roman" w:hAnsi="Times New Roman" w:cs="Times New Roman"/>
          <w:spacing w:val="-2"/>
          <w:sz w:val="22"/>
        </w:rPr>
        <w:t xml:space="preserve">40 mg/0.4 mL (100 mg/mL): Inactive ingredients include: </w:t>
      </w:r>
      <w:r w:rsidR="002B6FD0" w:rsidRPr="000627CB">
        <w:rPr>
          <w:rFonts w:ascii="Times New Roman" w:hAnsi="Times New Roman" w:cs="Times New Roman"/>
          <w:spacing w:val="-2"/>
          <w:sz w:val="22"/>
        </w:rPr>
        <w:t xml:space="preserve">0.23 mg sodium chloride, </w:t>
      </w:r>
      <w:r w:rsidR="00900DF5" w:rsidRPr="000627CB">
        <w:rPr>
          <w:rFonts w:ascii="Times New Roman" w:hAnsi="Times New Roman" w:cs="Times New Roman"/>
          <w:spacing w:val="-2"/>
          <w:sz w:val="22"/>
        </w:rPr>
        <w:t xml:space="preserve">34.9 mg sucrose, </w:t>
      </w:r>
      <w:r w:rsidR="00CA72FF" w:rsidRPr="000627CB">
        <w:rPr>
          <w:rFonts w:ascii="Times New Roman" w:hAnsi="Times New Roman" w:cs="Times New Roman"/>
          <w:spacing w:val="-2"/>
          <w:sz w:val="22"/>
        </w:rPr>
        <w:t xml:space="preserve">0.4 mg polysorbate 80 and water for injections. </w:t>
      </w:r>
    </w:p>
    <w:p w14:paraId="46AC1B62" w14:textId="77777777" w:rsidR="00170084" w:rsidRPr="00DD1F63" w:rsidRDefault="00170084" w:rsidP="00377A09">
      <w:pPr>
        <w:spacing w:after="0" w:line="240" w:lineRule="auto"/>
        <w:ind w:left="0" w:right="375" w:firstLine="0"/>
        <w:jc w:val="left"/>
        <w:rPr>
          <w:rFonts w:ascii="Times New Roman" w:hAnsi="Times New Roman" w:cs="Times New Roman"/>
          <w:sz w:val="22"/>
        </w:rPr>
      </w:pPr>
    </w:p>
    <w:p w14:paraId="6E7E468C" w14:textId="43265B5F" w:rsidR="006B7C8E" w:rsidRPr="00DD1F63" w:rsidRDefault="00CA72FF" w:rsidP="00377A09">
      <w:pPr>
        <w:keepNext/>
        <w:spacing w:after="0" w:line="240" w:lineRule="auto"/>
        <w:ind w:left="425" w:hanging="426"/>
        <w:jc w:val="left"/>
        <w:rPr>
          <w:rFonts w:ascii="Times New Roman" w:hAnsi="Times New Roman" w:cs="Times New Roman"/>
          <w:b/>
          <w:sz w:val="22"/>
        </w:rPr>
      </w:pPr>
      <w:r w:rsidRPr="00DD1F63">
        <w:rPr>
          <w:rFonts w:ascii="Times New Roman" w:hAnsi="Times New Roman" w:cs="Times New Roman"/>
          <w:b/>
          <w:sz w:val="22"/>
        </w:rPr>
        <w:t xml:space="preserve">6.2 </w:t>
      </w:r>
      <w:r w:rsidR="00A164DD" w:rsidRPr="00DD1F63">
        <w:rPr>
          <w:rFonts w:ascii="Times New Roman" w:hAnsi="Times New Roman" w:cs="Times New Roman"/>
          <w:b/>
          <w:sz w:val="22"/>
        </w:rPr>
        <w:tab/>
      </w:r>
      <w:r w:rsidRPr="00DD1F63">
        <w:rPr>
          <w:rFonts w:ascii="Times New Roman" w:hAnsi="Times New Roman" w:cs="Times New Roman"/>
          <w:b/>
          <w:sz w:val="22"/>
        </w:rPr>
        <w:t xml:space="preserve">Incompatibilities </w:t>
      </w:r>
    </w:p>
    <w:p w14:paraId="3A4E7233" w14:textId="77777777" w:rsidR="00170084" w:rsidRPr="00DD1F63" w:rsidRDefault="00170084" w:rsidP="00377A09">
      <w:pPr>
        <w:keepNext/>
        <w:spacing w:after="0" w:line="240" w:lineRule="auto"/>
        <w:ind w:left="425"/>
        <w:jc w:val="left"/>
        <w:rPr>
          <w:rFonts w:ascii="Times New Roman" w:hAnsi="Times New Roman" w:cs="Times New Roman"/>
          <w:sz w:val="22"/>
        </w:rPr>
      </w:pPr>
    </w:p>
    <w:p w14:paraId="7D655B6C" w14:textId="77777777"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Incompatibilities were either not assessed or not identified as part of the registration of this medicine. </w:t>
      </w:r>
    </w:p>
    <w:p w14:paraId="34713419"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75E87247" w14:textId="49EEB295" w:rsidR="006B7C8E"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6.3 </w:t>
      </w:r>
      <w:r w:rsidR="00A164DD" w:rsidRPr="00DD1F63">
        <w:rPr>
          <w:rFonts w:ascii="Times New Roman" w:hAnsi="Times New Roman" w:cs="Times New Roman"/>
          <w:sz w:val="22"/>
        </w:rPr>
        <w:tab/>
      </w:r>
      <w:r w:rsidRPr="00DD1F63">
        <w:rPr>
          <w:rFonts w:ascii="Times New Roman" w:hAnsi="Times New Roman" w:cs="Times New Roman"/>
          <w:sz w:val="22"/>
        </w:rPr>
        <w:t xml:space="preserve">Shelf life </w:t>
      </w:r>
    </w:p>
    <w:p w14:paraId="340CB0FB" w14:textId="77777777" w:rsidR="000B1BC8" w:rsidRPr="00DD1F63" w:rsidRDefault="000B1BC8" w:rsidP="00377A09">
      <w:pPr>
        <w:spacing w:after="0" w:line="240" w:lineRule="auto"/>
        <w:ind w:left="426" w:hanging="11"/>
        <w:jc w:val="left"/>
        <w:rPr>
          <w:rFonts w:ascii="Times New Roman" w:hAnsi="Times New Roman" w:cs="Times New Roman"/>
          <w:sz w:val="22"/>
        </w:rPr>
      </w:pPr>
    </w:p>
    <w:p w14:paraId="71750DC5" w14:textId="0342F585"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Australia, information on the shelf life can be found on the public summary of the Australian Register of Therapeutic Goods (ARTG). The expiry date can be found on the packaging. </w:t>
      </w:r>
    </w:p>
    <w:p w14:paraId="3AD19215" w14:textId="77777777" w:rsidR="00DC330C" w:rsidRPr="00DD1F63" w:rsidRDefault="00DC330C" w:rsidP="00377A09">
      <w:pPr>
        <w:spacing w:after="0" w:line="240" w:lineRule="auto"/>
        <w:ind w:left="426" w:right="375"/>
        <w:jc w:val="left"/>
        <w:rPr>
          <w:rFonts w:ascii="Times New Roman" w:hAnsi="Times New Roman" w:cs="Times New Roman"/>
          <w:sz w:val="22"/>
        </w:rPr>
      </w:pPr>
    </w:p>
    <w:p w14:paraId="329E21B3" w14:textId="30872D4A" w:rsidR="006B7C8E" w:rsidRPr="00DD1F63" w:rsidRDefault="00CA72FF" w:rsidP="00377A09">
      <w:pPr>
        <w:pStyle w:val="Heading2"/>
        <w:keepLines w:val="0"/>
        <w:spacing w:after="0" w:line="240" w:lineRule="auto"/>
        <w:ind w:left="425" w:hanging="426"/>
        <w:rPr>
          <w:rFonts w:ascii="Times New Roman" w:hAnsi="Times New Roman" w:cs="Times New Roman"/>
          <w:sz w:val="22"/>
        </w:rPr>
      </w:pPr>
      <w:r w:rsidRPr="00DD1F63">
        <w:rPr>
          <w:rFonts w:ascii="Times New Roman" w:hAnsi="Times New Roman" w:cs="Times New Roman"/>
          <w:sz w:val="22"/>
        </w:rPr>
        <w:t xml:space="preserve">6.4 </w:t>
      </w:r>
      <w:r w:rsidR="00A164DD" w:rsidRPr="00DD1F63">
        <w:rPr>
          <w:rFonts w:ascii="Times New Roman" w:hAnsi="Times New Roman" w:cs="Times New Roman"/>
          <w:sz w:val="22"/>
        </w:rPr>
        <w:tab/>
      </w:r>
      <w:r w:rsidRPr="00DD1F63">
        <w:rPr>
          <w:rFonts w:ascii="Times New Roman" w:hAnsi="Times New Roman" w:cs="Times New Roman"/>
          <w:sz w:val="22"/>
        </w:rPr>
        <w:t xml:space="preserve">Special precautions for storage </w:t>
      </w:r>
    </w:p>
    <w:p w14:paraId="698E2CD1" w14:textId="77777777" w:rsidR="002E0B27" w:rsidRPr="00DD1F63" w:rsidRDefault="002E0B27" w:rsidP="00377A09">
      <w:pPr>
        <w:keepNext/>
        <w:spacing w:after="0" w:line="240" w:lineRule="auto"/>
        <w:ind w:left="425" w:hanging="11"/>
        <w:jc w:val="left"/>
        <w:rPr>
          <w:rFonts w:ascii="Times New Roman" w:hAnsi="Times New Roman" w:cs="Times New Roman"/>
          <w:sz w:val="22"/>
        </w:rPr>
      </w:pPr>
    </w:p>
    <w:p w14:paraId="777F8F7D" w14:textId="45D00B01"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Store at 2°C to 8°C (in a refrigerator) and store the syringe in the outer carton to protect from light. Do not freeze. </w:t>
      </w:r>
    </w:p>
    <w:p w14:paraId="594306FE" w14:textId="77777777" w:rsidR="0036040E" w:rsidRPr="00DD1F63" w:rsidRDefault="0036040E" w:rsidP="00377A09">
      <w:pPr>
        <w:spacing w:after="0" w:line="240" w:lineRule="auto"/>
        <w:ind w:left="426" w:right="375"/>
        <w:jc w:val="left"/>
        <w:rPr>
          <w:rFonts w:ascii="Times New Roman" w:hAnsi="Times New Roman" w:cs="Times New Roman"/>
          <w:sz w:val="22"/>
        </w:rPr>
      </w:pPr>
    </w:p>
    <w:p w14:paraId="73B0A8D7" w14:textId="7B70321C"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Do not use beyond the expiration date. </w:t>
      </w:r>
    </w:p>
    <w:p w14:paraId="1A3F5555" w14:textId="77777777" w:rsidR="0036040E" w:rsidRPr="00DD1F63" w:rsidRDefault="0036040E" w:rsidP="00377A09">
      <w:pPr>
        <w:spacing w:after="0" w:line="240" w:lineRule="auto"/>
        <w:ind w:left="426" w:right="375"/>
        <w:jc w:val="left"/>
        <w:rPr>
          <w:rFonts w:ascii="Times New Roman" w:hAnsi="Times New Roman" w:cs="Times New Roman"/>
          <w:sz w:val="22"/>
        </w:rPr>
      </w:pPr>
    </w:p>
    <w:p w14:paraId="5B4A38D0" w14:textId="5E9B8B14"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When required (for example, when travelling), a single </w:t>
      </w:r>
      <w:proofErr w:type="spellStart"/>
      <w:r w:rsidR="00370588" w:rsidRPr="00370588">
        <w:rPr>
          <w:rFonts w:ascii="Times New Roman" w:hAnsi="Times New Roman" w:cs="Times New Roman"/>
          <w:sz w:val="22"/>
        </w:rPr>
        <w:t>Ciptunec</w:t>
      </w:r>
      <w:proofErr w:type="spellEnd"/>
      <w:r w:rsidR="00370588" w:rsidRPr="00370588" w:rsidDel="00370588">
        <w:rPr>
          <w:rFonts w:ascii="Times New Roman" w:hAnsi="Times New Roman" w:cs="Times New Roman"/>
          <w:sz w:val="22"/>
        </w:rPr>
        <w:t xml:space="preserve"> </w:t>
      </w:r>
      <w:r w:rsidRPr="00DD1F63">
        <w:rPr>
          <w:rFonts w:ascii="Times New Roman" w:hAnsi="Times New Roman" w:cs="Times New Roman"/>
          <w:sz w:val="22"/>
        </w:rPr>
        <w:t xml:space="preserve">pre-filled syringe or pen may be stored below 25°C (room temperature) for a maximum period of 14 </w:t>
      </w:r>
      <w:proofErr w:type="gramStart"/>
      <w:r w:rsidRPr="00DD1F63">
        <w:rPr>
          <w:rFonts w:ascii="Times New Roman" w:hAnsi="Times New Roman" w:cs="Times New Roman"/>
          <w:sz w:val="22"/>
        </w:rPr>
        <w:t>days, but</w:t>
      </w:r>
      <w:proofErr w:type="gramEnd"/>
      <w:r w:rsidRPr="00DD1F63">
        <w:rPr>
          <w:rFonts w:ascii="Times New Roman" w:hAnsi="Times New Roman" w:cs="Times New Roman"/>
          <w:sz w:val="22"/>
        </w:rPr>
        <w:t xml:space="preserve"> must be protected from light. Once removed from the refrigerator for room temperature storage, the syringe </w:t>
      </w:r>
      <w:r w:rsidRPr="00DD1F63">
        <w:rPr>
          <w:rFonts w:ascii="Times New Roman" w:hAnsi="Times New Roman" w:cs="Times New Roman"/>
          <w:b/>
          <w:sz w:val="22"/>
        </w:rPr>
        <w:t>must be used within 14 days or discarded</w:t>
      </w:r>
      <w:r w:rsidRPr="00DD1F63">
        <w:rPr>
          <w:rFonts w:ascii="Times New Roman" w:hAnsi="Times New Roman" w:cs="Times New Roman"/>
          <w:bCs/>
          <w:sz w:val="22"/>
        </w:rPr>
        <w:t>, even if it is returned to the refrigerator.</w:t>
      </w:r>
      <w:r w:rsidRPr="00DD1F63">
        <w:rPr>
          <w:rFonts w:ascii="Times New Roman" w:hAnsi="Times New Roman" w:cs="Times New Roman"/>
          <w:sz w:val="22"/>
        </w:rPr>
        <w:t xml:space="preserve"> </w:t>
      </w:r>
    </w:p>
    <w:p w14:paraId="12148636" w14:textId="77777777" w:rsidR="00771263" w:rsidRPr="00DD1F63" w:rsidRDefault="00771263" w:rsidP="00377A09">
      <w:pPr>
        <w:spacing w:after="0" w:line="240" w:lineRule="auto"/>
        <w:ind w:left="426" w:right="375"/>
        <w:jc w:val="left"/>
        <w:rPr>
          <w:rFonts w:ascii="Times New Roman" w:hAnsi="Times New Roman" w:cs="Times New Roman"/>
          <w:sz w:val="22"/>
        </w:rPr>
      </w:pPr>
    </w:p>
    <w:p w14:paraId="49727561" w14:textId="1F90DCA1"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date of removal from the refrigerator should be recorded on the syringe label, to allow the syringe to be discarded after the maximum 14 days if not used. </w:t>
      </w:r>
    </w:p>
    <w:p w14:paraId="136CC3A3" w14:textId="77777777" w:rsidR="005A1A49" w:rsidRPr="00DD1F63" w:rsidRDefault="005A1A49" w:rsidP="00377A09">
      <w:pPr>
        <w:spacing w:after="0" w:line="240" w:lineRule="auto"/>
        <w:ind w:left="426" w:right="375"/>
        <w:jc w:val="left"/>
        <w:rPr>
          <w:rFonts w:ascii="Times New Roman" w:hAnsi="Times New Roman" w:cs="Times New Roman"/>
          <w:sz w:val="22"/>
        </w:rPr>
      </w:pPr>
    </w:p>
    <w:p w14:paraId="23CBFD7E" w14:textId="354945BB" w:rsidR="00BF18B5"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6.5 </w:t>
      </w:r>
      <w:r w:rsidR="00A164DD" w:rsidRPr="00DD1F63">
        <w:rPr>
          <w:rFonts w:ascii="Times New Roman" w:hAnsi="Times New Roman" w:cs="Times New Roman"/>
          <w:sz w:val="22"/>
        </w:rPr>
        <w:tab/>
      </w:r>
      <w:r w:rsidRPr="00DD1F63">
        <w:rPr>
          <w:rFonts w:ascii="Times New Roman" w:hAnsi="Times New Roman" w:cs="Times New Roman"/>
          <w:sz w:val="22"/>
        </w:rPr>
        <w:t>Nature and contents of container</w:t>
      </w:r>
    </w:p>
    <w:p w14:paraId="470DE0B5" w14:textId="6E212832" w:rsidR="006B7C8E" w:rsidRPr="00DD1F63" w:rsidRDefault="006B7C8E" w:rsidP="00377A09">
      <w:pPr>
        <w:pStyle w:val="Heading2"/>
        <w:spacing w:after="0" w:line="240" w:lineRule="auto"/>
        <w:ind w:left="426"/>
        <w:rPr>
          <w:rFonts w:ascii="Times New Roman" w:hAnsi="Times New Roman" w:cs="Times New Roman"/>
          <w:sz w:val="22"/>
        </w:rPr>
      </w:pPr>
    </w:p>
    <w:p w14:paraId="7FA27049" w14:textId="6743A6F2" w:rsidR="006B7C8E" w:rsidRPr="00DD1F63" w:rsidRDefault="00370588" w:rsidP="00377A09">
      <w:pPr>
        <w:spacing w:after="0" w:line="240" w:lineRule="auto"/>
        <w:ind w:left="426" w:right="49"/>
        <w:jc w:val="left"/>
        <w:rPr>
          <w:rFonts w:ascii="Times New Roman" w:hAnsi="Times New Roman" w:cs="Times New Roman"/>
          <w:sz w:val="22"/>
        </w:rPr>
      </w:pPr>
      <w:proofErr w:type="spellStart"/>
      <w:r w:rsidRPr="00370588">
        <w:rPr>
          <w:rFonts w:ascii="Times New Roman" w:hAnsi="Times New Roman" w:cs="Times New Roman"/>
          <w:sz w:val="22"/>
        </w:rPr>
        <w:t>Ciptunec</w:t>
      </w:r>
      <w:proofErr w:type="spellEnd"/>
      <w:r w:rsidRPr="00370588" w:rsidDel="00370588">
        <w:rPr>
          <w:rFonts w:ascii="Times New Roman" w:hAnsi="Times New Roman" w:cs="Times New Roman"/>
          <w:sz w:val="22"/>
        </w:rPr>
        <w:t xml:space="preserve"> </w:t>
      </w:r>
      <w:r w:rsidR="00CA72FF" w:rsidRPr="00DD1F63">
        <w:rPr>
          <w:rFonts w:ascii="Times New Roman" w:hAnsi="Times New Roman" w:cs="Times New Roman"/>
          <w:sz w:val="22"/>
        </w:rPr>
        <w:t xml:space="preserve">(adalimumab) solution for injection is supplied as a sterile solution of 40 mg adalimumab dissolved in 0.4 mL sterile solution for subcutaneous administration in the following packaging configurations: </w:t>
      </w:r>
    </w:p>
    <w:p w14:paraId="15BA9496"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1E2FFE8" w14:textId="186EFD40" w:rsidR="006B7C8E" w:rsidRPr="00DD1F63" w:rsidRDefault="00370588" w:rsidP="00377A09">
      <w:pPr>
        <w:spacing w:after="0" w:line="240" w:lineRule="auto"/>
        <w:ind w:left="426" w:right="49" w:firstLine="0"/>
        <w:jc w:val="left"/>
        <w:rPr>
          <w:rFonts w:ascii="Times New Roman" w:hAnsi="Times New Roman" w:cs="Times New Roman"/>
          <w:sz w:val="22"/>
        </w:rPr>
      </w:pPr>
      <w:proofErr w:type="spellStart"/>
      <w:r w:rsidRPr="00370588">
        <w:rPr>
          <w:rFonts w:ascii="Times New Roman" w:hAnsi="Times New Roman" w:cs="Times New Roman"/>
          <w:sz w:val="22"/>
        </w:rPr>
        <w:t>Ciptunec</w:t>
      </w:r>
      <w:proofErr w:type="spellEnd"/>
      <w:r w:rsidRPr="00370588" w:rsidDel="00370588">
        <w:rPr>
          <w:rFonts w:ascii="Times New Roman" w:hAnsi="Times New Roman" w:cs="Times New Roman"/>
          <w:sz w:val="22"/>
        </w:rPr>
        <w:t xml:space="preserve"> </w:t>
      </w:r>
      <w:r w:rsidR="00CA72FF" w:rsidRPr="00DD1F63">
        <w:rPr>
          <w:rFonts w:ascii="Times New Roman" w:hAnsi="Times New Roman" w:cs="Times New Roman"/>
          <w:sz w:val="22"/>
        </w:rPr>
        <w:t xml:space="preserve">40 mg per 0.4 mL solution for injection in a single-use pre-filled syringe: </w:t>
      </w:r>
    </w:p>
    <w:p w14:paraId="6C8030B5" w14:textId="77777777" w:rsidR="006B7C8E" w:rsidRPr="00DD1F63" w:rsidRDefault="00CA72FF" w:rsidP="00377A09">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1 alcohol pad and 1 blister with 1 pre-filled syringe </w:t>
      </w:r>
    </w:p>
    <w:p w14:paraId="0CD99042" w14:textId="77777777" w:rsidR="006B7C8E" w:rsidRPr="00DD1F63" w:rsidRDefault="00CA72FF" w:rsidP="00377A09">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2 alcohol pads and 2 blisters, each containing 1 pre-filled syringe </w:t>
      </w:r>
    </w:p>
    <w:p w14:paraId="75D5FCAB" w14:textId="77777777" w:rsidR="006B7C8E" w:rsidRPr="00DD1F63" w:rsidRDefault="00CA72FF" w:rsidP="00377A09">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6 alcohol pads and 6 blisters, each containing 1 pre-filled syringe </w:t>
      </w:r>
    </w:p>
    <w:p w14:paraId="2D4B1E17"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5CE1679" w14:textId="51163632" w:rsidR="006B7C8E" w:rsidRPr="00DD1F63" w:rsidRDefault="00370588" w:rsidP="00377A09">
      <w:pPr>
        <w:spacing w:after="0" w:line="240" w:lineRule="auto"/>
        <w:ind w:left="426" w:right="375"/>
        <w:jc w:val="left"/>
        <w:rPr>
          <w:rFonts w:ascii="Times New Roman" w:hAnsi="Times New Roman" w:cs="Times New Roman"/>
          <w:sz w:val="22"/>
        </w:rPr>
      </w:pPr>
      <w:proofErr w:type="spellStart"/>
      <w:r w:rsidRPr="00370588">
        <w:rPr>
          <w:rFonts w:ascii="Times New Roman" w:hAnsi="Times New Roman" w:cs="Times New Roman"/>
          <w:sz w:val="22"/>
        </w:rPr>
        <w:t>Ciptunec</w:t>
      </w:r>
      <w:proofErr w:type="spellEnd"/>
      <w:r w:rsidRPr="00370588" w:rsidDel="00370588">
        <w:rPr>
          <w:rFonts w:ascii="Times New Roman" w:hAnsi="Times New Roman" w:cs="Times New Roman"/>
          <w:sz w:val="22"/>
        </w:rPr>
        <w:t xml:space="preserve"> </w:t>
      </w:r>
      <w:r w:rsidR="00CA72FF" w:rsidRPr="00DD1F63">
        <w:rPr>
          <w:rFonts w:ascii="Times New Roman" w:hAnsi="Times New Roman" w:cs="Times New Roman"/>
          <w:sz w:val="22"/>
        </w:rPr>
        <w:t xml:space="preserve">40 mg per 0.4 mL solution for injection in a single-use pre-filled pen: </w:t>
      </w:r>
    </w:p>
    <w:p w14:paraId="3E40E9B0" w14:textId="77777777" w:rsidR="006B7C8E" w:rsidRPr="00DD1F63" w:rsidRDefault="00CA72FF" w:rsidP="00377A09">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2 alcohol pads and 1 blister with 1 pre-filled pen </w:t>
      </w:r>
    </w:p>
    <w:p w14:paraId="5B51D496" w14:textId="77777777" w:rsidR="006B7C8E" w:rsidRPr="00DD1F63" w:rsidRDefault="00CA72FF" w:rsidP="00377A09">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2 alcohol pads and 2 blisters, each containing 1 pre-filled pen </w:t>
      </w:r>
    </w:p>
    <w:p w14:paraId="7EA620FC" w14:textId="77777777" w:rsidR="006B7C8E" w:rsidRPr="00DD1F63" w:rsidRDefault="00CA72FF" w:rsidP="00377A09">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6 alcohol pads and 6 blisters, each containing 1 pre-filled pen </w:t>
      </w:r>
    </w:p>
    <w:p w14:paraId="464C71FC"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7DBDB5EC" w14:textId="6C1BBC91" w:rsidR="006B7C8E" w:rsidRPr="00DD1F63" w:rsidRDefault="00370588" w:rsidP="00377A09">
      <w:pPr>
        <w:spacing w:after="0" w:line="240" w:lineRule="auto"/>
        <w:ind w:left="416" w:right="375" w:firstLine="0"/>
        <w:jc w:val="left"/>
        <w:rPr>
          <w:rFonts w:ascii="Times New Roman" w:hAnsi="Times New Roman" w:cs="Times New Roman"/>
          <w:sz w:val="22"/>
        </w:rPr>
      </w:pPr>
      <w:proofErr w:type="spellStart"/>
      <w:r w:rsidRPr="00370588">
        <w:rPr>
          <w:rFonts w:ascii="Times New Roman" w:hAnsi="Times New Roman" w:cs="Times New Roman"/>
          <w:sz w:val="22"/>
        </w:rPr>
        <w:t>Ciptunec</w:t>
      </w:r>
      <w:proofErr w:type="spellEnd"/>
      <w:r w:rsidRPr="00370588" w:rsidDel="00370588">
        <w:rPr>
          <w:rFonts w:ascii="Times New Roman" w:hAnsi="Times New Roman" w:cs="Times New Roman"/>
          <w:sz w:val="22"/>
        </w:rPr>
        <w:t xml:space="preserve"> </w:t>
      </w:r>
      <w:r w:rsidR="00CA72FF" w:rsidRPr="00DD1F63">
        <w:rPr>
          <w:rFonts w:ascii="Times New Roman" w:hAnsi="Times New Roman" w:cs="Times New Roman"/>
          <w:sz w:val="22"/>
        </w:rPr>
        <w:t xml:space="preserve">(adalimumab) solution for injection is supplied as a sterile solution of 80 mg adalimumab dissolved in 0.8 mL sterile solution for subcutaneous administration in the following packaging configuration: </w:t>
      </w:r>
    </w:p>
    <w:p w14:paraId="30C13599" w14:textId="77777777" w:rsidR="00EA1C0E" w:rsidRPr="00DD1F63" w:rsidRDefault="00EA1C0E" w:rsidP="00377A09">
      <w:pPr>
        <w:spacing w:after="0" w:line="240" w:lineRule="auto"/>
        <w:ind w:left="416" w:right="375" w:firstLine="0"/>
        <w:jc w:val="left"/>
        <w:rPr>
          <w:rFonts w:ascii="Times New Roman" w:hAnsi="Times New Roman" w:cs="Times New Roman"/>
          <w:sz w:val="22"/>
        </w:rPr>
      </w:pPr>
    </w:p>
    <w:p w14:paraId="00F9E6B4" w14:textId="4FFC0E80" w:rsidR="00EA1C0E" w:rsidRPr="00DD1F63" w:rsidRDefault="00A77205" w:rsidP="00377A09">
      <w:pPr>
        <w:spacing w:after="0" w:line="240" w:lineRule="auto"/>
        <w:ind w:left="426" w:right="49"/>
        <w:jc w:val="left"/>
        <w:rPr>
          <w:rFonts w:ascii="Times New Roman" w:hAnsi="Times New Roman" w:cs="Times New Roman"/>
          <w:sz w:val="22"/>
        </w:rPr>
      </w:pPr>
      <w:proofErr w:type="spellStart"/>
      <w:r w:rsidRPr="00A77205">
        <w:rPr>
          <w:rFonts w:ascii="Times New Roman" w:hAnsi="Times New Roman" w:cs="Times New Roman"/>
          <w:sz w:val="22"/>
        </w:rPr>
        <w:t>Ciptunec</w:t>
      </w:r>
      <w:proofErr w:type="spellEnd"/>
      <w:r w:rsidRPr="00A77205" w:rsidDel="00A77205">
        <w:rPr>
          <w:rFonts w:ascii="Times New Roman" w:hAnsi="Times New Roman" w:cs="Times New Roman"/>
          <w:sz w:val="22"/>
        </w:rPr>
        <w:t xml:space="preserve"> </w:t>
      </w:r>
      <w:r w:rsidR="00CA72FF" w:rsidRPr="00DD1F63">
        <w:rPr>
          <w:rFonts w:ascii="Times New Roman" w:hAnsi="Times New Roman" w:cs="Times New Roman"/>
          <w:sz w:val="22"/>
        </w:rPr>
        <w:t xml:space="preserve">80 mg solution for injection in single-use pre-filled syringe (for </w:t>
      </w:r>
      <w:r w:rsidR="00CA72FF" w:rsidRPr="00DD1F63">
        <w:rPr>
          <w:rFonts w:ascii="Times New Roman" w:hAnsi="Times New Roman" w:cs="Times New Roman"/>
          <w:b/>
          <w:sz w:val="22"/>
        </w:rPr>
        <w:t>patient use</w:t>
      </w:r>
      <w:r w:rsidR="00CA72FF" w:rsidRPr="00DD1F63">
        <w:rPr>
          <w:rFonts w:ascii="Times New Roman" w:hAnsi="Times New Roman" w:cs="Times New Roman"/>
          <w:sz w:val="22"/>
        </w:rPr>
        <w:t xml:space="preserve">): </w:t>
      </w:r>
    </w:p>
    <w:p w14:paraId="71F915B8" w14:textId="463F7B6F" w:rsidR="006B7C8E" w:rsidRPr="00DD1F63" w:rsidRDefault="00CA72FF" w:rsidP="00377A09">
      <w:pPr>
        <w:spacing w:after="0" w:line="240" w:lineRule="auto"/>
        <w:ind w:left="426" w:right="191"/>
        <w:jc w:val="left"/>
        <w:rPr>
          <w:rFonts w:ascii="Times New Roman" w:hAnsi="Times New Roman" w:cs="Times New Roman"/>
          <w:sz w:val="22"/>
        </w:rPr>
      </w:pPr>
      <w:r w:rsidRPr="00DD1F63">
        <w:rPr>
          <w:rFonts w:ascii="Times New Roman" w:eastAsia="Segoe UI Symbol" w:hAnsi="Times New Roman" w:cs="Times New Roman"/>
          <w:sz w:val="22"/>
        </w:rPr>
        <w:t>•</w:t>
      </w:r>
      <w:r w:rsidRPr="00DD1F63">
        <w:rPr>
          <w:rFonts w:ascii="Times New Roman" w:hAnsi="Times New Roman" w:cs="Times New Roman"/>
          <w:sz w:val="22"/>
        </w:rPr>
        <w:t xml:space="preserve"> Carton containing 2 alcohol pads and 1 blister with 1 pre-filled syringe </w:t>
      </w:r>
    </w:p>
    <w:p w14:paraId="7BC31EC3"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164A22E9" w14:textId="262BE422" w:rsidR="00843032" w:rsidRPr="00DD1F63" w:rsidRDefault="00C1005C"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Product is for single use in one patient only. Discard any residue.</w:t>
      </w:r>
    </w:p>
    <w:p w14:paraId="7CDBB7BA" w14:textId="77777777" w:rsidR="00C1005C" w:rsidRPr="00DD1F63" w:rsidRDefault="00C1005C" w:rsidP="00377A09">
      <w:pPr>
        <w:spacing w:after="0" w:line="240" w:lineRule="auto"/>
        <w:ind w:left="426" w:right="375"/>
        <w:jc w:val="left"/>
        <w:rPr>
          <w:rFonts w:ascii="Times New Roman" w:hAnsi="Times New Roman" w:cs="Times New Roman"/>
          <w:sz w:val="22"/>
        </w:rPr>
      </w:pPr>
    </w:p>
    <w:p w14:paraId="6FEEE254" w14:textId="116BB269" w:rsidR="006B7C8E" w:rsidRPr="00DD1F63" w:rsidRDefault="00CA72FF" w:rsidP="00377A09">
      <w:pPr>
        <w:pStyle w:val="Heading2"/>
        <w:keepLines w:val="0"/>
        <w:spacing w:after="0" w:line="240" w:lineRule="auto"/>
        <w:ind w:left="425" w:hanging="426"/>
        <w:rPr>
          <w:rFonts w:ascii="Times New Roman" w:hAnsi="Times New Roman" w:cs="Times New Roman"/>
          <w:sz w:val="22"/>
        </w:rPr>
      </w:pPr>
      <w:r w:rsidRPr="00DD1F63">
        <w:rPr>
          <w:rFonts w:ascii="Times New Roman" w:hAnsi="Times New Roman" w:cs="Times New Roman"/>
          <w:sz w:val="22"/>
        </w:rPr>
        <w:t xml:space="preserve">6.6 </w:t>
      </w:r>
      <w:r w:rsidR="00A164DD" w:rsidRPr="00DD1F63">
        <w:rPr>
          <w:rFonts w:ascii="Times New Roman" w:hAnsi="Times New Roman" w:cs="Times New Roman"/>
          <w:sz w:val="22"/>
        </w:rPr>
        <w:tab/>
      </w:r>
      <w:r w:rsidRPr="00DD1F63">
        <w:rPr>
          <w:rFonts w:ascii="Times New Roman" w:hAnsi="Times New Roman" w:cs="Times New Roman"/>
          <w:sz w:val="22"/>
        </w:rPr>
        <w:t xml:space="preserve">Special precautions for disposal </w:t>
      </w:r>
    </w:p>
    <w:p w14:paraId="2751413A" w14:textId="77777777" w:rsidR="00843032" w:rsidRPr="00DD1F63" w:rsidRDefault="00843032" w:rsidP="00377A09">
      <w:pPr>
        <w:keepNext/>
        <w:spacing w:after="0" w:line="240" w:lineRule="auto"/>
        <w:ind w:left="425" w:hanging="11"/>
        <w:jc w:val="left"/>
        <w:rPr>
          <w:rFonts w:ascii="Times New Roman" w:hAnsi="Times New Roman" w:cs="Times New Roman"/>
          <w:sz w:val="22"/>
        </w:rPr>
      </w:pPr>
    </w:p>
    <w:p w14:paraId="3A6DABC6" w14:textId="54E1814B"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Australia, any unused medicine or waste material should be disposed of by taking it to your local pharmacy. </w:t>
      </w:r>
    </w:p>
    <w:p w14:paraId="6A2A016C" w14:textId="77777777" w:rsidR="00CE220C" w:rsidRPr="00DD1F63" w:rsidRDefault="00CE220C" w:rsidP="00377A09">
      <w:pPr>
        <w:spacing w:after="0" w:line="240" w:lineRule="auto"/>
        <w:ind w:left="426" w:right="375"/>
        <w:jc w:val="left"/>
        <w:rPr>
          <w:rFonts w:ascii="Times New Roman" w:hAnsi="Times New Roman" w:cs="Times New Roman"/>
          <w:sz w:val="22"/>
        </w:rPr>
      </w:pPr>
    </w:p>
    <w:p w14:paraId="47B0A883" w14:textId="59F307E9" w:rsidR="00FC6390" w:rsidRPr="00DD1F63" w:rsidRDefault="00CA72FF" w:rsidP="00377A09">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6.7 </w:t>
      </w:r>
      <w:r w:rsidR="00A164DD" w:rsidRPr="00DD1F63">
        <w:rPr>
          <w:rFonts w:ascii="Times New Roman" w:hAnsi="Times New Roman" w:cs="Times New Roman"/>
          <w:sz w:val="22"/>
        </w:rPr>
        <w:tab/>
      </w:r>
      <w:r w:rsidRPr="00DD1F63">
        <w:rPr>
          <w:rFonts w:ascii="Times New Roman" w:hAnsi="Times New Roman" w:cs="Times New Roman"/>
          <w:sz w:val="22"/>
        </w:rPr>
        <w:t>Physicochemical properties</w:t>
      </w:r>
    </w:p>
    <w:p w14:paraId="1C639D21" w14:textId="4BFD18E3" w:rsidR="006B7C8E" w:rsidRPr="00DD1F63" w:rsidRDefault="00CA72FF" w:rsidP="00377A09">
      <w:pPr>
        <w:pStyle w:val="Heading2"/>
        <w:spacing w:after="0" w:line="240" w:lineRule="auto"/>
        <w:ind w:left="426"/>
        <w:rPr>
          <w:rFonts w:ascii="Times New Roman" w:hAnsi="Times New Roman" w:cs="Times New Roman"/>
          <w:sz w:val="22"/>
        </w:rPr>
      </w:pPr>
      <w:r w:rsidRPr="00DD1F63">
        <w:rPr>
          <w:rFonts w:ascii="Times New Roman" w:hAnsi="Times New Roman" w:cs="Times New Roman"/>
          <w:sz w:val="22"/>
        </w:rPr>
        <w:t xml:space="preserve"> </w:t>
      </w:r>
    </w:p>
    <w:p w14:paraId="348FB86E" w14:textId="5F3D8094" w:rsidR="006B7C8E" w:rsidRPr="00DD1F63" w:rsidRDefault="00CA72FF" w:rsidP="00377A09">
      <w:pPr>
        <w:spacing w:after="0" w:line="240" w:lineRule="auto"/>
        <w:ind w:left="426" w:firstLine="0"/>
        <w:jc w:val="left"/>
        <w:rPr>
          <w:rFonts w:ascii="Times New Roman" w:hAnsi="Times New Roman" w:cs="Times New Roman"/>
          <w:b/>
          <w:bCs/>
          <w:sz w:val="22"/>
        </w:rPr>
      </w:pPr>
      <w:r w:rsidRPr="00DD1F63">
        <w:rPr>
          <w:rFonts w:ascii="Times New Roman" w:hAnsi="Times New Roman" w:cs="Times New Roman"/>
          <w:b/>
          <w:bCs/>
          <w:sz w:val="22"/>
          <w:u w:val="single" w:color="000000"/>
        </w:rPr>
        <w:t>CAS number</w:t>
      </w:r>
      <w:r w:rsidRPr="00DD1F63">
        <w:rPr>
          <w:rFonts w:ascii="Times New Roman" w:hAnsi="Times New Roman" w:cs="Times New Roman"/>
          <w:b/>
          <w:bCs/>
          <w:sz w:val="22"/>
        </w:rPr>
        <w:t xml:space="preserve"> </w:t>
      </w:r>
    </w:p>
    <w:p w14:paraId="557AA98C" w14:textId="77777777" w:rsidR="00FC6390" w:rsidRPr="00DD1F63" w:rsidRDefault="00FC6390" w:rsidP="00377A09">
      <w:pPr>
        <w:spacing w:after="0" w:line="240" w:lineRule="auto"/>
        <w:ind w:left="426" w:firstLine="0"/>
        <w:jc w:val="left"/>
        <w:rPr>
          <w:rFonts w:ascii="Times New Roman" w:hAnsi="Times New Roman" w:cs="Times New Roman"/>
          <w:sz w:val="22"/>
        </w:rPr>
      </w:pPr>
    </w:p>
    <w:p w14:paraId="3F64D50B" w14:textId="77777777" w:rsidR="00FC6390"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bCs/>
          <w:sz w:val="22"/>
        </w:rPr>
        <w:t>CAS Registry Number:</w:t>
      </w:r>
      <w:r w:rsidRPr="00DD1F63">
        <w:rPr>
          <w:rFonts w:ascii="Times New Roman" w:hAnsi="Times New Roman" w:cs="Times New Roman"/>
          <w:sz w:val="22"/>
        </w:rPr>
        <w:t xml:space="preserve"> 331731-18-1</w:t>
      </w:r>
    </w:p>
    <w:p w14:paraId="08A32BB5" w14:textId="4AFBA7E1"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33643C6E" w14:textId="77777777" w:rsidR="00FA0EBB" w:rsidRPr="00DD1F63" w:rsidRDefault="00FA0EBB" w:rsidP="00377A09">
      <w:pPr>
        <w:spacing w:after="0" w:line="240" w:lineRule="auto"/>
        <w:ind w:left="426" w:right="375"/>
        <w:jc w:val="left"/>
        <w:rPr>
          <w:rFonts w:ascii="Times New Roman" w:hAnsi="Times New Roman" w:cs="Times New Roman"/>
          <w:sz w:val="22"/>
        </w:rPr>
      </w:pPr>
    </w:p>
    <w:p w14:paraId="76D066C3" w14:textId="64D94F5E" w:rsidR="006B7C8E" w:rsidRPr="00DD1F63" w:rsidRDefault="00CA72FF" w:rsidP="00377A09">
      <w:pPr>
        <w:keepNext/>
        <w:spacing w:after="0" w:line="240" w:lineRule="auto"/>
        <w:ind w:left="425" w:hanging="425"/>
        <w:jc w:val="left"/>
        <w:rPr>
          <w:rFonts w:ascii="Times New Roman" w:hAnsi="Times New Roman" w:cs="Times New Roman"/>
          <w:sz w:val="22"/>
        </w:rPr>
      </w:pPr>
      <w:r w:rsidRPr="00DD1F63">
        <w:rPr>
          <w:rFonts w:ascii="Times New Roman" w:eastAsia="Cambria" w:hAnsi="Times New Roman" w:cs="Times New Roman"/>
          <w:b/>
          <w:sz w:val="22"/>
        </w:rPr>
        <w:t>7</w:t>
      </w:r>
      <w:r w:rsidRPr="00DD1F63">
        <w:rPr>
          <w:rFonts w:ascii="Times New Roman" w:hAnsi="Times New Roman" w:cs="Times New Roman"/>
          <w:b/>
          <w:sz w:val="22"/>
        </w:rPr>
        <w:t xml:space="preserve"> </w:t>
      </w:r>
      <w:r w:rsidR="00A164DD" w:rsidRPr="00DD1F63">
        <w:rPr>
          <w:rFonts w:ascii="Times New Roman" w:hAnsi="Times New Roman" w:cs="Times New Roman"/>
          <w:b/>
          <w:sz w:val="22"/>
        </w:rPr>
        <w:tab/>
      </w:r>
      <w:r w:rsidRPr="00DD1F63">
        <w:rPr>
          <w:rFonts w:ascii="Times New Roman" w:eastAsia="Cambria" w:hAnsi="Times New Roman" w:cs="Times New Roman"/>
          <w:b/>
          <w:sz w:val="22"/>
        </w:rPr>
        <w:t xml:space="preserve">MEDICINE SCHEDULE (POISONS STANDARD) </w:t>
      </w:r>
    </w:p>
    <w:p w14:paraId="18C7A0CA" w14:textId="77777777" w:rsidR="00FA0EBB" w:rsidRPr="00DD1F63" w:rsidRDefault="00FA0EBB" w:rsidP="00377A09">
      <w:pPr>
        <w:spacing w:after="0" w:line="240" w:lineRule="auto"/>
        <w:ind w:left="426" w:right="375"/>
        <w:jc w:val="left"/>
        <w:rPr>
          <w:rFonts w:ascii="Times New Roman" w:hAnsi="Times New Roman" w:cs="Times New Roman"/>
          <w:sz w:val="22"/>
        </w:rPr>
      </w:pPr>
    </w:p>
    <w:p w14:paraId="340346E5" w14:textId="7DD96A15" w:rsidR="006B7C8E" w:rsidRPr="00DD1F63" w:rsidRDefault="00CA72FF" w:rsidP="00377A09">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Schedule 4 - Prescription Only Medicine </w:t>
      </w:r>
    </w:p>
    <w:p w14:paraId="0C5668FD" w14:textId="276F0BB3" w:rsidR="009F6277" w:rsidRPr="00DD1F63" w:rsidRDefault="009F6277" w:rsidP="00377A09">
      <w:pPr>
        <w:spacing w:after="0" w:line="240" w:lineRule="auto"/>
        <w:ind w:left="426" w:right="375"/>
        <w:jc w:val="left"/>
        <w:rPr>
          <w:rFonts w:ascii="Times New Roman" w:hAnsi="Times New Roman" w:cs="Times New Roman"/>
          <w:sz w:val="22"/>
        </w:rPr>
      </w:pPr>
    </w:p>
    <w:p w14:paraId="6A208D4B" w14:textId="77777777" w:rsidR="00FA0EBB" w:rsidRPr="00DD1F63" w:rsidRDefault="00FA0EBB" w:rsidP="00377A09">
      <w:pPr>
        <w:spacing w:after="0" w:line="240" w:lineRule="auto"/>
        <w:ind w:left="426" w:right="375"/>
        <w:jc w:val="left"/>
        <w:rPr>
          <w:rFonts w:ascii="Times New Roman" w:hAnsi="Times New Roman" w:cs="Times New Roman"/>
          <w:sz w:val="22"/>
        </w:rPr>
      </w:pPr>
    </w:p>
    <w:p w14:paraId="7CC38300" w14:textId="424364BC" w:rsidR="006B7C8E" w:rsidRPr="00DD1F63" w:rsidRDefault="00CA72FF" w:rsidP="00377A09">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8</w:t>
      </w:r>
      <w:r w:rsidRPr="00DD1F63">
        <w:rPr>
          <w:rFonts w:ascii="Times New Roman" w:eastAsia="Arial" w:hAnsi="Times New Roman" w:cs="Times New Roman"/>
          <w:sz w:val="22"/>
        </w:rPr>
        <w:t xml:space="preserve"> </w:t>
      </w:r>
      <w:r w:rsidR="00A164DD" w:rsidRPr="00DD1F63">
        <w:rPr>
          <w:rFonts w:ascii="Times New Roman" w:eastAsia="Arial" w:hAnsi="Times New Roman" w:cs="Times New Roman"/>
          <w:sz w:val="22"/>
        </w:rPr>
        <w:tab/>
      </w:r>
      <w:proofErr w:type="gramStart"/>
      <w:r w:rsidRPr="00DD1F63">
        <w:rPr>
          <w:rFonts w:ascii="Times New Roman" w:hAnsi="Times New Roman" w:cs="Times New Roman"/>
          <w:sz w:val="22"/>
        </w:rPr>
        <w:t>SPONSOR</w:t>
      </w:r>
      <w:proofErr w:type="gramEnd"/>
      <w:r w:rsidRPr="00DD1F63">
        <w:rPr>
          <w:rFonts w:ascii="Times New Roman" w:hAnsi="Times New Roman" w:cs="Times New Roman"/>
          <w:sz w:val="22"/>
        </w:rPr>
        <w:t xml:space="preserve"> </w:t>
      </w:r>
    </w:p>
    <w:p w14:paraId="14929243" w14:textId="77777777" w:rsidR="00FA0EBB" w:rsidRPr="00DD1F63" w:rsidRDefault="00FA0EBB" w:rsidP="00377A09">
      <w:pPr>
        <w:spacing w:after="0" w:line="240" w:lineRule="auto"/>
        <w:ind w:left="426" w:hanging="11"/>
        <w:jc w:val="left"/>
        <w:rPr>
          <w:rFonts w:ascii="Times New Roman" w:hAnsi="Times New Roman" w:cs="Times New Roman"/>
          <w:sz w:val="22"/>
        </w:rPr>
      </w:pPr>
    </w:p>
    <w:p w14:paraId="7637554E" w14:textId="716790F0" w:rsidR="00FA0EBB" w:rsidRPr="00DD1F63" w:rsidRDefault="00EA1C0E" w:rsidP="00377A09">
      <w:pPr>
        <w:spacing w:after="0" w:line="240" w:lineRule="auto"/>
        <w:ind w:left="426" w:right="5928"/>
        <w:jc w:val="left"/>
        <w:rPr>
          <w:rFonts w:ascii="Times New Roman" w:hAnsi="Times New Roman" w:cs="Times New Roman"/>
          <w:sz w:val="22"/>
        </w:rPr>
      </w:pPr>
      <w:r w:rsidRPr="00DD1F63">
        <w:rPr>
          <w:rFonts w:ascii="Times New Roman" w:hAnsi="Times New Roman" w:cs="Times New Roman"/>
          <w:sz w:val="22"/>
        </w:rPr>
        <w:t xml:space="preserve">Cipla Australia Pty Ltd </w:t>
      </w:r>
    </w:p>
    <w:p w14:paraId="7070DA8A" w14:textId="77777777" w:rsidR="000F3F5A" w:rsidRPr="00DD1F63" w:rsidRDefault="000F3F5A" w:rsidP="00377A09">
      <w:pPr>
        <w:spacing w:after="0" w:line="240" w:lineRule="auto"/>
        <w:ind w:left="426" w:right="5928"/>
        <w:jc w:val="left"/>
        <w:rPr>
          <w:rFonts w:ascii="Times New Roman" w:hAnsi="Times New Roman" w:cs="Times New Roman"/>
          <w:bCs/>
          <w:sz w:val="22"/>
          <w:lang w:val="en-US"/>
        </w:rPr>
      </w:pPr>
      <w:r w:rsidRPr="00DD1F63">
        <w:rPr>
          <w:rFonts w:ascii="Times New Roman" w:hAnsi="Times New Roman" w:cs="Times New Roman"/>
          <w:bCs/>
          <w:sz w:val="22"/>
          <w:lang w:val="en-US"/>
        </w:rPr>
        <w:t xml:space="preserve">Level 1 / 132-136 </w:t>
      </w:r>
      <w:proofErr w:type="gramStart"/>
      <w:r w:rsidRPr="00DD1F63">
        <w:rPr>
          <w:rFonts w:ascii="Times New Roman" w:hAnsi="Times New Roman" w:cs="Times New Roman"/>
          <w:bCs/>
          <w:sz w:val="22"/>
          <w:lang w:val="en-US"/>
        </w:rPr>
        <w:t>Albert road</w:t>
      </w:r>
      <w:proofErr w:type="gramEnd"/>
      <w:r w:rsidRPr="00DD1F63">
        <w:rPr>
          <w:rFonts w:ascii="Times New Roman" w:hAnsi="Times New Roman" w:cs="Times New Roman"/>
          <w:bCs/>
          <w:sz w:val="22"/>
          <w:lang w:val="en-US"/>
        </w:rPr>
        <w:t xml:space="preserve">, </w:t>
      </w:r>
    </w:p>
    <w:p w14:paraId="347CE19C" w14:textId="77777777" w:rsidR="000F3F5A" w:rsidRPr="00DD1F63" w:rsidRDefault="000F3F5A" w:rsidP="00377A09">
      <w:pPr>
        <w:spacing w:after="0" w:line="240" w:lineRule="auto"/>
        <w:ind w:left="426" w:right="49"/>
        <w:jc w:val="left"/>
        <w:rPr>
          <w:rFonts w:ascii="Times New Roman" w:hAnsi="Times New Roman" w:cs="Times New Roman"/>
          <w:bCs/>
          <w:sz w:val="22"/>
          <w:lang w:val="en-US"/>
        </w:rPr>
      </w:pPr>
      <w:r w:rsidRPr="00DD1F63">
        <w:rPr>
          <w:rFonts w:ascii="Times New Roman" w:hAnsi="Times New Roman" w:cs="Times New Roman"/>
          <w:bCs/>
          <w:sz w:val="22"/>
          <w:lang w:val="en-US"/>
        </w:rPr>
        <w:t>SOUTH MELBOURNE VIC 3205.</w:t>
      </w:r>
    </w:p>
    <w:p w14:paraId="35E7F2B7" w14:textId="77777777" w:rsidR="000F3F5A" w:rsidRPr="00DD1F63" w:rsidRDefault="000F3F5A" w:rsidP="00377A09">
      <w:pPr>
        <w:spacing w:after="0" w:line="240" w:lineRule="auto"/>
        <w:ind w:left="426" w:right="5928"/>
        <w:jc w:val="left"/>
        <w:rPr>
          <w:rFonts w:ascii="Times New Roman" w:hAnsi="Times New Roman" w:cs="Times New Roman"/>
          <w:sz w:val="22"/>
        </w:rPr>
      </w:pPr>
      <w:r w:rsidRPr="00DD1F63">
        <w:rPr>
          <w:rFonts w:ascii="Times New Roman" w:hAnsi="Times New Roman" w:cs="Times New Roman"/>
          <w:sz w:val="22"/>
        </w:rPr>
        <w:t>drugsafety@cipla.com</w:t>
      </w:r>
    </w:p>
    <w:p w14:paraId="1E57368A" w14:textId="77777777" w:rsidR="000F3F5A" w:rsidRPr="00DD1F63" w:rsidRDefault="000F3F5A" w:rsidP="00377A09">
      <w:pPr>
        <w:spacing w:after="0" w:line="240" w:lineRule="auto"/>
        <w:ind w:left="426" w:right="5928"/>
        <w:jc w:val="left"/>
        <w:rPr>
          <w:rFonts w:ascii="Times New Roman" w:hAnsi="Times New Roman" w:cs="Times New Roman"/>
          <w:sz w:val="22"/>
        </w:rPr>
      </w:pPr>
      <w:r w:rsidRPr="00DD1F63">
        <w:rPr>
          <w:rFonts w:ascii="Times New Roman" w:hAnsi="Times New Roman" w:cs="Times New Roman"/>
          <w:sz w:val="22"/>
        </w:rPr>
        <w:t>Phone: 1800-569-074</w:t>
      </w:r>
    </w:p>
    <w:p w14:paraId="2636EF05" w14:textId="6AA3CB29" w:rsidR="00FA0EBB" w:rsidRPr="00DD1F63" w:rsidRDefault="00FA0EBB" w:rsidP="00377A09">
      <w:pPr>
        <w:spacing w:after="0" w:line="240" w:lineRule="auto"/>
        <w:ind w:left="426" w:right="5928"/>
        <w:jc w:val="left"/>
        <w:rPr>
          <w:rFonts w:ascii="Times New Roman" w:hAnsi="Times New Roman" w:cs="Times New Roman"/>
          <w:sz w:val="18"/>
          <w:szCs w:val="18"/>
        </w:rPr>
      </w:pPr>
    </w:p>
    <w:p w14:paraId="28B5CF45" w14:textId="77777777" w:rsidR="00512373" w:rsidRPr="00DD1F63" w:rsidRDefault="00512373" w:rsidP="00377A09">
      <w:pPr>
        <w:spacing w:after="0" w:line="240" w:lineRule="auto"/>
        <w:ind w:left="426" w:right="5928"/>
        <w:jc w:val="left"/>
        <w:rPr>
          <w:rFonts w:ascii="Times New Roman" w:hAnsi="Times New Roman" w:cs="Times New Roman"/>
          <w:sz w:val="22"/>
        </w:rPr>
      </w:pPr>
    </w:p>
    <w:p w14:paraId="51E31CE5" w14:textId="6354F3B0" w:rsidR="006B7C8E" w:rsidRPr="00DD1F63" w:rsidRDefault="00CA72FF" w:rsidP="00377A09">
      <w:pPr>
        <w:keepNext/>
        <w:numPr>
          <w:ilvl w:val="0"/>
          <w:numId w:val="11"/>
        </w:numPr>
        <w:spacing w:after="0" w:line="240" w:lineRule="auto"/>
        <w:ind w:left="425" w:right="187" w:hanging="425"/>
        <w:jc w:val="left"/>
        <w:rPr>
          <w:rFonts w:ascii="Times New Roman" w:hAnsi="Times New Roman" w:cs="Times New Roman"/>
          <w:sz w:val="22"/>
        </w:rPr>
      </w:pPr>
      <w:r w:rsidRPr="00DD1F63">
        <w:rPr>
          <w:rFonts w:ascii="Times New Roman" w:eastAsia="Cambria" w:hAnsi="Times New Roman" w:cs="Times New Roman"/>
          <w:b/>
          <w:sz w:val="22"/>
        </w:rPr>
        <w:t xml:space="preserve">DATE OF FIRST APPROVAL </w:t>
      </w:r>
    </w:p>
    <w:p w14:paraId="52111558" w14:textId="77777777" w:rsidR="00FA0EBB" w:rsidRPr="00DD1F63" w:rsidRDefault="00FA0EBB" w:rsidP="00377A09">
      <w:pPr>
        <w:spacing w:after="0" w:line="240" w:lineRule="auto"/>
        <w:ind w:left="426" w:right="187" w:firstLine="0"/>
        <w:jc w:val="left"/>
        <w:rPr>
          <w:rFonts w:ascii="Times New Roman" w:hAnsi="Times New Roman" w:cs="Times New Roman"/>
          <w:sz w:val="22"/>
        </w:rPr>
      </w:pPr>
    </w:p>
    <w:p w14:paraId="088E111D" w14:textId="4D507409" w:rsidR="00FA0EBB" w:rsidRPr="00DD1F63" w:rsidRDefault="00116183" w:rsidP="00377A09">
      <w:pPr>
        <w:spacing w:after="0" w:line="240" w:lineRule="auto"/>
        <w:ind w:left="426" w:right="187" w:firstLine="0"/>
        <w:jc w:val="left"/>
        <w:rPr>
          <w:rFonts w:ascii="Times New Roman" w:hAnsi="Times New Roman" w:cs="Times New Roman"/>
          <w:sz w:val="22"/>
        </w:rPr>
      </w:pPr>
      <w:r>
        <w:rPr>
          <w:rFonts w:ascii="Times New Roman" w:hAnsi="Times New Roman" w:cs="Times New Roman"/>
          <w:sz w:val="22"/>
        </w:rPr>
        <w:t>06.09.2022</w:t>
      </w:r>
    </w:p>
    <w:p w14:paraId="4443D58D" w14:textId="77777777" w:rsidR="00FA0EBB" w:rsidRPr="00DD1F63" w:rsidRDefault="00FA0EBB" w:rsidP="00377A09">
      <w:pPr>
        <w:spacing w:after="0" w:line="240" w:lineRule="auto"/>
        <w:ind w:left="426" w:right="187" w:firstLine="0"/>
        <w:jc w:val="left"/>
        <w:rPr>
          <w:rFonts w:ascii="Times New Roman" w:hAnsi="Times New Roman" w:cs="Times New Roman"/>
          <w:sz w:val="22"/>
        </w:rPr>
      </w:pPr>
    </w:p>
    <w:p w14:paraId="10D852EA" w14:textId="4D334DFE" w:rsidR="006B7C8E" w:rsidRPr="00DD1F63" w:rsidRDefault="00CA72FF" w:rsidP="00377A09">
      <w:pPr>
        <w:spacing w:after="0" w:line="240" w:lineRule="auto"/>
        <w:ind w:left="426" w:right="187" w:firstLine="0"/>
        <w:jc w:val="left"/>
        <w:rPr>
          <w:rFonts w:ascii="Times New Roman" w:hAnsi="Times New Roman" w:cs="Times New Roman"/>
          <w:sz w:val="22"/>
        </w:rPr>
      </w:pPr>
      <w:r w:rsidRPr="00DD1F63">
        <w:rPr>
          <w:rFonts w:ascii="Times New Roman" w:hAnsi="Times New Roman" w:cs="Times New Roman"/>
          <w:sz w:val="22"/>
        </w:rPr>
        <w:t xml:space="preserve"> </w:t>
      </w:r>
    </w:p>
    <w:p w14:paraId="19A86970" w14:textId="5A1F84BE" w:rsidR="00FA0EBB" w:rsidRPr="00DD1F63" w:rsidRDefault="00CA72FF" w:rsidP="00377A09">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10</w:t>
      </w:r>
      <w:r w:rsidRPr="00DD1F63">
        <w:rPr>
          <w:rFonts w:ascii="Times New Roman" w:eastAsia="Arial" w:hAnsi="Times New Roman" w:cs="Times New Roman"/>
          <w:sz w:val="22"/>
        </w:rPr>
        <w:t xml:space="preserve"> </w:t>
      </w:r>
      <w:r w:rsidR="00A164DD" w:rsidRPr="00DD1F63">
        <w:rPr>
          <w:rFonts w:ascii="Times New Roman" w:eastAsia="Arial" w:hAnsi="Times New Roman" w:cs="Times New Roman"/>
          <w:sz w:val="22"/>
        </w:rPr>
        <w:tab/>
      </w:r>
      <w:proofErr w:type="gramStart"/>
      <w:r w:rsidRPr="00DD1F63">
        <w:rPr>
          <w:rFonts w:ascii="Times New Roman" w:hAnsi="Times New Roman" w:cs="Times New Roman"/>
          <w:sz w:val="22"/>
        </w:rPr>
        <w:t>DATE</w:t>
      </w:r>
      <w:proofErr w:type="gramEnd"/>
      <w:r w:rsidRPr="00DD1F63">
        <w:rPr>
          <w:rFonts w:ascii="Times New Roman" w:hAnsi="Times New Roman" w:cs="Times New Roman"/>
          <w:sz w:val="22"/>
        </w:rPr>
        <w:t xml:space="preserve"> OF REVISION</w:t>
      </w:r>
    </w:p>
    <w:p w14:paraId="55F186B1" w14:textId="4D158100" w:rsidR="006B7C8E" w:rsidRPr="00DD1F63" w:rsidRDefault="006B7C8E" w:rsidP="00377A09">
      <w:pPr>
        <w:pStyle w:val="Heading1"/>
        <w:spacing w:after="0" w:line="240" w:lineRule="auto"/>
        <w:ind w:left="426"/>
        <w:rPr>
          <w:rFonts w:ascii="Times New Roman" w:hAnsi="Times New Roman" w:cs="Times New Roman"/>
          <w:sz w:val="22"/>
        </w:rPr>
      </w:pPr>
    </w:p>
    <w:p w14:paraId="0792EEC4" w14:textId="77777777" w:rsidR="00EA1C0E" w:rsidRPr="00DD1F63" w:rsidRDefault="00EA1C0E" w:rsidP="00377A09">
      <w:pPr>
        <w:spacing w:after="0" w:line="240" w:lineRule="auto"/>
        <w:ind w:left="426" w:right="375"/>
        <w:jc w:val="left"/>
        <w:rPr>
          <w:rFonts w:ascii="Times New Roman" w:hAnsi="Times New Roman" w:cs="Times New Roman"/>
          <w:sz w:val="22"/>
          <w:lang w:val="en-US"/>
        </w:rPr>
      </w:pPr>
      <w:r w:rsidRPr="00DD1F63">
        <w:rPr>
          <w:rFonts w:ascii="Times New Roman" w:hAnsi="Times New Roman" w:cs="Times New Roman"/>
          <w:sz w:val="22"/>
        </w:rPr>
        <w:t>[Item to be completed at the time of approval]</w:t>
      </w:r>
      <w:r w:rsidRPr="00DD1F63">
        <w:rPr>
          <w:rFonts w:ascii="Times New Roman" w:hAnsi="Times New Roman" w:cs="Times New Roman"/>
          <w:sz w:val="22"/>
          <w:lang w:val="en-US"/>
        </w:rPr>
        <w:t xml:space="preserve"> </w:t>
      </w:r>
    </w:p>
    <w:p w14:paraId="1497F39B" w14:textId="77777777" w:rsidR="006B7C8E" w:rsidRPr="00DD1F63" w:rsidRDefault="00CA72FF" w:rsidP="00377A09">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r w:rsidRPr="00DD1F63">
        <w:rPr>
          <w:rFonts w:ascii="Times New Roman" w:hAnsi="Times New Roman" w:cs="Times New Roman"/>
          <w:sz w:val="22"/>
        </w:rPr>
        <w:tab/>
        <w:t xml:space="preserve"> </w:t>
      </w:r>
    </w:p>
    <w:p w14:paraId="24694EF0" w14:textId="1B55BD7F" w:rsidR="006B7C8E" w:rsidRPr="00DD1F63" w:rsidRDefault="00CA72FF" w:rsidP="00377A09">
      <w:pPr>
        <w:pStyle w:val="Heading2"/>
        <w:spacing w:after="0" w:line="240" w:lineRule="auto"/>
        <w:ind w:left="426" w:right="366"/>
        <w:rPr>
          <w:rFonts w:ascii="Times New Roman" w:hAnsi="Times New Roman" w:cs="Times New Roman"/>
          <w:b w:val="0"/>
          <w:sz w:val="22"/>
        </w:rPr>
      </w:pPr>
      <w:r w:rsidRPr="00DD1F63">
        <w:rPr>
          <w:rFonts w:ascii="Times New Roman" w:hAnsi="Times New Roman" w:cs="Times New Roman"/>
          <w:sz w:val="22"/>
        </w:rPr>
        <w:t>SUMMARY TABLE OF CHANGES</w:t>
      </w:r>
    </w:p>
    <w:p w14:paraId="6961F866" w14:textId="77777777" w:rsidR="00FA0EBB" w:rsidRPr="00DD1F63" w:rsidRDefault="00FA0EBB" w:rsidP="00377A09">
      <w:pPr>
        <w:spacing w:after="0" w:line="240" w:lineRule="auto"/>
        <w:ind w:left="426" w:hanging="11"/>
        <w:jc w:val="left"/>
      </w:pPr>
    </w:p>
    <w:tbl>
      <w:tblPr>
        <w:tblStyle w:val="TableGrid1"/>
        <w:tblW w:w="8603" w:type="dxa"/>
        <w:tblInd w:w="416" w:type="dxa"/>
        <w:tblCellMar>
          <w:top w:w="17" w:type="dxa"/>
          <w:left w:w="108" w:type="dxa"/>
          <w:right w:w="115" w:type="dxa"/>
        </w:tblCellMar>
        <w:tblLook w:val="04A0" w:firstRow="1" w:lastRow="0" w:firstColumn="1" w:lastColumn="0" w:noHBand="0" w:noVBand="1"/>
      </w:tblPr>
      <w:tblGrid>
        <w:gridCol w:w="2268"/>
        <w:gridCol w:w="6335"/>
      </w:tblGrid>
      <w:tr w:rsidR="006B7C8E" w:rsidRPr="00DD1F63" w14:paraId="4F197937" w14:textId="77777777" w:rsidTr="00875A6A">
        <w:trPr>
          <w:trHeight w:val="20"/>
        </w:trPr>
        <w:tc>
          <w:tcPr>
            <w:tcW w:w="2268" w:type="dxa"/>
            <w:tcBorders>
              <w:top w:val="single" w:sz="8" w:space="0" w:color="000000"/>
              <w:left w:val="single" w:sz="8" w:space="0" w:color="000000"/>
              <w:bottom w:val="single" w:sz="8" w:space="0" w:color="000000"/>
              <w:right w:val="single" w:sz="8" w:space="0" w:color="000000"/>
            </w:tcBorders>
          </w:tcPr>
          <w:p w14:paraId="3D5CBF88" w14:textId="0BFE09B1"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Section changed</w:t>
            </w:r>
            <w:r w:rsidRPr="00DD1F63">
              <w:rPr>
                <w:rFonts w:ascii="Times New Roman" w:hAnsi="Times New Roman" w:cs="Times New Roman"/>
                <w:sz w:val="21"/>
                <w:szCs w:val="21"/>
              </w:rPr>
              <w:t xml:space="preserve"> </w:t>
            </w:r>
          </w:p>
        </w:tc>
        <w:tc>
          <w:tcPr>
            <w:tcW w:w="6335" w:type="dxa"/>
            <w:tcBorders>
              <w:top w:val="single" w:sz="8" w:space="0" w:color="000000"/>
              <w:left w:val="single" w:sz="8" w:space="0" w:color="000000"/>
              <w:bottom w:val="single" w:sz="8" w:space="0" w:color="000000"/>
              <w:right w:val="single" w:sz="8" w:space="0" w:color="000000"/>
            </w:tcBorders>
          </w:tcPr>
          <w:p w14:paraId="0D60A152" w14:textId="43537D57" w:rsidR="006B7C8E" w:rsidRPr="00DD1F63" w:rsidRDefault="00CA72FF"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Summary of new information</w:t>
            </w:r>
            <w:r w:rsidRPr="00DD1F63">
              <w:rPr>
                <w:rFonts w:ascii="Times New Roman" w:hAnsi="Times New Roman" w:cs="Times New Roman"/>
                <w:sz w:val="21"/>
                <w:szCs w:val="21"/>
              </w:rPr>
              <w:t xml:space="preserve"> </w:t>
            </w:r>
          </w:p>
        </w:tc>
      </w:tr>
      <w:tr w:rsidR="006B7C8E" w:rsidRPr="00DD1F63" w14:paraId="11115C18" w14:textId="77777777" w:rsidTr="00875A6A">
        <w:trPr>
          <w:trHeight w:val="20"/>
        </w:trPr>
        <w:tc>
          <w:tcPr>
            <w:tcW w:w="2268" w:type="dxa"/>
            <w:tcBorders>
              <w:top w:val="single" w:sz="8" w:space="0" w:color="000000"/>
              <w:left w:val="single" w:sz="8" w:space="0" w:color="000000"/>
              <w:bottom w:val="single" w:sz="8" w:space="0" w:color="000000"/>
              <w:right w:val="single" w:sz="8" w:space="0" w:color="000000"/>
            </w:tcBorders>
          </w:tcPr>
          <w:p w14:paraId="1F4C1630" w14:textId="4B8B1A26" w:rsidR="006B7C8E" w:rsidRPr="00DD1F63" w:rsidRDefault="00EA1C0E" w:rsidP="00377A09">
            <w:pPr>
              <w:spacing w:after="0" w:line="240" w:lineRule="auto"/>
              <w:ind w:left="426" w:firstLine="0"/>
              <w:jc w:val="left"/>
              <w:rPr>
                <w:rFonts w:ascii="Times New Roman" w:hAnsi="Times New Roman" w:cs="Times New Roman"/>
                <w:bCs/>
                <w:sz w:val="21"/>
                <w:szCs w:val="21"/>
              </w:rPr>
            </w:pPr>
            <w:r w:rsidRPr="00DD1F63">
              <w:rPr>
                <w:rFonts w:ascii="Times New Roman" w:hAnsi="Times New Roman" w:cs="Times New Roman"/>
                <w:bCs/>
                <w:sz w:val="21"/>
                <w:szCs w:val="21"/>
              </w:rPr>
              <w:t>NA</w:t>
            </w:r>
          </w:p>
        </w:tc>
        <w:tc>
          <w:tcPr>
            <w:tcW w:w="6335" w:type="dxa"/>
            <w:tcBorders>
              <w:top w:val="single" w:sz="8" w:space="0" w:color="000000"/>
              <w:left w:val="single" w:sz="8" w:space="0" w:color="000000"/>
              <w:bottom w:val="single" w:sz="8" w:space="0" w:color="000000"/>
              <w:right w:val="single" w:sz="8" w:space="0" w:color="000000"/>
            </w:tcBorders>
          </w:tcPr>
          <w:p w14:paraId="44FBF5CC" w14:textId="19E4D501" w:rsidR="006B7C8E" w:rsidRPr="00DD1F63" w:rsidRDefault="00512373" w:rsidP="00377A09">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r>
    </w:tbl>
    <w:p w14:paraId="7E6C96F2" w14:textId="236A9A13" w:rsidR="006B7C8E" w:rsidRPr="00410E4E" w:rsidRDefault="00512373" w:rsidP="00377A09">
      <w:pPr>
        <w:spacing w:after="0" w:line="240" w:lineRule="auto"/>
        <w:ind w:left="426" w:firstLine="0"/>
        <w:jc w:val="left"/>
        <w:rPr>
          <w:rFonts w:ascii="Times New Roman" w:hAnsi="Times New Roman" w:cs="Times New Roman"/>
        </w:rPr>
      </w:pPr>
      <w:r w:rsidRPr="00DD1F63">
        <w:rPr>
          <w:rFonts w:ascii="Times New Roman" w:hAnsi="Times New Roman" w:cs="Times New Roman"/>
          <w:szCs w:val="20"/>
        </w:rPr>
        <w:t>NA- Not Applicable</w:t>
      </w:r>
      <w:r w:rsidR="00CA72FF" w:rsidRPr="00E11FAC">
        <w:rPr>
          <w:rFonts w:ascii="Times New Roman" w:hAnsi="Times New Roman" w:cs="Times New Roman"/>
          <w:szCs w:val="20"/>
        </w:rPr>
        <w:t xml:space="preserve"> </w:t>
      </w:r>
      <w:r w:rsidR="00CA72FF" w:rsidRPr="00410E4E">
        <w:rPr>
          <w:rFonts w:ascii="Times New Roman" w:hAnsi="Times New Roman" w:cs="Times New Roman"/>
          <w:sz w:val="22"/>
        </w:rPr>
        <w:t xml:space="preserve"> </w:t>
      </w:r>
    </w:p>
    <w:sectPr w:rsidR="006B7C8E" w:rsidRPr="00410E4E" w:rsidSect="00FC4EC2">
      <w:headerReference w:type="default" r:id="rId23"/>
      <w:footerReference w:type="even" r:id="rId24"/>
      <w:footerReference w:type="default" r:id="rId25"/>
      <w:footerReference w:type="first" r:id="rId26"/>
      <w:pgSz w:w="11906" w:h="16838"/>
      <w:pgMar w:top="1340" w:right="1061" w:bottom="1843"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087D" w14:textId="77777777" w:rsidR="001920EE" w:rsidRDefault="001920EE">
      <w:pPr>
        <w:spacing w:after="0" w:line="240" w:lineRule="auto"/>
      </w:pPr>
      <w:r>
        <w:separator/>
      </w:r>
    </w:p>
  </w:endnote>
  <w:endnote w:type="continuationSeparator" w:id="0">
    <w:p w14:paraId="22CC209C" w14:textId="77777777" w:rsidR="001920EE" w:rsidRDefault="001920EE">
      <w:pPr>
        <w:spacing w:after="0" w:line="240" w:lineRule="auto"/>
      </w:pPr>
      <w:r>
        <w:continuationSeparator/>
      </w:r>
    </w:p>
  </w:endnote>
  <w:endnote w:type="continuationNotice" w:id="1">
    <w:p w14:paraId="3C7494A7" w14:textId="77777777" w:rsidR="001920EE" w:rsidRDefault="00192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87FD" w14:textId="77777777" w:rsidR="00D24523" w:rsidRDefault="00D24523">
    <w:pPr>
      <w:spacing w:after="2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925CED" wp14:editId="6303C956">
              <wp:simplePos x="0" y="0"/>
              <wp:positionH relativeFrom="page">
                <wp:posOffset>914705</wp:posOffset>
              </wp:positionH>
              <wp:positionV relativeFrom="page">
                <wp:posOffset>9751771</wp:posOffset>
              </wp:positionV>
              <wp:extent cx="5732603" cy="6096"/>
              <wp:effectExtent l="0" t="0" r="0" b="0"/>
              <wp:wrapSquare wrapText="bothSides"/>
              <wp:docPr id="157824" name="Group 157824"/>
              <wp:cNvGraphicFramePr/>
              <a:graphic xmlns:a="http://schemas.openxmlformats.org/drawingml/2006/main">
                <a:graphicData uri="http://schemas.microsoft.com/office/word/2010/wordprocessingGroup">
                  <wpg:wgp>
                    <wpg:cNvGrpSpPr/>
                    <wpg:grpSpPr>
                      <a:xfrm>
                        <a:off x="0" y="0"/>
                        <a:ext cx="5732603" cy="6096"/>
                        <a:chOff x="0" y="0"/>
                        <a:chExt cx="5732603" cy="6096"/>
                      </a:xfrm>
                    </wpg:grpSpPr>
                    <wps:wsp>
                      <wps:cNvPr id="163096" name="Shape 163096"/>
                      <wps:cNvSpPr/>
                      <wps:spPr>
                        <a:xfrm>
                          <a:off x="0" y="0"/>
                          <a:ext cx="1925066" cy="9144"/>
                        </a:xfrm>
                        <a:custGeom>
                          <a:avLst/>
                          <a:gdLst/>
                          <a:ahLst/>
                          <a:cxnLst/>
                          <a:rect l="0" t="0" r="0" b="0"/>
                          <a:pathLst>
                            <a:path w="1925066" h="9144">
                              <a:moveTo>
                                <a:pt x="0" y="0"/>
                              </a:moveTo>
                              <a:lnTo>
                                <a:pt x="1925066" y="0"/>
                              </a:lnTo>
                              <a:lnTo>
                                <a:pt x="1925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7" name="Shape 163097"/>
                      <wps:cNvSpPr/>
                      <wps:spPr>
                        <a:xfrm>
                          <a:off x="19251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8" name="Shape 163098"/>
                      <wps:cNvSpPr/>
                      <wps:spPr>
                        <a:xfrm>
                          <a:off x="1931238" y="0"/>
                          <a:ext cx="1920494" cy="9144"/>
                        </a:xfrm>
                        <a:custGeom>
                          <a:avLst/>
                          <a:gdLst/>
                          <a:ahLst/>
                          <a:cxnLst/>
                          <a:rect l="0" t="0" r="0" b="0"/>
                          <a:pathLst>
                            <a:path w="1920494" h="9144">
                              <a:moveTo>
                                <a:pt x="0" y="0"/>
                              </a:moveTo>
                              <a:lnTo>
                                <a:pt x="1920494" y="0"/>
                              </a:lnTo>
                              <a:lnTo>
                                <a:pt x="1920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9" name="Shape 163099"/>
                      <wps:cNvSpPr/>
                      <wps:spPr>
                        <a:xfrm>
                          <a:off x="38517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00" name="Shape 163100"/>
                      <wps:cNvSpPr/>
                      <wps:spPr>
                        <a:xfrm>
                          <a:off x="3857828" y="0"/>
                          <a:ext cx="1874774" cy="9144"/>
                        </a:xfrm>
                        <a:custGeom>
                          <a:avLst/>
                          <a:gdLst/>
                          <a:ahLst/>
                          <a:cxnLst/>
                          <a:rect l="0" t="0" r="0" b="0"/>
                          <a:pathLst>
                            <a:path w="1874774" h="9144">
                              <a:moveTo>
                                <a:pt x="0" y="0"/>
                              </a:moveTo>
                              <a:lnTo>
                                <a:pt x="1874774" y="0"/>
                              </a:lnTo>
                              <a:lnTo>
                                <a:pt x="18747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a="http://schemas.openxmlformats.org/drawingml/2006/main">
          <w:pict w14:anchorId="112ADD72">
            <v:group id="Group 157824" style="width:451.386pt;height:0.47998pt;position:absolute;mso-position-horizontal-relative:page;mso-position-horizontal:absolute;margin-left:72.024pt;mso-position-vertical-relative:page;margin-top:767.856pt;" coordsize="57326,60">
              <v:shape id="Shape 163101" style="position:absolute;width:19250;height:91;left:0;top:0;" coordsize="1925066,9144" path="m0,0l1925066,0l1925066,9144l0,9144l0,0">
                <v:stroke on="false" weight="0pt" color="#000000" opacity="0" miterlimit="10" joinstyle="miter" endcap="flat"/>
                <v:fill on="true" color="#000000"/>
              </v:shape>
              <v:shape id="Shape 163102" style="position:absolute;width:91;height:91;left:19251;top:0;" coordsize="9144,9144" path="m0,0l9144,0l9144,9144l0,9144l0,0">
                <v:stroke on="false" weight="0pt" color="#000000" opacity="0" miterlimit="10" joinstyle="miter" endcap="flat"/>
                <v:fill on="true" color="#000000"/>
              </v:shape>
              <v:shape id="Shape 163103" style="position:absolute;width:19204;height:91;left:19312;top:0;" coordsize="1920494,9144" path="m0,0l1920494,0l1920494,9144l0,9144l0,0">
                <v:stroke on="false" weight="0pt" color="#000000" opacity="0" miterlimit="10" joinstyle="miter" endcap="flat"/>
                <v:fill on="true" color="#000000"/>
              </v:shape>
              <v:shape id="Shape 163104" style="position:absolute;width:91;height:91;left:38517;top:0;" coordsize="9144,9144" path="m0,0l9144,0l9144,9144l0,9144l0,0">
                <v:stroke on="false" weight="0pt" color="#000000" opacity="0" miterlimit="10" joinstyle="miter" endcap="flat"/>
                <v:fill on="true" color="#000000"/>
              </v:shape>
              <v:shape id="Shape 163105" style="position:absolute;width:18747;height:91;left:38578;top:0;" coordsize="1874774,9144" path="m0,0l1874774,0l1874774,9144l0,9144l0,0">
                <v:stroke on="false" weight="0pt" color="#000000" opacity="0" miterlimit="10" joinstyle="miter" endcap="flat"/>
                <v:fill on="true" color="#000000"/>
              </v:shape>
              <w10:wrap type="square"/>
            </v:group>
          </w:pict>
        </mc:Fallback>
      </mc:AlternateContent>
    </w:r>
    <w:r>
      <w:rPr>
        <w:sz w:val="22"/>
      </w:rPr>
      <w:t xml:space="preserve"> </w:t>
    </w:r>
  </w:p>
  <w:p w14:paraId="540FECCB" w14:textId="77777777" w:rsidR="00D24523" w:rsidRDefault="00D24523">
    <w:pPr>
      <w:tabs>
        <w:tab w:val="center" w:pos="4549"/>
        <w:tab w:val="center" w:pos="8236"/>
      </w:tabs>
      <w:spacing w:after="0" w:line="259" w:lineRule="auto"/>
      <w:ind w:left="0" w:firstLine="0"/>
      <w:jc w:val="left"/>
    </w:pPr>
    <w:r>
      <w:rPr>
        <w:sz w:val="22"/>
      </w:rPr>
      <w:t xml:space="preserve">HUMIRA PI </w:t>
    </w:r>
    <w:r>
      <w:rPr>
        <w:sz w:val="22"/>
      </w:rPr>
      <w:tab/>
      <w:t xml:space="preserve"> </w:t>
    </w:r>
    <w:r>
      <w:rPr>
        <w:sz w:val="22"/>
      </w:rPr>
      <w:tab/>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r w:rsidR="00377A09">
      <w:fldChar w:fldCharType="begin"/>
    </w:r>
    <w:r w:rsidR="00377A09">
      <w:instrText xml:space="preserve"> NUMPAGES   \* MERGEFORMAT </w:instrText>
    </w:r>
    <w:r w:rsidR="00377A09">
      <w:fldChar w:fldCharType="separate"/>
    </w:r>
    <w:r>
      <w:rPr>
        <w:sz w:val="22"/>
      </w:rPr>
      <w:t>84</w:t>
    </w:r>
    <w:r w:rsidR="00377A09">
      <w:rPr>
        <w:sz w:val="22"/>
      </w:rPr>
      <w:fldChar w:fldCharType="end"/>
    </w:r>
    <w:r>
      <w:rPr>
        <w:sz w:val="22"/>
      </w:rPr>
      <w:t xml:space="preserve">  </w:t>
    </w:r>
  </w:p>
  <w:p w14:paraId="01FC1991" w14:textId="77777777" w:rsidR="00D24523" w:rsidRDefault="00D24523">
    <w:pPr>
      <w:tabs>
        <w:tab w:val="center" w:pos="4550"/>
      </w:tabs>
      <w:spacing w:after="0" w:line="259" w:lineRule="auto"/>
      <w:ind w:left="0" w:firstLine="0"/>
      <w:jc w:val="left"/>
    </w:pPr>
    <w:r>
      <w:rPr>
        <w:sz w:val="22"/>
      </w:rPr>
      <w:t xml:space="preserve">Version 49 </w:t>
    </w:r>
    <w:r>
      <w:rPr>
        <w:sz w:val="22"/>
      </w:rPr>
      <w:tab/>
      <w:t xml:space="preserve">10 February 2021 </w:t>
    </w:r>
  </w:p>
  <w:p w14:paraId="3F6D7FC8" w14:textId="77777777" w:rsidR="00D24523" w:rsidRDefault="00D24523">
    <w:pPr>
      <w:spacing w:after="0" w:line="259" w:lineRule="auto"/>
      <w:ind w:left="0" w:firstLine="0"/>
      <w:jc w:val="left"/>
    </w:pP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FA5" w14:textId="7AD705F1" w:rsidR="00D24523" w:rsidRPr="00CC4791" w:rsidRDefault="00D24523" w:rsidP="00CC4791">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393C" w14:textId="77777777" w:rsidR="00D24523" w:rsidRDefault="00D24523">
    <w:pPr>
      <w:spacing w:after="2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51712BAA" wp14:editId="7DA500AE">
              <wp:simplePos x="0" y="0"/>
              <wp:positionH relativeFrom="page">
                <wp:posOffset>914705</wp:posOffset>
              </wp:positionH>
              <wp:positionV relativeFrom="page">
                <wp:posOffset>9751771</wp:posOffset>
              </wp:positionV>
              <wp:extent cx="5732603" cy="6096"/>
              <wp:effectExtent l="0" t="0" r="0" b="0"/>
              <wp:wrapSquare wrapText="bothSides"/>
              <wp:docPr id="157740" name="Group 157740"/>
              <wp:cNvGraphicFramePr/>
              <a:graphic xmlns:a="http://schemas.openxmlformats.org/drawingml/2006/main">
                <a:graphicData uri="http://schemas.microsoft.com/office/word/2010/wordprocessingGroup">
                  <wpg:wgp>
                    <wpg:cNvGrpSpPr/>
                    <wpg:grpSpPr>
                      <a:xfrm>
                        <a:off x="0" y="0"/>
                        <a:ext cx="5732603" cy="6096"/>
                        <a:chOff x="0" y="0"/>
                        <a:chExt cx="5732603" cy="6096"/>
                      </a:xfrm>
                    </wpg:grpSpPr>
                    <wps:wsp>
                      <wps:cNvPr id="163076" name="Shape 163076"/>
                      <wps:cNvSpPr/>
                      <wps:spPr>
                        <a:xfrm>
                          <a:off x="0" y="0"/>
                          <a:ext cx="1925066" cy="9144"/>
                        </a:xfrm>
                        <a:custGeom>
                          <a:avLst/>
                          <a:gdLst/>
                          <a:ahLst/>
                          <a:cxnLst/>
                          <a:rect l="0" t="0" r="0" b="0"/>
                          <a:pathLst>
                            <a:path w="1925066" h="9144">
                              <a:moveTo>
                                <a:pt x="0" y="0"/>
                              </a:moveTo>
                              <a:lnTo>
                                <a:pt x="1925066" y="0"/>
                              </a:lnTo>
                              <a:lnTo>
                                <a:pt x="1925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7" name="Shape 163077"/>
                      <wps:cNvSpPr/>
                      <wps:spPr>
                        <a:xfrm>
                          <a:off x="19251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8" name="Shape 163078"/>
                      <wps:cNvSpPr/>
                      <wps:spPr>
                        <a:xfrm>
                          <a:off x="1931238" y="0"/>
                          <a:ext cx="1920494" cy="9144"/>
                        </a:xfrm>
                        <a:custGeom>
                          <a:avLst/>
                          <a:gdLst/>
                          <a:ahLst/>
                          <a:cxnLst/>
                          <a:rect l="0" t="0" r="0" b="0"/>
                          <a:pathLst>
                            <a:path w="1920494" h="9144">
                              <a:moveTo>
                                <a:pt x="0" y="0"/>
                              </a:moveTo>
                              <a:lnTo>
                                <a:pt x="1920494" y="0"/>
                              </a:lnTo>
                              <a:lnTo>
                                <a:pt x="1920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9" name="Shape 163079"/>
                      <wps:cNvSpPr/>
                      <wps:spPr>
                        <a:xfrm>
                          <a:off x="38517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80" name="Shape 163080"/>
                      <wps:cNvSpPr/>
                      <wps:spPr>
                        <a:xfrm>
                          <a:off x="3857828" y="0"/>
                          <a:ext cx="1874774" cy="9144"/>
                        </a:xfrm>
                        <a:custGeom>
                          <a:avLst/>
                          <a:gdLst/>
                          <a:ahLst/>
                          <a:cxnLst/>
                          <a:rect l="0" t="0" r="0" b="0"/>
                          <a:pathLst>
                            <a:path w="1874774" h="9144">
                              <a:moveTo>
                                <a:pt x="0" y="0"/>
                              </a:moveTo>
                              <a:lnTo>
                                <a:pt x="1874774" y="0"/>
                              </a:lnTo>
                              <a:lnTo>
                                <a:pt x="18747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a="http://schemas.openxmlformats.org/drawingml/2006/main">
          <w:pict w14:anchorId="6DBFB2F5">
            <v:group id="Group 157740" style="width:451.386pt;height:0.47998pt;position:absolute;mso-position-horizontal-relative:page;mso-position-horizontal:absolute;margin-left:72.024pt;mso-position-vertical-relative:page;margin-top:767.856pt;" coordsize="57326,60">
              <v:shape id="Shape 163081" style="position:absolute;width:19250;height:91;left:0;top:0;" coordsize="1925066,9144" path="m0,0l1925066,0l1925066,9144l0,9144l0,0">
                <v:stroke on="false" weight="0pt" color="#000000" opacity="0" miterlimit="10" joinstyle="miter" endcap="flat"/>
                <v:fill on="true" color="#000000"/>
              </v:shape>
              <v:shape id="Shape 163082" style="position:absolute;width:91;height:91;left:19251;top:0;" coordsize="9144,9144" path="m0,0l9144,0l9144,9144l0,9144l0,0">
                <v:stroke on="false" weight="0pt" color="#000000" opacity="0" miterlimit="10" joinstyle="miter" endcap="flat"/>
                <v:fill on="true" color="#000000"/>
              </v:shape>
              <v:shape id="Shape 163083" style="position:absolute;width:19204;height:91;left:19312;top:0;" coordsize="1920494,9144" path="m0,0l1920494,0l1920494,9144l0,9144l0,0">
                <v:stroke on="false" weight="0pt" color="#000000" opacity="0" miterlimit="10" joinstyle="miter" endcap="flat"/>
                <v:fill on="true" color="#000000"/>
              </v:shape>
              <v:shape id="Shape 163084" style="position:absolute;width:91;height:91;left:38517;top:0;" coordsize="9144,9144" path="m0,0l9144,0l9144,9144l0,9144l0,0">
                <v:stroke on="false" weight="0pt" color="#000000" opacity="0" miterlimit="10" joinstyle="miter" endcap="flat"/>
                <v:fill on="true" color="#000000"/>
              </v:shape>
              <v:shape id="Shape 163085" style="position:absolute;width:18747;height:91;left:38578;top:0;" coordsize="1874774,9144" path="m0,0l1874774,0l1874774,9144l0,9144l0,0">
                <v:stroke on="false" weight="0pt" color="#000000" opacity="0" miterlimit="10" joinstyle="miter" endcap="flat"/>
                <v:fill on="true" color="#000000"/>
              </v:shape>
              <w10:wrap type="square"/>
            </v:group>
          </w:pict>
        </mc:Fallback>
      </mc:AlternateContent>
    </w:r>
    <w:r>
      <w:rPr>
        <w:sz w:val="22"/>
      </w:rPr>
      <w:t xml:space="preserve"> </w:t>
    </w:r>
  </w:p>
  <w:p w14:paraId="5EFC82AB" w14:textId="77777777" w:rsidR="00D24523" w:rsidRDefault="00D24523">
    <w:pPr>
      <w:tabs>
        <w:tab w:val="center" w:pos="4549"/>
        <w:tab w:val="center" w:pos="8236"/>
      </w:tabs>
      <w:spacing w:after="0" w:line="259" w:lineRule="auto"/>
      <w:ind w:left="0" w:firstLine="0"/>
      <w:jc w:val="left"/>
    </w:pPr>
    <w:r>
      <w:rPr>
        <w:sz w:val="22"/>
      </w:rPr>
      <w:t xml:space="preserve">HUMIRA PI </w:t>
    </w:r>
    <w:r>
      <w:rPr>
        <w:sz w:val="22"/>
      </w:rPr>
      <w:tab/>
      <w:t xml:space="preserve"> </w:t>
    </w:r>
    <w:r>
      <w:rPr>
        <w:sz w:val="22"/>
      </w:rPr>
      <w:tab/>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r w:rsidR="00377A09">
      <w:fldChar w:fldCharType="begin"/>
    </w:r>
    <w:r w:rsidR="00377A09">
      <w:instrText xml:space="preserve"> NUMPAGES   \* MERGEFORMAT </w:instrText>
    </w:r>
    <w:r w:rsidR="00377A09">
      <w:fldChar w:fldCharType="separate"/>
    </w:r>
    <w:r>
      <w:rPr>
        <w:sz w:val="22"/>
      </w:rPr>
      <w:t>84</w:t>
    </w:r>
    <w:r w:rsidR="00377A09">
      <w:rPr>
        <w:sz w:val="22"/>
      </w:rPr>
      <w:fldChar w:fldCharType="end"/>
    </w:r>
    <w:r>
      <w:rPr>
        <w:sz w:val="22"/>
      </w:rPr>
      <w:t xml:space="preserve">  </w:t>
    </w:r>
  </w:p>
  <w:p w14:paraId="182DCC17" w14:textId="77777777" w:rsidR="00D24523" w:rsidRDefault="00D24523">
    <w:pPr>
      <w:tabs>
        <w:tab w:val="center" w:pos="4550"/>
      </w:tabs>
      <w:spacing w:after="0" w:line="259" w:lineRule="auto"/>
      <w:ind w:left="0" w:firstLine="0"/>
      <w:jc w:val="left"/>
    </w:pPr>
    <w:r>
      <w:rPr>
        <w:sz w:val="22"/>
      </w:rPr>
      <w:t xml:space="preserve">Version 49 </w:t>
    </w:r>
    <w:r>
      <w:rPr>
        <w:sz w:val="22"/>
      </w:rPr>
      <w:tab/>
      <w:t xml:space="preserve">10 February 2021 </w:t>
    </w:r>
  </w:p>
  <w:p w14:paraId="2FFB4C66" w14:textId="77777777" w:rsidR="00D24523" w:rsidRDefault="00D24523">
    <w:pPr>
      <w:spacing w:after="0" w:line="259" w:lineRule="auto"/>
      <w:ind w:left="0" w:firstLine="0"/>
      <w:jc w:val="left"/>
    </w:pPr>
    <w:r>
      <w:rPr>
        <w:rFonts w:ascii="Cambria" w:eastAsia="Cambria" w:hAnsi="Cambria" w:cs="Cambr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B89A" w14:textId="77777777" w:rsidR="001920EE" w:rsidRDefault="001920EE">
      <w:pPr>
        <w:spacing w:after="0" w:line="240" w:lineRule="auto"/>
      </w:pPr>
      <w:r>
        <w:separator/>
      </w:r>
    </w:p>
  </w:footnote>
  <w:footnote w:type="continuationSeparator" w:id="0">
    <w:p w14:paraId="75BE13FB" w14:textId="77777777" w:rsidR="001920EE" w:rsidRDefault="001920EE">
      <w:pPr>
        <w:spacing w:after="0" w:line="240" w:lineRule="auto"/>
      </w:pPr>
      <w:r>
        <w:continuationSeparator/>
      </w:r>
    </w:p>
  </w:footnote>
  <w:footnote w:type="continuationNotice" w:id="1">
    <w:p w14:paraId="73E27231" w14:textId="77777777" w:rsidR="001920EE" w:rsidRDefault="00192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9039"/>
    </w:tblGrid>
    <w:tr w:rsidR="00377A09" w:rsidRPr="000B2145" w14:paraId="754022C3" w14:textId="77777777" w:rsidTr="00411227">
      <w:trPr>
        <w:trHeight w:val="1012"/>
      </w:trPr>
      <w:tc>
        <w:tcPr>
          <w:tcW w:w="9039" w:type="dxa"/>
          <w:shd w:val="clear" w:color="auto" w:fill="E4F2E0"/>
        </w:tcPr>
        <w:p w14:paraId="516044E7" w14:textId="77777777" w:rsidR="00377A09" w:rsidRPr="00377A09" w:rsidRDefault="00377A09" w:rsidP="00377A09">
          <w:pPr>
            <w:pStyle w:val="Footer"/>
            <w:jc w:val="left"/>
            <w:rPr>
              <w:b/>
              <w:sz w:val="18"/>
              <w:szCs w:val="18"/>
            </w:rPr>
          </w:pPr>
          <w:bookmarkStart w:id="8" w:name="_Hlk109054010"/>
          <w:r w:rsidRPr="00377A09">
            <w:rPr>
              <w:b/>
              <w:sz w:val="18"/>
              <w:szCs w:val="18"/>
            </w:rPr>
            <w:t xml:space="preserve">Attachment AusPAR - </w:t>
          </w:r>
          <w:proofErr w:type="spellStart"/>
          <w:r w:rsidRPr="00377A09">
            <w:rPr>
              <w:b/>
              <w:sz w:val="18"/>
              <w:szCs w:val="18"/>
            </w:rPr>
            <w:t>Ardalicip</w:t>
          </w:r>
          <w:proofErr w:type="spellEnd"/>
          <w:r w:rsidRPr="00377A09">
            <w:rPr>
              <w:b/>
              <w:sz w:val="18"/>
              <w:szCs w:val="18"/>
            </w:rPr>
            <w:t>/</w:t>
          </w:r>
          <w:proofErr w:type="spellStart"/>
          <w:r w:rsidRPr="00377A09">
            <w:rPr>
              <w:b/>
              <w:sz w:val="18"/>
              <w:szCs w:val="18"/>
            </w:rPr>
            <w:t>Ciptunec</w:t>
          </w:r>
          <w:proofErr w:type="spellEnd"/>
          <w:r w:rsidRPr="00377A09">
            <w:rPr>
              <w:b/>
              <w:sz w:val="18"/>
              <w:szCs w:val="18"/>
            </w:rPr>
            <w:t xml:space="preserve"> – adalimumab - Cipla Australia Pty Ltd PM-2021-02447-1-3 FINAL 27 April 2023. This is the Product Information that was approved with the submission described in this AusPAR. It may have been superseded. For the most recent PI, please refer to the TGA website at &lt;</w:t>
          </w:r>
          <w:hyperlink r:id="rId1" w:history="1">
            <w:r w:rsidRPr="00377A09">
              <w:rPr>
                <w:rStyle w:val="Hyperlink"/>
                <w:b/>
                <w:sz w:val="18"/>
                <w:szCs w:val="18"/>
              </w:rPr>
              <w:t>https://www.tga.gov.au/product-information-pi</w:t>
            </w:r>
          </w:hyperlink>
          <w:r w:rsidRPr="00377A09">
            <w:rPr>
              <w:b/>
              <w:sz w:val="18"/>
              <w:szCs w:val="18"/>
              <w:u w:val="single"/>
            </w:rPr>
            <w:t>&gt;</w:t>
          </w:r>
        </w:p>
      </w:tc>
    </w:tr>
    <w:bookmarkEnd w:id="8"/>
  </w:tbl>
  <w:p w14:paraId="716CD21C" w14:textId="77777777" w:rsidR="00377A09" w:rsidRDefault="00377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864"/>
    <w:multiLevelType w:val="hybridMultilevel"/>
    <w:tmpl w:val="D1761B40"/>
    <w:lvl w:ilvl="0" w:tplc="C4C098CA">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CCB8F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764240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8A5C8E">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141A8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B8B34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4041DF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1AEC4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2A8079E">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85794B"/>
    <w:multiLevelType w:val="hybridMultilevel"/>
    <w:tmpl w:val="09764B44"/>
    <w:lvl w:ilvl="0" w:tplc="06D0C850">
      <w:start w:val="5"/>
      <w:numFmt w:val="lowerLetter"/>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63B0BB08">
      <w:start w:val="1"/>
      <w:numFmt w:val="lowerLetter"/>
      <w:lvlText w:val="%2"/>
      <w:lvlJc w:val="left"/>
      <w:pPr>
        <w:ind w:left="13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D944C3A2">
      <w:start w:val="1"/>
      <w:numFmt w:val="lowerRoman"/>
      <w:lvlText w:val="%3"/>
      <w:lvlJc w:val="left"/>
      <w:pPr>
        <w:ind w:left="20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CDE8E3C6">
      <w:start w:val="1"/>
      <w:numFmt w:val="decimal"/>
      <w:lvlText w:val="%4"/>
      <w:lvlJc w:val="left"/>
      <w:pPr>
        <w:ind w:left="27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FC0AD50">
      <w:start w:val="1"/>
      <w:numFmt w:val="lowerLetter"/>
      <w:lvlText w:val="%5"/>
      <w:lvlJc w:val="left"/>
      <w:pPr>
        <w:ind w:left="348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82928BAC">
      <w:start w:val="1"/>
      <w:numFmt w:val="lowerRoman"/>
      <w:lvlText w:val="%6"/>
      <w:lvlJc w:val="left"/>
      <w:pPr>
        <w:ind w:left="420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DA68768A">
      <w:start w:val="1"/>
      <w:numFmt w:val="decimal"/>
      <w:lvlText w:val="%7"/>
      <w:lvlJc w:val="left"/>
      <w:pPr>
        <w:ind w:left="49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2B3637E6">
      <w:start w:val="1"/>
      <w:numFmt w:val="lowerLetter"/>
      <w:lvlText w:val="%8"/>
      <w:lvlJc w:val="left"/>
      <w:pPr>
        <w:ind w:left="56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9BA9F20">
      <w:start w:val="1"/>
      <w:numFmt w:val="lowerRoman"/>
      <w:lvlText w:val="%9"/>
      <w:lvlJc w:val="left"/>
      <w:pPr>
        <w:ind w:left="63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 w15:restartNumberingAfterBreak="0">
    <w:nsid w:val="115F182E"/>
    <w:multiLevelType w:val="hybridMultilevel"/>
    <w:tmpl w:val="996AF82C"/>
    <w:lvl w:ilvl="0" w:tplc="40090005">
      <w:start w:val="1"/>
      <w:numFmt w:val="bullet"/>
      <w:lvlText w:val=""/>
      <w:lvlJc w:val="left"/>
      <w:pPr>
        <w:ind w:left="1136" w:hanging="360"/>
      </w:pPr>
      <w:rPr>
        <w:rFonts w:ascii="Wingdings" w:hAnsi="Wingdings"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3" w15:restartNumberingAfterBreak="0">
    <w:nsid w:val="11C61DB2"/>
    <w:multiLevelType w:val="hybridMultilevel"/>
    <w:tmpl w:val="FE628174"/>
    <w:lvl w:ilvl="0" w:tplc="BB8EA6B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6E7CAA">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898730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F3E2CA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4AEF8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E6645D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F80170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40E0A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9BCA97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75335A"/>
    <w:multiLevelType w:val="hybridMultilevel"/>
    <w:tmpl w:val="A334A3C0"/>
    <w:lvl w:ilvl="0" w:tplc="7C2AFB7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86A27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8384300">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B529E1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88BBA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6AAEDEE">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F00E65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16B33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9E1ED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503A23"/>
    <w:multiLevelType w:val="hybridMultilevel"/>
    <w:tmpl w:val="413CF886"/>
    <w:lvl w:ilvl="0" w:tplc="CCA0BE08">
      <w:start w:val="1"/>
      <w:numFmt w:val="lowerLetter"/>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9ECE62E">
      <w:start w:val="1"/>
      <w:numFmt w:val="lowerLetter"/>
      <w:lvlText w:val="%2"/>
      <w:lvlJc w:val="left"/>
      <w:pPr>
        <w:ind w:left="13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02BE8D46">
      <w:start w:val="1"/>
      <w:numFmt w:val="lowerRoman"/>
      <w:lvlText w:val="%3"/>
      <w:lvlJc w:val="left"/>
      <w:pPr>
        <w:ind w:left="20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42485A6A">
      <w:start w:val="1"/>
      <w:numFmt w:val="decimal"/>
      <w:lvlText w:val="%4"/>
      <w:lvlJc w:val="left"/>
      <w:pPr>
        <w:ind w:left="27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31C8516A">
      <w:start w:val="1"/>
      <w:numFmt w:val="lowerLetter"/>
      <w:lvlText w:val="%5"/>
      <w:lvlJc w:val="left"/>
      <w:pPr>
        <w:ind w:left="348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BAAE136A">
      <w:start w:val="1"/>
      <w:numFmt w:val="lowerRoman"/>
      <w:lvlText w:val="%6"/>
      <w:lvlJc w:val="left"/>
      <w:pPr>
        <w:ind w:left="420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5C61C3C">
      <w:start w:val="1"/>
      <w:numFmt w:val="decimal"/>
      <w:lvlText w:val="%7"/>
      <w:lvlJc w:val="left"/>
      <w:pPr>
        <w:ind w:left="49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87F0A696">
      <w:start w:val="1"/>
      <w:numFmt w:val="lowerLetter"/>
      <w:lvlText w:val="%8"/>
      <w:lvlJc w:val="left"/>
      <w:pPr>
        <w:ind w:left="56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57408664">
      <w:start w:val="1"/>
      <w:numFmt w:val="lowerRoman"/>
      <w:lvlText w:val="%9"/>
      <w:lvlJc w:val="left"/>
      <w:pPr>
        <w:ind w:left="63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6" w15:restartNumberingAfterBreak="0">
    <w:nsid w:val="1A0A339D"/>
    <w:multiLevelType w:val="hybridMultilevel"/>
    <w:tmpl w:val="91EEF9AA"/>
    <w:lvl w:ilvl="0" w:tplc="94BA13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6EC2B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4254A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86F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B8889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962F1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7CEA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E71B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2EBB4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5C73A7"/>
    <w:multiLevelType w:val="hybridMultilevel"/>
    <w:tmpl w:val="4C7EE5E4"/>
    <w:lvl w:ilvl="0" w:tplc="EEC82754">
      <w:start w:val="1"/>
      <w:numFmt w:val="bullet"/>
      <w:lvlText w:val="▪"/>
      <w:lvlJc w:val="left"/>
      <w:pPr>
        <w:ind w:left="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8940FA6">
      <w:start w:val="1"/>
      <w:numFmt w:val="bullet"/>
      <w:lvlText w:val="o"/>
      <w:lvlJc w:val="left"/>
      <w:pPr>
        <w:ind w:left="1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F509BA0">
      <w:start w:val="1"/>
      <w:numFmt w:val="bullet"/>
      <w:lvlText w:val="▪"/>
      <w:lvlJc w:val="left"/>
      <w:pPr>
        <w:ind w:left="2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1D0D6E8">
      <w:start w:val="1"/>
      <w:numFmt w:val="bullet"/>
      <w:lvlText w:val="•"/>
      <w:lvlJc w:val="left"/>
      <w:pPr>
        <w:ind w:left="2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92039EC">
      <w:start w:val="1"/>
      <w:numFmt w:val="bullet"/>
      <w:lvlText w:val="o"/>
      <w:lvlJc w:val="left"/>
      <w:pPr>
        <w:ind w:left="3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4C7680">
      <w:start w:val="1"/>
      <w:numFmt w:val="bullet"/>
      <w:lvlText w:val="▪"/>
      <w:lvlJc w:val="left"/>
      <w:pPr>
        <w:ind w:left="43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147140">
      <w:start w:val="1"/>
      <w:numFmt w:val="bullet"/>
      <w:lvlText w:val="•"/>
      <w:lvlJc w:val="left"/>
      <w:pPr>
        <w:ind w:left="5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12E326A">
      <w:start w:val="1"/>
      <w:numFmt w:val="bullet"/>
      <w:lvlText w:val="o"/>
      <w:lvlJc w:val="left"/>
      <w:pPr>
        <w:ind w:left="5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08A751C">
      <w:start w:val="1"/>
      <w:numFmt w:val="bullet"/>
      <w:lvlText w:val="▪"/>
      <w:lvlJc w:val="left"/>
      <w:pPr>
        <w:ind w:left="6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F9694A"/>
    <w:multiLevelType w:val="hybridMultilevel"/>
    <w:tmpl w:val="F6360C90"/>
    <w:lvl w:ilvl="0" w:tplc="2B688724">
      <w:numFmt w:val="bullet"/>
      <w:lvlText w:val="•"/>
      <w:lvlJc w:val="left"/>
      <w:pPr>
        <w:ind w:left="776" w:hanging="360"/>
      </w:pPr>
      <w:rPr>
        <w:rFonts w:ascii="Times New Roman" w:eastAsia="Arial" w:hAnsi="Times New Roman" w:cs="Times New Roman"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9" w15:restartNumberingAfterBreak="0">
    <w:nsid w:val="36DD6FC9"/>
    <w:multiLevelType w:val="hybridMultilevel"/>
    <w:tmpl w:val="833C0D90"/>
    <w:lvl w:ilvl="0" w:tplc="BED22FC8">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745B5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62C28E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FEE014">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7A8AB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E4924A">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89A9706">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2A4F50">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20B1FA">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E1625C6"/>
    <w:multiLevelType w:val="hybridMultilevel"/>
    <w:tmpl w:val="B2A6F89C"/>
    <w:lvl w:ilvl="0" w:tplc="054479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9AB9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0C2D7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0E63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56EB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4E0A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0EAC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72F5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0EDD3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CC03B7"/>
    <w:multiLevelType w:val="hybridMultilevel"/>
    <w:tmpl w:val="CCD0C770"/>
    <w:lvl w:ilvl="0" w:tplc="8F124D38">
      <w:start w:val="9"/>
      <w:numFmt w:val="decimal"/>
      <w:lvlText w:val="%1"/>
      <w:lvlJc w:val="left"/>
      <w:pPr>
        <w:ind w:left="432"/>
      </w:pPr>
      <w:rPr>
        <w:rFonts w:ascii="Times New Roman" w:eastAsia="Cambria"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DDE8496">
      <w:start w:val="1"/>
      <w:numFmt w:val="lowerLetter"/>
      <w:lvlText w:val="%2"/>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178E0404">
      <w:start w:val="1"/>
      <w:numFmt w:val="lowerRoman"/>
      <w:lvlText w:val="%3"/>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694C29A2">
      <w:start w:val="1"/>
      <w:numFmt w:val="decimal"/>
      <w:lvlText w:val="%4"/>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8C1486FA">
      <w:start w:val="1"/>
      <w:numFmt w:val="lowerLetter"/>
      <w:lvlText w:val="%5"/>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C658D58C">
      <w:start w:val="1"/>
      <w:numFmt w:val="lowerRoman"/>
      <w:lvlText w:val="%6"/>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DFCAE37C">
      <w:start w:val="1"/>
      <w:numFmt w:val="decimal"/>
      <w:lvlText w:val="%7"/>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B35A2520">
      <w:start w:val="1"/>
      <w:numFmt w:val="lowerLetter"/>
      <w:lvlText w:val="%8"/>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C17AF128">
      <w:start w:val="1"/>
      <w:numFmt w:val="lowerRoman"/>
      <w:lvlText w:val="%9"/>
      <w:lvlJc w:val="left"/>
      <w:pPr>
        <w:ind w:left="61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0E9757F"/>
    <w:multiLevelType w:val="hybridMultilevel"/>
    <w:tmpl w:val="C1A6B90A"/>
    <w:lvl w:ilvl="0" w:tplc="8A4ABC3C">
      <w:numFmt w:val="bullet"/>
      <w:lvlText w:val="-"/>
      <w:lvlJc w:val="left"/>
      <w:pPr>
        <w:ind w:left="720" w:hanging="360"/>
      </w:pPr>
      <w:rPr>
        <w:rFonts w:ascii="Arial" w:eastAsia="Arial"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459D6B70"/>
    <w:multiLevelType w:val="hybridMultilevel"/>
    <w:tmpl w:val="FB7A04A4"/>
    <w:lvl w:ilvl="0" w:tplc="40090001">
      <w:start w:val="1"/>
      <w:numFmt w:val="bullet"/>
      <w:lvlText w:val=""/>
      <w:lvlJc w:val="left"/>
      <w:pPr>
        <w:ind w:left="1136" w:hanging="360"/>
      </w:pPr>
      <w:rPr>
        <w:rFonts w:ascii="Symbol" w:hAnsi="Symbol" w:hint="default"/>
      </w:rPr>
    </w:lvl>
    <w:lvl w:ilvl="1" w:tplc="5D20E8F2">
      <w:numFmt w:val="bullet"/>
      <w:lvlText w:val="-"/>
      <w:lvlJc w:val="left"/>
      <w:pPr>
        <w:ind w:left="1856" w:hanging="360"/>
      </w:pPr>
      <w:rPr>
        <w:rFonts w:ascii="Times New Roman" w:eastAsia="Arial" w:hAnsi="Times New Roman" w:cs="Times New Roman"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14" w15:restartNumberingAfterBreak="0">
    <w:nsid w:val="48360918"/>
    <w:multiLevelType w:val="hybridMultilevel"/>
    <w:tmpl w:val="34DAE38A"/>
    <w:lvl w:ilvl="0" w:tplc="B21085B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4C828A">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88F92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270530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8AD35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94C459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DFAC4C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AA5C4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3EC80F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82620E"/>
    <w:multiLevelType w:val="hybridMultilevel"/>
    <w:tmpl w:val="0322A056"/>
    <w:lvl w:ilvl="0" w:tplc="9FAAEE50">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EEA74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65C494C">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AA041F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0E38DA">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AC0F57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FCD76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96BB2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508B3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42E3953"/>
    <w:multiLevelType w:val="hybridMultilevel"/>
    <w:tmpl w:val="CC06A6AC"/>
    <w:lvl w:ilvl="0" w:tplc="EEF26368">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17" w15:restartNumberingAfterBreak="0">
    <w:nsid w:val="56303F86"/>
    <w:multiLevelType w:val="hybridMultilevel"/>
    <w:tmpl w:val="5388F71E"/>
    <w:lvl w:ilvl="0" w:tplc="F7C62302">
      <w:start w:val="1"/>
      <w:numFmt w:val="lowerLetter"/>
      <w:lvlText w:val="%1."/>
      <w:lvlJc w:val="left"/>
      <w:pPr>
        <w:ind w:left="10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F89682">
      <w:start w:val="1"/>
      <w:numFmt w:val="lowerLetter"/>
      <w:lvlText w:val="%2"/>
      <w:lvlJc w:val="left"/>
      <w:pPr>
        <w:ind w:left="14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E2CBEB2">
      <w:start w:val="1"/>
      <w:numFmt w:val="lowerRoman"/>
      <w:lvlText w:val="%3"/>
      <w:lvlJc w:val="left"/>
      <w:pPr>
        <w:ind w:left="21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142736">
      <w:start w:val="1"/>
      <w:numFmt w:val="decimal"/>
      <w:lvlText w:val="%4"/>
      <w:lvlJc w:val="left"/>
      <w:pPr>
        <w:ind w:left="28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3B618E6">
      <w:start w:val="1"/>
      <w:numFmt w:val="lowerLetter"/>
      <w:lvlText w:val="%5"/>
      <w:lvlJc w:val="left"/>
      <w:pPr>
        <w:ind w:left="35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DA3128">
      <w:start w:val="1"/>
      <w:numFmt w:val="lowerRoman"/>
      <w:lvlText w:val="%6"/>
      <w:lvlJc w:val="left"/>
      <w:pPr>
        <w:ind w:left="43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D2C8D8">
      <w:start w:val="1"/>
      <w:numFmt w:val="decimal"/>
      <w:lvlText w:val="%7"/>
      <w:lvlJc w:val="left"/>
      <w:pPr>
        <w:ind w:left="5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3303824">
      <w:start w:val="1"/>
      <w:numFmt w:val="lowerLetter"/>
      <w:lvlText w:val="%8"/>
      <w:lvlJc w:val="left"/>
      <w:pPr>
        <w:ind w:left="57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4C6D9C">
      <w:start w:val="1"/>
      <w:numFmt w:val="lowerRoman"/>
      <w:lvlText w:val="%9"/>
      <w:lvlJc w:val="left"/>
      <w:pPr>
        <w:ind w:left="64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65930BDA"/>
    <w:multiLevelType w:val="hybridMultilevel"/>
    <w:tmpl w:val="1D9423C0"/>
    <w:lvl w:ilvl="0" w:tplc="1A7674FA">
      <w:numFmt w:val="bullet"/>
      <w:lvlText w:val="-"/>
      <w:lvlJc w:val="left"/>
      <w:pPr>
        <w:ind w:left="720" w:hanging="360"/>
      </w:pPr>
      <w:rPr>
        <w:rFonts w:ascii="Arial" w:eastAsia="Arial"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687D5F9C"/>
    <w:multiLevelType w:val="hybridMultilevel"/>
    <w:tmpl w:val="44B8BEE2"/>
    <w:lvl w:ilvl="0" w:tplc="8D36F036">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AADE0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A6A87D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8A6D7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A2411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CC371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85ED08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6800E9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260D11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97F0243"/>
    <w:multiLevelType w:val="hybridMultilevel"/>
    <w:tmpl w:val="DCF07DF0"/>
    <w:lvl w:ilvl="0" w:tplc="004A8BE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D60D9C">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2F8E1B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6AA90C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66AEB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12F6D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E4435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326DF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E98D06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EE93EDE"/>
    <w:multiLevelType w:val="hybridMultilevel"/>
    <w:tmpl w:val="F9BAE34A"/>
    <w:lvl w:ilvl="0" w:tplc="5A5A818A">
      <w:numFmt w:val="bullet"/>
      <w:lvlText w:val="-"/>
      <w:lvlJc w:val="left"/>
      <w:pPr>
        <w:ind w:left="720" w:hanging="360"/>
      </w:pPr>
      <w:rPr>
        <w:rFonts w:ascii="Arial" w:eastAsia="Arial"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741927D7"/>
    <w:multiLevelType w:val="hybridMultilevel"/>
    <w:tmpl w:val="3EA47964"/>
    <w:lvl w:ilvl="0" w:tplc="40090001">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23" w15:restartNumberingAfterBreak="0">
    <w:nsid w:val="77A42808"/>
    <w:multiLevelType w:val="hybridMultilevel"/>
    <w:tmpl w:val="D90070A6"/>
    <w:lvl w:ilvl="0" w:tplc="F528B804">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C0E47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22CD6E">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DE9F7C">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3EFB5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1B69C74">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D3C4BCE">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D0B77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9504E0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BCD35B1"/>
    <w:multiLevelType w:val="hybridMultilevel"/>
    <w:tmpl w:val="F4F86AFE"/>
    <w:lvl w:ilvl="0" w:tplc="F680137E">
      <w:start w:val="1"/>
      <w:numFmt w:val="decimal"/>
      <w:lvlText w:val="%1"/>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268636C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CDA820D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275A102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FA32093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609EF9C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002FD9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D03E69E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7D8E4BF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5" w15:restartNumberingAfterBreak="0">
    <w:nsid w:val="7DA43FD2"/>
    <w:multiLevelType w:val="hybridMultilevel"/>
    <w:tmpl w:val="55D89E38"/>
    <w:lvl w:ilvl="0" w:tplc="5FEE88DC">
      <w:start w:val="1"/>
      <w:numFmt w:val="lowerLetter"/>
      <w:lvlText w:val="%1)"/>
      <w:lvlJc w:val="left"/>
      <w:pPr>
        <w:ind w:left="922" w:hanging="360"/>
      </w:pPr>
      <w:rPr>
        <w:rFonts w:hint="default"/>
        <w:vertAlign w:val="superscript"/>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26" w15:restartNumberingAfterBreak="0">
    <w:nsid w:val="7DC823F7"/>
    <w:multiLevelType w:val="hybridMultilevel"/>
    <w:tmpl w:val="D9C612BC"/>
    <w:lvl w:ilvl="0" w:tplc="0276EC60">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047E3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3A61D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33EF10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A84B8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CC2B5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BD6FDC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94800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A84F6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6"/>
  </w:num>
  <w:num w:numId="3">
    <w:abstractNumId w:val="23"/>
  </w:num>
  <w:num w:numId="4">
    <w:abstractNumId w:val="17"/>
  </w:num>
  <w:num w:numId="5">
    <w:abstractNumId w:val="9"/>
  </w:num>
  <w:num w:numId="6">
    <w:abstractNumId w:val="5"/>
  </w:num>
  <w:num w:numId="7">
    <w:abstractNumId w:val="1"/>
  </w:num>
  <w:num w:numId="8">
    <w:abstractNumId w:val="24"/>
  </w:num>
  <w:num w:numId="9">
    <w:abstractNumId w:val="19"/>
  </w:num>
  <w:num w:numId="10">
    <w:abstractNumId w:val="10"/>
  </w:num>
  <w:num w:numId="11">
    <w:abstractNumId w:val="11"/>
  </w:num>
  <w:num w:numId="12">
    <w:abstractNumId w:val="3"/>
  </w:num>
  <w:num w:numId="13">
    <w:abstractNumId w:val="20"/>
  </w:num>
  <w:num w:numId="14">
    <w:abstractNumId w:val="15"/>
  </w:num>
  <w:num w:numId="15">
    <w:abstractNumId w:val="4"/>
  </w:num>
  <w:num w:numId="16">
    <w:abstractNumId w:val="26"/>
  </w:num>
  <w:num w:numId="17">
    <w:abstractNumId w:val="0"/>
  </w:num>
  <w:num w:numId="18">
    <w:abstractNumId w:val="14"/>
  </w:num>
  <w:num w:numId="19">
    <w:abstractNumId w:val="25"/>
  </w:num>
  <w:num w:numId="20">
    <w:abstractNumId w:val="12"/>
  </w:num>
  <w:num w:numId="21">
    <w:abstractNumId w:val="21"/>
  </w:num>
  <w:num w:numId="22">
    <w:abstractNumId w:val="18"/>
  </w:num>
  <w:num w:numId="23">
    <w:abstractNumId w:val="13"/>
  </w:num>
  <w:num w:numId="24">
    <w:abstractNumId w:val="16"/>
  </w:num>
  <w:num w:numId="25">
    <w:abstractNumId w:val="2"/>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8E"/>
    <w:rsid w:val="00010D9C"/>
    <w:rsid w:val="000209D8"/>
    <w:rsid w:val="00021394"/>
    <w:rsid w:val="000217B1"/>
    <w:rsid w:val="00021A73"/>
    <w:rsid w:val="000254A7"/>
    <w:rsid w:val="00025E31"/>
    <w:rsid w:val="00026DAA"/>
    <w:rsid w:val="0003265D"/>
    <w:rsid w:val="00033203"/>
    <w:rsid w:val="00036A10"/>
    <w:rsid w:val="00036B49"/>
    <w:rsid w:val="00040A5A"/>
    <w:rsid w:val="00041C9C"/>
    <w:rsid w:val="0004239B"/>
    <w:rsid w:val="000446C3"/>
    <w:rsid w:val="0005398A"/>
    <w:rsid w:val="000627CB"/>
    <w:rsid w:val="00063336"/>
    <w:rsid w:val="00067CD1"/>
    <w:rsid w:val="000737A1"/>
    <w:rsid w:val="00077772"/>
    <w:rsid w:val="00077D9F"/>
    <w:rsid w:val="000802A6"/>
    <w:rsid w:val="000805D8"/>
    <w:rsid w:val="0008541A"/>
    <w:rsid w:val="00087132"/>
    <w:rsid w:val="00090D1B"/>
    <w:rsid w:val="00097A4E"/>
    <w:rsid w:val="000A1DC9"/>
    <w:rsid w:val="000A53F0"/>
    <w:rsid w:val="000A658C"/>
    <w:rsid w:val="000B1BC8"/>
    <w:rsid w:val="000C15FD"/>
    <w:rsid w:val="000D0AC5"/>
    <w:rsid w:val="000D58A4"/>
    <w:rsid w:val="000D63A5"/>
    <w:rsid w:val="000F3F5A"/>
    <w:rsid w:val="00103FC4"/>
    <w:rsid w:val="00107B81"/>
    <w:rsid w:val="00110B6C"/>
    <w:rsid w:val="00113A31"/>
    <w:rsid w:val="00116183"/>
    <w:rsid w:val="001213D9"/>
    <w:rsid w:val="00122DEB"/>
    <w:rsid w:val="001257CB"/>
    <w:rsid w:val="00125D1B"/>
    <w:rsid w:val="00127F14"/>
    <w:rsid w:val="0013234D"/>
    <w:rsid w:val="00132F6B"/>
    <w:rsid w:val="00133850"/>
    <w:rsid w:val="00134642"/>
    <w:rsid w:val="00135ABF"/>
    <w:rsid w:val="00136113"/>
    <w:rsid w:val="00136147"/>
    <w:rsid w:val="00136779"/>
    <w:rsid w:val="00141D59"/>
    <w:rsid w:val="00142FEA"/>
    <w:rsid w:val="001434F2"/>
    <w:rsid w:val="001450D8"/>
    <w:rsid w:val="00147797"/>
    <w:rsid w:val="0015350C"/>
    <w:rsid w:val="001547DD"/>
    <w:rsid w:val="001568D9"/>
    <w:rsid w:val="0016397B"/>
    <w:rsid w:val="00164B96"/>
    <w:rsid w:val="00170084"/>
    <w:rsid w:val="00175CAA"/>
    <w:rsid w:val="001812F2"/>
    <w:rsid w:val="00186A72"/>
    <w:rsid w:val="00186DAF"/>
    <w:rsid w:val="00191401"/>
    <w:rsid w:val="00191672"/>
    <w:rsid w:val="00191C7F"/>
    <w:rsid w:val="001920EE"/>
    <w:rsid w:val="00196875"/>
    <w:rsid w:val="001A1C41"/>
    <w:rsid w:val="001B16FB"/>
    <w:rsid w:val="001C14D1"/>
    <w:rsid w:val="001D06CE"/>
    <w:rsid w:val="001D1AD7"/>
    <w:rsid w:val="001D3832"/>
    <w:rsid w:val="001D676D"/>
    <w:rsid w:val="001D7722"/>
    <w:rsid w:val="001E0142"/>
    <w:rsid w:val="001E2B53"/>
    <w:rsid w:val="001F5DE2"/>
    <w:rsid w:val="001F60A2"/>
    <w:rsid w:val="001F6C78"/>
    <w:rsid w:val="00203039"/>
    <w:rsid w:val="00204708"/>
    <w:rsid w:val="002047A2"/>
    <w:rsid w:val="002079B7"/>
    <w:rsid w:val="0021092D"/>
    <w:rsid w:val="00210B0C"/>
    <w:rsid w:val="00212E65"/>
    <w:rsid w:val="00216797"/>
    <w:rsid w:val="00220908"/>
    <w:rsid w:val="00221079"/>
    <w:rsid w:val="002212AB"/>
    <w:rsid w:val="00222598"/>
    <w:rsid w:val="00222C6D"/>
    <w:rsid w:val="002254BB"/>
    <w:rsid w:val="00226E7F"/>
    <w:rsid w:val="0023016B"/>
    <w:rsid w:val="0023526A"/>
    <w:rsid w:val="0023707A"/>
    <w:rsid w:val="00240C13"/>
    <w:rsid w:val="002453D3"/>
    <w:rsid w:val="00245EED"/>
    <w:rsid w:val="002470B0"/>
    <w:rsid w:val="00250ADD"/>
    <w:rsid w:val="00250C0E"/>
    <w:rsid w:val="00251F38"/>
    <w:rsid w:val="002520F1"/>
    <w:rsid w:val="00264A68"/>
    <w:rsid w:val="0026653F"/>
    <w:rsid w:val="00271252"/>
    <w:rsid w:val="00272FA5"/>
    <w:rsid w:val="002734A7"/>
    <w:rsid w:val="00275A66"/>
    <w:rsid w:val="00284E30"/>
    <w:rsid w:val="002856B2"/>
    <w:rsid w:val="00287E3E"/>
    <w:rsid w:val="00290760"/>
    <w:rsid w:val="002908BD"/>
    <w:rsid w:val="00290D8F"/>
    <w:rsid w:val="0029472B"/>
    <w:rsid w:val="002977FE"/>
    <w:rsid w:val="0029786D"/>
    <w:rsid w:val="002A13DF"/>
    <w:rsid w:val="002A2739"/>
    <w:rsid w:val="002A2AA2"/>
    <w:rsid w:val="002A4DB0"/>
    <w:rsid w:val="002A53AF"/>
    <w:rsid w:val="002A71B4"/>
    <w:rsid w:val="002B1EAC"/>
    <w:rsid w:val="002B31C4"/>
    <w:rsid w:val="002B5093"/>
    <w:rsid w:val="002B674C"/>
    <w:rsid w:val="002B6FD0"/>
    <w:rsid w:val="002C1753"/>
    <w:rsid w:val="002C292A"/>
    <w:rsid w:val="002C78E9"/>
    <w:rsid w:val="002D28DE"/>
    <w:rsid w:val="002E0B27"/>
    <w:rsid w:val="002E7318"/>
    <w:rsid w:val="002F5624"/>
    <w:rsid w:val="002F7C00"/>
    <w:rsid w:val="003006D2"/>
    <w:rsid w:val="003009C2"/>
    <w:rsid w:val="003009E1"/>
    <w:rsid w:val="00303AFA"/>
    <w:rsid w:val="0030509F"/>
    <w:rsid w:val="003061A3"/>
    <w:rsid w:val="0031287F"/>
    <w:rsid w:val="00315DAF"/>
    <w:rsid w:val="0031699B"/>
    <w:rsid w:val="0033275E"/>
    <w:rsid w:val="0034360B"/>
    <w:rsid w:val="00344BD1"/>
    <w:rsid w:val="00352B12"/>
    <w:rsid w:val="00354F57"/>
    <w:rsid w:val="003562CA"/>
    <w:rsid w:val="003573BC"/>
    <w:rsid w:val="00357C40"/>
    <w:rsid w:val="00357FE8"/>
    <w:rsid w:val="00360048"/>
    <w:rsid w:val="0036040E"/>
    <w:rsid w:val="0036161E"/>
    <w:rsid w:val="00363683"/>
    <w:rsid w:val="00370554"/>
    <w:rsid w:val="00370588"/>
    <w:rsid w:val="0037120C"/>
    <w:rsid w:val="003713B7"/>
    <w:rsid w:val="00371A28"/>
    <w:rsid w:val="00376853"/>
    <w:rsid w:val="00377A09"/>
    <w:rsid w:val="003812B9"/>
    <w:rsid w:val="003836D6"/>
    <w:rsid w:val="0038422C"/>
    <w:rsid w:val="00385000"/>
    <w:rsid w:val="00385A44"/>
    <w:rsid w:val="00385B2A"/>
    <w:rsid w:val="00385CB4"/>
    <w:rsid w:val="00385D8D"/>
    <w:rsid w:val="00387DB0"/>
    <w:rsid w:val="003905BE"/>
    <w:rsid w:val="0039072C"/>
    <w:rsid w:val="00394E6C"/>
    <w:rsid w:val="00395736"/>
    <w:rsid w:val="003A1D20"/>
    <w:rsid w:val="003A288F"/>
    <w:rsid w:val="003A63E4"/>
    <w:rsid w:val="003A68E2"/>
    <w:rsid w:val="003A6D4A"/>
    <w:rsid w:val="003A6D7B"/>
    <w:rsid w:val="003A7DDA"/>
    <w:rsid w:val="003B28D1"/>
    <w:rsid w:val="003B6DAF"/>
    <w:rsid w:val="003B7A26"/>
    <w:rsid w:val="003C18F1"/>
    <w:rsid w:val="003C276B"/>
    <w:rsid w:val="003C5B06"/>
    <w:rsid w:val="003C5FDA"/>
    <w:rsid w:val="003D468F"/>
    <w:rsid w:val="003E062C"/>
    <w:rsid w:val="003E2BE4"/>
    <w:rsid w:val="003E5AB3"/>
    <w:rsid w:val="003E6C0C"/>
    <w:rsid w:val="003E7908"/>
    <w:rsid w:val="003F186E"/>
    <w:rsid w:val="003F52B1"/>
    <w:rsid w:val="00400051"/>
    <w:rsid w:val="00400D51"/>
    <w:rsid w:val="00404134"/>
    <w:rsid w:val="0040461F"/>
    <w:rsid w:val="00407647"/>
    <w:rsid w:val="00410C00"/>
    <w:rsid w:val="00410E4E"/>
    <w:rsid w:val="004110E1"/>
    <w:rsid w:val="00421893"/>
    <w:rsid w:val="00427999"/>
    <w:rsid w:val="004300F9"/>
    <w:rsid w:val="00441876"/>
    <w:rsid w:val="00444B79"/>
    <w:rsid w:val="004450B6"/>
    <w:rsid w:val="0044532E"/>
    <w:rsid w:val="00450731"/>
    <w:rsid w:val="0045304E"/>
    <w:rsid w:val="00455B2E"/>
    <w:rsid w:val="004560A0"/>
    <w:rsid w:val="00460F65"/>
    <w:rsid w:val="00462395"/>
    <w:rsid w:val="00463732"/>
    <w:rsid w:val="00463BF3"/>
    <w:rsid w:val="004673B0"/>
    <w:rsid w:val="00477207"/>
    <w:rsid w:val="004776D4"/>
    <w:rsid w:val="004803D2"/>
    <w:rsid w:val="0048436B"/>
    <w:rsid w:val="004866D5"/>
    <w:rsid w:val="004870CA"/>
    <w:rsid w:val="00490D67"/>
    <w:rsid w:val="0049221A"/>
    <w:rsid w:val="0049459A"/>
    <w:rsid w:val="0049508C"/>
    <w:rsid w:val="004A551F"/>
    <w:rsid w:val="004B05C3"/>
    <w:rsid w:val="004B1DA9"/>
    <w:rsid w:val="004B4FA5"/>
    <w:rsid w:val="004B5FD5"/>
    <w:rsid w:val="004C123B"/>
    <w:rsid w:val="004D0459"/>
    <w:rsid w:val="004D1A4D"/>
    <w:rsid w:val="004D3BD7"/>
    <w:rsid w:val="004D45F6"/>
    <w:rsid w:val="004E140D"/>
    <w:rsid w:val="004E1A54"/>
    <w:rsid w:val="004E2296"/>
    <w:rsid w:val="004E2ABE"/>
    <w:rsid w:val="004E6CD9"/>
    <w:rsid w:val="004F6AD5"/>
    <w:rsid w:val="0050107C"/>
    <w:rsid w:val="0050379B"/>
    <w:rsid w:val="00504535"/>
    <w:rsid w:val="00506E7D"/>
    <w:rsid w:val="005122BD"/>
    <w:rsid w:val="00512373"/>
    <w:rsid w:val="00515EFB"/>
    <w:rsid w:val="00516EE0"/>
    <w:rsid w:val="00517046"/>
    <w:rsid w:val="00522F9F"/>
    <w:rsid w:val="00523C31"/>
    <w:rsid w:val="00526BF0"/>
    <w:rsid w:val="00531B58"/>
    <w:rsid w:val="0053464D"/>
    <w:rsid w:val="005348F7"/>
    <w:rsid w:val="00534A48"/>
    <w:rsid w:val="00540FF4"/>
    <w:rsid w:val="00541D6D"/>
    <w:rsid w:val="005452D5"/>
    <w:rsid w:val="00553A0B"/>
    <w:rsid w:val="00556CC9"/>
    <w:rsid w:val="00575E1E"/>
    <w:rsid w:val="005834D1"/>
    <w:rsid w:val="00584342"/>
    <w:rsid w:val="005862E1"/>
    <w:rsid w:val="00586A9C"/>
    <w:rsid w:val="00586EAD"/>
    <w:rsid w:val="00591074"/>
    <w:rsid w:val="00594CF3"/>
    <w:rsid w:val="0059787B"/>
    <w:rsid w:val="005A05C3"/>
    <w:rsid w:val="005A1A49"/>
    <w:rsid w:val="005A4BDA"/>
    <w:rsid w:val="005B0239"/>
    <w:rsid w:val="005B0279"/>
    <w:rsid w:val="005B30B1"/>
    <w:rsid w:val="005B64AC"/>
    <w:rsid w:val="005C179A"/>
    <w:rsid w:val="005C386B"/>
    <w:rsid w:val="005C7E2A"/>
    <w:rsid w:val="005D2650"/>
    <w:rsid w:val="005D665D"/>
    <w:rsid w:val="005E23E4"/>
    <w:rsid w:val="005E3F03"/>
    <w:rsid w:val="005E560E"/>
    <w:rsid w:val="005E590D"/>
    <w:rsid w:val="005F0842"/>
    <w:rsid w:val="005F47AF"/>
    <w:rsid w:val="005F4D47"/>
    <w:rsid w:val="00601366"/>
    <w:rsid w:val="00601877"/>
    <w:rsid w:val="00604FF5"/>
    <w:rsid w:val="006078D6"/>
    <w:rsid w:val="0061283B"/>
    <w:rsid w:val="00616AE9"/>
    <w:rsid w:val="00622CE9"/>
    <w:rsid w:val="00624D6C"/>
    <w:rsid w:val="00635C2E"/>
    <w:rsid w:val="00647D94"/>
    <w:rsid w:val="00650EDC"/>
    <w:rsid w:val="00657B62"/>
    <w:rsid w:val="006612F1"/>
    <w:rsid w:val="00663928"/>
    <w:rsid w:val="00664A91"/>
    <w:rsid w:val="00665164"/>
    <w:rsid w:val="00665563"/>
    <w:rsid w:val="006655D8"/>
    <w:rsid w:val="00665EA2"/>
    <w:rsid w:val="0066725F"/>
    <w:rsid w:val="0067241C"/>
    <w:rsid w:val="00676308"/>
    <w:rsid w:val="00677931"/>
    <w:rsid w:val="0069600B"/>
    <w:rsid w:val="00696E18"/>
    <w:rsid w:val="006A059D"/>
    <w:rsid w:val="006A3468"/>
    <w:rsid w:val="006A44EC"/>
    <w:rsid w:val="006A5033"/>
    <w:rsid w:val="006A68E0"/>
    <w:rsid w:val="006B0F54"/>
    <w:rsid w:val="006B1744"/>
    <w:rsid w:val="006B7C8E"/>
    <w:rsid w:val="006C086F"/>
    <w:rsid w:val="006D0B7A"/>
    <w:rsid w:val="006D13F7"/>
    <w:rsid w:val="006D767D"/>
    <w:rsid w:val="006E2300"/>
    <w:rsid w:val="006E7EEE"/>
    <w:rsid w:val="006F0B29"/>
    <w:rsid w:val="006F3627"/>
    <w:rsid w:val="0070679B"/>
    <w:rsid w:val="007077DC"/>
    <w:rsid w:val="007132EA"/>
    <w:rsid w:val="00716528"/>
    <w:rsid w:val="0071683D"/>
    <w:rsid w:val="00716DDE"/>
    <w:rsid w:val="0072130A"/>
    <w:rsid w:val="00721414"/>
    <w:rsid w:val="007227A4"/>
    <w:rsid w:val="0072294D"/>
    <w:rsid w:val="00724639"/>
    <w:rsid w:val="0072696A"/>
    <w:rsid w:val="007269A2"/>
    <w:rsid w:val="007353FE"/>
    <w:rsid w:val="00735B87"/>
    <w:rsid w:val="00743BBE"/>
    <w:rsid w:val="00751C99"/>
    <w:rsid w:val="00752648"/>
    <w:rsid w:val="007559D2"/>
    <w:rsid w:val="007637D9"/>
    <w:rsid w:val="00764394"/>
    <w:rsid w:val="00771263"/>
    <w:rsid w:val="007756F3"/>
    <w:rsid w:val="00780AF2"/>
    <w:rsid w:val="00784B92"/>
    <w:rsid w:val="0078772C"/>
    <w:rsid w:val="00797539"/>
    <w:rsid w:val="007A1028"/>
    <w:rsid w:val="007A1C50"/>
    <w:rsid w:val="007A1F62"/>
    <w:rsid w:val="007A575D"/>
    <w:rsid w:val="007A5966"/>
    <w:rsid w:val="007B4785"/>
    <w:rsid w:val="007B6F82"/>
    <w:rsid w:val="007D1BD0"/>
    <w:rsid w:val="007D1FBF"/>
    <w:rsid w:val="007E1317"/>
    <w:rsid w:val="0080152E"/>
    <w:rsid w:val="00802BF5"/>
    <w:rsid w:val="00805721"/>
    <w:rsid w:val="0081130A"/>
    <w:rsid w:val="00814CD9"/>
    <w:rsid w:val="00814ECD"/>
    <w:rsid w:val="00815F84"/>
    <w:rsid w:val="00817F15"/>
    <w:rsid w:val="00826DC8"/>
    <w:rsid w:val="008273E4"/>
    <w:rsid w:val="00833A3C"/>
    <w:rsid w:val="00834AFF"/>
    <w:rsid w:val="00834FDE"/>
    <w:rsid w:val="008350B2"/>
    <w:rsid w:val="008351CB"/>
    <w:rsid w:val="00835907"/>
    <w:rsid w:val="00843032"/>
    <w:rsid w:val="00844578"/>
    <w:rsid w:val="00847A89"/>
    <w:rsid w:val="008511BF"/>
    <w:rsid w:val="00851C81"/>
    <w:rsid w:val="0085306A"/>
    <w:rsid w:val="00856545"/>
    <w:rsid w:val="00862E5C"/>
    <w:rsid w:val="00863916"/>
    <w:rsid w:val="00863A2D"/>
    <w:rsid w:val="00864892"/>
    <w:rsid w:val="008661B3"/>
    <w:rsid w:val="00873FBA"/>
    <w:rsid w:val="00875A6A"/>
    <w:rsid w:val="008802FE"/>
    <w:rsid w:val="0089020D"/>
    <w:rsid w:val="00897BC9"/>
    <w:rsid w:val="008A2462"/>
    <w:rsid w:val="008A43C0"/>
    <w:rsid w:val="008A5540"/>
    <w:rsid w:val="008A792F"/>
    <w:rsid w:val="008B076E"/>
    <w:rsid w:val="008B42DA"/>
    <w:rsid w:val="008B43E2"/>
    <w:rsid w:val="008B618F"/>
    <w:rsid w:val="008C07A2"/>
    <w:rsid w:val="008C0C7F"/>
    <w:rsid w:val="008C1718"/>
    <w:rsid w:val="008C570B"/>
    <w:rsid w:val="008C6BA1"/>
    <w:rsid w:val="008C79B3"/>
    <w:rsid w:val="008C7DFF"/>
    <w:rsid w:val="008D0517"/>
    <w:rsid w:val="008D36D8"/>
    <w:rsid w:val="008E2776"/>
    <w:rsid w:val="008E5155"/>
    <w:rsid w:val="008E7AC1"/>
    <w:rsid w:val="008F1D8F"/>
    <w:rsid w:val="008F624E"/>
    <w:rsid w:val="008F6808"/>
    <w:rsid w:val="008F7E30"/>
    <w:rsid w:val="00900DF5"/>
    <w:rsid w:val="00903B00"/>
    <w:rsid w:val="00903D14"/>
    <w:rsid w:val="00905933"/>
    <w:rsid w:val="00910662"/>
    <w:rsid w:val="00910E5C"/>
    <w:rsid w:val="00916A9B"/>
    <w:rsid w:val="00920AE9"/>
    <w:rsid w:val="00924B98"/>
    <w:rsid w:val="00924BE7"/>
    <w:rsid w:val="00925233"/>
    <w:rsid w:val="00925923"/>
    <w:rsid w:val="00925CD2"/>
    <w:rsid w:val="009341FF"/>
    <w:rsid w:val="00937C9F"/>
    <w:rsid w:val="009410A8"/>
    <w:rsid w:val="009417FF"/>
    <w:rsid w:val="009502E3"/>
    <w:rsid w:val="009515DD"/>
    <w:rsid w:val="009522B2"/>
    <w:rsid w:val="00953E9B"/>
    <w:rsid w:val="00963803"/>
    <w:rsid w:val="00966F8B"/>
    <w:rsid w:val="00973A33"/>
    <w:rsid w:val="00980E04"/>
    <w:rsid w:val="00981DA2"/>
    <w:rsid w:val="00982CDA"/>
    <w:rsid w:val="00983F23"/>
    <w:rsid w:val="009875C6"/>
    <w:rsid w:val="00990964"/>
    <w:rsid w:val="00993B93"/>
    <w:rsid w:val="0099605B"/>
    <w:rsid w:val="00996223"/>
    <w:rsid w:val="009A48C7"/>
    <w:rsid w:val="009A535C"/>
    <w:rsid w:val="009B1276"/>
    <w:rsid w:val="009B588F"/>
    <w:rsid w:val="009C38D5"/>
    <w:rsid w:val="009D44CC"/>
    <w:rsid w:val="009D5F22"/>
    <w:rsid w:val="009D60C6"/>
    <w:rsid w:val="009D6CA5"/>
    <w:rsid w:val="009D6D2C"/>
    <w:rsid w:val="009D7512"/>
    <w:rsid w:val="009E528E"/>
    <w:rsid w:val="009F2EC4"/>
    <w:rsid w:val="009F6277"/>
    <w:rsid w:val="00A0040F"/>
    <w:rsid w:val="00A00477"/>
    <w:rsid w:val="00A0256F"/>
    <w:rsid w:val="00A04623"/>
    <w:rsid w:val="00A047EE"/>
    <w:rsid w:val="00A132D7"/>
    <w:rsid w:val="00A164DD"/>
    <w:rsid w:val="00A16609"/>
    <w:rsid w:val="00A2108D"/>
    <w:rsid w:val="00A23004"/>
    <w:rsid w:val="00A236E5"/>
    <w:rsid w:val="00A25056"/>
    <w:rsid w:val="00A2709C"/>
    <w:rsid w:val="00A337E7"/>
    <w:rsid w:val="00A35997"/>
    <w:rsid w:val="00A36A48"/>
    <w:rsid w:val="00A375D7"/>
    <w:rsid w:val="00A4074A"/>
    <w:rsid w:val="00A53B4A"/>
    <w:rsid w:val="00A53F00"/>
    <w:rsid w:val="00A547DF"/>
    <w:rsid w:val="00A548F8"/>
    <w:rsid w:val="00A54940"/>
    <w:rsid w:val="00A558DE"/>
    <w:rsid w:val="00A6167F"/>
    <w:rsid w:val="00A62634"/>
    <w:rsid w:val="00A6398C"/>
    <w:rsid w:val="00A64975"/>
    <w:rsid w:val="00A70717"/>
    <w:rsid w:val="00A71FED"/>
    <w:rsid w:val="00A72429"/>
    <w:rsid w:val="00A735E5"/>
    <w:rsid w:val="00A74110"/>
    <w:rsid w:val="00A7665C"/>
    <w:rsid w:val="00A77205"/>
    <w:rsid w:val="00A8046C"/>
    <w:rsid w:val="00A84965"/>
    <w:rsid w:val="00A8649E"/>
    <w:rsid w:val="00A965A1"/>
    <w:rsid w:val="00AA1118"/>
    <w:rsid w:val="00AA2418"/>
    <w:rsid w:val="00AA4C4E"/>
    <w:rsid w:val="00AB0047"/>
    <w:rsid w:val="00AB03DC"/>
    <w:rsid w:val="00AB3901"/>
    <w:rsid w:val="00AB4B42"/>
    <w:rsid w:val="00AC4663"/>
    <w:rsid w:val="00AC68E6"/>
    <w:rsid w:val="00AD1879"/>
    <w:rsid w:val="00AD2539"/>
    <w:rsid w:val="00AD7D58"/>
    <w:rsid w:val="00AE3085"/>
    <w:rsid w:val="00AE4B30"/>
    <w:rsid w:val="00AF5C26"/>
    <w:rsid w:val="00AF67BC"/>
    <w:rsid w:val="00AF7DA7"/>
    <w:rsid w:val="00B0323D"/>
    <w:rsid w:val="00B11CA6"/>
    <w:rsid w:val="00B15375"/>
    <w:rsid w:val="00B1591F"/>
    <w:rsid w:val="00B26072"/>
    <w:rsid w:val="00B27F47"/>
    <w:rsid w:val="00B5000C"/>
    <w:rsid w:val="00B5021B"/>
    <w:rsid w:val="00B51F34"/>
    <w:rsid w:val="00B636B7"/>
    <w:rsid w:val="00B638E4"/>
    <w:rsid w:val="00B6411B"/>
    <w:rsid w:val="00B70E4E"/>
    <w:rsid w:val="00B73692"/>
    <w:rsid w:val="00B741BC"/>
    <w:rsid w:val="00B84A27"/>
    <w:rsid w:val="00B86941"/>
    <w:rsid w:val="00B86AA5"/>
    <w:rsid w:val="00B877D5"/>
    <w:rsid w:val="00B90028"/>
    <w:rsid w:val="00B92AEB"/>
    <w:rsid w:val="00B95491"/>
    <w:rsid w:val="00B959D6"/>
    <w:rsid w:val="00BA2F2B"/>
    <w:rsid w:val="00BA33C2"/>
    <w:rsid w:val="00BA3BAA"/>
    <w:rsid w:val="00BA5F17"/>
    <w:rsid w:val="00BA6F2B"/>
    <w:rsid w:val="00BB24D3"/>
    <w:rsid w:val="00BB332E"/>
    <w:rsid w:val="00BC17F8"/>
    <w:rsid w:val="00BC7A67"/>
    <w:rsid w:val="00BC7C5E"/>
    <w:rsid w:val="00BD2914"/>
    <w:rsid w:val="00BD2B68"/>
    <w:rsid w:val="00BD3416"/>
    <w:rsid w:val="00BD4323"/>
    <w:rsid w:val="00BD4EE5"/>
    <w:rsid w:val="00BD4FF7"/>
    <w:rsid w:val="00BE3CFE"/>
    <w:rsid w:val="00BE50B9"/>
    <w:rsid w:val="00BE71CC"/>
    <w:rsid w:val="00BF099D"/>
    <w:rsid w:val="00BF18B5"/>
    <w:rsid w:val="00BF35CD"/>
    <w:rsid w:val="00BF6377"/>
    <w:rsid w:val="00C0211C"/>
    <w:rsid w:val="00C03CF1"/>
    <w:rsid w:val="00C1005C"/>
    <w:rsid w:val="00C20D49"/>
    <w:rsid w:val="00C217A5"/>
    <w:rsid w:val="00C22EF8"/>
    <w:rsid w:val="00C245A0"/>
    <w:rsid w:val="00C267EC"/>
    <w:rsid w:val="00C30564"/>
    <w:rsid w:val="00C324E1"/>
    <w:rsid w:val="00C401C2"/>
    <w:rsid w:val="00C44907"/>
    <w:rsid w:val="00C46F87"/>
    <w:rsid w:val="00C534F6"/>
    <w:rsid w:val="00C54F1B"/>
    <w:rsid w:val="00C57A9E"/>
    <w:rsid w:val="00C60257"/>
    <w:rsid w:val="00C6294B"/>
    <w:rsid w:val="00C70B59"/>
    <w:rsid w:val="00C716F9"/>
    <w:rsid w:val="00C730F6"/>
    <w:rsid w:val="00C8052E"/>
    <w:rsid w:val="00C81542"/>
    <w:rsid w:val="00C824B8"/>
    <w:rsid w:val="00C8485A"/>
    <w:rsid w:val="00C84E4A"/>
    <w:rsid w:val="00C8712A"/>
    <w:rsid w:val="00CA5068"/>
    <w:rsid w:val="00CA72FF"/>
    <w:rsid w:val="00CB1A3A"/>
    <w:rsid w:val="00CB1E8C"/>
    <w:rsid w:val="00CB77D4"/>
    <w:rsid w:val="00CC0FCB"/>
    <w:rsid w:val="00CC1773"/>
    <w:rsid w:val="00CC17E2"/>
    <w:rsid w:val="00CC3C5F"/>
    <w:rsid w:val="00CC4791"/>
    <w:rsid w:val="00CC52F8"/>
    <w:rsid w:val="00CC678B"/>
    <w:rsid w:val="00CC6791"/>
    <w:rsid w:val="00CD25D9"/>
    <w:rsid w:val="00CD477C"/>
    <w:rsid w:val="00CE220C"/>
    <w:rsid w:val="00CE2642"/>
    <w:rsid w:val="00CF46DD"/>
    <w:rsid w:val="00D012A0"/>
    <w:rsid w:val="00D016C7"/>
    <w:rsid w:val="00D0658C"/>
    <w:rsid w:val="00D06F4C"/>
    <w:rsid w:val="00D14F66"/>
    <w:rsid w:val="00D15AFE"/>
    <w:rsid w:val="00D160DB"/>
    <w:rsid w:val="00D24523"/>
    <w:rsid w:val="00D2612B"/>
    <w:rsid w:val="00D27C60"/>
    <w:rsid w:val="00D30B96"/>
    <w:rsid w:val="00D319F6"/>
    <w:rsid w:val="00D3330D"/>
    <w:rsid w:val="00D362A8"/>
    <w:rsid w:val="00D37E57"/>
    <w:rsid w:val="00D400CD"/>
    <w:rsid w:val="00D4268E"/>
    <w:rsid w:val="00D428DC"/>
    <w:rsid w:val="00D44F59"/>
    <w:rsid w:val="00D50D07"/>
    <w:rsid w:val="00D51544"/>
    <w:rsid w:val="00D52B8A"/>
    <w:rsid w:val="00D54575"/>
    <w:rsid w:val="00D5562F"/>
    <w:rsid w:val="00D56E37"/>
    <w:rsid w:val="00D60C31"/>
    <w:rsid w:val="00D63E2E"/>
    <w:rsid w:val="00D716AB"/>
    <w:rsid w:val="00D72223"/>
    <w:rsid w:val="00D72E7A"/>
    <w:rsid w:val="00D74F94"/>
    <w:rsid w:val="00D75599"/>
    <w:rsid w:val="00D77E32"/>
    <w:rsid w:val="00D81017"/>
    <w:rsid w:val="00D825B2"/>
    <w:rsid w:val="00D83BF5"/>
    <w:rsid w:val="00D85673"/>
    <w:rsid w:val="00D879B4"/>
    <w:rsid w:val="00D92D8E"/>
    <w:rsid w:val="00D93C72"/>
    <w:rsid w:val="00D9794B"/>
    <w:rsid w:val="00DA1D54"/>
    <w:rsid w:val="00DA220B"/>
    <w:rsid w:val="00DA7480"/>
    <w:rsid w:val="00DB10DD"/>
    <w:rsid w:val="00DB136B"/>
    <w:rsid w:val="00DB64ED"/>
    <w:rsid w:val="00DC0CC4"/>
    <w:rsid w:val="00DC330C"/>
    <w:rsid w:val="00DC3742"/>
    <w:rsid w:val="00DC5368"/>
    <w:rsid w:val="00DC756C"/>
    <w:rsid w:val="00DD1F63"/>
    <w:rsid w:val="00DD29C0"/>
    <w:rsid w:val="00DF2EE2"/>
    <w:rsid w:val="00DF608C"/>
    <w:rsid w:val="00E0167C"/>
    <w:rsid w:val="00E03362"/>
    <w:rsid w:val="00E05F7F"/>
    <w:rsid w:val="00E07841"/>
    <w:rsid w:val="00E11FAC"/>
    <w:rsid w:val="00E21885"/>
    <w:rsid w:val="00E2300B"/>
    <w:rsid w:val="00E26C12"/>
    <w:rsid w:val="00E26EA5"/>
    <w:rsid w:val="00E321C7"/>
    <w:rsid w:val="00E3256E"/>
    <w:rsid w:val="00E371DE"/>
    <w:rsid w:val="00E430B7"/>
    <w:rsid w:val="00E456F0"/>
    <w:rsid w:val="00E45DF0"/>
    <w:rsid w:val="00E55168"/>
    <w:rsid w:val="00E55ACD"/>
    <w:rsid w:val="00E57551"/>
    <w:rsid w:val="00E65CEA"/>
    <w:rsid w:val="00E66D8D"/>
    <w:rsid w:val="00E67BC9"/>
    <w:rsid w:val="00E72DDD"/>
    <w:rsid w:val="00E747E0"/>
    <w:rsid w:val="00E8312B"/>
    <w:rsid w:val="00E839A4"/>
    <w:rsid w:val="00E84655"/>
    <w:rsid w:val="00E858FD"/>
    <w:rsid w:val="00E94E98"/>
    <w:rsid w:val="00E963EC"/>
    <w:rsid w:val="00E97590"/>
    <w:rsid w:val="00E977BF"/>
    <w:rsid w:val="00EA1C0E"/>
    <w:rsid w:val="00EB0F4A"/>
    <w:rsid w:val="00EB191F"/>
    <w:rsid w:val="00EB3965"/>
    <w:rsid w:val="00EB595C"/>
    <w:rsid w:val="00EB71C8"/>
    <w:rsid w:val="00EB7A35"/>
    <w:rsid w:val="00EC331E"/>
    <w:rsid w:val="00EC488F"/>
    <w:rsid w:val="00EC4A1D"/>
    <w:rsid w:val="00EC4CCE"/>
    <w:rsid w:val="00ED06A9"/>
    <w:rsid w:val="00EE5CDF"/>
    <w:rsid w:val="00EF32E9"/>
    <w:rsid w:val="00EF38D0"/>
    <w:rsid w:val="00EF3BCF"/>
    <w:rsid w:val="00EF4105"/>
    <w:rsid w:val="00F0046A"/>
    <w:rsid w:val="00F07D99"/>
    <w:rsid w:val="00F11CD7"/>
    <w:rsid w:val="00F11FD0"/>
    <w:rsid w:val="00F12CC5"/>
    <w:rsid w:val="00F151AD"/>
    <w:rsid w:val="00F216FB"/>
    <w:rsid w:val="00F23C92"/>
    <w:rsid w:val="00F240CC"/>
    <w:rsid w:val="00F242BE"/>
    <w:rsid w:val="00F27814"/>
    <w:rsid w:val="00F40859"/>
    <w:rsid w:val="00F43ECE"/>
    <w:rsid w:val="00F44F54"/>
    <w:rsid w:val="00F62D5D"/>
    <w:rsid w:val="00F648C9"/>
    <w:rsid w:val="00F6637C"/>
    <w:rsid w:val="00F71466"/>
    <w:rsid w:val="00F75416"/>
    <w:rsid w:val="00F77F6D"/>
    <w:rsid w:val="00F80E95"/>
    <w:rsid w:val="00F91DC8"/>
    <w:rsid w:val="00F97702"/>
    <w:rsid w:val="00F978AE"/>
    <w:rsid w:val="00FA0506"/>
    <w:rsid w:val="00FA05FB"/>
    <w:rsid w:val="00FA0EBB"/>
    <w:rsid w:val="00FA216E"/>
    <w:rsid w:val="00FA2A96"/>
    <w:rsid w:val="00FA4569"/>
    <w:rsid w:val="00FA6851"/>
    <w:rsid w:val="00FB1820"/>
    <w:rsid w:val="00FB599F"/>
    <w:rsid w:val="00FC2D59"/>
    <w:rsid w:val="00FC3B20"/>
    <w:rsid w:val="00FC43A8"/>
    <w:rsid w:val="00FC4EC2"/>
    <w:rsid w:val="00FC5BAF"/>
    <w:rsid w:val="00FC5FAC"/>
    <w:rsid w:val="00FC6390"/>
    <w:rsid w:val="00FC6F34"/>
    <w:rsid w:val="00FD1650"/>
    <w:rsid w:val="00FD1675"/>
    <w:rsid w:val="00FD5F4F"/>
    <w:rsid w:val="00FD623A"/>
    <w:rsid w:val="00FD63FB"/>
    <w:rsid w:val="00FD7EDF"/>
    <w:rsid w:val="00FE6594"/>
    <w:rsid w:val="00FE7BC7"/>
    <w:rsid w:val="00FF53AA"/>
    <w:rsid w:val="00FF5418"/>
    <w:rsid w:val="00FF7CC4"/>
    <w:rsid w:val="1D297235"/>
    <w:rsid w:val="57DF0F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CEF88"/>
  <w15:docId w15:val="{1B061067-D83E-4B4F-9575-38F5D394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377"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0"/>
      <w:ind w:left="10"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282"/>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87"/>
      <w:ind w:left="10" w:hanging="10"/>
      <w:outlineLvl w:val="2"/>
    </w:pPr>
    <w:rPr>
      <w:rFonts w:ascii="Arial" w:eastAsia="Arial" w:hAnsi="Arial" w:cs="Arial"/>
      <w:color w:val="000000"/>
      <w:u w:val="single" w:color="000000"/>
    </w:rPr>
  </w:style>
  <w:style w:type="paragraph" w:styleId="Heading4">
    <w:name w:val="heading 4"/>
    <w:next w:val="Normal"/>
    <w:link w:val="Heading4Char"/>
    <w:uiPriority w:val="9"/>
    <w:unhideWhenUsed/>
    <w:qFormat/>
    <w:pPr>
      <w:keepNext/>
      <w:keepLines/>
      <w:spacing w:after="87"/>
      <w:ind w:left="10"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0"/>
      <w:ind w:left="10" w:right="381" w:hanging="10"/>
      <w:jc w:val="both"/>
      <w:outlineLvl w:val="4"/>
    </w:pPr>
    <w:rPr>
      <w:rFonts w:ascii="Arial" w:eastAsia="Arial" w:hAnsi="Arial" w:cs="Arial"/>
      <w:b/>
      <w:color w:val="000000"/>
      <w:sz w:val="20"/>
    </w:rPr>
  </w:style>
  <w:style w:type="paragraph" w:styleId="Heading6">
    <w:name w:val="heading 6"/>
    <w:next w:val="Normal"/>
    <w:link w:val="Heading6Char"/>
    <w:uiPriority w:val="9"/>
    <w:unhideWhenUsed/>
    <w:qFormat/>
    <w:pPr>
      <w:keepNext/>
      <w:keepLines/>
      <w:spacing w:after="0"/>
      <w:ind w:left="10" w:right="381" w:hanging="10"/>
      <w:jc w:val="both"/>
      <w:outlineLvl w:val="5"/>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character" w:customStyle="1" w:styleId="Heading5Char">
    <w:name w:val="Heading 5 Char"/>
    <w:link w:val="Heading5"/>
    <w:rPr>
      <w:rFonts w:ascii="Arial" w:eastAsia="Arial" w:hAnsi="Arial" w:cs="Arial"/>
      <w:b/>
      <w:color w:val="000000"/>
      <w:sz w:val="20"/>
    </w:rPr>
  </w:style>
  <w:style w:type="character" w:customStyle="1" w:styleId="Heading6Char">
    <w:name w:val="Heading 6 Char"/>
    <w:link w:val="Heading6"/>
    <w:rPr>
      <w:rFonts w:ascii="Arial" w:eastAsia="Arial" w:hAnsi="Arial" w:cs="Arial"/>
      <w:b/>
      <w:color w:val="000000"/>
      <w:sz w:val="20"/>
    </w:rPr>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1414"/>
    <w:pPr>
      <w:ind w:left="720"/>
      <w:contextualSpacing/>
    </w:pPr>
  </w:style>
  <w:style w:type="character" w:styleId="Hyperlink">
    <w:name w:val="Hyperlink"/>
    <w:basedOn w:val="DefaultParagraphFont"/>
    <w:uiPriority w:val="99"/>
    <w:unhideWhenUsed/>
    <w:rsid w:val="001812F2"/>
    <w:rPr>
      <w:color w:val="0563C1" w:themeColor="hyperlink"/>
      <w:u w:val="single"/>
    </w:rPr>
  </w:style>
  <w:style w:type="character" w:styleId="UnresolvedMention">
    <w:name w:val="Unresolved Mention"/>
    <w:basedOn w:val="DefaultParagraphFont"/>
    <w:uiPriority w:val="99"/>
    <w:semiHidden/>
    <w:unhideWhenUsed/>
    <w:rsid w:val="001812F2"/>
    <w:rPr>
      <w:color w:val="605E5C"/>
      <w:shd w:val="clear" w:color="auto" w:fill="E1DFDD"/>
    </w:rPr>
  </w:style>
  <w:style w:type="paragraph" w:styleId="Header">
    <w:name w:val="header"/>
    <w:basedOn w:val="Normal"/>
    <w:link w:val="HeaderChar"/>
    <w:uiPriority w:val="99"/>
    <w:unhideWhenUsed/>
    <w:rsid w:val="00121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3D9"/>
    <w:rPr>
      <w:rFonts w:ascii="Arial" w:eastAsia="Arial" w:hAnsi="Arial" w:cs="Arial"/>
      <w:color w:val="000000"/>
      <w:sz w:val="20"/>
    </w:rPr>
  </w:style>
  <w:style w:type="character" w:styleId="CommentReference">
    <w:name w:val="annotation reference"/>
    <w:basedOn w:val="DefaultParagraphFont"/>
    <w:uiPriority w:val="99"/>
    <w:semiHidden/>
    <w:unhideWhenUsed/>
    <w:rsid w:val="00665EA2"/>
    <w:rPr>
      <w:sz w:val="16"/>
      <w:szCs w:val="16"/>
    </w:rPr>
  </w:style>
  <w:style w:type="paragraph" w:styleId="CommentText">
    <w:name w:val="annotation text"/>
    <w:basedOn w:val="Normal"/>
    <w:link w:val="CommentTextChar"/>
    <w:uiPriority w:val="99"/>
    <w:unhideWhenUsed/>
    <w:rsid w:val="00665EA2"/>
    <w:pPr>
      <w:spacing w:line="240" w:lineRule="auto"/>
    </w:pPr>
    <w:rPr>
      <w:szCs w:val="20"/>
    </w:rPr>
  </w:style>
  <w:style w:type="character" w:customStyle="1" w:styleId="CommentTextChar">
    <w:name w:val="Comment Text Char"/>
    <w:basedOn w:val="DefaultParagraphFont"/>
    <w:link w:val="CommentText"/>
    <w:uiPriority w:val="99"/>
    <w:rsid w:val="00665EA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65EA2"/>
    <w:rPr>
      <w:b/>
      <w:bCs/>
    </w:rPr>
  </w:style>
  <w:style w:type="character" w:customStyle="1" w:styleId="CommentSubjectChar">
    <w:name w:val="Comment Subject Char"/>
    <w:basedOn w:val="CommentTextChar"/>
    <w:link w:val="CommentSubject"/>
    <w:uiPriority w:val="99"/>
    <w:semiHidden/>
    <w:rsid w:val="00665EA2"/>
    <w:rPr>
      <w:rFonts w:ascii="Arial" w:eastAsia="Arial" w:hAnsi="Arial" w:cs="Arial"/>
      <w:b/>
      <w:bCs/>
      <w:color w:val="000000"/>
      <w:sz w:val="20"/>
      <w:szCs w:val="20"/>
    </w:rPr>
  </w:style>
  <w:style w:type="table" w:customStyle="1" w:styleId="TableGrid0">
    <w:name w:val="Table Grid0"/>
    <w:basedOn w:val="TableNormal"/>
    <w:uiPriority w:val="39"/>
    <w:rsid w:val="005E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C4791"/>
    <w:pPr>
      <w:tabs>
        <w:tab w:val="center" w:pos="4513"/>
        <w:tab w:val="right" w:pos="9026"/>
      </w:tabs>
      <w:spacing w:after="0" w:line="240" w:lineRule="auto"/>
    </w:pPr>
  </w:style>
  <w:style w:type="character" w:customStyle="1" w:styleId="FooterChar">
    <w:name w:val="Footer Char"/>
    <w:basedOn w:val="DefaultParagraphFont"/>
    <w:link w:val="Footer"/>
    <w:rsid w:val="00CC4791"/>
    <w:rPr>
      <w:rFonts w:ascii="Arial" w:eastAsia="Arial" w:hAnsi="Arial" w:cs="Arial"/>
      <w:color w:val="000000"/>
      <w:sz w:val="20"/>
    </w:rPr>
  </w:style>
  <w:style w:type="paragraph" w:styleId="NormalWeb">
    <w:name w:val="Normal (Web)"/>
    <w:basedOn w:val="Normal"/>
    <w:uiPriority w:val="99"/>
    <w:semiHidden/>
    <w:unhideWhenUsed/>
    <w:rsid w:val="00EC4A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523"/>
    <w:rPr>
      <w:rFonts w:ascii="Segoe UI" w:eastAsia="Arial" w:hAnsi="Segoe UI" w:cs="Segoe UI"/>
      <w:color w:val="000000"/>
      <w:sz w:val="18"/>
      <w:szCs w:val="18"/>
    </w:rPr>
  </w:style>
  <w:style w:type="paragraph" w:customStyle="1" w:styleId="TableColumnHeading">
    <w:name w:val="Table Column Heading"/>
    <w:basedOn w:val="Normal"/>
    <w:link w:val="TableColumnHeadingChar"/>
    <w:uiPriority w:val="2"/>
    <w:qFormat/>
    <w:rsid w:val="00E67BC9"/>
    <w:pPr>
      <w:keepNext/>
      <w:spacing w:before="60" w:after="60" w:line="240" w:lineRule="auto"/>
      <w:ind w:left="0" w:firstLine="0"/>
      <w:jc w:val="left"/>
    </w:pPr>
    <w:rPr>
      <w:rFonts w:ascii="Times New Roman" w:eastAsia="Times New Roman" w:hAnsi="Times New Roman" w:cs="Times New Roman"/>
      <w:b/>
      <w:color w:val="auto"/>
      <w:szCs w:val="24"/>
      <w:lang w:val="en-US" w:eastAsia="en-US"/>
    </w:rPr>
  </w:style>
  <w:style w:type="paragraph" w:customStyle="1" w:styleId="TableText">
    <w:name w:val="Table Text"/>
    <w:basedOn w:val="Normal"/>
    <w:link w:val="TableTextChar"/>
    <w:uiPriority w:val="2"/>
    <w:qFormat/>
    <w:rsid w:val="00E67BC9"/>
    <w:pPr>
      <w:keepNext/>
      <w:spacing w:before="60" w:after="60" w:line="240" w:lineRule="auto"/>
      <w:ind w:left="0" w:firstLine="0"/>
      <w:jc w:val="left"/>
    </w:pPr>
    <w:rPr>
      <w:rFonts w:ascii="Times New Roman" w:eastAsia="Times New Roman" w:hAnsi="Times New Roman" w:cs="Times New Roman"/>
      <w:color w:val="auto"/>
      <w:szCs w:val="24"/>
      <w:lang w:val="en-US" w:eastAsia="en-US"/>
    </w:rPr>
  </w:style>
  <w:style w:type="character" w:customStyle="1" w:styleId="TableColumnHeadingChar">
    <w:name w:val="Table Column Heading Char"/>
    <w:basedOn w:val="DefaultParagraphFont"/>
    <w:link w:val="TableColumnHeading"/>
    <w:uiPriority w:val="2"/>
    <w:rsid w:val="00E67BC9"/>
    <w:rPr>
      <w:rFonts w:ascii="Times New Roman" w:eastAsia="Times New Roman" w:hAnsi="Times New Roman" w:cs="Times New Roman"/>
      <w:b/>
      <w:sz w:val="20"/>
      <w:szCs w:val="24"/>
      <w:lang w:val="en-US" w:eastAsia="en-US"/>
    </w:rPr>
  </w:style>
  <w:style w:type="character" w:customStyle="1" w:styleId="TableTextChar">
    <w:name w:val="Table Text Char"/>
    <w:basedOn w:val="DefaultParagraphFont"/>
    <w:link w:val="TableText"/>
    <w:uiPriority w:val="2"/>
    <w:rsid w:val="00E67BC9"/>
    <w:rPr>
      <w:rFonts w:ascii="Times New Roman" w:eastAsia="Times New Roman" w:hAnsi="Times New Roman" w:cs="Times New Roman"/>
      <w:sz w:val="20"/>
      <w:szCs w:val="24"/>
      <w:lang w:val="en-US" w:eastAsia="en-US"/>
    </w:rPr>
  </w:style>
  <w:style w:type="paragraph" w:styleId="Revision">
    <w:name w:val="Revision"/>
    <w:hidden/>
    <w:uiPriority w:val="99"/>
    <w:semiHidden/>
    <w:rsid w:val="008511BF"/>
    <w:pPr>
      <w:spacing w:after="0" w:line="240" w:lineRule="auto"/>
    </w:pPr>
    <w:rPr>
      <w:rFonts w:ascii="Arial" w:eastAsia="Arial" w:hAnsi="Arial" w:cs="Arial"/>
      <w:color w:val="000000"/>
      <w:sz w:val="20"/>
    </w:rPr>
  </w:style>
  <w:style w:type="table" w:customStyle="1" w:styleId="TableGrid">
    <w:name w:val="TableGrid"/>
    <w:rsid w:val="00A64975"/>
    <w:pPr>
      <w:spacing w:after="0" w:line="240" w:lineRule="auto"/>
    </w:pPr>
    <w:tblPr>
      <w:tblCellMar>
        <w:top w:w="0" w:type="dxa"/>
        <w:left w:w="0" w:type="dxa"/>
        <w:bottom w:w="0" w:type="dxa"/>
        <w:right w:w="0" w:type="dxa"/>
      </w:tblCellMar>
    </w:tblPr>
  </w:style>
  <w:style w:type="table" w:styleId="TableGrid2">
    <w:name w:val="Table Grid"/>
    <w:basedOn w:val="TableNormal"/>
    <w:uiPriority w:val="59"/>
    <w:rsid w:val="00F1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58">
      <w:bodyDiv w:val="1"/>
      <w:marLeft w:val="0"/>
      <w:marRight w:val="0"/>
      <w:marTop w:val="0"/>
      <w:marBottom w:val="0"/>
      <w:divBdr>
        <w:top w:val="none" w:sz="0" w:space="0" w:color="auto"/>
        <w:left w:val="none" w:sz="0" w:space="0" w:color="auto"/>
        <w:bottom w:val="none" w:sz="0" w:space="0" w:color="auto"/>
        <w:right w:val="none" w:sz="0" w:space="0" w:color="auto"/>
      </w:divBdr>
      <w:divsChild>
        <w:div w:id="1222250180">
          <w:marLeft w:val="0"/>
          <w:marRight w:val="0"/>
          <w:marTop w:val="0"/>
          <w:marBottom w:val="0"/>
          <w:divBdr>
            <w:top w:val="none" w:sz="0" w:space="0" w:color="auto"/>
            <w:left w:val="none" w:sz="0" w:space="0" w:color="auto"/>
            <w:bottom w:val="none" w:sz="0" w:space="0" w:color="auto"/>
            <w:right w:val="none" w:sz="0" w:space="0" w:color="auto"/>
          </w:divBdr>
          <w:divsChild>
            <w:div w:id="771978780">
              <w:marLeft w:val="0"/>
              <w:marRight w:val="0"/>
              <w:marTop w:val="0"/>
              <w:marBottom w:val="0"/>
              <w:divBdr>
                <w:top w:val="none" w:sz="0" w:space="0" w:color="auto"/>
                <w:left w:val="none" w:sz="0" w:space="0" w:color="auto"/>
                <w:bottom w:val="none" w:sz="0" w:space="0" w:color="auto"/>
                <w:right w:val="none" w:sz="0" w:space="0" w:color="auto"/>
              </w:divBdr>
              <w:divsChild>
                <w:div w:id="1733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2357">
      <w:bodyDiv w:val="1"/>
      <w:marLeft w:val="0"/>
      <w:marRight w:val="0"/>
      <w:marTop w:val="0"/>
      <w:marBottom w:val="0"/>
      <w:divBdr>
        <w:top w:val="none" w:sz="0" w:space="0" w:color="auto"/>
        <w:left w:val="none" w:sz="0" w:space="0" w:color="auto"/>
        <w:bottom w:val="none" w:sz="0" w:space="0" w:color="auto"/>
        <w:right w:val="none" w:sz="0" w:space="0" w:color="auto"/>
      </w:divBdr>
      <w:divsChild>
        <w:div w:id="1714846772">
          <w:marLeft w:val="0"/>
          <w:marRight w:val="0"/>
          <w:marTop w:val="0"/>
          <w:marBottom w:val="0"/>
          <w:divBdr>
            <w:top w:val="none" w:sz="0" w:space="0" w:color="auto"/>
            <w:left w:val="none" w:sz="0" w:space="0" w:color="auto"/>
            <w:bottom w:val="none" w:sz="0" w:space="0" w:color="auto"/>
            <w:right w:val="none" w:sz="0" w:space="0" w:color="auto"/>
          </w:divBdr>
          <w:divsChild>
            <w:div w:id="151609463">
              <w:marLeft w:val="0"/>
              <w:marRight w:val="0"/>
              <w:marTop w:val="0"/>
              <w:marBottom w:val="0"/>
              <w:divBdr>
                <w:top w:val="none" w:sz="0" w:space="0" w:color="auto"/>
                <w:left w:val="none" w:sz="0" w:space="0" w:color="auto"/>
                <w:bottom w:val="none" w:sz="0" w:space="0" w:color="auto"/>
                <w:right w:val="none" w:sz="0" w:space="0" w:color="auto"/>
              </w:divBdr>
              <w:divsChild>
                <w:div w:id="18626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2434">
      <w:bodyDiv w:val="1"/>
      <w:marLeft w:val="0"/>
      <w:marRight w:val="0"/>
      <w:marTop w:val="0"/>
      <w:marBottom w:val="0"/>
      <w:divBdr>
        <w:top w:val="none" w:sz="0" w:space="0" w:color="auto"/>
        <w:left w:val="none" w:sz="0" w:space="0" w:color="auto"/>
        <w:bottom w:val="none" w:sz="0" w:space="0" w:color="auto"/>
        <w:right w:val="none" w:sz="0" w:space="0" w:color="auto"/>
      </w:divBdr>
      <w:divsChild>
        <w:div w:id="924803346">
          <w:marLeft w:val="0"/>
          <w:marRight w:val="0"/>
          <w:marTop w:val="0"/>
          <w:marBottom w:val="0"/>
          <w:divBdr>
            <w:top w:val="none" w:sz="0" w:space="0" w:color="auto"/>
            <w:left w:val="none" w:sz="0" w:space="0" w:color="auto"/>
            <w:bottom w:val="none" w:sz="0" w:space="0" w:color="auto"/>
            <w:right w:val="none" w:sz="0" w:space="0" w:color="auto"/>
          </w:divBdr>
          <w:divsChild>
            <w:div w:id="546332924">
              <w:marLeft w:val="0"/>
              <w:marRight w:val="0"/>
              <w:marTop w:val="0"/>
              <w:marBottom w:val="0"/>
              <w:divBdr>
                <w:top w:val="none" w:sz="0" w:space="0" w:color="auto"/>
                <w:left w:val="none" w:sz="0" w:space="0" w:color="auto"/>
                <w:bottom w:val="none" w:sz="0" w:space="0" w:color="auto"/>
                <w:right w:val="none" w:sz="0" w:space="0" w:color="auto"/>
              </w:divBdr>
              <w:divsChild>
                <w:div w:id="12209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69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214">
          <w:marLeft w:val="0"/>
          <w:marRight w:val="0"/>
          <w:marTop w:val="0"/>
          <w:marBottom w:val="0"/>
          <w:divBdr>
            <w:top w:val="none" w:sz="0" w:space="0" w:color="auto"/>
            <w:left w:val="none" w:sz="0" w:space="0" w:color="auto"/>
            <w:bottom w:val="none" w:sz="0" w:space="0" w:color="auto"/>
            <w:right w:val="none" w:sz="0" w:space="0" w:color="auto"/>
          </w:divBdr>
          <w:divsChild>
            <w:div w:id="2098868604">
              <w:marLeft w:val="0"/>
              <w:marRight w:val="0"/>
              <w:marTop w:val="0"/>
              <w:marBottom w:val="0"/>
              <w:divBdr>
                <w:top w:val="none" w:sz="0" w:space="0" w:color="auto"/>
                <w:left w:val="none" w:sz="0" w:space="0" w:color="auto"/>
                <w:bottom w:val="none" w:sz="0" w:space="0" w:color="auto"/>
                <w:right w:val="none" w:sz="0" w:space="0" w:color="auto"/>
              </w:divBdr>
              <w:divsChild>
                <w:div w:id="12782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5593">
      <w:bodyDiv w:val="1"/>
      <w:marLeft w:val="0"/>
      <w:marRight w:val="0"/>
      <w:marTop w:val="0"/>
      <w:marBottom w:val="0"/>
      <w:divBdr>
        <w:top w:val="none" w:sz="0" w:space="0" w:color="auto"/>
        <w:left w:val="none" w:sz="0" w:space="0" w:color="auto"/>
        <w:bottom w:val="none" w:sz="0" w:space="0" w:color="auto"/>
        <w:right w:val="none" w:sz="0" w:space="0" w:color="auto"/>
      </w:divBdr>
      <w:divsChild>
        <w:div w:id="1952124649">
          <w:marLeft w:val="0"/>
          <w:marRight w:val="0"/>
          <w:marTop w:val="0"/>
          <w:marBottom w:val="0"/>
          <w:divBdr>
            <w:top w:val="none" w:sz="0" w:space="0" w:color="auto"/>
            <w:left w:val="none" w:sz="0" w:space="0" w:color="auto"/>
            <w:bottom w:val="none" w:sz="0" w:space="0" w:color="auto"/>
            <w:right w:val="none" w:sz="0" w:space="0" w:color="auto"/>
          </w:divBdr>
          <w:divsChild>
            <w:div w:id="1853108657">
              <w:marLeft w:val="0"/>
              <w:marRight w:val="0"/>
              <w:marTop w:val="0"/>
              <w:marBottom w:val="0"/>
              <w:divBdr>
                <w:top w:val="none" w:sz="0" w:space="0" w:color="auto"/>
                <w:left w:val="none" w:sz="0" w:space="0" w:color="auto"/>
                <w:bottom w:val="none" w:sz="0" w:space="0" w:color="auto"/>
                <w:right w:val="none" w:sz="0" w:space="0" w:color="auto"/>
              </w:divBdr>
              <w:divsChild>
                <w:div w:id="1636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7531">
      <w:bodyDiv w:val="1"/>
      <w:marLeft w:val="0"/>
      <w:marRight w:val="0"/>
      <w:marTop w:val="0"/>
      <w:marBottom w:val="0"/>
      <w:divBdr>
        <w:top w:val="none" w:sz="0" w:space="0" w:color="auto"/>
        <w:left w:val="none" w:sz="0" w:space="0" w:color="auto"/>
        <w:bottom w:val="none" w:sz="0" w:space="0" w:color="auto"/>
        <w:right w:val="none" w:sz="0" w:space="0" w:color="auto"/>
      </w:divBdr>
      <w:divsChild>
        <w:div w:id="917906719">
          <w:marLeft w:val="0"/>
          <w:marRight w:val="0"/>
          <w:marTop w:val="0"/>
          <w:marBottom w:val="0"/>
          <w:divBdr>
            <w:top w:val="none" w:sz="0" w:space="0" w:color="auto"/>
            <w:left w:val="none" w:sz="0" w:space="0" w:color="auto"/>
            <w:bottom w:val="none" w:sz="0" w:space="0" w:color="auto"/>
            <w:right w:val="none" w:sz="0" w:space="0" w:color="auto"/>
          </w:divBdr>
          <w:divsChild>
            <w:div w:id="1441488427">
              <w:marLeft w:val="0"/>
              <w:marRight w:val="0"/>
              <w:marTop w:val="0"/>
              <w:marBottom w:val="0"/>
              <w:divBdr>
                <w:top w:val="none" w:sz="0" w:space="0" w:color="auto"/>
                <w:left w:val="none" w:sz="0" w:space="0" w:color="auto"/>
                <w:bottom w:val="none" w:sz="0" w:space="0" w:color="auto"/>
                <w:right w:val="none" w:sz="0" w:space="0" w:color="auto"/>
              </w:divBdr>
              <w:divsChild>
                <w:div w:id="620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5388">
      <w:bodyDiv w:val="1"/>
      <w:marLeft w:val="0"/>
      <w:marRight w:val="0"/>
      <w:marTop w:val="0"/>
      <w:marBottom w:val="0"/>
      <w:divBdr>
        <w:top w:val="none" w:sz="0" w:space="0" w:color="auto"/>
        <w:left w:val="none" w:sz="0" w:space="0" w:color="auto"/>
        <w:bottom w:val="none" w:sz="0" w:space="0" w:color="auto"/>
        <w:right w:val="none" w:sz="0" w:space="0" w:color="auto"/>
      </w:divBdr>
      <w:divsChild>
        <w:div w:id="269434755">
          <w:marLeft w:val="0"/>
          <w:marRight w:val="0"/>
          <w:marTop w:val="0"/>
          <w:marBottom w:val="0"/>
          <w:divBdr>
            <w:top w:val="none" w:sz="0" w:space="0" w:color="auto"/>
            <w:left w:val="none" w:sz="0" w:space="0" w:color="auto"/>
            <w:bottom w:val="none" w:sz="0" w:space="0" w:color="auto"/>
            <w:right w:val="none" w:sz="0" w:space="0" w:color="auto"/>
          </w:divBdr>
          <w:divsChild>
            <w:div w:id="2101752172">
              <w:marLeft w:val="0"/>
              <w:marRight w:val="0"/>
              <w:marTop w:val="0"/>
              <w:marBottom w:val="0"/>
              <w:divBdr>
                <w:top w:val="none" w:sz="0" w:space="0" w:color="auto"/>
                <w:left w:val="none" w:sz="0" w:space="0" w:color="auto"/>
                <w:bottom w:val="none" w:sz="0" w:space="0" w:color="auto"/>
                <w:right w:val="none" w:sz="0" w:space="0" w:color="auto"/>
              </w:divBdr>
              <w:divsChild>
                <w:div w:id="3634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341">
      <w:bodyDiv w:val="1"/>
      <w:marLeft w:val="0"/>
      <w:marRight w:val="0"/>
      <w:marTop w:val="0"/>
      <w:marBottom w:val="0"/>
      <w:divBdr>
        <w:top w:val="none" w:sz="0" w:space="0" w:color="auto"/>
        <w:left w:val="none" w:sz="0" w:space="0" w:color="auto"/>
        <w:bottom w:val="none" w:sz="0" w:space="0" w:color="auto"/>
        <w:right w:val="none" w:sz="0" w:space="0" w:color="auto"/>
      </w:divBdr>
      <w:divsChild>
        <w:div w:id="574558096">
          <w:marLeft w:val="0"/>
          <w:marRight w:val="0"/>
          <w:marTop w:val="0"/>
          <w:marBottom w:val="0"/>
          <w:divBdr>
            <w:top w:val="none" w:sz="0" w:space="0" w:color="auto"/>
            <w:left w:val="none" w:sz="0" w:space="0" w:color="auto"/>
            <w:bottom w:val="none" w:sz="0" w:space="0" w:color="auto"/>
            <w:right w:val="none" w:sz="0" w:space="0" w:color="auto"/>
          </w:divBdr>
          <w:divsChild>
            <w:div w:id="781997113">
              <w:marLeft w:val="0"/>
              <w:marRight w:val="0"/>
              <w:marTop w:val="0"/>
              <w:marBottom w:val="0"/>
              <w:divBdr>
                <w:top w:val="none" w:sz="0" w:space="0" w:color="auto"/>
                <w:left w:val="none" w:sz="0" w:space="0" w:color="auto"/>
                <w:bottom w:val="none" w:sz="0" w:space="0" w:color="auto"/>
                <w:right w:val="none" w:sz="0" w:space="0" w:color="auto"/>
              </w:divBdr>
              <w:divsChild>
                <w:div w:id="19805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5652">
      <w:bodyDiv w:val="1"/>
      <w:marLeft w:val="0"/>
      <w:marRight w:val="0"/>
      <w:marTop w:val="0"/>
      <w:marBottom w:val="0"/>
      <w:divBdr>
        <w:top w:val="none" w:sz="0" w:space="0" w:color="auto"/>
        <w:left w:val="none" w:sz="0" w:space="0" w:color="auto"/>
        <w:bottom w:val="none" w:sz="0" w:space="0" w:color="auto"/>
        <w:right w:val="none" w:sz="0" w:space="0" w:color="auto"/>
      </w:divBdr>
      <w:divsChild>
        <w:div w:id="945772765">
          <w:marLeft w:val="0"/>
          <w:marRight w:val="0"/>
          <w:marTop w:val="0"/>
          <w:marBottom w:val="0"/>
          <w:divBdr>
            <w:top w:val="none" w:sz="0" w:space="0" w:color="auto"/>
            <w:left w:val="none" w:sz="0" w:space="0" w:color="auto"/>
            <w:bottom w:val="none" w:sz="0" w:space="0" w:color="auto"/>
            <w:right w:val="none" w:sz="0" w:space="0" w:color="auto"/>
          </w:divBdr>
          <w:divsChild>
            <w:div w:id="1000736603">
              <w:marLeft w:val="0"/>
              <w:marRight w:val="0"/>
              <w:marTop w:val="0"/>
              <w:marBottom w:val="0"/>
              <w:divBdr>
                <w:top w:val="none" w:sz="0" w:space="0" w:color="auto"/>
                <w:left w:val="none" w:sz="0" w:space="0" w:color="auto"/>
                <w:bottom w:val="none" w:sz="0" w:space="0" w:color="auto"/>
                <w:right w:val="none" w:sz="0" w:space="0" w:color="auto"/>
              </w:divBdr>
              <w:divsChild>
                <w:div w:id="15959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6198">
      <w:bodyDiv w:val="1"/>
      <w:marLeft w:val="0"/>
      <w:marRight w:val="0"/>
      <w:marTop w:val="0"/>
      <w:marBottom w:val="0"/>
      <w:divBdr>
        <w:top w:val="none" w:sz="0" w:space="0" w:color="auto"/>
        <w:left w:val="none" w:sz="0" w:space="0" w:color="auto"/>
        <w:bottom w:val="none" w:sz="0" w:space="0" w:color="auto"/>
        <w:right w:val="none" w:sz="0" w:space="0" w:color="auto"/>
      </w:divBdr>
      <w:divsChild>
        <w:div w:id="1876236451">
          <w:marLeft w:val="0"/>
          <w:marRight w:val="0"/>
          <w:marTop w:val="0"/>
          <w:marBottom w:val="0"/>
          <w:divBdr>
            <w:top w:val="none" w:sz="0" w:space="0" w:color="auto"/>
            <w:left w:val="none" w:sz="0" w:space="0" w:color="auto"/>
            <w:bottom w:val="none" w:sz="0" w:space="0" w:color="auto"/>
            <w:right w:val="none" w:sz="0" w:space="0" w:color="auto"/>
          </w:divBdr>
          <w:divsChild>
            <w:div w:id="1957564944">
              <w:marLeft w:val="0"/>
              <w:marRight w:val="0"/>
              <w:marTop w:val="0"/>
              <w:marBottom w:val="0"/>
              <w:divBdr>
                <w:top w:val="none" w:sz="0" w:space="0" w:color="auto"/>
                <w:left w:val="none" w:sz="0" w:space="0" w:color="auto"/>
                <w:bottom w:val="none" w:sz="0" w:space="0" w:color="auto"/>
                <w:right w:val="none" w:sz="0" w:space="0" w:color="auto"/>
              </w:divBdr>
              <w:divsChild>
                <w:div w:id="7897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4742">
      <w:bodyDiv w:val="1"/>
      <w:marLeft w:val="0"/>
      <w:marRight w:val="0"/>
      <w:marTop w:val="0"/>
      <w:marBottom w:val="0"/>
      <w:divBdr>
        <w:top w:val="none" w:sz="0" w:space="0" w:color="auto"/>
        <w:left w:val="none" w:sz="0" w:space="0" w:color="auto"/>
        <w:bottom w:val="none" w:sz="0" w:space="0" w:color="auto"/>
        <w:right w:val="none" w:sz="0" w:space="0" w:color="auto"/>
      </w:divBdr>
      <w:divsChild>
        <w:div w:id="413094406">
          <w:marLeft w:val="0"/>
          <w:marRight w:val="0"/>
          <w:marTop w:val="0"/>
          <w:marBottom w:val="0"/>
          <w:divBdr>
            <w:top w:val="none" w:sz="0" w:space="0" w:color="auto"/>
            <w:left w:val="none" w:sz="0" w:space="0" w:color="auto"/>
            <w:bottom w:val="none" w:sz="0" w:space="0" w:color="auto"/>
            <w:right w:val="none" w:sz="0" w:space="0" w:color="auto"/>
          </w:divBdr>
          <w:divsChild>
            <w:div w:id="1151407373">
              <w:marLeft w:val="0"/>
              <w:marRight w:val="0"/>
              <w:marTop w:val="0"/>
              <w:marBottom w:val="0"/>
              <w:divBdr>
                <w:top w:val="none" w:sz="0" w:space="0" w:color="auto"/>
                <w:left w:val="none" w:sz="0" w:space="0" w:color="auto"/>
                <w:bottom w:val="none" w:sz="0" w:space="0" w:color="auto"/>
                <w:right w:val="none" w:sz="0" w:space="0" w:color="auto"/>
              </w:divBdr>
              <w:divsChild>
                <w:div w:id="111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3803">
      <w:bodyDiv w:val="1"/>
      <w:marLeft w:val="0"/>
      <w:marRight w:val="0"/>
      <w:marTop w:val="0"/>
      <w:marBottom w:val="0"/>
      <w:divBdr>
        <w:top w:val="none" w:sz="0" w:space="0" w:color="auto"/>
        <w:left w:val="none" w:sz="0" w:space="0" w:color="auto"/>
        <w:bottom w:val="none" w:sz="0" w:space="0" w:color="auto"/>
        <w:right w:val="none" w:sz="0" w:space="0" w:color="auto"/>
      </w:divBdr>
      <w:divsChild>
        <w:div w:id="1884827386">
          <w:marLeft w:val="0"/>
          <w:marRight w:val="0"/>
          <w:marTop w:val="0"/>
          <w:marBottom w:val="0"/>
          <w:divBdr>
            <w:top w:val="none" w:sz="0" w:space="0" w:color="auto"/>
            <w:left w:val="none" w:sz="0" w:space="0" w:color="auto"/>
            <w:bottom w:val="none" w:sz="0" w:space="0" w:color="auto"/>
            <w:right w:val="none" w:sz="0" w:space="0" w:color="auto"/>
          </w:divBdr>
          <w:divsChild>
            <w:div w:id="1310020393">
              <w:marLeft w:val="0"/>
              <w:marRight w:val="0"/>
              <w:marTop w:val="0"/>
              <w:marBottom w:val="0"/>
              <w:divBdr>
                <w:top w:val="none" w:sz="0" w:space="0" w:color="auto"/>
                <w:left w:val="none" w:sz="0" w:space="0" w:color="auto"/>
                <w:bottom w:val="none" w:sz="0" w:space="0" w:color="auto"/>
                <w:right w:val="none" w:sz="0" w:space="0" w:color="auto"/>
              </w:divBdr>
              <w:divsChild>
                <w:div w:id="10107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7605">
      <w:bodyDiv w:val="1"/>
      <w:marLeft w:val="0"/>
      <w:marRight w:val="0"/>
      <w:marTop w:val="0"/>
      <w:marBottom w:val="0"/>
      <w:divBdr>
        <w:top w:val="none" w:sz="0" w:space="0" w:color="auto"/>
        <w:left w:val="none" w:sz="0" w:space="0" w:color="auto"/>
        <w:bottom w:val="none" w:sz="0" w:space="0" w:color="auto"/>
        <w:right w:val="none" w:sz="0" w:space="0" w:color="auto"/>
      </w:divBdr>
      <w:divsChild>
        <w:div w:id="861283823">
          <w:marLeft w:val="0"/>
          <w:marRight w:val="0"/>
          <w:marTop w:val="0"/>
          <w:marBottom w:val="0"/>
          <w:divBdr>
            <w:top w:val="none" w:sz="0" w:space="0" w:color="auto"/>
            <w:left w:val="none" w:sz="0" w:space="0" w:color="auto"/>
            <w:bottom w:val="none" w:sz="0" w:space="0" w:color="auto"/>
            <w:right w:val="none" w:sz="0" w:space="0" w:color="auto"/>
          </w:divBdr>
          <w:divsChild>
            <w:div w:id="1388988996">
              <w:marLeft w:val="0"/>
              <w:marRight w:val="0"/>
              <w:marTop w:val="0"/>
              <w:marBottom w:val="0"/>
              <w:divBdr>
                <w:top w:val="none" w:sz="0" w:space="0" w:color="auto"/>
                <w:left w:val="none" w:sz="0" w:space="0" w:color="auto"/>
                <w:bottom w:val="none" w:sz="0" w:space="0" w:color="auto"/>
                <w:right w:val="none" w:sz="0" w:space="0" w:color="auto"/>
              </w:divBdr>
              <w:divsChild>
                <w:div w:id="19819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8175">
      <w:bodyDiv w:val="1"/>
      <w:marLeft w:val="0"/>
      <w:marRight w:val="0"/>
      <w:marTop w:val="0"/>
      <w:marBottom w:val="0"/>
      <w:divBdr>
        <w:top w:val="none" w:sz="0" w:space="0" w:color="auto"/>
        <w:left w:val="none" w:sz="0" w:space="0" w:color="auto"/>
        <w:bottom w:val="none" w:sz="0" w:space="0" w:color="auto"/>
        <w:right w:val="none" w:sz="0" w:space="0" w:color="auto"/>
      </w:divBdr>
      <w:divsChild>
        <w:div w:id="709886795">
          <w:marLeft w:val="0"/>
          <w:marRight w:val="0"/>
          <w:marTop w:val="0"/>
          <w:marBottom w:val="0"/>
          <w:divBdr>
            <w:top w:val="none" w:sz="0" w:space="0" w:color="auto"/>
            <w:left w:val="none" w:sz="0" w:space="0" w:color="auto"/>
            <w:bottom w:val="none" w:sz="0" w:space="0" w:color="auto"/>
            <w:right w:val="none" w:sz="0" w:space="0" w:color="auto"/>
          </w:divBdr>
          <w:divsChild>
            <w:div w:id="1380013420">
              <w:marLeft w:val="0"/>
              <w:marRight w:val="0"/>
              <w:marTop w:val="0"/>
              <w:marBottom w:val="0"/>
              <w:divBdr>
                <w:top w:val="none" w:sz="0" w:space="0" w:color="auto"/>
                <w:left w:val="none" w:sz="0" w:space="0" w:color="auto"/>
                <w:bottom w:val="none" w:sz="0" w:space="0" w:color="auto"/>
                <w:right w:val="none" w:sz="0" w:space="0" w:color="auto"/>
              </w:divBdr>
              <w:divsChild>
                <w:div w:id="18919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08168">
      <w:bodyDiv w:val="1"/>
      <w:marLeft w:val="0"/>
      <w:marRight w:val="0"/>
      <w:marTop w:val="0"/>
      <w:marBottom w:val="0"/>
      <w:divBdr>
        <w:top w:val="none" w:sz="0" w:space="0" w:color="auto"/>
        <w:left w:val="none" w:sz="0" w:space="0" w:color="auto"/>
        <w:bottom w:val="none" w:sz="0" w:space="0" w:color="auto"/>
        <w:right w:val="none" w:sz="0" w:space="0" w:color="auto"/>
      </w:divBdr>
    </w:div>
    <w:div w:id="1402563219">
      <w:bodyDiv w:val="1"/>
      <w:marLeft w:val="0"/>
      <w:marRight w:val="0"/>
      <w:marTop w:val="0"/>
      <w:marBottom w:val="0"/>
      <w:divBdr>
        <w:top w:val="none" w:sz="0" w:space="0" w:color="auto"/>
        <w:left w:val="none" w:sz="0" w:space="0" w:color="auto"/>
        <w:bottom w:val="none" w:sz="0" w:space="0" w:color="auto"/>
        <w:right w:val="none" w:sz="0" w:space="0" w:color="auto"/>
      </w:divBdr>
      <w:divsChild>
        <w:div w:id="300622929">
          <w:marLeft w:val="0"/>
          <w:marRight w:val="0"/>
          <w:marTop w:val="0"/>
          <w:marBottom w:val="0"/>
          <w:divBdr>
            <w:top w:val="none" w:sz="0" w:space="0" w:color="auto"/>
            <w:left w:val="none" w:sz="0" w:space="0" w:color="auto"/>
            <w:bottom w:val="none" w:sz="0" w:space="0" w:color="auto"/>
            <w:right w:val="none" w:sz="0" w:space="0" w:color="auto"/>
          </w:divBdr>
          <w:divsChild>
            <w:div w:id="655651011">
              <w:marLeft w:val="0"/>
              <w:marRight w:val="0"/>
              <w:marTop w:val="0"/>
              <w:marBottom w:val="0"/>
              <w:divBdr>
                <w:top w:val="none" w:sz="0" w:space="0" w:color="auto"/>
                <w:left w:val="none" w:sz="0" w:space="0" w:color="auto"/>
                <w:bottom w:val="none" w:sz="0" w:space="0" w:color="auto"/>
                <w:right w:val="none" w:sz="0" w:space="0" w:color="auto"/>
              </w:divBdr>
              <w:divsChild>
                <w:div w:id="12269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2573">
      <w:bodyDiv w:val="1"/>
      <w:marLeft w:val="0"/>
      <w:marRight w:val="0"/>
      <w:marTop w:val="0"/>
      <w:marBottom w:val="0"/>
      <w:divBdr>
        <w:top w:val="none" w:sz="0" w:space="0" w:color="auto"/>
        <w:left w:val="none" w:sz="0" w:space="0" w:color="auto"/>
        <w:bottom w:val="none" w:sz="0" w:space="0" w:color="auto"/>
        <w:right w:val="none" w:sz="0" w:space="0" w:color="auto"/>
      </w:divBdr>
      <w:divsChild>
        <w:div w:id="1132289553">
          <w:marLeft w:val="0"/>
          <w:marRight w:val="0"/>
          <w:marTop w:val="0"/>
          <w:marBottom w:val="0"/>
          <w:divBdr>
            <w:top w:val="none" w:sz="0" w:space="0" w:color="auto"/>
            <w:left w:val="none" w:sz="0" w:space="0" w:color="auto"/>
            <w:bottom w:val="none" w:sz="0" w:space="0" w:color="auto"/>
            <w:right w:val="none" w:sz="0" w:space="0" w:color="auto"/>
          </w:divBdr>
          <w:divsChild>
            <w:div w:id="896666143">
              <w:marLeft w:val="0"/>
              <w:marRight w:val="0"/>
              <w:marTop w:val="0"/>
              <w:marBottom w:val="0"/>
              <w:divBdr>
                <w:top w:val="none" w:sz="0" w:space="0" w:color="auto"/>
                <w:left w:val="none" w:sz="0" w:space="0" w:color="auto"/>
                <w:bottom w:val="none" w:sz="0" w:space="0" w:color="auto"/>
                <w:right w:val="none" w:sz="0" w:space="0" w:color="auto"/>
              </w:divBdr>
              <w:divsChild>
                <w:div w:id="8817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7878">
      <w:bodyDiv w:val="1"/>
      <w:marLeft w:val="0"/>
      <w:marRight w:val="0"/>
      <w:marTop w:val="0"/>
      <w:marBottom w:val="0"/>
      <w:divBdr>
        <w:top w:val="none" w:sz="0" w:space="0" w:color="auto"/>
        <w:left w:val="none" w:sz="0" w:space="0" w:color="auto"/>
        <w:bottom w:val="none" w:sz="0" w:space="0" w:color="auto"/>
        <w:right w:val="none" w:sz="0" w:space="0" w:color="auto"/>
      </w:divBdr>
      <w:divsChild>
        <w:div w:id="1281182091">
          <w:marLeft w:val="0"/>
          <w:marRight w:val="0"/>
          <w:marTop w:val="0"/>
          <w:marBottom w:val="0"/>
          <w:divBdr>
            <w:top w:val="none" w:sz="0" w:space="0" w:color="auto"/>
            <w:left w:val="none" w:sz="0" w:space="0" w:color="auto"/>
            <w:bottom w:val="none" w:sz="0" w:space="0" w:color="auto"/>
            <w:right w:val="none" w:sz="0" w:space="0" w:color="auto"/>
          </w:divBdr>
          <w:divsChild>
            <w:div w:id="472646698">
              <w:marLeft w:val="0"/>
              <w:marRight w:val="0"/>
              <w:marTop w:val="0"/>
              <w:marBottom w:val="0"/>
              <w:divBdr>
                <w:top w:val="none" w:sz="0" w:space="0" w:color="auto"/>
                <w:left w:val="none" w:sz="0" w:space="0" w:color="auto"/>
                <w:bottom w:val="none" w:sz="0" w:space="0" w:color="auto"/>
                <w:right w:val="none" w:sz="0" w:space="0" w:color="auto"/>
              </w:divBdr>
              <w:divsChild>
                <w:div w:id="1509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4890">
      <w:bodyDiv w:val="1"/>
      <w:marLeft w:val="0"/>
      <w:marRight w:val="0"/>
      <w:marTop w:val="0"/>
      <w:marBottom w:val="0"/>
      <w:divBdr>
        <w:top w:val="none" w:sz="0" w:space="0" w:color="auto"/>
        <w:left w:val="none" w:sz="0" w:space="0" w:color="auto"/>
        <w:bottom w:val="none" w:sz="0" w:space="0" w:color="auto"/>
        <w:right w:val="none" w:sz="0" w:space="0" w:color="auto"/>
      </w:divBdr>
      <w:divsChild>
        <w:div w:id="143863277">
          <w:marLeft w:val="0"/>
          <w:marRight w:val="0"/>
          <w:marTop w:val="0"/>
          <w:marBottom w:val="0"/>
          <w:divBdr>
            <w:top w:val="none" w:sz="0" w:space="0" w:color="auto"/>
            <w:left w:val="none" w:sz="0" w:space="0" w:color="auto"/>
            <w:bottom w:val="none" w:sz="0" w:space="0" w:color="auto"/>
            <w:right w:val="none" w:sz="0" w:space="0" w:color="auto"/>
          </w:divBdr>
          <w:divsChild>
            <w:div w:id="1784574257">
              <w:marLeft w:val="0"/>
              <w:marRight w:val="0"/>
              <w:marTop w:val="0"/>
              <w:marBottom w:val="0"/>
              <w:divBdr>
                <w:top w:val="none" w:sz="0" w:space="0" w:color="auto"/>
                <w:left w:val="none" w:sz="0" w:space="0" w:color="auto"/>
                <w:bottom w:val="none" w:sz="0" w:space="0" w:color="auto"/>
                <w:right w:val="none" w:sz="0" w:space="0" w:color="auto"/>
              </w:divBdr>
              <w:divsChild>
                <w:div w:id="9108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708">
      <w:bodyDiv w:val="1"/>
      <w:marLeft w:val="0"/>
      <w:marRight w:val="0"/>
      <w:marTop w:val="0"/>
      <w:marBottom w:val="0"/>
      <w:divBdr>
        <w:top w:val="none" w:sz="0" w:space="0" w:color="auto"/>
        <w:left w:val="none" w:sz="0" w:space="0" w:color="auto"/>
        <w:bottom w:val="none" w:sz="0" w:space="0" w:color="auto"/>
        <w:right w:val="none" w:sz="0" w:space="0" w:color="auto"/>
      </w:divBdr>
      <w:divsChild>
        <w:div w:id="1995141261">
          <w:marLeft w:val="0"/>
          <w:marRight w:val="0"/>
          <w:marTop w:val="0"/>
          <w:marBottom w:val="0"/>
          <w:divBdr>
            <w:top w:val="none" w:sz="0" w:space="0" w:color="auto"/>
            <w:left w:val="none" w:sz="0" w:space="0" w:color="auto"/>
            <w:bottom w:val="none" w:sz="0" w:space="0" w:color="auto"/>
            <w:right w:val="none" w:sz="0" w:space="0" w:color="auto"/>
          </w:divBdr>
          <w:divsChild>
            <w:div w:id="403333293">
              <w:marLeft w:val="0"/>
              <w:marRight w:val="0"/>
              <w:marTop w:val="0"/>
              <w:marBottom w:val="0"/>
              <w:divBdr>
                <w:top w:val="none" w:sz="0" w:space="0" w:color="auto"/>
                <w:left w:val="none" w:sz="0" w:space="0" w:color="auto"/>
                <w:bottom w:val="none" w:sz="0" w:space="0" w:color="auto"/>
                <w:right w:val="none" w:sz="0" w:space="0" w:color="auto"/>
              </w:divBdr>
              <w:divsChild>
                <w:div w:id="330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2626">
      <w:bodyDiv w:val="1"/>
      <w:marLeft w:val="0"/>
      <w:marRight w:val="0"/>
      <w:marTop w:val="0"/>
      <w:marBottom w:val="0"/>
      <w:divBdr>
        <w:top w:val="none" w:sz="0" w:space="0" w:color="auto"/>
        <w:left w:val="none" w:sz="0" w:space="0" w:color="auto"/>
        <w:bottom w:val="none" w:sz="0" w:space="0" w:color="auto"/>
        <w:right w:val="none" w:sz="0" w:space="0" w:color="auto"/>
      </w:divBdr>
      <w:divsChild>
        <w:div w:id="1481193786">
          <w:marLeft w:val="0"/>
          <w:marRight w:val="0"/>
          <w:marTop w:val="0"/>
          <w:marBottom w:val="0"/>
          <w:divBdr>
            <w:top w:val="none" w:sz="0" w:space="0" w:color="auto"/>
            <w:left w:val="none" w:sz="0" w:space="0" w:color="auto"/>
            <w:bottom w:val="none" w:sz="0" w:space="0" w:color="auto"/>
            <w:right w:val="none" w:sz="0" w:space="0" w:color="auto"/>
          </w:divBdr>
          <w:divsChild>
            <w:div w:id="590696522">
              <w:marLeft w:val="0"/>
              <w:marRight w:val="0"/>
              <w:marTop w:val="0"/>
              <w:marBottom w:val="0"/>
              <w:divBdr>
                <w:top w:val="none" w:sz="0" w:space="0" w:color="auto"/>
                <w:left w:val="none" w:sz="0" w:space="0" w:color="auto"/>
                <w:bottom w:val="none" w:sz="0" w:space="0" w:color="auto"/>
                <w:right w:val="none" w:sz="0" w:space="0" w:color="auto"/>
              </w:divBdr>
              <w:divsChild>
                <w:div w:id="6749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998f19a-0d2e-4673-a301-4ad7ce1eae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F0BC81D640964B9F40D6BA3471591B" ma:contentTypeVersion="13" ma:contentTypeDescription="Create a new document." ma:contentTypeScope="" ma:versionID="f67aa5b7e15dd943a18e514133c43474">
  <xsd:schema xmlns:xsd="http://www.w3.org/2001/XMLSchema" xmlns:xs="http://www.w3.org/2001/XMLSchema" xmlns:p="http://schemas.microsoft.com/office/2006/metadata/properties" xmlns:ns2="3998f19a-0d2e-4673-a301-4ad7ce1eae31" xmlns:ns3="6b1065b2-5712-435d-82c4-963fd398b1d9" targetNamespace="http://schemas.microsoft.com/office/2006/metadata/properties" ma:root="true" ma:fieldsID="3f9e8ec52a1d2385ad417fada5b6e6fb" ns2:_="" ns3:_="">
    <xsd:import namespace="3998f19a-0d2e-4673-a301-4ad7ce1eae31"/>
    <xsd:import namespace="6b1065b2-5712-435d-82c4-963fd398b1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8f19a-0d2e-4673-a301-4ad7ce1e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065b2-5712-435d-82c4-963fd398b1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691AE-632B-4250-81B1-9C2E92DCBC6D}">
  <ds:schemaRefs>
    <ds:schemaRef ds:uri="http://schemas.openxmlformats.org/officeDocument/2006/bibliography"/>
  </ds:schemaRefs>
</ds:datastoreItem>
</file>

<file path=customXml/itemProps2.xml><?xml version="1.0" encoding="utf-8"?>
<ds:datastoreItem xmlns:ds="http://schemas.openxmlformats.org/officeDocument/2006/customXml" ds:itemID="{1BF109EF-1AFA-4853-B244-695F76B11B00}">
  <ds:schemaRefs>
    <ds:schemaRef ds:uri="http://schemas.microsoft.com/sharepoint/v3/contenttype/forms"/>
  </ds:schemaRefs>
</ds:datastoreItem>
</file>

<file path=customXml/itemProps3.xml><?xml version="1.0" encoding="utf-8"?>
<ds:datastoreItem xmlns:ds="http://schemas.openxmlformats.org/officeDocument/2006/customXml" ds:itemID="{F29F9EC4-845F-45CB-8927-4CFDF8831D48}">
  <ds:schemaRefs>
    <ds:schemaRef ds:uri="http://schemas.microsoft.com/office/2006/metadata/properties"/>
    <ds:schemaRef ds:uri="http://schemas.microsoft.com/office/infopath/2007/PartnerControls"/>
    <ds:schemaRef ds:uri="3998f19a-0d2e-4673-a301-4ad7ce1eae31"/>
  </ds:schemaRefs>
</ds:datastoreItem>
</file>

<file path=customXml/itemProps4.xml><?xml version="1.0" encoding="utf-8"?>
<ds:datastoreItem xmlns:ds="http://schemas.openxmlformats.org/officeDocument/2006/customXml" ds:itemID="{024C1696-9723-4278-9CC3-5159F07CA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8f19a-0d2e-4673-a301-4ad7ce1eae31"/>
    <ds:schemaRef ds:uri="6b1065b2-5712-435d-82c4-963fd398b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28603</Words>
  <Characters>157893</Characters>
  <Application>Microsoft Office Word</Application>
  <DocSecurity>0</DocSecurity>
  <Lines>4784</Lines>
  <Paragraphs>2702</Paragraphs>
  <ScaleCrop>false</ScaleCrop>
  <HeadingPairs>
    <vt:vector size="2" baseType="variant">
      <vt:variant>
        <vt:lpstr>Title</vt:lpstr>
      </vt:variant>
      <vt:variant>
        <vt:i4>1</vt:i4>
      </vt:variant>
    </vt:vector>
  </HeadingPairs>
  <TitlesOfParts>
    <vt:vector size="1" baseType="lpstr">
      <vt:lpstr>Attachment-Product information for Ciptunec</vt:lpstr>
    </vt:vector>
  </TitlesOfParts>
  <Company>Cipla Australia Pty Ltd</Company>
  <LinksUpToDate>false</LinksUpToDate>
  <CharactersWithSpaces>183794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Ciptunec</dc:title>
  <dc:subject>prescription medicines</dc:subject>
  <dc:creator>Cipla Australia Pty Ltd</dc:creator>
  <cp:keywords/>
  <cp:lastModifiedBy>LACK, Janet</cp:lastModifiedBy>
  <cp:revision>3</cp:revision>
  <cp:lastPrinted>2021-08-13T07:43:00Z</cp:lastPrinted>
  <dcterms:created xsi:type="dcterms:W3CDTF">2023-05-09T23:48:00Z</dcterms:created>
  <dcterms:modified xsi:type="dcterms:W3CDTF">2023-05-09T23:55:00Z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0x01010047F0BC81D640964B9F40D6BA3471591B</vt:lpwstr>
  </property>
</Properties>
</file>