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B44440" w14:paraId="0F4BDD46" w14:textId="77777777" w:rsidTr="00BF1190">
        <w:trPr>
          <w:trHeight w:val="1863"/>
        </w:trPr>
        <w:tc>
          <w:tcPr>
            <w:tcW w:w="3652" w:type="dxa"/>
            <w:tcBorders>
              <w:top w:val="nil"/>
              <w:left w:val="nil"/>
              <w:bottom w:val="nil"/>
              <w:right w:val="nil"/>
            </w:tcBorders>
          </w:tcPr>
          <w:p w14:paraId="6A16FF45" w14:textId="64C6CC63" w:rsidR="008E7846" w:rsidRPr="00B44440" w:rsidRDefault="009B48B1" w:rsidP="00691DAC">
            <w:pPr>
              <w:pStyle w:val="Date"/>
              <w:framePr w:hSpace="0" w:wrap="auto" w:vAnchor="margin" w:hAnchor="text" w:yAlign="inline"/>
              <w:ind w:firstLineChars="100" w:firstLine="361"/>
              <w:suppressOverlap w:val="0"/>
            </w:pPr>
            <w:r>
              <w:t>April</w:t>
            </w:r>
            <w:r w:rsidRPr="00B44440">
              <w:t xml:space="preserve"> </w:t>
            </w:r>
            <w:r w:rsidR="00923038" w:rsidRPr="00B44440">
              <w:t>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B44440" w14:paraId="4E49EA5D" w14:textId="77777777" w:rsidTr="0032583B">
        <w:trPr>
          <w:trHeight w:val="868"/>
        </w:trPr>
        <w:tc>
          <w:tcPr>
            <w:tcW w:w="9079" w:type="dxa"/>
          </w:tcPr>
          <w:p w14:paraId="6C748CC9" w14:textId="1ADC03C8" w:rsidR="0032583B" w:rsidRPr="00B44440" w:rsidRDefault="0032583B" w:rsidP="00F931CE">
            <w:pPr>
              <w:pStyle w:val="Title"/>
              <w:framePr w:hSpace="0" w:wrap="auto" w:vAnchor="margin" w:yAlign="inline"/>
            </w:pPr>
            <w:r w:rsidRPr="00B44440">
              <w:t>Australian Public Assessment Report for</w:t>
            </w:r>
            <w:r w:rsidR="00E64F31" w:rsidRPr="00B44440">
              <w:t xml:space="preserve"> </w:t>
            </w:r>
            <w:proofErr w:type="spellStart"/>
            <w:r w:rsidR="00E64F31" w:rsidRPr="00B44440">
              <w:t>Byooviz</w:t>
            </w:r>
            <w:proofErr w:type="spellEnd"/>
          </w:p>
        </w:tc>
      </w:tr>
      <w:tr w:rsidR="0032583B" w:rsidRPr="00B44440" w14:paraId="0D0D8FF9" w14:textId="77777777" w:rsidTr="0032583B">
        <w:tc>
          <w:tcPr>
            <w:tcW w:w="9079" w:type="dxa"/>
          </w:tcPr>
          <w:p w14:paraId="04B0C8A2" w14:textId="4F722DFC" w:rsidR="0032583B" w:rsidRPr="00B44440" w:rsidRDefault="00BB75D6" w:rsidP="00F931CE">
            <w:pPr>
              <w:pStyle w:val="Subtitle"/>
              <w:framePr w:hSpace="0" w:wrap="auto" w:vAnchor="margin" w:yAlign="inline"/>
            </w:pPr>
            <w:r w:rsidRPr="00B44440">
              <w:t>Active ingredient</w:t>
            </w:r>
            <w:r w:rsidR="0032583B" w:rsidRPr="00B44440">
              <w:t xml:space="preserve">: </w:t>
            </w:r>
            <w:r w:rsidR="00E64F31" w:rsidRPr="00B44440">
              <w:t>Ranibizumab</w:t>
            </w:r>
          </w:p>
        </w:tc>
      </w:tr>
      <w:tr w:rsidR="0032583B" w:rsidRPr="00B44440" w14:paraId="5DA9AD9D" w14:textId="77777777" w:rsidTr="0032583B">
        <w:trPr>
          <w:trHeight w:val="486"/>
        </w:trPr>
        <w:tc>
          <w:tcPr>
            <w:tcW w:w="9079" w:type="dxa"/>
          </w:tcPr>
          <w:p w14:paraId="5C5901DF" w14:textId="19B33242" w:rsidR="0032583B" w:rsidRPr="00B44440" w:rsidRDefault="00460036" w:rsidP="009556D7">
            <w:pPr>
              <w:pStyle w:val="Subtitle"/>
              <w:framePr w:hSpace="0" w:wrap="auto" w:vAnchor="margin" w:yAlign="inline"/>
            </w:pPr>
            <w:r w:rsidRPr="00B44440">
              <w:t xml:space="preserve">Sponsor: </w:t>
            </w:r>
            <w:r w:rsidR="00923038" w:rsidRPr="00B44440">
              <w:t xml:space="preserve">Samsung Bioepis AU </w:t>
            </w:r>
            <w:r w:rsidR="0004623A" w:rsidRPr="00B44440">
              <w:t>Pty Ltd</w:t>
            </w:r>
          </w:p>
        </w:tc>
      </w:tr>
    </w:tbl>
    <w:p w14:paraId="51764590" w14:textId="77777777" w:rsidR="008E7846" w:rsidRPr="00B44440" w:rsidRDefault="008E7846" w:rsidP="0085156D">
      <w:r w:rsidRPr="00B44440">
        <w:br w:type="page"/>
      </w:r>
    </w:p>
    <w:p w14:paraId="415783DF" w14:textId="77777777" w:rsidR="008E7846" w:rsidRPr="00B44440" w:rsidRDefault="008E7846" w:rsidP="008E7846">
      <w:pPr>
        <w:pStyle w:val="NonTOCHeading2"/>
      </w:pPr>
      <w:r w:rsidRPr="00B44440">
        <w:lastRenderedPageBreak/>
        <w:t>About the Therapeutic Goods Administration (TGA)</w:t>
      </w:r>
    </w:p>
    <w:p w14:paraId="556AE4B1" w14:textId="77777777" w:rsidR="00AF2313" w:rsidRPr="00B44440" w:rsidRDefault="00AF2313" w:rsidP="00AF2313">
      <w:pPr>
        <w:pStyle w:val="ListBullet"/>
      </w:pPr>
      <w:r w:rsidRPr="00B44440">
        <w:t>The Therapeutic Goods Administration (TGA) is part of the Australian Government Department of Health and is responsible for regulating therapeutic goods, including medicines, medical devices, and biologicals.</w:t>
      </w:r>
    </w:p>
    <w:p w14:paraId="00D43C9C" w14:textId="77777777" w:rsidR="00AF2313" w:rsidRPr="00B44440" w:rsidRDefault="00AF2313" w:rsidP="00AF2313">
      <w:pPr>
        <w:pStyle w:val="ListBullet"/>
      </w:pPr>
      <w:r w:rsidRPr="00B44440">
        <w:t xml:space="preserve">The TGA administers the </w:t>
      </w:r>
      <w:r w:rsidRPr="00B44440">
        <w:rPr>
          <w:i/>
          <w:iCs/>
        </w:rPr>
        <w:t>Therapeutic Goods Act 1989</w:t>
      </w:r>
      <w:r w:rsidRPr="00B44440">
        <w:t xml:space="preserve"> (the Act), applying a risk management approach designed to ensure therapeutic goods supplied in Australia meet acceptable standards of quality, </w:t>
      </w:r>
      <w:r w:rsidR="00CC5044" w:rsidRPr="00B44440">
        <w:t>safety,</w:t>
      </w:r>
      <w:r w:rsidRPr="00B44440">
        <w:t xml:space="preserve"> and efficacy.</w:t>
      </w:r>
    </w:p>
    <w:p w14:paraId="6925EC22" w14:textId="77777777" w:rsidR="00AF2313" w:rsidRPr="00B44440" w:rsidRDefault="00AF2313" w:rsidP="00AF2313">
      <w:pPr>
        <w:pStyle w:val="ListBullet"/>
      </w:pPr>
      <w:r w:rsidRPr="00B44440">
        <w:t>The work of the TGA is based on applying scientific and clinical expertise to decision-making, to ensure that the benefits to the Australian public outweigh any risks associated with the use of therapeutic goods.</w:t>
      </w:r>
    </w:p>
    <w:p w14:paraId="6EE0CEC8" w14:textId="77777777" w:rsidR="00AF2313" w:rsidRPr="00B44440" w:rsidRDefault="00AF2313" w:rsidP="00AF2313">
      <w:pPr>
        <w:pStyle w:val="ListBullet"/>
      </w:pPr>
      <w:r w:rsidRPr="00B44440">
        <w:t>The TGA relies on the public, healthcare professionals and industry to report problems with therapeutic goods. The TGA investigates reports received to determine any necessary regulatory action.</w:t>
      </w:r>
    </w:p>
    <w:p w14:paraId="4169D2AE" w14:textId="6C892EEF" w:rsidR="00AF2313" w:rsidRPr="00B44440" w:rsidRDefault="00AF2313" w:rsidP="00AF2313">
      <w:pPr>
        <w:pStyle w:val="ListBullet"/>
      </w:pPr>
      <w:r w:rsidRPr="00B44440">
        <w:t xml:space="preserve">To report a problem with a therapeutic good, please see the information on the </w:t>
      </w:r>
      <w:hyperlink r:id="rId11" w:history="1">
        <w:r w:rsidRPr="00B44440">
          <w:rPr>
            <w:rStyle w:val="Hyperlink"/>
          </w:rPr>
          <w:t>TGA website</w:t>
        </w:r>
      </w:hyperlink>
      <w:r w:rsidRPr="00B44440">
        <w:t>.</w:t>
      </w:r>
    </w:p>
    <w:p w14:paraId="13C43927" w14:textId="77777777" w:rsidR="008E7846" w:rsidRPr="00B44440" w:rsidRDefault="008E7846" w:rsidP="00875A6B">
      <w:pPr>
        <w:pStyle w:val="NonTOCHeading2"/>
      </w:pPr>
      <w:r w:rsidRPr="00B44440">
        <w:t>About AusPARs</w:t>
      </w:r>
    </w:p>
    <w:p w14:paraId="69D13BC5" w14:textId="65DA8AD9" w:rsidR="00AF2313" w:rsidRPr="00B44440" w:rsidRDefault="00AF2313" w:rsidP="00AF2313">
      <w:pPr>
        <w:pStyle w:val="ListBullet"/>
      </w:pPr>
      <w:r w:rsidRPr="00B44440">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2" w:history="1">
        <w:r w:rsidRPr="00B44440">
          <w:rPr>
            <w:rStyle w:val="Hyperlink"/>
          </w:rPr>
          <w:t>Australian Public Assessment Report (AusPAR) guidance</w:t>
        </w:r>
      </w:hyperlink>
      <w:r w:rsidRPr="00B44440">
        <w:t>.</w:t>
      </w:r>
    </w:p>
    <w:p w14:paraId="1AEEF406" w14:textId="77777777" w:rsidR="00AF2313" w:rsidRPr="00B44440" w:rsidRDefault="00AF2313" w:rsidP="00AF2313">
      <w:pPr>
        <w:pStyle w:val="ListBullet"/>
      </w:pPr>
      <w:r w:rsidRPr="00B44440">
        <w:t>AusPARs are prepared and published by the TGA.</w:t>
      </w:r>
    </w:p>
    <w:p w14:paraId="5C143C88" w14:textId="77777777" w:rsidR="00AF2313" w:rsidRPr="00B44440" w:rsidRDefault="00AF2313" w:rsidP="00AF2313">
      <w:pPr>
        <w:pStyle w:val="ListBullet"/>
      </w:pPr>
      <w:r w:rsidRPr="00B44440">
        <w:t>AusPARs are static documents that provide information that relates to a submission at a particular point in time.</w:t>
      </w:r>
      <w:r w:rsidR="008110BC" w:rsidRPr="00B44440">
        <w:t xml:space="preserve"> The publication of an AusPAR is an important part of the transparency of the TGA’s decision-making process.</w:t>
      </w:r>
    </w:p>
    <w:p w14:paraId="0F6309A5" w14:textId="77777777" w:rsidR="00AF2313" w:rsidRPr="00B44440" w:rsidRDefault="00AF2313" w:rsidP="00AF2313">
      <w:pPr>
        <w:pStyle w:val="ListBullet"/>
      </w:pPr>
      <w:r w:rsidRPr="00B44440">
        <w:t>A new AusPAR may be provided to reflect changes to indications or major variations to a prescription medicine subject to evaluation by the TGA.</w:t>
      </w:r>
    </w:p>
    <w:p w14:paraId="6575C96B" w14:textId="77777777" w:rsidR="00924482" w:rsidRPr="00B44440" w:rsidRDefault="00924482" w:rsidP="00F54B65">
      <w:pPr>
        <w:pStyle w:val="LegalSubheading"/>
        <w:spacing w:before="3120"/>
      </w:pPr>
      <w:r w:rsidRPr="00B44440">
        <w:t>Copyright</w:t>
      </w:r>
    </w:p>
    <w:p w14:paraId="72BCFCD6" w14:textId="0C0D82C6" w:rsidR="00924482" w:rsidRPr="00B44440" w:rsidRDefault="00924482" w:rsidP="00924482">
      <w:pPr>
        <w:pStyle w:val="LegalCopy"/>
      </w:pPr>
      <w:r w:rsidRPr="00B44440">
        <w:rPr>
          <w:rFonts w:cs="Arial"/>
          <w:lang w:val="en-GB"/>
        </w:rPr>
        <w:t>© Commonwealth of Australia 20</w:t>
      </w:r>
      <w:r w:rsidR="00460036" w:rsidRPr="00B44440">
        <w:rPr>
          <w:rFonts w:cs="Arial"/>
          <w:lang w:val="en-GB"/>
        </w:rPr>
        <w:t>2</w:t>
      </w:r>
      <w:r w:rsidR="00923038" w:rsidRPr="00B44440">
        <w:rPr>
          <w:rFonts w:cs="Arial"/>
          <w:lang w:val="en-GB"/>
        </w:rPr>
        <w:t>3</w:t>
      </w:r>
      <w:r w:rsidRPr="00B44440">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B44440">
        <w:rPr>
          <w:rFonts w:cs="Arial"/>
          <w:i/>
          <w:lang w:val="en-GB"/>
        </w:rPr>
        <w:t>Copyright Act 1968</w:t>
      </w:r>
      <w:r w:rsidRPr="00B44440">
        <w:rPr>
          <w:rFonts w:cs="Arial"/>
          <w:lang w:val="en-GB"/>
        </w:rPr>
        <w:t xml:space="preserve"> or allowed by this copyright notice, all other rights are </w:t>
      </w:r>
      <w:r w:rsidR="00EB36D6" w:rsidRPr="00B44440">
        <w:rPr>
          <w:rFonts w:cs="Arial"/>
          <w:lang w:val="en-GB"/>
        </w:rPr>
        <w:t>reserved,</w:t>
      </w:r>
      <w:r w:rsidRPr="00B44440">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B44440">
        <w:rPr>
          <w:rFonts w:cs="Arial"/>
          <w:lang w:val="en-GB"/>
        </w:rPr>
        <w:t>Woden</w:t>
      </w:r>
      <w:proofErr w:type="spellEnd"/>
      <w:r w:rsidRPr="00B44440">
        <w:rPr>
          <w:rFonts w:cs="Arial"/>
          <w:lang w:val="en-GB"/>
        </w:rPr>
        <w:t xml:space="preserve"> ACT 2606 or emailed to &lt;</w:t>
      </w:r>
      <w:hyperlink r:id="rId13" w:history="1">
        <w:r w:rsidRPr="00B44440">
          <w:rPr>
            <w:rStyle w:val="Hyperlink"/>
            <w:rFonts w:cs="Arial"/>
            <w:lang w:val="en-GB"/>
          </w:rPr>
          <w:t>tga.copyright@tga.gov.au</w:t>
        </w:r>
      </w:hyperlink>
      <w:r w:rsidRPr="00B44440">
        <w:rPr>
          <w:rFonts w:cs="Arial"/>
        </w:rPr>
        <w:t>&gt;.</w:t>
      </w:r>
    </w:p>
    <w:p w14:paraId="573C9E51" w14:textId="77777777" w:rsidR="00924482" w:rsidRPr="00B44440" w:rsidRDefault="00924482" w:rsidP="00924482">
      <w:pPr>
        <w:pStyle w:val="LegalCopy"/>
        <w:sectPr w:rsidR="00924482" w:rsidRPr="00B44440"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B927DF0" w14:textId="77777777" w:rsidR="0089635C" w:rsidRPr="00B44440" w:rsidRDefault="0089635C" w:rsidP="0010788A">
          <w:pPr>
            <w:pStyle w:val="Contents"/>
          </w:pPr>
          <w:r w:rsidRPr="00B44440">
            <w:t>Contents</w:t>
          </w:r>
        </w:p>
        <w:p w14:paraId="139B34FD" w14:textId="00A4266B" w:rsidR="00792989" w:rsidRDefault="00C525A2">
          <w:pPr>
            <w:pStyle w:val="TOC1"/>
            <w:rPr>
              <w:rFonts w:asciiTheme="minorHAnsi" w:eastAsiaTheme="minorEastAsia" w:hAnsiTheme="minorHAnsi" w:cstheme="minorBidi"/>
              <w:b w:val="0"/>
              <w:noProof/>
              <w:sz w:val="22"/>
              <w:lang w:eastAsia="en-AU"/>
            </w:rPr>
          </w:pPr>
          <w:r w:rsidRPr="00B44440">
            <w:fldChar w:fldCharType="begin"/>
          </w:r>
          <w:r w:rsidRPr="00B44440">
            <w:instrText xml:space="preserve"> TOC \h \z \t "Heading 2,1,Heading 3,2" </w:instrText>
          </w:r>
          <w:r w:rsidRPr="00B44440">
            <w:fldChar w:fldCharType="separate"/>
          </w:r>
          <w:hyperlink w:anchor="_Toc133421032" w:history="1">
            <w:r w:rsidR="00792989" w:rsidRPr="00EE19A5">
              <w:rPr>
                <w:rStyle w:val="Hyperlink"/>
                <w:noProof/>
              </w:rPr>
              <w:t>List of abbreviations</w:t>
            </w:r>
            <w:r w:rsidR="00792989">
              <w:rPr>
                <w:noProof/>
                <w:webHidden/>
              </w:rPr>
              <w:tab/>
            </w:r>
            <w:r w:rsidR="00792989">
              <w:rPr>
                <w:noProof/>
                <w:webHidden/>
              </w:rPr>
              <w:fldChar w:fldCharType="begin"/>
            </w:r>
            <w:r w:rsidR="00792989">
              <w:rPr>
                <w:noProof/>
                <w:webHidden/>
              </w:rPr>
              <w:instrText xml:space="preserve"> PAGEREF _Toc133421032 \h </w:instrText>
            </w:r>
            <w:r w:rsidR="00792989">
              <w:rPr>
                <w:noProof/>
                <w:webHidden/>
              </w:rPr>
            </w:r>
            <w:r w:rsidR="00792989">
              <w:rPr>
                <w:noProof/>
                <w:webHidden/>
              </w:rPr>
              <w:fldChar w:fldCharType="separate"/>
            </w:r>
            <w:r w:rsidR="00792989">
              <w:rPr>
                <w:noProof/>
                <w:webHidden/>
              </w:rPr>
              <w:t>4</w:t>
            </w:r>
            <w:r w:rsidR="00792989">
              <w:rPr>
                <w:noProof/>
                <w:webHidden/>
              </w:rPr>
              <w:fldChar w:fldCharType="end"/>
            </w:r>
          </w:hyperlink>
        </w:p>
        <w:p w14:paraId="444C9983" w14:textId="7FE8F601" w:rsidR="00792989" w:rsidRDefault="001101BB">
          <w:pPr>
            <w:pStyle w:val="TOC1"/>
            <w:rPr>
              <w:rFonts w:asciiTheme="minorHAnsi" w:eastAsiaTheme="minorEastAsia" w:hAnsiTheme="minorHAnsi" w:cstheme="minorBidi"/>
              <w:b w:val="0"/>
              <w:noProof/>
              <w:sz w:val="22"/>
              <w:lang w:eastAsia="en-AU"/>
            </w:rPr>
          </w:pPr>
          <w:hyperlink w:anchor="_Toc133421033" w:history="1">
            <w:r w:rsidR="00792989" w:rsidRPr="00EE19A5">
              <w:rPr>
                <w:rStyle w:val="Hyperlink"/>
                <w:noProof/>
              </w:rPr>
              <w:t>Product submission</w:t>
            </w:r>
            <w:r w:rsidR="00792989">
              <w:rPr>
                <w:noProof/>
                <w:webHidden/>
              </w:rPr>
              <w:tab/>
            </w:r>
            <w:r w:rsidR="00792989">
              <w:rPr>
                <w:noProof/>
                <w:webHidden/>
              </w:rPr>
              <w:fldChar w:fldCharType="begin"/>
            </w:r>
            <w:r w:rsidR="00792989">
              <w:rPr>
                <w:noProof/>
                <w:webHidden/>
              </w:rPr>
              <w:instrText xml:space="preserve"> PAGEREF _Toc133421033 \h </w:instrText>
            </w:r>
            <w:r w:rsidR="00792989">
              <w:rPr>
                <w:noProof/>
                <w:webHidden/>
              </w:rPr>
            </w:r>
            <w:r w:rsidR="00792989">
              <w:rPr>
                <w:noProof/>
                <w:webHidden/>
              </w:rPr>
              <w:fldChar w:fldCharType="separate"/>
            </w:r>
            <w:r w:rsidR="00792989">
              <w:rPr>
                <w:noProof/>
                <w:webHidden/>
              </w:rPr>
              <w:t>6</w:t>
            </w:r>
            <w:r w:rsidR="00792989">
              <w:rPr>
                <w:noProof/>
                <w:webHidden/>
              </w:rPr>
              <w:fldChar w:fldCharType="end"/>
            </w:r>
          </w:hyperlink>
        </w:p>
        <w:p w14:paraId="49AA1AFE" w14:textId="78C3F6A1" w:rsidR="00792989" w:rsidRDefault="001101BB">
          <w:pPr>
            <w:pStyle w:val="TOC2"/>
            <w:rPr>
              <w:rFonts w:asciiTheme="minorHAnsi" w:eastAsiaTheme="minorEastAsia" w:hAnsiTheme="minorHAnsi" w:cstheme="minorBidi"/>
              <w:b w:val="0"/>
              <w:noProof/>
              <w:sz w:val="22"/>
              <w:lang w:eastAsia="en-AU"/>
            </w:rPr>
          </w:pPr>
          <w:hyperlink w:anchor="_Toc133421034" w:history="1">
            <w:r w:rsidR="00792989" w:rsidRPr="00EE19A5">
              <w:rPr>
                <w:rStyle w:val="Hyperlink"/>
                <w:noProof/>
                <w:lang w:eastAsia="en-AU"/>
              </w:rPr>
              <w:t>Submission details</w:t>
            </w:r>
            <w:r w:rsidR="00792989">
              <w:rPr>
                <w:noProof/>
                <w:webHidden/>
              </w:rPr>
              <w:tab/>
            </w:r>
            <w:r w:rsidR="00792989">
              <w:rPr>
                <w:noProof/>
                <w:webHidden/>
              </w:rPr>
              <w:fldChar w:fldCharType="begin"/>
            </w:r>
            <w:r w:rsidR="00792989">
              <w:rPr>
                <w:noProof/>
                <w:webHidden/>
              </w:rPr>
              <w:instrText xml:space="preserve"> PAGEREF _Toc133421034 \h </w:instrText>
            </w:r>
            <w:r w:rsidR="00792989">
              <w:rPr>
                <w:noProof/>
                <w:webHidden/>
              </w:rPr>
            </w:r>
            <w:r w:rsidR="00792989">
              <w:rPr>
                <w:noProof/>
                <w:webHidden/>
              </w:rPr>
              <w:fldChar w:fldCharType="separate"/>
            </w:r>
            <w:r w:rsidR="00792989">
              <w:rPr>
                <w:noProof/>
                <w:webHidden/>
              </w:rPr>
              <w:t>6</w:t>
            </w:r>
            <w:r w:rsidR="00792989">
              <w:rPr>
                <w:noProof/>
                <w:webHidden/>
              </w:rPr>
              <w:fldChar w:fldCharType="end"/>
            </w:r>
          </w:hyperlink>
        </w:p>
        <w:p w14:paraId="1DDA6B66" w14:textId="6E8C51E1" w:rsidR="00792989" w:rsidRDefault="001101BB">
          <w:pPr>
            <w:pStyle w:val="TOC2"/>
            <w:rPr>
              <w:rFonts w:asciiTheme="minorHAnsi" w:eastAsiaTheme="minorEastAsia" w:hAnsiTheme="minorHAnsi" w:cstheme="minorBidi"/>
              <w:b w:val="0"/>
              <w:noProof/>
              <w:sz w:val="22"/>
              <w:lang w:eastAsia="en-AU"/>
            </w:rPr>
          </w:pPr>
          <w:hyperlink w:anchor="_Toc133421035" w:history="1">
            <w:r w:rsidR="00792989" w:rsidRPr="00EE19A5">
              <w:rPr>
                <w:rStyle w:val="Hyperlink"/>
                <w:noProof/>
              </w:rPr>
              <w:t>Product background</w:t>
            </w:r>
            <w:r w:rsidR="00792989">
              <w:rPr>
                <w:noProof/>
                <w:webHidden/>
              </w:rPr>
              <w:tab/>
            </w:r>
            <w:r w:rsidR="00792989">
              <w:rPr>
                <w:noProof/>
                <w:webHidden/>
              </w:rPr>
              <w:fldChar w:fldCharType="begin"/>
            </w:r>
            <w:r w:rsidR="00792989">
              <w:rPr>
                <w:noProof/>
                <w:webHidden/>
              </w:rPr>
              <w:instrText xml:space="preserve"> PAGEREF _Toc133421035 \h </w:instrText>
            </w:r>
            <w:r w:rsidR="00792989">
              <w:rPr>
                <w:noProof/>
                <w:webHidden/>
              </w:rPr>
            </w:r>
            <w:r w:rsidR="00792989">
              <w:rPr>
                <w:noProof/>
                <w:webHidden/>
              </w:rPr>
              <w:fldChar w:fldCharType="separate"/>
            </w:r>
            <w:r w:rsidR="00792989">
              <w:rPr>
                <w:noProof/>
                <w:webHidden/>
              </w:rPr>
              <w:t>7</w:t>
            </w:r>
            <w:r w:rsidR="00792989">
              <w:rPr>
                <w:noProof/>
                <w:webHidden/>
              </w:rPr>
              <w:fldChar w:fldCharType="end"/>
            </w:r>
          </w:hyperlink>
        </w:p>
        <w:p w14:paraId="5F56FBD3" w14:textId="233CAF05" w:rsidR="00792989" w:rsidRDefault="001101BB">
          <w:pPr>
            <w:pStyle w:val="TOC2"/>
            <w:rPr>
              <w:rFonts w:asciiTheme="minorHAnsi" w:eastAsiaTheme="minorEastAsia" w:hAnsiTheme="minorHAnsi" w:cstheme="minorBidi"/>
              <w:b w:val="0"/>
              <w:noProof/>
              <w:sz w:val="22"/>
              <w:lang w:eastAsia="en-AU"/>
            </w:rPr>
          </w:pPr>
          <w:hyperlink w:anchor="_Toc133421036" w:history="1">
            <w:r w:rsidR="00792989" w:rsidRPr="00EE19A5">
              <w:rPr>
                <w:rStyle w:val="Hyperlink"/>
                <w:noProof/>
              </w:rPr>
              <w:t>Regulatory status</w:t>
            </w:r>
            <w:r w:rsidR="00792989">
              <w:rPr>
                <w:noProof/>
                <w:webHidden/>
              </w:rPr>
              <w:tab/>
            </w:r>
            <w:r w:rsidR="00792989">
              <w:rPr>
                <w:noProof/>
                <w:webHidden/>
              </w:rPr>
              <w:fldChar w:fldCharType="begin"/>
            </w:r>
            <w:r w:rsidR="00792989">
              <w:rPr>
                <w:noProof/>
                <w:webHidden/>
              </w:rPr>
              <w:instrText xml:space="preserve"> PAGEREF _Toc133421036 \h </w:instrText>
            </w:r>
            <w:r w:rsidR="00792989">
              <w:rPr>
                <w:noProof/>
                <w:webHidden/>
              </w:rPr>
            </w:r>
            <w:r w:rsidR="00792989">
              <w:rPr>
                <w:noProof/>
                <w:webHidden/>
              </w:rPr>
              <w:fldChar w:fldCharType="separate"/>
            </w:r>
            <w:r w:rsidR="00792989">
              <w:rPr>
                <w:noProof/>
                <w:webHidden/>
              </w:rPr>
              <w:t>9</w:t>
            </w:r>
            <w:r w:rsidR="00792989">
              <w:rPr>
                <w:noProof/>
                <w:webHidden/>
              </w:rPr>
              <w:fldChar w:fldCharType="end"/>
            </w:r>
          </w:hyperlink>
        </w:p>
        <w:p w14:paraId="2707AA57" w14:textId="3AF67BA0" w:rsidR="00792989" w:rsidRDefault="001101BB">
          <w:pPr>
            <w:pStyle w:val="TOC2"/>
            <w:rPr>
              <w:rFonts w:asciiTheme="minorHAnsi" w:eastAsiaTheme="minorEastAsia" w:hAnsiTheme="minorHAnsi" w:cstheme="minorBidi"/>
              <w:b w:val="0"/>
              <w:noProof/>
              <w:sz w:val="22"/>
              <w:lang w:eastAsia="en-AU"/>
            </w:rPr>
          </w:pPr>
          <w:hyperlink w:anchor="_Toc133421037" w:history="1">
            <w:r w:rsidR="00792989" w:rsidRPr="00EE19A5">
              <w:rPr>
                <w:rStyle w:val="Hyperlink"/>
                <w:noProof/>
              </w:rPr>
              <w:t>Product Information</w:t>
            </w:r>
            <w:r w:rsidR="00792989">
              <w:rPr>
                <w:noProof/>
                <w:webHidden/>
              </w:rPr>
              <w:tab/>
            </w:r>
            <w:r w:rsidR="00792989">
              <w:rPr>
                <w:noProof/>
                <w:webHidden/>
              </w:rPr>
              <w:fldChar w:fldCharType="begin"/>
            </w:r>
            <w:r w:rsidR="00792989">
              <w:rPr>
                <w:noProof/>
                <w:webHidden/>
              </w:rPr>
              <w:instrText xml:space="preserve"> PAGEREF _Toc133421037 \h </w:instrText>
            </w:r>
            <w:r w:rsidR="00792989">
              <w:rPr>
                <w:noProof/>
                <w:webHidden/>
              </w:rPr>
            </w:r>
            <w:r w:rsidR="00792989">
              <w:rPr>
                <w:noProof/>
                <w:webHidden/>
              </w:rPr>
              <w:fldChar w:fldCharType="separate"/>
            </w:r>
            <w:r w:rsidR="00792989">
              <w:rPr>
                <w:noProof/>
                <w:webHidden/>
              </w:rPr>
              <w:t>10</w:t>
            </w:r>
            <w:r w:rsidR="00792989">
              <w:rPr>
                <w:noProof/>
                <w:webHidden/>
              </w:rPr>
              <w:fldChar w:fldCharType="end"/>
            </w:r>
          </w:hyperlink>
        </w:p>
        <w:p w14:paraId="6C1E9987" w14:textId="5BB4D4FC" w:rsidR="00792989" w:rsidRDefault="001101BB">
          <w:pPr>
            <w:pStyle w:val="TOC1"/>
            <w:rPr>
              <w:rFonts w:asciiTheme="minorHAnsi" w:eastAsiaTheme="minorEastAsia" w:hAnsiTheme="minorHAnsi" w:cstheme="minorBidi"/>
              <w:b w:val="0"/>
              <w:noProof/>
              <w:sz w:val="22"/>
              <w:lang w:eastAsia="en-AU"/>
            </w:rPr>
          </w:pPr>
          <w:hyperlink w:anchor="_Toc133421038" w:history="1">
            <w:r w:rsidR="00792989" w:rsidRPr="00EE19A5">
              <w:rPr>
                <w:rStyle w:val="Hyperlink"/>
                <w:noProof/>
              </w:rPr>
              <w:t>Registration timeline</w:t>
            </w:r>
            <w:r w:rsidR="00792989">
              <w:rPr>
                <w:noProof/>
                <w:webHidden/>
              </w:rPr>
              <w:tab/>
            </w:r>
            <w:r w:rsidR="00792989">
              <w:rPr>
                <w:noProof/>
                <w:webHidden/>
              </w:rPr>
              <w:fldChar w:fldCharType="begin"/>
            </w:r>
            <w:r w:rsidR="00792989">
              <w:rPr>
                <w:noProof/>
                <w:webHidden/>
              </w:rPr>
              <w:instrText xml:space="preserve"> PAGEREF _Toc133421038 \h </w:instrText>
            </w:r>
            <w:r w:rsidR="00792989">
              <w:rPr>
                <w:noProof/>
                <w:webHidden/>
              </w:rPr>
            </w:r>
            <w:r w:rsidR="00792989">
              <w:rPr>
                <w:noProof/>
                <w:webHidden/>
              </w:rPr>
              <w:fldChar w:fldCharType="separate"/>
            </w:r>
            <w:r w:rsidR="00792989">
              <w:rPr>
                <w:noProof/>
                <w:webHidden/>
              </w:rPr>
              <w:t>11</w:t>
            </w:r>
            <w:r w:rsidR="00792989">
              <w:rPr>
                <w:noProof/>
                <w:webHidden/>
              </w:rPr>
              <w:fldChar w:fldCharType="end"/>
            </w:r>
          </w:hyperlink>
        </w:p>
        <w:p w14:paraId="6CF4CCA5" w14:textId="19410A51" w:rsidR="00792989" w:rsidRDefault="001101BB">
          <w:pPr>
            <w:pStyle w:val="TOC1"/>
            <w:rPr>
              <w:rFonts w:asciiTheme="minorHAnsi" w:eastAsiaTheme="minorEastAsia" w:hAnsiTheme="minorHAnsi" w:cstheme="minorBidi"/>
              <w:b w:val="0"/>
              <w:noProof/>
              <w:sz w:val="22"/>
              <w:lang w:eastAsia="en-AU"/>
            </w:rPr>
          </w:pPr>
          <w:hyperlink w:anchor="_Toc133421039" w:history="1">
            <w:r w:rsidR="00792989" w:rsidRPr="00EE19A5">
              <w:rPr>
                <w:rStyle w:val="Hyperlink"/>
                <w:noProof/>
              </w:rPr>
              <w:t>Submission overview and risk/benefit assessment</w:t>
            </w:r>
            <w:r w:rsidR="00792989">
              <w:rPr>
                <w:noProof/>
                <w:webHidden/>
              </w:rPr>
              <w:tab/>
            </w:r>
            <w:r w:rsidR="00792989">
              <w:rPr>
                <w:noProof/>
                <w:webHidden/>
              </w:rPr>
              <w:fldChar w:fldCharType="begin"/>
            </w:r>
            <w:r w:rsidR="00792989">
              <w:rPr>
                <w:noProof/>
                <w:webHidden/>
              </w:rPr>
              <w:instrText xml:space="preserve"> PAGEREF _Toc133421039 \h </w:instrText>
            </w:r>
            <w:r w:rsidR="00792989">
              <w:rPr>
                <w:noProof/>
                <w:webHidden/>
              </w:rPr>
            </w:r>
            <w:r w:rsidR="00792989">
              <w:rPr>
                <w:noProof/>
                <w:webHidden/>
              </w:rPr>
              <w:fldChar w:fldCharType="separate"/>
            </w:r>
            <w:r w:rsidR="00792989">
              <w:rPr>
                <w:noProof/>
                <w:webHidden/>
              </w:rPr>
              <w:t>11</w:t>
            </w:r>
            <w:r w:rsidR="00792989">
              <w:rPr>
                <w:noProof/>
                <w:webHidden/>
              </w:rPr>
              <w:fldChar w:fldCharType="end"/>
            </w:r>
          </w:hyperlink>
        </w:p>
        <w:p w14:paraId="065BD8D8" w14:textId="02BA1A27" w:rsidR="00792989" w:rsidRDefault="001101BB">
          <w:pPr>
            <w:pStyle w:val="TOC2"/>
            <w:rPr>
              <w:rFonts w:asciiTheme="minorHAnsi" w:eastAsiaTheme="minorEastAsia" w:hAnsiTheme="minorHAnsi" w:cstheme="minorBidi"/>
              <w:b w:val="0"/>
              <w:noProof/>
              <w:sz w:val="22"/>
              <w:lang w:eastAsia="en-AU"/>
            </w:rPr>
          </w:pPr>
          <w:hyperlink w:anchor="_Toc133421040" w:history="1">
            <w:r w:rsidR="00792989" w:rsidRPr="00EE19A5">
              <w:rPr>
                <w:rStyle w:val="Hyperlink"/>
                <w:noProof/>
              </w:rPr>
              <w:t>Quality</w:t>
            </w:r>
            <w:r w:rsidR="00792989">
              <w:rPr>
                <w:noProof/>
                <w:webHidden/>
              </w:rPr>
              <w:tab/>
            </w:r>
            <w:r w:rsidR="00792989">
              <w:rPr>
                <w:noProof/>
                <w:webHidden/>
              </w:rPr>
              <w:fldChar w:fldCharType="begin"/>
            </w:r>
            <w:r w:rsidR="00792989">
              <w:rPr>
                <w:noProof/>
                <w:webHidden/>
              </w:rPr>
              <w:instrText xml:space="preserve"> PAGEREF _Toc133421040 \h </w:instrText>
            </w:r>
            <w:r w:rsidR="00792989">
              <w:rPr>
                <w:noProof/>
                <w:webHidden/>
              </w:rPr>
            </w:r>
            <w:r w:rsidR="00792989">
              <w:rPr>
                <w:noProof/>
                <w:webHidden/>
              </w:rPr>
              <w:fldChar w:fldCharType="separate"/>
            </w:r>
            <w:r w:rsidR="00792989">
              <w:rPr>
                <w:noProof/>
                <w:webHidden/>
              </w:rPr>
              <w:t>12</w:t>
            </w:r>
            <w:r w:rsidR="00792989">
              <w:rPr>
                <w:noProof/>
                <w:webHidden/>
              </w:rPr>
              <w:fldChar w:fldCharType="end"/>
            </w:r>
          </w:hyperlink>
        </w:p>
        <w:p w14:paraId="0C9A9689" w14:textId="7E591319" w:rsidR="00792989" w:rsidRDefault="001101BB">
          <w:pPr>
            <w:pStyle w:val="TOC2"/>
            <w:rPr>
              <w:rFonts w:asciiTheme="minorHAnsi" w:eastAsiaTheme="minorEastAsia" w:hAnsiTheme="minorHAnsi" w:cstheme="minorBidi"/>
              <w:b w:val="0"/>
              <w:noProof/>
              <w:sz w:val="22"/>
              <w:lang w:eastAsia="en-AU"/>
            </w:rPr>
          </w:pPr>
          <w:hyperlink w:anchor="_Toc133421041" w:history="1">
            <w:r w:rsidR="00792989" w:rsidRPr="00EE19A5">
              <w:rPr>
                <w:rStyle w:val="Hyperlink"/>
                <w:noProof/>
              </w:rPr>
              <w:t>Nonclinical</w:t>
            </w:r>
            <w:r w:rsidR="00792989">
              <w:rPr>
                <w:noProof/>
                <w:webHidden/>
              </w:rPr>
              <w:tab/>
            </w:r>
            <w:r w:rsidR="00792989">
              <w:rPr>
                <w:noProof/>
                <w:webHidden/>
              </w:rPr>
              <w:fldChar w:fldCharType="begin"/>
            </w:r>
            <w:r w:rsidR="00792989">
              <w:rPr>
                <w:noProof/>
                <w:webHidden/>
              </w:rPr>
              <w:instrText xml:space="preserve"> PAGEREF _Toc133421041 \h </w:instrText>
            </w:r>
            <w:r w:rsidR="00792989">
              <w:rPr>
                <w:noProof/>
                <w:webHidden/>
              </w:rPr>
            </w:r>
            <w:r w:rsidR="00792989">
              <w:rPr>
                <w:noProof/>
                <w:webHidden/>
              </w:rPr>
              <w:fldChar w:fldCharType="separate"/>
            </w:r>
            <w:r w:rsidR="00792989">
              <w:rPr>
                <w:noProof/>
                <w:webHidden/>
              </w:rPr>
              <w:t>13</w:t>
            </w:r>
            <w:r w:rsidR="00792989">
              <w:rPr>
                <w:noProof/>
                <w:webHidden/>
              </w:rPr>
              <w:fldChar w:fldCharType="end"/>
            </w:r>
          </w:hyperlink>
        </w:p>
        <w:p w14:paraId="218DC4DD" w14:textId="56513CE3" w:rsidR="00792989" w:rsidRDefault="001101BB">
          <w:pPr>
            <w:pStyle w:val="TOC2"/>
            <w:rPr>
              <w:rFonts w:asciiTheme="minorHAnsi" w:eastAsiaTheme="minorEastAsia" w:hAnsiTheme="minorHAnsi" w:cstheme="minorBidi"/>
              <w:b w:val="0"/>
              <w:noProof/>
              <w:sz w:val="22"/>
              <w:lang w:eastAsia="en-AU"/>
            </w:rPr>
          </w:pPr>
          <w:hyperlink w:anchor="_Toc133421042" w:history="1">
            <w:r w:rsidR="00792989" w:rsidRPr="00EE19A5">
              <w:rPr>
                <w:rStyle w:val="Hyperlink"/>
                <w:noProof/>
              </w:rPr>
              <w:t>Clinical</w:t>
            </w:r>
            <w:r w:rsidR="00792989">
              <w:rPr>
                <w:noProof/>
                <w:webHidden/>
              </w:rPr>
              <w:tab/>
            </w:r>
            <w:r w:rsidR="00792989">
              <w:rPr>
                <w:noProof/>
                <w:webHidden/>
              </w:rPr>
              <w:fldChar w:fldCharType="begin"/>
            </w:r>
            <w:r w:rsidR="00792989">
              <w:rPr>
                <w:noProof/>
                <w:webHidden/>
              </w:rPr>
              <w:instrText xml:space="preserve"> PAGEREF _Toc133421042 \h </w:instrText>
            </w:r>
            <w:r w:rsidR="00792989">
              <w:rPr>
                <w:noProof/>
                <w:webHidden/>
              </w:rPr>
            </w:r>
            <w:r w:rsidR="00792989">
              <w:rPr>
                <w:noProof/>
                <w:webHidden/>
              </w:rPr>
              <w:fldChar w:fldCharType="separate"/>
            </w:r>
            <w:r w:rsidR="00792989">
              <w:rPr>
                <w:noProof/>
                <w:webHidden/>
              </w:rPr>
              <w:t>14</w:t>
            </w:r>
            <w:r w:rsidR="00792989">
              <w:rPr>
                <w:noProof/>
                <w:webHidden/>
              </w:rPr>
              <w:fldChar w:fldCharType="end"/>
            </w:r>
          </w:hyperlink>
        </w:p>
        <w:p w14:paraId="56C60383" w14:textId="4BA16DA1" w:rsidR="00792989" w:rsidRDefault="001101BB">
          <w:pPr>
            <w:pStyle w:val="TOC2"/>
            <w:rPr>
              <w:rFonts w:asciiTheme="minorHAnsi" w:eastAsiaTheme="minorEastAsia" w:hAnsiTheme="minorHAnsi" w:cstheme="minorBidi"/>
              <w:b w:val="0"/>
              <w:noProof/>
              <w:sz w:val="22"/>
              <w:lang w:eastAsia="en-AU"/>
            </w:rPr>
          </w:pPr>
          <w:hyperlink w:anchor="_Toc133421043" w:history="1">
            <w:r w:rsidR="00792989" w:rsidRPr="00EE19A5">
              <w:rPr>
                <w:rStyle w:val="Hyperlink"/>
                <w:noProof/>
                <w:lang w:eastAsia="en-AU"/>
              </w:rPr>
              <w:t>Risk management plan</w:t>
            </w:r>
            <w:r w:rsidR="00792989">
              <w:rPr>
                <w:noProof/>
                <w:webHidden/>
              </w:rPr>
              <w:tab/>
            </w:r>
            <w:r w:rsidR="00792989">
              <w:rPr>
                <w:noProof/>
                <w:webHidden/>
              </w:rPr>
              <w:fldChar w:fldCharType="begin"/>
            </w:r>
            <w:r w:rsidR="00792989">
              <w:rPr>
                <w:noProof/>
                <w:webHidden/>
              </w:rPr>
              <w:instrText xml:space="preserve"> PAGEREF _Toc133421043 \h </w:instrText>
            </w:r>
            <w:r w:rsidR="00792989">
              <w:rPr>
                <w:noProof/>
                <w:webHidden/>
              </w:rPr>
            </w:r>
            <w:r w:rsidR="00792989">
              <w:rPr>
                <w:noProof/>
                <w:webHidden/>
              </w:rPr>
              <w:fldChar w:fldCharType="separate"/>
            </w:r>
            <w:r w:rsidR="00792989">
              <w:rPr>
                <w:noProof/>
                <w:webHidden/>
              </w:rPr>
              <w:t>26</w:t>
            </w:r>
            <w:r w:rsidR="00792989">
              <w:rPr>
                <w:noProof/>
                <w:webHidden/>
              </w:rPr>
              <w:fldChar w:fldCharType="end"/>
            </w:r>
          </w:hyperlink>
        </w:p>
        <w:p w14:paraId="05819F65" w14:textId="595F866C" w:rsidR="00792989" w:rsidRDefault="001101BB">
          <w:pPr>
            <w:pStyle w:val="TOC2"/>
            <w:rPr>
              <w:rFonts w:asciiTheme="minorHAnsi" w:eastAsiaTheme="minorEastAsia" w:hAnsiTheme="minorHAnsi" w:cstheme="minorBidi"/>
              <w:b w:val="0"/>
              <w:noProof/>
              <w:sz w:val="22"/>
              <w:lang w:eastAsia="en-AU"/>
            </w:rPr>
          </w:pPr>
          <w:hyperlink w:anchor="_Toc133421044" w:history="1">
            <w:r w:rsidR="00792989" w:rsidRPr="00EE19A5">
              <w:rPr>
                <w:rStyle w:val="Hyperlink"/>
                <w:noProof/>
              </w:rPr>
              <w:t>Risk-benefit analysis</w:t>
            </w:r>
            <w:r w:rsidR="00792989">
              <w:rPr>
                <w:noProof/>
                <w:webHidden/>
              </w:rPr>
              <w:tab/>
            </w:r>
            <w:r w:rsidR="00792989">
              <w:rPr>
                <w:noProof/>
                <w:webHidden/>
              </w:rPr>
              <w:fldChar w:fldCharType="begin"/>
            </w:r>
            <w:r w:rsidR="00792989">
              <w:rPr>
                <w:noProof/>
                <w:webHidden/>
              </w:rPr>
              <w:instrText xml:space="preserve"> PAGEREF _Toc133421044 \h </w:instrText>
            </w:r>
            <w:r w:rsidR="00792989">
              <w:rPr>
                <w:noProof/>
                <w:webHidden/>
              </w:rPr>
            </w:r>
            <w:r w:rsidR="00792989">
              <w:rPr>
                <w:noProof/>
                <w:webHidden/>
              </w:rPr>
              <w:fldChar w:fldCharType="separate"/>
            </w:r>
            <w:r w:rsidR="00792989">
              <w:rPr>
                <w:noProof/>
                <w:webHidden/>
              </w:rPr>
              <w:t>27</w:t>
            </w:r>
            <w:r w:rsidR="00792989">
              <w:rPr>
                <w:noProof/>
                <w:webHidden/>
              </w:rPr>
              <w:fldChar w:fldCharType="end"/>
            </w:r>
          </w:hyperlink>
        </w:p>
        <w:p w14:paraId="58CCA142" w14:textId="76009895" w:rsidR="00792989" w:rsidRDefault="001101BB">
          <w:pPr>
            <w:pStyle w:val="TOC1"/>
            <w:rPr>
              <w:rFonts w:asciiTheme="minorHAnsi" w:eastAsiaTheme="minorEastAsia" w:hAnsiTheme="minorHAnsi" w:cstheme="minorBidi"/>
              <w:b w:val="0"/>
              <w:noProof/>
              <w:sz w:val="22"/>
              <w:lang w:eastAsia="en-AU"/>
            </w:rPr>
          </w:pPr>
          <w:hyperlink w:anchor="_Toc133421045" w:history="1">
            <w:r w:rsidR="00792989" w:rsidRPr="00EE19A5">
              <w:rPr>
                <w:rStyle w:val="Hyperlink"/>
                <w:noProof/>
              </w:rPr>
              <w:t>Outcome</w:t>
            </w:r>
            <w:r w:rsidR="00792989">
              <w:rPr>
                <w:noProof/>
                <w:webHidden/>
              </w:rPr>
              <w:tab/>
            </w:r>
            <w:r w:rsidR="00792989">
              <w:rPr>
                <w:noProof/>
                <w:webHidden/>
              </w:rPr>
              <w:fldChar w:fldCharType="begin"/>
            </w:r>
            <w:r w:rsidR="00792989">
              <w:rPr>
                <w:noProof/>
                <w:webHidden/>
              </w:rPr>
              <w:instrText xml:space="preserve"> PAGEREF _Toc133421045 \h </w:instrText>
            </w:r>
            <w:r w:rsidR="00792989">
              <w:rPr>
                <w:noProof/>
                <w:webHidden/>
              </w:rPr>
            </w:r>
            <w:r w:rsidR="00792989">
              <w:rPr>
                <w:noProof/>
                <w:webHidden/>
              </w:rPr>
              <w:fldChar w:fldCharType="separate"/>
            </w:r>
            <w:r w:rsidR="00792989">
              <w:rPr>
                <w:noProof/>
                <w:webHidden/>
              </w:rPr>
              <w:t>28</w:t>
            </w:r>
            <w:r w:rsidR="00792989">
              <w:rPr>
                <w:noProof/>
                <w:webHidden/>
              </w:rPr>
              <w:fldChar w:fldCharType="end"/>
            </w:r>
          </w:hyperlink>
        </w:p>
        <w:p w14:paraId="3D534A54" w14:textId="798E3F25" w:rsidR="00792989" w:rsidRDefault="001101BB">
          <w:pPr>
            <w:pStyle w:val="TOC2"/>
            <w:rPr>
              <w:rFonts w:asciiTheme="minorHAnsi" w:eastAsiaTheme="minorEastAsia" w:hAnsiTheme="minorHAnsi" w:cstheme="minorBidi"/>
              <w:b w:val="0"/>
              <w:noProof/>
              <w:sz w:val="22"/>
              <w:lang w:eastAsia="en-AU"/>
            </w:rPr>
          </w:pPr>
          <w:hyperlink w:anchor="_Toc133421046" w:history="1">
            <w:r w:rsidR="00792989" w:rsidRPr="00EE19A5">
              <w:rPr>
                <w:rStyle w:val="Hyperlink"/>
                <w:noProof/>
              </w:rPr>
              <w:t>Specific conditions of registration applying to these goods</w:t>
            </w:r>
            <w:r w:rsidR="00792989">
              <w:rPr>
                <w:noProof/>
                <w:webHidden/>
              </w:rPr>
              <w:tab/>
            </w:r>
            <w:r w:rsidR="00792989">
              <w:rPr>
                <w:noProof/>
                <w:webHidden/>
              </w:rPr>
              <w:fldChar w:fldCharType="begin"/>
            </w:r>
            <w:r w:rsidR="00792989">
              <w:rPr>
                <w:noProof/>
                <w:webHidden/>
              </w:rPr>
              <w:instrText xml:space="preserve"> PAGEREF _Toc133421046 \h </w:instrText>
            </w:r>
            <w:r w:rsidR="00792989">
              <w:rPr>
                <w:noProof/>
                <w:webHidden/>
              </w:rPr>
            </w:r>
            <w:r w:rsidR="00792989">
              <w:rPr>
                <w:noProof/>
                <w:webHidden/>
              </w:rPr>
              <w:fldChar w:fldCharType="separate"/>
            </w:r>
            <w:r w:rsidR="00792989">
              <w:rPr>
                <w:noProof/>
                <w:webHidden/>
              </w:rPr>
              <w:t>29</w:t>
            </w:r>
            <w:r w:rsidR="00792989">
              <w:rPr>
                <w:noProof/>
                <w:webHidden/>
              </w:rPr>
              <w:fldChar w:fldCharType="end"/>
            </w:r>
          </w:hyperlink>
        </w:p>
        <w:p w14:paraId="3F573AD4" w14:textId="27C1CB9A" w:rsidR="00792989" w:rsidRDefault="001101BB">
          <w:pPr>
            <w:pStyle w:val="TOC1"/>
            <w:rPr>
              <w:rFonts w:asciiTheme="minorHAnsi" w:eastAsiaTheme="minorEastAsia" w:hAnsiTheme="minorHAnsi" w:cstheme="minorBidi"/>
              <w:b w:val="0"/>
              <w:noProof/>
              <w:sz w:val="22"/>
              <w:lang w:eastAsia="en-AU"/>
            </w:rPr>
          </w:pPr>
          <w:hyperlink w:anchor="_Toc133421047" w:history="1">
            <w:r w:rsidR="00792989" w:rsidRPr="00EE19A5">
              <w:rPr>
                <w:rStyle w:val="Hyperlink"/>
                <w:noProof/>
              </w:rPr>
              <w:t>Attachment 1. Product Information</w:t>
            </w:r>
            <w:r w:rsidR="00792989">
              <w:rPr>
                <w:noProof/>
                <w:webHidden/>
              </w:rPr>
              <w:tab/>
            </w:r>
            <w:r w:rsidR="00792989">
              <w:rPr>
                <w:noProof/>
                <w:webHidden/>
              </w:rPr>
              <w:fldChar w:fldCharType="begin"/>
            </w:r>
            <w:r w:rsidR="00792989">
              <w:rPr>
                <w:noProof/>
                <w:webHidden/>
              </w:rPr>
              <w:instrText xml:space="preserve"> PAGEREF _Toc133421047 \h </w:instrText>
            </w:r>
            <w:r w:rsidR="00792989">
              <w:rPr>
                <w:noProof/>
                <w:webHidden/>
              </w:rPr>
            </w:r>
            <w:r w:rsidR="00792989">
              <w:rPr>
                <w:noProof/>
                <w:webHidden/>
              </w:rPr>
              <w:fldChar w:fldCharType="separate"/>
            </w:r>
            <w:r w:rsidR="00792989">
              <w:rPr>
                <w:noProof/>
                <w:webHidden/>
              </w:rPr>
              <w:t>29</w:t>
            </w:r>
            <w:r w:rsidR="00792989">
              <w:rPr>
                <w:noProof/>
                <w:webHidden/>
              </w:rPr>
              <w:fldChar w:fldCharType="end"/>
            </w:r>
          </w:hyperlink>
        </w:p>
        <w:p w14:paraId="01BBB075" w14:textId="1078A758" w:rsidR="003A7F6C" w:rsidRPr="00B44440" w:rsidRDefault="00C525A2" w:rsidP="00EB36D6">
          <w:r w:rsidRPr="00B44440">
            <w:fldChar w:fldCharType="end"/>
          </w:r>
        </w:p>
      </w:sdtContent>
    </w:sdt>
    <w:bookmarkStart w:id="2" w:name="_Toc314842482" w:displacedByCustomXml="prev"/>
    <w:p w14:paraId="186D2FBB" w14:textId="77777777" w:rsidR="00FD119B" w:rsidRPr="00B44440" w:rsidRDefault="00FD119B">
      <w:pPr>
        <w:spacing w:before="0" w:after="200" w:line="0" w:lineRule="auto"/>
      </w:pPr>
      <w:r w:rsidRPr="00B44440">
        <w:br w:type="page"/>
      </w:r>
    </w:p>
    <w:p w14:paraId="2FCCC765" w14:textId="77777777" w:rsidR="00AF2313" w:rsidRPr="00B44440" w:rsidRDefault="00AF2313" w:rsidP="00AF2313">
      <w:pPr>
        <w:pStyle w:val="Heading2"/>
      </w:pPr>
      <w:bookmarkStart w:id="3" w:name="_Toc98931917"/>
      <w:bookmarkStart w:id="4" w:name="_Toc133421032"/>
      <w:r w:rsidRPr="00B44440">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rsidRPr="00B44440" w14:paraId="6BA08C19"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73198696" w14:textId="77777777" w:rsidR="00AF2313" w:rsidRPr="00B44440" w:rsidRDefault="00AF2313">
            <w:pPr>
              <w:rPr>
                <w:color w:val="FFFFFF"/>
              </w:rPr>
            </w:pPr>
            <w:r w:rsidRPr="00B44440">
              <w:t>Abbreviation</w:t>
            </w:r>
          </w:p>
        </w:tc>
        <w:tc>
          <w:tcPr>
            <w:tcW w:w="3282" w:type="pct"/>
            <w:hideMark/>
          </w:tcPr>
          <w:p w14:paraId="354D2566" w14:textId="77777777" w:rsidR="00AF2313" w:rsidRPr="00B44440" w:rsidRDefault="00AF2313">
            <w:r w:rsidRPr="00B44440">
              <w:t>Meaning</w:t>
            </w:r>
          </w:p>
        </w:tc>
      </w:tr>
      <w:tr w:rsidR="00B44440" w:rsidRPr="00B44440" w14:paraId="2E9F31BA" w14:textId="77777777" w:rsidTr="00B44440">
        <w:trPr>
          <w:cantSplit/>
        </w:trPr>
        <w:tc>
          <w:tcPr>
            <w:tcW w:w="1013" w:type="pct"/>
            <w:tcBorders>
              <w:top w:val="single" w:sz="8" w:space="0" w:color="002C47"/>
              <w:left w:val="single" w:sz="8" w:space="0" w:color="002C47"/>
              <w:bottom w:val="single" w:sz="8" w:space="0" w:color="002C47"/>
              <w:right w:val="single" w:sz="8" w:space="0" w:color="002C47"/>
            </w:tcBorders>
          </w:tcPr>
          <w:p w14:paraId="092B9751" w14:textId="378E69DE" w:rsidR="00B44440" w:rsidRPr="00B44440" w:rsidRDefault="00B44440" w:rsidP="00B44440">
            <w:r w:rsidRPr="00B44440">
              <w:t>ACM</w:t>
            </w:r>
          </w:p>
        </w:tc>
        <w:tc>
          <w:tcPr>
            <w:tcW w:w="3987" w:type="pct"/>
            <w:gridSpan w:val="2"/>
            <w:tcBorders>
              <w:top w:val="single" w:sz="8" w:space="0" w:color="002C47"/>
              <w:left w:val="single" w:sz="8" w:space="0" w:color="002C47"/>
              <w:bottom w:val="single" w:sz="8" w:space="0" w:color="002C47"/>
              <w:right w:val="single" w:sz="8" w:space="0" w:color="002C47"/>
            </w:tcBorders>
          </w:tcPr>
          <w:p w14:paraId="6858B832" w14:textId="6D804608" w:rsidR="00B44440" w:rsidRPr="00B44440" w:rsidRDefault="00B44440" w:rsidP="00B44440">
            <w:r w:rsidRPr="00B44440">
              <w:t>Advisory Committee on Medicines</w:t>
            </w:r>
          </w:p>
        </w:tc>
      </w:tr>
      <w:tr w:rsidR="00B44440" w:rsidRPr="00B44440" w14:paraId="0578284A" w14:textId="77777777" w:rsidTr="00E04221">
        <w:trPr>
          <w:cantSplit/>
        </w:trPr>
        <w:tc>
          <w:tcPr>
            <w:tcW w:w="1013" w:type="pct"/>
            <w:tcBorders>
              <w:top w:val="single" w:sz="8" w:space="0" w:color="002C47"/>
              <w:left w:val="single" w:sz="8" w:space="0" w:color="002C47"/>
              <w:bottom w:val="single" w:sz="8" w:space="0" w:color="002C47"/>
              <w:right w:val="single" w:sz="8" w:space="0" w:color="002C47"/>
            </w:tcBorders>
          </w:tcPr>
          <w:p w14:paraId="2C438510" w14:textId="6D0B9FAF" w:rsidR="00B44440" w:rsidRPr="00B44440" w:rsidRDefault="00B44440" w:rsidP="00B44440">
            <w:r w:rsidRPr="00B44440">
              <w:t>ADA</w:t>
            </w:r>
          </w:p>
        </w:tc>
        <w:tc>
          <w:tcPr>
            <w:tcW w:w="3987" w:type="pct"/>
            <w:gridSpan w:val="2"/>
            <w:tcBorders>
              <w:top w:val="single" w:sz="8" w:space="0" w:color="002C47"/>
              <w:left w:val="single" w:sz="8" w:space="0" w:color="002C47"/>
              <w:bottom w:val="single" w:sz="8" w:space="0" w:color="002C47"/>
              <w:right w:val="single" w:sz="8" w:space="0" w:color="002C47"/>
            </w:tcBorders>
          </w:tcPr>
          <w:p w14:paraId="35547E25" w14:textId="45A0D5BF" w:rsidR="00B44440" w:rsidRPr="00B44440" w:rsidRDefault="00B44440" w:rsidP="00B44440">
            <w:r w:rsidRPr="00B44440">
              <w:t>Anti-drug antibody</w:t>
            </w:r>
          </w:p>
        </w:tc>
      </w:tr>
      <w:tr w:rsidR="00B44440" w:rsidRPr="00B44440" w14:paraId="5BC1CBF8" w14:textId="77777777" w:rsidTr="00B44440">
        <w:trPr>
          <w:cantSplit/>
        </w:trPr>
        <w:tc>
          <w:tcPr>
            <w:tcW w:w="1013" w:type="pct"/>
            <w:tcBorders>
              <w:top w:val="single" w:sz="8" w:space="0" w:color="002C47"/>
              <w:left w:val="single" w:sz="8" w:space="0" w:color="002C47"/>
              <w:bottom w:val="single" w:sz="8" w:space="0" w:color="002C47"/>
              <w:right w:val="single" w:sz="8" w:space="0" w:color="002C47"/>
            </w:tcBorders>
          </w:tcPr>
          <w:p w14:paraId="6DAE4000" w14:textId="1A91DC03" w:rsidR="00B44440" w:rsidRPr="00B44440" w:rsidRDefault="00B44440" w:rsidP="00B44440">
            <w:r w:rsidRPr="00B44440">
              <w:t>AMD</w:t>
            </w:r>
          </w:p>
        </w:tc>
        <w:tc>
          <w:tcPr>
            <w:tcW w:w="3987" w:type="pct"/>
            <w:gridSpan w:val="2"/>
            <w:tcBorders>
              <w:top w:val="single" w:sz="8" w:space="0" w:color="002C47"/>
              <w:left w:val="single" w:sz="8" w:space="0" w:color="002C47"/>
              <w:bottom w:val="single" w:sz="8" w:space="0" w:color="002C47"/>
              <w:right w:val="single" w:sz="8" w:space="0" w:color="002C47"/>
            </w:tcBorders>
          </w:tcPr>
          <w:p w14:paraId="50DA24C7" w14:textId="7041760E" w:rsidR="00B44440" w:rsidRPr="00B44440" w:rsidRDefault="00B44440" w:rsidP="00B44440">
            <w:r w:rsidRPr="00B44440">
              <w:t>Age-related macular degeneration</w:t>
            </w:r>
          </w:p>
        </w:tc>
      </w:tr>
      <w:tr w:rsidR="00B44440" w:rsidRPr="00B44440" w14:paraId="7C300C4C" w14:textId="77777777" w:rsidTr="00B44440">
        <w:trPr>
          <w:cantSplit/>
        </w:trPr>
        <w:tc>
          <w:tcPr>
            <w:tcW w:w="1013" w:type="pct"/>
            <w:tcBorders>
              <w:top w:val="single" w:sz="8" w:space="0" w:color="002C47"/>
              <w:left w:val="single" w:sz="8" w:space="0" w:color="002C47"/>
              <w:bottom w:val="single" w:sz="8" w:space="0" w:color="002C47"/>
              <w:right w:val="single" w:sz="8" w:space="0" w:color="002C47"/>
            </w:tcBorders>
          </w:tcPr>
          <w:p w14:paraId="34BAD597" w14:textId="167E684F" w:rsidR="00B44440" w:rsidRPr="00B44440" w:rsidRDefault="00B44440" w:rsidP="00B44440">
            <w:r w:rsidRPr="00B44440">
              <w:t>ARGPM</w:t>
            </w:r>
          </w:p>
        </w:tc>
        <w:tc>
          <w:tcPr>
            <w:tcW w:w="3987" w:type="pct"/>
            <w:gridSpan w:val="2"/>
            <w:tcBorders>
              <w:top w:val="single" w:sz="8" w:space="0" w:color="002C47"/>
              <w:left w:val="single" w:sz="8" w:space="0" w:color="002C47"/>
              <w:bottom w:val="single" w:sz="8" w:space="0" w:color="002C47"/>
              <w:right w:val="single" w:sz="8" w:space="0" w:color="002C47"/>
            </w:tcBorders>
          </w:tcPr>
          <w:p w14:paraId="7EA0DC4A" w14:textId="0A746ECD" w:rsidR="00B44440" w:rsidRPr="00B44440" w:rsidRDefault="00B44440" w:rsidP="00B44440">
            <w:r w:rsidRPr="00B44440">
              <w:t>Australian Regulatory Guidelines for Prescription Medicines</w:t>
            </w:r>
          </w:p>
        </w:tc>
      </w:tr>
      <w:tr w:rsidR="00B44440" w:rsidRPr="00B44440" w14:paraId="4AE2B79F" w14:textId="77777777" w:rsidTr="00B44440">
        <w:trPr>
          <w:cantSplit/>
        </w:trPr>
        <w:tc>
          <w:tcPr>
            <w:tcW w:w="1013" w:type="pct"/>
            <w:tcBorders>
              <w:top w:val="single" w:sz="8" w:space="0" w:color="002C47"/>
              <w:left w:val="single" w:sz="8" w:space="0" w:color="002C47"/>
              <w:bottom w:val="single" w:sz="8" w:space="0" w:color="002C47"/>
              <w:right w:val="single" w:sz="8" w:space="0" w:color="002C47"/>
            </w:tcBorders>
          </w:tcPr>
          <w:p w14:paraId="5A54C4E8" w14:textId="2FCB689E" w:rsidR="00B44440" w:rsidRPr="00B44440" w:rsidRDefault="00B44440" w:rsidP="00B44440">
            <w:r w:rsidRPr="00B44440">
              <w:t>ARTG</w:t>
            </w:r>
          </w:p>
        </w:tc>
        <w:tc>
          <w:tcPr>
            <w:tcW w:w="3987" w:type="pct"/>
            <w:gridSpan w:val="2"/>
            <w:tcBorders>
              <w:top w:val="single" w:sz="8" w:space="0" w:color="002C47"/>
              <w:left w:val="single" w:sz="8" w:space="0" w:color="002C47"/>
              <w:bottom w:val="single" w:sz="8" w:space="0" w:color="002C47"/>
              <w:right w:val="single" w:sz="8" w:space="0" w:color="002C47"/>
            </w:tcBorders>
          </w:tcPr>
          <w:p w14:paraId="0112D785" w14:textId="29794D71" w:rsidR="00B44440" w:rsidRPr="00B44440" w:rsidRDefault="00B44440" w:rsidP="00B44440">
            <w:r w:rsidRPr="00B44440">
              <w:t>Australian Register of Therapeutic Goods</w:t>
            </w:r>
          </w:p>
        </w:tc>
      </w:tr>
      <w:tr w:rsidR="00B44440" w:rsidRPr="00B44440" w14:paraId="2D90B1DD" w14:textId="77777777" w:rsidTr="00B44440">
        <w:trPr>
          <w:cantSplit/>
        </w:trPr>
        <w:tc>
          <w:tcPr>
            <w:tcW w:w="1013" w:type="pct"/>
            <w:tcBorders>
              <w:top w:val="single" w:sz="8" w:space="0" w:color="002C47"/>
              <w:left w:val="single" w:sz="8" w:space="0" w:color="002C47"/>
              <w:bottom w:val="single" w:sz="8" w:space="0" w:color="002C47"/>
              <w:right w:val="single" w:sz="8" w:space="0" w:color="002C47"/>
            </w:tcBorders>
          </w:tcPr>
          <w:p w14:paraId="76AB3257" w14:textId="2D9CABF0" w:rsidR="00B44440" w:rsidRPr="00B44440" w:rsidRDefault="00B44440" w:rsidP="00B44440">
            <w:r w:rsidRPr="00B44440">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20B72845" w14:textId="6E7CDF64" w:rsidR="00B44440" w:rsidRPr="00B44440" w:rsidRDefault="00B44440" w:rsidP="00B44440">
            <w:r w:rsidRPr="00B44440">
              <w:t>Australia specific annex</w:t>
            </w:r>
          </w:p>
        </w:tc>
      </w:tr>
      <w:tr w:rsidR="00B44440" w:rsidRPr="00B44440" w14:paraId="5BA8A512" w14:textId="77777777" w:rsidTr="00B44440">
        <w:trPr>
          <w:cantSplit/>
        </w:trPr>
        <w:tc>
          <w:tcPr>
            <w:tcW w:w="1013" w:type="pct"/>
            <w:tcBorders>
              <w:top w:val="single" w:sz="8" w:space="0" w:color="002C47"/>
              <w:left w:val="single" w:sz="8" w:space="0" w:color="002C47"/>
              <w:bottom w:val="single" w:sz="8" w:space="0" w:color="002C47"/>
              <w:right w:val="single" w:sz="8" w:space="0" w:color="002C47"/>
            </w:tcBorders>
          </w:tcPr>
          <w:p w14:paraId="23043A1D" w14:textId="4792EAED" w:rsidR="00B44440" w:rsidRPr="00B44440" w:rsidRDefault="00B44440" w:rsidP="00B44440">
            <w:r w:rsidRPr="00B44440">
              <w:t>BCVA</w:t>
            </w:r>
          </w:p>
        </w:tc>
        <w:tc>
          <w:tcPr>
            <w:tcW w:w="3987" w:type="pct"/>
            <w:gridSpan w:val="2"/>
            <w:tcBorders>
              <w:top w:val="single" w:sz="8" w:space="0" w:color="002C47"/>
              <w:left w:val="single" w:sz="8" w:space="0" w:color="002C47"/>
              <w:bottom w:val="single" w:sz="8" w:space="0" w:color="002C47"/>
              <w:right w:val="single" w:sz="8" w:space="0" w:color="002C47"/>
            </w:tcBorders>
          </w:tcPr>
          <w:p w14:paraId="7436214E" w14:textId="1E0C30E8" w:rsidR="00B44440" w:rsidRPr="00B44440" w:rsidRDefault="00B44440" w:rsidP="00B44440">
            <w:r w:rsidRPr="00B44440">
              <w:t>Best corrected visual acuity</w:t>
            </w:r>
          </w:p>
        </w:tc>
      </w:tr>
      <w:tr w:rsidR="00CB0D64" w:rsidRPr="00B44440" w14:paraId="3A245D66" w14:textId="77777777" w:rsidTr="00B44440">
        <w:trPr>
          <w:cantSplit/>
        </w:trPr>
        <w:tc>
          <w:tcPr>
            <w:tcW w:w="1013" w:type="pct"/>
            <w:tcBorders>
              <w:top w:val="single" w:sz="8" w:space="0" w:color="002C47"/>
              <w:left w:val="single" w:sz="8" w:space="0" w:color="002C47"/>
              <w:bottom w:val="single" w:sz="8" w:space="0" w:color="002C47"/>
              <w:right w:val="single" w:sz="8" w:space="0" w:color="002C47"/>
            </w:tcBorders>
          </w:tcPr>
          <w:p w14:paraId="19828887" w14:textId="44BF115A" w:rsidR="00CB0D64" w:rsidRPr="00B44440" w:rsidRDefault="00CB0D64" w:rsidP="00B44440">
            <w:r w:rsidRPr="00CB0D64">
              <w:t>CHMP</w:t>
            </w:r>
          </w:p>
        </w:tc>
        <w:tc>
          <w:tcPr>
            <w:tcW w:w="3987" w:type="pct"/>
            <w:gridSpan w:val="2"/>
            <w:tcBorders>
              <w:top w:val="single" w:sz="8" w:space="0" w:color="002C47"/>
              <w:left w:val="single" w:sz="8" w:space="0" w:color="002C47"/>
              <w:bottom w:val="single" w:sz="8" w:space="0" w:color="002C47"/>
              <w:right w:val="single" w:sz="8" w:space="0" w:color="002C47"/>
            </w:tcBorders>
          </w:tcPr>
          <w:p w14:paraId="3FBC6967" w14:textId="16078FD6" w:rsidR="00CB0D64" w:rsidRPr="00B44440" w:rsidRDefault="00CB0D64" w:rsidP="00B44440">
            <w:r w:rsidRPr="00CB0D64">
              <w:t>Committee for Medicinal Products for Human Use (European Medicines Agency</w:t>
            </w:r>
            <w:r w:rsidR="00DB594C">
              <w:t xml:space="preserve">, </w:t>
            </w:r>
            <w:r>
              <w:t>European Union</w:t>
            </w:r>
            <w:r w:rsidRPr="00CB0D64">
              <w:t>)</w:t>
            </w:r>
          </w:p>
        </w:tc>
      </w:tr>
      <w:tr w:rsidR="00B44440" w:rsidRPr="00B44440" w14:paraId="50A7DC5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FD18791" w14:textId="67BAD6B8" w:rsidR="00B44440" w:rsidRPr="00B44440" w:rsidRDefault="00B44440" w:rsidP="00B44440">
            <w:pPr>
              <w:rPr>
                <w:color w:val="000000"/>
              </w:rPr>
            </w:pPr>
            <w:r w:rsidRPr="00B44440">
              <w:t>CI</w:t>
            </w:r>
          </w:p>
        </w:tc>
        <w:tc>
          <w:tcPr>
            <w:tcW w:w="3987" w:type="pct"/>
            <w:gridSpan w:val="2"/>
            <w:tcBorders>
              <w:top w:val="single" w:sz="8" w:space="0" w:color="002C47"/>
              <w:left w:val="single" w:sz="8" w:space="0" w:color="002C47"/>
              <w:bottom w:val="single" w:sz="8" w:space="0" w:color="002C47"/>
              <w:right w:val="single" w:sz="8" w:space="0" w:color="002C47"/>
            </w:tcBorders>
          </w:tcPr>
          <w:p w14:paraId="544AB252" w14:textId="46F0D57F" w:rsidR="00B44440" w:rsidRPr="00B44440" w:rsidRDefault="00B44440" w:rsidP="00B44440">
            <w:pPr>
              <w:rPr>
                <w:color w:val="000000"/>
              </w:rPr>
            </w:pPr>
            <w:r w:rsidRPr="00B44440">
              <w:t>Confidence interval</w:t>
            </w:r>
          </w:p>
        </w:tc>
      </w:tr>
      <w:tr w:rsidR="00B44440" w:rsidRPr="00B44440" w14:paraId="103A6F7D"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52BBD1D0" w14:textId="0A5F4A42" w:rsidR="00B44440" w:rsidRPr="00B44440" w:rsidRDefault="00B44440" w:rsidP="00B44440">
            <w:r w:rsidRPr="00B44440">
              <w:t>CNV</w:t>
            </w:r>
          </w:p>
        </w:tc>
        <w:tc>
          <w:tcPr>
            <w:tcW w:w="3987" w:type="pct"/>
            <w:gridSpan w:val="2"/>
            <w:tcBorders>
              <w:top w:val="single" w:sz="8" w:space="0" w:color="002C47"/>
              <w:left w:val="single" w:sz="8" w:space="0" w:color="002C47"/>
              <w:bottom w:val="single" w:sz="8" w:space="0" w:color="002C47"/>
              <w:right w:val="single" w:sz="8" w:space="0" w:color="002C47"/>
            </w:tcBorders>
          </w:tcPr>
          <w:p w14:paraId="0A6CEFDC" w14:textId="3BA0B48E" w:rsidR="00B44440" w:rsidRPr="00B44440" w:rsidRDefault="00B44440" w:rsidP="00B44440">
            <w:r w:rsidRPr="00B44440">
              <w:t>Choroidal neovascularisation</w:t>
            </w:r>
          </w:p>
        </w:tc>
      </w:tr>
      <w:tr w:rsidR="00B44440" w:rsidRPr="00B44440" w14:paraId="3FD10B3E"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2CD3DA77" w14:textId="032A120E" w:rsidR="00B44440" w:rsidRPr="00B44440" w:rsidRDefault="00B44440" w:rsidP="00B44440">
            <w:pPr>
              <w:rPr>
                <w:color w:val="000000"/>
              </w:rPr>
            </w:pPr>
            <w:r w:rsidRPr="00B44440">
              <w:t>COR-B</w:t>
            </w:r>
          </w:p>
        </w:tc>
        <w:tc>
          <w:tcPr>
            <w:tcW w:w="3987" w:type="pct"/>
            <w:gridSpan w:val="2"/>
            <w:tcBorders>
              <w:top w:val="single" w:sz="8" w:space="0" w:color="002C47"/>
              <w:left w:val="single" w:sz="8" w:space="0" w:color="002C47"/>
              <w:bottom w:val="single" w:sz="8" w:space="0" w:color="002C47"/>
              <w:right w:val="single" w:sz="8" w:space="0" w:color="002C47"/>
            </w:tcBorders>
          </w:tcPr>
          <w:p w14:paraId="5670C8B7" w14:textId="000359B7" w:rsidR="00B44440" w:rsidRPr="00B44440" w:rsidRDefault="00B44440" w:rsidP="00B44440">
            <w:r w:rsidRPr="00B44440">
              <w:t>Comparable Overseas Regulator B</w:t>
            </w:r>
          </w:p>
        </w:tc>
      </w:tr>
      <w:tr w:rsidR="00B44440" w:rsidRPr="00B44440" w14:paraId="04BF911D"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1885D615" w14:textId="442EB3D7" w:rsidR="00B44440" w:rsidRPr="00B44440" w:rsidRDefault="00B44440" w:rsidP="00B44440">
            <w:r w:rsidRPr="00B44440">
              <w:t>CPD</w:t>
            </w:r>
          </w:p>
        </w:tc>
        <w:tc>
          <w:tcPr>
            <w:tcW w:w="3987" w:type="pct"/>
            <w:gridSpan w:val="2"/>
            <w:tcBorders>
              <w:top w:val="single" w:sz="8" w:space="0" w:color="002C47"/>
              <w:left w:val="single" w:sz="8" w:space="0" w:color="002C47"/>
              <w:bottom w:val="single" w:sz="8" w:space="0" w:color="002C47"/>
              <w:right w:val="single" w:sz="8" w:space="0" w:color="002C47"/>
            </w:tcBorders>
          </w:tcPr>
          <w:p w14:paraId="61729B60" w14:textId="4EB622AF" w:rsidR="00B44440" w:rsidRPr="00B44440" w:rsidRDefault="00B44440" w:rsidP="00B44440">
            <w:r w:rsidRPr="00B44440">
              <w:t>Certified Product Details</w:t>
            </w:r>
          </w:p>
        </w:tc>
      </w:tr>
      <w:tr w:rsidR="00B44440" w:rsidRPr="00B44440" w14:paraId="20ACBEE2"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376F82B0" w14:textId="1E23ABF6" w:rsidR="00B44440" w:rsidRPr="00B44440" w:rsidRDefault="00B44440" w:rsidP="00B44440">
            <w:r w:rsidRPr="00B44440">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4BF5683D" w14:textId="5988B742" w:rsidR="00B44440" w:rsidRPr="00B44440" w:rsidRDefault="00B44440" w:rsidP="00B44440">
            <w:r w:rsidRPr="00B44440">
              <w:t>Data lock point</w:t>
            </w:r>
          </w:p>
        </w:tc>
      </w:tr>
      <w:tr w:rsidR="00B44440" w:rsidRPr="00B44440" w14:paraId="7E653FB5"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34C46EE5" w14:textId="0D4A03B5" w:rsidR="00B44440" w:rsidRPr="00B44440" w:rsidRDefault="00B44440" w:rsidP="00B44440">
            <w:r w:rsidRPr="00B44440">
              <w:t>DME</w:t>
            </w:r>
          </w:p>
        </w:tc>
        <w:tc>
          <w:tcPr>
            <w:tcW w:w="3987" w:type="pct"/>
            <w:gridSpan w:val="2"/>
            <w:tcBorders>
              <w:top w:val="single" w:sz="8" w:space="0" w:color="002C47"/>
              <w:left w:val="single" w:sz="8" w:space="0" w:color="002C47"/>
              <w:bottom w:val="single" w:sz="8" w:space="0" w:color="002C47"/>
              <w:right w:val="single" w:sz="8" w:space="0" w:color="002C47"/>
            </w:tcBorders>
          </w:tcPr>
          <w:p w14:paraId="6EDF0F92" w14:textId="5822ED73" w:rsidR="00B44440" w:rsidRPr="00B44440" w:rsidRDefault="00B44440" w:rsidP="00B44440">
            <w:r w:rsidRPr="00B44440">
              <w:t>Diabetic macular oedema</w:t>
            </w:r>
          </w:p>
        </w:tc>
      </w:tr>
      <w:tr w:rsidR="00CB0D64" w:rsidRPr="00B44440" w14:paraId="75F1C8E5"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165EA774" w14:textId="29499B91" w:rsidR="00CB0D64" w:rsidRPr="00B44440" w:rsidRDefault="00CB0D64" w:rsidP="00B44440">
            <w: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484ABAEC" w14:textId="04CD64CE" w:rsidR="00CB0D64" w:rsidRPr="00B44440" w:rsidRDefault="00CB0D64" w:rsidP="00B44440">
            <w:r w:rsidRPr="00CB0D64">
              <w:t>European Medicines Agency (</w:t>
            </w:r>
            <w:r>
              <w:t>European Union</w:t>
            </w:r>
            <w:r w:rsidRPr="00CB0D64">
              <w:t>)</w:t>
            </w:r>
          </w:p>
        </w:tc>
      </w:tr>
      <w:tr w:rsidR="00B44440" w:rsidRPr="00B44440" w14:paraId="76F3269F"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57A6059C" w14:textId="691D87E3" w:rsidR="00B44440" w:rsidRPr="00B44440" w:rsidRDefault="00B44440" w:rsidP="00B44440">
            <w:r w:rsidRPr="00B44440">
              <w:t>EU</w:t>
            </w:r>
          </w:p>
        </w:tc>
        <w:tc>
          <w:tcPr>
            <w:tcW w:w="3987" w:type="pct"/>
            <w:gridSpan w:val="2"/>
            <w:tcBorders>
              <w:top w:val="single" w:sz="8" w:space="0" w:color="002C47"/>
              <w:left w:val="single" w:sz="8" w:space="0" w:color="002C47"/>
              <w:bottom w:val="single" w:sz="8" w:space="0" w:color="002C47"/>
              <w:right w:val="single" w:sz="8" w:space="0" w:color="002C47"/>
            </w:tcBorders>
          </w:tcPr>
          <w:p w14:paraId="17321242" w14:textId="2CF2FF7C" w:rsidR="00B44440" w:rsidRPr="00B44440" w:rsidRDefault="00B44440" w:rsidP="00B44440">
            <w:r w:rsidRPr="00B44440">
              <w:t>European Union</w:t>
            </w:r>
          </w:p>
        </w:tc>
      </w:tr>
      <w:tr w:rsidR="00B44440" w:rsidRPr="00B44440" w14:paraId="768DD2B4"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40B77625" w14:textId="39D94CBC" w:rsidR="00B44440" w:rsidRPr="00B44440" w:rsidRDefault="00B44440" w:rsidP="00B44440">
            <w:r w:rsidRPr="00B44440">
              <w:t>GVP</w:t>
            </w:r>
          </w:p>
        </w:tc>
        <w:tc>
          <w:tcPr>
            <w:tcW w:w="3987" w:type="pct"/>
            <w:gridSpan w:val="2"/>
            <w:tcBorders>
              <w:top w:val="single" w:sz="8" w:space="0" w:color="002C47"/>
              <w:left w:val="single" w:sz="8" w:space="0" w:color="002C47"/>
              <w:bottom w:val="single" w:sz="8" w:space="0" w:color="002C47"/>
              <w:right w:val="single" w:sz="8" w:space="0" w:color="002C47"/>
            </w:tcBorders>
          </w:tcPr>
          <w:p w14:paraId="593C3A1A" w14:textId="6061A030" w:rsidR="00B44440" w:rsidRPr="00B44440" w:rsidRDefault="00B44440" w:rsidP="00B44440">
            <w:r w:rsidRPr="00B44440">
              <w:t>Good Pharmacovigilance Practices</w:t>
            </w:r>
          </w:p>
        </w:tc>
      </w:tr>
      <w:tr w:rsidR="00B44440" w:rsidRPr="00B44440" w14:paraId="0737F7EB"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6FD99902" w14:textId="092EA986" w:rsidR="00B44440" w:rsidRPr="00B44440" w:rsidRDefault="00B44440" w:rsidP="00B44440">
            <w:r w:rsidRPr="00B44440">
              <w:t>PDR</w:t>
            </w:r>
          </w:p>
        </w:tc>
        <w:tc>
          <w:tcPr>
            <w:tcW w:w="3987" w:type="pct"/>
            <w:gridSpan w:val="2"/>
            <w:tcBorders>
              <w:top w:val="single" w:sz="8" w:space="0" w:color="002C47"/>
              <w:left w:val="single" w:sz="8" w:space="0" w:color="002C47"/>
              <w:bottom w:val="single" w:sz="8" w:space="0" w:color="002C47"/>
              <w:right w:val="single" w:sz="8" w:space="0" w:color="002C47"/>
            </w:tcBorders>
          </w:tcPr>
          <w:p w14:paraId="09CFE2AF" w14:textId="67C87473" w:rsidR="00B44440" w:rsidRPr="00B44440" w:rsidRDefault="00DA7F48" w:rsidP="00B44440">
            <w:r w:rsidRPr="00B44440">
              <w:t xml:space="preserve">Proliferative </w:t>
            </w:r>
            <w:r w:rsidR="00B44440" w:rsidRPr="00B44440">
              <w:t>diabetic retinopathy</w:t>
            </w:r>
          </w:p>
        </w:tc>
      </w:tr>
      <w:tr w:rsidR="00B44440" w:rsidRPr="00B44440" w14:paraId="1CD75202"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288D3CF1" w14:textId="0B71D871" w:rsidR="00B44440" w:rsidRPr="00B44440" w:rsidRDefault="00B44440" w:rsidP="00B44440">
            <w:r w:rsidRPr="00B44440">
              <w:t>PI</w:t>
            </w:r>
          </w:p>
        </w:tc>
        <w:tc>
          <w:tcPr>
            <w:tcW w:w="3987" w:type="pct"/>
            <w:gridSpan w:val="2"/>
            <w:tcBorders>
              <w:top w:val="single" w:sz="8" w:space="0" w:color="002C47"/>
              <w:left w:val="single" w:sz="8" w:space="0" w:color="002C47"/>
              <w:bottom w:val="single" w:sz="8" w:space="0" w:color="002C47"/>
              <w:right w:val="single" w:sz="8" w:space="0" w:color="002C47"/>
            </w:tcBorders>
          </w:tcPr>
          <w:p w14:paraId="4D67A950" w14:textId="298925FE" w:rsidR="00B44440" w:rsidRPr="00B44440" w:rsidRDefault="00B44440" w:rsidP="00B44440">
            <w:r w:rsidRPr="00B44440">
              <w:t>Product Information</w:t>
            </w:r>
          </w:p>
        </w:tc>
      </w:tr>
      <w:tr w:rsidR="00B44440" w:rsidRPr="00B44440" w14:paraId="14A4B036"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6C752742" w14:textId="0D08D326" w:rsidR="00B44440" w:rsidRPr="00B44440" w:rsidRDefault="00B44440" w:rsidP="00B44440">
            <w:r w:rsidRPr="00B44440">
              <w:t>PM</w:t>
            </w:r>
          </w:p>
        </w:tc>
        <w:tc>
          <w:tcPr>
            <w:tcW w:w="3987" w:type="pct"/>
            <w:gridSpan w:val="2"/>
            <w:tcBorders>
              <w:top w:val="single" w:sz="8" w:space="0" w:color="002C47"/>
              <w:left w:val="single" w:sz="8" w:space="0" w:color="002C47"/>
              <w:bottom w:val="single" w:sz="8" w:space="0" w:color="002C47"/>
              <w:right w:val="single" w:sz="8" w:space="0" w:color="002C47"/>
            </w:tcBorders>
          </w:tcPr>
          <w:p w14:paraId="656FFF5E" w14:textId="11D605EB" w:rsidR="00B44440" w:rsidRPr="00B44440" w:rsidRDefault="00B44440" w:rsidP="00B44440">
            <w:r w:rsidRPr="00B44440">
              <w:t>Pathologic myopia</w:t>
            </w:r>
          </w:p>
        </w:tc>
      </w:tr>
      <w:tr w:rsidR="00B44440" w:rsidRPr="00B44440" w14:paraId="322DBF2C"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4669C2BD" w14:textId="200BC2B1" w:rsidR="00B44440" w:rsidRPr="00B44440" w:rsidRDefault="00B44440" w:rsidP="00B44440">
            <w:r w:rsidRPr="00B44440">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6260AF30" w14:textId="7E38D39E" w:rsidR="00B44440" w:rsidRPr="00B44440" w:rsidRDefault="00B44440" w:rsidP="00B44440">
            <w:r w:rsidRPr="00B44440">
              <w:t>Risk management plan</w:t>
            </w:r>
          </w:p>
        </w:tc>
      </w:tr>
      <w:tr w:rsidR="00B44440" w:rsidRPr="00B44440" w14:paraId="4933EBAD"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14753C89" w14:textId="67E51FB1" w:rsidR="00B44440" w:rsidRPr="00B44440" w:rsidRDefault="00B44440" w:rsidP="00B44440">
            <w:r w:rsidRPr="00B44440">
              <w:t>RVO</w:t>
            </w:r>
          </w:p>
        </w:tc>
        <w:tc>
          <w:tcPr>
            <w:tcW w:w="3987" w:type="pct"/>
            <w:gridSpan w:val="2"/>
            <w:tcBorders>
              <w:top w:val="single" w:sz="8" w:space="0" w:color="002C47"/>
              <w:left w:val="single" w:sz="8" w:space="0" w:color="002C47"/>
              <w:bottom w:val="single" w:sz="8" w:space="0" w:color="002C47"/>
              <w:right w:val="single" w:sz="8" w:space="0" w:color="002C47"/>
            </w:tcBorders>
          </w:tcPr>
          <w:p w14:paraId="70A01AE0" w14:textId="45E6DC38" w:rsidR="00B44440" w:rsidRPr="00B44440" w:rsidRDefault="00B44440" w:rsidP="00B44440">
            <w:r w:rsidRPr="00B44440">
              <w:t>Retinal vein occlusion</w:t>
            </w:r>
          </w:p>
        </w:tc>
      </w:tr>
      <w:tr w:rsidR="00B44440" w:rsidRPr="00B44440" w14:paraId="5DC6AA13"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204E95DE" w14:textId="29778B00" w:rsidR="00B44440" w:rsidRPr="00B44440" w:rsidRDefault="00B44440" w:rsidP="00B44440">
            <w:r w:rsidRPr="00B44440">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01D8306E" w14:textId="4749D266" w:rsidR="00B44440" w:rsidRPr="00B44440" w:rsidRDefault="00B44440" w:rsidP="00B44440">
            <w:r w:rsidRPr="00B44440">
              <w:t>Serious adverse event</w:t>
            </w:r>
          </w:p>
        </w:tc>
      </w:tr>
      <w:tr w:rsidR="00B44440" w:rsidRPr="00B44440" w14:paraId="73C2F919"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76B11AA7" w14:textId="19DB3051" w:rsidR="00B44440" w:rsidRPr="00B44440" w:rsidRDefault="00B44440" w:rsidP="00B44440">
            <w:r w:rsidRPr="00B44440">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03587667" w14:textId="08D94D33" w:rsidR="00B44440" w:rsidRPr="00B44440" w:rsidRDefault="00B44440" w:rsidP="00B44440">
            <w:r w:rsidRPr="00B44440">
              <w:t>Therapeutic Goods Administration</w:t>
            </w:r>
          </w:p>
        </w:tc>
      </w:tr>
      <w:tr w:rsidR="00B44440" w:rsidRPr="00B44440" w14:paraId="38243100"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1B3F6726" w14:textId="5F78B1C7" w:rsidR="00B44440" w:rsidRPr="00B44440" w:rsidRDefault="00B44440" w:rsidP="00B44440">
            <w:r w:rsidRPr="00B44440">
              <w:lastRenderedPageBreak/>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6A64CD48" w14:textId="76F7AA25" w:rsidR="00B44440" w:rsidRPr="00B44440" w:rsidRDefault="00B44440" w:rsidP="00B44440">
            <w:r w:rsidRPr="00B44440">
              <w:t>Treatment-emergent adverse event</w:t>
            </w:r>
          </w:p>
        </w:tc>
      </w:tr>
      <w:tr w:rsidR="00B44440" w:rsidRPr="00B44440" w14:paraId="16424D72"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530FD93F" w14:textId="08A1DF1E" w:rsidR="00B44440" w:rsidRPr="00B44440" w:rsidRDefault="00B44440" w:rsidP="00B44440">
            <w:r w:rsidRPr="00B44440">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220E3635" w14:textId="44F92710" w:rsidR="00B44440" w:rsidRPr="00B44440" w:rsidRDefault="00B44440" w:rsidP="00B44440">
            <w:r w:rsidRPr="00B44440">
              <w:t>United States of (America)</w:t>
            </w:r>
          </w:p>
        </w:tc>
      </w:tr>
      <w:tr w:rsidR="00B44440" w:rsidRPr="00B44440" w14:paraId="5E38F3BF" w14:textId="77777777" w:rsidTr="00E64F31">
        <w:trPr>
          <w:cantSplit/>
        </w:trPr>
        <w:tc>
          <w:tcPr>
            <w:tcW w:w="1013" w:type="pct"/>
            <w:tcBorders>
              <w:top w:val="single" w:sz="8" w:space="0" w:color="002C47"/>
              <w:left w:val="single" w:sz="8" w:space="0" w:color="002C47"/>
              <w:bottom w:val="single" w:sz="8" w:space="0" w:color="002C47"/>
              <w:right w:val="single" w:sz="8" w:space="0" w:color="002C47"/>
            </w:tcBorders>
          </w:tcPr>
          <w:p w14:paraId="68EE6FBF" w14:textId="49EBE11E" w:rsidR="00B44440" w:rsidRPr="00B44440" w:rsidRDefault="00B44440" w:rsidP="00B44440">
            <w:r w:rsidRPr="00B44440">
              <w:t>VEGF</w:t>
            </w:r>
          </w:p>
        </w:tc>
        <w:tc>
          <w:tcPr>
            <w:tcW w:w="3987" w:type="pct"/>
            <w:gridSpan w:val="2"/>
            <w:tcBorders>
              <w:top w:val="single" w:sz="8" w:space="0" w:color="002C47"/>
              <w:left w:val="single" w:sz="8" w:space="0" w:color="002C47"/>
              <w:bottom w:val="single" w:sz="8" w:space="0" w:color="002C47"/>
              <w:right w:val="single" w:sz="8" w:space="0" w:color="002C47"/>
            </w:tcBorders>
          </w:tcPr>
          <w:p w14:paraId="1E41D299" w14:textId="792829F7" w:rsidR="00B44440" w:rsidRPr="00B44440" w:rsidRDefault="00B44440" w:rsidP="00B44440">
            <w:r w:rsidRPr="00B44440">
              <w:t>Vascular endothelial growth factor</w:t>
            </w:r>
          </w:p>
        </w:tc>
      </w:tr>
    </w:tbl>
    <w:p w14:paraId="51A91F8A" w14:textId="77777777" w:rsidR="00FD119B" w:rsidRPr="00B44440" w:rsidRDefault="00FD119B" w:rsidP="00FD119B">
      <w:pPr>
        <w:spacing w:before="0" w:after="200" w:line="0" w:lineRule="auto"/>
        <w:rPr>
          <w:b/>
          <w:i/>
          <w:sz w:val="24"/>
          <w:szCs w:val="24"/>
        </w:rPr>
      </w:pPr>
      <w:r w:rsidRPr="00B44440">
        <w:rPr>
          <w:b/>
          <w:i/>
          <w:sz w:val="24"/>
          <w:szCs w:val="24"/>
        </w:rPr>
        <w:br w:type="page"/>
      </w:r>
    </w:p>
    <w:p w14:paraId="6B8E9A13" w14:textId="77777777" w:rsidR="008E7846" w:rsidRPr="00B44440" w:rsidRDefault="009F2673" w:rsidP="008E7846">
      <w:pPr>
        <w:pStyle w:val="Heading2"/>
      </w:pPr>
      <w:bookmarkStart w:id="5" w:name="_Toc133421033"/>
      <w:r w:rsidRPr="00B44440">
        <w:lastRenderedPageBreak/>
        <w:t>Pr</w:t>
      </w:r>
      <w:r w:rsidR="008E7846" w:rsidRPr="00B44440">
        <w:t>oduct submission</w:t>
      </w:r>
      <w:bookmarkEnd w:id="0"/>
      <w:bookmarkEnd w:id="2"/>
      <w:bookmarkEnd w:id="5"/>
    </w:p>
    <w:p w14:paraId="66C0A9DF" w14:textId="77777777" w:rsidR="008E7846" w:rsidRPr="00B44440" w:rsidRDefault="008E7846" w:rsidP="009E5A87">
      <w:pPr>
        <w:pStyle w:val="Heading3"/>
        <w:rPr>
          <w:lang w:eastAsia="en-AU"/>
        </w:rPr>
      </w:pPr>
      <w:bookmarkStart w:id="6" w:name="_Toc247691502"/>
      <w:bookmarkStart w:id="7" w:name="_Toc314842483"/>
      <w:bookmarkStart w:id="8" w:name="_Toc133421034"/>
      <w:r w:rsidRPr="00B44440">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B44440" w14:paraId="3313B239" w14:textId="77777777" w:rsidTr="00923038">
        <w:tc>
          <w:tcPr>
            <w:tcW w:w="1577" w:type="pct"/>
          </w:tcPr>
          <w:p w14:paraId="0841C474" w14:textId="77777777" w:rsidR="009F2673" w:rsidRPr="00B44440" w:rsidRDefault="009F2673" w:rsidP="009E5A87">
            <w:pPr>
              <w:rPr>
                <w:i/>
              </w:rPr>
            </w:pPr>
            <w:r w:rsidRPr="00B44440">
              <w:rPr>
                <w:i/>
              </w:rPr>
              <w:t>Type of submission:</w:t>
            </w:r>
          </w:p>
        </w:tc>
        <w:tc>
          <w:tcPr>
            <w:tcW w:w="3423" w:type="pct"/>
          </w:tcPr>
          <w:p w14:paraId="5E1A53F4" w14:textId="126C5AE0" w:rsidR="009F2673" w:rsidRPr="00B44440" w:rsidRDefault="00E04221" w:rsidP="009E5A87">
            <w:r w:rsidRPr="00B44440">
              <w:t>B</w:t>
            </w:r>
            <w:r w:rsidR="00A4588A" w:rsidRPr="00B44440">
              <w:t>iosimilar medicine</w:t>
            </w:r>
          </w:p>
        </w:tc>
      </w:tr>
      <w:tr w:rsidR="009F2673" w:rsidRPr="00B44440" w14:paraId="6CDD139C" w14:textId="77777777" w:rsidTr="00923038">
        <w:tc>
          <w:tcPr>
            <w:tcW w:w="1577" w:type="pct"/>
          </w:tcPr>
          <w:p w14:paraId="15A914D8" w14:textId="2DDD0404" w:rsidR="009F2673" w:rsidRPr="00B44440" w:rsidRDefault="009F2673" w:rsidP="009E5A87">
            <w:pPr>
              <w:rPr>
                <w:i/>
              </w:rPr>
            </w:pPr>
            <w:r w:rsidRPr="00B44440">
              <w:rPr>
                <w:i/>
              </w:rPr>
              <w:t>Product name:</w:t>
            </w:r>
          </w:p>
        </w:tc>
        <w:tc>
          <w:tcPr>
            <w:tcW w:w="3423" w:type="pct"/>
          </w:tcPr>
          <w:p w14:paraId="129157AC" w14:textId="6FC83DA2" w:rsidR="009F2673" w:rsidRPr="00B44440" w:rsidRDefault="00E64F31" w:rsidP="009E5A87">
            <w:proofErr w:type="spellStart"/>
            <w:r w:rsidRPr="00B44440">
              <w:t>Byooviz</w:t>
            </w:r>
            <w:proofErr w:type="spellEnd"/>
          </w:p>
        </w:tc>
      </w:tr>
      <w:tr w:rsidR="009F2673" w:rsidRPr="00B44440" w14:paraId="424330D5" w14:textId="77777777" w:rsidTr="00923038">
        <w:tc>
          <w:tcPr>
            <w:tcW w:w="1577" w:type="pct"/>
          </w:tcPr>
          <w:p w14:paraId="7846355D" w14:textId="23D9104F" w:rsidR="009F2673" w:rsidRPr="00B44440" w:rsidRDefault="009F2673" w:rsidP="009E5A87">
            <w:pPr>
              <w:rPr>
                <w:i/>
              </w:rPr>
            </w:pPr>
            <w:r w:rsidRPr="00B44440">
              <w:rPr>
                <w:i/>
              </w:rPr>
              <w:t>Active ingredient:</w:t>
            </w:r>
          </w:p>
        </w:tc>
        <w:tc>
          <w:tcPr>
            <w:tcW w:w="3423" w:type="pct"/>
          </w:tcPr>
          <w:p w14:paraId="387A2DFE" w14:textId="45639688" w:rsidR="009F2673" w:rsidRPr="00B44440" w:rsidRDefault="00923038" w:rsidP="009E5A87">
            <w:r w:rsidRPr="00B44440">
              <w:t>Ranibizumab</w:t>
            </w:r>
          </w:p>
        </w:tc>
      </w:tr>
      <w:tr w:rsidR="009F2673" w:rsidRPr="00B44440" w14:paraId="3616C1B1" w14:textId="77777777" w:rsidTr="00923038">
        <w:tc>
          <w:tcPr>
            <w:tcW w:w="1577" w:type="pct"/>
          </w:tcPr>
          <w:p w14:paraId="26B520C4" w14:textId="77777777" w:rsidR="009F2673" w:rsidRPr="00B44440" w:rsidRDefault="009F2673" w:rsidP="009E5A87">
            <w:pPr>
              <w:rPr>
                <w:i/>
              </w:rPr>
            </w:pPr>
            <w:r w:rsidRPr="00B44440">
              <w:rPr>
                <w:i/>
              </w:rPr>
              <w:t>Decision:</w:t>
            </w:r>
          </w:p>
        </w:tc>
        <w:tc>
          <w:tcPr>
            <w:tcW w:w="3423" w:type="pct"/>
          </w:tcPr>
          <w:p w14:paraId="0DB6BA53" w14:textId="496E1D26" w:rsidR="009F2673" w:rsidRPr="00B44440" w:rsidRDefault="009F2673" w:rsidP="009E5A87">
            <w:r w:rsidRPr="00B44440">
              <w:t>Approved</w:t>
            </w:r>
          </w:p>
        </w:tc>
      </w:tr>
      <w:tr w:rsidR="009F2673" w:rsidRPr="00B44440" w14:paraId="75360063" w14:textId="77777777" w:rsidTr="00923038">
        <w:tc>
          <w:tcPr>
            <w:tcW w:w="1577" w:type="pct"/>
          </w:tcPr>
          <w:p w14:paraId="22117E57" w14:textId="77777777" w:rsidR="009F2673" w:rsidRPr="00B44440" w:rsidRDefault="009F2673" w:rsidP="009E5A87">
            <w:pPr>
              <w:rPr>
                <w:i/>
              </w:rPr>
            </w:pPr>
            <w:r w:rsidRPr="00B44440">
              <w:rPr>
                <w:i/>
              </w:rPr>
              <w:t>Date of decision:</w:t>
            </w:r>
          </w:p>
        </w:tc>
        <w:tc>
          <w:tcPr>
            <w:tcW w:w="3423" w:type="pct"/>
          </w:tcPr>
          <w:p w14:paraId="14289DAF" w14:textId="67E05AC9" w:rsidR="009F2673" w:rsidRPr="00B44440" w:rsidRDefault="00923038" w:rsidP="009E5A87">
            <w:r w:rsidRPr="00B44440">
              <w:t>16 August 2022</w:t>
            </w:r>
          </w:p>
        </w:tc>
      </w:tr>
      <w:tr w:rsidR="009F2673" w:rsidRPr="00B44440" w14:paraId="784F6DD5" w14:textId="77777777" w:rsidTr="00923038">
        <w:tc>
          <w:tcPr>
            <w:tcW w:w="1577" w:type="pct"/>
          </w:tcPr>
          <w:p w14:paraId="33B9D08C" w14:textId="77777777" w:rsidR="009F2673" w:rsidRPr="00B44440" w:rsidRDefault="009F2673" w:rsidP="009E5A87">
            <w:pPr>
              <w:rPr>
                <w:i/>
              </w:rPr>
            </w:pPr>
            <w:r w:rsidRPr="00B44440">
              <w:rPr>
                <w:i/>
              </w:rPr>
              <w:t>Date of entry onto ARTG:</w:t>
            </w:r>
          </w:p>
        </w:tc>
        <w:tc>
          <w:tcPr>
            <w:tcW w:w="3423" w:type="pct"/>
          </w:tcPr>
          <w:p w14:paraId="7A826AFD" w14:textId="43C70E4B" w:rsidR="009F2673" w:rsidRPr="00B44440" w:rsidRDefault="006B01CB" w:rsidP="009E5A87">
            <w:r w:rsidRPr="00B44440">
              <w:t>24 August 2022</w:t>
            </w:r>
          </w:p>
        </w:tc>
      </w:tr>
      <w:tr w:rsidR="009F2673" w:rsidRPr="00B44440" w14:paraId="5C82E87B" w14:textId="77777777" w:rsidTr="00923038">
        <w:tc>
          <w:tcPr>
            <w:tcW w:w="1577" w:type="pct"/>
          </w:tcPr>
          <w:p w14:paraId="1A358363" w14:textId="609DD8C3" w:rsidR="009F2673" w:rsidRPr="00B44440" w:rsidRDefault="009F2673" w:rsidP="009E5A87">
            <w:pPr>
              <w:rPr>
                <w:i/>
              </w:rPr>
            </w:pPr>
            <w:r w:rsidRPr="00B44440">
              <w:rPr>
                <w:i/>
              </w:rPr>
              <w:t>ARTG number:</w:t>
            </w:r>
          </w:p>
        </w:tc>
        <w:tc>
          <w:tcPr>
            <w:tcW w:w="3423" w:type="pct"/>
          </w:tcPr>
          <w:p w14:paraId="11FE1BF3" w14:textId="55BD6CE4" w:rsidR="009F2673" w:rsidRPr="00B44440" w:rsidRDefault="006B01CB" w:rsidP="009E5A87">
            <w:r w:rsidRPr="00B44440">
              <w:t>375304</w:t>
            </w:r>
          </w:p>
        </w:tc>
      </w:tr>
      <w:tr w:rsidR="009F2673" w:rsidRPr="00B44440" w14:paraId="67E59854" w14:textId="77777777" w:rsidTr="00923038">
        <w:tc>
          <w:tcPr>
            <w:tcW w:w="1577" w:type="pct"/>
          </w:tcPr>
          <w:p w14:paraId="251DA129" w14:textId="78F923B5" w:rsidR="009F2673" w:rsidRPr="00B44440" w:rsidRDefault="001B1DA4" w:rsidP="009E5A87">
            <w:pPr>
              <w:rPr>
                <w:i/>
              </w:rPr>
            </w:pPr>
            <w:r w:rsidRPr="00B44440">
              <w:rPr>
                <w:rFonts w:ascii="Wingdings 3" w:hAnsi="Wingdings 3"/>
                <w:sz w:val="34"/>
                <w:szCs w:val="34"/>
                <w:lang w:eastAsia="en-AU"/>
              </w:rPr>
              <w:t></w:t>
            </w:r>
            <w:hyperlink r:id="rId17" w:history="1">
              <w:r w:rsidR="009F2673" w:rsidRPr="00B44440">
                <w:rPr>
                  <w:rStyle w:val="Hyperlink"/>
                  <w:i/>
                </w:rPr>
                <w:t>Black Triangle Scheme</w:t>
              </w:r>
            </w:hyperlink>
            <w:r w:rsidR="009F2673" w:rsidRPr="00B44440">
              <w:rPr>
                <w:i/>
              </w:rPr>
              <w:t>:</w:t>
            </w:r>
          </w:p>
        </w:tc>
        <w:tc>
          <w:tcPr>
            <w:tcW w:w="3423" w:type="pct"/>
          </w:tcPr>
          <w:p w14:paraId="75DAD9E2" w14:textId="0551F4DD" w:rsidR="009F2673" w:rsidRPr="00B44440" w:rsidRDefault="009F2673" w:rsidP="009E5A87">
            <w:r w:rsidRPr="00B44440">
              <w:t>No</w:t>
            </w:r>
          </w:p>
        </w:tc>
      </w:tr>
      <w:tr w:rsidR="009F2673" w:rsidRPr="00B44440" w14:paraId="0DFE4D2C" w14:textId="77777777" w:rsidTr="00923038">
        <w:tc>
          <w:tcPr>
            <w:tcW w:w="1577" w:type="pct"/>
          </w:tcPr>
          <w:p w14:paraId="6E11B7A3" w14:textId="77777777" w:rsidR="009F2673" w:rsidRPr="00B44440" w:rsidRDefault="009F2673" w:rsidP="009E5A87">
            <w:pPr>
              <w:rPr>
                <w:i/>
              </w:rPr>
            </w:pPr>
            <w:r w:rsidRPr="00B44440">
              <w:rPr>
                <w:i/>
              </w:rPr>
              <w:t>Sponsor’s name and address:</w:t>
            </w:r>
          </w:p>
        </w:tc>
        <w:tc>
          <w:tcPr>
            <w:tcW w:w="3423" w:type="pct"/>
          </w:tcPr>
          <w:p w14:paraId="570884AB" w14:textId="2FEA4D83" w:rsidR="009F2673" w:rsidRPr="00B44440" w:rsidRDefault="00923038" w:rsidP="009E5A87">
            <w:r w:rsidRPr="00B44440">
              <w:t xml:space="preserve">Samsung Bioepis AU </w:t>
            </w:r>
            <w:r w:rsidR="00962117" w:rsidRPr="00B44440">
              <w:t>Pty Ltd</w:t>
            </w:r>
          </w:p>
          <w:p w14:paraId="5FD55F30" w14:textId="3108822A" w:rsidR="00923038" w:rsidRPr="00B44440" w:rsidRDefault="00923038" w:rsidP="00923038">
            <w:r w:rsidRPr="00B44440">
              <w:t>Level 16, 201 Elizabeth Street</w:t>
            </w:r>
          </w:p>
          <w:p w14:paraId="38BEE259" w14:textId="0E022CAE" w:rsidR="00923038" w:rsidRPr="00B44440" w:rsidRDefault="00923038" w:rsidP="00923038">
            <w:r w:rsidRPr="00B44440">
              <w:t>Sydney NSW 2000</w:t>
            </w:r>
          </w:p>
        </w:tc>
      </w:tr>
      <w:tr w:rsidR="009F2673" w:rsidRPr="00B44440" w14:paraId="7C4796A4" w14:textId="77777777" w:rsidTr="00923038">
        <w:tc>
          <w:tcPr>
            <w:tcW w:w="1577" w:type="pct"/>
          </w:tcPr>
          <w:p w14:paraId="6FE3467B" w14:textId="6627C55F" w:rsidR="009F2673" w:rsidRPr="00B44440" w:rsidRDefault="009F2673" w:rsidP="009E5A87">
            <w:pPr>
              <w:rPr>
                <w:i/>
              </w:rPr>
            </w:pPr>
            <w:r w:rsidRPr="00B44440">
              <w:rPr>
                <w:i/>
              </w:rPr>
              <w:t>Dose form:</w:t>
            </w:r>
          </w:p>
        </w:tc>
        <w:tc>
          <w:tcPr>
            <w:tcW w:w="3423" w:type="pct"/>
          </w:tcPr>
          <w:p w14:paraId="7D13D10B" w14:textId="28DBE161" w:rsidR="009F2673" w:rsidRPr="00B44440" w:rsidRDefault="00923038" w:rsidP="009E5A87">
            <w:r w:rsidRPr="00B44440">
              <w:t>Solution for injection</w:t>
            </w:r>
          </w:p>
        </w:tc>
      </w:tr>
      <w:tr w:rsidR="009F2673" w:rsidRPr="00B44440" w14:paraId="6B9BA6AF" w14:textId="77777777" w:rsidTr="00923038">
        <w:tc>
          <w:tcPr>
            <w:tcW w:w="1577" w:type="pct"/>
          </w:tcPr>
          <w:p w14:paraId="616B1753" w14:textId="423EA042" w:rsidR="009F2673" w:rsidRPr="00B44440" w:rsidRDefault="009F2673" w:rsidP="009E5A87">
            <w:pPr>
              <w:rPr>
                <w:i/>
              </w:rPr>
            </w:pPr>
            <w:r w:rsidRPr="00B44440">
              <w:rPr>
                <w:i/>
              </w:rPr>
              <w:t>Strength:</w:t>
            </w:r>
          </w:p>
        </w:tc>
        <w:tc>
          <w:tcPr>
            <w:tcW w:w="3423" w:type="pct"/>
          </w:tcPr>
          <w:p w14:paraId="646AADD5" w14:textId="4ABBFE24" w:rsidR="009F2673" w:rsidRPr="00B44440" w:rsidRDefault="00A4588A" w:rsidP="009E5A87">
            <w:r w:rsidRPr="00B44440">
              <w:t>10 mg/mL</w:t>
            </w:r>
          </w:p>
        </w:tc>
      </w:tr>
      <w:tr w:rsidR="009F2673" w:rsidRPr="00B44440" w14:paraId="00AD597B" w14:textId="77777777" w:rsidTr="00923038">
        <w:tc>
          <w:tcPr>
            <w:tcW w:w="1577" w:type="pct"/>
          </w:tcPr>
          <w:p w14:paraId="4D566D67" w14:textId="478C9502" w:rsidR="009F2673" w:rsidRPr="00B44440" w:rsidRDefault="009F2673" w:rsidP="009E5A87">
            <w:pPr>
              <w:rPr>
                <w:i/>
              </w:rPr>
            </w:pPr>
            <w:r w:rsidRPr="00B44440">
              <w:rPr>
                <w:i/>
              </w:rPr>
              <w:t>Container:</w:t>
            </w:r>
          </w:p>
        </w:tc>
        <w:tc>
          <w:tcPr>
            <w:tcW w:w="3423" w:type="pct"/>
          </w:tcPr>
          <w:p w14:paraId="07AFDC91" w14:textId="77A11944" w:rsidR="009F2673" w:rsidRPr="00B44440" w:rsidRDefault="00A4588A" w:rsidP="009E5A87">
            <w:r w:rsidRPr="00B44440">
              <w:t>Vial</w:t>
            </w:r>
          </w:p>
        </w:tc>
      </w:tr>
      <w:tr w:rsidR="009F2673" w:rsidRPr="00B44440" w14:paraId="4C74B00A" w14:textId="77777777" w:rsidTr="00923038">
        <w:tc>
          <w:tcPr>
            <w:tcW w:w="1577" w:type="pct"/>
          </w:tcPr>
          <w:p w14:paraId="154E7D02" w14:textId="593948EF" w:rsidR="009F2673" w:rsidRPr="00B44440" w:rsidRDefault="009F2673" w:rsidP="009E5A87">
            <w:pPr>
              <w:rPr>
                <w:i/>
              </w:rPr>
            </w:pPr>
            <w:r w:rsidRPr="00B44440">
              <w:rPr>
                <w:i/>
              </w:rPr>
              <w:t>Pack size:</w:t>
            </w:r>
          </w:p>
        </w:tc>
        <w:tc>
          <w:tcPr>
            <w:tcW w:w="3423" w:type="pct"/>
          </w:tcPr>
          <w:p w14:paraId="7F1E677A" w14:textId="35D43001" w:rsidR="009F2673" w:rsidRPr="00B44440" w:rsidRDefault="00A4588A" w:rsidP="009E5A87">
            <w:r w:rsidRPr="00B44440">
              <w:t>One</w:t>
            </w:r>
            <w:r w:rsidR="009B48B1">
              <w:t xml:space="preserve"> single-use vial</w:t>
            </w:r>
          </w:p>
        </w:tc>
      </w:tr>
      <w:tr w:rsidR="009F2673" w:rsidRPr="00B44440" w14:paraId="0C347AA1" w14:textId="77777777" w:rsidTr="00923038">
        <w:tc>
          <w:tcPr>
            <w:tcW w:w="1577" w:type="pct"/>
          </w:tcPr>
          <w:p w14:paraId="3392437B" w14:textId="77777777" w:rsidR="009F2673" w:rsidRPr="00B44440" w:rsidRDefault="009F2673" w:rsidP="009E5A87">
            <w:pPr>
              <w:rPr>
                <w:i/>
              </w:rPr>
            </w:pPr>
            <w:r w:rsidRPr="00B44440">
              <w:rPr>
                <w:i/>
              </w:rPr>
              <w:t>Approved therapeutic use:</w:t>
            </w:r>
          </w:p>
        </w:tc>
        <w:tc>
          <w:tcPr>
            <w:tcW w:w="3423" w:type="pct"/>
          </w:tcPr>
          <w:p w14:paraId="53112B3D" w14:textId="77777777" w:rsidR="00E64F31" w:rsidRPr="00B44440" w:rsidRDefault="00E64F31" w:rsidP="00E64F31">
            <w:pPr>
              <w:pStyle w:val="ListBullet"/>
              <w:numPr>
                <w:ilvl w:val="0"/>
                <w:numId w:val="0"/>
              </w:numPr>
              <w:ind w:left="360" w:hanging="360"/>
              <w:rPr>
                <w:i/>
                <w:iCs/>
              </w:rPr>
            </w:pPr>
            <w:proofErr w:type="spellStart"/>
            <w:r w:rsidRPr="00B44440">
              <w:rPr>
                <w:i/>
                <w:iCs/>
              </w:rPr>
              <w:t>Byooviz</w:t>
            </w:r>
            <w:proofErr w:type="spellEnd"/>
            <w:r w:rsidRPr="00B44440">
              <w:rPr>
                <w:i/>
                <w:iCs/>
              </w:rPr>
              <w:t xml:space="preserve"> (ranibizumab) is indicated in adults for:</w:t>
            </w:r>
          </w:p>
          <w:p w14:paraId="54B499B4" w14:textId="77777777" w:rsidR="00E64F31" w:rsidRPr="00B44440" w:rsidRDefault="00E64F31" w:rsidP="00E64F31">
            <w:pPr>
              <w:pStyle w:val="ListBullet"/>
              <w:rPr>
                <w:i/>
                <w:iCs/>
              </w:rPr>
            </w:pPr>
            <w:r w:rsidRPr="00B44440">
              <w:rPr>
                <w:i/>
                <w:iCs/>
              </w:rPr>
              <w:t>the treatment of neovascular (wet) age-related macular degeneration (AMD),</w:t>
            </w:r>
          </w:p>
          <w:p w14:paraId="2F79605D" w14:textId="77777777" w:rsidR="00E64F31" w:rsidRPr="00B44440" w:rsidRDefault="00E64F31" w:rsidP="00E64F31">
            <w:pPr>
              <w:pStyle w:val="ListBullet"/>
              <w:rPr>
                <w:i/>
                <w:iCs/>
              </w:rPr>
            </w:pPr>
            <w:r w:rsidRPr="00B44440">
              <w:rPr>
                <w:i/>
                <w:iCs/>
              </w:rPr>
              <w:t>the treatment of visual impairment due to diabetic macular oedema (DME),</w:t>
            </w:r>
          </w:p>
          <w:p w14:paraId="5E729EAF" w14:textId="77777777" w:rsidR="00E64F31" w:rsidRPr="00B44440" w:rsidRDefault="00E64F31" w:rsidP="00E64F31">
            <w:pPr>
              <w:pStyle w:val="ListBullet"/>
              <w:rPr>
                <w:i/>
                <w:iCs/>
              </w:rPr>
            </w:pPr>
            <w:r w:rsidRPr="00B44440">
              <w:rPr>
                <w:i/>
                <w:iCs/>
              </w:rPr>
              <w:t>treatment of proliferative diabetic retinopathy (PDR),</w:t>
            </w:r>
          </w:p>
          <w:p w14:paraId="6E3E83AD" w14:textId="77777777" w:rsidR="00E64F31" w:rsidRPr="00B44440" w:rsidRDefault="00E64F31" w:rsidP="00E64F31">
            <w:pPr>
              <w:pStyle w:val="ListBullet"/>
              <w:rPr>
                <w:i/>
                <w:iCs/>
              </w:rPr>
            </w:pPr>
            <w:r w:rsidRPr="00B44440">
              <w:rPr>
                <w:i/>
                <w:iCs/>
              </w:rPr>
              <w:t>the treatment of visual impairment due to choroidal neovascularisation (CNV),</w:t>
            </w:r>
          </w:p>
          <w:p w14:paraId="6F4E7776" w14:textId="77777777" w:rsidR="00E64F31" w:rsidRPr="00B44440" w:rsidRDefault="00E64F31" w:rsidP="00E64F31">
            <w:pPr>
              <w:pStyle w:val="ListBullet"/>
              <w:rPr>
                <w:i/>
                <w:iCs/>
              </w:rPr>
            </w:pPr>
            <w:r w:rsidRPr="00B44440">
              <w:rPr>
                <w:i/>
                <w:iCs/>
              </w:rPr>
              <w:t>the treatment of visual impairment due to choroidal neovascularisation (CNV) secondary to pathologic myopia (PM),</w:t>
            </w:r>
          </w:p>
          <w:p w14:paraId="0D3382FA" w14:textId="52D28D73" w:rsidR="00E64F31" w:rsidRPr="00B44440" w:rsidRDefault="00E64F31" w:rsidP="00E64F31">
            <w:pPr>
              <w:pStyle w:val="ListBullet"/>
              <w:rPr>
                <w:i/>
                <w:iCs/>
              </w:rPr>
            </w:pPr>
            <w:r w:rsidRPr="00B44440">
              <w:rPr>
                <w:i/>
                <w:iCs/>
              </w:rPr>
              <w:t>the treatment of visual impairment due to macular oedema secondary to retinal vein occlusion (RVO).</w:t>
            </w:r>
          </w:p>
        </w:tc>
      </w:tr>
      <w:tr w:rsidR="009F2673" w:rsidRPr="00B44440" w14:paraId="1307ED83" w14:textId="77777777" w:rsidTr="00923038">
        <w:tc>
          <w:tcPr>
            <w:tcW w:w="1577" w:type="pct"/>
          </w:tcPr>
          <w:p w14:paraId="545122BE" w14:textId="4D2BCDC6" w:rsidR="009F2673" w:rsidRPr="00B44440" w:rsidRDefault="009F2673" w:rsidP="009E5A87">
            <w:pPr>
              <w:rPr>
                <w:i/>
              </w:rPr>
            </w:pPr>
            <w:r w:rsidRPr="00B44440">
              <w:rPr>
                <w:i/>
              </w:rPr>
              <w:t>Route of administration:</w:t>
            </w:r>
          </w:p>
        </w:tc>
        <w:tc>
          <w:tcPr>
            <w:tcW w:w="3423" w:type="pct"/>
          </w:tcPr>
          <w:p w14:paraId="47AEABF7" w14:textId="30604F5C" w:rsidR="009F2673" w:rsidRPr="00B44440" w:rsidRDefault="00923038" w:rsidP="009E5A87">
            <w:r w:rsidRPr="00B44440">
              <w:t>Intravitreal (within the vitreous cavity of the eye)</w:t>
            </w:r>
          </w:p>
        </w:tc>
      </w:tr>
      <w:tr w:rsidR="009F2673" w:rsidRPr="00B44440" w14:paraId="376F26BA" w14:textId="77777777" w:rsidTr="00923038">
        <w:tc>
          <w:tcPr>
            <w:tcW w:w="1577" w:type="pct"/>
          </w:tcPr>
          <w:p w14:paraId="322F78B5" w14:textId="77777777" w:rsidR="009F2673" w:rsidRPr="00B44440" w:rsidRDefault="009F2673" w:rsidP="009E5A87">
            <w:pPr>
              <w:rPr>
                <w:i/>
              </w:rPr>
            </w:pPr>
            <w:r w:rsidRPr="00B44440">
              <w:rPr>
                <w:i/>
              </w:rPr>
              <w:lastRenderedPageBreak/>
              <w:t>Dosage:</w:t>
            </w:r>
          </w:p>
        </w:tc>
        <w:tc>
          <w:tcPr>
            <w:tcW w:w="3423" w:type="pct"/>
          </w:tcPr>
          <w:p w14:paraId="2B9E6475" w14:textId="40B959C5" w:rsidR="00923038" w:rsidRPr="00B44440" w:rsidRDefault="00923038" w:rsidP="00923038">
            <w:r w:rsidRPr="00B44440">
              <w:t>Single-use vial for intravitreal use only. Use of more than one injection from a vial can lead to product contamination and subsequent ocular infection.</w:t>
            </w:r>
          </w:p>
          <w:p w14:paraId="3FFA8102" w14:textId="5027CA5C" w:rsidR="00923038" w:rsidRPr="00B44440" w:rsidRDefault="00923038" w:rsidP="00923038">
            <w:proofErr w:type="spellStart"/>
            <w:r w:rsidRPr="00B44440">
              <w:t>Byooviz</w:t>
            </w:r>
            <w:proofErr w:type="spellEnd"/>
            <w:r w:rsidRPr="00B44440">
              <w:t xml:space="preserve"> must be administered by a qualified ophthalmologist experienced in intravitreal injections.</w:t>
            </w:r>
          </w:p>
          <w:p w14:paraId="31AD8758" w14:textId="708EFEE6" w:rsidR="00923038" w:rsidRPr="00B44440" w:rsidRDefault="00923038" w:rsidP="00923038">
            <w:r w:rsidRPr="00B44440">
              <w:t xml:space="preserve">The recommended dose for </w:t>
            </w:r>
            <w:proofErr w:type="spellStart"/>
            <w:r w:rsidRPr="00B44440">
              <w:t>Byooviz</w:t>
            </w:r>
            <w:proofErr w:type="spellEnd"/>
            <w:r w:rsidRPr="00B44440">
              <w:t xml:space="preserve"> is 0.5</w:t>
            </w:r>
            <w:r w:rsidR="00962117" w:rsidRPr="00B44440">
              <w:t> </w:t>
            </w:r>
            <w:r w:rsidRPr="00B44440">
              <w:t xml:space="preserve">mg given as a single intravitreal injection. This corresponds to an injection volume of 0.05 </w:t>
            </w:r>
            <w:proofErr w:type="spellStart"/>
            <w:r w:rsidRPr="00B44440">
              <w:t>mL.</w:t>
            </w:r>
            <w:proofErr w:type="spellEnd"/>
            <w:r w:rsidRPr="00B44440">
              <w:t xml:space="preserve"> The interval between two doses injected into the same eye should be at least four weeks.</w:t>
            </w:r>
          </w:p>
          <w:p w14:paraId="25151EBF" w14:textId="0E0D3C62" w:rsidR="00923038" w:rsidRPr="00B44440" w:rsidRDefault="00923038" w:rsidP="009E5A87">
            <w:r w:rsidRPr="00B44440">
              <w:t>The recommended maximal dose (0.5 mg) should not be exceeded. Post-injection monitoring is recommended (see</w:t>
            </w:r>
            <w:r w:rsidR="009B48B1">
              <w:t> </w:t>
            </w:r>
            <w:r w:rsidRPr="00B44440">
              <w:t xml:space="preserve">Section 4.4 </w:t>
            </w:r>
            <w:r w:rsidR="00962117" w:rsidRPr="00B44440">
              <w:t>Special Warnings and Precautions for Use of the Product Information</w:t>
            </w:r>
            <w:r w:rsidRPr="00B44440">
              <w:t>).</w:t>
            </w:r>
          </w:p>
          <w:p w14:paraId="601241B2" w14:textId="77777777" w:rsidR="009F2673" w:rsidRPr="00B44440" w:rsidRDefault="009F2673" w:rsidP="009E5A87">
            <w:r w:rsidRPr="00B44440">
              <w:t>For further information regarding dosage, refer to the Product Information.</w:t>
            </w:r>
          </w:p>
        </w:tc>
      </w:tr>
      <w:tr w:rsidR="009F2673" w:rsidRPr="00B44440" w14:paraId="3A7701A0" w14:textId="77777777" w:rsidTr="00923038">
        <w:tc>
          <w:tcPr>
            <w:tcW w:w="1577" w:type="pct"/>
          </w:tcPr>
          <w:p w14:paraId="3E2D77F9" w14:textId="77777777" w:rsidR="009F2673" w:rsidRPr="00B44440" w:rsidRDefault="009F2673" w:rsidP="009E5A87">
            <w:pPr>
              <w:rPr>
                <w:i/>
              </w:rPr>
            </w:pPr>
            <w:r w:rsidRPr="00B44440">
              <w:rPr>
                <w:i/>
              </w:rPr>
              <w:t>Pregnancy category:</w:t>
            </w:r>
          </w:p>
        </w:tc>
        <w:tc>
          <w:tcPr>
            <w:tcW w:w="3423" w:type="pct"/>
          </w:tcPr>
          <w:p w14:paraId="0AC540FC" w14:textId="5621EE88" w:rsidR="00A4588A" w:rsidRPr="00B44440" w:rsidRDefault="00A4588A" w:rsidP="00A4588A">
            <w:r w:rsidRPr="00B44440">
              <w:t>D</w:t>
            </w:r>
          </w:p>
          <w:p w14:paraId="500C68C3" w14:textId="3AD3F053" w:rsidR="00A4588A" w:rsidRPr="00B44440" w:rsidRDefault="00A4588A" w:rsidP="00A4588A">
            <w:r w:rsidRPr="00B44440">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3B4E0087" w14:textId="3CD224C0" w:rsidR="009F2673" w:rsidRPr="00B44440" w:rsidRDefault="009F2673" w:rsidP="009E5A87">
            <w:r w:rsidRPr="00B44440">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2863504" w14:textId="77777777" w:rsidR="008E7846" w:rsidRPr="00B44440" w:rsidRDefault="008E7846" w:rsidP="008E7846">
      <w:pPr>
        <w:pStyle w:val="Heading3"/>
      </w:pPr>
      <w:bookmarkStart w:id="9" w:name="_Toc247691503"/>
      <w:bookmarkStart w:id="10" w:name="_Toc314842484"/>
      <w:bookmarkStart w:id="11" w:name="_Toc133421035"/>
      <w:r w:rsidRPr="00B44440">
        <w:t>Product background</w:t>
      </w:r>
      <w:bookmarkEnd w:id="9"/>
      <w:bookmarkEnd w:id="10"/>
      <w:bookmarkEnd w:id="11"/>
    </w:p>
    <w:p w14:paraId="71AC7E6A" w14:textId="19F5DDE2" w:rsidR="009F2673" w:rsidRPr="00B44440" w:rsidRDefault="009F2673" w:rsidP="009F2673">
      <w:r w:rsidRPr="00B44440">
        <w:t xml:space="preserve">This AusPAR describes the </w:t>
      </w:r>
      <w:r w:rsidR="001E359E" w:rsidRPr="00B44440">
        <w:t>submission</w:t>
      </w:r>
      <w:r w:rsidRPr="00B44440">
        <w:t xml:space="preserve"> by </w:t>
      </w:r>
      <w:r w:rsidR="00AE7664" w:rsidRPr="00B44440">
        <w:t>Samsung Bioepis AU P</w:t>
      </w:r>
      <w:r w:rsidR="00962117" w:rsidRPr="00B44440">
        <w:t>ty</w:t>
      </w:r>
      <w:r w:rsidR="00AE7664" w:rsidRPr="00B44440">
        <w:t xml:space="preserve"> </w:t>
      </w:r>
      <w:r w:rsidR="00962117" w:rsidRPr="00B44440">
        <w:t xml:space="preserve">ltd </w:t>
      </w:r>
      <w:r w:rsidRPr="00B44440">
        <w:t xml:space="preserve">(the sponsor) to register </w:t>
      </w:r>
      <w:proofErr w:type="spellStart"/>
      <w:r w:rsidR="00E64F31" w:rsidRPr="00B44440">
        <w:t>Byooviz</w:t>
      </w:r>
      <w:proofErr w:type="spellEnd"/>
      <w:r w:rsidRPr="00B44440">
        <w:t xml:space="preserve"> (</w:t>
      </w:r>
      <w:r w:rsidR="00B0257C" w:rsidRPr="00B44440">
        <w:t>ranibizumab</w:t>
      </w:r>
      <w:r w:rsidRPr="00B44440">
        <w:t xml:space="preserve">) </w:t>
      </w:r>
      <w:r w:rsidR="00AE7664" w:rsidRPr="00B44440">
        <w:t>10 mg/mL</w:t>
      </w:r>
      <w:r w:rsidRPr="00B44440">
        <w:t xml:space="preserve">, </w:t>
      </w:r>
      <w:r w:rsidR="00AE7664" w:rsidRPr="00B44440">
        <w:t>solution for injection, vial</w:t>
      </w:r>
      <w:r w:rsidRPr="00B44440">
        <w:t xml:space="preserve"> for the following proposed indication:</w:t>
      </w:r>
    </w:p>
    <w:p w14:paraId="18430F0B" w14:textId="77777777" w:rsidR="00325824" w:rsidRPr="00B44440" w:rsidRDefault="00325824" w:rsidP="000A5A6A">
      <w:pPr>
        <w:ind w:left="360"/>
        <w:rPr>
          <w:i/>
          <w:iCs/>
        </w:rPr>
      </w:pPr>
      <w:proofErr w:type="spellStart"/>
      <w:r w:rsidRPr="00B44440">
        <w:rPr>
          <w:i/>
          <w:iCs/>
        </w:rPr>
        <w:t>Byooviz</w:t>
      </w:r>
      <w:proofErr w:type="spellEnd"/>
      <w:r w:rsidRPr="00B44440">
        <w:rPr>
          <w:i/>
          <w:iCs/>
        </w:rPr>
        <w:t xml:space="preserve"> (ranibizumab) is indicated in adults for:</w:t>
      </w:r>
    </w:p>
    <w:p w14:paraId="5FA4DAA2" w14:textId="77777777" w:rsidR="00325824" w:rsidRPr="00B44440" w:rsidRDefault="00325824" w:rsidP="000A5A6A">
      <w:pPr>
        <w:pStyle w:val="ListBullet"/>
        <w:ind w:left="720"/>
        <w:rPr>
          <w:i/>
          <w:iCs/>
        </w:rPr>
      </w:pPr>
      <w:r w:rsidRPr="00B44440">
        <w:rPr>
          <w:i/>
          <w:iCs/>
        </w:rPr>
        <w:t>the treatment of neovascular (wet) age-related macular degeneration (AMD),</w:t>
      </w:r>
    </w:p>
    <w:p w14:paraId="5264572F" w14:textId="77777777" w:rsidR="00325824" w:rsidRPr="00B44440" w:rsidRDefault="00325824" w:rsidP="000A5A6A">
      <w:pPr>
        <w:pStyle w:val="ListBullet"/>
        <w:ind w:left="720"/>
        <w:rPr>
          <w:i/>
          <w:iCs/>
        </w:rPr>
      </w:pPr>
      <w:r w:rsidRPr="00B44440">
        <w:rPr>
          <w:i/>
          <w:iCs/>
        </w:rPr>
        <w:t>the treatment of visual impairment due to diabetic macular oedema (DME),</w:t>
      </w:r>
    </w:p>
    <w:p w14:paraId="6E719A36" w14:textId="77777777" w:rsidR="00325824" w:rsidRPr="00B44440" w:rsidRDefault="00325824" w:rsidP="000A5A6A">
      <w:pPr>
        <w:pStyle w:val="ListBullet"/>
        <w:ind w:left="720"/>
        <w:rPr>
          <w:i/>
          <w:iCs/>
        </w:rPr>
      </w:pPr>
      <w:r w:rsidRPr="00B44440">
        <w:rPr>
          <w:i/>
          <w:iCs/>
        </w:rPr>
        <w:t>treatment of proliferative diabetic retinopathy (PDR),</w:t>
      </w:r>
    </w:p>
    <w:p w14:paraId="1735F84A" w14:textId="77777777" w:rsidR="00325824" w:rsidRPr="00B44440" w:rsidRDefault="00325824" w:rsidP="000A5A6A">
      <w:pPr>
        <w:pStyle w:val="ListBullet"/>
        <w:ind w:left="720"/>
        <w:rPr>
          <w:i/>
          <w:iCs/>
        </w:rPr>
      </w:pPr>
      <w:r w:rsidRPr="00B44440">
        <w:rPr>
          <w:i/>
          <w:iCs/>
        </w:rPr>
        <w:t>the treatment of visual impairment due to choroidal neovascularisation (CNV),</w:t>
      </w:r>
    </w:p>
    <w:p w14:paraId="0C82ED4D" w14:textId="77777777" w:rsidR="00325824" w:rsidRPr="00B44440" w:rsidRDefault="00325824" w:rsidP="000A5A6A">
      <w:pPr>
        <w:pStyle w:val="ListBullet"/>
        <w:ind w:left="720"/>
        <w:rPr>
          <w:i/>
          <w:iCs/>
        </w:rPr>
      </w:pPr>
      <w:r w:rsidRPr="00B44440">
        <w:rPr>
          <w:i/>
          <w:iCs/>
        </w:rPr>
        <w:t>the treatment of visual impairment due to choroidal neovascularisation (CNV) secondary to pathologic myopia (PM),</w:t>
      </w:r>
    </w:p>
    <w:p w14:paraId="15D66237" w14:textId="4AAC76FA" w:rsidR="00325824" w:rsidRPr="00B44440" w:rsidRDefault="00325824" w:rsidP="000A5A6A">
      <w:pPr>
        <w:pStyle w:val="ListBullet"/>
        <w:ind w:left="720"/>
        <w:rPr>
          <w:i/>
          <w:iCs/>
        </w:rPr>
      </w:pPr>
      <w:r w:rsidRPr="00B44440">
        <w:rPr>
          <w:i/>
          <w:iCs/>
        </w:rPr>
        <w:t>the treatment of visual impairment due to macular oedema secondary to retinal vein occlusion (RVO).</w:t>
      </w:r>
    </w:p>
    <w:p w14:paraId="72150816" w14:textId="682F85BE" w:rsidR="00F815BB" w:rsidRDefault="00242789" w:rsidP="00274434">
      <w:bookmarkStart w:id="12" w:name="_Toc314842485"/>
      <w:bookmarkStart w:id="13" w:name="_Toc247691504"/>
      <w:r w:rsidRPr="00242789">
        <w:lastRenderedPageBreak/>
        <w:t xml:space="preserve">Angiogenesis is the process </w:t>
      </w:r>
      <w:r w:rsidR="00BC1D2A">
        <w:t>of formation and maintenance of</w:t>
      </w:r>
      <w:r w:rsidRPr="00242789">
        <w:t xml:space="preserve"> new blood</w:t>
      </w:r>
      <w:r w:rsidR="00BC1D2A">
        <w:t xml:space="preserve"> vessels </w:t>
      </w:r>
      <w:r w:rsidR="00344E52">
        <w:t>f</w:t>
      </w:r>
      <w:r w:rsidRPr="00242789">
        <w:t>o</w:t>
      </w:r>
      <w:r w:rsidR="00344E52">
        <w:t>r</w:t>
      </w:r>
      <w:r w:rsidRPr="00242789">
        <w:t>m</w:t>
      </w:r>
      <w:r w:rsidR="00344E52">
        <w:t>ed</w:t>
      </w:r>
      <w:r w:rsidRPr="00242789">
        <w:t xml:space="preserve"> </w:t>
      </w:r>
      <w:r w:rsidR="00344E52">
        <w:t xml:space="preserve">from </w:t>
      </w:r>
      <w:r w:rsidRPr="00242789">
        <w:t>pre</w:t>
      </w:r>
      <w:r w:rsidR="00344E52">
        <w:t>-</w:t>
      </w:r>
      <w:r w:rsidRPr="00242789">
        <w:t>existing</w:t>
      </w:r>
      <w:r w:rsidR="00344E52">
        <w:t xml:space="preserve"> blood</w:t>
      </w:r>
      <w:r w:rsidRPr="00242789">
        <w:t xml:space="preserve"> vessels</w:t>
      </w:r>
      <w:r w:rsidR="00344E52">
        <w:t xml:space="preserve"> </w:t>
      </w:r>
      <w:r w:rsidR="00774862">
        <w:t xml:space="preserve">through the </w:t>
      </w:r>
      <w:r w:rsidR="00774862" w:rsidRPr="00774862">
        <w:t>migration, growth, and differentiation of endothelial cells</w:t>
      </w:r>
      <w:r w:rsidR="00774862">
        <w:t xml:space="preserve"> lining blood vessel walls</w:t>
      </w:r>
      <w:r w:rsidR="00774862" w:rsidRPr="00774862">
        <w:t>.</w:t>
      </w:r>
      <w:r w:rsidR="00774862">
        <w:t xml:space="preserve"> </w:t>
      </w:r>
      <w:r w:rsidR="00F815BB">
        <w:t xml:space="preserve">Physiologically, angiogenesis plays a normal and essential role in tissue repair processes such as </w:t>
      </w:r>
      <w:r w:rsidR="00F815BB" w:rsidRPr="00F815BB">
        <w:t xml:space="preserve">such as </w:t>
      </w:r>
      <w:r w:rsidR="00BC1D2A">
        <w:t xml:space="preserve">embryonic </w:t>
      </w:r>
      <w:r w:rsidR="00774862">
        <w:t>growth an</w:t>
      </w:r>
      <w:r w:rsidR="00BC1D2A">
        <w:t>d</w:t>
      </w:r>
      <w:r w:rsidR="00774862">
        <w:t xml:space="preserve"> development, </w:t>
      </w:r>
      <w:r w:rsidR="00F815BB" w:rsidRPr="00F815BB">
        <w:t>wound healing, post-ischaemic tissue restoration, and the endometrial changes of the menstrual cycle</w:t>
      </w:r>
      <w:r w:rsidR="00F815BB">
        <w:t>.</w:t>
      </w:r>
      <w:r w:rsidR="00F815BB">
        <w:rPr>
          <w:rStyle w:val="FootnoteReference"/>
        </w:rPr>
        <w:footnoteReference w:id="2"/>
      </w:r>
      <w:r w:rsidR="00774862">
        <w:rPr>
          <w:vertAlign w:val="superscript"/>
        </w:rPr>
        <w:t>,</w:t>
      </w:r>
      <w:r w:rsidR="00774862">
        <w:rPr>
          <w:rStyle w:val="FootnoteReference"/>
        </w:rPr>
        <w:footnoteReference w:id="3"/>
      </w:r>
      <w:r w:rsidR="00774862">
        <w:rPr>
          <w:vertAlign w:val="superscript"/>
        </w:rPr>
        <w:t xml:space="preserve"> </w:t>
      </w:r>
      <w:r w:rsidR="00774862">
        <w:t>Pathologically however, angiogenesis is implicated in</w:t>
      </w:r>
      <w:r w:rsidR="00736B48">
        <w:t xml:space="preserve"> a range of diseases including some cancers, rheumatoid arthritis, psoriasis, systemic lupus erythematosus and proliferative retinopathy.</w:t>
      </w:r>
      <w:r w:rsidR="00736B48">
        <w:rPr>
          <w:rStyle w:val="FootnoteReference"/>
        </w:rPr>
        <w:footnoteReference w:id="4"/>
      </w:r>
    </w:p>
    <w:p w14:paraId="2830D038" w14:textId="087C4E94" w:rsidR="00E075F6" w:rsidRPr="00B44440" w:rsidRDefault="00FA05AE" w:rsidP="00274434">
      <w:r w:rsidRPr="00B44440">
        <w:t>Vascular endothelial growth factor A (VEGF-A) is a dimeric glycoprotein</w:t>
      </w:r>
      <w:r w:rsidR="009B48B1">
        <w:t xml:space="preserve"> and in humans, is encoded for by the </w:t>
      </w:r>
      <w:r w:rsidR="009B48B1" w:rsidRPr="00646F45">
        <w:rPr>
          <w:i/>
        </w:rPr>
        <w:t>VEGFA</w:t>
      </w:r>
      <w:r w:rsidR="009B48B1">
        <w:t xml:space="preserve"> gene.</w:t>
      </w:r>
      <w:r w:rsidR="00C12685">
        <w:t xml:space="preserve"> </w:t>
      </w:r>
      <w:r w:rsidR="00C12685" w:rsidRPr="00C12685">
        <w:t>VEGF-A and its receptors VEGFR-1 and VEGFR-2 play major roles in physiological as well as pathological angiogenesis</w:t>
      </w:r>
      <w:r w:rsidR="00C12685">
        <w:t>.</w:t>
      </w:r>
      <w:r w:rsidR="00C12685">
        <w:rPr>
          <w:rStyle w:val="FootnoteReference"/>
        </w:rPr>
        <w:footnoteReference w:id="5"/>
      </w:r>
      <w:r w:rsidR="00C12685">
        <w:t xml:space="preserve"> </w:t>
      </w:r>
      <w:r w:rsidR="00E075F6" w:rsidRPr="00B44440">
        <w:t>Binding of VEGF-A to its receptors leads to endothelial cell proliferation and neovascularisation, as well as vascular leakage</w:t>
      </w:r>
      <w:r w:rsidR="008D1512">
        <w:t>;</w:t>
      </w:r>
      <w:bookmarkStart w:id="14" w:name="_Ref130991163"/>
      <w:r w:rsidR="008D1512">
        <w:rPr>
          <w:rStyle w:val="FootnoteReference"/>
        </w:rPr>
        <w:footnoteReference w:id="6"/>
      </w:r>
      <w:bookmarkEnd w:id="14"/>
      <w:r w:rsidR="00E075F6" w:rsidRPr="00B44440">
        <w:t xml:space="preserve"> all of which are thought to contribute to the progression of the neovascular form of age-related macular degeneration</w:t>
      </w:r>
      <w:r w:rsidR="006811E3" w:rsidRPr="00B44440">
        <w:t xml:space="preserve"> (AMD)</w:t>
      </w:r>
      <w:r w:rsidR="008D1512">
        <w:t>;</w:t>
      </w:r>
      <w:r w:rsidR="0056252B" w:rsidRPr="00AF7B6B">
        <w:rPr>
          <w:rStyle w:val="FootnoteReference"/>
        </w:rPr>
        <w:footnoteReference w:id="7"/>
      </w:r>
      <w:r w:rsidR="008D1512">
        <w:t xml:space="preserve"> </w:t>
      </w:r>
      <w:r w:rsidR="00E075F6" w:rsidRPr="00B44440">
        <w:t xml:space="preserve">the development of choroidal neovascularisation, including </w:t>
      </w:r>
      <w:r w:rsidR="00274434" w:rsidRPr="00B44440">
        <w:t>choroidal neovascularisation</w:t>
      </w:r>
      <w:r w:rsidR="00E075F6" w:rsidRPr="00B44440">
        <w:t xml:space="preserve"> secondary to pathologic myopia</w:t>
      </w:r>
      <w:r w:rsidR="008D1512">
        <w:t>;</w:t>
      </w:r>
      <w:r w:rsidR="0056252B" w:rsidRPr="00EB230E">
        <w:rPr>
          <w:vertAlign w:val="superscript"/>
        </w:rPr>
        <w:fldChar w:fldCharType="begin"/>
      </w:r>
      <w:r w:rsidR="0056252B" w:rsidRPr="00EB230E">
        <w:rPr>
          <w:vertAlign w:val="superscript"/>
        </w:rPr>
        <w:instrText xml:space="preserve"> NOTEREF _Ref130991163 \h </w:instrText>
      </w:r>
      <w:r w:rsidR="0056252B">
        <w:rPr>
          <w:vertAlign w:val="superscript"/>
        </w:rPr>
        <w:instrText xml:space="preserve"> \* MERGEFORMAT </w:instrText>
      </w:r>
      <w:r w:rsidR="0056252B" w:rsidRPr="00EB230E">
        <w:rPr>
          <w:vertAlign w:val="superscript"/>
        </w:rPr>
      </w:r>
      <w:r w:rsidR="0056252B" w:rsidRPr="00EB230E">
        <w:rPr>
          <w:vertAlign w:val="superscript"/>
        </w:rPr>
        <w:fldChar w:fldCharType="separate"/>
      </w:r>
      <w:r w:rsidR="00792989">
        <w:rPr>
          <w:vertAlign w:val="superscript"/>
        </w:rPr>
        <w:t>5</w:t>
      </w:r>
      <w:r w:rsidR="0056252B" w:rsidRPr="00EB230E">
        <w:rPr>
          <w:vertAlign w:val="superscript"/>
        </w:rPr>
        <w:fldChar w:fldCharType="end"/>
      </w:r>
      <w:r w:rsidR="00E075F6" w:rsidRPr="00B44440">
        <w:t xml:space="preserve"> and to macular oedema causing visual impairment in diabetes and retinal vein occlusion.</w:t>
      </w:r>
      <w:r w:rsidR="0056252B" w:rsidRPr="00AF7B6B">
        <w:rPr>
          <w:rStyle w:val="FootnoteReference"/>
        </w:rPr>
        <w:footnoteReference w:id="8"/>
      </w:r>
      <w:r w:rsidR="0056252B" w:rsidRPr="002F7D4D">
        <w:rPr>
          <w:vertAlign w:val="superscript"/>
        </w:rPr>
        <w:t>,</w:t>
      </w:r>
      <w:r w:rsidR="008D1512" w:rsidRPr="00AF7B6B">
        <w:rPr>
          <w:rStyle w:val="FootnoteReference"/>
        </w:rPr>
        <w:footnoteReference w:id="9"/>
      </w:r>
    </w:p>
    <w:p w14:paraId="5293ABB1" w14:textId="01630D18" w:rsidR="00AE7664" w:rsidRPr="00B44440" w:rsidRDefault="00AE7664" w:rsidP="00274434">
      <w:r w:rsidRPr="00B44440">
        <w:t>Ranibizumab is a recombinant humanised monoclonal antibody fragment targeted against human VEGF-A. It binds with high affinity to VEGF</w:t>
      </w:r>
      <w:r w:rsidR="00E075F6" w:rsidRPr="00B44440">
        <w:noBreakHyphen/>
      </w:r>
      <w:r w:rsidRPr="00B44440">
        <w:t xml:space="preserve">A, thereby inhibiting the binding of VEGF-A to </w:t>
      </w:r>
      <w:r w:rsidR="00BE3F9B" w:rsidRPr="00B44440">
        <w:t>VEGF receptors 1 and 2</w:t>
      </w:r>
      <w:r w:rsidRPr="00B44440">
        <w:t>.</w:t>
      </w:r>
      <w:r w:rsidR="0056252B">
        <w:rPr>
          <w:rStyle w:val="FootnoteReference"/>
        </w:rPr>
        <w:footnoteReference w:id="10"/>
      </w:r>
    </w:p>
    <w:p w14:paraId="18BEF9C3" w14:textId="463080FE" w:rsidR="00FA05AE" w:rsidRPr="00B44440" w:rsidRDefault="00FA05AE" w:rsidP="00274434">
      <w:r w:rsidRPr="00B44440">
        <w:t xml:space="preserve">Lucentis </w:t>
      </w:r>
      <w:r w:rsidR="00834E26" w:rsidRPr="00B44440">
        <w:t>(ranibizumab) is</w:t>
      </w:r>
      <w:r w:rsidRPr="00B44440">
        <w:t xml:space="preserve"> </w:t>
      </w:r>
      <w:r w:rsidR="00834E26" w:rsidRPr="00B44440">
        <w:t xml:space="preserve">approved for use in neovascular (wet) AMD, diabetic macular oedema, proliferative diabetic retinopathy, </w:t>
      </w:r>
      <w:r w:rsidR="005A75DB" w:rsidRPr="00B44440">
        <w:t>retinal vein occlusion</w:t>
      </w:r>
      <w:r w:rsidR="00834E26" w:rsidRPr="00B44440">
        <w:t xml:space="preserve">, and </w:t>
      </w:r>
      <w:r w:rsidR="00274434" w:rsidRPr="00B44440">
        <w:t>choroidal neovascularisation</w:t>
      </w:r>
      <w:r w:rsidR="00834E26" w:rsidRPr="00B44440">
        <w:t xml:space="preserve"> for adults, and retinopathy of prematurity for preterm infants. It has been </w:t>
      </w:r>
      <w:r w:rsidRPr="00B44440">
        <w:t>widely used in clinical practice since its approval, with a well-characteri</w:t>
      </w:r>
      <w:r w:rsidR="00834E26" w:rsidRPr="00B44440">
        <w:t>s</w:t>
      </w:r>
      <w:r w:rsidRPr="00B44440">
        <w:t xml:space="preserve">ed pharmacological, efficacy, and safety profile. </w:t>
      </w:r>
      <w:r w:rsidR="00274434" w:rsidRPr="00B44440">
        <w:t xml:space="preserve">Lucentis was first registered in Australia on </w:t>
      </w:r>
      <w:r w:rsidR="006F18EF" w:rsidRPr="006F18EF">
        <w:t xml:space="preserve">10 November 2008 </w:t>
      </w:r>
      <w:r w:rsidR="00274434" w:rsidRPr="00B44440">
        <w:t xml:space="preserve">for the treatment of neovascular (wet) AMD, with subsequent </w:t>
      </w:r>
      <w:r w:rsidR="00D77FF0">
        <w:t xml:space="preserve">submissions being approved </w:t>
      </w:r>
      <w:r w:rsidR="00274434" w:rsidRPr="00B44440">
        <w:t>to extend the indications</w:t>
      </w:r>
      <w:r w:rsidR="00D77FF0">
        <w:t xml:space="preserve"> over time</w:t>
      </w:r>
      <w:r w:rsidR="00274434" w:rsidRPr="00B44440">
        <w:t>.</w:t>
      </w:r>
    </w:p>
    <w:p w14:paraId="6AD7201B" w14:textId="2C954517" w:rsidR="00834E26" w:rsidRPr="00B44440" w:rsidRDefault="00834E26" w:rsidP="00274434">
      <w:proofErr w:type="spellStart"/>
      <w:r w:rsidRPr="00B44440">
        <w:t>Byooviz</w:t>
      </w:r>
      <w:proofErr w:type="spellEnd"/>
      <w:r w:rsidRPr="00B44440">
        <w:t xml:space="preserve"> (ranibizumab) is </w:t>
      </w:r>
      <w:r w:rsidR="00274434" w:rsidRPr="00B44440">
        <w:t>the</w:t>
      </w:r>
      <w:r w:rsidRPr="00B44440">
        <w:t xml:space="preserve"> </w:t>
      </w:r>
      <w:r w:rsidR="00274434" w:rsidRPr="00B44440">
        <w:t xml:space="preserve">first application to register </w:t>
      </w:r>
      <w:r w:rsidR="00D77FF0">
        <w:t xml:space="preserve">ranibizumab as a </w:t>
      </w:r>
      <w:r w:rsidR="00274434" w:rsidRPr="00B44440">
        <w:t xml:space="preserve">biosimilar </w:t>
      </w:r>
      <w:r w:rsidRPr="00B44440">
        <w:t>medicine</w:t>
      </w:r>
      <w:r w:rsidR="00D77FF0">
        <w:t>;</w:t>
      </w:r>
      <w:bookmarkStart w:id="15" w:name="_Ref130992890"/>
      <w:r w:rsidR="004A3F96">
        <w:rPr>
          <w:rStyle w:val="FootnoteReference"/>
        </w:rPr>
        <w:footnoteReference w:id="11"/>
      </w:r>
      <w:bookmarkEnd w:id="15"/>
      <w:r w:rsidR="00D77FF0">
        <w:t xml:space="preserve"> that is, it is the first submission</w:t>
      </w:r>
      <w:r w:rsidR="004A3F96">
        <w:t xml:space="preserve"> in Australia</w:t>
      </w:r>
      <w:r w:rsidR="00D77FF0">
        <w:t xml:space="preserve"> to approve a</w:t>
      </w:r>
      <w:r w:rsidR="004A3F96">
        <w:t xml:space="preserve"> different</w:t>
      </w:r>
      <w:r w:rsidR="00D77FF0">
        <w:t xml:space="preserve"> version of ranibizumab </w:t>
      </w:r>
      <w:r w:rsidR="004A3F96">
        <w:t xml:space="preserve">other than </w:t>
      </w:r>
      <w:r w:rsidRPr="00B44440">
        <w:t>Lucentis (ranibizumab)</w:t>
      </w:r>
      <w:r w:rsidR="004A3F96">
        <w:t>, therefore making Lucentis the reference medicine</w:t>
      </w:r>
      <w:r w:rsidR="00D962E0">
        <w:t>;</w:t>
      </w:r>
      <w:r w:rsidR="004A3F96">
        <w:t xml:space="preserve"> to which the new version or biosimilar version (</w:t>
      </w:r>
      <w:proofErr w:type="spellStart"/>
      <w:r w:rsidR="004A3F96">
        <w:t>Byooviz</w:t>
      </w:r>
      <w:proofErr w:type="spellEnd"/>
      <w:r w:rsidR="004A3F96">
        <w:t xml:space="preserve"> (ranibizumab) is being </w:t>
      </w:r>
      <w:r w:rsidR="004A3F96">
        <w:lastRenderedPageBreak/>
        <w:t>compared</w:t>
      </w:r>
      <w:r w:rsidRPr="00B44440">
        <w:t>.</w:t>
      </w:r>
      <w:r w:rsidR="00DF2E30" w:rsidRPr="00B44440">
        <w:t xml:space="preserve"> </w:t>
      </w:r>
      <w:r w:rsidRPr="00B44440">
        <w:t>The sponsor claim</w:t>
      </w:r>
      <w:r w:rsidR="00DF2E30" w:rsidRPr="00B44440">
        <w:t>ed</w:t>
      </w:r>
      <w:r w:rsidRPr="00B44440">
        <w:t xml:space="preserve"> the same therapeutic indications for the proposed biosimilar </w:t>
      </w:r>
      <w:proofErr w:type="spellStart"/>
      <w:r w:rsidRPr="00B44440">
        <w:t>Byooviz</w:t>
      </w:r>
      <w:proofErr w:type="spellEnd"/>
      <w:r w:rsidRPr="00B44440">
        <w:t xml:space="preserve"> as granted for Lucentis in the </w:t>
      </w:r>
      <w:r w:rsidR="002352D9" w:rsidRPr="00B44440">
        <w:t>European Union</w:t>
      </w:r>
      <w:r w:rsidRPr="00B44440">
        <w:t xml:space="preserve"> except for </w:t>
      </w:r>
      <w:r w:rsidR="002352D9" w:rsidRPr="00B44440">
        <w:t xml:space="preserve">retinopathy of prematurity </w:t>
      </w:r>
      <w:r w:rsidRPr="00B44440">
        <w:t xml:space="preserve">as it requires low volume high accuracy syringe which the </w:t>
      </w:r>
      <w:r w:rsidR="00DF2E30" w:rsidRPr="00B44440">
        <w:t>sponsor</w:t>
      </w:r>
      <w:r w:rsidRPr="00B44440">
        <w:t xml:space="preserve"> has not developed yet.</w:t>
      </w:r>
    </w:p>
    <w:p w14:paraId="0195D389" w14:textId="5182AC11" w:rsidR="009F2673" w:rsidRPr="00B44440" w:rsidRDefault="009F2673" w:rsidP="00274434">
      <w:r w:rsidRPr="00B44440">
        <w:t xml:space="preserve">This </w:t>
      </w:r>
      <w:r w:rsidR="00BB0B78" w:rsidRPr="00B44440">
        <w:t>submission</w:t>
      </w:r>
      <w:r w:rsidRPr="00B44440">
        <w:t xml:space="preserve"> was submitted through the TGA’s </w:t>
      </w:r>
      <w:hyperlink r:id="rId18" w:history="1">
        <w:r w:rsidRPr="00B44440">
          <w:rPr>
            <w:rStyle w:val="Hyperlink"/>
          </w:rPr>
          <w:t>Comparable Overseas Regulator</w:t>
        </w:r>
      </w:hyperlink>
      <w:r w:rsidRPr="00B44440">
        <w:t xml:space="preserve"> B (COR-B) process, using evaluation reports from </w:t>
      </w:r>
      <w:r w:rsidR="00AE7664" w:rsidRPr="00B44440">
        <w:t>European Medicines Agency (EMA)</w:t>
      </w:r>
      <w:r w:rsidRPr="00B44440">
        <w:t>. The full dossier was submitted to the TGA.</w:t>
      </w:r>
    </w:p>
    <w:p w14:paraId="6BE0DAC0" w14:textId="77777777" w:rsidR="008E7846" w:rsidRPr="00B44440" w:rsidRDefault="00386150" w:rsidP="008E7846">
      <w:pPr>
        <w:pStyle w:val="Heading3"/>
      </w:pPr>
      <w:bookmarkStart w:id="16" w:name="_Toc133421036"/>
      <w:r w:rsidRPr="00B44440">
        <w:t>Regulatory s</w:t>
      </w:r>
      <w:r w:rsidR="008E7846" w:rsidRPr="00B44440">
        <w:t>tatus</w:t>
      </w:r>
      <w:bookmarkEnd w:id="12"/>
      <w:bookmarkEnd w:id="13"/>
      <w:bookmarkEnd w:id="16"/>
    </w:p>
    <w:p w14:paraId="2C34E97E" w14:textId="461A8E67" w:rsidR="00332715" w:rsidRPr="00B44440" w:rsidRDefault="00332715" w:rsidP="00332715">
      <w:bookmarkStart w:id="17" w:name="_Toc247691505"/>
      <w:bookmarkStart w:id="18" w:name="_Toc314842486"/>
      <w:r w:rsidRPr="00B44440">
        <w:t>This product is considered a biosimilar medicine for Australian regulatory purposes.</w:t>
      </w:r>
      <w:r w:rsidR="004A3F96" w:rsidRPr="006F18EF">
        <w:rPr>
          <w:vertAlign w:val="superscript"/>
        </w:rPr>
        <w:fldChar w:fldCharType="begin"/>
      </w:r>
      <w:r w:rsidR="004A3F96" w:rsidRPr="006F18EF">
        <w:rPr>
          <w:vertAlign w:val="superscript"/>
        </w:rPr>
        <w:instrText xml:space="preserve"> NOTEREF _Ref130992890 \h </w:instrText>
      </w:r>
      <w:r w:rsidR="004A3F96">
        <w:rPr>
          <w:vertAlign w:val="superscript"/>
        </w:rPr>
        <w:instrText xml:space="preserve"> \* MERGEFORMAT </w:instrText>
      </w:r>
      <w:r w:rsidR="004A3F96" w:rsidRPr="006F18EF">
        <w:rPr>
          <w:vertAlign w:val="superscript"/>
        </w:rPr>
      </w:r>
      <w:r w:rsidR="004A3F96" w:rsidRPr="006F18EF">
        <w:rPr>
          <w:vertAlign w:val="superscript"/>
        </w:rPr>
        <w:fldChar w:fldCharType="separate"/>
      </w:r>
      <w:r w:rsidR="00792989">
        <w:rPr>
          <w:vertAlign w:val="superscript"/>
        </w:rPr>
        <w:t>10</w:t>
      </w:r>
      <w:r w:rsidR="004A3F96" w:rsidRPr="006F18EF">
        <w:rPr>
          <w:vertAlign w:val="superscript"/>
        </w:rPr>
        <w:fldChar w:fldCharType="end"/>
      </w:r>
    </w:p>
    <w:p w14:paraId="0B18E0DC" w14:textId="09CBABF2" w:rsidR="00332715" w:rsidRPr="00B44440" w:rsidRDefault="00332715" w:rsidP="00046CAF">
      <w:r w:rsidRPr="00B44440">
        <w:t xml:space="preserve">At the time the TGA considered this </w:t>
      </w:r>
      <w:r w:rsidR="00BB0B78" w:rsidRPr="00B44440">
        <w:t>submission</w:t>
      </w:r>
      <w:r w:rsidRPr="00B44440">
        <w:t xml:space="preserve">, a similar </w:t>
      </w:r>
      <w:r w:rsidR="00BB0B78" w:rsidRPr="00B44440">
        <w:t>submission</w:t>
      </w:r>
      <w:r w:rsidRPr="00B44440">
        <w:t xml:space="preserve"> had been approved in </w:t>
      </w:r>
      <w:r w:rsidR="00A15461" w:rsidRPr="00B44440">
        <w:t>the European Union</w:t>
      </w:r>
      <w:r w:rsidR="00BE3F9B" w:rsidRPr="00B44440">
        <w:t xml:space="preserve"> (EU)</w:t>
      </w:r>
      <w:r w:rsidR="00A15461" w:rsidRPr="00B44440">
        <w:t xml:space="preserve"> on </w:t>
      </w:r>
      <w:r w:rsidR="0098233C">
        <w:t>18</w:t>
      </w:r>
      <w:r w:rsidR="0098233C" w:rsidRPr="00B44440">
        <w:t xml:space="preserve"> </w:t>
      </w:r>
      <w:r w:rsidR="00A15461" w:rsidRPr="00B44440">
        <w:t>August 2021</w:t>
      </w:r>
      <w:r w:rsidR="00C71D8F">
        <w:t xml:space="preserve">, </w:t>
      </w:r>
      <w:r w:rsidR="00A15461" w:rsidRPr="00B44440">
        <w:t>the United States of America</w:t>
      </w:r>
      <w:r w:rsidR="00BE3F9B" w:rsidRPr="00B44440">
        <w:t xml:space="preserve"> (USA)</w:t>
      </w:r>
      <w:r w:rsidR="00A15461" w:rsidRPr="00B44440">
        <w:t xml:space="preserve"> </w:t>
      </w:r>
      <w:r w:rsidR="00C71D8F">
        <w:t xml:space="preserve">on </w:t>
      </w:r>
      <w:r w:rsidR="00C71D8F" w:rsidRPr="00C71D8F">
        <w:t>17</w:t>
      </w:r>
      <w:r w:rsidR="00C71D8F">
        <w:t> </w:t>
      </w:r>
      <w:r w:rsidR="00C71D8F" w:rsidRPr="00C71D8F">
        <w:t>September 2021</w:t>
      </w:r>
      <w:r w:rsidR="00CB05AE" w:rsidRPr="00B44440">
        <w:t>,</w:t>
      </w:r>
      <w:r w:rsidR="00A15461" w:rsidRPr="00B44440">
        <w:t xml:space="preserve"> </w:t>
      </w:r>
      <w:r w:rsidR="00CB05AE" w:rsidRPr="00B44440">
        <w:t xml:space="preserve">Republic of Korea </w:t>
      </w:r>
      <w:r w:rsidR="00C71D8F" w:rsidRPr="00B44440">
        <w:t xml:space="preserve">on </w:t>
      </w:r>
      <w:r w:rsidR="00C71D8F">
        <w:t>13</w:t>
      </w:r>
      <w:r w:rsidR="00C71D8F" w:rsidRPr="00B44440">
        <w:t xml:space="preserve"> </w:t>
      </w:r>
      <w:r w:rsidR="00C71D8F">
        <w:t>May</w:t>
      </w:r>
      <w:r w:rsidR="00C71D8F" w:rsidRPr="00B44440">
        <w:t xml:space="preserve"> 202</w:t>
      </w:r>
      <w:r w:rsidR="00C71D8F">
        <w:t>2</w:t>
      </w:r>
      <w:r w:rsidR="00C71D8F" w:rsidRPr="00B44440">
        <w:t xml:space="preserve"> </w:t>
      </w:r>
      <w:r w:rsidR="00A15461" w:rsidRPr="00B44440">
        <w:t xml:space="preserve">and Canada </w:t>
      </w:r>
      <w:r w:rsidR="00C71D8F" w:rsidRPr="00B44440">
        <w:t xml:space="preserve">on </w:t>
      </w:r>
      <w:r w:rsidR="00C71D8F">
        <w:t>8 March </w:t>
      </w:r>
      <w:r w:rsidR="00C71D8F" w:rsidRPr="00B44440">
        <w:t>202</w:t>
      </w:r>
      <w:r w:rsidR="00C71D8F">
        <w:t>2</w:t>
      </w:r>
      <w:r w:rsidR="00046CAF">
        <w:t>.</w:t>
      </w:r>
    </w:p>
    <w:p w14:paraId="75C95C0D" w14:textId="77777777" w:rsidR="00332715" w:rsidRPr="00B44440" w:rsidRDefault="0072292E" w:rsidP="00332715">
      <w:r w:rsidRPr="00B44440">
        <w:t xml:space="preserve">The following table </w:t>
      </w:r>
      <w:r w:rsidR="00332715" w:rsidRPr="00B44440">
        <w:t xml:space="preserve">summarises these </w:t>
      </w:r>
      <w:r w:rsidR="00BB0B78" w:rsidRPr="00B44440">
        <w:t>submissions</w:t>
      </w:r>
      <w:r w:rsidR="00332715" w:rsidRPr="00B44440">
        <w:t xml:space="preserve"> and provides the indications where approved.</w:t>
      </w:r>
    </w:p>
    <w:p w14:paraId="48DD5BED" w14:textId="04E1670C" w:rsidR="00324E45" w:rsidRPr="00B44440" w:rsidRDefault="00324E45" w:rsidP="00324E45">
      <w:pPr>
        <w:pStyle w:val="TableTitle"/>
      </w:pPr>
      <w:bookmarkStart w:id="19" w:name="_Ref99705479"/>
      <w:r w:rsidRPr="00B44440">
        <w:t xml:space="preserve">Table </w:t>
      </w:r>
      <w:fldSimple w:instr=" SEQ Table \* ARABIC ">
        <w:r w:rsidR="00792989">
          <w:rPr>
            <w:noProof/>
          </w:rPr>
          <w:t>1</w:t>
        </w:r>
      </w:fldSimple>
      <w:bookmarkEnd w:id="19"/>
      <w:r w:rsidRPr="00B44440">
        <w:t>: International regulatory status</w:t>
      </w:r>
    </w:p>
    <w:tbl>
      <w:tblPr>
        <w:tblStyle w:val="TableTGAblue"/>
        <w:tblW w:w="8815" w:type="dxa"/>
        <w:tblLayout w:type="fixed"/>
        <w:tblLook w:val="04A0" w:firstRow="1" w:lastRow="0" w:firstColumn="1" w:lastColumn="0" w:noHBand="0" w:noVBand="1"/>
      </w:tblPr>
      <w:tblGrid>
        <w:gridCol w:w="1214"/>
        <w:gridCol w:w="1481"/>
        <w:gridCol w:w="2070"/>
        <w:gridCol w:w="4050"/>
      </w:tblGrid>
      <w:tr w:rsidR="00E24EB5" w:rsidRPr="00C545FE" w14:paraId="294C1976" w14:textId="77777777" w:rsidTr="006F18EF">
        <w:trPr>
          <w:cnfStyle w:val="100000000000" w:firstRow="1" w:lastRow="0" w:firstColumn="0" w:lastColumn="0" w:oddVBand="0" w:evenVBand="0" w:oddHBand="0" w:evenHBand="0" w:firstRowFirstColumn="0" w:firstRowLastColumn="0" w:lastRowFirstColumn="0" w:lastRowLastColumn="0"/>
        </w:trPr>
        <w:tc>
          <w:tcPr>
            <w:tcW w:w="1214" w:type="dxa"/>
            <w:tcBorders>
              <w:top w:val="single" w:sz="4" w:space="0" w:color="auto"/>
              <w:left w:val="single" w:sz="4" w:space="0" w:color="auto"/>
              <w:bottom w:val="single" w:sz="4" w:space="0" w:color="auto"/>
              <w:right w:val="single" w:sz="4" w:space="0" w:color="auto"/>
            </w:tcBorders>
          </w:tcPr>
          <w:p w14:paraId="6F1C8104" w14:textId="77777777" w:rsidR="00006FAB" w:rsidRPr="006F18EF" w:rsidRDefault="00006FAB" w:rsidP="00AF7B6B">
            <w:pPr>
              <w:ind w:left="0" w:right="0"/>
              <w:rPr>
                <w:sz w:val="20"/>
                <w:szCs w:val="20"/>
              </w:rPr>
            </w:pPr>
            <w:r w:rsidRPr="006F18EF">
              <w:rPr>
                <w:sz w:val="20"/>
                <w:szCs w:val="20"/>
              </w:rPr>
              <w:t>Region</w:t>
            </w:r>
          </w:p>
        </w:tc>
        <w:tc>
          <w:tcPr>
            <w:tcW w:w="1481" w:type="dxa"/>
            <w:tcBorders>
              <w:top w:val="single" w:sz="4" w:space="0" w:color="auto"/>
              <w:left w:val="single" w:sz="4" w:space="0" w:color="auto"/>
              <w:bottom w:val="single" w:sz="4" w:space="0" w:color="auto"/>
              <w:right w:val="single" w:sz="4" w:space="0" w:color="auto"/>
            </w:tcBorders>
          </w:tcPr>
          <w:p w14:paraId="338E6233" w14:textId="77777777" w:rsidR="00006FAB" w:rsidRPr="006F18EF" w:rsidRDefault="00006FAB">
            <w:pPr>
              <w:ind w:left="0" w:right="0"/>
              <w:rPr>
                <w:sz w:val="20"/>
                <w:szCs w:val="20"/>
              </w:rPr>
            </w:pPr>
            <w:r w:rsidRPr="006F18EF">
              <w:rPr>
                <w:sz w:val="20"/>
                <w:szCs w:val="20"/>
              </w:rPr>
              <w:t>Submission date</w:t>
            </w:r>
          </w:p>
        </w:tc>
        <w:tc>
          <w:tcPr>
            <w:tcW w:w="2070" w:type="dxa"/>
            <w:tcBorders>
              <w:top w:val="single" w:sz="4" w:space="0" w:color="auto"/>
              <w:left w:val="single" w:sz="4" w:space="0" w:color="auto"/>
              <w:bottom w:val="single" w:sz="4" w:space="0" w:color="auto"/>
              <w:right w:val="single" w:sz="4" w:space="0" w:color="auto"/>
            </w:tcBorders>
          </w:tcPr>
          <w:p w14:paraId="785A2028" w14:textId="77777777" w:rsidR="00006FAB" w:rsidRPr="006F18EF" w:rsidRDefault="00006FAB">
            <w:pPr>
              <w:ind w:left="0" w:right="0"/>
              <w:rPr>
                <w:sz w:val="20"/>
                <w:szCs w:val="20"/>
              </w:rPr>
            </w:pPr>
            <w:r w:rsidRPr="006F18EF">
              <w:rPr>
                <w:sz w:val="20"/>
                <w:szCs w:val="20"/>
              </w:rPr>
              <w:t>Status</w:t>
            </w:r>
          </w:p>
        </w:tc>
        <w:tc>
          <w:tcPr>
            <w:tcW w:w="4050" w:type="dxa"/>
            <w:tcBorders>
              <w:top w:val="single" w:sz="4" w:space="0" w:color="auto"/>
              <w:left w:val="single" w:sz="4" w:space="0" w:color="auto"/>
              <w:bottom w:val="single" w:sz="4" w:space="0" w:color="auto"/>
              <w:right w:val="single" w:sz="4" w:space="0" w:color="auto"/>
            </w:tcBorders>
          </w:tcPr>
          <w:p w14:paraId="3490925F" w14:textId="77777777" w:rsidR="00006FAB" w:rsidRPr="006F18EF" w:rsidRDefault="00006FAB">
            <w:pPr>
              <w:ind w:left="0" w:right="0"/>
              <w:rPr>
                <w:sz w:val="20"/>
                <w:szCs w:val="20"/>
              </w:rPr>
            </w:pPr>
            <w:r w:rsidRPr="006F18EF">
              <w:rPr>
                <w:sz w:val="20"/>
                <w:szCs w:val="20"/>
              </w:rPr>
              <w:t>Approved indications</w:t>
            </w:r>
          </w:p>
        </w:tc>
      </w:tr>
      <w:tr w:rsidR="00691DAC" w:rsidRPr="00C545FE" w14:paraId="5303F4EE" w14:textId="77777777" w:rsidTr="006F18EF">
        <w:tc>
          <w:tcPr>
            <w:tcW w:w="1214" w:type="dxa"/>
            <w:tcBorders>
              <w:top w:val="single" w:sz="4" w:space="0" w:color="auto"/>
            </w:tcBorders>
          </w:tcPr>
          <w:p w14:paraId="67797A43" w14:textId="712F345B" w:rsidR="00691DAC" w:rsidRPr="006F18EF" w:rsidRDefault="00691DAC" w:rsidP="00AF7B6B">
            <w:pPr>
              <w:ind w:left="0" w:right="0"/>
              <w:rPr>
                <w:sz w:val="20"/>
                <w:szCs w:val="20"/>
              </w:rPr>
            </w:pPr>
            <w:r w:rsidRPr="006F18EF">
              <w:rPr>
                <w:sz w:val="20"/>
                <w:szCs w:val="20"/>
              </w:rPr>
              <w:t>European Union</w:t>
            </w:r>
          </w:p>
        </w:tc>
        <w:tc>
          <w:tcPr>
            <w:tcW w:w="1481" w:type="dxa"/>
            <w:tcBorders>
              <w:top w:val="single" w:sz="4" w:space="0" w:color="auto"/>
            </w:tcBorders>
          </w:tcPr>
          <w:p w14:paraId="3A545799" w14:textId="65902A3E" w:rsidR="00691DAC" w:rsidRPr="006F18EF" w:rsidRDefault="00691DAC">
            <w:pPr>
              <w:ind w:left="0" w:right="0"/>
              <w:rPr>
                <w:sz w:val="20"/>
                <w:szCs w:val="20"/>
              </w:rPr>
            </w:pPr>
            <w:r w:rsidRPr="006F18EF">
              <w:rPr>
                <w:sz w:val="20"/>
                <w:szCs w:val="20"/>
              </w:rPr>
              <w:t>10 September 2020</w:t>
            </w:r>
          </w:p>
        </w:tc>
        <w:tc>
          <w:tcPr>
            <w:tcW w:w="2070" w:type="dxa"/>
            <w:tcBorders>
              <w:top w:val="single" w:sz="4" w:space="0" w:color="auto"/>
            </w:tcBorders>
          </w:tcPr>
          <w:p w14:paraId="50B15AB4" w14:textId="71E6D149" w:rsidR="00691DAC" w:rsidRPr="006F18EF" w:rsidRDefault="00691DAC" w:rsidP="006F18EF">
            <w:pPr>
              <w:ind w:left="0" w:right="0"/>
              <w:rPr>
                <w:sz w:val="20"/>
                <w:szCs w:val="20"/>
              </w:rPr>
            </w:pPr>
            <w:r w:rsidRPr="006F18EF">
              <w:rPr>
                <w:sz w:val="20"/>
                <w:szCs w:val="20"/>
              </w:rPr>
              <w:t>Approved on 18</w:t>
            </w:r>
            <w:r w:rsidR="00C71D8F" w:rsidRPr="006F18EF">
              <w:rPr>
                <w:sz w:val="20"/>
                <w:szCs w:val="20"/>
              </w:rPr>
              <w:t> </w:t>
            </w:r>
            <w:r w:rsidRPr="006F18EF">
              <w:rPr>
                <w:sz w:val="20"/>
                <w:szCs w:val="20"/>
              </w:rPr>
              <w:t>August</w:t>
            </w:r>
            <w:r w:rsidR="00C71D8F" w:rsidRPr="006F18EF">
              <w:rPr>
                <w:sz w:val="20"/>
                <w:szCs w:val="20"/>
              </w:rPr>
              <w:t> </w:t>
            </w:r>
            <w:r w:rsidRPr="006F18EF">
              <w:rPr>
                <w:sz w:val="20"/>
                <w:szCs w:val="20"/>
              </w:rPr>
              <w:t>2021</w:t>
            </w:r>
          </w:p>
        </w:tc>
        <w:tc>
          <w:tcPr>
            <w:tcW w:w="4050" w:type="dxa"/>
            <w:tcBorders>
              <w:top w:val="single" w:sz="4" w:space="0" w:color="auto"/>
            </w:tcBorders>
          </w:tcPr>
          <w:p w14:paraId="1F88B528" w14:textId="64174118" w:rsidR="00691DAC" w:rsidRPr="006F18EF" w:rsidRDefault="00691DAC" w:rsidP="00AF7B6B">
            <w:pPr>
              <w:pStyle w:val="ListBullet"/>
              <w:rPr>
                <w:i/>
                <w:sz w:val="20"/>
              </w:rPr>
            </w:pPr>
            <w:r w:rsidRPr="006F18EF">
              <w:rPr>
                <w:i/>
                <w:sz w:val="20"/>
              </w:rPr>
              <w:t>Neovascular (wet) age-related macular degeneration (AMD)</w:t>
            </w:r>
          </w:p>
          <w:p w14:paraId="5A9A7734" w14:textId="25DB7DDC" w:rsidR="00691DAC" w:rsidRPr="006F18EF" w:rsidRDefault="00691DAC">
            <w:pPr>
              <w:pStyle w:val="ListBullet"/>
              <w:rPr>
                <w:i/>
                <w:sz w:val="20"/>
              </w:rPr>
            </w:pPr>
            <w:r w:rsidRPr="006F18EF">
              <w:rPr>
                <w:i/>
                <w:sz w:val="20"/>
              </w:rPr>
              <w:t>Visual impairment due to diabetic macular oedema (DME)</w:t>
            </w:r>
          </w:p>
          <w:p w14:paraId="72DBDE27" w14:textId="4AA4D3DD" w:rsidR="00691DAC" w:rsidRPr="006F18EF" w:rsidRDefault="00691DAC">
            <w:pPr>
              <w:pStyle w:val="ListBullet"/>
              <w:rPr>
                <w:i/>
                <w:sz w:val="20"/>
              </w:rPr>
            </w:pPr>
            <w:r w:rsidRPr="006F18EF">
              <w:rPr>
                <w:i/>
                <w:sz w:val="20"/>
              </w:rPr>
              <w:t>Proliferative diabetic retinopathy (PDR)</w:t>
            </w:r>
          </w:p>
          <w:p w14:paraId="60629611" w14:textId="36FC53FB" w:rsidR="00691DAC" w:rsidRPr="006F18EF" w:rsidRDefault="00691DAC">
            <w:pPr>
              <w:pStyle w:val="ListBullet"/>
              <w:rPr>
                <w:i/>
                <w:sz w:val="20"/>
              </w:rPr>
            </w:pPr>
            <w:r w:rsidRPr="006F18EF">
              <w:rPr>
                <w:i/>
                <w:sz w:val="20"/>
              </w:rPr>
              <w:t>Visual impairment due to macular oedema secondary to retinal vein occlusion (branch RVO or central RVO)</w:t>
            </w:r>
          </w:p>
          <w:p w14:paraId="3EF1883A" w14:textId="21FD4C43" w:rsidR="00691DAC" w:rsidRPr="006F18EF" w:rsidRDefault="00691DAC">
            <w:pPr>
              <w:pStyle w:val="ListBullet"/>
              <w:rPr>
                <w:i/>
                <w:sz w:val="20"/>
              </w:rPr>
            </w:pPr>
            <w:r w:rsidRPr="006F18EF">
              <w:rPr>
                <w:i/>
                <w:sz w:val="20"/>
              </w:rPr>
              <w:t>Visual impairment due to choroidal neovascularisation (CNV)</w:t>
            </w:r>
          </w:p>
        </w:tc>
      </w:tr>
      <w:tr w:rsidR="00691DAC" w:rsidRPr="00C545FE" w14:paraId="048E0131" w14:textId="77777777" w:rsidTr="006F18EF">
        <w:tc>
          <w:tcPr>
            <w:tcW w:w="1214" w:type="dxa"/>
          </w:tcPr>
          <w:p w14:paraId="59D842D3" w14:textId="6BBEB351" w:rsidR="00691DAC" w:rsidRPr="006F18EF" w:rsidRDefault="00691DAC" w:rsidP="006F18EF">
            <w:pPr>
              <w:ind w:left="0" w:right="0"/>
              <w:rPr>
                <w:sz w:val="20"/>
                <w:szCs w:val="20"/>
              </w:rPr>
            </w:pPr>
            <w:r w:rsidRPr="006F18EF">
              <w:rPr>
                <w:sz w:val="20"/>
                <w:szCs w:val="20"/>
              </w:rPr>
              <w:t>United States of America</w:t>
            </w:r>
          </w:p>
        </w:tc>
        <w:tc>
          <w:tcPr>
            <w:tcW w:w="1481" w:type="dxa"/>
          </w:tcPr>
          <w:p w14:paraId="588875DD" w14:textId="3EF7C31F" w:rsidR="00691DAC" w:rsidRPr="006F18EF" w:rsidRDefault="00691DAC" w:rsidP="00AF7B6B">
            <w:pPr>
              <w:ind w:left="0" w:right="0"/>
              <w:rPr>
                <w:sz w:val="20"/>
                <w:szCs w:val="20"/>
              </w:rPr>
            </w:pPr>
            <w:r w:rsidRPr="006F18EF">
              <w:rPr>
                <w:sz w:val="20"/>
                <w:szCs w:val="20"/>
              </w:rPr>
              <w:t>17 September 2020</w:t>
            </w:r>
          </w:p>
        </w:tc>
        <w:tc>
          <w:tcPr>
            <w:tcW w:w="2070" w:type="dxa"/>
          </w:tcPr>
          <w:p w14:paraId="061E77A1" w14:textId="0EE4E03C" w:rsidR="00691DAC" w:rsidRPr="006F18EF" w:rsidRDefault="00691DAC">
            <w:pPr>
              <w:ind w:left="0" w:right="0"/>
              <w:rPr>
                <w:sz w:val="20"/>
                <w:szCs w:val="20"/>
              </w:rPr>
            </w:pPr>
            <w:r w:rsidRPr="006F18EF">
              <w:rPr>
                <w:sz w:val="20"/>
                <w:szCs w:val="20"/>
              </w:rPr>
              <w:t>Approved on 17</w:t>
            </w:r>
            <w:r w:rsidR="00C71D8F" w:rsidRPr="006F18EF">
              <w:rPr>
                <w:sz w:val="20"/>
                <w:szCs w:val="20"/>
              </w:rPr>
              <w:t> </w:t>
            </w:r>
            <w:r w:rsidRPr="006F18EF">
              <w:rPr>
                <w:rFonts w:eastAsia="Batang"/>
                <w:sz w:val="20"/>
                <w:szCs w:val="20"/>
                <w:lang w:eastAsia="ko-KR"/>
              </w:rPr>
              <w:t>September</w:t>
            </w:r>
            <w:r w:rsidR="00C71D8F" w:rsidRPr="006F18EF">
              <w:rPr>
                <w:sz w:val="20"/>
                <w:szCs w:val="20"/>
              </w:rPr>
              <w:t> </w:t>
            </w:r>
            <w:r w:rsidRPr="006F18EF">
              <w:rPr>
                <w:sz w:val="20"/>
                <w:szCs w:val="20"/>
              </w:rPr>
              <w:t>2021</w:t>
            </w:r>
          </w:p>
        </w:tc>
        <w:tc>
          <w:tcPr>
            <w:tcW w:w="4050" w:type="dxa"/>
          </w:tcPr>
          <w:p w14:paraId="5B027EF9" w14:textId="77777777" w:rsidR="00691DAC" w:rsidRPr="006F18EF" w:rsidRDefault="00691DAC" w:rsidP="006F18EF">
            <w:pPr>
              <w:pStyle w:val="ListBullet"/>
              <w:rPr>
                <w:i/>
                <w:sz w:val="20"/>
              </w:rPr>
            </w:pPr>
            <w:r w:rsidRPr="006F18EF">
              <w:rPr>
                <w:i/>
                <w:sz w:val="20"/>
              </w:rPr>
              <w:t>Neovascular (wet) age-related macular degeneration (AMD)</w:t>
            </w:r>
          </w:p>
          <w:p w14:paraId="6342F609" w14:textId="42763110" w:rsidR="00AD7B95" w:rsidRPr="006F18EF" w:rsidRDefault="00691DAC" w:rsidP="006F18EF">
            <w:pPr>
              <w:pStyle w:val="ListBullet"/>
              <w:rPr>
                <w:i/>
                <w:sz w:val="20"/>
              </w:rPr>
            </w:pPr>
            <w:r w:rsidRPr="006F18EF">
              <w:rPr>
                <w:i/>
                <w:sz w:val="20"/>
              </w:rPr>
              <w:t xml:space="preserve">Macular </w:t>
            </w:r>
            <w:proofErr w:type="spellStart"/>
            <w:r w:rsidRPr="006F18EF">
              <w:rPr>
                <w:i/>
                <w:sz w:val="20"/>
              </w:rPr>
              <w:t>Edema</w:t>
            </w:r>
            <w:proofErr w:type="spellEnd"/>
            <w:r w:rsidRPr="006F18EF">
              <w:rPr>
                <w:i/>
                <w:sz w:val="20"/>
              </w:rPr>
              <w:t xml:space="preserve"> Following Retinal Vein Occlusion (RVO)</w:t>
            </w:r>
          </w:p>
          <w:p w14:paraId="59E014E2" w14:textId="7D7B19BC" w:rsidR="00691DAC" w:rsidRPr="006F18EF" w:rsidRDefault="00691DAC" w:rsidP="006F18EF">
            <w:pPr>
              <w:pStyle w:val="ListBullet"/>
              <w:rPr>
                <w:i/>
                <w:sz w:val="20"/>
              </w:rPr>
            </w:pPr>
            <w:r w:rsidRPr="006F18EF">
              <w:rPr>
                <w:i/>
                <w:sz w:val="20"/>
              </w:rPr>
              <w:t>Myopic Choroidal Neovascularization (</w:t>
            </w:r>
            <w:proofErr w:type="spellStart"/>
            <w:r w:rsidRPr="006F18EF">
              <w:rPr>
                <w:i/>
                <w:sz w:val="20"/>
              </w:rPr>
              <w:t>mCNV</w:t>
            </w:r>
            <w:proofErr w:type="spellEnd"/>
            <w:r w:rsidRPr="006F18EF">
              <w:rPr>
                <w:i/>
                <w:sz w:val="20"/>
              </w:rPr>
              <w:t>)</w:t>
            </w:r>
          </w:p>
        </w:tc>
      </w:tr>
      <w:tr w:rsidR="00691DAC" w:rsidRPr="00C545FE" w14:paraId="3D114EEA" w14:textId="77777777" w:rsidTr="006F18EF">
        <w:trPr>
          <w:cantSplit/>
        </w:trPr>
        <w:tc>
          <w:tcPr>
            <w:tcW w:w="1214" w:type="dxa"/>
          </w:tcPr>
          <w:p w14:paraId="354A1EE7" w14:textId="7EC22ED2" w:rsidR="00691DAC" w:rsidRPr="006F18EF" w:rsidRDefault="00691DAC" w:rsidP="006F18EF">
            <w:pPr>
              <w:ind w:left="0" w:right="0"/>
              <w:rPr>
                <w:sz w:val="20"/>
                <w:szCs w:val="20"/>
              </w:rPr>
            </w:pPr>
            <w:r w:rsidRPr="006F18EF">
              <w:rPr>
                <w:sz w:val="20"/>
                <w:szCs w:val="20"/>
              </w:rPr>
              <w:lastRenderedPageBreak/>
              <w:t>Republic of Korea</w:t>
            </w:r>
          </w:p>
        </w:tc>
        <w:tc>
          <w:tcPr>
            <w:tcW w:w="1481" w:type="dxa"/>
          </w:tcPr>
          <w:p w14:paraId="77905D3B" w14:textId="2584888E" w:rsidR="00691DAC" w:rsidRPr="006F18EF" w:rsidRDefault="00691DAC" w:rsidP="006F18EF">
            <w:pPr>
              <w:ind w:left="0" w:right="0"/>
              <w:rPr>
                <w:sz w:val="20"/>
                <w:szCs w:val="20"/>
              </w:rPr>
            </w:pPr>
            <w:r w:rsidRPr="006F18EF">
              <w:rPr>
                <w:sz w:val="20"/>
                <w:szCs w:val="20"/>
              </w:rPr>
              <w:t>7 June 2021</w:t>
            </w:r>
          </w:p>
        </w:tc>
        <w:tc>
          <w:tcPr>
            <w:tcW w:w="2070" w:type="dxa"/>
          </w:tcPr>
          <w:p w14:paraId="78558E0D" w14:textId="53449D54" w:rsidR="00691DAC" w:rsidRPr="006F18EF" w:rsidRDefault="00691DAC" w:rsidP="006F18EF">
            <w:pPr>
              <w:ind w:left="0" w:right="0"/>
              <w:rPr>
                <w:sz w:val="20"/>
                <w:szCs w:val="20"/>
              </w:rPr>
            </w:pPr>
            <w:r w:rsidRPr="006F18EF">
              <w:rPr>
                <w:sz w:val="20"/>
                <w:szCs w:val="20"/>
              </w:rPr>
              <w:t>Approved on 13</w:t>
            </w:r>
            <w:r w:rsidR="00C71D8F" w:rsidRPr="006F18EF">
              <w:rPr>
                <w:sz w:val="20"/>
                <w:szCs w:val="20"/>
              </w:rPr>
              <w:t> </w:t>
            </w:r>
            <w:r w:rsidRPr="006F18EF">
              <w:rPr>
                <w:sz w:val="20"/>
                <w:szCs w:val="20"/>
              </w:rPr>
              <w:t>May</w:t>
            </w:r>
            <w:r w:rsidR="00C71D8F" w:rsidRPr="006F18EF">
              <w:rPr>
                <w:sz w:val="20"/>
                <w:szCs w:val="20"/>
              </w:rPr>
              <w:t> </w:t>
            </w:r>
            <w:r w:rsidRPr="006F18EF">
              <w:rPr>
                <w:sz w:val="20"/>
                <w:szCs w:val="20"/>
              </w:rPr>
              <w:t>2022</w:t>
            </w:r>
          </w:p>
        </w:tc>
        <w:tc>
          <w:tcPr>
            <w:tcW w:w="4050" w:type="dxa"/>
          </w:tcPr>
          <w:p w14:paraId="51F5F8E2" w14:textId="77777777" w:rsidR="00691DAC" w:rsidRPr="006F18EF" w:rsidRDefault="00691DAC" w:rsidP="006F18EF">
            <w:pPr>
              <w:pStyle w:val="ListBullet"/>
              <w:rPr>
                <w:i/>
                <w:sz w:val="20"/>
              </w:rPr>
            </w:pPr>
            <w:r w:rsidRPr="006F18EF">
              <w:rPr>
                <w:i/>
                <w:sz w:val="20"/>
              </w:rPr>
              <w:t>Neovascular (wet) age-related macular degeneration (AMD)</w:t>
            </w:r>
          </w:p>
          <w:p w14:paraId="6459C872" w14:textId="77777777" w:rsidR="00691DAC" w:rsidRPr="006F18EF" w:rsidRDefault="00691DAC" w:rsidP="006F18EF">
            <w:pPr>
              <w:pStyle w:val="ListBullet"/>
              <w:rPr>
                <w:i/>
                <w:sz w:val="20"/>
              </w:rPr>
            </w:pPr>
            <w:r w:rsidRPr="006F18EF">
              <w:rPr>
                <w:i/>
                <w:sz w:val="20"/>
              </w:rPr>
              <w:t>Visual impairment due to diabetic macular oedema (DME)</w:t>
            </w:r>
          </w:p>
          <w:p w14:paraId="636BAF27" w14:textId="77777777" w:rsidR="00691DAC" w:rsidRPr="006F18EF" w:rsidRDefault="00691DAC" w:rsidP="006F18EF">
            <w:pPr>
              <w:pStyle w:val="ListBullet"/>
              <w:rPr>
                <w:i/>
                <w:sz w:val="20"/>
              </w:rPr>
            </w:pPr>
            <w:r w:rsidRPr="006F18EF">
              <w:rPr>
                <w:i/>
                <w:sz w:val="20"/>
              </w:rPr>
              <w:t>Proliferative diabetic retinopathy (PDR)</w:t>
            </w:r>
          </w:p>
          <w:p w14:paraId="4367C55F" w14:textId="17DFDA7E" w:rsidR="00AD7B95" w:rsidRPr="006F18EF" w:rsidRDefault="00691DAC" w:rsidP="006F18EF">
            <w:pPr>
              <w:pStyle w:val="ListBullet"/>
              <w:rPr>
                <w:i/>
                <w:sz w:val="20"/>
              </w:rPr>
            </w:pPr>
            <w:r w:rsidRPr="006F18EF">
              <w:rPr>
                <w:i/>
                <w:sz w:val="20"/>
              </w:rPr>
              <w:t>Visual impairment due to macular oedema secondary to retinal vein occlusion (branch RVO or central RVO)</w:t>
            </w:r>
          </w:p>
          <w:p w14:paraId="05377F0A" w14:textId="0A54911C" w:rsidR="00691DAC" w:rsidRPr="006F18EF" w:rsidRDefault="00691DAC" w:rsidP="006F18EF">
            <w:pPr>
              <w:pStyle w:val="ListBullet"/>
              <w:rPr>
                <w:i/>
                <w:sz w:val="20"/>
              </w:rPr>
            </w:pPr>
            <w:r w:rsidRPr="006F18EF">
              <w:rPr>
                <w:i/>
                <w:sz w:val="20"/>
              </w:rPr>
              <w:t>Visual impairment due to choroidal neovascularisation (CNV)</w:t>
            </w:r>
          </w:p>
        </w:tc>
      </w:tr>
      <w:tr w:rsidR="00691DAC" w:rsidRPr="00C545FE" w14:paraId="785CAB57" w14:textId="77777777" w:rsidTr="006F18EF">
        <w:tc>
          <w:tcPr>
            <w:tcW w:w="1214" w:type="dxa"/>
          </w:tcPr>
          <w:p w14:paraId="1F475A27" w14:textId="2D2EB1DA" w:rsidR="00691DAC" w:rsidRPr="006F18EF" w:rsidRDefault="00691DAC" w:rsidP="006F18EF">
            <w:pPr>
              <w:ind w:left="0" w:right="0"/>
              <w:rPr>
                <w:sz w:val="20"/>
                <w:szCs w:val="20"/>
              </w:rPr>
            </w:pPr>
            <w:r w:rsidRPr="006F18EF">
              <w:rPr>
                <w:sz w:val="20"/>
                <w:szCs w:val="20"/>
              </w:rPr>
              <w:t>Canada</w:t>
            </w:r>
          </w:p>
        </w:tc>
        <w:tc>
          <w:tcPr>
            <w:tcW w:w="1481" w:type="dxa"/>
          </w:tcPr>
          <w:p w14:paraId="0F5A5699" w14:textId="694FA0BB" w:rsidR="00691DAC" w:rsidRPr="006F18EF" w:rsidRDefault="00691DAC" w:rsidP="006F18EF">
            <w:pPr>
              <w:ind w:left="0" w:right="0"/>
              <w:rPr>
                <w:sz w:val="20"/>
                <w:szCs w:val="20"/>
              </w:rPr>
            </w:pPr>
            <w:r w:rsidRPr="006F18EF">
              <w:rPr>
                <w:sz w:val="20"/>
                <w:szCs w:val="20"/>
              </w:rPr>
              <w:t>26 March 2021</w:t>
            </w:r>
          </w:p>
        </w:tc>
        <w:tc>
          <w:tcPr>
            <w:tcW w:w="2070" w:type="dxa"/>
          </w:tcPr>
          <w:p w14:paraId="17B8E98D" w14:textId="3429FB98" w:rsidR="00691DAC" w:rsidRPr="006F18EF" w:rsidRDefault="00691DAC" w:rsidP="006F18EF">
            <w:pPr>
              <w:ind w:left="0" w:right="0"/>
              <w:rPr>
                <w:sz w:val="20"/>
                <w:szCs w:val="20"/>
              </w:rPr>
            </w:pPr>
            <w:r w:rsidRPr="006F18EF">
              <w:rPr>
                <w:sz w:val="20"/>
                <w:szCs w:val="20"/>
              </w:rPr>
              <w:t>Approved on 8</w:t>
            </w:r>
            <w:r w:rsidR="00C71D8F" w:rsidRPr="006F18EF">
              <w:rPr>
                <w:sz w:val="20"/>
                <w:szCs w:val="20"/>
              </w:rPr>
              <w:t> </w:t>
            </w:r>
            <w:r w:rsidRPr="006F18EF">
              <w:rPr>
                <w:sz w:val="20"/>
                <w:szCs w:val="20"/>
              </w:rPr>
              <w:t>March</w:t>
            </w:r>
            <w:r w:rsidR="00C71D8F" w:rsidRPr="006F18EF">
              <w:rPr>
                <w:sz w:val="20"/>
                <w:szCs w:val="20"/>
              </w:rPr>
              <w:t> </w:t>
            </w:r>
            <w:r w:rsidRPr="006F18EF">
              <w:rPr>
                <w:sz w:val="20"/>
                <w:szCs w:val="20"/>
              </w:rPr>
              <w:t>2022</w:t>
            </w:r>
          </w:p>
        </w:tc>
        <w:tc>
          <w:tcPr>
            <w:tcW w:w="4050" w:type="dxa"/>
          </w:tcPr>
          <w:p w14:paraId="78125079" w14:textId="77777777" w:rsidR="00691DAC" w:rsidRPr="006F18EF" w:rsidRDefault="00691DAC" w:rsidP="006F18EF">
            <w:pPr>
              <w:pStyle w:val="ListBullet"/>
              <w:rPr>
                <w:i/>
                <w:sz w:val="20"/>
              </w:rPr>
            </w:pPr>
            <w:r w:rsidRPr="006F18EF">
              <w:rPr>
                <w:i/>
                <w:sz w:val="20"/>
              </w:rPr>
              <w:t>Neovascular (wet) age-related macular degeneration (AMD)</w:t>
            </w:r>
          </w:p>
          <w:p w14:paraId="71A61755" w14:textId="77777777" w:rsidR="00691DAC" w:rsidRPr="006F18EF" w:rsidRDefault="00691DAC" w:rsidP="006F18EF">
            <w:pPr>
              <w:pStyle w:val="ListBullet"/>
              <w:rPr>
                <w:i/>
                <w:sz w:val="20"/>
              </w:rPr>
            </w:pPr>
            <w:r w:rsidRPr="006F18EF">
              <w:rPr>
                <w:i/>
                <w:sz w:val="20"/>
              </w:rPr>
              <w:t xml:space="preserve">Visual impairment due to diabetic macular </w:t>
            </w:r>
            <w:proofErr w:type="spellStart"/>
            <w:r w:rsidRPr="006F18EF">
              <w:rPr>
                <w:i/>
                <w:sz w:val="20"/>
              </w:rPr>
              <w:t>edema</w:t>
            </w:r>
            <w:proofErr w:type="spellEnd"/>
            <w:r w:rsidRPr="006F18EF">
              <w:rPr>
                <w:i/>
                <w:sz w:val="20"/>
              </w:rPr>
              <w:t xml:space="preserve"> (DME)</w:t>
            </w:r>
          </w:p>
          <w:p w14:paraId="0BDA0EF2" w14:textId="77777777" w:rsidR="00691DAC" w:rsidRPr="006F18EF" w:rsidRDefault="00691DAC" w:rsidP="006F18EF">
            <w:pPr>
              <w:pStyle w:val="ListBullet"/>
              <w:rPr>
                <w:i/>
                <w:sz w:val="20"/>
              </w:rPr>
            </w:pPr>
            <w:r w:rsidRPr="006F18EF">
              <w:rPr>
                <w:i/>
                <w:sz w:val="20"/>
              </w:rPr>
              <w:t xml:space="preserve">Macular </w:t>
            </w:r>
            <w:proofErr w:type="spellStart"/>
            <w:r w:rsidRPr="006F18EF">
              <w:rPr>
                <w:i/>
                <w:sz w:val="20"/>
              </w:rPr>
              <w:t>edema</w:t>
            </w:r>
            <w:proofErr w:type="spellEnd"/>
            <w:r w:rsidRPr="006F18EF">
              <w:rPr>
                <w:i/>
                <w:sz w:val="20"/>
              </w:rPr>
              <w:t xml:space="preserve"> secondary to retinal vein occlusion (RVO)</w:t>
            </w:r>
          </w:p>
          <w:p w14:paraId="33244568" w14:textId="6071232A" w:rsidR="00AD7B95" w:rsidRPr="006F18EF" w:rsidRDefault="00691DAC" w:rsidP="006F18EF">
            <w:pPr>
              <w:pStyle w:val="ListBullet"/>
              <w:rPr>
                <w:i/>
                <w:sz w:val="20"/>
              </w:rPr>
            </w:pPr>
            <w:r w:rsidRPr="006F18EF">
              <w:rPr>
                <w:i/>
                <w:sz w:val="20"/>
              </w:rPr>
              <w:t>Choroidal neovascularisation (CNV) secondary to pathologic myopia (PM)</w:t>
            </w:r>
          </w:p>
          <w:p w14:paraId="2BE48204" w14:textId="49A5C318" w:rsidR="00691DAC" w:rsidRPr="006F18EF" w:rsidRDefault="00691DAC" w:rsidP="006F18EF">
            <w:pPr>
              <w:pStyle w:val="ListBullet"/>
              <w:rPr>
                <w:i/>
                <w:sz w:val="20"/>
              </w:rPr>
            </w:pPr>
            <w:r w:rsidRPr="006F18EF">
              <w:rPr>
                <w:i/>
                <w:sz w:val="20"/>
              </w:rPr>
              <w:t xml:space="preserve">Choroidal neovascularisation (CNV) secondary to ocular conditions other than AMD or PM, including but not limited to </w:t>
            </w:r>
            <w:proofErr w:type="spellStart"/>
            <w:r w:rsidRPr="006F18EF">
              <w:rPr>
                <w:i/>
                <w:sz w:val="20"/>
              </w:rPr>
              <w:t>angioid</w:t>
            </w:r>
            <w:proofErr w:type="spellEnd"/>
            <w:r w:rsidRPr="006F18EF">
              <w:rPr>
                <w:i/>
                <w:sz w:val="20"/>
              </w:rPr>
              <w:t xml:space="preserve"> streaks, post-inflammatory </w:t>
            </w:r>
            <w:proofErr w:type="spellStart"/>
            <w:r w:rsidRPr="006F18EF">
              <w:rPr>
                <w:i/>
                <w:sz w:val="20"/>
              </w:rPr>
              <w:t>retinochoroidopathy</w:t>
            </w:r>
            <w:proofErr w:type="spellEnd"/>
            <w:r w:rsidRPr="006F18EF">
              <w:rPr>
                <w:i/>
                <w:sz w:val="20"/>
              </w:rPr>
              <w:t>, central serous chorioretinopathy or idiopathic chorioretinopathy</w:t>
            </w:r>
          </w:p>
        </w:tc>
      </w:tr>
    </w:tbl>
    <w:p w14:paraId="56D0552B" w14:textId="77777777" w:rsidR="008E7846" w:rsidRPr="00B44440" w:rsidRDefault="008E7846" w:rsidP="00940A89">
      <w:pPr>
        <w:pStyle w:val="Heading3"/>
      </w:pPr>
      <w:bookmarkStart w:id="20" w:name="_Toc133421037"/>
      <w:r w:rsidRPr="00B44440">
        <w:t>Product Information</w:t>
      </w:r>
      <w:bookmarkEnd w:id="17"/>
      <w:bookmarkEnd w:id="18"/>
      <w:bookmarkEnd w:id="20"/>
    </w:p>
    <w:p w14:paraId="11603E72" w14:textId="07618AFB" w:rsidR="00332715" w:rsidRDefault="00332715" w:rsidP="00332715">
      <w:pPr>
        <w:rPr>
          <w:rStyle w:val="Hyperlink"/>
          <w:color w:val="auto"/>
          <w:u w:val="none"/>
        </w:rPr>
      </w:pPr>
      <w:bookmarkStart w:id="21" w:name="_Toc504480011"/>
      <w:bookmarkStart w:id="22" w:name="_Toc247691506"/>
      <w:bookmarkStart w:id="23" w:name="_Toc314842487"/>
      <w:r w:rsidRPr="00B44440">
        <w:t xml:space="preserve">The Product Information (PI) approved with the submission which is described in this AusPAR can be found as Attachment 1. For the most recent PI, please refer to the TGA </w:t>
      </w:r>
      <w:hyperlink r:id="rId19" w:history="1">
        <w:r w:rsidRPr="00B44440">
          <w:rPr>
            <w:rStyle w:val="Hyperlink"/>
          </w:rPr>
          <w:t>PI/CMI search facility</w:t>
        </w:r>
        <w:r w:rsidRPr="00B44440">
          <w:rPr>
            <w:rStyle w:val="Hyperlink"/>
            <w:color w:val="auto"/>
            <w:u w:val="none"/>
          </w:rPr>
          <w:t>.</w:t>
        </w:r>
      </w:hyperlink>
    </w:p>
    <w:p w14:paraId="16E1E918" w14:textId="7E0D0DB7" w:rsidR="00DF2553" w:rsidRPr="00B44440" w:rsidRDefault="00DF2553" w:rsidP="006F18EF">
      <w:pPr>
        <w:spacing w:before="0" w:after="200" w:line="0" w:lineRule="auto"/>
      </w:pPr>
      <w:r>
        <w:rPr>
          <w:rStyle w:val="Hyperlink"/>
          <w:color w:val="auto"/>
          <w:u w:val="none"/>
        </w:rPr>
        <w:br w:type="page"/>
      </w:r>
    </w:p>
    <w:p w14:paraId="5737D948" w14:textId="77777777" w:rsidR="00500337" w:rsidRPr="00B44440" w:rsidRDefault="00500337" w:rsidP="00500337">
      <w:pPr>
        <w:pStyle w:val="Heading2"/>
      </w:pPr>
      <w:bookmarkStart w:id="24" w:name="_Toc133421038"/>
      <w:r w:rsidRPr="00B44440">
        <w:lastRenderedPageBreak/>
        <w:t>Registration timeline</w:t>
      </w:r>
      <w:bookmarkEnd w:id="21"/>
      <w:bookmarkEnd w:id="24"/>
    </w:p>
    <w:p w14:paraId="14977A92" w14:textId="77777777" w:rsidR="0074163C" w:rsidRPr="00B44440" w:rsidRDefault="0074163C" w:rsidP="0074163C">
      <w:r w:rsidRPr="00B44440">
        <w:t xml:space="preserve">The following table captures the key steps and dates for this </w:t>
      </w:r>
      <w:r w:rsidR="00804D99" w:rsidRPr="00B44440">
        <w:t>submission</w:t>
      </w:r>
      <w:r w:rsidRPr="00B44440">
        <w:t>.</w:t>
      </w:r>
    </w:p>
    <w:p w14:paraId="743E5AA1" w14:textId="5D756E47" w:rsidR="0074163C" w:rsidRPr="00B44440" w:rsidRDefault="0074163C" w:rsidP="0074163C">
      <w:pPr>
        <w:pStyle w:val="TableTitle"/>
      </w:pPr>
      <w:r w:rsidRPr="00B44440">
        <w:t xml:space="preserve">Table </w:t>
      </w:r>
      <w:fldSimple w:instr=" SEQ Table \* ARABIC ">
        <w:r w:rsidR="00792989">
          <w:rPr>
            <w:noProof/>
          </w:rPr>
          <w:t>2</w:t>
        </w:r>
      </w:fldSimple>
      <w:r w:rsidRPr="00B44440">
        <w:t xml:space="preserve">: Timeline for Submission </w:t>
      </w:r>
      <w:r w:rsidR="00325824" w:rsidRPr="00B44440">
        <w:t>PM-2021-04292-1-5</w:t>
      </w:r>
    </w:p>
    <w:tbl>
      <w:tblPr>
        <w:tblStyle w:val="TableTGAblue"/>
        <w:tblW w:w="8815" w:type="dxa"/>
        <w:tblLook w:val="04A0" w:firstRow="1" w:lastRow="0" w:firstColumn="1" w:lastColumn="0" w:noHBand="0" w:noVBand="1"/>
      </w:tblPr>
      <w:tblGrid>
        <w:gridCol w:w="5949"/>
        <w:gridCol w:w="2866"/>
      </w:tblGrid>
      <w:tr w:rsidR="0074163C" w:rsidRPr="00B44440" w14:paraId="0EF14872" w14:textId="77777777" w:rsidTr="001101BB">
        <w:trPr>
          <w:cnfStyle w:val="100000000000" w:firstRow="1" w:lastRow="0" w:firstColumn="0" w:lastColumn="0" w:oddVBand="0" w:evenVBand="0" w:oddHBand="0" w:evenHBand="0" w:firstRowFirstColumn="0" w:firstRowLastColumn="0" w:lastRowFirstColumn="0" w:lastRowLastColumn="0"/>
        </w:trPr>
        <w:tc>
          <w:tcPr>
            <w:tcW w:w="5949" w:type="dxa"/>
            <w:tcBorders>
              <w:top w:val="single" w:sz="4" w:space="0" w:color="auto"/>
              <w:left w:val="single" w:sz="4" w:space="0" w:color="auto"/>
              <w:bottom w:val="single" w:sz="4" w:space="0" w:color="auto"/>
              <w:right w:val="single" w:sz="4" w:space="0" w:color="auto"/>
            </w:tcBorders>
          </w:tcPr>
          <w:p w14:paraId="6A1BCC77" w14:textId="77777777" w:rsidR="0074163C" w:rsidRPr="00B44440" w:rsidRDefault="0074163C" w:rsidP="009E5A87">
            <w:r w:rsidRPr="00B44440">
              <w:t>Description</w:t>
            </w:r>
          </w:p>
        </w:tc>
        <w:tc>
          <w:tcPr>
            <w:tcW w:w="2866" w:type="dxa"/>
            <w:tcBorders>
              <w:top w:val="single" w:sz="4" w:space="0" w:color="auto"/>
              <w:left w:val="single" w:sz="4" w:space="0" w:color="auto"/>
              <w:bottom w:val="single" w:sz="4" w:space="0" w:color="auto"/>
              <w:right w:val="single" w:sz="4" w:space="0" w:color="auto"/>
            </w:tcBorders>
          </w:tcPr>
          <w:p w14:paraId="477FDA94" w14:textId="77777777" w:rsidR="0074163C" w:rsidRPr="00B44440" w:rsidRDefault="0074163C" w:rsidP="009E5A87">
            <w:r w:rsidRPr="00B44440">
              <w:t>Date</w:t>
            </w:r>
          </w:p>
        </w:tc>
      </w:tr>
      <w:tr w:rsidR="0074163C" w:rsidRPr="00B44440" w14:paraId="61AB7BC6" w14:textId="77777777" w:rsidTr="001101BB">
        <w:tc>
          <w:tcPr>
            <w:tcW w:w="5949" w:type="dxa"/>
            <w:tcBorders>
              <w:top w:val="single" w:sz="4" w:space="0" w:color="auto"/>
            </w:tcBorders>
          </w:tcPr>
          <w:p w14:paraId="5974E75F" w14:textId="77777777" w:rsidR="0074163C" w:rsidRPr="00B44440" w:rsidRDefault="0074163C" w:rsidP="009E5A87">
            <w:r w:rsidRPr="00B44440">
              <w:t>Submission dossier accepted and first round evaluation commenced</w:t>
            </w:r>
          </w:p>
        </w:tc>
        <w:tc>
          <w:tcPr>
            <w:tcW w:w="2866" w:type="dxa"/>
            <w:tcBorders>
              <w:top w:val="single" w:sz="4" w:space="0" w:color="auto"/>
            </w:tcBorders>
          </w:tcPr>
          <w:p w14:paraId="74DD1CEC" w14:textId="00C156EE" w:rsidR="0074163C" w:rsidRPr="00B44440" w:rsidRDefault="00325824" w:rsidP="009E5A87">
            <w:r w:rsidRPr="00B44440">
              <w:t>1 November 2021</w:t>
            </w:r>
          </w:p>
        </w:tc>
      </w:tr>
      <w:tr w:rsidR="0074163C" w:rsidRPr="00B44440" w14:paraId="20500AC0" w14:textId="77777777" w:rsidTr="001101BB">
        <w:tc>
          <w:tcPr>
            <w:tcW w:w="5949" w:type="dxa"/>
          </w:tcPr>
          <w:p w14:paraId="0AB84675" w14:textId="77777777" w:rsidR="0074163C" w:rsidRPr="00B44440" w:rsidRDefault="0074163C" w:rsidP="009E5A87">
            <w:r w:rsidRPr="00B44440">
              <w:t>First round evaluation completed</w:t>
            </w:r>
          </w:p>
        </w:tc>
        <w:tc>
          <w:tcPr>
            <w:tcW w:w="2866" w:type="dxa"/>
          </w:tcPr>
          <w:p w14:paraId="5A739CB7" w14:textId="465BC1FD" w:rsidR="0074163C" w:rsidRPr="00B44440" w:rsidRDefault="00325824" w:rsidP="009E5A87">
            <w:r w:rsidRPr="00B44440">
              <w:t>28 February 2022</w:t>
            </w:r>
          </w:p>
        </w:tc>
      </w:tr>
      <w:tr w:rsidR="0074163C" w:rsidRPr="00B44440" w14:paraId="31D1294E" w14:textId="77777777" w:rsidTr="001101BB">
        <w:tc>
          <w:tcPr>
            <w:tcW w:w="5949" w:type="dxa"/>
          </w:tcPr>
          <w:p w14:paraId="39B91B4D" w14:textId="40FB218A" w:rsidR="0074163C" w:rsidRPr="00B44440" w:rsidRDefault="0074163C" w:rsidP="009E5A87">
            <w:r w:rsidRPr="00B44440">
              <w:t>Sponsor provides responses on questions raised in first round evaluation</w:t>
            </w:r>
          </w:p>
        </w:tc>
        <w:tc>
          <w:tcPr>
            <w:tcW w:w="2866" w:type="dxa"/>
          </w:tcPr>
          <w:p w14:paraId="0D59319E" w14:textId="2193EC90" w:rsidR="006E156B" w:rsidRPr="00B44440" w:rsidRDefault="006E156B" w:rsidP="009E5A87">
            <w:r w:rsidRPr="006E156B">
              <w:t>21 April 2022</w:t>
            </w:r>
          </w:p>
        </w:tc>
      </w:tr>
      <w:tr w:rsidR="0074163C" w:rsidRPr="00B44440" w14:paraId="418B049B" w14:textId="77777777" w:rsidTr="001101BB">
        <w:tc>
          <w:tcPr>
            <w:tcW w:w="5949" w:type="dxa"/>
          </w:tcPr>
          <w:p w14:paraId="402A63F0" w14:textId="77777777" w:rsidR="0074163C" w:rsidRPr="00B44440" w:rsidRDefault="0074163C" w:rsidP="009E5A87">
            <w:r w:rsidRPr="00B44440">
              <w:t>Second round evaluation completed</w:t>
            </w:r>
          </w:p>
        </w:tc>
        <w:tc>
          <w:tcPr>
            <w:tcW w:w="2866" w:type="dxa"/>
          </w:tcPr>
          <w:p w14:paraId="3548B66B" w14:textId="22256417" w:rsidR="0074163C" w:rsidRPr="00B44440" w:rsidRDefault="00325824" w:rsidP="009E5A87">
            <w:r w:rsidRPr="00B44440">
              <w:t>25 May 2022</w:t>
            </w:r>
          </w:p>
        </w:tc>
      </w:tr>
      <w:tr w:rsidR="0074163C" w:rsidRPr="00B44440" w14:paraId="7FF4B9B2" w14:textId="77777777" w:rsidTr="001101BB">
        <w:tc>
          <w:tcPr>
            <w:tcW w:w="5949" w:type="dxa"/>
          </w:tcPr>
          <w:p w14:paraId="0D3C9111" w14:textId="383FD48E" w:rsidR="0074163C" w:rsidRPr="00B44440" w:rsidRDefault="0074163C" w:rsidP="009E5A87">
            <w:r w:rsidRPr="00B44440">
              <w:t>Delegate’s Overall benefit-risk assessment</w:t>
            </w:r>
          </w:p>
        </w:tc>
        <w:tc>
          <w:tcPr>
            <w:tcW w:w="2866" w:type="dxa"/>
          </w:tcPr>
          <w:p w14:paraId="6795FC16" w14:textId="26368438" w:rsidR="0074163C" w:rsidRPr="00B44440" w:rsidRDefault="00325824" w:rsidP="009E5A87">
            <w:r w:rsidRPr="00B44440">
              <w:t>30 June 2022</w:t>
            </w:r>
          </w:p>
        </w:tc>
      </w:tr>
      <w:tr w:rsidR="0074163C" w:rsidRPr="00B44440" w14:paraId="69C1E1EB" w14:textId="77777777" w:rsidTr="001101BB">
        <w:tc>
          <w:tcPr>
            <w:tcW w:w="5949" w:type="dxa"/>
          </w:tcPr>
          <w:p w14:paraId="6A84DC78" w14:textId="77777777" w:rsidR="0074163C" w:rsidRPr="00B44440" w:rsidRDefault="0074163C" w:rsidP="009E5A87">
            <w:r w:rsidRPr="00B44440">
              <w:t>Sponsor’s pre-Advisory Committee response</w:t>
            </w:r>
          </w:p>
        </w:tc>
        <w:tc>
          <w:tcPr>
            <w:tcW w:w="2866" w:type="dxa"/>
          </w:tcPr>
          <w:p w14:paraId="060ADCB6" w14:textId="28601A96" w:rsidR="0074163C" w:rsidRPr="00B44440" w:rsidRDefault="00325824" w:rsidP="009E5A87">
            <w:r w:rsidRPr="00B44440">
              <w:t>Not applicable</w:t>
            </w:r>
          </w:p>
        </w:tc>
      </w:tr>
      <w:tr w:rsidR="0074163C" w:rsidRPr="00B44440" w14:paraId="1D021DA3" w14:textId="77777777" w:rsidTr="001101BB">
        <w:tc>
          <w:tcPr>
            <w:tcW w:w="5949" w:type="dxa"/>
          </w:tcPr>
          <w:p w14:paraId="4E04F03A" w14:textId="77777777" w:rsidR="0074163C" w:rsidRPr="00B44440" w:rsidRDefault="0074163C" w:rsidP="009E5A87">
            <w:r w:rsidRPr="00B44440">
              <w:t>Advisory Committee meeting</w:t>
            </w:r>
          </w:p>
        </w:tc>
        <w:tc>
          <w:tcPr>
            <w:tcW w:w="2866" w:type="dxa"/>
          </w:tcPr>
          <w:p w14:paraId="2E80C494" w14:textId="41F13CAA" w:rsidR="0074163C" w:rsidRPr="00B44440" w:rsidRDefault="00325824" w:rsidP="009E5A87">
            <w:r w:rsidRPr="00B44440">
              <w:t>Not applicable</w:t>
            </w:r>
          </w:p>
        </w:tc>
      </w:tr>
      <w:tr w:rsidR="0074163C" w:rsidRPr="00B44440" w14:paraId="634D2C98" w14:textId="77777777" w:rsidTr="001101BB">
        <w:tc>
          <w:tcPr>
            <w:tcW w:w="5949" w:type="dxa"/>
          </w:tcPr>
          <w:p w14:paraId="7537AEB5" w14:textId="77777777" w:rsidR="0074163C" w:rsidRPr="00B44440" w:rsidRDefault="0074163C" w:rsidP="009E5A87">
            <w:r w:rsidRPr="00B44440">
              <w:t>Registration decision (Outcome)</w:t>
            </w:r>
          </w:p>
        </w:tc>
        <w:tc>
          <w:tcPr>
            <w:tcW w:w="2866" w:type="dxa"/>
          </w:tcPr>
          <w:p w14:paraId="7436544E" w14:textId="30C37E13" w:rsidR="0074163C" w:rsidRPr="00B44440" w:rsidRDefault="00923038" w:rsidP="009E5A87">
            <w:r w:rsidRPr="00B44440">
              <w:t>16 August 2022</w:t>
            </w:r>
          </w:p>
        </w:tc>
      </w:tr>
      <w:tr w:rsidR="0074163C" w:rsidRPr="00B44440" w14:paraId="6E2646B1" w14:textId="77777777" w:rsidTr="001101BB">
        <w:tc>
          <w:tcPr>
            <w:tcW w:w="5949" w:type="dxa"/>
          </w:tcPr>
          <w:p w14:paraId="22B4B197" w14:textId="77777777" w:rsidR="0074163C" w:rsidRPr="00B44440" w:rsidRDefault="0074163C" w:rsidP="009E5A87">
            <w:r w:rsidRPr="00B44440">
              <w:t>Completion of administrative activities and registration on the ARTG</w:t>
            </w:r>
          </w:p>
        </w:tc>
        <w:tc>
          <w:tcPr>
            <w:tcW w:w="2866" w:type="dxa"/>
          </w:tcPr>
          <w:p w14:paraId="090DB6B0" w14:textId="56828DC2" w:rsidR="0074163C" w:rsidRPr="00B44440" w:rsidRDefault="00325824" w:rsidP="009E5A87">
            <w:r w:rsidRPr="00B44440">
              <w:t>24 August 2022</w:t>
            </w:r>
          </w:p>
        </w:tc>
      </w:tr>
      <w:tr w:rsidR="0074163C" w:rsidRPr="00B44440" w14:paraId="2E93BC00" w14:textId="77777777" w:rsidTr="001101BB">
        <w:tc>
          <w:tcPr>
            <w:tcW w:w="5949" w:type="dxa"/>
          </w:tcPr>
          <w:p w14:paraId="4D72DC73" w14:textId="77777777" w:rsidR="0074163C" w:rsidRPr="00B44440" w:rsidRDefault="0074163C" w:rsidP="009E5A87">
            <w:r w:rsidRPr="00B44440">
              <w:t>Number of working days from submission dossier acceptance to registration decision*</w:t>
            </w:r>
          </w:p>
        </w:tc>
        <w:tc>
          <w:tcPr>
            <w:tcW w:w="2866" w:type="dxa"/>
          </w:tcPr>
          <w:p w14:paraId="4A801433" w14:textId="568ACD92" w:rsidR="0074163C" w:rsidRPr="00B44440" w:rsidRDefault="00325824" w:rsidP="009E5A87">
            <w:r w:rsidRPr="00B44440">
              <w:t>152</w:t>
            </w:r>
          </w:p>
        </w:tc>
      </w:tr>
    </w:tbl>
    <w:p w14:paraId="320CD634" w14:textId="77777777" w:rsidR="0074163C" w:rsidRPr="00B44440" w:rsidRDefault="0074163C" w:rsidP="0074163C">
      <w:pPr>
        <w:pStyle w:val="TableDescription"/>
      </w:pPr>
      <w:r w:rsidRPr="00B44440">
        <w:t>*The COR-B process has a 175 working day evaluation and decision timeframe.</w:t>
      </w:r>
    </w:p>
    <w:p w14:paraId="7578BF45" w14:textId="77777777" w:rsidR="008E7846" w:rsidRPr="00B44440" w:rsidRDefault="00006FAB" w:rsidP="008E7846">
      <w:pPr>
        <w:pStyle w:val="Heading2"/>
      </w:pPr>
      <w:bookmarkStart w:id="25" w:name="_Toc196046504"/>
      <w:bookmarkStart w:id="26" w:name="_Toc247691527"/>
      <w:bookmarkStart w:id="27" w:name="_Toc314842510"/>
      <w:bookmarkStart w:id="28" w:name="_Toc133421039"/>
      <w:bookmarkStart w:id="29" w:name="_Toc163441390"/>
      <w:bookmarkEnd w:id="1"/>
      <w:bookmarkEnd w:id="22"/>
      <w:bookmarkEnd w:id="23"/>
      <w:r w:rsidRPr="00B44440">
        <w:t xml:space="preserve">Submission overview </w:t>
      </w:r>
      <w:r w:rsidR="008E7846" w:rsidRPr="00B44440">
        <w:t>and risk/benefit assessment</w:t>
      </w:r>
      <w:bookmarkEnd w:id="25"/>
      <w:bookmarkEnd w:id="26"/>
      <w:bookmarkEnd w:id="27"/>
      <w:bookmarkEnd w:id="28"/>
    </w:p>
    <w:p w14:paraId="344EAD28" w14:textId="77777777" w:rsidR="005A79F5" w:rsidRPr="00B44440" w:rsidRDefault="005A79F5" w:rsidP="0074163C">
      <w:pPr>
        <w:pStyle w:val="Instructions"/>
        <w:rPr>
          <w:i w:val="0"/>
          <w:color w:val="auto"/>
        </w:rPr>
      </w:pPr>
      <w:bookmarkStart w:id="30" w:name="_Toc247691528"/>
      <w:bookmarkStart w:id="31" w:name="_Toc314842511"/>
      <w:r w:rsidRPr="00B44440">
        <w:rPr>
          <w:i w:val="0"/>
          <w:color w:val="auto"/>
        </w:rPr>
        <w:t>A summary of the TGA’s assessment for this submission is provided below.</w:t>
      </w:r>
    </w:p>
    <w:p w14:paraId="77825B2E" w14:textId="47A5F622" w:rsidR="0074163C" w:rsidRPr="00B44440" w:rsidRDefault="0074163C" w:rsidP="0074163C">
      <w:r w:rsidRPr="00B44440">
        <w:t>This section is a TGA summary of wording used in TGA’s evaluation report</w:t>
      </w:r>
      <w:r w:rsidR="001E607D">
        <w:t>s</w:t>
      </w:r>
      <w:r w:rsidRPr="00B44440">
        <w:t>, which discussed numerous aspects of overseas evaluation reports and included some information that was commercial-in-confidence.</w:t>
      </w:r>
    </w:p>
    <w:p w14:paraId="3D0A3621" w14:textId="2992C433" w:rsidR="0074163C" w:rsidRPr="00B44440" w:rsidRDefault="0074163C" w:rsidP="00325824">
      <w:r w:rsidRPr="00B44440">
        <w:t xml:space="preserve">Relevant guidelines referred to by the Delegate </w:t>
      </w:r>
      <w:r w:rsidR="001E607D">
        <w:t xml:space="preserve">or relevant to the submission </w:t>
      </w:r>
      <w:r w:rsidR="00325824" w:rsidRPr="00B44440">
        <w:t>are listed below:</w:t>
      </w:r>
    </w:p>
    <w:p w14:paraId="1EC681A0" w14:textId="53A2AD51" w:rsidR="009B265E" w:rsidRDefault="009B265E" w:rsidP="009B265E">
      <w:pPr>
        <w:pStyle w:val="ListBullet"/>
      </w:pPr>
      <w:r w:rsidRPr="00B44440">
        <w:t xml:space="preserve">European Medicines Agency (EMA), Committee for Medicinal Products for Human Use (CHMP), </w:t>
      </w:r>
      <w:r w:rsidRPr="006F18EF">
        <w:t>Guideline on Similar Biological Medicinal Products</w:t>
      </w:r>
      <w:r w:rsidRPr="00B44440">
        <w:t>, CHMP/437/04 Rev</w:t>
      </w:r>
      <w:r w:rsidR="00C545FE">
        <w:t xml:space="preserve"> </w:t>
      </w:r>
      <w:r w:rsidRPr="00B44440">
        <w:t>1, 23</w:t>
      </w:r>
      <w:r w:rsidR="00F76FA0" w:rsidRPr="00B44440">
        <w:t> </w:t>
      </w:r>
      <w:r w:rsidRPr="00B44440">
        <w:t>October 2014.</w:t>
      </w:r>
    </w:p>
    <w:p w14:paraId="5B3978FF" w14:textId="0EB7D7F7" w:rsidR="00EB5AA0" w:rsidRDefault="00EB5AA0" w:rsidP="00EB5AA0">
      <w:pPr>
        <w:pStyle w:val="ListBullet"/>
      </w:pPr>
      <w:r w:rsidRPr="00B44440">
        <w:t xml:space="preserve">European Medicines Agency (EMA), Committee for Medicinal Products for Human Use (CHMP), </w:t>
      </w:r>
      <w:r w:rsidRPr="006F18EF">
        <w:t>Guideline on Similar Biological Medicinal Products Containing Biotechnology</w:t>
      </w:r>
      <w:r w:rsidRPr="006F18EF">
        <w:noBreakHyphen/>
        <w:t>Derived Proteins as Active Substance: Non-clinical and Clinical Issues</w:t>
      </w:r>
      <w:r w:rsidRPr="00B44440">
        <w:t>, EMEA/CHMP/BMWP/42832/2005 Rev</w:t>
      </w:r>
      <w:r w:rsidR="00C545FE">
        <w:t xml:space="preserve"> </w:t>
      </w:r>
      <w:r w:rsidRPr="00B44440">
        <w:t>1, 18 December 2014.</w:t>
      </w:r>
    </w:p>
    <w:p w14:paraId="6A1EE3AB" w14:textId="0E63ECCD" w:rsidR="009B265E" w:rsidRDefault="009B265E" w:rsidP="009B265E">
      <w:pPr>
        <w:pStyle w:val="ListBullet"/>
      </w:pPr>
      <w:r w:rsidRPr="00B44440">
        <w:t xml:space="preserve">European Medicines Agency (EMA), Committee for Medicinal Products for Human Use (CHMP), </w:t>
      </w:r>
      <w:r w:rsidRPr="006F18EF">
        <w:t xml:space="preserve">Guideline on Similar Biological Medicinal Products Containing </w:t>
      </w:r>
      <w:r w:rsidRPr="006F18EF">
        <w:lastRenderedPageBreak/>
        <w:t>Biotechnology</w:t>
      </w:r>
      <w:r w:rsidR="00F76FA0" w:rsidRPr="006F18EF">
        <w:noBreakHyphen/>
      </w:r>
      <w:r w:rsidRPr="006F18EF">
        <w:t>Derived Proteins as Active Substance: Quality Issues</w:t>
      </w:r>
      <w:r w:rsidRPr="00B44440">
        <w:t xml:space="preserve"> (Revision 1), EMA/CHMP/BWP/247713/2012, 22 May 2014.</w:t>
      </w:r>
    </w:p>
    <w:p w14:paraId="3FF5DC40" w14:textId="10DA0ED7" w:rsidR="00EB5AA0" w:rsidRDefault="00EB5AA0" w:rsidP="00EB5AA0">
      <w:pPr>
        <w:pStyle w:val="ListBullet"/>
      </w:pPr>
      <w:r w:rsidRPr="00326373">
        <w:t>European Medicines Agency (EMA), Committee for Medicinal Products for Human Use (CHMP),</w:t>
      </w:r>
      <w:r w:rsidRPr="00EB5AA0">
        <w:t xml:space="preserve"> </w:t>
      </w:r>
      <w:r w:rsidRPr="006F18EF">
        <w:t>Guideline on Similar Biological Medicinal Products Containing Monoclonal Antibodies - Non-clinical and Clinical Issues</w:t>
      </w:r>
      <w:r>
        <w:t>, EMA/CHMP/BMWP/403543/2010, 30</w:t>
      </w:r>
      <w:r w:rsidR="00046CAF">
        <w:t> </w:t>
      </w:r>
      <w:r>
        <w:t>May 2012.</w:t>
      </w:r>
    </w:p>
    <w:p w14:paraId="10D9A1C6" w14:textId="600A2ABA" w:rsidR="00DF2553" w:rsidRDefault="00DF2553" w:rsidP="006F18EF">
      <w:r>
        <w:t xml:space="preserve">See the TGA website for further information for further information on </w:t>
      </w:r>
      <w:hyperlink r:id="rId20" w:history="1">
        <w:r>
          <w:rPr>
            <w:rStyle w:val="Hyperlink"/>
          </w:rPr>
          <w:t>biosimilar medicines regulation.</w:t>
        </w:r>
      </w:hyperlink>
    </w:p>
    <w:p w14:paraId="52F5DABA" w14:textId="77777777" w:rsidR="008E7846" w:rsidRPr="00B44440" w:rsidRDefault="008E7846" w:rsidP="008E7846">
      <w:pPr>
        <w:pStyle w:val="Heading3"/>
      </w:pPr>
      <w:bookmarkStart w:id="32" w:name="_Toc133421040"/>
      <w:r w:rsidRPr="00B44440">
        <w:t>Quality</w:t>
      </w:r>
      <w:bookmarkEnd w:id="30"/>
      <w:bookmarkEnd w:id="31"/>
      <w:bookmarkEnd w:id="32"/>
    </w:p>
    <w:p w14:paraId="74C7B1A3" w14:textId="0419958F" w:rsidR="00AE7664" w:rsidRPr="00B44440" w:rsidRDefault="00AE7664" w:rsidP="00AE7664">
      <w:r w:rsidRPr="00B44440">
        <w:t xml:space="preserve">The </w:t>
      </w:r>
      <w:r w:rsidR="00F76FA0" w:rsidRPr="00B44440">
        <w:t>quality</w:t>
      </w:r>
      <w:r w:rsidRPr="00B44440">
        <w:t xml:space="preserve"> dossier </w:t>
      </w:r>
      <w:r w:rsidR="00F76FA0" w:rsidRPr="00B44440">
        <w:t xml:space="preserve">that the sponsor </w:t>
      </w:r>
      <w:r w:rsidRPr="00B44440">
        <w:t xml:space="preserve">submitted in Australia is the same as that submitted to </w:t>
      </w:r>
      <w:r w:rsidR="00F76FA0" w:rsidRPr="00B44440">
        <w:t xml:space="preserve">the </w:t>
      </w:r>
      <w:r w:rsidR="0080282E" w:rsidRPr="0080282E">
        <w:t xml:space="preserve">European Medicines Agency </w:t>
      </w:r>
      <w:r w:rsidR="0080282E">
        <w:t>(</w:t>
      </w:r>
      <w:r w:rsidRPr="00B44440">
        <w:t>EMA</w:t>
      </w:r>
      <w:r w:rsidR="0080282E">
        <w:t>)</w:t>
      </w:r>
      <w:r w:rsidRPr="00B44440">
        <w:t>, except for some differences due to country</w:t>
      </w:r>
      <w:r w:rsidR="001E607D">
        <w:noBreakHyphen/>
      </w:r>
      <w:r w:rsidRPr="00B44440">
        <w:t xml:space="preserve">specific requirements, such as labelling order and additional </w:t>
      </w:r>
      <w:proofErr w:type="spellStart"/>
      <w:r w:rsidRPr="00B44440">
        <w:t>biosimilarity</w:t>
      </w:r>
      <w:proofErr w:type="spellEnd"/>
      <w:r w:rsidRPr="00B44440">
        <w:t xml:space="preserve"> data. The dossier included a bridging study to Australian-sourced </w:t>
      </w:r>
      <w:r w:rsidR="001735C1" w:rsidRPr="00B44440">
        <w:t>Lucentis</w:t>
      </w:r>
      <w:r w:rsidRPr="00B44440">
        <w:t xml:space="preserve">, in line with </w:t>
      </w:r>
      <w:r w:rsidR="00CB05AE" w:rsidRPr="00B44440">
        <w:t xml:space="preserve">the </w:t>
      </w:r>
      <w:r w:rsidRPr="00B44440">
        <w:t>TGA biosimilar guidelines.</w:t>
      </w:r>
    </w:p>
    <w:p w14:paraId="2E44C3B8" w14:textId="648B3D07" w:rsidR="0010381D" w:rsidRDefault="00AE7664" w:rsidP="00CB05AE">
      <w:r w:rsidRPr="00B44440">
        <w:t xml:space="preserve">The assessment of </w:t>
      </w:r>
      <w:proofErr w:type="spellStart"/>
      <w:r w:rsidRPr="00B44440">
        <w:t>biosimilarity</w:t>
      </w:r>
      <w:proofErr w:type="spellEnd"/>
      <w:r w:rsidRPr="00B44440">
        <w:t xml:space="preserve"> included a comprehensive comparison of physicochemical and biological quality attributes</w:t>
      </w:r>
      <w:r w:rsidR="0010381D">
        <w:t xml:space="preserve"> of ranibizumab in the form of Lucentis (the reference/innovator product) and </w:t>
      </w:r>
      <w:proofErr w:type="spellStart"/>
      <w:r w:rsidR="0010381D">
        <w:t>Byooviz</w:t>
      </w:r>
      <w:proofErr w:type="spellEnd"/>
      <w:r w:rsidR="0010381D">
        <w:t xml:space="preserve"> (biosimilar)</w:t>
      </w:r>
      <w:r w:rsidRPr="00B44440">
        <w:t>.</w:t>
      </w:r>
    </w:p>
    <w:p w14:paraId="2BF69F5F" w14:textId="4CB12A95" w:rsidR="00AE7664" w:rsidRPr="00B44440" w:rsidRDefault="00AE7664" w:rsidP="00CB05AE">
      <w:r w:rsidRPr="00B44440">
        <w:t xml:space="preserve">First, a three-way comparison was performed between </w:t>
      </w:r>
      <w:proofErr w:type="spellStart"/>
      <w:r w:rsidR="001735C1" w:rsidRPr="00B44440">
        <w:t>Byooviz</w:t>
      </w:r>
      <w:proofErr w:type="spellEnd"/>
      <w:r w:rsidRPr="00B44440">
        <w:t xml:space="preserve">, 17 batches of </w:t>
      </w:r>
      <w:r w:rsidR="0080282E" w:rsidRPr="0080282E">
        <w:t>European Union (EU)</w:t>
      </w:r>
      <w:r w:rsidRPr="00B44440">
        <w:t xml:space="preserve">-sourced </w:t>
      </w:r>
      <w:r w:rsidR="001735C1" w:rsidRPr="00B44440">
        <w:t>Lucentis</w:t>
      </w:r>
      <w:r w:rsidRPr="00B44440">
        <w:t xml:space="preserve">, and 26 batches of </w:t>
      </w:r>
      <w:r w:rsidR="0080282E" w:rsidRPr="0080282E">
        <w:t xml:space="preserve">United States </w:t>
      </w:r>
      <w:r w:rsidR="0080282E">
        <w:t>(</w:t>
      </w:r>
      <w:r w:rsidRPr="00B44440">
        <w:t>US</w:t>
      </w:r>
      <w:r w:rsidR="0080282E">
        <w:t>)</w:t>
      </w:r>
      <w:r w:rsidRPr="00B44440">
        <w:t xml:space="preserve">-sourced </w:t>
      </w:r>
      <w:r w:rsidR="001735C1" w:rsidRPr="00B44440">
        <w:t>Lucentis</w:t>
      </w:r>
      <w:r w:rsidRPr="00B44440">
        <w:t xml:space="preserve"> with respect to key quality attributes.</w:t>
      </w:r>
      <w:r w:rsidR="00962117" w:rsidRPr="00B44440">
        <w:t xml:space="preserve"> </w:t>
      </w:r>
      <w:r w:rsidRPr="00B44440">
        <w:t>Subsequently, a side</w:t>
      </w:r>
      <w:r w:rsidR="00046CAF">
        <w:noBreakHyphen/>
      </w:r>
      <w:r w:rsidRPr="00B44440">
        <w:t xml:space="preserve">by-side comparability study was conducted which included three EU-sourced </w:t>
      </w:r>
      <w:r w:rsidR="001735C1" w:rsidRPr="00B44440">
        <w:t>Lucentis</w:t>
      </w:r>
      <w:r w:rsidRPr="00B44440">
        <w:t xml:space="preserve"> lots, three US-sourced </w:t>
      </w:r>
      <w:r w:rsidR="001735C1" w:rsidRPr="00B44440">
        <w:t>Lucentis</w:t>
      </w:r>
      <w:r w:rsidRPr="00B44440">
        <w:t xml:space="preserve"> lots, as well as three Korean</w:t>
      </w:r>
      <w:r w:rsidR="00CB05AE" w:rsidRPr="00B44440">
        <w:t>-</w:t>
      </w:r>
      <w:r w:rsidRPr="00B44440">
        <w:t xml:space="preserve">sourced </w:t>
      </w:r>
      <w:r w:rsidR="001735C1" w:rsidRPr="00B44440">
        <w:t>Lucentis</w:t>
      </w:r>
      <w:r w:rsidRPr="00B44440">
        <w:t xml:space="preserve"> lots as supportive data.</w:t>
      </w:r>
      <w:r w:rsidR="00962117" w:rsidRPr="00B44440">
        <w:t xml:space="preserve"> </w:t>
      </w:r>
      <w:r w:rsidRPr="00B44440">
        <w:t>These lots were compared against 10 active substance batches (</w:t>
      </w:r>
      <w:r w:rsidR="00CB05AE" w:rsidRPr="00B44440">
        <w:t>one</w:t>
      </w:r>
      <w:r w:rsidRPr="00B44440">
        <w:t xml:space="preserve"> clinical and 9 </w:t>
      </w:r>
      <w:r w:rsidR="00CB05AE" w:rsidRPr="00B44440">
        <w:t xml:space="preserve">process performance qualification </w:t>
      </w:r>
      <w:r w:rsidRPr="00B44440">
        <w:t>batches) and 6 finished product batches (3</w:t>
      </w:r>
      <w:r w:rsidR="00046CAF">
        <w:t> </w:t>
      </w:r>
      <w:r w:rsidRPr="00B44440">
        <w:t xml:space="preserve">clinical </w:t>
      </w:r>
      <w:r w:rsidR="00CB05AE" w:rsidRPr="00B44440">
        <w:t>and</w:t>
      </w:r>
      <w:r w:rsidRPr="00B44440">
        <w:t xml:space="preserve"> 3 </w:t>
      </w:r>
      <w:r w:rsidR="00CB05AE" w:rsidRPr="00B44440">
        <w:t xml:space="preserve">process performance qualification </w:t>
      </w:r>
      <w:r w:rsidRPr="00B44440">
        <w:t xml:space="preserve">batches) of </w:t>
      </w:r>
      <w:proofErr w:type="spellStart"/>
      <w:r w:rsidR="001735C1" w:rsidRPr="00B44440">
        <w:t>Byooviz</w:t>
      </w:r>
      <w:proofErr w:type="spellEnd"/>
      <w:r w:rsidRPr="00B44440">
        <w:t>.</w:t>
      </w:r>
    </w:p>
    <w:p w14:paraId="2F4CBB61" w14:textId="5BDEBC08" w:rsidR="00AE7664" w:rsidRPr="00B44440" w:rsidRDefault="00AE7664" w:rsidP="00AE7664">
      <w:r w:rsidRPr="00B44440">
        <w:t xml:space="preserve">The comparative assessments of physicochemical and biological quality attributes show that </w:t>
      </w:r>
      <w:proofErr w:type="spellStart"/>
      <w:r w:rsidR="001735C1" w:rsidRPr="00B44440">
        <w:t>Byooviz</w:t>
      </w:r>
      <w:proofErr w:type="spellEnd"/>
      <w:r w:rsidRPr="00B44440">
        <w:t xml:space="preserve"> is structurally </w:t>
      </w:r>
      <w:proofErr w:type="gramStart"/>
      <w:r w:rsidRPr="00B44440">
        <w:t>similar to</w:t>
      </w:r>
      <w:proofErr w:type="gramEnd"/>
      <w:r w:rsidRPr="00B44440">
        <w:t xml:space="preserve"> EU- and US-sourced </w:t>
      </w:r>
      <w:r w:rsidR="001735C1" w:rsidRPr="00B44440">
        <w:t>Lucentis</w:t>
      </w:r>
      <w:r w:rsidRPr="00B44440">
        <w:t xml:space="preserve"> and has similar biological activity.</w:t>
      </w:r>
      <w:r w:rsidR="00962117" w:rsidRPr="00B44440">
        <w:t xml:space="preserve"> </w:t>
      </w:r>
      <w:r w:rsidRPr="00B44440">
        <w:t>Comparative stability studies showed similar degradation profiles.</w:t>
      </w:r>
      <w:r w:rsidR="00962117" w:rsidRPr="00B44440">
        <w:t xml:space="preserve"> </w:t>
      </w:r>
      <w:r w:rsidRPr="00B44440">
        <w:t xml:space="preserve">A bridging study comparing three batches </w:t>
      </w:r>
      <w:bookmarkStart w:id="33" w:name="_Hlk102647455"/>
      <w:r w:rsidRPr="00B44440">
        <w:t xml:space="preserve">of Australian-sourced </w:t>
      </w:r>
      <w:bookmarkEnd w:id="33"/>
      <w:r w:rsidR="001735C1" w:rsidRPr="00B44440">
        <w:t>Lucentis</w:t>
      </w:r>
      <w:r w:rsidRPr="00B44440">
        <w:t xml:space="preserve"> to one batch of US</w:t>
      </w:r>
      <w:r w:rsidR="00CB05AE" w:rsidRPr="00B44440">
        <w:noBreakHyphen/>
      </w:r>
      <w:r w:rsidRPr="00B44440">
        <w:t xml:space="preserve">sourced </w:t>
      </w:r>
      <w:r w:rsidR="001735C1" w:rsidRPr="00B44440">
        <w:t>Lucentis</w:t>
      </w:r>
      <w:r w:rsidRPr="00B44440">
        <w:t xml:space="preserve"> showed that Australian-sourced </w:t>
      </w:r>
      <w:r w:rsidR="001735C1" w:rsidRPr="00B44440">
        <w:t>Lucentis</w:t>
      </w:r>
      <w:r w:rsidRPr="00B44440">
        <w:t xml:space="preserve"> is highly </w:t>
      </w:r>
      <w:proofErr w:type="gramStart"/>
      <w:r w:rsidRPr="00B44440">
        <w:t>similar to</w:t>
      </w:r>
      <w:proofErr w:type="gramEnd"/>
      <w:r w:rsidRPr="00B44440">
        <w:t xml:space="preserve"> US</w:t>
      </w:r>
      <w:r w:rsidR="00CB05AE" w:rsidRPr="00B44440">
        <w:noBreakHyphen/>
      </w:r>
      <w:r w:rsidRPr="00B44440">
        <w:t xml:space="preserve">sourced </w:t>
      </w:r>
      <w:r w:rsidR="001735C1" w:rsidRPr="00B44440">
        <w:t>Lucentis</w:t>
      </w:r>
      <w:r w:rsidRPr="00B44440">
        <w:t>.</w:t>
      </w:r>
    </w:p>
    <w:p w14:paraId="2DBD5719" w14:textId="2C0896AB" w:rsidR="00AE7664" w:rsidRPr="00B44440" w:rsidRDefault="00AE7664" w:rsidP="00AE7664">
      <w:r w:rsidRPr="00B44440">
        <w:t xml:space="preserve">The comprehensive characterisation studies support a conclusion of </w:t>
      </w:r>
      <w:proofErr w:type="spellStart"/>
      <w:r w:rsidRPr="00B44440">
        <w:t>biosimilarity</w:t>
      </w:r>
      <w:proofErr w:type="spellEnd"/>
      <w:r w:rsidRPr="00B44440">
        <w:t xml:space="preserve"> of </w:t>
      </w:r>
      <w:proofErr w:type="spellStart"/>
      <w:r w:rsidR="001735C1" w:rsidRPr="00B44440">
        <w:t>Byooviz</w:t>
      </w:r>
      <w:proofErr w:type="spellEnd"/>
      <w:r w:rsidRPr="00B44440">
        <w:t xml:space="preserve"> to </w:t>
      </w:r>
      <w:r w:rsidR="001735C1" w:rsidRPr="00B44440">
        <w:t>Lucentis</w:t>
      </w:r>
      <w:r w:rsidRPr="00B44440">
        <w:t xml:space="preserve"> with respect to physicochemical and biological properties.</w:t>
      </w:r>
    </w:p>
    <w:p w14:paraId="53C33246" w14:textId="43BB6554" w:rsidR="00AE7664" w:rsidRPr="00B44440" w:rsidRDefault="00AE7664" w:rsidP="00AE7664">
      <w:r w:rsidRPr="00B44440">
        <w:t xml:space="preserve">The active substance and finished product manufacturing processes </w:t>
      </w:r>
      <w:r w:rsidR="0010381D">
        <w:t>were</w:t>
      </w:r>
      <w:r w:rsidR="0010381D" w:rsidRPr="00B44440">
        <w:t xml:space="preserve"> </w:t>
      </w:r>
      <w:r w:rsidRPr="00B44440">
        <w:t xml:space="preserve">detailed in the </w:t>
      </w:r>
      <w:r w:rsidR="0010381D">
        <w:t xml:space="preserve">pharmaceutical chemistry and quality </w:t>
      </w:r>
      <w:r w:rsidRPr="00B44440">
        <w:t>evaluation reports.</w:t>
      </w:r>
      <w:r w:rsidR="00962117" w:rsidRPr="00B44440">
        <w:t xml:space="preserve"> </w:t>
      </w:r>
      <w:r w:rsidRPr="00B44440">
        <w:t xml:space="preserve">There are no outstanding concerns with the manufacturing processes, and no outstanding issues with </w:t>
      </w:r>
      <w:r w:rsidR="00032300" w:rsidRPr="00032300">
        <w:t>Good Manufacturing Practice</w:t>
      </w:r>
      <w:r w:rsidR="00032300">
        <w:t>;</w:t>
      </w:r>
      <w:r w:rsidR="00032300">
        <w:rPr>
          <w:rStyle w:val="FootnoteReference"/>
        </w:rPr>
        <w:footnoteReference w:id="12"/>
      </w:r>
      <w:r w:rsidRPr="00B44440">
        <w:t xml:space="preserve"> clearances for the manufacturing sites.</w:t>
      </w:r>
    </w:p>
    <w:p w14:paraId="026C7941" w14:textId="7A1A8B71" w:rsidR="00AE7664" w:rsidRPr="00B44440" w:rsidRDefault="00AE7664" w:rsidP="00AE7664">
      <w:r w:rsidRPr="00B44440">
        <w:t>The product labels are acceptable.</w:t>
      </w:r>
      <w:r w:rsidR="00962117" w:rsidRPr="00B44440">
        <w:t xml:space="preserve"> </w:t>
      </w:r>
      <w:r w:rsidRPr="00B44440">
        <w:t xml:space="preserve">The Product Information is acceptable from a </w:t>
      </w:r>
      <w:r w:rsidR="00F76FA0" w:rsidRPr="00B44440">
        <w:t xml:space="preserve">quality </w:t>
      </w:r>
      <w:r w:rsidRPr="00B44440">
        <w:t>perspective.</w:t>
      </w:r>
    </w:p>
    <w:p w14:paraId="09E6DA17" w14:textId="37B51D2A" w:rsidR="00AE7664" w:rsidRPr="00B44440" w:rsidRDefault="00AE7664" w:rsidP="0074163C">
      <w:r w:rsidRPr="00B44440">
        <w:t xml:space="preserve">There are no objections on quality grounds to the registration of </w:t>
      </w:r>
      <w:proofErr w:type="spellStart"/>
      <w:r w:rsidR="001735C1" w:rsidRPr="00B44440">
        <w:t>Byooviz</w:t>
      </w:r>
      <w:proofErr w:type="spellEnd"/>
      <w:r w:rsidR="0010381D">
        <w:t xml:space="preserve"> (ranibizumab)</w:t>
      </w:r>
      <w:r w:rsidRPr="00B44440">
        <w:t>.</w:t>
      </w:r>
    </w:p>
    <w:p w14:paraId="286570F8" w14:textId="170F428E" w:rsidR="00AE7664" w:rsidRPr="00B44440" w:rsidRDefault="00AE7664" w:rsidP="00AE7664">
      <w:pPr>
        <w:pStyle w:val="Heading4"/>
      </w:pPr>
      <w:r w:rsidRPr="00B44440">
        <w:t>Quality</w:t>
      </w:r>
      <w:r w:rsidR="00CB05AE" w:rsidRPr="00B44440">
        <w:t>-</w:t>
      </w:r>
      <w:r w:rsidRPr="00B44440">
        <w:t>related proposed conditions of registration</w:t>
      </w:r>
    </w:p>
    <w:p w14:paraId="0A1A6834" w14:textId="4744CB8E" w:rsidR="00AE7664" w:rsidRPr="00B44440" w:rsidRDefault="00AE7664" w:rsidP="00AE7664">
      <w:pPr>
        <w:pStyle w:val="ListBullet"/>
      </w:pPr>
      <w:r w:rsidRPr="00B44440">
        <w:t xml:space="preserve">Laboratory testing </w:t>
      </w:r>
      <w:r w:rsidR="00CB05AE" w:rsidRPr="00B44440">
        <w:t>and</w:t>
      </w:r>
      <w:r w:rsidRPr="00B44440">
        <w:t xml:space="preserve"> compliance with Certified Product Details (CPD)</w:t>
      </w:r>
    </w:p>
    <w:p w14:paraId="22C2D35F" w14:textId="33D97869" w:rsidR="00AE7664" w:rsidRPr="00B44440" w:rsidRDefault="00AE7664" w:rsidP="00E3731A">
      <w:pPr>
        <w:pStyle w:val="ListBullet2"/>
      </w:pPr>
      <w:r w:rsidRPr="00B44440">
        <w:lastRenderedPageBreak/>
        <w:t xml:space="preserve">All batches of </w:t>
      </w:r>
      <w:proofErr w:type="spellStart"/>
      <w:r w:rsidR="001735C1" w:rsidRPr="00B44440">
        <w:t>Byooviz</w:t>
      </w:r>
      <w:proofErr w:type="spellEnd"/>
      <w:r w:rsidRPr="00B44440">
        <w:t xml:space="preserve"> ranibizumab supplied in Australia must comply with the product details and specifications approved during evaluation and detailed in the Certified Product Details (CPD).</w:t>
      </w:r>
    </w:p>
    <w:p w14:paraId="34CC044E" w14:textId="01161770" w:rsidR="00E3731A" w:rsidRPr="00B44440" w:rsidRDefault="00AE7664" w:rsidP="00E3731A">
      <w:pPr>
        <w:pStyle w:val="ListBullet2"/>
      </w:pPr>
      <w:r w:rsidRPr="00B44440">
        <w:t xml:space="preserve">When requested by the TGA, the </w:t>
      </w:r>
      <w:r w:rsidR="00A84A5B" w:rsidRPr="00B44440">
        <w:t>sponsor</w:t>
      </w:r>
      <w:r w:rsidRPr="00B44440">
        <w:t xml:space="preserve"> should be prepared to provide product samples, specified reference materials and documentary evidence to enable the TGA to conduct laboratory testing on the </w:t>
      </w:r>
      <w:r w:rsidR="00A84A5B" w:rsidRPr="00B44440">
        <w:t>product</w:t>
      </w:r>
      <w:r w:rsidRPr="00B44440">
        <w:t xml:space="preserve">. Outcomes of laboratory testing are published biannually in the TGA Database of Laboratory Testing Results </w:t>
      </w:r>
      <w:hyperlink r:id="rId21" w:history="1">
        <w:r w:rsidR="00815D7B" w:rsidRPr="00B44440">
          <w:rPr>
            <w:rStyle w:val="Hyperlink"/>
          </w:rPr>
          <w:t>http://www.tga.gov.au/ws-labs-index</w:t>
        </w:r>
      </w:hyperlink>
      <w:r w:rsidR="001B623D" w:rsidRPr="00B44440">
        <w:t xml:space="preserve"> </w:t>
      </w:r>
      <w:r w:rsidRPr="00B44440">
        <w:t>and periodically in testing reports on the TGA website.</w:t>
      </w:r>
    </w:p>
    <w:p w14:paraId="0177D3BA" w14:textId="77777777" w:rsidR="00E3731A" w:rsidRPr="00B44440" w:rsidRDefault="00AE7664" w:rsidP="00E3731A">
      <w:pPr>
        <w:pStyle w:val="ListBullet"/>
        <w:numPr>
          <w:ilvl w:val="0"/>
          <w:numId w:val="0"/>
        </w:numPr>
        <w:ind w:left="360"/>
      </w:pPr>
      <w:r w:rsidRPr="00B44440">
        <w:t>Certified Product Details</w:t>
      </w:r>
    </w:p>
    <w:p w14:paraId="56ABABD7" w14:textId="478DCC73" w:rsidR="00AE7664" w:rsidRPr="00B44440" w:rsidRDefault="00AE7664" w:rsidP="00E3731A">
      <w:pPr>
        <w:pStyle w:val="ListBullet"/>
        <w:numPr>
          <w:ilvl w:val="0"/>
          <w:numId w:val="0"/>
        </w:numPr>
        <w:ind w:left="360"/>
      </w:pPr>
      <w:r w:rsidRPr="00B44440">
        <w:t xml:space="preserve">The Certified Product Details (CPD), as described in Guidance 7: Certified Product Details of the Australian Regulatory Guidelines for Prescription Medicines (ARGPM) </w:t>
      </w:r>
      <w:r w:rsidR="00646F45">
        <w:t>[</w:t>
      </w:r>
      <w:hyperlink r:id="rId22" w:history="1">
        <w:r w:rsidR="00646F45" w:rsidRPr="00047B5F">
          <w:rPr>
            <w:rStyle w:val="Hyperlink"/>
          </w:rPr>
          <w:t>https://www.tga.gov.au/guidance-7-certified-product-details</w:t>
        </w:r>
      </w:hyperlink>
      <w:r w:rsidR="00646F45">
        <w:t>]</w:t>
      </w:r>
      <w:r w:rsidRPr="00B44440">
        <w:t>, in PDF format, for the above products should be provided upon registration of these therapeutic goods. In addition, an updated CPD should be provided when changes to finished product specifications and test methods are approved in a Category 3 application</w:t>
      </w:r>
      <w:r w:rsidR="00032300">
        <w:t>;</w:t>
      </w:r>
      <w:r w:rsidR="00032300">
        <w:rPr>
          <w:rStyle w:val="FootnoteReference"/>
        </w:rPr>
        <w:footnoteReference w:id="13"/>
      </w:r>
      <w:r w:rsidRPr="00B44440">
        <w:t xml:space="preserve"> or notified through a self-assessable change.</w:t>
      </w:r>
    </w:p>
    <w:p w14:paraId="4C9DE4B9" w14:textId="77777777" w:rsidR="008E7846" w:rsidRPr="00B44440" w:rsidRDefault="008E7846" w:rsidP="008E7846">
      <w:pPr>
        <w:pStyle w:val="Heading3"/>
      </w:pPr>
      <w:bookmarkStart w:id="34" w:name="_Toc314842512"/>
      <w:bookmarkStart w:id="35" w:name="_Toc133421041"/>
      <w:r w:rsidRPr="00B44440">
        <w:t>Nonclinical</w:t>
      </w:r>
      <w:bookmarkEnd w:id="34"/>
      <w:bookmarkEnd w:id="35"/>
    </w:p>
    <w:p w14:paraId="19390032" w14:textId="0D949E81" w:rsidR="00E3731A" w:rsidRPr="00B44440" w:rsidRDefault="00E3731A" w:rsidP="001735C1">
      <w:r w:rsidRPr="00B44440">
        <w:t xml:space="preserve">Ranibizumab is a recombinant humanised </w:t>
      </w:r>
      <w:r w:rsidR="00BE3F9B" w:rsidRPr="00B44440">
        <w:t xml:space="preserve">immunoglobulin </w:t>
      </w:r>
      <w:r w:rsidRPr="00B44440">
        <w:t xml:space="preserve">G1κ isotype monoclonal antibody fragment targeted against human </w:t>
      </w:r>
      <w:r w:rsidR="00BE3F9B" w:rsidRPr="00B44440">
        <w:t>vascular endothelial growth factor A (VEGF</w:t>
      </w:r>
      <w:r w:rsidR="00046CAF">
        <w:noBreakHyphen/>
      </w:r>
      <w:r w:rsidR="00BE3F9B" w:rsidRPr="00B44440">
        <w:t>A)</w:t>
      </w:r>
      <w:r w:rsidRPr="00B44440">
        <w:t>.</w:t>
      </w:r>
    </w:p>
    <w:p w14:paraId="3AC93E14" w14:textId="3D01198D" w:rsidR="00E3731A" w:rsidRPr="00B44440" w:rsidRDefault="00111FDF" w:rsidP="001735C1">
      <w:r w:rsidRPr="00B44440">
        <w:t xml:space="preserve">The </w:t>
      </w:r>
      <w:r w:rsidR="00E3731A" w:rsidRPr="00B44440">
        <w:t>EMA</w:t>
      </w:r>
      <w:r w:rsidR="0080282E">
        <w:t>’s</w:t>
      </w:r>
      <w:r w:rsidR="00E3731A" w:rsidRPr="00B44440">
        <w:t xml:space="preserve"> non-clinical guidelines for biosimilar products</w:t>
      </w:r>
      <w:r w:rsidR="00B4770A">
        <w:t>;</w:t>
      </w:r>
      <w:r w:rsidR="00B4770A" w:rsidRPr="00AF7B6B">
        <w:rPr>
          <w:rStyle w:val="FootnoteReference"/>
        </w:rPr>
        <w:footnoteReference w:id="14"/>
      </w:r>
      <w:r w:rsidR="00326373" w:rsidRPr="006F18EF">
        <w:rPr>
          <w:vertAlign w:val="superscript"/>
        </w:rPr>
        <w:t>,</w:t>
      </w:r>
      <w:r w:rsidR="00326373">
        <w:rPr>
          <w:rStyle w:val="FootnoteReference"/>
        </w:rPr>
        <w:footnoteReference w:id="15"/>
      </w:r>
      <w:r w:rsidR="00E3731A" w:rsidRPr="00B44440">
        <w:t xml:space="preserve"> indicate that </w:t>
      </w:r>
      <w:r w:rsidR="00E3731A" w:rsidRPr="00B44440">
        <w:rPr>
          <w:i/>
          <w:iCs/>
        </w:rPr>
        <w:t>in vivo</w:t>
      </w:r>
      <w:r w:rsidR="00E3731A" w:rsidRPr="00B44440">
        <w:t xml:space="preserve"> studies are not required provided</w:t>
      </w:r>
      <w:r w:rsidRPr="00B44440">
        <w:t xml:space="preserve"> </w:t>
      </w:r>
      <w:proofErr w:type="spellStart"/>
      <w:r w:rsidR="00E3731A" w:rsidRPr="00B44440">
        <w:t>biosimilarity</w:t>
      </w:r>
      <w:proofErr w:type="spellEnd"/>
      <w:r w:rsidR="00E3731A" w:rsidRPr="00B44440">
        <w:t xml:space="preserve"> is adequately demonstrated by </w:t>
      </w:r>
      <w:r w:rsidR="00E3731A" w:rsidRPr="00B44440">
        <w:rPr>
          <w:i/>
          <w:iCs/>
        </w:rPr>
        <w:t>in vitro</w:t>
      </w:r>
      <w:r w:rsidR="00E3731A" w:rsidRPr="00B44440">
        <w:t xml:space="preserve"> quality and pharmacology (</w:t>
      </w:r>
      <w:r w:rsidR="00BE3F9B" w:rsidRPr="00B44440">
        <w:t>pharmacodynamics</w:t>
      </w:r>
      <w:r w:rsidR="00E3731A" w:rsidRPr="00B44440">
        <w:t xml:space="preserve"> binding and functional) studies.</w:t>
      </w:r>
      <w:r w:rsidR="00962117" w:rsidRPr="00B44440">
        <w:t xml:space="preserve"> </w:t>
      </w:r>
      <w:r w:rsidR="00E3731A" w:rsidRPr="00B44440">
        <w:t>Nevertheless, for global regulatory purposes, the nonclinical dossier contained one comparative study investigating toxicity in cynomolgus monkeys.</w:t>
      </w:r>
    </w:p>
    <w:p w14:paraId="555F5CC8" w14:textId="1CA2D21F" w:rsidR="00E3731A" w:rsidRPr="00B44440" w:rsidRDefault="00E3731A" w:rsidP="001735C1">
      <w:r w:rsidRPr="00B44440">
        <w:rPr>
          <w:i/>
          <w:iCs/>
        </w:rPr>
        <w:t>In vitro</w:t>
      </w:r>
      <w:r w:rsidRPr="00B44440">
        <w:t xml:space="preserve"> studies (evaluated by the </w:t>
      </w:r>
      <w:r w:rsidR="00F76FA0" w:rsidRPr="00B44440">
        <w:t>quality</w:t>
      </w:r>
      <w:r w:rsidRPr="00B44440">
        <w:t xml:space="preserve"> </w:t>
      </w:r>
      <w:r w:rsidR="00111FDF" w:rsidRPr="00B44440">
        <w:t>evaluation</w:t>
      </w:r>
      <w:r w:rsidRPr="00B44440">
        <w:t xml:space="preserve">) demonstrated </w:t>
      </w:r>
      <w:proofErr w:type="spellStart"/>
      <w:r w:rsidRPr="00B44440">
        <w:t>biosimilarity</w:t>
      </w:r>
      <w:proofErr w:type="spellEnd"/>
      <w:r w:rsidRPr="00B44440">
        <w:t xml:space="preserve"> of </w:t>
      </w:r>
      <w:r w:rsidR="00AF7B6B">
        <w:t xml:space="preserve">ranibizumab as </w:t>
      </w:r>
      <w:proofErr w:type="spellStart"/>
      <w:r w:rsidR="001735C1" w:rsidRPr="00B44440">
        <w:t>Byooviz</w:t>
      </w:r>
      <w:proofErr w:type="spellEnd"/>
      <w:r w:rsidRPr="00B44440">
        <w:t xml:space="preserve"> and </w:t>
      </w:r>
      <w:r w:rsidR="001735C1" w:rsidRPr="00B44440">
        <w:t>Lucentis</w:t>
      </w:r>
      <w:r w:rsidRPr="00B44440">
        <w:t xml:space="preserve">, with no significant differences observed in physicochemical attributes and binding and </w:t>
      </w:r>
      <w:proofErr w:type="gramStart"/>
      <w:r w:rsidRPr="00B44440">
        <w:t>cell</w:t>
      </w:r>
      <w:r w:rsidR="00B30650" w:rsidRPr="00B44440">
        <w:t xml:space="preserve"> </w:t>
      </w:r>
      <w:r w:rsidRPr="00B44440">
        <w:t>based</w:t>
      </w:r>
      <w:proofErr w:type="gramEnd"/>
      <w:r w:rsidRPr="00B44440">
        <w:t xml:space="preserve"> activities.</w:t>
      </w:r>
      <w:r w:rsidR="00962117" w:rsidRPr="00B44440">
        <w:t xml:space="preserve"> </w:t>
      </w:r>
      <w:r w:rsidRPr="00B44440">
        <w:t xml:space="preserve">In a 4-week monkey study, comparable toxicity after intravitreal administration was observed for </w:t>
      </w:r>
      <w:proofErr w:type="spellStart"/>
      <w:r w:rsidR="001735C1" w:rsidRPr="00B44440">
        <w:t>Byooviz</w:t>
      </w:r>
      <w:proofErr w:type="spellEnd"/>
      <w:r w:rsidRPr="00B44440">
        <w:t xml:space="preserve"> and US</w:t>
      </w:r>
      <w:r w:rsidR="00AF7B6B">
        <w:noBreakHyphen/>
        <w:t xml:space="preserve">sourced </w:t>
      </w:r>
      <w:r w:rsidR="001735C1" w:rsidRPr="00B44440">
        <w:t>Lucentis</w:t>
      </w:r>
      <w:r w:rsidRPr="00B44440">
        <w:t xml:space="preserve"> (no systemic toxicity and no ocular toxicity for either product).</w:t>
      </w:r>
      <w:r w:rsidR="00962117" w:rsidRPr="00B44440">
        <w:t xml:space="preserve"> </w:t>
      </w:r>
      <w:r w:rsidRPr="00B44440">
        <w:t xml:space="preserve">Although the duration of this study was short and animal numbers were insufficient for revealing potential subtle differences in toxicity between the two drug products, the results were consistent with </w:t>
      </w:r>
      <w:proofErr w:type="spellStart"/>
      <w:r w:rsidR="001735C1" w:rsidRPr="00B44440">
        <w:t>Byooviz</w:t>
      </w:r>
      <w:proofErr w:type="spellEnd"/>
      <w:r w:rsidRPr="00B44440">
        <w:t xml:space="preserve"> and US-</w:t>
      </w:r>
      <w:r w:rsidR="00AF7B6B">
        <w:t xml:space="preserve">sourced </w:t>
      </w:r>
      <w:r w:rsidR="001735C1" w:rsidRPr="00B44440">
        <w:t>Lucentis</w:t>
      </w:r>
      <w:r w:rsidRPr="00B44440">
        <w:t xml:space="preserve"> being similar </w:t>
      </w:r>
      <w:proofErr w:type="gramStart"/>
      <w:r w:rsidRPr="00B44440">
        <w:t>with regard to</w:t>
      </w:r>
      <w:proofErr w:type="gramEnd"/>
      <w:r w:rsidRPr="00B44440">
        <w:t xml:space="preserve"> toxicity.</w:t>
      </w:r>
      <w:r w:rsidR="00962117" w:rsidRPr="00B44440">
        <w:t xml:space="preserve"> </w:t>
      </w:r>
      <w:r w:rsidRPr="00B44440">
        <w:t xml:space="preserve">A bridging study showing high similarity of Australian-sourced </w:t>
      </w:r>
      <w:r w:rsidR="001735C1" w:rsidRPr="00B44440">
        <w:t>Lucentis</w:t>
      </w:r>
      <w:r w:rsidRPr="00B44440">
        <w:t xml:space="preserve"> to US</w:t>
      </w:r>
      <w:r w:rsidR="00AF7B6B">
        <w:noBreakHyphen/>
      </w:r>
      <w:r w:rsidRPr="00B44440">
        <w:t xml:space="preserve">sourced </w:t>
      </w:r>
      <w:r w:rsidR="001735C1" w:rsidRPr="00B44440">
        <w:t>Lucentis</w:t>
      </w:r>
      <w:r w:rsidRPr="00B44440">
        <w:t xml:space="preserve"> supports extrapolation of these findings to the Australian reference product.</w:t>
      </w:r>
    </w:p>
    <w:p w14:paraId="4677447D" w14:textId="149140B0" w:rsidR="00E3731A" w:rsidRPr="00B44440" w:rsidRDefault="00E3731A" w:rsidP="001735C1">
      <w:r w:rsidRPr="00B44440">
        <w:t xml:space="preserve">The submitted nonclinical data are adequate for the assessment of </w:t>
      </w:r>
      <w:proofErr w:type="spellStart"/>
      <w:r w:rsidRPr="00B44440">
        <w:t>biosimilarity</w:t>
      </w:r>
      <w:proofErr w:type="spellEnd"/>
      <w:r w:rsidRPr="00B44440">
        <w:t>.</w:t>
      </w:r>
      <w:r w:rsidR="00962117" w:rsidRPr="00B44440">
        <w:t xml:space="preserve"> </w:t>
      </w:r>
      <w:r w:rsidRPr="00B44440">
        <w:t xml:space="preserve">There are no objections on nonclinical grounds to the registration of </w:t>
      </w:r>
      <w:proofErr w:type="spellStart"/>
      <w:r w:rsidR="001735C1" w:rsidRPr="00B44440">
        <w:t>Byooviz</w:t>
      </w:r>
      <w:proofErr w:type="spellEnd"/>
      <w:r w:rsidR="00AF7B6B">
        <w:t xml:space="preserve"> (ranibizumab</w:t>
      </w:r>
      <w:r w:rsidR="006F18EF">
        <w:t>)</w:t>
      </w:r>
      <w:r w:rsidRPr="00B44440">
        <w:t>.</w:t>
      </w:r>
    </w:p>
    <w:p w14:paraId="688B5576" w14:textId="236B4F25" w:rsidR="00E3731A" w:rsidRPr="00B44440" w:rsidRDefault="00E3731A" w:rsidP="001735C1">
      <w:r w:rsidRPr="00B44440">
        <w:t xml:space="preserve">The draft Product Information </w:t>
      </w:r>
      <w:r w:rsidR="00AF7B6B">
        <w:t>was</w:t>
      </w:r>
      <w:r w:rsidR="00AF7B6B" w:rsidRPr="00B44440">
        <w:t xml:space="preserve"> </w:t>
      </w:r>
      <w:r w:rsidRPr="00B44440">
        <w:t>acceptable from a nonclinical perspective.</w:t>
      </w:r>
    </w:p>
    <w:p w14:paraId="78532F17" w14:textId="77777777" w:rsidR="008E7846" w:rsidRPr="00B44440" w:rsidRDefault="008E7846" w:rsidP="008E7846">
      <w:pPr>
        <w:pStyle w:val="Heading3"/>
      </w:pPr>
      <w:bookmarkStart w:id="37" w:name="_Toc247691530"/>
      <w:bookmarkStart w:id="38" w:name="_Toc314842513"/>
      <w:bookmarkStart w:id="39" w:name="_Toc133421042"/>
      <w:r w:rsidRPr="00B44440">
        <w:lastRenderedPageBreak/>
        <w:t>Clinical</w:t>
      </w:r>
      <w:bookmarkEnd w:id="37"/>
      <w:bookmarkEnd w:id="38"/>
      <w:bookmarkEnd w:id="39"/>
    </w:p>
    <w:p w14:paraId="53CE5EEC" w14:textId="77777777" w:rsidR="0074163C" w:rsidRPr="00B44440" w:rsidRDefault="0074163C" w:rsidP="0074163C">
      <w:pPr>
        <w:pStyle w:val="Heading4"/>
      </w:pPr>
      <w:bookmarkStart w:id="40" w:name="_Toc98931928"/>
      <w:r w:rsidRPr="00B44440">
        <w:t>Summary of clinical studies</w:t>
      </w:r>
      <w:bookmarkEnd w:id="40"/>
    </w:p>
    <w:p w14:paraId="06FC66DC" w14:textId="66C8028D" w:rsidR="00E20FAE" w:rsidRDefault="00E3731A" w:rsidP="00503558">
      <w:r w:rsidRPr="00B44440">
        <w:t>The clinical dossier include</w:t>
      </w:r>
      <w:r w:rsidR="00AF7B6B">
        <w:t>d</w:t>
      </w:r>
      <w:r w:rsidRPr="00B44440">
        <w:t xml:space="preserve"> one clinical study, </w:t>
      </w:r>
      <w:r w:rsidR="00B30650" w:rsidRPr="00B44440">
        <w:t xml:space="preserve">Study </w:t>
      </w:r>
      <w:r w:rsidRPr="00B44440">
        <w:t>SB11-G31-AMD</w:t>
      </w:r>
      <w:r w:rsidR="00E20FAE">
        <w:t xml:space="preserve">. </w:t>
      </w:r>
      <w:r w:rsidR="00E20FAE" w:rsidRPr="00E20FAE">
        <w:t xml:space="preserve">The proposed product </w:t>
      </w:r>
      <w:r w:rsidR="00AF7B6B">
        <w:t>(</w:t>
      </w:r>
      <w:proofErr w:type="spellStart"/>
      <w:r w:rsidR="00AF7B6B">
        <w:t>Byooviz</w:t>
      </w:r>
      <w:proofErr w:type="spellEnd"/>
      <w:r w:rsidR="00AF7B6B">
        <w:t xml:space="preserve">) </w:t>
      </w:r>
      <w:r w:rsidR="00E20FAE" w:rsidRPr="00E20FAE">
        <w:t>was referred to as SB11 during clinical development.</w:t>
      </w:r>
    </w:p>
    <w:p w14:paraId="01626F7A" w14:textId="475B232A" w:rsidR="00503558" w:rsidRPr="00B44440" w:rsidRDefault="00B30650" w:rsidP="00503558">
      <w:r w:rsidRPr="00B44440">
        <w:t>Study</w:t>
      </w:r>
      <w:r w:rsidR="00051C70" w:rsidRPr="00B44440">
        <w:t> </w:t>
      </w:r>
      <w:r w:rsidR="00287167" w:rsidRPr="00B44440">
        <w:t>SB11</w:t>
      </w:r>
      <w:r w:rsidR="00051C70" w:rsidRPr="00B44440">
        <w:noBreakHyphen/>
      </w:r>
      <w:r w:rsidR="00287167" w:rsidRPr="00B44440">
        <w:t>G31</w:t>
      </w:r>
      <w:r w:rsidR="00051C70" w:rsidRPr="00B44440">
        <w:noBreakHyphen/>
      </w:r>
      <w:r w:rsidR="00287167" w:rsidRPr="00B44440">
        <w:t xml:space="preserve">AMD is a </w:t>
      </w:r>
      <w:r w:rsidR="00503558" w:rsidRPr="00B44440">
        <w:t xml:space="preserve">Phase III multi-national, multi-centre, randomised, double blind, parallel group study comparing the efficacy, safety, </w:t>
      </w:r>
      <w:r w:rsidR="00BE3F9B" w:rsidRPr="00B44440">
        <w:t>pharmacokinetics</w:t>
      </w:r>
      <w:r w:rsidR="00503558" w:rsidRPr="00B44440">
        <w:t xml:space="preserve">, and immunogenicity of </w:t>
      </w:r>
      <w:proofErr w:type="spellStart"/>
      <w:r w:rsidR="00503558" w:rsidRPr="00B44440">
        <w:t>Byooviz</w:t>
      </w:r>
      <w:proofErr w:type="spellEnd"/>
      <w:r w:rsidR="00503558" w:rsidRPr="00B44440">
        <w:t xml:space="preserve"> and Lucentis in subjects with neovascular </w:t>
      </w:r>
      <w:r w:rsidR="006811E3" w:rsidRPr="00B44440">
        <w:t>age-related macular degeneration (</w:t>
      </w:r>
      <w:r w:rsidR="00503558" w:rsidRPr="00B44440">
        <w:t>AMD</w:t>
      </w:r>
      <w:r w:rsidR="006811E3" w:rsidRPr="00B44440">
        <w:t>)</w:t>
      </w:r>
      <w:r w:rsidR="00503558" w:rsidRPr="00B44440">
        <w:t xml:space="preserve">. In this study, 705 patients with </w:t>
      </w:r>
      <w:r w:rsidR="006811E3" w:rsidRPr="00B44440">
        <w:t xml:space="preserve">neovascular </w:t>
      </w:r>
      <w:r w:rsidR="00503558" w:rsidRPr="00B44440">
        <w:t xml:space="preserve">AMD were randomised to a 1:1 ratio. </w:t>
      </w:r>
      <w:r w:rsidR="00AF7B6B">
        <w:t xml:space="preserve">All patients received 0.5 mg ranibizumab: </w:t>
      </w:r>
      <w:r w:rsidR="00503558" w:rsidRPr="00B44440">
        <w:t xml:space="preserve">351 patients received 0.5 mg </w:t>
      </w:r>
      <w:r w:rsidR="00AF7B6B">
        <w:t xml:space="preserve">as </w:t>
      </w:r>
      <w:proofErr w:type="spellStart"/>
      <w:proofErr w:type="gramStart"/>
      <w:r w:rsidR="00503558" w:rsidRPr="00B44440">
        <w:t>Byooviz</w:t>
      </w:r>
      <w:proofErr w:type="spellEnd"/>
      <w:proofErr w:type="gramEnd"/>
      <w:r w:rsidR="00503558" w:rsidRPr="00B44440">
        <w:t xml:space="preserve"> and 354 patients received 0.5</w:t>
      </w:r>
      <w:r w:rsidR="00046CAF">
        <w:t> </w:t>
      </w:r>
      <w:r w:rsidR="00503558" w:rsidRPr="00B44440">
        <w:t xml:space="preserve">mg </w:t>
      </w:r>
      <w:r w:rsidR="00AF7B6B">
        <w:t xml:space="preserve">as </w:t>
      </w:r>
      <w:r w:rsidR="00503558" w:rsidRPr="00B44440">
        <w:t>Lucentis</w:t>
      </w:r>
      <w:r w:rsidR="00AF7B6B">
        <w:t>. Both treatments were given</w:t>
      </w:r>
      <w:r w:rsidR="00503558" w:rsidRPr="00B44440">
        <w:t xml:space="preserve"> into the study eye via intravitreal route every 4 weeks</w:t>
      </w:r>
      <w:r w:rsidR="00E20FAE" w:rsidRPr="00E20FAE">
        <w:t xml:space="preserve"> up to Week 48</w:t>
      </w:r>
      <w:r w:rsidR="00503558" w:rsidRPr="00B44440">
        <w:t>. The last assessment was done at Week 52.</w:t>
      </w:r>
    </w:p>
    <w:p w14:paraId="44AEBB53" w14:textId="77777777" w:rsidR="00E3731A" w:rsidRPr="00B44440" w:rsidRDefault="00E3731A" w:rsidP="00A8414C">
      <w:pPr>
        <w:pStyle w:val="Heading4"/>
      </w:pPr>
      <w:r w:rsidRPr="00B44440">
        <w:t>Pharmacology</w:t>
      </w:r>
    </w:p>
    <w:p w14:paraId="7E552582" w14:textId="04292FFF" w:rsidR="00E3731A" w:rsidRPr="00B44440" w:rsidRDefault="00E3731A" w:rsidP="00A8414C">
      <w:pPr>
        <w:pStyle w:val="Heading5"/>
      </w:pPr>
      <w:r w:rsidRPr="00B44440">
        <w:t>Pharmacokinetics</w:t>
      </w:r>
    </w:p>
    <w:p w14:paraId="238CDB92" w14:textId="1D9E99DD" w:rsidR="00E3731A" w:rsidRPr="00B44440" w:rsidRDefault="00E3731A" w:rsidP="00E3731A">
      <w:r w:rsidRPr="00B44440">
        <w:t xml:space="preserve">A Phase I </w:t>
      </w:r>
      <w:r w:rsidR="00BE3F9B" w:rsidRPr="00B44440">
        <w:t>pharmacokinetic (</w:t>
      </w:r>
      <w:r w:rsidRPr="00B44440">
        <w:t>PK</w:t>
      </w:r>
      <w:r w:rsidR="00BE3F9B" w:rsidRPr="00B44440">
        <w:t>)</w:t>
      </w:r>
      <w:r w:rsidRPr="00B44440">
        <w:t xml:space="preserve"> study was not conducted because of the known low systemic exposure of ranibizumab following intravitreal administration and ethical difficulties with conducting a PK study involving intravitreal injection in healthy volunteers.</w:t>
      </w:r>
      <w:r w:rsidR="00962117" w:rsidRPr="00B44440">
        <w:t xml:space="preserve"> </w:t>
      </w:r>
      <w:r w:rsidRPr="00B44440">
        <w:t xml:space="preserve">This is consistent with </w:t>
      </w:r>
      <w:r w:rsidR="0080282E">
        <w:t xml:space="preserve">the </w:t>
      </w:r>
      <w:r w:rsidR="0080282E" w:rsidRPr="0080282E">
        <w:t xml:space="preserve">European Medicines Agency </w:t>
      </w:r>
      <w:r w:rsidR="0080282E">
        <w:t>(</w:t>
      </w:r>
      <w:r w:rsidRPr="00B44440">
        <w:t>EMA</w:t>
      </w:r>
      <w:r w:rsidR="0080282E">
        <w:t>)’s</w:t>
      </w:r>
      <w:r w:rsidRPr="00B44440">
        <w:t xml:space="preserve"> </w:t>
      </w:r>
      <w:r w:rsidR="00EB5AA0" w:rsidRPr="00B44440">
        <w:t>scientific advice</w:t>
      </w:r>
      <w:r w:rsidRPr="00B44440">
        <w:t>.</w:t>
      </w:r>
    </w:p>
    <w:p w14:paraId="6DD046E1" w14:textId="303BF61D" w:rsidR="00E3731A" w:rsidRPr="00B44440" w:rsidRDefault="00E3731A" w:rsidP="00E3731A">
      <w:r w:rsidRPr="00B44440">
        <w:t xml:space="preserve">The PK profiles of </w:t>
      </w:r>
      <w:proofErr w:type="spellStart"/>
      <w:r w:rsidR="001735C1" w:rsidRPr="00B44440">
        <w:t>Byooviz</w:t>
      </w:r>
      <w:proofErr w:type="spellEnd"/>
      <w:r w:rsidRPr="00B44440">
        <w:t xml:space="preserve"> and </w:t>
      </w:r>
      <w:r w:rsidR="0080282E" w:rsidRPr="0080282E">
        <w:t xml:space="preserve">United States </w:t>
      </w:r>
      <w:r w:rsidR="0080282E">
        <w:t>(</w:t>
      </w:r>
      <w:r w:rsidRPr="00B44440">
        <w:t>US</w:t>
      </w:r>
      <w:r w:rsidR="0080282E">
        <w:t>)</w:t>
      </w:r>
      <w:r w:rsidRPr="00B44440">
        <w:t xml:space="preserve">-sourced </w:t>
      </w:r>
      <w:r w:rsidR="001735C1" w:rsidRPr="00B44440">
        <w:t>Lucentis</w:t>
      </w:r>
      <w:r w:rsidRPr="00B44440">
        <w:t xml:space="preserve"> were compared in the Phase</w:t>
      </w:r>
      <w:r w:rsidR="007D394B" w:rsidRPr="00B44440">
        <w:t> </w:t>
      </w:r>
      <w:r w:rsidRPr="00B44440">
        <w:t>III Study</w:t>
      </w:r>
      <w:r w:rsidR="007D394B" w:rsidRPr="00B44440">
        <w:t> </w:t>
      </w:r>
      <w:r w:rsidRPr="00B44440">
        <w:t>SB11-G31-AMD in a subset of patients with neovascular AMD (</w:t>
      </w:r>
      <w:r w:rsidR="007D394B" w:rsidRPr="00B44440">
        <w:t xml:space="preserve">see </w:t>
      </w:r>
      <w:r w:rsidRPr="00B44440">
        <w:fldChar w:fldCharType="begin"/>
      </w:r>
      <w:r w:rsidRPr="00B44440">
        <w:instrText xml:space="preserve"> REF _Ref104797245 \h  \* MERGEFORMAT </w:instrText>
      </w:r>
      <w:r w:rsidRPr="00B44440">
        <w:fldChar w:fldCharType="separate"/>
      </w:r>
      <w:r w:rsidR="00792989" w:rsidRPr="00D7062C">
        <w:t xml:space="preserve">Table </w:t>
      </w:r>
      <w:r w:rsidR="00792989">
        <w:rPr>
          <w:noProof/>
        </w:rPr>
        <w:t>3</w:t>
      </w:r>
      <w:r w:rsidRPr="00B44440">
        <w:fldChar w:fldCharType="end"/>
      </w:r>
      <w:r w:rsidR="007D394B" w:rsidRPr="00B44440">
        <w:t xml:space="preserve"> below</w:t>
      </w:r>
      <w:r w:rsidRPr="00B44440">
        <w:t>).</w:t>
      </w:r>
    </w:p>
    <w:p w14:paraId="6A3C1395" w14:textId="1123C4CD" w:rsidR="00E3731A" w:rsidRPr="00D7062C" w:rsidRDefault="00E3731A" w:rsidP="00D7062C">
      <w:pPr>
        <w:pStyle w:val="TableTitle"/>
      </w:pPr>
      <w:bookmarkStart w:id="41" w:name="_Ref104797245"/>
      <w:r w:rsidRPr="00D7062C">
        <w:t xml:space="preserve">Table </w:t>
      </w:r>
      <w:fldSimple w:instr=" SEQ Table \* ARABIC ">
        <w:r w:rsidR="00792989">
          <w:rPr>
            <w:noProof/>
          </w:rPr>
          <w:t>3</w:t>
        </w:r>
      </w:fldSimple>
      <w:bookmarkEnd w:id="41"/>
      <w:r w:rsidR="00051C70" w:rsidRPr="00D7062C">
        <w:t>:</w:t>
      </w:r>
      <w:r w:rsidRPr="00D7062C">
        <w:t xml:space="preserve"> </w:t>
      </w:r>
      <w:r w:rsidR="00051C70" w:rsidRPr="00D7062C">
        <w:t>Study SB11-G31-AMD Overview of the clinical development plan for evaluation of pharmacokinetics and immunogenicity similarity</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6746"/>
      </w:tblGrid>
      <w:tr w:rsidR="0023045A" w:rsidRPr="001101BB" w14:paraId="42917E71" w14:textId="77777777" w:rsidTr="004C7241">
        <w:trPr>
          <w:trHeight w:val="639"/>
        </w:trPr>
        <w:tc>
          <w:tcPr>
            <w:tcW w:w="1748" w:type="dxa"/>
            <w:vMerge w:val="restart"/>
          </w:tcPr>
          <w:p w14:paraId="2272EE84" w14:textId="5EE67B3E" w:rsidR="0023045A" w:rsidRPr="001101BB" w:rsidRDefault="0023045A" w:rsidP="001101BB">
            <w:pPr>
              <w:rPr>
                <w:sz w:val="20"/>
                <w:szCs w:val="20"/>
              </w:rPr>
            </w:pPr>
            <w:r w:rsidRPr="001101BB">
              <w:rPr>
                <w:sz w:val="20"/>
                <w:szCs w:val="20"/>
              </w:rPr>
              <w:t xml:space="preserve">Study </w:t>
            </w:r>
            <w:r w:rsidR="004C7241" w:rsidRPr="001101BB">
              <w:rPr>
                <w:sz w:val="20"/>
                <w:szCs w:val="20"/>
              </w:rPr>
              <w:t>identification</w:t>
            </w:r>
          </w:p>
        </w:tc>
        <w:tc>
          <w:tcPr>
            <w:tcW w:w="6746" w:type="dxa"/>
          </w:tcPr>
          <w:p w14:paraId="70258C9A" w14:textId="77777777" w:rsidR="0023045A" w:rsidRPr="001101BB" w:rsidRDefault="0023045A" w:rsidP="001101BB">
            <w:pPr>
              <w:rPr>
                <w:sz w:val="20"/>
                <w:szCs w:val="20"/>
              </w:rPr>
            </w:pPr>
            <w:r w:rsidRPr="001101BB">
              <w:rPr>
                <w:sz w:val="20"/>
                <w:szCs w:val="20"/>
              </w:rPr>
              <w:t>SB11-G31-AMD</w:t>
            </w:r>
          </w:p>
          <w:p w14:paraId="2E3501C4" w14:textId="2106A4A4" w:rsidR="0023045A" w:rsidRPr="001101BB" w:rsidRDefault="0023045A" w:rsidP="001101BB">
            <w:pPr>
              <w:rPr>
                <w:sz w:val="20"/>
                <w:szCs w:val="20"/>
              </w:rPr>
            </w:pPr>
            <w:r w:rsidRPr="001101BB">
              <w:rPr>
                <w:sz w:val="20"/>
                <w:szCs w:val="20"/>
              </w:rPr>
              <w:t>Phase III</w:t>
            </w:r>
          </w:p>
        </w:tc>
      </w:tr>
      <w:tr w:rsidR="0023045A" w:rsidRPr="001101BB" w14:paraId="31CE708C" w14:textId="77777777" w:rsidTr="004C7241">
        <w:trPr>
          <w:trHeight w:val="638"/>
        </w:trPr>
        <w:tc>
          <w:tcPr>
            <w:tcW w:w="1748" w:type="dxa"/>
            <w:vMerge/>
          </w:tcPr>
          <w:p w14:paraId="5385FF8A" w14:textId="77777777" w:rsidR="0023045A" w:rsidRPr="001101BB" w:rsidRDefault="0023045A" w:rsidP="001101BB">
            <w:pPr>
              <w:rPr>
                <w:sz w:val="20"/>
                <w:szCs w:val="20"/>
              </w:rPr>
            </w:pPr>
          </w:p>
        </w:tc>
        <w:tc>
          <w:tcPr>
            <w:tcW w:w="6746" w:type="dxa"/>
          </w:tcPr>
          <w:p w14:paraId="56A923C7" w14:textId="22D2859C" w:rsidR="0023045A" w:rsidRPr="001101BB" w:rsidRDefault="0023045A" w:rsidP="001101BB">
            <w:pPr>
              <w:rPr>
                <w:sz w:val="20"/>
                <w:szCs w:val="20"/>
              </w:rPr>
            </w:pPr>
            <w:r w:rsidRPr="001101BB">
              <w:rPr>
                <w:sz w:val="20"/>
                <w:szCs w:val="20"/>
              </w:rPr>
              <w:t xml:space="preserve">Czech Republic, Germany, Hungary, India, Poland, Republic of Korea, Russia, United Kingdom, and </w:t>
            </w:r>
            <w:r w:rsidR="004C7241" w:rsidRPr="001101BB">
              <w:rPr>
                <w:sz w:val="20"/>
                <w:szCs w:val="20"/>
              </w:rPr>
              <w:t>United States of America</w:t>
            </w:r>
          </w:p>
        </w:tc>
      </w:tr>
      <w:tr w:rsidR="0023045A" w:rsidRPr="001101BB" w14:paraId="006811F3" w14:textId="77777777" w:rsidTr="004C7241">
        <w:tc>
          <w:tcPr>
            <w:tcW w:w="1748" w:type="dxa"/>
          </w:tcPr>
          <w:p w14:paraId="62AC7E67" w14:textId="7811C08C" w:rsidR="0023045A" w:rsidRPr="001101BB" w:rsidRDefault="0023045A" w:rsidP="001101BB">
            <w:pPr>
              <w:rPr>
                <w:sz w:val="20"/>
                <w:szCs w:val="20"/>
              </w:rPr>
            </w:pPr>
            <w:r w:rsidRPr="001101BB">
              <w:rPr>
                <w:sz w:val="20"/>
                <w:szCs w:val="20"/>
              </w:rPr>
              <w:t>Study objective</w:t>
            </w:r>
          </w:p>
        </w:tc>
        <w:tc>
          <w:tcPr>
            <w:tcW w:w="6746" w:type="dxa"/>
          </w:tcPr>
          <w:p w14:paraId="0E7A2EF4" w14:textId="4B887C65" w:rsidR="0023045A" w:rsidRPr="001101BB" w:rsidRDefault="0023045A" w:rsidP="001101BB">
            <w:pPr>
              <w:rPr>
                <w:sz w:val="20"/>
                <w:szCs w:val="20"/>
              </w:rPr>
            </w:pPr>
            <w:r w:rsidRPr="001101BB">
              <w:rPr>
                <w:sz w:val="20"/>
                <w:szCs w:val="20"/>
              </w:rPr>
              <w:t>Comparative efficacy, safety, PK, and immunogenicity</w:t>
            </w:r>
          </w:p>
        </w:tc>
      </w:tr>
      <w:tr w:rsidR="0023045A" w:rsidRPr="001101BB" w14:paraId="3B223D0D" w14:textId="77777777" w:rsidTr="004C7241">
        <w:trPr>
          <w:trHeight w:val="362"/>
        </w:trPr>
        <w:tc>
          <w:tcPr>
            <w:tcW w:w="1748" w:type="dxa"/>
            <w:vMerge w:val="restart"/>
          </w:tcPr>
          <w:p w14:paraId="33853972" w14:textId="10E3E707" w:rsidR="0023045A" w:rsidRPr="001101BB" w:rsidRDefault="0023045A" w:rsidP="001101BB">
            <w:pPr>
              <w:rPr>
                <w:sz w:val="20"/>
                <w:szCs w:val="20"/>
              </w:rPr>
            </w:pPr>
            <w:r w:rsidRPr="001101BB">
              <w:rPr>
                <w:sz w:val="20"/>
                <w:szCs w:val="20"/>
              </w:rPr>
              <w:t>Patients</w:t>
            </w:r>
          </w:p>
        </w:tc>
        <w:tc>
          <w:tcPr>
            <w:tcW w:w="6746" w:type="dxa"/>
          </w:tcPr>
          <w:p w14:paraId="18F99DAA" w14:textId="472DE622" w:rsidR="0023045A" w:rsidRPr="001101BB" w:rsidRDefault="0023045A" w:rsidP="001101BB">
            <w:pPr>
              <w:rPr>
                <w:sz w:val="20"/>
                <w:szCs w:val="20"/>
              </w:rPr>
            </w:pPr>
            <w:r w:rsidRPr="001101BB">
              <w:rPr>
                <w:sz w:val="20"/>
                <w:szCs w:val="20"/>
              </w:rPr>
              <w:t>Patients with neovascular age-related macular degeneration</w:t>
            </w:r>
          </w:p>
        </w:tc>
      </w:tr>
      <w:tr w:rsidR="0023045A" w:rsidRPr="001101BB" w14:paraId="4AAE6F6F" w14:textId="77777777" w:rsidTr="004C7241">
        <w:trPr>
          <w:trHeight w:val="742"/>
        </w:trPr>
        <w:tc>
          <w:tcPr>
            <w:tcW w:w="1748" w:type="dxa"/>
            <w:vMerge/>
          </w:tcPr>
          <w:p w14:paraId="5C967C8B" w14:textId="77777777" w:rsidR="0023045A" w:rsidRPr="001101BB" w:rsidRDefault="0023045A" w:rsidP="001101BB">
            <w:pPr>
              <w:rPr>
                <w:sz w:val="20"/>
                <w:szCs w:val="20"/>
              </w:rPr>
            </w:pPr>
          </w:p>
        </w:tc>
        <w:tc>
          <w:tcPr>
            <w:tcW w:w="6746" w:type="dxa"/>
          </w:tcPr>
          <w:p w14:paraId="2C747394" w14:textId="022AC4D6" w:rsidR="0023045A" w:rsidRPr="001101BB" w:rsidRDefault="00637253" w:rsidP="001101BB">
            <w:pPr>
              <w:rPr>
                <w:sz w:val="20"/>
                <w:szCs w:val="20"/>
              </w:rPr>
            </w:pPr>
            <w:r w:rsidRPr="001101BB">
              <w:rPr>
                <w:sz w:val="20"/>
                <w:szCs w:val="20"/>
              </w:rPr>
              <w:t>Randomis</w:t>
            </w:r>
            <w:r w:rsidR="0023045A" w:rsidRPr="001101BB">
              <w:rPr>
                <w:sz w:val="20"/>
                <w:szCs w:val="20"/>
              </w:rPr>
              <w:t>ed:</w:t>
            </w:r>
          </w:p>
          <w:p w14:paraId="0A82C3E5" w14:textId="6C928EF5" w:rsidR="0023045A" w:rsidRPr="001101BB" w:rsidRDefault="0023045A" w:rsidP="001101BB">
            <w:pPr>
              <w:rPr>
                <w:sz w:val="20"/>
                <w:szCs w:val="20"/>
              </w:rPr>
            </w:pPr>
            <w:r w:rsidRPr="001101BB">
              <w:rPr>
                <w:sz w:val="20"/>
                <w:szCs w:val="20"/>
              </w:rPr>
              <w:t>N</w:t>
            </w:r>
            <w:r w:rsidR="00637253" w:rsidRPr="001101BB">
              <w:rPr>
                <w:sz w:val="20"/>
                <w:szCs w:val="20"/>
              </w:rPr>
              <w:t xml:space="preserve"> </w:t>
            </w:r>
            <w:r w:rsidRPr="001101BB">
              <w:rPr>
                <w:sz w:val="20"/>
                <w:szCs w:val="20"/>
              </w:rPr>
              <w:t>=</w:t>
            </w:r>
            <w:r w:rsidR="00637253" w:rsidRPr="001101BB">
              <w:rPr>
                <w:sz w:val="20"/>
                <w:szCs w:val="20"/>
              </w:rPr>
              <w:t xml:space="preserve"> </w:t>
            </w:r>
            <w:r w:rsidRPr="001101BB">
              <w:rPr>
                <w:sz w:val="20"/>
                <w:szCs w:val="20"/>
              </w:rPr>
              <w:t>705 patients</w:t>
            </w:r>
          </w:p>
          <w:p w14:paraId="1434DA7B" w14:textId="51D3EEF2" w:rsidR="0023045A" w:rsidRPr="001101BB" w:rsidRDefault="0023045A" w:rsidP="001101BB">
            <w:pPr>
              <w:rPr>
                <w:sz w:val="20"/>
                <w:szCs w:val="20"/>
              </w:rPr>
            </w:pPr>
            <w:r w:rsidRPr="001101BB">
              <w:rPr>
                <w:sz w:val="20"/>
                <w:szCs w:val="20"/>
              </w:rPr>
              <w:t>(</w:t>
            </w:r>
            <w:proofErr w:type="spellStart"/>
            <w:r w:rsidR="00637253" w:rsidRPr="001101BB">
              <w:rPr>
                <w:sz w:val="20"/>
                <w:szCs w:val="20"/>
              </w:rPr>
              <w:t>Byooviz</w:t>
            </w:r>
            <w:proofErr w:type="spellEnd"/>
            <w:r w:rsidRPr="001101BB">
              <w:rPr>
                <w:sz w:val="20"/>
                <w:szCs w:val="20"/>
              </w:rPr>
              <w:t>: 351; Lucentis: 354)</w:t>
            </w:r>
          </w:p>
        </w:tc>
      </w:tr>
      <w:tr w:rsidR="0023045A" w:rsidRPr="001101BB" w14:paraId="77A1F234" w14:textId="77777777" w:rsidTr="004C7241">
        <w:trPr>
          <w:trHeight w:val="742"/>
        </w:trPr>
        <w:tc>
          <w:tcPr>
            <w:tcW w:w="1748" w:type="dxa"/>
            <w:vMerge/>
          </w:tcPr>
          <w:p w14:paraId="20F5CB7E" w14:textId="77777777" w:rsidR="0023045A" w:rsidRPr="001101BB" w:rsidRDefault="0023045A" w:rsidP="001101BB">
            <w:pPr>
              <w:rPr>
                <w:sz w:val="20"/>
                <w:szCs w:val="20"/>
              </w:rPr>
            </w:pPr>
          </w:p>
        </w:tc>
        <w:tc>
          <w:tcPr>
            <w:tcW w:w="6746" w:type="dxa"/>
          </w:tcPr>
          <w:p w14:paraId="4CEB3091" w14:textId="77777777" w:rsidR="0023045A" w:rsidRPr="001101BB" w:rsidRDefault="0023045A" w:rsidP="001101BB">
            <w:pPr>
              <w:rPr>
                <w:sz w:val="20"/>
                <w:szCs w:val="20"/>
              </w:rPr>
            </w:pPr>
            <w:r w:rsidRPr="001101BB">
              <w:rPr>
                <w:sz w:val="20"/>
                <w:szCs w:val="20"/>
              </w:rPr>
              <w:t>Safety Set:</w:t>
            </w:r>
          </w:p>
          <w:p w14:paraId="75B2F7B3" w14:textId="7C193962" w:rsidR="0023045A" w:rsidRPr="001101BB" w:rsidRDefault="0023045A" w:rsidP="001101BB">
            <w:pPr>
              <w:rPr>
                <w:sz w:val="20"/>
                <w:szCs w:val="20"/>
              </w:rPr>
            </w:pPr>
            <w:r w:rsidRPr="001101BB">
              <w:rPr>
                <w:sz w:val="20"/>
                <w:szCs w:val="20"/>
              </w:rPr>
              <w:t>N</w:t>
            </w:r>
            <w:r w:rsidR="00637253" w:rsidRPr="001101BB">
              <w:rPr>
                <w:sz w:val="20"/>
                <w:szCs w:val="20"/>
              </w:rPr>
              <w:t xml:space="preserve"> </w:t>
            </w:r>
            <w:r w:rsidRPr="001101BB">
              <w:rPr>
                <w:sz w:val="20"/>
                <w:szCs w:val="20"/>
              </w:rPr>
              <w:t>=</w:t>
            </w:r>
            <w:r w:rsidR="00637253" w:rsidRPr="001101BB">
              <w:rPr>
                <w:sz w:val="20"/>
                <w:szCs w:val="20"/>
              </w:rPr>
              <w:t xml:space="preserve"> </w:t>
            </w:r>
            <w:r w:rsidRPr="001101BB">
              <w:rPr>
                <w:sz w:val="20"/>
                <w:szCs w:val="20"/>
              </w:rPr>
              <w:t>704 patients</w:t>
            </w:r>
          </w:p>
          <w:p w14:paraId="108C7645" w14:textId="7A63C3B3" w:rsidR="0023045A" w:rsidRPr="001101BB" w:rsidRDefault="0023045A" w:rsidP="001101BB">
            <w:pPr>
              <w:rPr>
                <w:sz w:val="20"/>
                <w:szCs w:val="20"/>
              </w:rPr>
            </w:pPr>
            <w:r w:rsidRPr="001101BB">
              <w:rPr>
                <w:sz w:val="20"/>
                <w:szCs w:val="20"/>
              </w:rPr>
              <w:t>(</w:t>
            </w:r>
            <w:proofErr w:type="spellStart"/>
            <w:r w:rsidR="00637253" w:rsidRPr="001101BB">
              <w:rPr>
                <w:sz w:val="20"/>
                <w:szCs w:val="20"/>
              </w:rPr>
              <w:t>Byooviz</w:t>
            </w:r>
            <w:proofErr w:type="spellEnd"/>
            <w:r w:rsidRPr="001101BB">
              <w:rPr>
                <w:sz w:val="20"/>
                <w:szCs w:val="20"/>
              </w:rPr>
              <w:t>: 350; Lucentis: 354)</w:t>
            </w:r>
          </w:p>
        </w:tc>
      </w:tr>
      <w:tr w:rsidR="0023045A" w:rsidRPr="001101BB" w14:paraId="020BA859" w14:textId="77777777" w:rsidTr="004C7241">
        <w:trPr>
          <w:trHeight w:val="742"/>
        </w:trPr>
        <w:tc>
          <w:tcPr>
            <w:tcW w:w="1748" w:type="dxa"/>
            <w:vMerge/>
          </w:tcPr>
          <w:p w14:paraId="1AD5BD7D" w14:textId="77777777" w:rsidR="0023045A" w:rsidRPr="001101BB" w:rsidRDefault="0023045A" w:rsidP="001101BB">
            <w:pPr>
              <w:rPr>
                <w:sz w:val="20"/>
                <w:szCs w:val="20"/>
              </w:rPr>
            </w:pPr>
          </w:p>
        </w:tc>
        <w:tc>
          <w:tcPr>
            <w:tcW w:w="6746" w:type="dxa"/>
          </w:tcPr>
          <w:p w14:paraId="1BFB2D34" w14:textId="3DCDEE0E" w:rsidR="0023045A" w:rsidRPr="001101BB" w:rsidRDefault="0023045A" w:rsidP="001101BB">
            <w:pPr>
              <w:rPr>
                <w:sz w:val="20"/>
                <w:szCs w:val="20"/>
              </w:rPr>
            </w:pPr>
            <w:r w:rsidRPr="001101BB">
              <w:rPr>
                <w:sz w:val="20"/>
                <w:szCs w:val="20"/>
              </w:rPr>
              <w:t>Pharmacokinetic Analysis Set:</w:t>
            </w:r>
          </w:p>
          <w:p w14:paraId="0E01E8C1" w14:textId="59A5CEF8" w:rsidR="0023045A" w:rsidRPr="001101BB" w:rsidRDefault="0023045A" w:rsidP="001101BB">
            <w:pPr>
              <w:rPr>
                <w:sz w:val="20"/>
                <w:szCs w:val="20"/>
              </w:rPr>
            </w:pPr>
            <w:r w:rsidRPr="001101BB">
              <w:rPr>
                <w:sz w:val="20"/>
                <w:szCs w:val="20"/>
              </w:rPr>
              <w:t>N</w:t>
            </w:r>
            <w:r w:rsidR="00637253" w:rsidRPr="001101BB">
              <w:rPr>
                <w:sz w:val="20"/>
                <w:szCs w:val="20"/>
              </w:rPr>
              <w:t xml:space="preserve"> </w:t>
            </w:r>
            <w:r w:rsidRPr="001101BB">
              <w:rPr>
                <w:sz w:val="20"/>
                <w:szCs w:val="20"/>
              </w:rPr>
              <w:t>=</w:t>
            </w:r>
            <w:r w:rsidR="00637253" w:rsidRPr="001101BB">
              <w:rPr>
                <w:sz w:val="20"/>
                <w:szCs w:val="20"/>
              </w:rPr>
              <w:t xml:space="preserve"> </w:t>
            </w:r>
            <w:r w:rsidRPr="001101BB">
              <w:rPr>
                <w:sz w:val="20"/>
                <w:szCs w:val="20"/>
              </w:rPr>
              <w:t>54 patients</w:t>
            </w:r>
          </w:p>
          <w:p w14:paraId="14D31CFC" w14:textId="0A2FAF48" w:rsidR="0023045A" w:rsidRPr="001101BB" w:rsidRDefault="0023045A" w:rsidP="001101BB">
            <w:pPr>
              <w:rPr>
                <w:sz w:val="20"/>
                <w:szCs w:val="20"/>
              </w:rPr>
            </w:pPr>
            <w:r w:rsidRPr="001101BB">
              <w:rPr>
                <w:sz w:val="20"/>
                <w:szCs w:val="20"/>
              </w:rPr>
              <w:t>(</w:t>
            </w:r>
            <w:proofErr w:type="spellStart"/>
            <w:r w:rsidR="00637253" w:rsidRPr="001101BB">
              <w:rPr>
                <w:sz w:val="20"/>
                <w:szCs w:val="20"/>
              </w:rPr>
              <w:t>Byooviz</w:t>
            </w:r>
            <w:proofErr w:type="spellEnd"/>
            <w:r w:rsidRPr="001101BB">
              <w:rPr>
                <w:sz w:val="20"/>
                <w:szCs w:val="20"/>
              </w:rPr>
              <w:t>: 25; Lucentis: 29)</w:t>
            </w:r>
          </w:p>
        </w:tc>
      </w:tr>
      <w:tr w:rsidR="0023045A" w:rsidRPr="001101BB" w14:paraId="67CBAD39" w14:textId="77777777" w:rsidTr="004C7241">
        <w:tc>
          <w:tcPr>
            <w:tcW w:w="1748" w:type="dxa"/>
          </w:tcPr>
          <w:p w14:paraId="2B8D01B4" w14:textId="020F1017" w:rsidR="0023045A" w:rsidRPr="001101BB" w:rsidRDefault="0023045A" w:rsidP="001101BB">
            <w:pPr>
              <w:rPr>
                <w:sz w:val="20"/>
                <w:szCs w:val="20"/>
              </w:rPr>
            </w:pPr>
            <w:r w:rsidRPr="001101BB">
              <w:rPr>
                <w:sz w:val="20"/>
                <w:szCs w:val="20"/>
              </w:rPr>
              <w:lastRenderedPageBreak/>
              <w:t>Study design</w:t>
            </w:r>
          </w:p>
        </w:tc>
        <w:tc>
          <w:tcPr>
            <w:tcW w:w="6746" w:type="dxa"/>
          </w:tcPr>
          <w:p w14:paraId="5B871208" w14:textId="7992617E" w:rsidR="0023045A" w:rsidRPr="001101BB" w:rsidRDefault="0023045A" w:rsidP="001101BB">
            <w:pPr>
              <w:rPr>
                <w:sz w:val="20"/>
                <w:szCs w:val="20"/>
              </w:rPr>
            </w:pPr>
            <w:r w:rsidRPr="001101BB">
              <w:rPr>
                <w:sz w:val="20"/>
                <w:szCs w:val="20"/>
              </w:rPr>
              <w:t xml:space="preserve">Randomised, double-masked, parallel group, </w:t>
            </w:r>
            <w:r w:rsidR="00637253" w:rsidRPr="001101BB">
              <w:rPr>
                <w:sz w:val="20"/>
                <w:szCs w:val="20"/>
              </w:rPr>
              <w:t>multicentre</w:t>
            </w:r>
            <w:r w:rsidRPr="001101BB">
              <w:rPr>
                <w:sz w:val="20"/>
                <w:szCs w:val="20"/>
              </w:rPr>
              <w:t xml:space="preserve"> study</w:t>
            </w:r>
          </w:p>
        </w:tc>
      </w:tr>
      <w:tr w:rsidR="0023045A" w:rsidRPr="001101BB" w14:paraId="7BC76228" w14:textId="77777777" w:rsidTr="004C7241">
        <w:tc>
          <w:tcPr>
            <w:tcW w:w="1748" w:type="dxa"/>
          </w:tcPr>
          <w:p w14:paraId="0BC14844" w14:textId="044051F2" w:rsidR="0023045A" w:rsidRPr="001101BB" w:rsidRDefault="0023045A" w:rsidP="001101BB">
            <w:pPr>
              <w:rPr>
                <w:sz w:val="20"/>
                <w:szCs w:val="20"/>
              </w:rPr>
            </w:pPr>
            <w:r w:rsidRPr="001101BB">
              <w:rPr>
                <w:sz w:val="20"/>
                <w:szCs w:val="20"/>
              </w:rPr>
              <w:t>Treatments/ duration</w:t>
            </w:r>
          </w:p>
        </w:tc>
        <w:tc>
          <w:tcPr>
            <w:tcW w:w="6746" w:type="dxa"/>
          </w:tcPr>
          <w:p w14:paraId="581A4E2A" w14:textId="6598372C" w:rsidR="0023045A" w:rsidRPr="001101BB" w:rsidRDefault="00637253" w:rsidP="001101BB">
            <w:pPr>
              <w:rPr>
                <w:sz w:val="20"/>
                <w:szCs w:val="20"/>
              </w:rPr>
            </w:pPr>
            <w:proofErr w:type="spellStart"/>
            <w:r w:rsidRPr="001101BB">
              <w:rPr>
                <w:sz w:val="20"/>
                <w:szCs w:val="20"/>
              </w:rPr>
              <w:t>Byooviz</w:t>
            </w:r>
            <w:proofErr w:type="spellEnd"/>
            <w:r w:rsidRPr="001101BB">
              <w:rPr>
                <w:sz w:val="20"/>
                <w:szCs w:val="20"/>
              </w:rPr>
              <w:t xml:space="preserve"> </w:t>
            </w:r>
            <w:r w:rsidR="0023045A" w:rsidRPr="001101BB">
              <w:rPr>
                <w:sz w:val="20"/>
                <w:szCs w:val="20"/>
              </w:rPr>
              <w:t>or Lucentis was administered at a dose of 0.5 mg to the study eye via intravitreal route every 4 weeks up to week 48.</w:t>
            </w:r>
          </w:p>
          <w:p w14:paraId="10FE030A" w14:textId="04357EB3" w:rsidR="0023045A" w:rsidRPr="001101BB" w:rsidRDefault="0023045A" w:rsidP="001101BB">
            <w:pPr>
              <w:rPr>
                <w:sz w:val="20"/>
                <w:szCs w:val="20"/>
              </w:rPr>
            </w:pPr>
            <w:r w:rsidRPr="001101BB">
              <w:rPr>
                <w:sz w:val="20"/>
                <w:szCs w:val="20"/>
              </w:rPr>
              <w:t>(Last assessment was done at Week 52.)</w:t>
            </w:r>
          </w:p>
        </w:tc>
      </w:tr>
      <w:tr w:rsidR="0023045A" w:rsidRPr="001101BB" w14:paraId="7ABEFF1A" w14:textId="77777777" w:rsidTr="004C7241">
        <w:trPr>
          <w:trHeight w:val="946"/>
        </w:trPr>
        <w:tc>
          <w:tcPr>
            <w:tcW w:w="1748" w:type="dxa"/>
            <w:vMerge w:val="restart"/>
          </w:tcPr>
          <w:p w14:paraId="2B0D9C55" w14:textId="21F84F95" w:rsidR="0023045A" w:rsidRPr="001101BB" w:rsidRDefault="0023045A" w:rsidP="001101BB">
            <w:pPr>
              <w:rPr>
                <w:sz w:val="20"/>
                <w:szCs w:val="20"/>
              </w:rPr>
            </w:pPr>
            <w:r w:rsidRPr="001101BB">
              <w:rPr>
                <w:sz w:val="20"/>
                <w:szCs w:val="20"/>
              </w:rPr>
              <w:t>PK/ immunogenicity endpoints</w:t>
            </w:r>
          </w:p>
        </w:tc>
        <w:tc>
          <w:tcPr>
            <w:tcW w:w="6746" w:type="dxa"/>
          </w:tcPr>
          <w:p w14:paraId="1488DAF1" w14:textId="77777777" w:rsidR="0023045A" w:rsidRPr="001101BB" w:rsidRDefault="0023045A" w:rsidP="001101BB">
            <w:pPr>
              <w:rPr>
                <w:sz w:val="20"/>
                <w:szCs w:val="20"/>
              </w:rPr>
            </w:pPr>
            <w:r w:rsidRPr="001101BB">
              <w:rPr>
                <w:sz w:val="20"/>
                <w:szCs w:val="20"/>
              </w:rPr>
              <w:t>PK</w:t>
            </w:r>
          </w:p>
          <w:p w14:paraId="44332FD6" w14:textId="53B7B0E9" w:rsidR="0023045A" w:rsidRPr="001101BB" w:rsidRDefault="0023045A" w:rsidP="001101BB">
            <w:pPr>
              <w:rPr>
                <w:sz w:val="20"/>
                <w:szCs w:val="20"/>
              </w:rPr>
            </w:pPr>
            <w:r w:rsidRPr="001101BB">
              <w:rPr>
                <w:sz w:val="20"/>
                <w:szCs w:val="20"/>
              </w:rPr>
              <w:t>Systemic exposure measured pre-do</w:t>
            </w:r>
            <w:r w:rsidR="00637253" w:rsidRPr="001101BB">
              <w:rPr>
                <w:sz w:val="20"/>
                <w:szCs w:val="20"/>
              </w:rPr>
              <w:t xml:space="preserve">se (trough serum </w:t>
            </w:r>
            <w:r w:rsidR="004C7241" w:rsidRPr="001101BB">
              <w:rPr>
                <w:sz w:val="20"/>
                <w:szCs w:val="20"/>
              </w:rPr>
              <w:t>concentration)</w:t>
            </w:r>
            <w:r w:rsidRPr="001101BB">
              <w:rPr>
                <w:sz w:val="20"/>
                <w:szCs w:val="20"/>
              </w:rPr>
              <w:t xml:space="preserve"> and 24 to 72 hours post-dose (close </w:t>
            </w:r>
            <w:r w:rsidR="00637253" w:rsidRPr="001101BB">
              <w:rPr>
                <w:sz w:val="20"/>
                <w:szCs w:val="20"/>
              </w:rPr>
              <w:t>to maximum serum concentration</w:t>
            </w:r>
            <w:r w:rsidRPr="001101BB">
              <w:rPr>
                <w:sz w:val="20"/>
                <w:szCs w:val="20"/>
              </w:rPr>
              <w:t>)</w:t>
            </w:r>
          </w:p>
        </w:tc>
      </w:tr>
      <w:tr w:rsidR="0023045A" w:rsidRPr="001101BB" w14:paraId="0BE11F56" w14:textId="77777777" w:rsidTr="004C7241">
        <w:trPr>
          <w:trHeight w:val="1064"/>
        </w:trPr>
        <w:tc>
          <w:tcPr>
            <w:tcW w:w="1748" w:type="dxa"/>
            <w:vMerge/>
          </w:tcPr>
          <w:p w14:paraId="512C73C2" w14:textId="77777777" w:rsidR="0023045A" w:rsidRPr="001101BB" w:rsidRDefault="0023045A" w:rsidP="001101BB">
            <w:pPr>
              <w:rPr>
                <w:sz w:val="20"/>
                <w:szCs w:val="20"/>
              </w:rPr>
            </w:pPr>
          </w:p>
        </w:tc>
        <w:tc>
          <w:tcPr>
            <w:tcW w:w="6746" w:type="dxa"/>
          </w:tcPr>
          <w:p w14:paraId="7C11B776" w14:textId="77777777" w:rsidR="0023045A" w:rsidRPr="001101BB" w:rsidRDefault="0023045A" w:rsidP="001101BB">
            <w:pPr>
              <w:rPr>
                <w:sz w:val="20"/>
                <w:szCs w:val="20"/>
              </w:rPr>
            </w:pPr>
            <w:r w:rsidRPr="001101BB">
              <w:rPr>
                <w:sz w:val="20"/>
                <w:szCs w:val="20"/>
              </w:rPr>
              <w:t>Immunogenicity</w:t>
            </w:r>
          </w:p>
          <w:p w14:paraId="4EB8159D" w14:textId="59838A8A" w:rsidR="0023045A" w:rsidRPr="001101BB" w:rsidRDefault="0023045A" w:rsidP="001101BB">
            <w:pPr>
              <w:rPr>
                <w:sz w:val="20"/>
                <w:szCs w:val="20"/>
              </w:rPr>
            </w:pPr>
            <w:r w:rsidRPr="001101BB">
              <w:rPr>
                <w:sz w:val="20"/>
                <w:szCs w:val="20"/>
              </w:rPr>
              <w:t>Incidence of anti-drug antibodies to ranibizumab</w:t>
            </w:r>
          </w:p>
          <w:p w14:paraId="3161B172" w14:textId="31D10926" w:rsidR="0023045A" w:rsidRPr="001101BB" w:rsidRDefault="00637253" w:rsidP="001101BB">
            <w:pPr>
              <w:rPr>
                <w:sz w:val="20"/>
                <w:szCs w:val="20"/>
              </w:rPr>
            </w:pPr>
            <w:r w:rsidRPr="001101BB">
              <w:rPr>
                <w:sz w:val="20"/>
                <w:szCs w:val="20"/>
              </w:rPr>
              <w:t>Incidence of neutralis</w:t>
            </w:r>
            <w:r w:rsidR="0023045A" w:rsidRPr="001101BB">
              <w:rPr>
                <w:sz w:val="20"/>
                <w:szCs w:val="20"/>
              </w:rPr>
              <w:t>ing antibodies to ranibizumab</w:t>
            </w:r>
          </w:p>
        </w:tc>
      </w:tr>
    </w:tbl>
    <w:p w14:paraId="527C76E3" w14:textId="6902765B" w:rsidR="0023045A" w:rsidRPr="004C7241" w:rsidRDefault="0023045A" w:rsidP="004C7241">
      <w:pPr>
        <w:pStyle w:val="TableDescription"/>
      </w:pPr>
      <w:r w:rsidRPr="004C7241">
        <w:t>Abbreviations: N = number of subjects; PK = pharmacokinetics.</w:t>
      </w:r>
    </w:p>
    <w:p w14:paraId="2182ACA1" w14:textId="562876CE" w:rsidR="00E3731A" w:rsidRPr="00B44440" w:rsidRDefault="00E3731A" w:rsidP="00E3731A">
      <w:r w:rsidRPr="00B44440">
        <w:t xml:space="preserve">In the PK </w:t>
      </w:r>
      <w:r w:rsidR="00051C70" w:rsidRPr="00B44440">
        <w:t>analysis set</w:t>
      </w:r>
      <w:r w:rsidRPr="00B44440">
        <w:t xml:space="preserve">, pre-dose concentrations were non-quantifiable for </w:t>
      </w:r>
      <w:proofErr w:type="gramStart"/>
      <w:r w:rsidRPr="00B44440">
        <w:t>the majority of</w:t>
      </w:r>
      <w:proofErr w:type="gramEnd"/>
      <w:r w:rsidRPr="00B44440">
        <w:t xml:space="preserve"> subjects at all time points.</w:t>
      </w:r>
      <w:r w:rsidR="00962117" w:rsidRPr="00B44440">
        <w:t xml:space="preserve"> </w:t>
      </w:r>
      <w:r w:rsidRPr="00B44440">
        <w:t xml:space="preserve">There was a tendency to higher systemic exposure of </w:t>
      </w:r>
      <w:proofErr w:type="spellStart"/>
      <w:r w:rsidR="001735C1" w:rsidRPr="00B44440">
        <w:t>Byooviz</w:t>
      </w:r>
      <w:proofErr w:type="spellEnd"/>
      <w:r w:rsidRPr="00B44440">
        <w:t xml:space="preserve"> compared to </w:t>
      </w:r>
      <w:r w:rsidR="001735C1" w:rsidRPr="00B44440">
        <w:t>Lucentis</w:t>
      </w:r>
      <w:r w:rsidRPr="00B44440">
        <w:t xml:space="preserve"> for post-dose timepoints (</w:t>
      </w:r>
      <w:r w:rsidR="00051C70" w:rsidRPr="00B44440">
        <w:t xml:space="preserve">see </w:t>
      </w:r>
      <w:r w:rsidRPr="00B44440">
        <w:fldChar w:fldCharType="begin"/>
      </w:r>
      <w:r w:rsidRPr="00B44440">
        <w:instrText xml:space="preserve"> REF _Ref104797802 \h  \* MERGEFORMAT </w:instrText>
      </w:r>
      <w:r w:rsidRPr="00B44440">
        <w:fldChar w:fldCharType="separate"/>
      </w:r>
      <w:r w:rsidR="00792989" w:rsidRPr="00D7062C">
        <w:t xml:space="preserve">Figure </w:t>
      </w:r>
      <w:r w:rsidR="00792989">
        <w:t>1</w:t>
      </w:r>
      <w:r w:rsidRPr="00B44440">
        <w:fldChar w:fldCharType="end"/>
      </w:r>
      <w:r w:rsidR="00051C70" w:rsidRPr="00B44440">
        <w:t xml:space="preserve"> below</w:t>
      </w:r>
      <w:r w:rsidRPr="00B44440">
        <w:t>).</w:t>
      </w:r>
      <w:r w:rsidR="00962117" w:rsidRPr="00B44440">
        <w:t xml:space="preserve"> </w:t>
      </w:r>
      <w:r w:rsidRPr="00B44440">
        <w:t>The observed variability (</w:t>
      </w:r>
      <w:r w:rsidR="001D1582" w:rsidRPr="00B44440">
        <w:t>coefficient of variation (%)</w:t>
      </w:r>
      <w:r w:rsidRPr="00B44440">
        <w:t xml:space="preserve">) was high, ranging between 63.61% and 96.03% for </w:t>
      </w:r>
      <w:proofErr w:type="spellStart"/>
      <w:r w:rsidR="001735C1" w:rsidRPr="00B44440">
        <w:t>Byooviz</w:t>
      </w:r>
      <w:proofErr w:type="spellEnd"/>
      <w:r w:rsidRPr="00B44440">
        <w:t xml:space="preserve"> and between 39.39% and 97.73% for </w:t>
      </w:r>
      <w:r w:rsidR="001735C1" w:rsidRPr="00B44440">
        <w:t>Lucentis</w:t>
      </w:r>
      <w:r w:rsidRPr="00B44440">
        <w:t>.</w:t>
      </w:r>
      <w:r w:rsidR="00962117" w:rsidRPr="00B44440">
        <w:t xml:space="preserve"> </w:t>
      </w:r>
      <w:r w:rsidRPr="00B44440">
        <w:t xml:space="preserve">Maximally observed serum concentrations exceeded 3 ng/mL in several </w:t>
      </w:r>
      <w:proofErr w:type="spellStart"/>
      <w:r w:rsidR="001735C1" w:rsidRPr="00B44440">
        <w:t>Byooviz</w:t>
      </w:r>
      <w:proofErr w:type="spellEnd"/>
      <w:r w:rsidR="001735C1" w:rsidRPr="00B44440">
        <w:t xml:space="preserve"> </w:t>
      </w:r>
      <w:r w:rsidRPr="00B44440">
        <w:t xml:space="preserve">treated </w:t>
      </w:r>
      <w:proofErr w:type="gramStart"/>
      <w:r w:rsidRPr="00B44440">
        <w:t>patients, but</w:t>
      </w:r>
      <w:proofErr w:type="gramEnd"/>
      <w:r w:rsidRPr="00B44440">
        <w:t xml:space="preserve"> remained below the concentration range of ranibizumab (11</w:t>
      </w:r>
      <w:r w:rsidR="00585AD2" w:rsidRPr="00B44440">
        <w:t xml:space="preserve"> to </w:t>
      </w:r>
      <w:r w:rsidRPr="00B44440">
        <w:t xml:space="preserve">27 ng/mL) that is necessary to inhibit the biological activity of </w:t>
      </w:r>
      <w:r w:rsidR="00BE3F9B" w:rsidRPr="00B44440">
        <w:t xml:space="preserve">vascular endothelial growth factor A (VEGF-A) </w:t>
      </w:r>
      <w:r w:rsidRPr="00B44440">
        <w:t xml:space="preserve">by 50% (reported for a </w:t>
      </w:r>
      <w:r w:rsidR="001D1582" w:rsidRPr="00B44440">
        <w:t xml:space="preserve">human umbilical vein endothelial cells </w:t>
      </w:r>
      <w:r w:rsidRPr="00B44440">
        <w:t xml:space="preserve">proliferation assay at the time of </w:t>
      </w:r>
      <w:r w:rsidR="001735C1" w:rsidRPr="00B44440">
        <w:t>Lucentis</w:t>
      </w:r>
      <w:r w:rsidRPr="00B44440">
        <w:t xml:space="preserve"> approval).</w:t>
      </w:r>
      <w:r w:rsidR="00962117" w:rsidRPr="00B44440">
        <w:t xml:space="preserve"> </w:t>
      </w:r>
      <w:r w:rsidRPr="00B44440">
        <w:t xml:space="preserve">A subgroup analysis of safety in the PK </w:t>
      </w:r>
      <w:r w:rsidR="00585AD2" w:rsidRPr="00B44440">
        <w:t>analysis set</w:t>
      </w:r>
      <w:r w:rsidRPr="00B44440">
        <w:t xml:space="preserve"> was limited by small </w:t>
      </w:r>
      <w:proofErr w:type="gramStart"/>
      <w:r w:rsidRPr="00B44440">
        <w:t>numbers, but</w:t>
      </w:r>
      <w:proofErr w:type="gramEnd"/>
      <w:r w:rsidRPr="00B44440">
        <w:t xml:space="preserve"> did not suggest an imbalance in </w:t>
      </w:r>
      <w:r w:rsidR="008106E9" w:rsidRPr="00B44440">
        <w:t>t</w:t>
      </w:r>
      <w:r w:rsidR="001D1582" w:rsidRPr="00B44440">
        <w:t>reatment-emergent adverse event</w:t>
      </w:r>
      <w:r w:rsidR="008106E9" w:rsidRPr="00B44440">
        <w:t>s</w:t>
      </w:r>
      <w:r w:rsidR="001D1582" w:rsidRPr="00B44440">
        <w:t xml:space="preserve"> (</w:t>
      </w:r>
      <w:r w:rsidRPr="00B44440">
        <w:t>TEAEs</w:t>
      </w:r>
      <w:r w:rsidR="001D1582" w:rsidRPr="00B44440">
        <w:t>)</w:t>
      </w:r>
      <w:r w:rsidRPr="00B44440">
        <w:t xml:space="preserve"> that could be related to systemic VEGF inhibition. The numerically higher systemic exposure observed with </w:t>
      </w:r>
      <w:proofErr w:type="spellStart"/>
      <w:r w:rsidR="001735C1" w:rsidRPr="00B44440">
        <w:t>Byooviz</w:t>
      </w:r>
      <w:proofErr w:type="spellEnd"/>
      <w:r w:rsidRPr="00B44440">
        <w:t xml:space="preserve"> is considered unlikely to have a meaningful impact on clinical safety.</w:t>
      </w:r>
    </w:p>
    <w:p w14:paraId="2D25536A" w14:textId="455B69C0" w:rsidR="00E3731A" w:rsidRPr="00D7062C" w:rsidRDefault="00E3731A" w:rsidP="00D7062C">
      <w:pPr>
        <w:pStyle w:val="FigureTitle"/>
      </w:pPr>
      <w:bookmarkStart w:id="42" w:name="_Ref104797802"/>
      <w:r w:rsidRPr="00D7062C">
        <w:t xml:space="preserve">Figure </w:t>
      </w:r>
      <w:fldSimple w:instr=" SEQ Figure \* ARABIC ">
        <w:r w:rsidR="00792989">
          <w:rPr>
            <w:noProof/>
          </w:rPr>
          <w:t>1</w:t>
        </w:r>
      </w:fldSimple>
      <w:bookmarkEnd w:id="42"/>
      <w:r w:rsidR="005F01EB" w:rsidRPr="00D7062C">
        <w:t>: Study SB11-G31-AMD</w:t>
      </w:r>
      <w:r w:rsidRPr="00D7062C">
        <w:t xml:space="preserve"> Mean ±</w:t>
      </w:r>
      <w:r w:rsidR="00585AD2" w:rsidRPr="00D7062C">
        <w:t xml:space="preserve"> standard deviation of serum concentration profiles by treatment up to </w:t>
      </w:r>
      <w:r w:rsidRPr="00D7062C">
        <w:t>Week 52 (</w:t>
      </w:r>
      <w:r w:rsidR="00585AD2" w:rsidRPr="00D7062C">
        <w:t>pharmacokinetic analysis set)</w:t>
      </w:r>
    </w:p>
    <w:p w14:paraId="0BFDC275" w14:textId="02F05BE7" w:rsidR="00E3731A" w:rsidRDefault="005F01EB" w:rsidP="00D7062C">
      <w:r w:rsidRPr="00B44440">
        <w:rPr>
          <w:noProof/>
          <w:lang w:val="en-GB" w:eastAsia="en-GB"/>
        </w:rPr>
        <w:drawing>
          <wp:inline distT="0" distB="0" distL="0" distR="0" wp14:anchorId="08702767" wp14:editId="7F31A55E">
            <wp:extent cx="5400040" cy="3032760"/>
            <wp:effectExtent l="0" t="0" r="0" b="0"/>
            <wp:docPr id="23" name="Picture 23" descr="Figure 1: Study SB11-G31-AMD Mean ± standard deviation of serum concentration profiles by treatment up to Week 52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 Study SB11-G31-AMD Mean ± standard deviation of serum concentration profiles by treatment up to Week 52 (pharmacokinetic analysis set)"/>
                    <pic:cNvPicPr/>
                  </pic:nvPicPr>
                  <pic:blipFill>
                    <a:blip r:embed="rId23"/>
                    <a:stretch>
                      <a:fillRect/>
                    </a:stretch>
                  </pic:blipFill>
                  <pic:spPr>
                    <a:xfrm>
                      <a:off x="0" y="0"/>
                      <a:ext cx="5400040" cy="3032760"/>
                    </a:xfrm>
                    <a:prstGeom prst="rect">
                      <a:avLst/>
                    </a:prstGeom>
                  </pic:spPr>
                </pic:pic>
              </a:graphicData>
            </a:graphic>
          </wp:inline>
        </w:drawing>
      </w:r>
    </w:p>
    <w:p w14:paraId="5A02694F" w14:textId="6FED5A70" w:rsidR="00D7062C" w:rsidRPr="00D7062C" w:rsidRDefault="00D7062C" w:rsidP="00D7062C">
      <w:pPr>
        <w:pStyle w:val="FigureDescription"/>
      </w:pPr>
      <w:r w:rsidRPr="00D7062C">
        <w:t xml:space="preserve">Abbreviations: N = number of subjects; SB11 = </w:t>
      </w:r>
      <w:proofErr w:type="spellStart"/>
      <w:r w:rsidRPr="00D7062C">
        <w:t>Byooviz</w:t>
      </w:r>
      <w:proofErr w:type="spellEnd"/>
      <w:r w:rsidRPr="00D7062C">
        <w:t xml:space="preserve"> (ranibizumab).</w:t>
      </w:r>
    </w:p>
    <w:p w14:paraId="2119B7C8" w14:textId="77777777" w:rsidR="00E3731A" w:rsidRPr="00B44440" w:rsidRDefault="00E3731A" w:rsidP="00A8414C">
      <w:pPr>
        <w:pStyle w:val="Heading4"/>
      </w:pPr>
      <w:r w:rsidRPr="00B44440">
        <w:lastRenderedPageBreak/>
        <w:t>Efficacy</w:t>
      </w:r>
    </w:p>
    <w:p w14:paraId="72AC2CC0" w14:textId="67955407" w:rsidR="00E3731A" w:rsidRPr="00B44440" w:rsidRDefault="00E3731A" w:rsidP="00A8414C">
      <w:pPr>
        <w:pStyle w:val="Heading5"/>
      </w:pPr>
      <w:r w:rsidRPr="00B44440">
        <w:t>Study SB11-G31-AMD</w:t>
      </w:r>
    </w:p>
    <w:p w14:paraId="66C58B80" w14:textId="7C372298" w:rsidR="00503558" w:rsidRPr="00B44440" w:rsidRDefault="00503558" w:rsidP="00503558">
      <w:pPr>
        <w:pStyle w:val="Heading6"/>
      </w:pPr>
      <w:r w:rsidRPr="00B44440">
        <w:t>Primary and secondary objectives</w:t>
      </w:r>
    </w:p>
    <w:p w14:paraId="19C302C5" w14:textId="6D0A91AE" w:rsidR="008351CA" w:rsidRPr="00B44440" w:rsidRDefault="00503558" w:rsidP="00E3731A">
      <w:r w:rsidRPr="00B44440">
        <w:t xml:space="preserve">The primary objective of this study is to demonstrate the equivalence of efficacy of </w:t>
      </w:r>
      <w:proofErr w:type="spellStart"/>
      <w:r w:rsidRPr="00B44440">
        <w:t>Byooviz</w:t>
      </w:r>
      <w:proofErr w:type="spellEnd"/>
      <w:r w:rsidRPr="00B44440">
        <w:t xml:space="preserve"> to in patients with neovascular age-related macular degeneration (AMD), in terms of the change from Baseline in central subfield thickness at Week 4 and the change from Baseline in best corrected visual acuity (BCVA) at Week 8.</w:t>
      </w:r>
    </w:p>
    <w:p w14:paraId="22E26672" w14:textId="704EE932" w:rsidR="00E3731A" w:rsidRPr="00B44440" w:rsidRDefault="00E3731A" w:rsidP="00E3731A">
      <w:r w:rsidRPr="00B44440">
        <w:t xml:space="preserve">Secondary objectives were to evaluate the safety, immunogenicity, and systemic exposure of </w:t>
      </w:r>
      <w:proofErr w:type="spellStart"/>
      <w:r w:rsidR="001735C1" w:rsidRPr="00B44440">
        <w:t>Byooviz</w:t>
      </w:r>
      <w:proofErr w:type="spellEnd"/>
      <w:r w:rsidRPr="00B44440">
        <w:t xml:space="preserve"> and </w:t>
      </w:r>
      <w:r w:rsidR="001735C1" w:rsidRPr="00B44440">
        <w:t>Lucentis</w:t>
      </w:r>
      <w:r w:rsidRPr="00B44440">
        <w:t>.</w:t>
      </w:r>
    </w:p>
    <w:p w14:paraId="1E55295D" w14:textId="7611D68C" w:rsidR="008351CA" w:rsidRPr="00B44440" w:rsidRDefault="008351CA" w:rsidP="008351CA">
      <w:pPr>
        <w:pStyle w:val="Heading6"/>
      </w:pPr>
      <w:r w:rsidRPr="00B44440">
        <w:t>Inclusion and exclusion criteria</w:t>
      </w:r>
    </w:p>
    <w:p w14:paraId="6280EE57" w14:textId="481FF7BF" w:rsidR="00E3731A" w:rsidRPr="00B44440" w:rsidRDefault="00E3731A" w:rsidP="00E3731A">
      <w:r w:rsidRPr="00B44440">
        <w:t xml:space="preserve">The inclusion and exclusion criteria were in line with those in the clinical trials for </w:t>
      </w:r>
      <w:r w:rsidR="001735C1" w:rsidRPr="00B44440">
        <w:t>Lucentis</w:t>
      </w:r>
      <w:r w:rsidRPr="00B44440">
        <w:t>.</w:t>
      </w:r>
      <w:r w:rsidR="00962117" w:rsidRPr="00B44440">
        <w:t xml:space="preserve"> </w:t>
      </w:r>
      <w:r w:rsidRPr="00B44440">
        <w:t>Key inclusion criteria included:</w:t>
      </w:r>
    </w:p>
    <w:p w14:paraId="07447206" w14:textId="33D8A36F" w:rsidR="00E3731A" w:rsidRPr="00B44440" w:rsidRDefault="00E3731A" w:rsidP="00E3731A">
      <w:pPr>
        <w:pStyle w:val="ListBullet"/>
      </w:pPr>
      <w:r w:rsidRPr="00B44440">
        <w:t xml:space="preserve">aged 50 years </w:t>
      </w:r>
      <w:r w:rsidR="001B623D" w:rsidRPr="00B44440">
        <w:t xml:space="preserve">or higher </w:t>
      </w:r>
      <w:r w:rsidRPr="00B44440">
        <w:t xml:space="preserve">at </w:t>
      </w:r>
      <w:proofErr w:type="gramStart"/>
      <w:r w:rsidR="009749D0" w:rsidRPr="00B44440">
        <w:t>screening;</w:t>
      </w:r>
      <w:proofErr w:type="gramEnd"/>
    </w:p>
    <w:p w14:paraId="67D711AA" w14:textId="4250E390" w:rsidR="00E3731A" w:rsidRPr="00B44440" w:rsidRDefault="00E3731A" w:rsidP="00E3731A">
      <w:pPr>
        <w:pStyle w:val="ListBullet"/>
      </w:pPr>
      <w:r w:rsidRPr="00B44440">
        <w:t>newly diagnosed active sub-foveal choroidal neovascularisation lesion secondary to AMD in the study eye</w:t>
      </w:r>
      <w:r w:rsidR="00B64EA0" w:rsidRPr="00B44440">
        <w:t xml:space="preserve"> (a</w:t>
      </w:r>
      <w:r w:rsidRPr="00B44440">
        <w:t xml:space="preserve">ctive </w:t>
      </w:r>
      <w:r w:rsidR="00274434" w:rsidRPr="00B44440">
        <w:t>choroidal neovascularisation</w:t>
      </w:r>
      <w:r w:rsidRPr="00B44440">
        <w:t xml:space="preserve"> indicated presence of leakage and intra- or sub-retinal fluid which was confirmed by central reading centre during </w:t>
      </w:r>
      <w:r w:rsidR="00B64EA0" w:rsidRPr="00B44440">
        <w:t>screening</w:t>
      </w:r>
      <w:proofErr w:type="gramStart"/>
      <w:r w:rsidR="00B64EA0" w:rsidRPr="00B44440">
        <w:t>);</w:t>
      </w:r>
      <w:proofErr w:type="gramEnd"/>
    </w:p>
    <w:p w14:paraId="40CD9D85" w14:textId="5F20DB78" w:rsidR="00E3731A" w:rsidRPr="00B44440" w:rsidRDefault="00E3731A" w:rsidP="00E3731A">
      <w:pPr>
        <w:pStyle w:val="ListBullet"/>
      </w:pPr>
      <w:r w:rsidRPr="00B44440">
        <w:t xml:space="preserve">the area of </w:t>
      </w:r>
      <w:r w:rsidR="00274434" w:rsidRPr="00B44440">
        <w:t>choroidal neovascularisation</w:t>
      </w:r>
      <w:r w:rsidRPr="00B44440">
        <w:t xml:space="preserve"> had to occupy at least 50% of total lesion in the study eye (confirmed by central reading centre during </w:t>
      </w:r>
      <w:r w:rsidR="00B64EA0" w:rsidRPr="00B44440">
        <w:t>s</w:t>
      </w:r>
      <w:r w:rsidRPr="00B44440">
        <w:t>creening</w:t>
      </w:r>
      <w:proofErr w:type="gramStart"/>
      <w:r w:rsidRPr="00B44440">
        <w:t>)</w:t>
      </w:r>
      <w:r w:rsidR="004327A0" w:rsidRPr="00B44440">
        <w:t>;</w:t>
      </w:r>
      <w:proofErr w:type="gramEnd"/>
    </w:p>
    <w:p w14:paraId="2B20CD56" w14:textId="0A906EED" w:rsidR="00E3731A" w:rsidRPr="00B44440" w:rsidRDefault="00E3731A" w:rsidP="00E3731A">
      <w:pPr>
        <w:pStyle w:val="ListBullet"/>
      </w:pPr>
      <w:r w:rsidRPr="00B44440">
        <w:t xml:space="preserve">total lesion area of </w:t>
      </w:r>
      <w:r w:rsidR="004C7824" w:rsidRPr="00B44440">
        <w:t xml:space="preserve">less or equals to </w:t>
      </w:r>
      <w:proofErr w:type="gramStart"/>
      <w:r w:rsidRPr="00B44440">
        <w:t>9.0 disc</w:t>
      </w:r>
      <w:proofErr w:type="gramEnd"/>
      <w:r w:rsidRPr="00B44440">
        <w:t xml:space="preserve"> areas in size (including blood, scars, and neovascularization) in the study eye (confirmed by </w:t>
      </w:r>
      <w:r w:rsidR="00B64EA0" w:rsidRPr="00B44440">
        <w:t>central reading centre</w:t>
      </w:r>
      <w:r w:rsidRPr="00B44440">
        <w:t>)</w:t>
      </w:r>
      <w:r w:rsidR="004327A0" w:rsidRPr="00B44440">
        <w:t>;</w:t>
      </w:r>
    </w:p>
    <w:p w14:paraId="247223CD" w14:textId="768B1CB5" w:rsidR="00E3731A" w:rsidRPr="00B44440" w:rsidRDefault="00E3731A" w:rsidP="00E3731A">
      <w:pPr>
        <w:pStyle w:val="ListBullet"/>
      </w:pPr>
      <w:r w:rsidRPr="00B44440">
        <w:t xml:space="preserve">best corrected visual acuity (BCVA) of 20/40 to 20/200 (letter score of 73 to 34) at </w:t>
      </w:r>
      <w:r w:rsidR="004327A0" w:rsidRPr="00B44440">
        <w:t>screening</w:t>
      </w:r>
      <w:r w:rsidRPr="00B44440">
        <w:t xml:space="preserve"> and at Week 0 (Day 1) prior to randomisation</w:t>
      </w:r>
      <w:r w:rsidR="004327A0" w:rsidRPr="00B44440">
        <w:t>.</w:t>
      </w:r>
    </w:p>
    <w:p w14:paraId="49D434DB" w14:textId="0BF842F5" w:rsidR="00E3731A" w:rsidRPr="00B44440" w:rsidRDefault="00E3731A" w:rsidP="00E3731A">
      <w:r w:rsidRPr="00B44440">
        <w:t xml:space="preserve">Eligible patients were randomised 1:1 to receive either </w:t>
      </w:r>
      <w:proofErr w:type="spellStart"/>
      <w:r w:rsidR="001735C1" w:rsidRPr="00B44440">
        <w:t>Byooviz</w:t>
      </w:r>
      <w:proofErr w:type="spellEnd"/>
      <w:r w:rsidRPr="00B44440">
        <w:t xml:space="preserve"> or US-sourced </w:t>
      </w:r>
      <w:r w:rsidR="001735C1" w:rsidRPr="00B44440">
        <w:t>Lucentis</w:t>
      </w:r>
      <w:r w:rsidRPr="00B44440">
        <w:t xml:space="preserve"> 0.5</w:t>
      </w:r>
      <w:r w:rsidR="004327A0" w:rsidRPr="00B44440">
        <w:t> </w:t>
      </w:r>
      <w:r w:rsidRPr="00B44440">
        <w:t>mg by intravitreal injection every 4 weeks up to Week 48.</w:t>
      </w:r>
      <w:r w:rsidR="00962117" w:rsidRPr="00B44440">
        <w:t xml:space="preserve"> </w:t>
      </w:r>
      <w:r w:rsidRPr="00B44440">
        <w:t xml:space="preserve">Only </w:t>
      </w:r>
      <w:r w:rsidR="004327A0" w:rsidRPr="00B44440">
        <w:t>one</w:t>
      </w:r>
      <w:r w:rsidRPr="00B44440">
        <w:t xml:space="preserve"> eye was designated as the study eye.</w:t>
      </w:r>
      <w:r w:rsidR="00962117" w:rsidRPr="00B44440">
        <w:t xml:space="preserve"> </w:t>
      </w:r>
      <w:r w:rsidRPr="00B44440">
        <w:t xml:space="preserve">For patients who met the eligibility criteria in both eyes, the eye with worse </w:t>
      </w:r>
      <w:r w:rsidR="008106E9" w:rsidRPr="00B44440">
        <w:t>visual acuity</w:t>
      </w:r>
      <w:r w:rsidRPr="00B44440">
        <w:t xml:space="preserve"> was selected as the study eye.</w:t>
      </w:r>
      <w:r w:rsidR="00962117" w:rsidRPr="00B44440">
        <w:t xml:space="preserve"> </w:t>
      </w:r>
      <w:r w:rsidRPr="00B44440">
        <w:t xml:space="preserve">If both eyes had equal </w:t>
      </w:r>
      <w:r w:rsidR="008106E9" w:rsidRPr="00B44440">
        <w:t>visual acuity</w:t>
      </w:r>
      <w:r w:rsidRPr="00B44440">
        <w:t>, the eye with a better visual prognosis (</w:t>
      </w:r>
      <w:r w:rsidR="004327A0" w:rsidRPr="00B44440">
        <w:t>for example,</w:t>
      </w:r>
      <w:r w:rsidRPr="00B44440">
        <w:t xml:space="preserve"> clearer lens and ocular media, and less amount of </w:t>
      </w:r>
      <w:proofErr w:type="spellStart"/>
      <w:r w:rsidRPr="00B44440">
        <w:t>subfoveal</w:t>
      </w:r>
      <w:proofErr w:type="spellEnd"/>
      <w:r w:rsidRPr="00B44440">
        <w:t xml:space="preserve"> scar or geographic atrophy) was selected as the study eye at the </w:t>
      </w:r>
      <w:r w:rsidR="004327A0" w:rsidRPr="00B44440">
        <w:t xml:space="preserve">investigator’s </w:t>
      </w:r>
      <w:r w:rsidRPr="00B44440">
        <w:t>discretion.</w:t>
      </w:r>
    </w:p>
    <w:p w14:paraId="4927A2CF" w14:textId="6E39389C" w:rsidR="00E3731A" w:rsidRPr="00D7062C" w:rsidRDefault="00E3731A" w:rsidP="00D7062C">
      <w:pPr>
        <w:pStyle w:val="FigureTitle"/>
      </w:pPr>
      <w:r w:rsidRPr="00D7062C">
        <w:t xml:space="preserve">Figure </w:t>
      </w:r>
      <w:fldSimple w:instr=" SEQ Figure \* ARABIC ">
        <w:r w:rsidR="00792989">
          <w:rPr>
            <w:noProof/>
          </w:rPr>
          <w:t>2</w:t>
        </w:r>
      </w:fldSimple>
      <w:r w:rsidR="00D7062C" w:rsidRPr="00D7062C">
        <w:t>: Study SB11-G31-AMD</w:t>
      </w:r>
      <w:r w:rsidRPr="00D7062C">
        <w:t xml:space="preserve"> Overview of </w:t>
      </w:r>
      <w:r w:rsidR="00D7062C" w:rsidRPr="00D7062C">
        <w:t>study design</w:t>
      </w:r>
    </w:p>
    <w:p w14:paraId="454EE4DA" w14:textId="5A9D30AF" w:rsidR="00931B57" w:rsidRPr="00B44440" w:rsidRDefault="00931B57" w:rsidP="00D7062C">
      <w:r w:rsidRPr="00B44440">
        <w:rPr>
          <w:noProof/>
          <w:lang w:val="en-GB" w:eastAsia="en-GB"/>
        </w:rPr>
        <w:drawing>
          <wp:inline distT="0" distB="0" distL="0" distR="0" wp14:anchorId="5B61819D" wp14:editId="5A0D4B5C">
            <wp:extent cx="5400040" cy="2192655"/>
            <wp:effectExtent l="0" t="0" r="0" b="0"/>
            <wp:docPr id="9" name="Picture 9" descr="Figure 2: Study SB11-G31-AMD Overview of study design&#10;&#10;Study SB11-G31-AMD is a randomised, double-masked parallel group, multicenter study to evaluate the efficacy, safety, pharmacokinetics, and immunogenicity of Byooviz compared with Lucentis in patients with neovascular age-related macular degeneration.&#10;&#10;Eligible patients were randomly allocated in a 1:1 ratio (352 patients in each group) to receive either 0.5 mg Byooviz or 0.5 mg Lucentis. Patients were administered 0.5 mg Byooviz or 0.5 mg Lucentis via intravitreal route into the study eye every 4 weeks up to Week 48. A total of 13 doses of investigational product were administered in the study and the last assessment was done at Week 52. &#10;Primary end points were assessed at Weeks 4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Study SB11-G31-AMD Overview of study design&#10;&#10;Study SB11-G31-AMD is a randomised, double-masked parallel group, multicenter study to evaluate the efficacy, safety, pharmacokinetics, and immunogenicity of Byooviz compared with Lucentis in patients with neovascular age-related macular degeneration.&#10;&#10;Eligible patients were randomly allocated in a 1:1 ratio (352 patients in each group) to receive either 0.5 mg Byooviz or 0.5 mg Lucentis. Patients were administered 0.5 mg Byooviz or 0.5 mg Lucentis via intravitreal route into the study eye every 4 weeks up to Week 48. A total of 13 doses of investigational product were administered in the study and the last assessment was done at Week 52. &#10;Primary end points were assessed at Weeks 4 and 8."/>
                    <pic:cNvPicPr/>
                  </pic:nvPicPr>
                  <pic:blipFill>
                    <a:blip r:embed="rId24"/>
                    <a:stretch>
                      <a:fillRect/>
                    </a:stretch>
                  </pic:blipFill>
                  <pic:spPr>
                    <a:xfrm>
                      <a:off x="0" y="0"/>
                      <a:ext cx="5400040" cy="2192655"/>
                    </a:xfrm>
                    <a:prstGeom prst="rect">
                      <a:avLst/>
                    </a:prstGeom>
                  </pic:spPr>
                </pic:pic>
              </a:graphicData>
            </a:graphic>
          </wp:inline>
        </w:drawing>
      </w:r>
    </w:p>
    <w:p w14:paraId="0C0D3A9D" w14:textId="61310554" w:rsidR="00E3731A" w:rsidRPr="00D7062C" w:rsidRDefault="00D7062C" w:rsidP="00D7062C">
      <w:pPr>
        <w:pStyle w:val="FigureDescription"/>
      </w:pPr>
      <w:r w:rsidRPr="00D7062C">
        <w:t xml:space="preserve">Abbreviations: </w:t>
      </w:r>
      <w:r w:rsidR="00E3731A" w:rsidRPr="00D7062C">
        <w:t>BCVA = best corrected visual acuity; D = day; ICF = informed consent form; ITV</w:t>
      </w:r>
      <w:r w:rsidR="00046CAF">
        <w:t> </w:t>
      </w:r>
      <w:r w:rsidR="00E3731A" w:rsidRPr="00D7062C">
        <w:t>=</w:t>
      </w:r>
      <w:r w:rsidR="00046CAF">
        <w:t> </w:t>
      </w:r>
      <w:r w:rsidR="00E3731A" w:rsidRPr="00D7062C">
        <w:t>intravitreal; n = number of patients;</w:t>
      </w:r>
      <w:r w:rsidR="00931B57" w:rsidRPr="00D7062C">
        <w:t xml:space="preserve"> </w:t>
      </w:r>
      <w:r w:rsidR="00E3731A" w:rsidRPr="00D7062C">
        <w:t>OCT = optical coherence tomography; PK = pharmacokinetics; R</w:t>
      </w:r>
      <w:r w:rsidR="00046CAF">
        <w:t> </w:t>
      </w:r>
      <w:r w:rsidR="00E3731A" w:rsidRPr="00D7062C">
        <w:t xml:space="preserve">= randomisation; </w:t>
      </w:r>
      <w:r w:rsidRPr="00D7062C">
        <w:t xml:space="preserve">SB11 = </w:t>
      </w:r>
      <w:proofErr w:type="spellStart"/>
      <w:r w:rsidRPr="00D7062C">
        <w:t>Byooviz</w:t>
      </w:r>
      <w:proofErr w:type="spellEnd"/>
      <w:r w:rsidRPr="00D7062C">
        <w:t xml:space="preserve"> (ranibizumab); </w:t>
      </w:r>
      <w:r w:rsidR="00E3731A" w:rsidRPr="00D7062C">
        <w:t>W = week</w:t>
      </w:r>
    </w:p>
    <w:p w14:paraId="728E46E3" w14:textId="77777777" w:rsidR="00E3731A" w:rsidRPr="00D7062C" w:rsidRDefault="00E3731A" w:rsidP="00D7062C">
      <w:pPr>
        <w:pStyle w:val="FigureDescription"/>
      </w:pPr>
      <w:r w:rsidRPr="00D7062C">
        <w:lastRenderedPageBreak/>
        <w:t>1 Written informed consent was obtained from the patient prior to any study related procedures.</w:t>
      </w:r>
    </w:p>
    <w:p w14:paraId="574278F6" w14:textId="00F41D6C" w:rsidR="00E3731A" w:rsidRPr="00D7062C" w:rsidRDefault="00E3731A" w:rsidP="00D7062C">
      <w:pPr>
        <w:pStyle w:val="FigureDescription"/>
      </w:pPr>
      <w:r w:rsidRPr="00D7062C">
        <w:t>2 Screening was done within 21 days prior to randomisation.</w:t>
      </w:r>
    </w:p>
    <w:p w14:paraId="30196006" w14:textId="5029E96C" w:rsidR="004C7824" w:rsidRPr="00B44440" w:rsidRDefault="00525B9F" w:rsidP="004C7824">
      <w:pPr>
        <w:pStyle w:val="Heading6"/>
      </w:pPr>
      <w:r w:rsidRPr="00B44440">
        <w:t>E</w:t>
      </w:r>
      <w:r w:rsidR="004C7824" w:rsidRPr="00B44440">
        <w:t>ndpoints</w:t>
      </w:r>
    </w:p>
    <w:p w14:paraId="754F88F5" w14:textId="61526454" w:rsidR="00525B9F" w:rsidRPr="00B44440" w:rsidRDefault="00525B9F" w:rsidP="00525B9F">
      <w:pPr>
        <w:pStyle w:val="Heading7"/>
        <w:rPr>
          <w:sz w:val="22"/>
          <w:szCs w:val="28"/>
        </w:rPr>
      </w:pPr>
      <w:r w:rsidRPr="00B44440">
        <w:rPr>
          <w:sz w:val="22"/>
          <w:szCs w:val="28"/>
        </w:rPr>
        <w:t>Primary endpoint</w:t>
      </w:r>
    </w:p>
    <w:p w14:paraId="2C275102" w14:textId="6EEA77E3" w:rsidR="00E3731A" w:rsidRPr="00B44440" w:rsidRDefault="00E3731A" w:rsidP="00E3731A">
      <w:r w:rsidRPr="00B44440">
        <w:t xml:space="preserve">Internationally, there was differing regulatory guidance regarding the primary endpoint (anatomical parameter </w:t>
      </w:r>
      <w:r w:rsidR="004C7824" w:rsidRPr="00B44440">
        <w:t>versus</w:t>
      </w:r>
      <w:r w:rsidRPr="00B44440">
        <w:t xml:space="preserve"> visual acuity).</w:t>
      </w:r>
      <w:r w:rsidR="00962117" w:rsidRPr="00B44440">
        <w:t xml:space="preserve"> </w:t>
      </w:r>
      <w:r w:rsidRPr="00B44440">
        <w:t xml:space="preserve">For </w:t>
      </w:r>
      <w:r w:rsidR="000473CD">
        <w:t xml:space="preserve">the </w:t>
      </w:r>
      <w:r w:rsidRPr="00B44440">
        <w:t xml:space="preserve">EMA </w:t>
      </w:r>
      <w:r w:rsidR="005C6489">
        <w:t>(and some</w:t>
      </w:r>
      <w:r w:rsidR="005C6489" w:rsidRPr="00B44440">
        <w:t xml:space="preserve"> regulatory agencies in favour of the anatomical parameter</w:t>
      </w:r>
      <w:r w:rsidR="005C6489">
        <w:t>),</w:t>
      </w:r>
      <w:r w:rsidRPr="00B44440">
        <w:t xml:space="preserve"> the primary endpoint was change from </w:t>
      </w:r>
      <w:r w:rsidR="00B30650" w:rsidRPr="00B44440">
        <w:t>Baseline</w:t>
      </w:r>
      <w:r w:rsidRPr="00B44440">
        <w:t xml:space="preserve"> in central subfield thickness at Week 4.</w:t>
      </w:r>
      <w:r w:rsidR="00962117" w:rsidRPr="00B44440">
        <w:t xml:space="preserve"> </w:t>
      </w:r>
      <w:r w:rsidRPr="00B44440">
        <w:t xml:space="preserve">For </w:t>
      </w:r>
      <w:r w:rsidR="0080282E">
        <w:t xml:space="preserve">the US </w:t>
      </w:r>
      <w:r w:rsidRPr="00B44440">
        <w:t xml:space="preserve">FDA, </w:t>
      </w:r>
      <w:r w:rsidR="005C6489">
        <w:t xml:space="preserve">the </w:t>
      </w:r>
      <w:r w:rsidRPr="00B44440">
        <w:t>Korea</w:t>
      </w:r>
      <w:r w:rsidR="005C6489">
        <w:t>n</w:t>
      </w:r>
      <w:r w:rsidRPr="00B44440">
        <w:t xml:space="preserve"> Ministry of Food and Drug Safety, </w:t>
      </w:r>
      <w:r w:rsidR="005C6489">
        <w:t>and other</w:t>
      </w:r>
      <w:r w:rsidRPr="00B44440">
        <w:t xml:space="preserve"> </w:t>
      </w:r>
      <w:r w:rsidR="005C6489">
        <w:t xml:space="preserve">regulatory </w:t>
      </w:r>
      <w:r w:rsidRPr="00B44440">
        <w:t xml:space="preserve">agencies in favour of </w:t>
      </w:r>
      <w:r w:rsidR="008106E9" w:rsidRPr="00B44440">
        <w:t>visual acuity</w:t>
      </w:r>
      <w:r w:rsidRPr="00B44440">
        <w:t xml:space="preserve">, the primary endpoint was change from </w:t>
      </w:r>
      <w:r w:rsidR="00B30650" w:rsidRPr="00B44440">
        <w:t>Baseline</w:t>
      </w:r>
      <w:r w:rsidRPr="00B44440">
        <w:t xml:space="preserve"> in BCVA at Week 8.</w:t>
      </w:r>
    </w:p>
    <w:p w14:paraId="7B5B72D2" w14:textId="36F87863" w:rsidR="00E3731A" w:rsidRPr="00B44440" w:rsidRDefault="00E3731A" w:rsidP="00525B9F">
      <w:pPr>
        <w:pStyle w:val="Heading7"/>
        <w:rPr>
          <w:sz w:val="22"/>
          <w:szCs w:val="28"/>
        </w:rPr>
      </w:pPr>
      <w:r w:rsidRPr="00B44440">
        <w:rPr>
          <w:sz w:val="22"/>
          <w:szCs w:val="28"/>
        </w:rPr>
        <w:t>Secondary endpoints</w:t>
      </w:r>
    </w:p>
    <w:p w14:paraId="752F49D3" w14:textId="44D927BE" w:rsidR="00525B9F" w:rsidRPr="00B44440" w:rsidRDefault="00525B9F" w:rsidP="00525B9F">
      <w:r w:rsidRPr="00B44440">
        <w:t>Secondary endpoints of this study include:</w:t>
      </w:r>
    </w:p>
    <w:p w14:paraId="7E50CBDC" w14:textId="0CBA037A" w:rsidR="00E3731A" w:rsidRPr="00B44440" w:rsidRDefault="00525B9F" w:rsidP="00E3731A">
      <w:pPr>
        <w:pStyle w:val="ListBullet"/>
      </w:pPr>
      <w:r w:rsidRPr="00B44440">
        <w:t xml:space="preserve">change </w:t>
      </w:r>
      <w:r w:rsidR="00E3731A" w:rsidRPr="00B44440">
        <w:t xml:space="preserve">from </w:t>
      </w:r>
      <w:r w:rsidR="00B30650" w:rsidRPr="00B44440">
        <w:t>Baseline</w:t>
      </w:r>
      <w:r w:rsidR="00E3731A" w:rsidRPr="00B44440">
        <w:t xml:space="preserve"> in </w:t>
      </w:r>
      <w:r w:rsidR="006811E3" w:rsidRPr="00B44440">
        <w:t>central subfield thickness</w:t>
      </w:r>
      <w:r w:rsidR="00E3731A" w:rsidRPr="00B44440">
        <w:t xml:space="preserve"> and central retinal lesion thickness at Week</w:t>
      </w:r>
      <w:r w:rsidRPr="00B44440">
        <w:t> </w:t>
      </w:r>
      <w:r w:rsidR="00E3731A" w:rsidRPr="00B44440">
        <w:t>24 and Week</w:t>
      </w:r>
      <w:r w:rsidRPr="00B44440">
        <w:t> </w:t>
      </w:r>
      <w:r w:rsidR="00E3731A" w:rsidRPr="00B44440">
        <w:t>52 (based on assessment by central reading centre</w:t>
      </w:r>
      <w:proofErr w:type="gramStart"/>
      <w:r w:rsidR="00E3731A" w:rsidRPr="00B44440">
        <w:t>)</w:t>
      </w:r>
      <w:r w:rsidRPr="00B44440">
        <w:t>;</w:t>
      </w:r>
      <w:proofErr w:type="gramEnd"/>
    </w:p>
    <w:p w14:paraId="7CA9B493" w14:textId="201C7F15" w:rsidR="00E3731A" w:rsidRPr="00B44440" w:rsidRDefault="00525B9F" w:rsidP="00E3731A">
      <w:pPr>
        <w:pStyle w:val="ListBullet"/>
      </w:pPr>
      <w:r w:rsidRPr="00B44440">
        <w:t xml:space="preserve">change </w:t>
      </w:r>
      <w:r w:rsidR="00E3731A" w:rsidRPr="00B44440">
        <w:t xml:space="preserve">from </w:t>
      </w:r>
      <w:r w:rsidR="00B30650" w:rsidRPr="00B44440">
        <w:t>Baseline</w:t>
      </w:r>
      <w:r w:rsidR="00E3731A" w:rsidRPr="00B44440">
        <w:t xml:space="preserve"> in BCVA over time up to Week</w:t>
      </w:r>
      <w:r w:rsidRPr="00B44440">
        <w:t>s</w:t>
      </w:r>
      <w:r w:rsidR="00E3731A" w:rsidRPr="00B44440">
        <w:t xml:space="preserve"> 24 and Week </w:t>
      </w:r>
      <w:proofErr w:type="gramStart"/>
      <w:r w:rsidR="00E3731A" w:rsidRPr="00B44440">
        <w:t>52</w:t>
      </w:r>
      <w:r w:rsidRPr="00B44440">
        <w:t>;</w:t>
      </w:r>
      <w:proofErr w:type="gramEnd"/>
    </w:p>
    <w:p w14:paraId="15815CC6" w14:textId="4B3F8893" w:rsidR="00E3731A" w:rsidRPr="00B44440" w:rsidRDefault="00525B9F" w:rsidP="00E3731A">
      <w:pPr>
        <w:pStyle w:val="ListBullet"/>
      </w:pPr>
      <w:r w:rsidRPr="00B44440">
        <w:t xml:space="preserve">proportion </w:t>
      </w:r>
      <w:r w:rsidR="00E3731A" w:rsidRPr="00B44440">
        <w:t xml:space="preserve">of patients who lost fewer than 15 letters in BCVA compared with </w:t>
      </w:r>
      <w:r w:rsidR="00B30650" w:rsidRPr="00B44440">
        <w:t>Baseline</w:t>
      </w:r>
      <w:r w:rsidR="00E3731A" w:rsidRPr="00B44440">
        <w:t xml:space="preserve"> at Week 24 and Week </w:t>
      </w:r>
      <w:proofErr w:type="gramStart"/>
      <w:r w:rsidR="00E3731A" w:rsidRPr="00B44440">
        <w:t>52</w:t>
      </w:r>
      <w:r w:rsidRPr="00B44440">
        <w:t>;</w:t>
      </w:r>
      <w:proofErr w:type="gramEnd"/>
    </w:p>
    <w:p w14:paraId="1ED0C4AA" w14:textId="19CD7FF0" w:rsidR="00E3731A" w:rsidRPr="00B44440" w:rsidRDefault="00525B9F" w:rsidP="00E3731A">
      <w:pPr>
        <w:pStyle w:val="ListBullet"/>
      </w:pPr>
      <w:r w:rsidRPr="00B44440">
        <w:t xml:space="preserve">proportion </w:t>
      </w:r>
      <w:r w:rsidR="00E3731A" w:rsidRPr="00B44440">
        <w:t xml:space="preserve">of patients who gained 15 letters or more in BCVA compared with </w:t>
      </w:r>
      <w:r w:rsidR="00B30650" w:rsidRPr="00B44440">
        <w:t>Baseline</w:t>
      </w:r>
      <w:r w:rsidR="00E3731A" w:rsidRPr="00B44440">
        <w:t xml:space="preserve"> at Week 24 and Week </w:t>
      </w:r>
      <w:proofErr w:type="gramStart"/>
      <w:r w:rsidR="00E3731A" w:rsidRPr="00B44440">
        <w:t>52</w:t>
      </w:r>
      <w:r w:rsidRPr="00B44440">
        <w:t>;</w:t>
      </w:r>
      <w:proofErr w:type="gramEnd"/>
    </w:p>
    <w:p w14:paraId="4A157218" w14:textId="6E656D5A" w:rsidR="00E3731A" w:rsidRPr="00B44440" w:rsidRDefault="00525B9F" w:rsidP="00E3731A">
      <w:pPr>
        <w:pStyle w:val="ListBullet"/>
      </w:pPr>
      <w:r w:rsidRPr="00B44440">
        <w:t xml:space="preserve">change </w:t>
      </w:r>
      <w:r w:rsidR="00E3731A" w:rsidRPr="00B44440">
        <w:t xml:space="preserve">from </w:t>
      </w:r>
      <w:r w:rsidR="00B30650" w:rsidRPr="00B44440">
        <w:t>Baseline</w:t>
      </w:r>
      <w:r w:rsidR="00E3731A" w:rsidRPr="00B44440">
        <w:t xml:space="preserve"> in total </w:t>
      </w:r>
      <w:r w:rsidR="00274434" w:rsidRPr="00B44440">
        <w:t>choroidal neovascularisation</w:t>
      </w:r>
      <w:r w:rsidR="00E3731A" w:rsidRPr="00B44440">
        <w:t xml:space="preserve"> size (area of </w:t>
      </w:r>
      <w:r w:rsidR="00274434" w:rsidRPr="00B44440">
        <w:t>choroidal neovascularisation</w:t>
      </w:r>
      <w:r w:rsidR="00E3731A" w:rsidRPr="00B44440">
        <w:t>) at Week 24 and Week 52 (based on assessment by central reading centre</w:t>
      </w:r>
      <w:proofErr w:type="gramStart"/>
      <w:r w:rsidR="00E3731A" w:rsidRPr="00B44440">
        <w:t>)</w:t>
      </w:r>
      <w:r w:rsidRPr="00B44440">
        <w:t>;</w:t>
      </w:r>
      <w:proofErr w:type="gramEnd"/>
    </w:p>
    <w:p w14:paraId="33C6CF5F" w14:textId="40E251E0" w:rsidR="00E3731A" w:rsidRPr="00B44440" w:rsidRDefault="00525B9F" w:rsidP="00E3731A">
      <w:pPr>
        <w:pStyle w:val="ListBullet"/>
      </w:pPr>
      <w:r w:rsidRPr="00B44440">
        <w:t xml:space="preserve">proportion </w:t>
      </w:r>
      <w:r w:rsidR="00E3731A" w:rsidRPr="00B44440">
        <w:t xml:space="preserve">of patients with active </w:t>
      </w:r>
      <w:r w:rsidR="00274434" w:rsidRPr="00B44440">
        <w:t>choroidal neovascularisation</w:t>
      </w:r>
      <w:r w:rsidR="00E3731A" w:rsidRPr="00B44440">
        <w:t xml:space="preserve"> leakage at Week</w:t>
      </w:r>
      <w:r w:rsidRPr="00B44440">
        <w:t> </w:t>
      </w:r>
      <w:r w:rsidR="00E3731A" w:rsidRPr="00B44440">
        <w:t>24 and Week 52 (based on assessment by central reading centre)</w:t>
      </w:r>
      <w:r w:rsidRPr="00B44440">
        <w:t>.</w:t>
      </w:r>
    </w:p>
    <w:p w14:paraId="6D0E4261" w14:textId="72ECA1A2" w:rsidR="00E3731A" w:rsidRPr="00B44440" w:rsidRDefault="00E3731A" w:rsidP="00525B9F">
      <w:pPr>
        <w:pStyle w:val="Heading7"/>
        <w:rPr>
          <w:sz w:val="22"/>
          <w:szCs w:val="28"/>
        </w:rPr>
      </w:pPr>
      <w:r w:rsidRPr="00B44440">
        <w:rPr>
          <w:sz w:val="22"/>
          <w:szCs w:val="28"/>
        </w:rPr>
        <w:t>Exploratory endpoints</w:t>
      </w:r>
    </w:p>
    <w:p w14:paraId="57157F65" w14:textId="65F19AC2" w:rsidR="00E3731A" w:rsidRPr="00B44440" w:rsidRDefault="00525B9F" w:rsidP="00E3731A">
      <w:pPr>
        <w:pStyle w:val="ListBullet"/>
      </w:pPr>
      <w:r w:rsidRPr="00B44440">
        <w:t xml:space="preserve">proportion </w:t>
      </w:r>
      <w:r w:rsidR="00E3731A" w:rsidRPr="00B44440">
        <w:t>of patients without intra- or sub-retinal fluid at Week 24 and Week</w:t>
      </w:r>
      <w:r w:rsidRPr="00B44440">
        <w:t> </w:t>
      </w:r>
      <w:r w:rsidR="00E3731A" w:rsidRPr="00B44440">
        <w:t>52 (based on assessment by central reading centre</w:t>
      </w:r>
      <w:proofErr w:type="gramStart"/>
      <w:r w:rsidR="00E3731A" w:rsidRPr="00B44440">
        <w:t>)</w:t>
      </w:r>
      <w:r w:rsidRPr="00B44440">
        <w:t>;</w:t>
      </w:r>
      <w:proofErr w:type="gramEnd"/>
    </w:p>
    <w:p w14:paraId="6EC51EC7" w14:textId="7F25191F" w:rsidR="00E3731A" w:rsidRPr="00B44440" w:rsidRDefault="00525B9F" w:rsidP="00E3731A">
      <w:pPr>
        <w:pStyle w:val="ListBullet"/>
      </w:pPr>
      <w:r w:rsidRPr="00B44440">
        <w:t xml:space="preserve">change </w:t>
      </w:r>
      <w:r w:rsidR="00E3731A" w:rsidRPr="00B44440">
        <w:t xml:space="preserve">from </w:t>
      </w:r>
      <w:r w:rsidR="00B30650" w:rsidRPr="00B44440">
        <w:t>Baseline</w:t>
      </w:r>
      <w:r w:rsidR="00E3731A" w:rsidRPr="00B44440">
        <w:t xml:space="preserve"> in subscale scores and composite </w:t>
      </w:r>
      <w:proofErr w:type="gramStart"/>
      <w:r w:rsidR="00E3731A" w:rsidRPr="00B44440">
        <w:t>score</w:t>
      </w:r>
      <w:proofErr w:type="gramEnd"/>
      <w:r w:rsidR="00E3731A" w:rsidRPr="00B44440">
        <w:t xml:space="preserve"> of </w:t>
      </w:r>
      <w:r w:rsidR="00C4167E">
        <w:t xml:space="preserve">the </w:t>
      </w:r>
      <w:r w:rsidR="004A0CEF" w:rsidRPr="00B44440">
        <w:t xml:space="preserve">National Eye Institute </w:t>
      </w:r>
      <w:r w:rsidR="00E3731A" w:rsidRPr="00B44440">
        <w:t>25-item visual function questionnaire</w:t>
      </w:r>
      <w:r w:rsidR="00C844DA">
        <w:t>;</w:t>
      </w:r>
      <w:r w:rsidR="004A0CEF">
        <w:rPr>
          <w:rStyle w:val="FootnoteReference"/>
        </w:rPr>
        <w:footnoteReference w:id="16"/>
      </w:r>
      <w:r w:rsidR="00E3731A" w:rsidRPr="00B44440">
        <w:t xml:space="preserve"> at Week 24 and Week 52</w:t>
      </w:r>
      <w:r w:rsidRPr="00B44440">
        <w:t>.</w:t>
      </w:r>
    </w:p>
    <w:p w14:paraId="1B3AB760" w14:textId="6A5DFB6F" w:rsidR="00E3731A" w:rsidRPr="00B44440" w:rsidRDefault="006811E3" w:rsidP="00E3731A">
      <w:r w:rsidRPr="00B44440">
        <w:t>Central subfield thickness</w:t>
      </w:r>
      <w:r w:rsidR="00E3731A" w:rsidRPr="00B44440">
        <w:t xml:space="preserve"> and </w:t>
      </w:r>
      <w:r w:rsidR="00525B9F" w:rsidRPr="00B44440">
        <w:t>central retinal lesion thickness</w:t>
      </w:r>
      <w:r w:rsidR="00E3731A" w:rsidRPr="00B44440">
        <w:t xml:space="preserve"> were assessed by optical coherence tomography.</w:t>
      </w:r>
      <w:r w:rsidR="00962117" w:rsidRPr="00B44440">
        <w:t xml:space="preserve"> </w:t>
      </w:r>
      <w:r w:rsidR="00E3731A" w:rsidRPr="00B44440">
        <w:t xml:space="preserve">Lesion characteristics such as </w:t>
      </w:r>
      <w:r w:rsidR="00274434" w:rsidRPr="00B44440">
        <w:t>choroidal neovascularisation</w:t>
      </w:r>
      <w:r w:rsidR="00E3731A" w:rsidRPr="00B44440">
        <w:t xml:space="preserve"> size and presence of leakage or haemorrhage were evaluated using fundus photography and/or fluorescein angiography.</w:t>
      </w:r>
    </w:p>
    <w:p w14:paraId="369993C0" w14:textId="6CE382B0" w:rsidR="00E3731A" w:rsidRPr="00B44440" w:rsidRDefault="00E3731A" w:rsidP="00E3731A">
      <w:r w:rsidRPr="00B44440">
        <w:t xml:space="preserve">For </w:t>
      </w:r>
      <w:r w:rsidR="00496C5E">
        <w:t xml:space="preserve">the </w:t>
      </w:r>
      <w:r w:rsidRPr="00B44440">
        <w:t xml:space="preserve">EMA, the primary efficacy analysis was performed for </w:t>
      </w:r>
      <w:r w:rsidR="00525B9F" w:rsidRPr="00B44440">
        <w:t>the per-protocol</w:t>
      </w:r>
      <w:r w:rsidR="006153E6">
        <w:t>;</w:t>
      </w:r>
      <w:r w:rsidR="006153E6">
        <w:rPr>
          <w:rStyle w:val="FootnoteReference"/>
        </w:rPr>
        <w:footnoteReference w:id="17"/>
      </w:r>
      <w:r w:rsidR="00525B9F" w:rsidRPr="00B44440">
        <w:t xml:space="preserve"> set fo</w:t>
      </w:r>
      <w:r w:rsidRPr="00B44440">
        <w:t xml:space="preserve">r </w:t>
      </w:r>
      <w:r w:rsidR="006811E3" w:rsidRPr="00B44440">
        <w:t>central subfield thickness</w:t>
      </w:r>
      <w:r w:rsidRPr="00B44440">
        <w:t xml:space="preserve"> with the change from </w:t>
      </w:r>
      <w:r w:rsidR="00B30650" w:rsidRPr="00B44440">
        <w:t>Baseline</w:t>
      </w:r>
      <w:r w:rsidRPr="00B44440">
        <w:t xml:space="preserve"> in </w:t>
      </w:r>
      <w:r w:rsidR="006811E3" w:rsidRPr="00B44440">
        <w:t>central subfield thickness</w:t>
      </w:r>
      <w:r w:rsidRPr="00B44440">
        <w:t xml:space="preserve"> at Week</w:t>
      </w:r>
      <w:r w:rsidR="006153E6">
        <w:t> </w:t>
      </w:r>
      <w:r w:rsidRPr="00B44440">
        <w:t xml:space="preserve">4 using an analysis of covariance model with the baseline </w:t>
      </w:r>
      <w:r w:rsidR="006811E3" w:rsidRPr="00B44440">
        <w:t>central subfield thickness</w:t>
      </w:r>
      <w:r w:rsidRPr="00B44440">
        <w:t xml:space="preserve"> as a covariate and region (country) and treatment group as factors.</w:t>
      </w:r>
      <w:r w:rsidR="00962117" w:rsidRPr="00B44440">
        <w:t xml:space="preserve"> </w:t>
      </w:r>
      <w:r w:rsidRPr="00B44440">
        <w:t xml:space="preserve">The equivalence in </w:t>
      </w:r>
      <w:r w:rsidR="006811E3" w:rsidRPr="00B44440">
        <w:t>central subfield thickness</w:t>
      </w:r>
      <w:r w:rsidRPr="00B44440">
        <w:t xml:space="preserve"> was declared if the two-sided 95% confidence interval (CI) of the difference of the </w:t>
      </w:r>
      <w:r w:rsidR="006811E3" w:rsidRPr="00B44440">
        <w:t>central subfield thickness</w:t>
      </w:r>
      <w:r w:rsidRPr="00B44440">
        <w:t xml:space="preserve"> least squares mean change from </w:t>
      </w:r>
      <w:r w:rsidR="00B30650" w:rsidRPr="00B44440">
        <w:t>Baseline</w:t>
      </w:r>
      <w:r w:rsidRPr="00B44440">
        <w:t xml:space="preserve"> in </w:t>
      </w:r>
      <w:r w:rsidRPr="00B44440">
        <w:lastRenderedPageBreak/>
        <w:t>Week</w:t>
      </w:r>
      <w:r w:rsidR="00525B9F" w:rsidRPr="00B44440">
        <w:t> </w:t>
      </w:r>
      <w:r w:rsidRPr="00B44440">
        <w:t xml:space="preserve">4 between </w:t>
      </w:r>
      <w:proofErr w:type="spellStart"/>
      <w:r w:rsidR="001735C1" w:rsidRPr="00B44440">
        <w:t>Byooviz</w:t>
      </w:r>
      <w:proofErr w:type="spellEnd"/>
      <w:r w:rsidRPr="00B44440">
        <w:t xml:space="preserve"> and </w:t>
      </w:r>
      <w:r w:rsidR="001735C1" w:rsidRPr="00B44440">
        <w:t>Lucentis</w:t>
      </w:r>
      <w:r w:rsidRPr="00B44440">
        <w:t xml:space="preserve"> lies within the pre-defined equivalence margin of </w:t>
      </w:r>
      <w:r w:rsidR="001735C1" w:rsidRPr="00B44440">
        <w:t>(</w:t>
      </w:r>
      <w:r w:rsidR="006153E6">
        <w:noBreakHyphen/>
      </w:r>
      <w:r w:rsidRPr="00B44440">
        <w:t>36</w:t>
      </w:r>
      <w:r w:rsidR="00525B9F" w:rsidRPr="00B44440">
        <w:t> </w:t>
      </w:r>
      <w:r w:rsidRPr="00B44440">
        <w:t>µm, 36 µm</w:t>
      </w:r>
      <w:r w:rsidR="001735C1" w:rsidRPr="00B44440">
        <w:t>)</w:t>
      </w:r>
      <w:r w:rsidRPr="00B44440">
        <w:t>.</w:t>
      </w:r>
    </w:p>
    <w:p w14:paraId="3CC5F73B" w14:textId="6A4C804B" w:rsidR="00E3731A" w:rsidRPr="00B44440" w:rsidRDefault="00E3731A" w:rsidP="00E3731A">
      <w:r w:rsidRPr="00B44440">
        <w:t>For</w:t>
      </w:r>
      <w:r w:rsidR="0080282E">
        <w:t xml:space="preserve"> the</w:t>
      </w:r>
      <w:r w:rsidRPr="00B44440">
        <w:t xml:space="preserve"> FDA, the primary efficacy analysis of BCVA was performed for the </w:t>
      </w:r>
      <w:r w:rsidR="00585AD2" w:rsidRPr="00B44440">
        <w:t>full analysis set</w:t>
      </w:r>
      <w:r w:rsidRPr="00B44440">
        <w:t xml:space="preserve"> with the change from </w:t>
      </w:r>
      <w:r w:rsidR="00B30650" w:rsidRPr="00B44440">
        <w:t>Baseline</w:t>
      </w:r>
      <w:r w:rsidRPr="00B44440">
        <w:t xml:space="preserve"> in BCVA at Week 8 using </w:t>
      </w:r>
      <w:r w:rsidR="008106E9" w:rsidRPr="00B44440">
        <w:t xml:space="preserve">analysis of covariance </w:t>
      </w:r>
      <w:r w:rsidRPr="00B44440">
        <w:t>model with the baseline BCVA as a covariate and region (country) and treatment group as factors.</w:t>
      </w:r>
      <w:r w:rsidR="00962117" w:rsidRPr="00B44440">
        <w:t xml:space="preserve"> </w:t>
      </w:r>
      <w:r w:rsidRPr="00B44440">
        <w:t xml:space="preserve">The equivalence in BCVA was declared if the two-sided 90% CI of the difference in terms of BCVA </w:t>
      </w:r>
      <w:r w:rsidR="008106E9" w:rsidRPr="00B44440">
        <w:t>least squares mean</w:t>
      </w:r>
      <w:r w:rsidRPr="00B44440">
        <w:t xml:space="preserve"> change from </w:t>
      </w:r>
      <w:r w:rsidR="00B30650" w:rsidRPr="00B44440">
        <w:t>Baseline</w:t>
      </w:r>
      <w:r w:rsidRPr="00B44440">
        <w:t xml:space="preserve"> at Week 8 between </w:t>
      </w:r>
      <w:proofErr w:type="spellStart"/>
      <w:r w:rsidR="001735C1" w:rsidRPr="00B44440">
        <w:t>Byooviz</w:t>
      </w:r>
      <w:proofErr w:type="spellEnd"/>
      <w:r w:rsidRPr="00B44440">
        <w:t xml:space="preserve"> and </w:t>
      </w:r>
      <w:r w:rsidR="001735C1" w:rsidRPr="00B44440">
        <w:t>Lucentis</w:t>
      </w:r>
      <w:r w:rsidRPr="00B44440">
        <w:t xml:space="preserve"> lies within the pre-defined equivalence margin of </w:t>
      </w:r>
      <w:r w:rsidR="001735C1" w:rsidRPr="00B44440">
        <w:t>(-</w:t>
      </w:r>
      <w:r w:rsidRPr="00B44440">
        <w:t>3 letters, 3 letters</w:t>
      </w:r>
      <w:r w:rsidR="001735C1" w:rsidRPr="00B44440">
        <w:t>)</w:t>
      </w:r>
      <w:r w:rsidRPr="00B44440">
        <w:t>.</w:t>
      </w:r>
    </w:p>
    <w:p w14:paraId="11AA5B0B" w14:textId="5590766B" w:rsidR="00E3731A" w:rsidRPr="00B44440" w:rsidRDefault="00E3731A" w:rsidP="00E3731A">
      <w:r w:rsidRPr="00B44440">
        <w:t xml:space="preserve">The pre-defined equivalence margins (±36 µm for </w:t>
      </w:r>
      <w:r w:rsidR="006811E3" w:rsidRPr="00B44440">
        <w:t>central subfield thickness</w:t>
      </w:r>
      <w:r w:rsidRPr="00B44440">
        <w:t xml:space="preserve">, ±3 letters for BCVA) were derived based on findings from studies of </w:t>
      </w:r>
      <w:r w:rsidR="001735C1" w:rsidRPr="00B44440">
        <w:t>Lucentis</w:t>
      </w:r>
      <w:r w:rsidRPr="00B44440">
        <w:t xml:space="preserve"> </w:t>
      </w:r>
      <w:r w:rsidR="004C7824" w:rsidRPr="00B44440">
        <w:t>versus</w:t>
      </w:r>
      <w:r w:rsidRPr="00B44440">
        <w:t xml:space="preserve"> placebo in subjects with neovascular AMD.</w:t>
      </w:r>
      <w:r w:rsidR="00962117" w:rsidRPr="00B44440">
        <w:t xml:space="preserve"> </w:t>
      </w:r>
      <w:r w:rsidR="0080282E">
        <w:t xml:space="preserve">The </w:t>
      </w:r>
      <w:r w:rsidRPr="00B44440">
        <w:t xml:space="preserve">EMA provided </w:t>
      </w:r>
      <w:r w:rsidR="00D26761" w:rsidRPr="00B44440">
        <w:t xml:space="preserve">scientific advice </w:t>
      </w:r>
      <w:r w:rsidRPr="00B44440">
        <w:t>that at least 50 µm difference would represent a change in retinal thickness that is clinically relevant.</w:t>
      </w:r>
    </w:p>
    <w:p w14:paraId="4F7368D9" w14:textId="1B4F183F" w:rsidR="00E3731A" w:rsidRPr="00B44440" w:rsidRDefault="008106E9" w:rsidP="00E3731A">
      <w:r w:rsidRPr="00B44440">
        <w:t xml:space="preserve">A total of </w:t>
      </w:r>
      <w:r w:rsidR="00E3731A" w:rsidRPr="00B44440">
        <w:t xml:space="preserve">705 patients were randomised, 351 to </w:t>
      </w:r>
      <w:proofErr w:type="spellStart"/>
      <w:r w:rsidR="001735C1" w:rsidRPr="00B44440">
        <w:t>Byooviz</w:t>
      </w:r>
      <w:proofErr w:type="spellEnd"/>
      <w:r w:rsidR="00E3731A" w:rsidRPr="00B44440">
        <w:t xml:space="preserve"> and 354 to </w:t>
      </w:r>
      <w:r w:rsidR="001735C1" w:rsidRPr="00B44440">
        <w:t>Lucentis</w:t>
      </w:r>
      <w:r w:rsidR="00E3731A" w:rsidRPr="00B44440">
        <w:t>.</w:t>
      </w:r>
      <w:r w:rsidR="00962117" w:rsidRPr="00B44440">
        <w:t xml:space="preserve"> </w:t>
      </w:r>
      <w:r w:rsidR="00E3731A" w:rsidRPr="00B44440">
        <w:t xml:space="preserve">The treatment groups were well balanced </w:t>
      </w:r>
      <w:proofErr w:type="gramStart"/>
      <w:r w:rsidR="00E3731A" w:rsidRPr="00B44440">
        <w:t>with regard to</w:t>
      </w:r>
      <w:proofErr w:type="gramEnd"/>
      <w:r w:rsidR="00E3731A" w:rsidRPr="00B44440">
        <w:t xml:space="preserve"> demographic characteristics.</w:t>
      </w:r>
      <w:r w:rsidR="00962117" w:rsidRPr="00B44440">
        <w:t xml:space="preserve"> </w:t>
      </w:r>
      <w:r w:rsidR="00E3731A" w:rsidRPr="00B44440">
        <w:t>Overall, the mean age was 74.1 years, 57.2% of subjects were female, 84.7% were White and 14.6% were Asian.</w:t>
      </w:r>
      <w:r w:rsidR="00962117" w:rsidRPr="00B44440">
        <w:t xml:space="preserve"> </w:t>
      </w:r>
      <w:r w:rsidR="00E3731A" w:rsidRPr="00B44440">
        <w:t>Baseline disease characteristics were generally similar across the treatment groups.</w:t>
      </w:r>
      <w:r w:rsidR="00962117" w:rsidRPr="00B44440">
        <w:t xml:space="preserve"> </w:t>
      </w:r>
      <w:r w:rsidR="00E3731A" w:rsidRPr="00B44440">
        <w:t>The most common lesion type was ‘occult’ in both study arms, followed by ‘classic and occult’.</w:t>
      </w:r>
    </w:p>
    <w:p w14:paraId="198A1AFC" w14:textId="273FCF04" w:rsidR="00E3731A" w:rsidRPr="00B44440" w:rsidRDefault="00E3731A" w:rsidP="00E3731A">
      <w:r w:rsidRPr="00B44440">
        <w:t xml:space="preserve">Equivalence was demonstrated for the EMA’s primary endpoint, change from </w:t>
      </w:r>
      <w:r w:rsidR="00B30650" w:rsidRPr="00B44440">
        <w:t>Baseline</w:t>
      </w:r>
      <w:r w:rsidRPr="00B44440">
        <w:t xml:space="preserve"> in </w:t>
      </w:r>
      <w:r w:rsidR="006811E3" w:rsidRPr="00B44440">
        <w:t>central subfield thickness</w:t>
      </w:r>
      <w:r w:rsidRPr="00B44440">
        <w:t xml:space="preserve"> at Week 4 (</w:t>
      </w:r>
      <w:r w:rsidR="00D26761" w:rsidRPr="00B44440">
        <w:t xml:space="preserve">see </w:t>
      </w:r>
      <w:r w:rsidRPr="00B44440">
        <w:fldChar w:fldCharType="begin"/>
      </w:r>
      <w:r w:rsidRPr="00B44440">
        <w:instrText xml:space="preserve"> REF _Ref104820889 \h  \* MERGEFORMAT </w:instrText>
      </w:r>
      <w:r w:rsidRPr="00B44440">
        <w:fldChar w:fldCharType="separate"/>
      </w:r>
      <w:r w:rsidR="00792989" w:rsidRPr="00D7062C">
        <w:t xml:space="preserve">Table </w:t>
      </w:r>
      <w:r w:rsidR="00792989">
        <w:t>4</w:t>
      </w:r>
      <w:r w:rsidRPr="00B44440">
        <w:fldChar w:fldCharType="end"/>
      </w:r>
      <w:r w:rsidR="00D26761" w:rsidRPr="00B44440">
        <w:t xml:space="preserve"> below</w:t>
      </w:r>
      <w:r w:rsidRPr="00B44440">
        <w:t xml:space="preserve">), as the 95% CI of the adjusted treatment difference was completely contained within the pre-defined equivalence margin of </w:t>
      </w:r>
      <w:r w:rsidR="001735C1" w:rsidRPr="00B44440">
        <w:t>(-</w:t>
      </w:r>
      <w:r w:rsidRPr="00B44440">
        <w:t>36 µm, 36 µm</w:t>
      </w:r>
      <w:r w:rsidR="001735C1" w:rsidRPr="00B44440">
        <w:t>)</w:t>
      </w:r>
      <w:r w:rsidRPr="00B44440">
        <w:t>.</w:t>
      </w:r>
      <w:r w:rsidR="00962117" w:rsidRPr="00B44440">
        <w:t xml:space="preserve"> </w:t>
      </w:r>
      <w:r w:rsidRPr="00B44440">
        <w:t xml:space="preserve">Sensitivity analyses performed on the </w:t>
      </w:r>
      <w:r w:rsidR="00585AD2" w:rsidRPr="00B44440">
        <w:t xml:space="preserve">full analysis set </w:t>
      </w:r>
      <w:r w:rsidRPr="00B44440">
        <w:t>using various imputation methods for subjects with missing data were supportive of the primary analysis.</w:t>
      </w:r>
    </w:p>
    <w:p w14:paraId="6239FA54" w14:textId="70D68C11" w:rsidR="00E3731A" w:rsidRPr="00D7062C" w:rsidRDefault="00E3731A" w:rsidP="00D7062C">
      <w:pPr>
        <w:pStyle w:val="TableTitle"/>
      </w:pPr>
      <w:bookmarkStart w:id="43" w:name="_Ref104820889"/>
      <w:r w:rsidRPr="00D7062C">
        <w:t xml:space="preserve">Table </w:t>
      </w:r>
      <w:fldSimple w:instr=" SEQ Table \* ARABIC ">
        <w:r w:rsidR="00792989">
          <w:rPr>
            <w:noProof/>
          </w:rPr>
          <w:t>4</w:t>
        </w:r>
      </w:fldSimple>
      <w:bookmarkEnd w:id="43"/>
      <w:r w:rsidR="00D53D26" w:rsidRPr="00D7062C">
        <w:t>:</w:t>
      </w:r>
      <w:r w:rsidRPr="00D7062C">
        <w:t xml:space="preserve"> </w:t>
      </w:r>
      <w:r w:rsidR="00D26761" w:rsidRPr="00D7062C">
        <w:t xml:space="preserve">Study SB11-G31-AMD </w:t>
      </w:r>
      <w:r w:rsidRPr="00D7062C">
        <w:t xml:space="preserve">Analysis </w:t>
      </w:r>
      <w:r w:rsidR="00D26761" w:rsidRPr="00D7062C">
        <w:t xml:space="preserve">of change from </w:t>
      </w:r>
      <w:r w:rsidR="00B30650" w:rsidRPr="00D7062C">
        <w:t>Baseline</w:t>
      </w:r>
      <w:r w:rsidRPr="00D7062C">
        <w:t xml:space="preserve"> in </w:t>
      </w:r>
      <w:r w:rsidR="006811E3" w:rsidRPr="00D7062C">
        <w:t>central subfield thickness</w:t>
      </w:r>
      <w:r w:rsidRPr="00D7062C">
        <w:t xml:space="preserve"> at Week 4 (</w:t>
      </w:r>
      <w:r w:rsidR="00D26761" w:rsidRPr="00D7062C">
        <w:t>per</w:t>
      </w:r>
      <w:r w:rsidR="00D26761" w:rsidRPr="00D7062C">
        <w:noBreakHyphen/>
        <w:t>protocol set for</w:t>
      </w:r>
      <w:r w:rsidRPr="00D7062C">
        <w:t xml:space="preserve"> </w:t>
      </w:r>
      <w:r w:rsidR="006811E3" w:rsidRPr="00D7062C">
        <w:t>central subfield thickness</w:t>
      </w:r>
      <w:r w:rsidRPr="00D7062C">
        <w:t>)</w:t>
      </w:r>
    </w:p>
    <w:p w14:paraId="51A7F759" w14:textId="6430924E" w:rsidR="00D53D26" w:rsidRPr="00B44440" w:rsidRDefault="00D53D26" w:rsidP="00D7062C">
      <w:r w:rsidRPr="00B44440">
        <w:rPr>
          <w:noProof/>
          <w:lang w:val="en-GB" w:eastAsia="en-GB"/>
        </w:rPr>
        <w:drawing>
          <wp:inline distT="0" distB="0" distL="0" distR="0" wp14:anchorId="3669A795" wp14:editId="33F28342">
            <wp:extent cx="5400040" cy="876935"/>
            <wp:effectExtent l="0" t="0" r="0" b="0"/>
            <wp:docPr id="10" name="Picture 10" descr="Table 4: Study SB11-G31-AMD Analysis of change from Baseline in central subfield thickness at Week 4 (per protocol set for central subfield thic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4: Study SB11-G31-AMD Analysis of change from Baseline in central subfield thickness at Week 4 (per protocol set for central subfield thickness)"/>
                    <pic:cNvPicPr/>
                  </pic:nvPicPr>
                  <pic:blipFill>
                    <a:blip r:embed="rId25"/>
                    <a:stretch>
                      <a:fillRect/>
                    </a:stretch>
                  </pic:blipFill>
                  <pic:spPr>
                    <a:xfrm>
                      <a:off x="0" y="0"/>
                      <a:ext cx="5400040" cy="876935"/>
                    </a:xfrm>
                    <a:prstGeom prst="rect">
                      <a:avLst/>
                    </a:prstGeom>
                  </pic:spPr>
                </pic:pic>
              </a:graphicData>
            </a:graphic>
          </wp:inline>
        </w:drawing>
      </w:r>
    </w:p>
    <w:p w14:paraId="0D6961D1" w14:textId="4D0CCB9D" w:rsidR="00D53D26" w:rsidRPr="00D7062C" w:rsidRDefault="00D7062C" w:rsidP="00D7062C">
      <w:pPr>
        <w:pStyle w:val="TableDescription"/>
      </w:pPr>
      <w:r w:rsidRPr="00D7062C">
        <w:t xml:space="preserve">Abbreviations: </w:t>
      </w:r>
      <w:r w:rsidR="00E3731A" w:rsidRPr="00D7062C">
        <w:t>CI = confidence interval; CST = central subfield thickness (</w:t>
      </w:r>
      <w:proofErr w:type="spellStart"/>
      <w:r w:rsidR="00E3731A" w:rsidRPr="00D7062C">
        <w:t>μm</w:t>
      </w:r>
      <w:proofErr w:type="spellEnd"/>
      <w:r w:rsidR="00E3731A" w:rsidRPr="00D7062C">
        <w:t xml:space="preserve">); N = total number of patients; LS = least square; n = total number of patients with available data at Week 4; </w:t>
      </w:r>
      <w:r w:rsidRPr="00D7062C">
        <w:t xml:space="preserve">SB11 = </w:t>
      </w:r>
      <w:proofErr w:type="spellStart"/>
      <w:r w:rsidRPr="00D7062C">
        <w:t>Byooviz</w:t>
      </w:r>
      <w:proofErr w:type="spellEnd"/>
      <w:r w:rsidRPr="00D7062C">
        <w:t xml:space="preserve"> (ranibizumab); </w:t>
      </w:r>
      <w:r w:rsidR="00E3731A" w:rsidRPr="00D7062C">
        <w:t>SE = standard error</w:t>
      </w:r>
      <w:r w:rsidRPr="00D7062C">
        <w:t>; US = United States.</w:t>
      </w:r>
    </w:p>
    <w:p w14:paraId="109D2A93" w14:textId="77777777" w:rsidR="005329DD" w:rsidRPr="00D7062C" w:rsidRDefault="00E3731A" w:rsidP="00D7062C">
      <w:pPr>
        <w:pStyle w:val="TableDescription"/>
      </w:pPr>
      <w:r w:rsidRPr="00D7062C">
        <w:t>Inferential statistics were based on analysis of covariance model with the baseline CST as a covariate and region (country) and treatment group as fixed factors.</w:t>
      </w:r>
    </w:p>
    <w:p w14:paraId="65455EFA" w14:textId="0E4F204A" w:rsidR="00E3731A" w:rsidRPr="00D7062C" w:rsidRDefault="00E3731A" w:rsidP="00D7062C">
      <w:pPr>
        <w:pStyle w:val="TableDescription"/>
      </w:pPr>
      <w:r w:rsidRPr="00D7062C">
        <w:t xml:space="preserve">For CST, therapeutic equivalence is declared if the 2-sided 95% CI of the difference of CST LS mean changes from </w:t>
      </w:r>
      <w:r w:rsidR="00B30650" w:rsidRPr="00D7062C">
        <w:t>Baseline</w:t>
      </w:r>
      <w:r w:rsidRPr="00D7062C">
        <w:t xml:space="preserve"> at Week 4 between </w:t>
      </w:r>
      <w:proofErr w:type="spellStart"/>
      <w:r w:rsidR="001735C1" w:rsidRPr="00D7062C">
        <w:t>Byooviz</w:t>
      </w:r>
      <w:proofErr w:type="spellEnd"/>
      <w:r w:rsidRPr="00D7062C">
        <w:t xml:space="preserve"> and Lucentis lies within the pre-defined equivalence margin of </w:t>
      </w:r>
      <w:r w:rsidR="001735C1" w:rsidRPr="00D7062C">
        <w:t>(-</w:t>
      </w:r>
      <w:r w:rsidRPr="00D7062C">
        <w:t>36 µm, 36 µm</w:t>
      </w:r>
      <w:r w:rsidR="001735C1" w:rsidRPr="00D7062C">
        <w:t>)</w:t>
      </w:r>
      <w:r w:rsidRPr="00D7062C">
        <w:t>.</w:t>
      </w:r>
    </w:p>
    <w:p w14:paraId="31597D54" w14:textId="3B3E8D6C" w:rsidR="00E3731A" w:rsidRPr="00B44440" w:rsidRDefault="00E3731A" w:rsidP="00E3731A">
      <w:r w:rsidRPr="00B44440">
        <w:t xml:space="preserve">Equivalence was also demonstrated for the FDA’s primary endpoint, change from </w:t>
      </w:r>
      <w:r w:rsidR="00B30650" w:rsidRPr="00B44440">
        <w:t>Baseline</w:t>
      </w:r>
      <w:r w:rsidRPr="00B44440">
        <w:t xml:space="preserve"> in BCVA at Week 8 (</w:t>
      </w:r>
      <w:r w:rsidR="00D26761" w:rsidRPr="00B44440">
        <w:t xml:space="preserve">see </w:t>
      </w:r>
      <w:r w:rsidRPr="00B44440">
        <w:fldChar w:fldCharType="begin"/>
      </w:r>
      <w:r w:rsidRPr="00B44440">
        <w:instrText xml:space="preserve"> REF _Ref104821300 \h  \* MERGEFORMAT </w:instrText>
      </w:r>
      <w:r w:rsidRPr="00B44440">
        <w:fldChar w:fldCharType="separate"/>
      </w:r>
      <w:r w:rsidR="00792989" w:rsidRPr="00D7062C">
        <w:t xml:space="preserve">Table </w:t>
      </w:r>
      <w:r w:rsidR="00792989">
        <w:t>5</w:t>
      </w:r>
      <w:r w:rsidRPr="00B44440">
        <w:fldChar w:fldCharType="end"/>
      </w:r>
      <w:r w:rsidR="00D26761" w:rsidRPr="00B44440">
        <w:t xml:space="preserve"> below</w:t>
      </w:r>
      <w:r w:rsidRPr="00B44440">
        <w:t>), as the 90% CI of the adjusted treatment difference was completely contained within the pre-defined equivalence margin of</w:t>
      </w:r>
      <w:r w:rsidR="00962117" w:rsidRPr="00B44440">
        <w:t xml:space="preserve"> </w:t>
      </w:r>
      <w:r w:rsidR="001735C1" w:rsidRPr="00B44440">
        <w:t>(-</w:t>
      </w:r>
      <w:r w:rsidRPr="00B44440">
        <w:t>3</w:t>
      </w:r>
      <w:r w:rsidR="00046CAF">
        <w:t> </w:t>
      </w:r>
      <w:r w:rsidRPr="00B44440">
        <w:t>letters, 3</w:t>
      </w:r>
      <w:r w:rsidR="00D26761" w:rsidRPr="00B44440">
        <w:t> </w:t>
      </w:r>
      <w:r w:rsidRPr="00B44440">
        <w:t>letters</w:t>
      </w:r>
      <w:r w:rsidR="001735C1" w:rsidRPr="00B44440">
        <w:t>)</w:t>
      </w:r>
      <w:r w:rsidRPr="00B44440">
        <w:t>.</w:t>
      </w:r>
      <w:r w:rsidR="00962117" w:rsidRPr="00B44440">
        <w:t xml:space="preserve"> </w:t>
      </w:r>
      <w:r w:rsidRPr="00B44440">
        <w:rPr>
          <w:i/>
          <w:iCs/>
        </w:rPr>
        <w:t>Ad</w:t>
      </w:r>
      <w:r w:rsidR="00A343DA" w:rsidRPr="00B44440">
        <w:rPr>
          <w:i/>
          <w:iCs/>
        </w:rPr>
        <w:t>-</w:t>
      </w:r>
      <w:r w:rsidRPr="00B44440">
        <w:rPr>
          <w:i/>
          <w:iCs/>
        </w:rPr>
        <w:t>hoc</w:t>
      </w:r>
      <w:r w:rsidRPr="00B44440">
        <w:t xml:space="preserve"> analysis showed that the 95% CI </w:t>
      </w:r>
      <w:r w:rsidR="001735C1" w:rsidRPr="00B44440">
        <w:t>(</w:t>
      </w:r>
      <w:r w:rsidRPr="00B44440">
        <w:t>-2.023, 0.415</w:t>
      </w:r>
      <w:r w:rsidR="001735C1" w:rsidRPr="00B44440">
        <w:t>)</w:t>
      </w:r>
      <w:r w:rsidRPr="00B44440">
        <w:t xml:space="preserve"> was also contained within the equivalence margin.</w:t>
      </w:r>
      <w:r w:rsidR="00962117" w:rsidRPr="00B44440">
        <w:t xml:space="preserve"> </w:t>
      </w:r>
      <w:r w:rsidRPr="00B44440">
        <w:t xml:space="preserve">Sensitivity analyses performed on the </w:t>
      </w:r>
      <w:r w:rsidR="00D26761" w:rsidRPr="00B44440">
        <w:t xml:space="preserve">per-protocol set </w:t>
      </w:r>
      <w:r w:rsidRPr="00B44440">
        <w:t>were supportive of the primary analysis.</w:t>
      </w:r>
    </w:p>
    <w:p w14:paraId="5129D78E" w14:textId="6B958AE1" w:rsidR="00E3731A" w:rsidRPr="00D7062C" w:rsidRDefault="00E3731A" w:rsidP="00D7062C">
      <w:pPr>
        <w:pStyle w:val="TableTitle"/>
      </w:pPr>
      <w:bookmarkStart w:id="44" w:name="_Ref104821300"/>
      <w:r w:rsidRPr="00D7062C">
        <w:lastRenderedPageBreak/>
        <w:t xml:space="preserve">Table </w:t>
      </w:r>
      <w:fldSimple w:instr=" SEQ Table \* ARABIC ">
        <w:r w:rsidR="00792989">
          <w:rPr>
            <w:noProof/>
          </w:rPr>
          <w:t>5</w:t>
        </w:r>
      </w:fldSimple>
      <w:bookmarkEnd w:id="44"/>
      <w:r w:rsidR="00D53D26" w:rsidRPr="00D7062C">
        <w:t>:</w:t>
      </w:r>
      <w:r w:rsidRPr="00D7062C">
        <w:t xml:space="preserve"> </w:t>
      </w:r>
      <w:r w:rsidR="00D26761" w:rsidRPr="00D7062C">
        <w:t xml:space="preserve">Study SB11-G31-AMD </w:t>
      </w:r>
      <w:r w:rsidRPr="00D7062C">
        <w:t xml:space="preserve">Analysis of </w:t>
      </w:r>
      <w:r w:rsidR="00D26761" w:rsidRPr="00D7062C">
        <w:t xml:space="preserve">change from </w:t>
      </w:r>
      <w:r w:rsidR="00B30650" w:rsidRPr="00D7062C">
        <w:t>Baseline</w:t>
      </w:r>
      <w:r w:rsidRPr="00D7062C">
        <w:t xml:space="preserve"> in </w:t>
      </w:r>
      <w:r w:rsidR="00D7062C" w:rsidRPr="00D7062C">
        <w:t xml:space="preserve">best corrected visual acuity </w:t>
      </w:r>
      <w:r w:rsidRPr="00D7062C">
        <w:t>at Week 8 (</w:t>
      </w:r>
      <w:r w:rsidR="00585AD2" w:rsidRPr="00D7062C">
        <w:t>full analysis set</w:t>
      </w:r>
      <w:r w:rsidRPr="00D7062C">
        <w:t>)</w:t>
      </w:r>
    </w:p>
    <w:p w14:paraId="60D977AE" w14:textId="70BD4023" w:rsidR="005329DD" w:rsidRPr="00B44440" w:rsidRDefault="005329DD" w:rsidP="00D7062C">
      <w:r w:rsidRPr="00B44440">
        <w:rPr>
          <w:noProof/>
          <w:lang w:val="en-GB" w:eastAsia="en-GB"/>
        </w:rPr>
        <w:drawing>
          <wp:inline distT="0" distB="0" distL="0" distR="0" wp14:anchorId="275268E4" wp14:editId="104A3AFE">
            <wp:extent cx="5400040" cy="882015"/>
            <wp:effectExtent l="0" t="0" r="0" b="0"/>
            <wp:docPr id="11" name="Picture 11" descr="Table 5: Study SB11-G31-AMD Analysis of change from Baseline in best corrected visual acuity at Week 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5: Study SB11-G31-AMD Analysis of change from Baseline in best corrected visual acuity at Week 8 (full analysis set)"/>
                    <pic:cNvPicPr/>
                  </pic:nvPicPr>
                  <pic:blipFill>
                    <a:blip r:embed="rId26"/>
                    <a:stretch>
                      <a:fillRect/>
                    </a:stretch>
                  </pic:blipFill>
                  <pic:spPr>
                    <a:xfrm>
                      <a:off x="0" y="0"/>
                      <a:ext cx="5400040" cy="882015"/>
                    </a:xfrm>
                    <a:prstGeom prst="rect">
                      <a:avLst/>
                    </a:prstGeom>
                  </pic:spPr>
                </pic:pic>
              </a:graphicData>
            </a:graphic>
          </wp:inline>
        </w:drawing>
      </w:r>
    </w:p>
    <w:p w14:paraId="3748DCE7" w14:textId="441D35FF" w:rsidR="00A02AE2" w:rsidRPr="00A02AE2" w:rsidRDefault="00D7062C" w:rsidP="00A02AE2">
      <w:pPr>
        <w:pStyle w:val="TableDescription"/>
      </w:pPr>
      <w:r w:rsidRPr="00A02AE2">
        <w:t xml:space="preserve">Abbreviations: </w:t>
      </w:r>
      <w:r w:rsidR="00E3731A" w:rsidRPr="00A02AE2">
        <w:t xml:space="preserve">CI = confidence interval; LS = least square; MAR = missing-at-random; N = total number of patients; n = total number of patients with available data at Week 8; </w:t>
      </w:r>
      <w:r w:rsidR="00A02AE2" w:rsidRPr="00A02AE2">
        <w:t xml:space="preserve">SB11 = </w:t>
      </w:r>
      <w:proofErr w:type="spellStart"/>
      <w:r w:rsidR="00A02AE2" w:rsidRPr="00A02AE2">
        <w:t>Byooviz</w:t>
      </w:r>
      <w:proofErr w:type="spellEnd"/>
      <w:r w:rsidR="00A02AE2" w:rsidRPr="00A02AE2">
        <w:t xml:space="preserve"> (ranibizumab); </w:t>
      </w:r>
      <w:r w:rsidR="00E3731A" w:rsidRPr="00A02AE2">
        <w:t>SE</w:t>
      </w:r>
      <w:r w:rsidR="00046CAF">
        <w:t> </w:t>
      </w:r>
      <w:r w:rsidR="00E3731A" w:rsidRPr="00A02AE2">
        <w:t>=</w:t>
      </w:r>
      <w:r w:rsidR="00046CAF">
        <w:t> </w:t>
      </w:r>
      <w:r w:rsidR="00E3731A" w:rsidRPr="00A02AE2">
        <w:t>standard error</w:t>
      </w:r>
      <w:r w:rsidR="00A02AE2" w:rsidRPr="00A02AE2">
        <w:t>; US = United States.</w:t>
      </w:r>
    </w:p>
    <w:p w14:paraId="0FFB8A41" w14:textId="3584D38B" w:rsidR="00D26761" w:rsidRPr="00A02AE2" w:rsidRDefault="00D26761" w:rsidP="00A02AE2">
      <w:pPr>
        <w:pStyle w:val="TableDescription"/>
      </w:pPr>
      <w:r w:rsidRPr="00A02AE2">
        <w:t xml:space="preserve">Imputation </w:t>
      </w:r>
      <w:r w:rsidR="00A02AE2" w:rsidRPr="00A02AE2">
        <w:t>method: multiple imputation – missing-at-random</w:t>
      </w:r>
    </w:p>
    <w:p w14:paraId="4BBA341F" w14:textId="27FA0938" w:rsidR="005329DD" w:rsidRPr="00A02AE2" w:rsidRDefault="00E3731A" w:rsidP="00A02AE2">
      <w:pPr>
        <w:pStyle w:val="TableDescription"/>
      </w:pPr>
      <w:r w:rsidRPr="00A02AE2">
        <w:t xml:space="preserve">Inferential statistics were based on analysis of covariance model with the baseline </w:t>
      </w:r>
      <w:r w:rsidR="00A02AE2" w:rsidRPr="00A02AE2">
        <w:t>best corrected visual acuity (</w:t>
      </w:r>
      <w:r w:rsidRPr="00A02AE2">
        <w:t>BCVA</w:t>
      </w:r>
      <w:r w:rsidR="00A02AE2" w:rsidRPr="00A02AE2">
        <w:t>)</w:t>
      </w:r>
      <w:r w:rsidRPr="00A02AE2">
        <w:t xml:space="preserve"> as a covariate and region (country)</w:t>
      </w:r>
      <w:r w:rsidR="005329DD" w:rsidRPr="00A02AE2">
        <w:t xml:space="preserve"> </w:t>
      </w:r>
      <w:r w:rsidRPr="00A02AE2">
        <w:t>and treatment as fixed factors.</w:t>
      </w:r>
    </w:p>
    <w:p w14:paraId="55ED12E4" w14:textId="25E82B45" w:rsidR="005329DD" w:rsidRPr="00A02AE2" w:rsidRDefault="00E3731A" w:rsidP="00A02AE2">
      <w:pPr>
        <w:pStyle w:val="TableDescription"/>
      </w:pPr>
      <w:r w:rsidRPr="00A02AE2">
        <w:t xml:space="preserve">For the BCVA, BCVA letter scores at 4 meter and 1 meter were imputed by </w:t>
      </w:r>
      <w:r w:rsidR="00A02AE2" w:rsidRPr="00A02AE2">
        <w:t xml:space="preserve">multiple imputation </w:t>
      </w:r>
      <w:r w:rsidRPr="00A02AE2">
        <w:t xml:space="preserve">method with the assumption of monotone missing pattern and regression method under the </w:t>
      </w:r>
      <w:r w:rsidR="00A02AE2" w:rsidRPr="00A02AE2">
        <w:t>missing-at-random</w:t>
      </w:r>
      <w:r w:rsidRPr="00A02AE2">
        <w:t>.</w:t>
      </w:r>
    </w:p>
    <w:p w14:paraId="49FCBC7F" w14:textId="4B7B3940" w:rsidR="00E3731A" w:rsidRPr="00A02AE2" w:rsidRDefault="00E3731A" w:rsidP="00A02AE2">
      <w:pPr>
        <w:pStyle w:val="TableDescription"/>
      </w:pPr>
      <w:r w:rsidRPr="00A02AE2">
        <w:t xml:space="preserve">Therapeutic equivalence is declared if the two-sided 90% CI of the difference of BCVA LS mean changes from </w:t>
      </w:r>
      <w:r w:rsidR="00B30650" w:rsidRPr="00A02AE2">
        <w:t>Baseline</w:t>
      </w:r>
      <w:r w:rsidRPr="00A02AE2">
        <w:t xml:space="preserve"> at Week 8 between </w:t>
      </w:r>
      <w:proofErr w:type="spellStart"/>
      <w:r w:rsidR="001735C1" w:rsidRPr="00A02AE2">
        <w:t>Byooviz</w:t>
      </w:r>
      <w:proofErr w:type="spellEnd"/>
      <w:r w:rsidRPr="00A02AE2">
        <w:t xml:space="preserve"> and Lucentis lies within the pre-defined equivalence margin of </w:t>
      </w:r>
      <w:r w:rsidR="001735C1" w:rsidRPr="00A02AE2">
        <w:t>(</w:t>
      </w:r>
      <w:r w:rsidR="00046CAF">
        <w:noBreakHyphen/>
      </w:r>
      <w:r w:rsidRPr="00A02AE2">
        <w:t>3</w:t>
      </w:r>
      <w:r w:rsidR="00046CAF">
        <w:t> </w:t>
      </w:r>
      <w:r w:rsidRPr="00A02AE2">
        <w:t>letters, 3 letters</w:t>
      </w:r>
      <w:r w:rsidR="001735C1" w:rsidRPr="00A02AE2">
        <w:t>)</w:t>
      </w:r>
      <w:r w:rsidRPr="00A02AE2">
        <w:t>.</w:t>
      </w:r>
    </w:p>
    <w:p w14:paraId="237FA076" w14:textId="0B2B3DEE" w:rsidR="00E3731A" w:rsidRPr="00B44440" w:rsidRDefault="00E3731A" w:rsidP="00E3731A">
      <w:r w:rsidRPr="00B44440">
        <w:t>Secondary efficacy endpoints were supportive of the primary analyses demonstrating no clinically meaningful difference in efficacy.</w:t>
      </w:r>
      <w:r w:rsidR="00962117" w:rsidRPr="00B44440">
        <w:t xml:space="preserve"> </w:t>
      </w:r>
      <w:r w:rsidRPr="00B44440">
        <w:t xml:space="preserve">The change from </w:t>
      </w:r>
      <w:r w:rsidR="00B30650" w:rsidRPr="00B44440">
        <w:t>Baseline</w:t>
      </w:r>
      <w:r w:rsidRPr="00B44440">
        <w:t xml:space="preserve"> in </w:t>
      </w:r>
      <w:r w:rsidR="006811E3" w:rsidRPr="00B44440">
        <w:t>central subfield thickness</w:t>
      </w:r>
      <w:r w:rsidRPr="00B44440">
        <w:t xml:space="preserve"> at Week</w:t>
      </w:r>
      <w:r w:rsidR="002D1DF4" w:rsidRPr="00B44440">
        <w:t> </w:t>
      </w:r>
      <w:r w:rsidRPr="00B44440">
        <w:t xml:space="preserve">24 and change from </w:t>
      </w:r>
      <w:r w:rsidR="00B30650" w:rsidRPr="00B44440">
        <w:t>Baseline</w:t>
      </w:r>
      <w:r w:rsidRPr="00B44440">
        <w:t xml:space="preserve"> in </w:t>
      </w:r>
      <w:r w:rsidR="006811E3" w:rsidRPr="00B44440">
        <w:t>central subfield thickness</w:t>
      </w:r>
      <w:r w:rsidRPr="00B44440">
        <w:t xml:space="preserve"> at Week</w:t>
      </w:r>
      <w:r w:rsidR="00046CAF">
        <w:t> </w:t>
      </w:r>
      <w:r w:rsidRPr="00B44440">
        <w:t xml:space="preserve">52 for the </w:t>
      </w:r>
      <w:r w:rsidR="002D1DF4" w:rsidRPr="00B44440">
        <w:t xml:space="preserve">per-protocol set </w:t>
      </w:r>
      <w:r w:rsidRPr="00B44440">
        <w:t>were comparable between the two treatment groups (Week</w:t>
      </w:r>
      <w:r w:rsidR="00046CAF">
        <w:t> </w:t>
      </w:r>
      <w:r w:rsidRPr="00B44440">
        <w:t xml:space="preserve">24: </w:t>
      </w:r>
      <w:proofErr w:type="spellStart"/>
      <w:r w:rsidR="001735C1" w:rsidRPr="00B44440">
        <w:t>Byooviz</w:t>
      </w:r>
      <w:proofErr w:type="spellEnd"/>
      <w:r w:rsidRPr="00B44440">
        <w:t xml:space="preserve"> </w:t>
      </w:r>
      <w:r w:rsidR="001735C1" w:rsidRPr="00B44440">
        <w:t>-</w:t>
      </w:r>
      <w:r w:rsidRPr="00B44440">
        <w:t xml:space="preserve">135.68 µm, </w:t>
      </w:r>
      <w:r w:rsidR="001735C1" w:rsidRPr="00B44440">
        <w:t>Lucentis</w:t>
      </w:r>
      <w:r w:rsidRPr="00B44440">
        <w:t xml:space="preserve"> </w:t>
      </w:r>
      <w:r w:rsidR="001735C1" w:rsidRPr="00B44440">
        <w:t>-</w:t>
      </w:r>
      <w:r w:rsidRPr="00B44440">
        <w:t>126.09</w:t>
      </w:r>
      <w:r w:rsidR="002D1DF4" w:rsidRPr="00B44440">
        <w:t> </w:t>
      </w:r>
      <w:r w:rsidRPr="00B44440">
        <w:t xml:space="preserve">µm; Week 52: </w:t>
      </w:r>
      <w:proofErr w:type="spellStart"/>
      <w:r w:rsidR="001735C1" w:rsidRPr="00B44440">
        <w:t>Byooviz</w:t>
      </w:r>
      <w:proofErr w:type="spellEnd"/>
      <w:r w:rsidR="001735C1" w:rsidRPr="00B44440">
        <w:t xml:space="preserve"> -</w:t>
      </w:r>
      <w:r w:rsidRPr="00B44440">
        <w:t xml:space="preserve">139.55 µm, </w:t>
      </w:r>
      <w:r w:rsidR="001735C1" w:rsidRPr="00B44440">
        <w:t>Lucentis</w:t>
      </w:r>
      <w:r w:rsidRPr="00B44440">
        <w:t xml:space="preserve"> </w:t>
      </w:r>
      <w:r w:rsidR="00046CAF">
        <w:noBreakHyphen/>
      </w:r>
      <w:r w:rsidRPr="00B44440">
        <w:t>124.46</w:t>
      </w:r>
      <w:r w:rsidR="00046CAF">
        <w:t> </w:t>
      </w:r>
      <w:r w:rsidRPr="00B44440">
        <w:t>µm).</w:t>
      </w:r>
      <w:r w:rsidR="00962117" w:rsidRPr="00B44440">
        <w:t xml:space="preserve"> </w:t>
      </w:r>
      <w:r w:rsidRPr="00B44440">
        <w:t xml:space="preserve">The point estimate for the difference in change from </w:t>
      </w:r>
      <w:r w:rsidR="00B30650" w:rsidRPr="00B44440">
        <w:t>Baseline</w:t>
      </w:r>
      <w:r w:rsidRPr="00B44440">
        <w:t xml:space="preserve"> in </w:t>
      </w:r>
      <w:r w:rsidR="006811E3" w:rsidRPr="00B44440">
        <w:t>central subfield thickness</w:t>
      </w:r>
      <w:r w:rsidRPr="00B44440">
        <w:t xml:space="preserve"> at Week 24 was </w:t>
      </w:r>
      <w:r w:rsidR="001735C1" w:rsidRPr="00B44440">
        <w:t>-</w:t>
      </w:r>
      <w:r w:rsidRPr="00B44440">
        <w:t xml:space="preserve">9.59 µm </w:t>
      </w:r>
      <w:r w:rsidR="001735C1" w:rsidRPr="00B44440">
        <w:t>(</w:t>
      </w:r>
      <w:r w:rsidRPr="00B44440">
        <w:t xml:space="preserve">95% CI: </w:t>
      </w:r>
      <w:r w:rsidR="001735C1" w:rsidRPr="00B44440">
        <w:t>-</w:t>
      </w:r>
      <w:r w:rsidRPr="00B44440">
        <w:t xml:space="preserve">19.095, </w:t>
      </w:r>
      <w:r w:rsidR="001735C1" w:rsidRPr="00B44440">
        <w:t>-</w:t>
      </w:r>
      <w:r w:rsidRPr="00B44440">
        <w:t>0.091</w:t>
      </w:r>
      <w:r w:rsidR="001735C1" w:rsidRPr="00B44440">
        <w:t>)</w:t>
      </w:r>
      <w:r w:rsidRPr="00B44440">
        <w:t xml:space="preserve"> and at Week</w:t>
      </w:r>
      <w:r w:rsidR="002D1DF4" w:rsidRPr="00B44440">
        <w:t> </w:t>
      </w:r>
      <w:r w:rsidRPr="00B44440">
        <w:t xml:space="preserve">52 was </w:t>
      </w:r>
      <w:r w:rsidR="00CB05AE" w:rsidRPr="00B44440">
        <w:t>-</w:t>
      </w:r>
      <w:r w:rsidRPr="00B44440">
        <w:t xml:space="preserve">15.09 µm </w:t>
      </w:r>
      <w:r w:rsidR="001735C1" w:rsidRPr="00B44440">
        <w:t>(</w:t>
      </w:r>
      <w:r w:rsidRPr="00B44440">
        <w:t xml:space="preserve">95% CI: </w:t>
      </w:r>
      <w:r w:rsidR="001735C1" w:rsidRPr="00B44440">
        <w:t>-</w:t>
      </w:r>
      <w:r w:rsidRPr="00B44440">
        <w:t xml:space="preserve">25.617, </w:t>
      </w:r>
      <w:r w:rsidR="001735C1" w:rsidRPr="00B44440">
        <w:t>-</w:t>
      </w:r>
      <w:r w:rsidRPr="00B44440">
        <w:t>4.563</w:t>
      </w:r>
      <w:r w:rsidR="001735C1" w:rsidRPr="00B44440">
        <w:t>)</w:t>
      </w:r>
      <w:r w:rsidRPr="00B44440">
        <w:t>.</w:t>
      </w:r>
      <w:r w:rsidR="00962117" w:rsidRPr="00B44440">
        <w:t xml:space="preserve"> </w:t>
      </w:r>
      <w:r w:rsidRPr="00B44440">
        <w:t>Although the upper bound of the 95%</w:t>
      </w:r>
      <w:r w:rsidR="002D1DF4" w:rsidRPr="00B44440">
        <w:t> </w:t>
      </w:r>
      <w:r w:rsidRPr="00B44440">
        <w:t xml:space="preserve">CIs did not cover zero, the absolute treatment difference </w:t>
      </w:r>
      <w:r w:rsidR="001735C1" w:rsidRPr="00B44440">
        <w:t>(</w:t>
      </w:r>
      <w:r w:rsidRPr="00B44440">
        <w:t>95% CI</w:t>
      </w:r>
      <w:r w:rsidR="001735C1" w:rsidRPr="00B44440">
        <w:t>)</w:t>
      </w:r>
      <w:r w:rsidRPr="00B44440">
        <w:t xml:space="preserve"> in change from </w:t>
      </w:r>
      <w:r w:rsidR="00B30650" w:rsidRPr="00B44440">
        <w:t>Baseline</w:t>
      </w:r>
      <w:r w:rsidRPr="00B44440">
        <w:t xml:space="preserve"> in </w:t>
      </w:r>
      <w:r w:rsidR="006811E3" w:rsidRPr="00B44440">
        <w:t>central subfield thickness</w:t>
      </w:r>
      <w:r w:rsidRPr="00B44440">
        <w:t xml:space="preserve"> at Weeks 24 and 52 was well below the clinically significant threshold for change in retinal thickness.</w:t>
      </w:r>
    </w:p>
    <w:p w14:paraId="723B876F" w14:textId="64B97030" w:rsidR="00E3731A" w:rsidRPr="00B44440" w:rsidRDefault="00E3731A" w:rsidP="00E3731A">
      <w:r w:rsidRPr="00B44440">
        <w:t xml:space="preserve">The change from </w:t>
      </w:r>
      <w:r w:rsidR="00B30650" w:rsidRPr="00B44440">
        <w:t>Baseline</w:t>
      </w:r>
      <w:r w:rsidRPr="00B44440">
        <w:t xml:space="preserve"> in </w:t>
      </w:r>
      <w:r w:rsidR="00525B9F" w:rsidRPr="00B44440">
        <w:t>central retinal lesion thickness</w:t>
      </w:r>
      <w:r w:rsidRPr="00B44440">
        <w:t xml:space="preserve"> at Week 24 and Week 52 for the </w:t>
      </w:r>
      <w:r w:rsidR="00BE3F9B" w:rsidRPr="00B44440">
        <w:t>full analysis set</w:t>
      </w:r>
      <w:r w:rsidRPr="00B44440">
        <w:t xml:space="preserve"> using available cases was comparable between the two treatment groups (Week</w:t>
      </w:r>
      <w:r w:rsidR="002D1DF4" w:rsidRPr="00B44440">
        <w:t> </w:t>
      </w:r>
      <w:r w:rsidRPr="00B44440">
        <w:t xml:space="preserve">24: </w:t>
      </w:r>
      <w:proofErr w:type="spellStart"/>
      <w:r w:rsidR="001735C1" w:rsidRPr="00B44440">
        <w:t>Byooviz</w:t>
      </w:r>
      <w:proofErr w:type="spellEnd"/>
      <w:r w:rsidRPr="00B44440">
        <w:t xml:space="preserve"> </w:t>
      </w:r>
      <w:r w:rsidR="001735C1" w:rsidRPr="00B44440">
        <w:t>-</w:t>
      </w:r>
      <w:r w:rsidRPr="00B44440">
        <w:t xml:space="preserve">147.67 µm, </w:t>
      </w:r>
      <w:r w:rsidR="001735C1" w:rsidRPr="00B44440">
        <w:t>Lucentis</w:t>
      </w:r>
      <w:r w:rsidRPr="00B44440">
        <w:t xml:space="preserve"> </w:t>
      </w:r>
      <w:r w:rsidR="001735C1" w:rsidRPr="00B44440">
        <w:t>-</w:t>
      </w:r>
      <w:r w:rsidRPr="00B44440">
        <w:t xml:space="preserve">138.41 µm; Week 52: </w:t>
      </w:r>
      <w:proofErr w:type="spellStart"/>
      <w:r w:rsidR="001735C1" w:rsidRPr="00B44440">
        <w:t>Byooviz</w:t>
      </w:r>
      <w:proofErr w:type="spellEnd"/>
      <w:r w:rsidRPr="00B44440">
        <w:t xml:space="preserve"> </w:t>
      </w:r>
      <w:r w:rsidR="00046CAF">
        <w:noBreakHyphen/>
      </w:r>
      <w:r w:rsidRPr="00B44440">
        <w:t>161.00</w:t>
      </w:r>
      <w:r w:rsidR="00046CAF">
        <w:t> </w:t>
      </w:r>
      <w:r w:rsidRPr="00B44440">
        <w:t xml:space="preserve">µm, </w:t>
      </w:r>
      <w:r w:rsidR="001735C1" w:rsidRPr="00B44440">
        <w:t>Lucentis</w:t>
      </w:r>
      <w:r w:rsidRPr="00B44440">
        <w:t xml:space="preserve"> </w:t>
      </w:r>
      <w:r w:rsidR="001735C1" w:rsidRPr="00B44440">
        <w:t>-</w:t>
      </w:r>
      <w:r w:rsidRPr="00B44440">
        <w:t>149.46 µm).</w:t>
      </w:r>
      <w:r w:rsidR="00962117" w:rsidRPr="00B44440">
        <w:t xml:space="preserve"> </w:t>
      </w:r>
      <w:r w:rsidRPr="00B44440">
        <w:t xml:space="preserve">The difference between </w:t>
      </w:r>
      <w:proofErr w:type="spellStart"/>
      <w:r w:rsidR="001735C1" w:rsidRPr="00B44440">
        <w:t>Byooviz</w:t>
      </w:r>
      <w:proofErr w:type="spellEnd"/>
      <w:r w:rsidRPr="00B44440">
        <w:t xml:space="preserve"> and </w:t>
      </w:r>
      <w:r w:rsidR="001735C1" w:rsidRPr="00B44440">
        <w:t>Lucentis</w:t>
      </w:r>
      <w:r w:rsidRPr="00B44440">
        <w:t xml:space="preserve"> at Week 24 was </w:t>
      </w:r>
      <w:r w:rsidR="006153E6">
        <w:noBreakHyphen/>
      </w:r>
      <w:r w:rsidRPr="00B44440">
        <w:t>9.27</w:t>
      </w:r>
      <w:r w:rsidR="002D1DF4" w:rsidRPr="00B44440">
        <w:t> </w:t>
      </w:r>
      <w:r w:rsidRPr="00B44440">
        <w:t xml:space="preserve">µm </w:t>
      </w:r>
      <w:r w:rsidR="001735C1" w:rsidRPr="00B44440">
        <w:t>(</w:t>
      </w:r>
      <w:r w:rsidRPr="00B44440">
        <w:t xml:space="preserve">95% CI: </w:t>
      </w:r>
      <w:r w:rsidR="001735C1" w:rsidRPr="00B44440">
        <w:t>-</w:t>
      </w:r>
      <w:r w:rsidRPr="00B44440">
        <w:t>20.969, 2.439</w:t>
      </w:r>
      <w:r w:rsidR="001735C1" w:rsidRPr="00B44440">
        <w:t>)</w:t>
      </w:r>
      <w:r w:rsidRPr="00B44440">
        <w:t xml:space="preserve"> and at Week 52 was </w:t>
      </w:r>
      <w:r w:rsidR="00CB05AE" w:rsidRPr="00B44440">
        <w:t>-</w:t>
      </w:r>
      <w:r w:rsidRPr="00B44440">
        <w:t xml:space="preserve">11.53 µm </w:t>
      </w:r>
      <w:r w:rsidR="001735C1" w:rsidRPr="00B44440">
        <w:t>(</w:t>
      </w:r>
      <w:r w:rsidRPr="00B44440">
        <w:t>95%</w:t>
      </w:r>
      <w:r w:rsidR="00046CAF">
        <w:t> </w:t>
      </w:r>
      <w:r w:rsidRPr="00B44440">
        <w:t xml:space="preserve">CI: </w:t>
      </w:r>
      <w:r w:rsidR="001735C1" w:rsidRPr="00B44440">
        <w:t>-</w:t>
      </w:r>
      <w:r w:rsidRPr="00B44440">
        <w:t>23.211, 0.148</w:t>
      </w:r>
      <w:r w:rsidR="001735C1" w:rsidRPr="00B44440">
        <w:t>)</w:t>
      </w:r>
      <w:r w:rsidRPr="00B44440">
        <w:t>.</w:t>
      </w:r>
    </w:p>
    <w:p w14:paraId="70C7B2D8" w14:textId="7D15CD3D" w:rsidR="00E3731A" w:rsidRPr="00B44440" w:rsidRDefault="00E3731A" w:rsidP="00E3731A">
      <w:r w:rsidRPr="00B44440">
        <w:t>The proportion of patients who lost fewer than 15/10/5 letters but also gained 5/10/15</w:t>
      </w:r>
      <w:r w:rsidR="00046CAF">
        <w:t> </w:t>
      </w:r>
      <w:r w:rsidRPr="00B44440">
        <w:t xml:space="preserve">letters or more in BCVA at Week 24 and Week 52 in the </w:t>
      </w:r>
      <w:r w:rsidR="00BE3F9B" w:rsidRPr="00B44440">
        <w:t>full analysis set</w:t>
      </w:r>
      <w:r w:rsidRPr="00B44440">
        <w:t xml:space="preserve"> using available cases was comparable between the two treatment arms.</w:t>
      </w:r>
    </w:p>
    <w:p w14:paraId="3824FCAF" w14:textId="4C2212EF" w:rsidR="00E3731A" w:rsidRPr="00B44440" w:rsidRDefault="00E3731A" w:rsidP="00E3731A">
      <w:r w:rsidRPr="00B44440">
        <w:t xml:space="preserve">The change from </w:t>
      </w:r>
      <w:r w:rsidR="00B30650" w:rsidRPr="00B44440">
        <w:t>Baseline</w:t>
      </w:r>
      <w:r w:rsidRPr="00B44440">
        <w:t xml:space="preserve"> in total </w:t>
      </w:r>
      <w:r w:rsidR="00274434" w:rsidRPr="00B44440">
        <w:t>choroidal neovascularisation</w:t>
      </w:r>
      <w:r w:rsidRPr="00B44440">
        <w:t xml:space="preserve"> size (area of </w:t>
      </w:r>
      <w:r w:rsidR="00274434" w:rsidRPr="00B44440">
        <w:t>choroidal neovascularisation</w:t>
      </w:r>
      <w:r w:rsidRPr="00B44440">
        <w:t xml:space="preserve">) at Week 24 and Week 52 for the </w:t>
      </w:r>
      <w:r w:rsidR="00BE3F9B" w:rsidRPr="00B44440">
        <w:t>full analysis set</w:t>
      </w:r>
      <w:r w:rsidRPr="00B44440">
        <w:t xml:space="preserve"> using available cases was comparable in the two treatment groups (Week 24: </w:t>
      </w:r>
      <w:proofErr w:type="spellStart"/>
      <w:r w:rsidR="001735C1" w:rsidRPr="00B44440">
        <w:t>Byooviz</w:t>
      </w:r>
      <w:proofErr w:type="spellEnd"/>
      <w:r w:rsidRPr="00B44440">
        <w:t xml:space="preserve"> </w:t>
      </w:r>
      <w:r w:rsidR="001735C1" w:rsidRPr="00B44440">
        <w:t>-</w:t>
      </w:r>
      <w:r w:rsidRPr="00B44440">
        <w:t>3.98 mm</w:t>
      </w:r>
      <w:r w:rsidRPr="00B44440">
        <w:rPr>
          <w:vertAlign w:val="superscript"/>
        </w:rPr>
        <w:t>2</w:t>
      </w:r>
      <w:r w:rsidRPr="00B44440">
        <w:t xml:space="preserve">, </w:t>
      </w:r>
      <w:r w:rsidR="001735C1" w:rsidRPr="00B44440">
        <w:t>Lucentis</w:t>
      </w:r>
      <w:r w:rsidRPr="00B44440">
        <w:t xml:space="preserve"> </w:t>
      </w:r>
      <w:r w:rsidR="00046CAF">
        <w:noBreakHyphen/>
      </w:r>
      <w:r w:rsidRPr="00B44440">
        <w:t>3.91</w:t>
      </w:r>
      <w:r w:rsidR="002D1DF4" w:rsidRPr="00B44440">
        <w:t> </w:t>
      </w:r>
      <w:r w:rsidRPr="00B44440">
        <w:t>mm</w:t>
      </w:r>
      <w:r w:rsidRPr="00B44440">
        <w:rPr>
          <w:vertAlign w:val="superscript"/>
        </w:rPr>
        <w:t>2</w:t>
      </w:r>
      <w:r w:rsidRPr="00B44440">
        <w:t xml:space="preserve">; Week 52: </w:t>
      </w:r>
      <w:proofErr w:type="spellStart"/>
      <w:r w:rsidR="001735C1" w:rsidRPr="00B44440">
        <w:t>Byooviz</w:t>
      </w:r>
      <w:proofErr w:type="spellEnd"/>
      <w:r w:rsidRPr="00B44440">
        <w:t xml:space="preserve"> </w:t>
      </w:r>
      <w:r w:rsidR="001735C1" w:rsidRPr="00B44440">
        <w:t>-</w:t>
      </w:r>
      <w:r w:rsidRPr="00B44440">
        <w:t>5.17 mm</w:t>
      </w:r>
      <w:r w:rsidRPr="00B44440">
        <w:rPr>
          <w:vertAlign w:val="superscript"/>
        </w:rPr>
        <w:t>2</w:t>
      </w:r>
      <w:r w:rsidRPr="00B44440">
        <w:t xml:space="preserve">, </w:t>
      </w:r>
      <w:r w:rsidR="001735C1" w:rsidRPr="00B44440">
        <w:t>Lucentis</w:t>
      </w:r>
      <w:r w:rsidRPr="00B44440">
        <w:t xml:space="preserve"> </w:t>
      </w:r>
      <w:r w:rsidR="001735C1" w:rsidRPr="00B44440">
        <w:t>-</w:t>
      </w:r>
      <w:r w:rsidRPr="00B44440">
        <w:t>4.62 mm</w:t>
      </w:r>
      <w:r w:rsidRPr="00B44440">
        <w:rPr>
          <w:vertAlign w:val="superscript"/>
        </w:rPr>
        <w:t>2</w:t>
      </w:r>
      <w:r w:rsidRPr="00B44440">
        <w:t>).</w:t>
      </w:r>
      <w:r w:rsidR="00962117" w:rsidRPr="00B44440">
        <w:t xml:space="preserve"> </w:t>
      </w:r>
      <w:r w:rsidRPr="00B44440">
        <w:t xml:space="preserve">The proportion of subjects with active </w:t>
      </w:r>
      <w:r w:rsidR="00274434" w:rsidRPr="00B44440">
        <w:t>choroidal neovascularisation</w:t>
      </w:r>
      <w:r w:rsidRPr="00B44440">
        <w:t xml:space="preserve"> leakage at Week 24 and Week 52 for the </w:t>
      </w:r>
      <w:r w:rsidR="00BE3F9B" w:rsidRPr="00B44440">
        <w:t>full analysis set</w:t>
      </w:r>
      <w:r w:rsidRPr="00B44440">
        <w:t xml:space="preserve"> were found to be decreased compared with </w:t>
      </w:r>
      <w:r w:rsidR="00B30650" w:rsidRPr="00B44440">
        <w:t>Baseline</w:t>
      </w:r>
      <w:r w:rsidRPr="00B44440">
        <w:t xml:space="preserve"> and comparable between the 2</w:t>
      </w:r>
      <w:r w:rsidR="002D1DF4" w:rsidRPr="00B44440">
        <w:t> </w:t>
      </w:r>
      <w:r w:rsidRPr="00B44440">
        <w:t xml:space="preserve">treatment groups (Week 24: </w:t>
      </w:r>
      <w:proofErr w:type="spellStart"/>
      <w:r w:rsidR="001735C1" w:rsidRPr="00B44440">
        <w:t>Byooviz</w:t>
      </w:r>
      <w:proofErr w:type="spellEnd"/>
      <w:r w:rsidRPr="00B44440">
        <w:t xml:space="preserve"> 64.6% </w:t>
      </w:r>
      <w:r w:rsidR="001735C1" w:rsidRPr="00B44440">
        <w:t>(</w:t>
      </w:r>
      <w:r w:rsidRPr="00B44440">
        <w:t>210</w:t>
      </w:r>
      <w:r w:rsidR="001B623D" w:rsidRPr="00B44440">
        <w:t xml:space="preserve"> out of </w:t>
      </w:r>
      <w:r w:rsidRPr="00B44440">
        <w:t>325</w:t>
      </w:r>
      <w:r w:rsidR="001735C1" w:rsidRPr="00B44440">
        <w:t>)</w:t>
      </w:r>
      <w:r w:rsidRPr="00B44440">
        <w:t xml:space="preserve">, </w:t>
      </w:r>
      <w:r w:rsidR="001735C1" w:rsidRPr="00B44440">
        <w:t>Lucentis</w:t>
      </w:r>
      <w:r w:rsidRPr="00B44440">
        <w:t xml:space="preserve"> 66.3% </w:t>
      </w:r>
      <w:r w:rsidR="001735C1" w:rsidRPr="00B44440">
        <w:t>(</w:t>
      </w:r>
      <w:r w:rsidRPr="00B44440">
        <w:t>218</w:t>
      </w:r>
      <w:r w:rsidR="001B623D" w:rsidRPr="00B44440">
        <w:t xml:space="preserve"> out of </w:t>
      </w:r>
      <w:r w:rsidRPr="00B44440">
        <w:t>329</w:t>
      </w:r>
      <w:r w:rsidR="001735C1" w:rsidRPr="00B44440">
        <w:t>)</w:t>
      </w:r>
      <w:r w:rsidRPr="00B44440">
        <w:t xml:space="preserve">; Week 52: </w:t>
      </w:r>
      <w:proofErr w:type="spellStart"/>
      <w:r w:rsidR="001735C1" w:rsidRPr="00B44440">
        <w:t>Byooviz</w:t>
      </w:r>
      <w:proofErr w:type="spellEnd"/>
      <w:r w:rsidRPr="00B44440">
        <w:t xml:space="preserve"> 52.1% </w:t>
      </w:r>
      <w:r w:rsidR="001735C1" w:rsidRPr="00B44440">
        <w:t>(</w:t>
      </w:r>
      <w:r w:rsidRPr="00B44440">
        <w:t>158</w:t>
      </w:r>
      <w:r w:rsidR="001B623D" w:rsidRPr="00B44440">
        <w:t xml:space="preserve"> out of </w:t>
      </w:r>
      <w:r w:rsidRPr="00B44440">
        <w:t>303</w:t>
      </w:r>
      <w:r w:rsidR="001735C1" w:rsidRPr="00B44440">
        <w:t>)</w:t>
      </w:r>
      <w:r w:rsidRPr="00B44440">
        <w:t xml:space="preserve">, </w:t>
      </w:r>
      <w:r w:rsidR="001735C1" w:rsidRPr="00B44440">
        <w:t>Lucentis</w:t>
      </w:r>
      <w:r w:rsidRPr="00B44440">
        <w:t xml:space="preserve"> 59.1% </w:t>
      </w:r>
      <w:r w:rsidR="001735C1" w:rsidRPr="00B44440">
        <w:t>(</w:t>
      </w:r>
      <w:r w:rsidRPr="00B44440">
        <w:t>185</w:t>
      </w:r>
      <w:r w:rsidR="00046CAF">
        <w:t> </w:t>
      </w:r>
      <w:r w:rsidR="001B623D" w:rsidRPr="00B44440">
        <w:t xml:space="preserve">out of </w:t>
      </w:r>
      <w:r w:rsidRPr="00B44440">
        <w:t>313</w:t>
      </w:r>
      <w:r w:rsidR="001735C1" w:rsidRPr="00B44440">
        <w:t>)</w:t>
      </w:r>
      <w:r w:rsidRPr="00B44440">
        <w:t>).</w:t>
      </w:r>
    </w:p>
    <w:p w14:paraId="7DFE94EB" w14:textId="5873CB6A" w:rsidR="00E3731A" w:rsidRPr="00B44440" w:rsidRDefault="00E3731A" w:rsidP="00E3731A">
      <w:r w:rsidRPr="00B44440">
        <w:t xml:space="preserve">Subgroup analyses of </w:t>
      </w:r>
      <w:r w:rsidR="006811E3" w:rsidRPr="00B44440">
        <w:t>central subfield thickness</w:t>
      </w:r>
      <w:r w:rsidRPr="00B44440">
        <w:t xml:space="preserve"> and BCVA based on </w:t>
      </w:r>
      <w:r w:rsidR="001D1582" w:rsidRPr="00B44440">
        <w:t>anti-drug antibody (</w:t>
      </w:r>
      <w:r w:rsidRPr="00B44440">
        <w:t>ADA</w:t>
      </w:r>
      <w:r w:rsidR="001D1582" w:rsidRPr="00B44440">
        <w:t>)</w:t>
      </w:r>
      <w:r w:rsidRPr="00B44440">
        <w:t xml:space="preserve"> result, lesion type at </w:t>
      </w:r>
      <w:r w:rsidR="00B30650" w:rsidRPr="00B44440">
        <w:t>Baseline</w:t>
      </w:r>
      <w:r w:rsidRPr="00B44440">
        <w:t xml:space="preserve">, total lesion area at </w:t>
      </w:r>
      <w:r w:rsidR="00B30650" w:rsidRPr="00B44440">
        <w:t>Baseline</w:t>
      </w:r>
      <w:r w:rsidRPr="00B44440">
        <w:t>, and country were generally comparable.</w:t>
      </w:r>
    </w:p>
    <w:p w14:paraId="2AA40949" w14:textId="77777777" w:rsidR="00E3731A" w:rsidRPr="00B44440" w:rsidRDefault="00E3731A" w:rsidP="00A8414C">
      <w:pPr>
        <w:pStyle w:val="Heading4"/>
      </w:pPr>
      <w:r w:rsidRPr="00B44440">
        <w:lastRenderedPageBreak/>
        <w:t>Safety</w:t>
      </w:r>
    </w:p>
    <w:p w14:paraId="7205108E" w14:textId="1361B52E" w:rsidR="00E3731A" w:rsidRPr="00B44440" w:rsidRDefault="00E3731A" w:rsidP="00E3731A">
      <w:r w:rsidRPr="00B44440">
        <w:t xml:space="preserve">The safety of </w:t>
      </w:r>
      <w:proofErr w:type="spellStart"/>
      <w:r w:rsidR="001735C1" w:rsidRPr="00B44440">
        <w:t>Byooviz</w:t>
      </w:r>
      <w:proofErr w:type="spellEnd"/>
      <w:r w:rsidRPr="00B44440">
        <w:t xml:space="preserve"> compared to </w:t>
      </w:r>
      <w:r w:rsidR="001735C1" w:rsidRPr="00B44440">
        <w:t>Lucentis</w:t>
      </w:r>
      <w:r w:rsidRPr="00B44440">
        <w:t xml:space="preserve"> was assessed in the Phase III </w:t>
      </w:r>
      <w:r w:rsidR="002D1DF4" w:rsidRPr="00B44440">
        <w:t>S</w:t>
      </w:r>
      <w:r w:rsidRPr="00B44440">
        <w:t>tudy</w:t>
      </w:r>
      <w:r w:rsidR="002D1DF4" w:rsidRPr="00B44440">
        <w:t> </w:t>
      </w:r>
      <w:r w:rsidRPr="00B44440">
        <w:t>SB11</w:t>
      </w:r>
      <w:r w:rsidR="002D1DF4" w:rsidRPr="00B44440">
        <w:noBreakHyphen/>
      </w:r>
      <w:r w:rsidRPr="00B44440">
        <w:t>G31</w:t>
      </w:r>
      <w:r w:rsidR="002D1DF4" w:rsidRPr="00B44440">
        <w:noBreakHyphen/>
      </w:r>
      <w:r w:rsidRPr="00B44440">
        <w:t>AMD.</w:t>
      </w:r>
      <w:r w:rsidR="00962117" w:rsidRPr="00B44440">
        <w:t xml:space="preserve"> </w:t>
      </w:r>
      <w:r w:rsidRPr="00B44440">
        <w:t>634 of 704 (89.9%) randomised subjects completed the study to Week</w:t>
      </w:r>
      <w:r w:rsidR="00046CAF">
        <w:t> </w:t>
      </w:r>
      <w:r w:rsidRPr="00B44440">
        <w:t>52.</w:t>
      </w:r>
      <w:r w:rsidR="00962117" w:rsidRPr="00B44440">
        <w:t xml:space="preserve"> </w:t>
      </w:r>
      <w:r w:rsidRPr="00B44440">
        <w:t xml:space="preserve">The proportion of patients who discontinued due to </w:t>
      </w:r>
      <w:r w:rsidR="008106E9" w:rsidRPr="00B44440">
        <w:t>treatment-emergent adverse event (TEAE)</w:t>
      </w:r>
      <w:r w:rsidRPr="00B44440">
        <w:t xml:space="preserve"> was slightly higher in the </w:t>
      </w:r>
      <w:proofErr w:type="spellStart"/>
      <w:r w:rsidR="001735C1" w:rsidRPr="00B44440">
        <w:t>Byooviz</w:t>
      </w:r>
      <w:proofErr w:type="spellEnd"/>
      <w:r w:rsidRPr="00B44440">
        <w:t xml:space="preserve"> </w:t>
      </w:r>
      <w:r w:rsidR="002D1DF4" w:rsidRPr="00B44440">
        <w:t>group,</w:t>
      </w:r>
      <w:r w:rsidRPr="00B44440">
        <w:t xml:space="preserve"> but the absolute numbers were low (9 </w:t>
      </w:r>
      <w:r w:rsidR="001735C1" w:rsidRPr="00B44440">
        <w:t>(</w:t>
      </w:r>
      <w:r w:rsidRPr="00B44440">
        <w:t>2.6%</w:t>
      </w:r>
      <w:r w:rsidR="001735C1" w:rsidRPr="00B44440">
        <w:t>)</w:t>
      </w:r>
      <w:r w:rsidRPr="00B44440">
        <w:t xml:space="preserve"> patients in the </w:t>
      </w:r>
      <w:proofErr w:type="spellStart"/>
      <w:r w:rsidR="001735C1" w:rsidRPr="00B44440">
        <w:t>Byooviz</w:t>
      </w:r>
      <w:proofErr w:type="spellEnd"/>
      <w:r w:rsidRPr="00B44440">
        <w:t xml:space="preserve"> group, 5 </w:t>
      </w:r>
      <w:r w:rsidR="001735C1" w:rsidRPr="00B44440">
        <w:t>(</w:t>
      </w:r>
      <w:r w:rsidRPr="00B44440">
        <w:t>1.4%</w:t>
      </w:r>
      <w:r w:rsidR="001735C1" w:rsidRPr="00B44440">
        <w:t>)</w:t>
      </w:r>
      <w:r w:rsidRPr="00B44440">
        <w:t xml:space="preserve"> patients in the </w:t>
      </w:r>
      <w:r w:rsidR="001735C1" w:rsidRPr="00B44440">
        <w:t>Lucentis</w:t>
      </w:r>
      <w:r w:rsidRPr="00B44440">
        <w:t xml:space="preserve"> group).</w:t>
      </w:r>
    </w:p>
    <w:p w14:paraId="47590C06" w14:textId="71AFC3D8" w:rsidR="00E3731A" w:rsidRPr="00B44440" w:rsidRDefault="00E3731A" w:rsidP="00E3731A">
      <w:r w:rsidRPr="00B44440">
        <w:t xml:space="preserve">Overall, 255 (72.9%) patients in the </w:t>
      </w:r>
      <w:proofErr w:type="spellStart"/>
      <w:r w:rsidR="001735C1" w:rsidRPr="00B44440">
        <w:t>Byooviz</w:t>
      </w:r>
      <w:proofErr w:type="spellEnd"/>
      <w:r w:rsidRPr="00B44440">
        <w:t xml:space="preserve"> treatment group reported 910 TEAEs (study eye, fellow eye, or non-ocular)</w:t>
      </w:r>
      <w:r w:rsidR="00962117" w:rsidRPr="00B44440">
        <w:t xml:space="preserve"> </w:t>
      </w:r>
      <w:r w:rsidRPr="00B44440">
        <w:t xml:space="preserve">and 256 (72.3%) patients in the </w:t>
      </w:r>
      <w:r w:rsidR="001735C1" w:rsidRPr="00B44440">
        <w:t>Lucentis</w:t>
      </w:r>
      <w:r w:rsidRPr="00B44440">
        <w:t xml:space="preserve"> treatment group reported 945 TEAEs at any time after the first dose until the end of study.</w:t>
      </w:r>
      <w:r w:rsidR="00962117" w:rsidRPr="00B44440">
        <w:t xml:space="preserve"> </w:t>
      </w:r>
      <w:r w:rsidRPr="00B44440">
        <w:t xml:space="preserve">The nature, </w:t>
      </w:r>
      <w:proofErr w:type="gramStart"/>
      <w:r w:rsidRPr="00B44440">
        <w:t>incidence</w:t>
      </w:r>
      <w:proofErr w:type="gramEnd"/>
      <w:r w:rsidRPr="00B44440">
        <w:t xml:space="preserve"> and severity of the reported TEAEs were generally comparable between the </w:t>
      </w:r>
      <w:proofErr w:type="spellStart"/>
      <w:r w:rsidR="001735C1" w:rsidRPr="00B44440">
        <w:t>Byooviz</w:t>
      </w:r>
      <w:proofErr w:type="spellEnd"/>
      <w:r w:rsidRPr="00B44440">
        <w:t xml:space="preserve"> and </w:t>
      </w:r>
      <w:r w:rsidR="001735C1" w:rsidRPr="00B44440">
        <w:t>Lucentis</w:t>
      </w:r>
      <w:r w:rsidRPr="00B44440">
        <w:t xml:space="preserve"> treatment groups.</w:t>
      </w:r>
    </w:p>
    <w:p w14:paraId="3E2F2682" w14:textId="1ED89DE7" w:rsidR="00E3731A" w:rsidRPr="00B44440" w:rsidRDefault="002D1DF4" w:rsidP="00E3731A">
      <w:r w:rsidRPr="00B44440">
        <w:t xml:space="preserve">There </w:t>
      </w:r>
      <w:r w:rsidR="00496C5E">
        <w:t>were</w:t>
      </w:r>
      <w:r w:rsidRPr="00B44440">
        <w:t xml:space="preserve"> </w:t>
      </w:r>
      <w:r w:rsidR="00E3731A" w:rsidRPr="00B44440">
        <w:t xml:space="preserve">112 (32.0%) patients in the </w:t>
      </w:r>
      <w:proofErr w:type="spellStart"/>
      <w:r w:rsidR="001735C1" w:rsidRPr="00B44440">
        <w:t>Byooviz</w:t>
      </w:r>
      <w:proofErr w:type="spellEnd"/>
      <w:r w:rsidR="00E3731A" w:rsidRPr="00B44440">
        <w:t xml:space="preserve"> </w:t>
      </w:r>
      <w:r w:rsidR="00496C5E">
        <w:t xml:space="preserve">treatment </w:t>
      </w:r>
      <w:r w:rsidR="00E3731A" w:rsidRPr="00B44440">
        <w:t xml:space="preserve">group and 105 (29.7%) patients in the </w:t>
      </w:r>
      <w:r w:rsidR="001735C1" w:rsidRPr="00B44440">
        <w:t>Lucentis</w:t>
      </w:r>
      <w:r w:rsidR="00E3731A" w:rsidRPr="00B44440">
        <w:t xml:space="preserve"> </w:t>
      </w:r>
      <w:r w:rsidR="00496C5E">
        <w:t xml:space="preserve">treatment </w:t>
      </w:r>
      <w:r w:rsidR="00E3731A" w:rsidRPr="00B44440">
        <w:t xml:space="preserve">group </w:t>
      </w:r>
      <w:r w:rsidR="00496C5E">
        <w:t xml:space="preserve">that </w:t>
      </w:r>
      <w:r w:rsidR="00E3731A" w:rsidRPr="00B44440">
        <w:t>reported ocular TEAEs in the study eye (</w:t>
      </w:r>
      <w:r w:rsidRPr="00B44440">
        <w:t xml:space="preserve">see </w:t>
      </w:r>
      <w:r w:rsidR="00E3731A" w:rsidRPr="00B44440">
        <w:fldChar w:fldCharType="begin"/>
      </w:r>
      <w:r w:rsidR="00E3731A" w:rsidRPr="00B44440">
        <w:instrText xml:space="preserve"> REF _Ref105066162 \h  \* MERGEFORMAT </w:instrText>
      </w:r>
      <w:r w:rsidR="00E3731A" w:rsidRPr="00B44440">
        <w:fldChar w:fldCharType="separate"/>
      </w:r>
      <w:r w:rsidR="00792989" w:rsidRPr="00A02AE2">
        <w:t xml:space="preserve">Table </w:t>
      </w:r>
      <w:r w:rsidR="00792989">
        <w:t>6</w:t>
      </w:r>
      <w:r w:rsidR="00E3731A" w:rsidRPr="00B44440">
        <w:fldChar w:fldCharType="end"/>
      </w:r>
      <w:r w:rsidRPr="00B44440">
        <w:t xml:space="preserve"> below</w:t>
      </w:r>
      <w:r w:rsidR="00E3731A" w:rsidRPr="00B44440">
        <w:t>).</w:t>
      </w:r>
      <w:r w:rsidR="00962117" w:rsidRPr="00B44440">
        <w:t xml:space="preserve"> </w:t>
      </w:r>
      <w:r w:rsidR="00E3731A" w:rsidRPr="00B44440">
        <w:t xml:space="preserve">The most common TEAEs by </w:t>
      </w:r>
      <w:r w:rsidR="00A343DA" w:rsidRPr="00B44440">
        <w:t>Preferred Term</w:t>
      </w:r>
      <w:r w:rsidR="00E3731A" w:rsidRPr="00B44440">
        <w:t xml:space="preserve"> in the study eye (5% </w:t>
      </w:r>
      <w:r w:rsidR="001B623D" w:rsidRPr="00B44440">
        <w:t xml:space="preserve">or more </w:t>
      </w:r>
      <w:r w:rsidR="00E3731A" w:rsidRPr="00B44440">
        <w:t xml:space="preserve">of patients in any treatment group) were conjunctival haemorrhage (4.6% of patients in the </w:t>
      </w:r>
      <w:proofErr w:type="spellStart"/>
      <w:r w:rsidR="001735C1" w:rsidRPr="00B44440">
        <w:t>Byooviz</w:t>
      </w:r>
      <w:proofErr w:type="spellEnd"/>
      <w:r w:rsidR="00E3731A" w:rsidRPr="00B44440">
        <w:t xml:space="preserve"> group </w:t>
      </w:r>
      <w:r w:rsidR="004C7824" w:rsidRPr="00B44440">
        <w:t>versus</w:t>
      </w:r>
      <w:r w:rsidR="00E3731A" w:rsidRPr="00B44440">
        <w:t xml:space="preserve"> 5.1% of patients in the </w:t>
      </w:r>
      <w:r w:rsidR="001735C1" w:rsidRPr="00B44440">
        <w:t>Lucentis</w:t>
      </w:r>
      <w:r w:rsidR="00E3731A" w:rsidRPr="00B44440">
        <w:t xml:space="preserve"> group) and </w:t>
      </w:r>
      <w:r w:rsidR="00496C5E">
        <w:t>i</w:t>
      </w:r>
      <w:r w:rsidR="00E3731A" w:rsidRPr="00B44440">
        <w:t>ntraocular pressure increased (6.6%</w:t>
      </w:r>
      <w:r w:rsidR="00046CAF">
        <w:t> </w:t>
      </w:r>
      <w:r w:rsidR="00E3731A" w:rsidRPr="00B44440">
        <w:t xml:space="preserve">of patients in the </w:t>
      </w:r>
      <w:proofErr w:type="spellStart"/>
      <w:r w:rsidR="001735C1" w:rsidRPr="00B44440">
        <w:t>Byooviz</w:t>
      </w:r>
      <w:proofErr w:type="spellEnd"/>
      <w:r w:rsidR="00E3731A" w:rsidRPr="00B44440">
        <w:t xml:space="preserve"> group </w:t>
      </w:r>
      <w:r w:rsidR="004C7824" w:rsidRPr="00B44440">
        <w:t>versus</w:t>
      </w:r>
      <w:r w:rsidR="00E3731A" w:rsidRPr="00B44440">
        <w:t xml:space="preserve"> 7.3% of patients in the </w:t>
      </w:r>
      <w:r w:rsidR="001735C1" w:rsidRPr="00B44440">
        <w:t>Lucentis</w:t>
      </w:r>
      <w:r w:rsidR="00E3731A" w:rsidRPr="00B44440">
        <w:t xml:space="preserve"> group).</w:t>
      </w:r>
      <w:r w:rsidR="00962117" w:rsidRPr="00B44440">
        <w:t xml:space="preserve"> </w:t>
      </w:r>
      <w:r w:rsidR="00E3731A" w:rsidRPr="00B44440">
        <w:t>The majority of the ocular TEAEs in the study eye were mild or moderate in severity.</w:t>
      </w:r>
      <w:r w:rsidR="00962117" w:rsidRPr="00B44440">
        <w:t xml:space="preserve"> </w:t>
      </w:r>
      <w:r w:rsidR="00E3731A" w:rsidRPr="00B44440">
        <w:t xml:space="preserve">There were 10 severe ocular TEAEs in the study eye in 7 (2.0%) patients in the </w:t>
      </w:r>
      <w:proofErr w:type="spellStart"/>
      <w:r w:rsidR="001735C1" w:rsidRPr="00B44440">
        <w:t>Byooviz</w:t>
      </w:r>
      <w:proofErr w:type="spellEnd"/>
      <w:r w:rsidR="00E3731A" w:rsidRPr="00B44440">
        <w:t xml:space="preserve"> group and 5 severe ocular TEAEs in the study eye in 4 (1.1%) patients in the </w:t>
      </w:r>
      <w:r w:rsidR="001735C1" w:rsidRPr="00B44440">
        <w:t>Lucentis</w:t>
      </w:r>
      <w:r w:rsidR="00E3731A" w:rsidRPr="00B44440">
        <w:t xml:space="preserve"> group</w:t>
      </w:r>
      <w:r w:rsidR="006E156B">
        <w:t xml:space="preserve">. </w:t>
      </w:r>
      <w:r w:rsidR="008F1364">
        <w:t>S</w:t>
      </w:r>
      <w:r w:rsidR="00E3731A" w:rsidRPr="00B44440">
        <w:t xml:space="preserve">evere TEAEs are detailed in </w:t>
      </w:r>
      <w:r w:rsidR="008F1364">
        <w:fldChar w:fldCharType="begin"/>
      </w:r>
      <w:r w:rsidR="008F1364">
        <w:instrText xml:space="preserve"> REF _Ref129193961 \h </w:instrText>
      </w:r>
      <w:r w:rsidR="008F1364">
        <w:fldChar w:fldCharType="separate"/>
      </w:r>
      <w:r w:rsidR="00792989" w:rsidRPr="008F1364">
        <w:t xml:space="preserve">Table </w:t>
      </w:r>
      <w:r w:rsidR="00792989">
        <w:rPr>
          <w:noProof/>
        </w:rPr>
        <w:t>7</w:t>
      </w:r>
      <w:r w:rsidR="008F1364">
        <w:fldChar w:fldCharType="end"/>
      </w:r>
      <w:r w:rsidR="008F1364">
        <w:t xml:space="preserve"> below</w:t>
      </w:r>
      <w:r w:rsidR="00E3731A" w:rsidRPr="00B44440">
        <w:t>.</w:t>
      </w:r>
    </w:p>
    <w:p w14:paraId="31E52B62" w14:textId="02B795CF" w:rsidR="00E3731A" w:rsidRPr="00A02AE2" w:rsidRDefault="00E3731A" w:rsidP="00A02AE2">
      <w:pPr>
        <w:pStyle w:val="TableTitle"/>
      </w:pPr>
      <w:bookmarkStart w:id="45" w:name="_Ref105066162"/>
      <w:r w:rsidRPr="00A02AE2">
        <w:t xml:space="preserve">Table </w:t>
      </w:r>
      <w:fldSimple w:instr=" SEQ Table \* ARABIC ">
        <w:r w:rsidR="00792989">
          <w:rPr>
            <w:noProof/>
          </w:rPr>
          <w:t>6</w:t>
        </w:r>
      </w:fldSimple>
      <w:bookmarkEnd w:id="45"/>
      <w:r w:rsidR="002D1DF4" w:rsidRPr="00A02AE2">
        <w:t>: Study SB11</w:t>
      </w:r>
      <w:r w:rsidR="002D1DF4" w:rsidRPr="00A02AE2">
        <w:noBreakHyphen/>
        <w:t>G31</w:t>
      </w:r>
      <w:r w:rsidR="002D1DF4" w:rsidRPr="00A02AE2">
        <w:noBreakHyphen/>
        <w:t>AMD</w:t>
      </w:r>
      <w:r w:rsidRPr="00A02AE2">
        <w:t xml:space="preserve"> Ocular </w:t>
      </w:r>
      <w:r w:rsidR="00A02AE2" w:rsidRPr="00A02AE2">
        <w:t>treatmen</w:t>
      </w:r>
      <w:r w:rsidR="00B72BE4" w:rsidRPr="00A02AE2">
        <w:t>t-</w:t>
      </w:r>
      <w:r w:rsidR="00A02AE2" w:rsidRPr="00A02AE2">
        <w:t xml:space="preserve">emergent adverse events in the study eye by </w:t>
      </w:r>
      <w:r w:rsidR="00496C5E">
        <w:t xml:space="preserve">System </w:t>
      </w:r>
      <w:r w:rsidR="00B72BE4" w:rsidRPr="00A02AE2">
        <w:t>Organ Class and Preferred Term (</w:t>
      </w:r>
      <w:r w:rsidR="00A02AE2" w:rsidRPr="00A02AE2">
        <w:t>only eye disorders and other adverse events with incidence of 2% or higher of safety set)</w:t>
      </w:r>
    </w:p>
    <w:p w14:paraId="619577D0" w14:textId="6A435CE3" w:rsidR="00287167" w:rsidRPr="00B44440" w:rsidRDefault="00B72BE4" w:rsidP="00A02AE2">
      <w:r w:rsidRPr="00B44440">
        <w:rPr>
          <w:noProof/>
          <w:lang w:val="en-GB" w:eastAsia="en-GB"/>
        </w:rPr>
        <w:drawing>
          <wp:inline distT="0" distB="0" distL="0" distR="0" wp14:anchorId="354F70E5" wp14:editId="6A78498B">
            <wp:extent cx="5400040" cy="3475355"/>
            <wp:effectExtent l="0" t="0" r="0" b="0"/>
            <wp:docPr id="1" name="Picture 1" descr="Table 6: Study SB11 G31 AMD Ocular treatment-emergent adverse events in the study eye by System Organ Class and Preferred Term (only eye disorders and other adverse events with incidence of 2% or higher of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6: Study SB11 G31 AMD Ocular treatment-emergent adverse events in the study eye by System Organ Class and Preferred Term (only eye disorders and other adverse events with incidence of 2% or higher of safety set)"/>
                    <pic:cNvPicPr/>
                  </pic:nvPicPr>
                  <pic:blipFill>
                    <a:blip r:embed="rId27"/>
                    <a:stretch>
                      <a:fillRect/>
                    </a:stretch>
                  </pic:blipFill>
                  <pic:spPr>
                    <a:xfrm>
                      <a:off x="0" y="0"/>
                      <a:ext cx="5400040" cy="3475355"/>
                    </a:xfrm>
                    <a:prstGeom prst="rect">
                      <a:avLst/>
                    </a:prstGeom>
                  </pic:spPr>
                </pic:pic>
              </a:graphicData>
            </a:graphic>
          </wp:inline>
        </w:drawing>
      </w:r>
    </w:p>
    <w:p w14:paraId="2F2048E6" w14:textId="51559C65" w:rsidR="00A02AE2" w:rsidRPr="00A02AE2" w:rsidRDefault="00A02AE2" w:rsidP="001101BB">
      <w:pPr>
        <w:pStyle w:val="TableDescription"/>
        <w:spacing w:before="0"/>
      </w:pPr>
      <w:r w:rsidRPr="00A02AE2">
        <w:t>Abbreviations: E = frequency of events; N = total number of subjects; n = number of subjects with event; SB11</w:t>
      </w:r>
      <w:r w:rsidR="00046CAF">
        <w:t> </w:t>
      </w:r>
      <w:r w:rsidRPr="00A02AE2">
        <w:t xml:space="preserve">= </w:t>
      </w:r>
      <w:proofErr w:type="spellStart"/>
      <w:r w:rsidRPr="00A02AE2">
        <w:t>Byooviz</w:t>
      </w:r>
      <w:proofErr w:type="spellEnd"/>
      <w:r w:rsidRPr="00A02AE2">
        <w:t xml:space="preserve"> (ranibizumab).</w:t>
      </w:r>
    </w:p>
    <w:p w14:paraId="18E26447" w14:textId="4588D6FF" w:rsidR="00B72BE4" w:rsidRPr="00A02AE2" w:rsidRDefault="00B72BE4" w:rsidP="001101BB">
      <w:pPr>
        <w:pStyle w:val="TableDescription"/>
      </w:pPr>
      <w:r w:rsidRPr="00A02AE2">
        <w:t xml:space="preserve">Percentages were based on the number of subjects in the </w:t>
      </w:r>
      <w:r w:rsidR="00A02AE2" w:rsidRPr="00A02AE2">
        <w:t>safety set.</w:t>
      </w:r>
    </w:p>
    <w:p w14:paraId="58D328A1" w14:textId="0CCED1C5" w:rsidR="00B72BE4" w:rsidRDefault="00B72BE4" w:rsidP="001101BB">
      <w:pPr>
        <w:pStyle w:val="TableDescription"/>
        <w:spacing w:before="0"/>
      </w:pPr>
      <w:r w:rsidRPr="00A02AE2">
        <w:t xml:space="preserve">System </w:t>
      </w:r>
      <w:r w:rsidR="00A02AE2" w:rsidRPr="00A02AE2">
        <w:t xml:space="preserve">Organ Classes </w:t>
      </w:r>
      <w:r w:rsidRPr="00A02AE2">
        <w:t xml:space="preserve">were presented alphabetically; </w:t>
      </w:r>
      <w:r w:rsidR="00A02AE2" w:rsidRPr="00A02AE2">
        <w:t xml:space="preserve">Preferred Terms </w:t>
      </w:r>
      <w:r w:rsidRPr="00A02AE2">
        <w:t xml:space="preserve">were sorted within each </w:t>
      </w:r>
      <w:r w:rsidR="00A02AE2" w:rsidRPr="00A02AE2">
        <w:t>System Organ Class</w:t>
      </w:r>
      <w:r w:rsidRPr="00A02AE2">
        <w:t xml:space="preserve"> in descending order of subject frequency of</w:t>
      </w:r>
      <w:r w:rsidR="00B3332B" w:rsidRPr="00A02AE2">
        <w:t xml:space="preserve"> </w:t>
      </w:r>
      <w:proofErr w:type="spellStart"/>
      <w:r w:rsidR="00B3332B" w:rsidRPr="00A02AE2">
        <w:t>Byooviz</w:t>
      </w:r>
      <w:proofErr w:type="spellEnd"/>
      <w:r w:rsidRPr="00A02AE2">
        <w:t xml:space="preserve">. If the frequency of the </w:t>
      </w:r>
      <w:r w:rsidR="00A02AE2" w:rsidRPr="00A02AE2">
        <w:t xml:space="preserve">Preferred Terms </w:t>
      </w:r>
      <w:r w:rsidRPr="00A02AE2">
        <w:t xml:space="preserve">were tied, </w:t>
      </w:r>
      <w:r w:rsidR="00A02AE2">
        <w:t>t</w:t>
      </w:r>
      <w:r w:rsidR="00A02AE2" w:rsidRPr="00A02AE2">
        <w:t xml:space="preserve">he Preferred Terms </w:t>
      </w:r>
      <w:r w:rsidRPr="00A02AE2">
        <w:t>were ordered alphabetically.</w:t>
      </w:r>
    </w:p>
    <w:p w14:paraId="755223CB" w14:textId="18134FA7" w:rsidR="00364118" w:rsidRPr="008F1364" w:rsidRDefault="00364118" w:rsidP="008F1364">
      <w:pPr>
        <w:pStyle w:val="TableTitle"/>
      </w:pPr>
      <w:bookmarkStart w:id="46" w:name="_Ref129193961"/>
      <w:r w:rsidRPr="008F1364">
        <w:lastRenderedPageBreak/>
        <w:t xml:space="preserve">Table </w:t>
      </w:r>
      <w:fldSimple w:instr=" SEQ Table \* ARABIC ">
        <w:r w:rsidR="00792989">
          <w:rPr>
            <w:noProof/>
          </w:rPr>
          <w:t>7</w:t>
        </w:r>
      </w:fldSimple>
      <w:bookmarkEnd w:id="46"/>
      <w:r w:rsidRPr="008F1364">
        <w:t>: Study SB11</w:t>
      </w:r>
      <w:r w:rsidRPr="008F1364">
        <w:noBreakHyphen/>
        <w:t>G31</w:t>
      </w:r>
      <w:r w:rsidRPr="008F1364">
        <w:noBreakHyphen/>
        <w:t xml:space="preserve">AMD </w:t>
      </w:r>
      <w:r w:rsidRPr="008F1364">
        <w:rPr>
          <w:i/>
          <w:iCs/>
        </w:rPr>
        <w:t>Ad-hoc</w:t>
      </w:r>
      <w:r w:rsidRPr="008F1364">
        <w:t xml:space="preserve"> analysis on severe treatment-emergent adverse event in the study eye by </w:t>
      </w:r>
      <w:r w:rsidR="008F1364" w:rsidRPr="008F1364">
        <w:t xml:space="preserve">System Organ Class </w:t>
      </w:r>
      <w:r w:rsidRPr="008F1364">
        <w:t xml:space="preserve">and </w:t>
      </w:r>
      <w:r w:rsidR="008F1364" w:rsidRPr="008F1364">
        <w:t xml:space="preserve">Preferred Term </w:t>
      </w:r>
      <w:r w:rsidRPr="008F1364">
        <w:t>(safety set)</w:t>
      </w:r>
    </w:p>
    <w:p w14:paraId="74E0306C" w14:textId="047F8C61" w:rsidR="00364118" w:rsidRDefault="00364118" w:rsidP="008F1364">
      <w:r>
        <w:rPr>
          <w:noProof/>
          <w:lang w:val="en-GB" w:eastAsia="en-GB"/>
        </w:rPr>
        <w:drawing>
          <wp:inline distT="0" distB="0" distL="0" distR="0" wp14:anchorId="2C2C7B5F" wp14:editId="37CC5C80">
            <wp:extent cx="5400040" cy="4046220"/>
            <wp:effectExtent l="0" t="0" r="0" b="0"/>
            <wp:docPr id="5" name="Picture 5" descr="Table 7: Study SB11 G31 AMD Ad-hoc analysis on severe treatment-emergent adverse event in the study eye by System Organ Class and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7: Study SB11 G31 AMD Ad-hoc analysis on severe treatment-emergent adverse event in the study eye by System Organ Class and Preferred Term (safety set)"/>
                    <pic:cNvPicPr/>
                  </pic:nvPicPr>
                  <pic:blipFill>
                    <a:blip r:embed="rId28"/>
                    <a:stretch>
                      <a:fillRect/>
                    </a:stretch>
                  </pic:blipFill>
                  <pic:spPr>
                    <a:xfrm>
                      <a:off x="0" y="0"/>
                      <a:ext cx="5400040" cy="4046220"/>
                    </a:xfrm>
                    <a:prstGeom prst="rect">
                      <a:avLst/>
                    </a:prstGeom>
                  </pic:spPr>
                </pic:pic>
              </a:graphicData>
            </a:graphic>
          </wp:inline>
        </w:drawing>
      </w:r>
    </w:p>
    <w:p w14:paraId="2C390CCD" w14:textId="68A58B3F" w:rsidR="00364118" w:rsidRPr="008F1364" w:rsidRDefault="008F1364" w:rsidP="008F1364">
      <w:pPr>
        <w:pStyle w:val="TableDescription"/>
      </w:pPr>
      <w:r w:rsidRPr="008F1364">
        <w:t>Abbreviations</w:t>
      </w:r>
      <w:r w:rsidR="00364118" w:rsidRPr="008F1364">
        <w:t>: E = frequency of events; N = number of patients; n = number of patients with event</w:t>
      </w:r>
      <w:r w:rsidRPr="008F1364">
        <w:t xml:space="preserve">, TEAE = treatment-emergent adverse event; SB11 = </w:t>
      </w:r>
      <w:proofErr w:type="spellStart"/>
      <w:r w:rsidRPr="008F1364">
        <w:t>Byooviz</w:t>
      </w:r>
      <w:proofErr w:type="spellEnd"/>
      <w:r w:rsidRPr="008F1364">
        <w:t xml:space="preserve"> (ranibizumab); US = United States.</w:t>
      </w:r>
    </w:p>
    <w:p w14:paraId="7D4EC62C" w14:textId="3D646EDB" w:rsidR="008F1364" w:rsidRDefault="008F1364" w:rsidP="008F1364">
      <w:pPr>
        <w:pStyle w:val="TableDescription"/>
      </w:pPr>
      <w:r w:rsidRPr="008F1364">
        <w:t>Percentages were bases on the number of patients in the safety set.</w:t>
      </w:r>
    </w:p>
    <w:p w14:paraId="50FD9422" w14:textId="3D0DCE4B" w:rsidR="008F1364" w:rsidRPr="008F1364" w:rsidRDefault="008F1364" w:rsidP="008F1364">
      <w:pPr>
        <w:pStyle w:val="TableDescription"/>
      </w:pPr>
      <w:r>
        <w:t xml:space="preserve">Source: this table is extracted from the </w:t>
      </w:r>
      <w:r w:rsidRPr="008F1364">
        <w:t>European Medicines Agency (EMA)</w:t>
      </w:r>
      <w:r>
        <w:t xml:space="preserve">’s </w:t>
      </w:r>
      <w:r w:rsidRPr="008F1364">
        <w:t xml:space="preserve">Assessment Report for </w:t>
      </w:r>
      <w:proofErr w:type="spellStart"/>
      <w:r w:rsidRPr="008F1364">
        <w:t>Byooviz</w:t>
      </w:r>
      <w:proofErr w:type="spellEnd"/>
      <w:r>
        <w:t xml:space="preserve"> </w:t>
      </w:r>
      <w:r>
        <w:rPr>
          <w:rStyle w:val="FootnoteReference"/>
        </w:rPr>
        <w:footnoteReference w:id="18"/>
      </w:r>
    </w:p>
    <w:p w14:paraId="7425F970" w14:textId="10A42321" w:rsidR="00E3731A" w:rsidRPr="00B44440" w:rsidRDefault="00E3731A" w:rsidP="00E3731A">
      <w:r w:rsidRPr="00B44440">
        <w:t xml:space="preserve">Overall, 92 (26.3%) patients in the </w:t>
      </w:r>
      <w:proofErr w:type="spellStart"/>
      <w:r w:rsidR="001735C1" w:rsidRPr="00B44440">
        <w:t>Byooviz</w:t>
      </w:r>
      <w:proofErr w:type="spellEnd"/>
      <w:r w:rsidRPr="00B44440">
        <w:t xml:space="preserve"> group and 77 (21.8%) patients in the </w:t>
      </w:r>
      <w:r w:rsidR="001735C1" w:rsidRPr="00B44440">
        <w:t>Lucentis</w:t>
      </w:r>
      <w:r w:rsidRPr="00B44440">
        <w:t xml:space="preserve"> group had ocular TEAEs in the fellow eye.</w:t>
      </w:r>
      <w:r w:rsidR="00962117" w:rsidRPr="00B44440">
        <w:t xml:space="preserve"> </w:t>
      </w:r>
      <w:r w:rsidRPr="00B44440">
        <w:t xml:space="preserve">The most common </w:t>
      </w:r>
      <w:r w:rsidR="002D1DF4" w:rsidRPr="00B44440">
        <w:t xml:space="preserve">(5% or more of patients in any treatment group) </w:t>
      </w:r>
      <w:r w:rsidRPr="00B44440">
        <w:t xml:space="preserve">TEAE by </w:t>
      </w:r>
      <w:r w:rsidR="00A343DA" w:rsidRPr="00B44440">
        <w:t>Preferred Term</w:t>
      </w:r>
      <w:r w:rsidRPr="00B44440">
        <w:t xml:space="preserve"> in the fellow eye was neovascular AMD (25</w:t>
      </w:r>
      <w:r w:rsidR="00046CAF">
        <w:t> </w:t>
      </w:r>
      <w:r w:rsidRPr="00B44440">
        <w:t xml:space="preserve">(7.1%) patients in the </w:t>
      </w:r>
      <w:proofErr w:type="spellStart"/>
      <w:r w:rsidR="001735C1" w:rsidRPr="00B44440">
        <w:t>Byooviz</w:t>
      </w:r>
      <w:proofErr w:type="spellEnd"/>
      <w:r w:rsidRPr="00B44440">
        <w:t xml:space="preserve"> group </w:t>
      </w:r>
      <w:r w:rsidR="004C7824" w:rsidRPr="00B44440">
        <w:t>versus</w:t>
      </w:r>
      <w:r w:rsidRPr="00B44440">
        <w:t xml:space="preserve"> 22 (6.2%) patients in the </w:t>
      </w:r>
      <w:r w:rsidR="001735C1" w:rsidRPr="00B44440">
        <w:t>Lucentis</w:t>
      </w:r>
      <w:r w:rsidRPr="00B44440">
        <w:t xml:space="preserve"> group).</w:t>
      </w:r>
    </w:p>
    <w:p w14:paraId="6FDF289C" w14:textId="6E2E8B32" w:rsidR="00E3731A" w:rsidRPr="00B44440" w:rsidRDefault="00E3731A" w:rsidP="00E3731A">
      <w:r w:rsidRPr="00B44440">
        <w:t xml:space="preserve">Overall, 194 (55.4%) patients in the </w:t>
      </w:r>
      <w:proofErr w:type="spellStart"/>
      <w:r w:rsidR="001735C1" w:rsidRPr="00B44440">
        <w:t>Byooviz</w:t>
      </w:r>
      <w:proofErr w:type="spellEnd"/>
      <w:r w:rsidRPr="00B44440">
        <w:t xml:space="preserve"> group and 205 (57.9%) patients in the </w:t>
      </w:r>
      <w:r w:rsidR="001735C1" w:rsidRPr="00B44440">
        <w:t>Lucentis</w:t>
      </w:r>
      <w:r w:rsidRPr="00B44440">
        <w:t xml:space="preserve"> group had non-ocular TEAEs.</w:t>
      </w:r>
      <w:r w:rsidR="00962117" w:rsidRPr="00B44440">
        <w:t xml:space="preserve"> </w:t>
      </w:r>
      <w:r w:rsidRPr="00B44440">
        <w:t xml:space="preserve">The most common non-ocular TEAEs by </w:t>
      </w:r>
      <w:r w:rsidR="00A343DA" w:rsidRPr="00B44440">
        <w:t>Preferred Term</w:t>
      </w:r>
      <w:r w:rsidRPr="00B44440">
        <w:t xml:space="preserve"> (5% </w:t>
      </w:r>
      <w:r w:rsidR="001B623D" w:rsidRPr="00B44440">
        <w:t xml:space="preserve">or more </w:t>
      </w:r>
      <w:r w:rsidRPr="00B44440">
        <w:t>of patients in any treatment group) were nasopharyngitis (37</w:t>
      </w:r>
      <w:r w:rsidR="00046CAF">
        <w:t> </w:t>
      </w:r>
      <w:r w:rsidRPr="00B44440">
        <w:t xml:space="preserve">(10.6%) patients in the </w:t>
      </w:r>
      <w:proofErr w:type="spellStart"/>
      <w:r w:rsidR="001735C1" w:rsidRPr="00B44440">
        <w:t>Byooviz</w:t>
      </w:r>
      <w:proofErr w:type="spellEnd"/>
      <w:r w:rsidRPr="00B44440">
        <w:t xml:space="preserve"> group </w:t>
      </w:r>
      <w:r w:rsidR="004C7824" w:rsidRPr="00B44440">
        <w:t>versus</w:t>
      </w:r>
      <w:r w:rsidRPr="00B44440">
        <w:t xml:space="preserve"> 35 (9.9%) patients in the </w:t>
      </w:r>
      <w:r w:rsidR="001735C1" w:rsidRPr="00B44440">
        <w:t>Lucentis</w:t>
      </w:r>
      <w:r w:rsidRPr="00B44440">
        <w:t xml:space="preserve"> group) and Hypertension (17</w:t>
      </w:r>
      <w:r w:rsidR="002D1DF4" w:rsidRPr="00B44440">
        <w:t> </w:t>
      </w:r>
      <w:r w:rsidRPr="00B44440">
        <w:t xml:space="preserve">(4.9%) patients in the </w:t>
      </w:r>
      <w:proofErr w:type="spellStart"/>
      <w:r w:rsidR="001735C1" w:rsidRPr="00B44440">
        <w:t>Byooviz</w:t>
      </w:r>
      <w:proofErr w:type="spellEnd"/>
      <w:r w:rsidRPr="00B44440">
        <w:t xml:space="preserve"> group </w:t>
      </w:r>
      <w:r w:rsidR="004C7824" w:rsidRPr="00B44440">
        <w:t>versus</w:t>
      </w:r>
      <w:r w:rsidRPr="00B44440">
        <w:t xml:space="preserve"> 26 (7.3%) patients in the </w:t>
      </w:r>
      <w:r w:rsidR="001735C1" w:rsidRPr="00B44440">
        <w:t>Lucentis</w:t>
      </w:r>
      <w:r w:rsidRPr="00B44440">
        <w:t xml:space="preserve"> group).</w:t>
      </w:r>
      <w:r w:rsidR="00962117" w:rsidRPr="00B44440">
        <w:t xml:space="preserve"> </w:t>
      </w:r>
      <w:r w:rsidRPr="00B44440">
        <w:t>The majority of the non-ocular TEAEs were mild or moderate in severity.</w:t>
      </w:r>
    </w:p>
    <w:p w14:paraId="5F25CA4D" w14:textId="348E821C" w:rsidR="00E3731A" w:rsidRPr="00B44440" w:rsidRDefault="00E3731A" w:rsidP="00E3731A">
      <w:r w:rsidRPr="00B44440">
        <w:t xml:space="preserve">The majority of TEAEs (1,761 </w:t>
      </w:r>
      <w:r w:rsidR="004A6E76" w:rsidRPr="00B44440">
        <w:t xml:space="preserve">out </w:t>
      </w:r>
      <w:r w:rsidRPr="00B44440">
        <w:t>of 1,807</w:t>
      </w:r>
      <w:r w:rsidR="004A6E76" w:rsidRPr="00B44440">
        <w:t xml:space="preserve"> (</w:t>
      </w:r>
      <w:r w:rsidRPr="00B44440">
        <w:t>97.5%</w:t>
      </w:r>
      <w:r w:rsidR="004A6E76" w:rsidRPr="00B44440">
        <w:t>)</w:t>
      </w:r>
      <w:r w:rsidRPr="00B44440">
        <w:t>) were considered not related to the investigational product.</w:t>
      </w:r>
      <w:r w:rsidR="00962117" w:rsidRPr="00B44440">
        <w:t xml:space="preserve"> </w:t>
      </w:r>
      <w:r w:rsidRPr="00B44440">
        <w:t xml:space="preserve">In the </w:t>
      </w:r>
      <w:proofErr w:type="spellStart"/>
      <w:r w:rsidR="001735C1" w:rsidRPr="00B44440">
        <w:t>Byooviz</w:t>
      </w:r>
      <w:proofErr w:type="spellEnd"/>
      <w:r w:rsidRPr="00B44440">
        <w:t xml:space="preserve"> group, 27 TEAEs were reported to be related to </w:t>
      </w:r>
      <w:r w:rsidR="002D1DF4" w:rsidRPr="00B44440">
        <w:t>investigational product</w:t>
      </w:r>
      <w:r w:rsidRPr="00B44440">
        <w:t xml:space="preserve"> in 21 (6.0%) patients. In the </w:t>
      </w:r>
      <w:r w:rsidR="001735C1" w:rsidRPr="00B44440">
        <w:t>Lucentis</w:t>
      </w:r>
      <w:r w:rsidRPr="00B44440">
        <w:t xml:space="preserve"> group, 19 TEAEs were reported to be related to </w:t>
      </w:r>
      <w:r w:rsidR="002D1DF4" w:rsidRPr="00B44440">
        <w:t>investigational product</w:t>
      </w:r>
      <w:r w:rsidRPr="00B44440">
        <w:t xml:space="preserve"> in 10 (2.8%) patients.</w:t>
      </w:r>
    </w:p>
    <w:p w14:paraId="47CEDFE3" w14:textId="5716B4CF" w:rsidR="00E3731A" w:rsidRPr="00B44440" w:rsidRDefault="00E3731A" w:rsidP="00E3731A">
      <w:r w:rsidRPr="00B44440">
        <w:lastRenderedPageBreak/>
        <w:t>Ocular and non-ocular serious adverse events (SAE) were similar across the two treatment groups.</w:t>
      </w:r>
      <w:r w:rsidR="00962117" w:rsidRPr="00B44440">
        <w:t xml:space="preserve"> </w:t>
      </w:r>
      <w:r w:rsidRPr="00B44440">
        <w:t xml:space="preserve">SAEs in the study eye were reported in 10 (2.9%) patients in the </w:t>
      </w:r>
      <w:proofErr w:type="spellStart"/>
      <w:r w:rsidR="001735C1" w:rsidRPr="00B44440">
        <w:t>Byooviz</w:t>
      </w:r>
      <w:proofErr w:type="spellEnd"/>
      <w:r w:rsidRPr="00B44440">
        <w:t xml:space="preserve"> group and 8 (2.3%) patients in the </w:t>
      </w:r>
      <w:r w:rsidR="001735C1" w:rsidRPr="00B44440">
        <w:t>Lucentis</w:t>
      </w:r>
      <w:r w:rsidRPr="00B44440">
        <w:t xml:space="preserve"> group.</w:t>
      </w:r>
      <w:r w:rsidR="00962117" w:rsidRPr="00B44440">
        <w:t xml:space="preserve"> </w:t>
      </w:r>
      <w:r w:rsidRPr="00B44440">
        <w:t>In terms of causality, 4</w:t>
      </w:r>
      <w:r w:rsidR="00DE1C53" w:rsidRPr="00B44440">
        <w:t> </w:t>
      </w:r>
      <w:r w:rsidRPr="00B44440">
        <w:t xml:space="preserve">(1.1%) patients in the </w:t>
      </w:r>
      <w:proofErr w:type="spellStart"/>
      <w:r w:rsidR="001735C1" w:rsidRPr="00B44440">
        <w:t>Byooviz</w:t>
      </w:r>
      <w:proofErr w:type="spellEnd"/>
      <w:r w:rsidRPr="00B44440">
        <w:t xml:space="preserve"> group and 3 (0.8%) patients in the </w:t>
      </w:r>
      <w:r w:rsidR="001735C1" w:rsidRPr="00B44440">
        <w:t>Lucentis</w:t>
      </w:r>
      <w:r w:rsidRPr="00B44440">
        <w:t xml:space="preserve"> group reported SAEs in the study eye related to </w:t>
      </w:r>
      <w:r w:rsidR="002D1DF4" w:rsidRPr="00B44440">
        <w:t>investigational product</w:t>
      </w:r>
      <w:r w:rsidR="00496C5E">
        <w:t xml:space="preserve">. For the </w:t>
      </w:r>
      <w:proofErr w:type="spellStart"/>
      <w:r w:rsidR="001735C1" w:rsidRPr="00B44440">
        <w:t>Byooviz</w:t>
      </w:r>
      <w:proofErr w:type="spellEnd"/>
      <w:r w:rsidR="00496C5E">
        <w:t>-treated patients these were</w:t>
      </w:r>
      <w:r w:rsidRPr="00B44440">
        <w:t xml:space="preserve"> </w:t>
      </w:r>
      <w:proofErr w:type="spellStart"/>
      <w:r w:rsidRPr="00B44440">
        <w:t>vitritis</w:t>
      </w:r>
      <w:proofErr w:type="spellEnd"/>
      <w:r w:rsidRPr="00B44440">
        <w:t xml:space="preserve">, iridocyclitis, subretinal fluid, </w:t>
      </w:r>
      <w:r w:rsidR="00496C5E">
        <w:t xml:space="preserve">and </w:t>
      </w:r>
      <w:r w:rsidRPr="00B44440">
        <w:t>visual acuity reduced/macular oedema/retinal pigment epithelial tear</w:t>
      </w:r>
      <w:r w:rsidR="00496C5E">
        <w:t>. For the</w:t>
      </w:r>
      <w:r w:rsidRPr="00B44440">
        <w:t xml:space="preserve"> </w:t>
      </w:r>
      <w:r w:rsidR="001735C1" w:rsidRPr="00B44440">
        <w:t>Lucentis</w:t>
      </w:r>
      <w:r w:rsidR="00496C5E">
        <w:t>-treated patients these were</w:t>
      </w:r>
      <w:r w:rsidRPr="00B44440">
        <w:t xml:space="preserve"> retinal haemorrhage, subretinal fluid </w:t>
      </w:r>
      <w:r w:rsidR="002F4676" w:rsidRPr="00B44440">
        <w:t xml:space="preserve">and </w:t>
      </w:r>
      <w:r w:rsidRPr="00B44440">
        <w:t>macular degeneration.</w:t>
      </w:r>
      <w:r w:rsidR="00962117" w:rsidRPr="00B44440">
        <w:t xml:space="preserve"> </w:t>
      </w:r>
      <w:r w:rsidR="00496C5E">
        <w:t>Six</w:t>
      </w:r>
      <w:r w:rsidR="002F4676" w:rsidRPr="00B44440">
        <w:t> </w:t>
      </w:r>
      <w:r w:rsidRPr="00B44440">
        <w:t xml:space="preserve">(0.9%) patients died during the study: 2 (0.6%) patients in the </w:t>
      </w:r>
      <w:proofErr w:type="spellStart"/>
      <w:r w:rsidR="001735C1" w:rsidRPr="00B44440">
        <w:t>Byooviz</w:t>
      </w:r>
      <w:proofErr w:type="spellEnd"/>
      <w:r w:rsidRPr="00B44440">
        <w:t xml:space="preserve"> group (primary cause of death reported as </w:t>
      </w:r>
      <w:r w:rsidR="00A343DA" w:rsidRPr="00B44440">
        <w:t xml:space="preserve">chronic obstructive pulmonary disease </w:t>
      </w:r>
      <w:r w:rsidRPr="00B44440">
        <w:t xml:space="preserve">for </w:t>
      </w:r>
      <w:r w:rsidR="002F4676" w:rsidRPr="00B44440">
        <w:t>one</w:t>
      </w:r>
      <w:r w:rsidRPr="00B44440">
        <w:t xml:space="preserve"> patient and unknown for the other) and 4 (1.1%) patients in the </w:t>
      </w:r>
      <w:r w:rsidR="001735C1" w:rsidRPr="00B44440">
        <w:t>Lucentis</w:t>
      </w:r>
      <w:r w:rsidRPr="00B44440">
        <w:t xml:space="preserve"> group (primary cause of death reported as infection for </w:t>
      </w:r>
      <w:r w:rsidR="002F4676" w:rsidRPr="00B44440">
        <w:t>one</w:t>
      </w:r>
      <w:r w:rsidRPr="00B44440">
        <w:t xml:space="preserve"> patient, pneumonia for </w:t>
      </w:r>
      <w:r w:rsidR="002F4676" w:rsidRPr="00B44440">
        <w:t>one</w:t>
      </w:r>
      <w:r w:rsidRPr="00B44440">
        <w:t xml:space="preserve"> patient, and unknown for the other two patients).</w:t>
      </w:r>
    </w:p>
    <w:p w14:paraId="666FE13A" w14:textId="19392A08" w:rsidR="00E3731A" w:rsidRPr="00B44440" w:rsidRDefault="00E3731A" w:rsidP="00E3731A">
      <w:r w:rsidRPr="00B44440">
        <w:t>There were 6 pre-defined categories for adverse events of special interest):</w:t>
      </w:r>
    </w:p>
    <w:p w14:paraId="6D205F22" w14:textId="28654939" w:rsidR="00E3731A" w:rsidRPr="00B44440" w:rsidRDefault="00E3731A" w:rsidP="00E3731A">
      <w:pPr>
        <w:pStyle w:val="ListBullet"/>
      </w:pPr>
      <w:r w:rsidRPr="00B44440">
        <w:t xml:space="preserve">Category 1: Any case of new onset </w:t>
      </w:r>
      <w:r w:rsidR="008106E9" w:rsidRPr="00B44440">
        <w:t>intraocular pressure</w:t>
      </w:r>
      <w:r w:rsidRPr="00B44440">
        <w:t xml:space="preserve"> of </w:t>
      </w:r>
      <w:r w:rsidR="001B623D" w:rsidRPr="00B44440">
        <w:t>greater than</w:t>
      </w:r>
      <w:r w:rsidRPr="00B44440">
        <w:t xml:space="preserve"> 21 mmHg that did not respond to treatment, except the transient pressure rise observed within an hour after </w:t>
      </w:r>
      <w:r w:rsidR="007D394B" w:rsidRPr="00B44440">
        <w:t>intravitreal</w:t>
      </w:r>
      <w:r w:rsidRPr="00B44440">
        <w:t xml:space="preserve"> injection of </w:t>
      </w:r>
      <w:r w:rsidR="002D1DF4" w:rsidRPr="00B44440">
        <w:t>investigational product</w:t>
      </w:r>
      <w:r w:rsidR="002F4676" w:rsidRPr="00B44440">
        <w:t>.</w:t>
      </w:r>
    </w:p>
    <w:p w14:paraId="0DEE9F3B" w14:textId="76D2C3C3" w:rsidR="00E3731A" w:rsidRPr="00B44440" w:rsidRDefault="00E3731A" w:rsidP="00E3731A">
      <w:pPr>
        <w:pStyle w:val="ListBullet"/>
      </w:pPr>
      <w:r w:rsidRPr="00B44440">
        <w:t xml:space="preserve">Category 2: Any case of </w:t>
      </w:r>
      <w:r w:rsidR="008106E9" w:rsidRPr="00B44440">
        <w:t>intraocular pressure</w:t>
      </w:r>
      <w:r w:rsidRPr="00B44440">
        <w:t xml:space="preserve"> 35 mmHg</w:t>
      </w:r>
      <w:r w:rsidR="001B623D" w:rsidRPr="00B44440">
        <w:t xml:space="preserve"> or higher</w:t>
      </w:r>
      <w:r w:rsidRPr="00B44440">
        <w:t>, at any time, that required treatment</w:t>
      </w:r>
      <w:r w:rsidR="002F4676" w:rsidRPr="00B44440">
        <w:t>.</w:t>
      </w:r>
    </w:p>
    <w:p w14:paraId="165F41EC" w14:textId="6305A0AA" w:rsidR="00E3731A" w:rsidRPr="00B44440" w:rsidRDefault="00E3731A" w:rsidP="00E3731A">
      <w:pPr>
        <w:pStyle w:val="ListBullet"/>
      </w:pPr>
      <w:r w:rsidRPr="00B44440">
        <w:t>Category 3: Any case of intraocular infection such as endophthalmitis</w:t>
      </w:r>
      <w:r w:rsidR="002F4676" w:rsidRPr="00B44440">
        <w:t>.</w:t>
      </w:r>
    </w:p>
    <w:p w14:paraId="5F70CA02" w14:textId="69F194F0" w:rsidR="00E3731A" w:rsidRPr="00B44440" w:rsidRDefault="00E3731A" w:rsidP="00E3731A">
      <w:pPr>
        <w:pStyle w:val="ListBullet"/>
      </w:pPr>
      <w:r w:rsidRPr="00B44440">
        <w:t xml:space="preserve">Category 4: Any case of intraocular inflammation such as iritis, </w:t>
      </w:r>
      <w:proofErr w:type="spellStart"/>
      <w:r w:rsidRPr="00B44440">
        <w:t>vitritis</w:t>
      </w:r>
      <w:proofErr w:type="spellEnd"/>
      <w:r w:rsidRPr="00B44440">
        <w:t>, and iridocyclitis</w:t>
      </w:r>
      <w:r w:rsidR="002F4676" w:rsidRPr="00B44440">
        <w:t>.</w:t>
      </w:r>
    </w:p>
    <w:p w14:paraId="05028F50" w14:textId="73EBACB3" w:rsidR="00E3731A" w:rsidRPr="00B44440" w:rsidRDefault="00E3731A" w:rsidP="00E3731A">
      <w:pPr>
        <w:pStyle w:val="ListBullet"/>
      </w:pPr>
      <w:r w:rsidRPr="00B44440">
        <w:t>Category 5: Iatrogenic traumatic cataract</w:t>
      </w:r>
      <w:r w:rsidR="002F4676" w:rsidRPr="00B44440">
        <w:t>.</w:t>
      </w:r>
    </w:p>
    <w:p w14:paraId="4E40A8B5" w14:textId="0F08AF00" w:rsidR="00E3731A" w:rsidRDefault="00E3731A" w:rsidP="00E3731A">
      <w:pPr>
        <w:pStyle w:val="ListBullet"/>
      </w:pPr>
      <w:r w:rsidRPr="00B44440">
        <w:t>Category 6: Arterial thromboembolic events defined as non-fatal stroke, non-fatal myocardial infarction, or vascular death (including deaths of unknown cause)</w:t>
      </w:r>
      <w:r w:rsidR="002F4676" w:rsidRPr="00B44440">
        <w:t>.</w:t>
      </w:r>
    </w:p>
    <w:p w14:paraId="076AA694" w14:textId="3B3A6AC1" w:rsidR="00496C5E" w:rsidRPr="00496C5E" w:rsidRDefault="00496C5E" w:rsidP="004C7241">
      <w:pPr>
        <w:spacing w:before="0" w:after="200" w:line="0" w:lineRule="auto"/>
      </w:pPr>
      <w:r>
        <w:br w:type="page"/>
      </w:r>
    </w:p>
    <w:p w14:paraId="21950DE2" w14:textId="585CC1DC" w:rsidR="00E3731A" w:rsidRPr="00A02AE2" w:rsidRDefault="00E3731A" w:rsidP="00A02AE2">
      <w:pPr>
        <w:pStyle w:val="TableTitle"/>
      </w:pPr>
      <w:r w:rsidRPr="00A02AE2">
        <w:lastRenderedPageBreak/>
        <w:t xml:space="preserve">Table </w:t>
      </w:r>
      <w:fldSimple w:instr=" SEQ Table \* ARABIC ">
        <w:r w:rsidR="00792989">
          <w:rPr>
            <w:noProof/>
          </w:rPr>
          <w:t>8</w:t>
        </w:r>
      </w:fldSimple>
      <w:r w:rsidR="005329DD" w:rsidRPr="00A02AE2">
        <w:t>:</w:t>
      </w:r>
      <w:r w:rsidRPr="00A02AE2">
        <w:t xml:space="preserve"> Study SB11-G31-AMD</w:t>
      </w:r>
      <w:r w:rsidR="005329DD" w:rsidRPr="00A02AE2">
        <w:t xml:space="preserve"> Summary of </w:t>
      </w:r>
      <w:r w:rsidR="00A02AE2" w:rsidRPr="00A02AE2">
        <w:t>adverse events of special interest (safety set)</w:t>
      </w:r>
    </w:p>
    <w:p w14:paraId="14D8528F" w14:textId="748A1E98" w:rsidR="005329DD" w:rsidRPr="00B44440" w:rsidRDefault="005329DD" w:rsidP="007F6F40">
      <w:r w:rsidRPr="00B44440">
        <w:rPr>
          <w:noProof/>
          <w:lang w:val="en-GB" w:eastAsia="en-GB"/>
        </w:rPr>
        <w:drawing>
          <wp:inline distT="0" distB="0" distL="0" distR="0" wp14:anchorId="71C49FDB" wp14:editId="6A585209">
            <wp:extent cx="5400040" cy="3233420"/>
            <wp:effectExtent l="0" t="0" r="0" b="5080"/>
            <wp:docPr id="18" name="Picture 18" descr="Table 8: Study SB11-G31-AMD Summary of adverse events of special interes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8: Study SB11-G31-AMD Summary of adverse events of special interest (safety set)"/>
                    <pic:cNvPicPr/>
                  </pic:nvPicPr>
                  <pic:blipFill>
                    <a:blip r:embed="rId29"/>
                    <a:stretch>
                      <a:fillRect/>
                    </a:stretch>
                  </pic:blipFill>
                  <pic:spPr>
                    <a:xfrm>
                      <a:off x="0" y="0"/>
                      <a:ext cx="5400040" cy="3233420"/>
                    </a:xfrm>
                    <a:prstGeom prst="rect">
                      <a:avLst/>
                    </a:prstGeom>
                  </pic:spPr>
                </pic:pic>
              </a:graphicData>
            </a:graphic>
          </wp:inline>
        </w:drawing>
      </w:r>
    </w:p>
    <w:p w14:paraId="1EF3B718" w14:textId="5F84CA98" w:rsidR="005329DD" w:rsidRPr="007F6F40" w:rsidRDefault="00A02AE2" w:rsidP="007F6F40">
      <w:pPr>
        <w:pStyle w:val="TableDescription"/>
      </w:pPr>
      <w:r w:rsidRPr="007F6F40">
        <w:t xml:space="preserve">Abbreviations: </w:t>
      </w:r>
      <w:r w:rsidR="005329DD" w:rsidRPr="007F6F40">
        <w:t>AESI = adverse event of special interest; E = frequency of events; N = total number of patients; n = number of patients with events;</w:t>
      </w:r>
      <w:r w:rsidR="00A608C6">
        <w:t xml:space="preserve"> </w:t>
      </w:r>
      <w:r w:rsidR="005329DD" w:rsidRPr="007F6F40">
        <w:t>TEAE = treatment-emergent adverse event</w:t>
      </w:r>
      <w:r w:rsidRPr="007F6F40">
        <w:t xml:space="preserve">; </w:t>
      </w:r>
      <w:r w:rsidR="007F6F40" w:rsidRPr="007F6F40">
        <w:t>SB11</w:t>
      </w:r>
      <w:r w:rsidR="00046CAF">
        <w:t> </w:t>
      </w:r>
      <w:r w:rsidR="007F6F40" w:rsidRPr="007F6F40">
        <w:t>=</w:t>
      </w:r>
      <w:r w:rsidR="00046CAF">
        <w:t> </w:t>
      </w:r>
      <w:proofErr w:type="spellStart"/>
      <w:r w:rsidR="007F6F40" w:rsidRPr="007F6F40">
        <w:t>Byooviz</w:t>
      </w:r>
      <w:proofErr w:type="spellEnd"/>
      <w:r w:rsidR="007F6F40" w:rsidRPr="007F6F40">
        <w:t xml:space="preserve"> (ranibizumab); US= United States.</w:t>
      </w:r>
    </w:p>
    <w:p w14:paraId="06C3C5A0" w14:textId="2EA8305E" w:rsidR="005329DD" w:rsidRPr="007F6F40" w:rsidRDefault="00815D7B" w:rsidP="007F6F40">
      <w:pPr>
        <w:pStyle w:val="TableDescription"/>
      </w:pPr>
      <w:r w:rsidRPr="007F6F40">
        <w:t>Adverse events</w:t>
      </w:r>
      <w:r w:rsidR="005329DD" w:rsidRPr="007F6F40">
        <w:t xml:space="preserve"> were coded to System Organ Class and Preferred Term using </w:t>
      </w:r>
      <w:r w:rsidR="007F6F40" w:rsidRPr="007F6F40">
        <w:t>Medical Dictionary for Regulatory Activities (</w:t>
      </w:r>
      <w:r w:rsidR="005329DD" w:rsidRPr="007F6F40">
        <w:t>MedDRA</w:t>
      </w:r>
      <w:r w:rsidR="007F6F40" w:rsidRPr="007F6F40">
        <w:t>);</w:t>
      </w:r>
      <w:bookmarkStart w:id="47" w:name="_Ref129192930"/>
      <w:r w:rsidR="007F6F40" w:rsidRPr="007F6F40">
        <w:rPr>
          <w:rStyle w:val="FootnoteReference"/>
        </w:rPr>
        <w:footnoteReference w:id="19"/>
      </w:r>
      <w:bookmarkEnd w:id="47"/>
      <w:r w:rsidR="005329DD" w:rsidRPr="007F6F40">
        <w:t xml:space="preserve"> version 20.1 coding dictionary.</w:t>
      </w:r>
    </w:p>
    <w:p w14:paraId="1F813D8E" w14:textId="5ADC0199" w:rsidR="005329DD" w:rsidRPr="007F6F40" w:rsidRDefault="005329DD" w:rsidP="007F6F40">
      <w:pPr>
        <w:pStyle w:val="TableDescription"/>
      </w:pPr>
      <w:r w:rsidRPr="007F6F40">
        <w:t xml:space="preserve">Percentages were based on number of </w:t>
      </w:r>
      <w:proofErr w:type="gramStart"/>
      <w:r w:rsidRPr="007F6F40">
        <w:t>patient</w:t>
      </w:r>
      <w:proofErr w:type="gramEnd"/>
      <w:r w:rsidRPr="007F6F40">
        <w:t xml:space="preserve"> in the </w:t>
      </w:r>
      <w:r w:rsidR="007F6F40" w:rsidRPr="007F6F40">
        <w:t>safety set</w:t>
      </w:r>
      <w:r w:rsidRPr="007F6F40">
        <w:t>.</w:t>
      </w:r>
    </w:p>
    <w:p w14:paraId="2C929B52" w14:textId="2136B6C6" w:rsidR="005329DD" w:rsidRPr="007F6F40" w:rsidRDefault="005329DD" w:rsidP="007F6F40">
      <w:pPr>
        <w:pStyle w:val="TableDescription"/>
      </w:pPr>
      <w:r w:rsidRPr="007F6F40">
        <w:t xml:space="preserve">If a patient had the multiple conditions with different severity (or causality), then the patient was counted only once at the worst severity (or worst causality, </w:t>
      </w:r>
      <w:r w:rsidR="007F6F40" w:rsidRPr="007F6F40">
        <w:t xml:space="preserve">that is, </w:t>
      </w:r>
      <w:r w:rsidRPr="007F6F40">
        <w:t>related).</w:t>
      </w:r>
    </w:p>
    <w:p w14:paraId="0F5D61C6" w14:textId="3007E4C6" w:rsidR="005329DD" w:rsidRPr="007F6F40" w:rsidRDefault="008106E9" w:rsidP="007F6F40">
      <w:pPr>
        <w:pStyle w:val="TableDescription"/>
      </w:pPr>
      <w:r w:rsidRPr="007F6F40">
        <w:t>Adverse events of special interest</w:t>
      </w:r>
      <w:r w:rsidR="005329DD" w:rsidRPr="007F6F40">
        <w:t xml:space="preserve"> category</w:t>
      </w:r>
      <w:r w:rsidRPr="007F6F40">
        <w:t>:</w:t>
      </w:r>
    </w:p>
    <w:p w14:paraId="231058E3" w14:textId="10545A9F" w:rsidR="005329DD" w:rsidRPr="007F6F40" w:rsidRDefault="005329DD" w:rsidP="007F6F40">
      <w:pPr>
        <w:pStyle w:val="TableDescription"/>
      </w:pPr>
      <w:r w:rsidRPr="007F6F40">
        <w:t xml:space="preserve">Category 1: Any case of new onset </w:t>
      </w:r>
      <w:r w:rsidR="007F6F40" w:rsidRPr="007F6F40">
        <w:t xml:space="preserve">intraocular pressure </w:t>
      </w:r>
      <w:r w:rsidRPr="007F6F40">
        <w:t>of</w:t>
      </w:r>
      <w:r w:rsidR="001B623D" w:rsidRPr="007F6F40">
        <w:t xml:space="preserve"> greater than</w:t>
      </w:r>
      <w:r w:rsidRPr="007F6F40">
        <w:t xml:space="preserve"> 21 mmHg that does not respond to treatment, except the transient pressure rise observed within an hour after </w:t>
      </w:r>
      <w:r w:rsidR="007D394B" w:rsidRPr="007F6F40">
        <w:t>intravitreal</w:t>
      </w:r>
      <w:r w:rsidRPr="007F6F40">
        <w:t xml:space="preserve"> injection of </w:t>
      </w:r>
      <w:r w:rsidR="002D1DF4" w:rsidRPr="007F6F40">
        <w:t xml:space="preserve">investigational </w:t>
      </w:r>
      <w:proofErr w:type="gramStart"/>
      <w:r w:rsidR="002D1DF4" w:rsidRPr="007F6F40">
        <w:t>product</w:t>
      </w:r>
      <w:r w:rsidRPr="007F6F40">
        <w:t>;</w:t>
      </w:r>
      <w:proofErr w:type="gramEnd"/>
    </w:p>
    <w:p w14:paraId="452EC31F" w14:textId="0A79B961" w:rsidR="005329DD" w:rsidRPr="007F6F40" w:rsidRDefault="005329DD" w:rsidP="007F6F40">
      <w:pPr>
        <w:pStyle w:val="TableDescription"/>
      </w:pPr>
      <w:r w:rsidRPr="007F6F40">
        <w:t xml:space="preserve">Category 2: Any case of </w:t>
      </w:r>
      <w:r w:rsidR="007F6F40" w:rsidRPr="007F6F40">
        <w:t xml:space="preserve">intraocular pressure of </w:t>
      </w:r>
      <w:r w:rsidRPr="007F6F40">
        <w:t>35 mmHg</w:t>
      </w:r>
      <w:r w:rsidR="001B623D" w:rsidRPr="007F6F40">
        <w:t xml:space="preserve"> or higher</w:t>
      </w:r>
      <w:r w:rsidRPr="007F6F40">
        <w:t xml:space="preserve">, at any time, that required </w:t>
      </w:r>
      <w:proofErr w:type="gramStart"/>
      <w:r w:rsidRPr="007F6F40">
        <w:t>treatment;</w:t>
      </w:r>
      <w:proofErr w:type="gramEnd"/>
    </w:p>
    <w:p w14:paraId="2E00611E" w14:textId="77777777" w:rsidR="005329DD" w:rsidRPr="007F6F40" w:rsidRDefault="005329DD" w:rsidP="007F6F40">
      <w:pPr>
        <w:pStyle w:val="TableDescription"/>
      </w:pPr>
      <w:r w:rsidRPr="007F6F40">
        <w:t xml:space="preserve">Category 3: Any case of intraocular infection such as </w:t>
      </w:r>
      <w:proofErr w:type="gramStart"/>
      <w:r w:rsidRPr="007F6F40">
        <w:t>endophthalmitis;</w:t>
      </w:r>
      <w:proofErr w:type="gramEnd"/>
    </w:p>
    <w:p w14:paraId="5F9A821B" w14:textId="77777777" w:rsidR="005329DD" w:rsidRPr="007F6F40" w:rsidRDefault="005329DD" w:rsidP="007F6F40">
      <w:pPr>
        <w:pStyle w:val="TableDescription"/>
      </w:pPr>
      <w:r w:rsidRPr="007F6F40">
        <w:t xml:space="preserve">Category 4: Any case of intraocular inflammation such as iritis, </w:t>
      </w:r>
      <w:proofErr w:type="spellStart"/>
      <w:r w:rsidRPr="007F6F40">
        <w:t>vitritis</w:t>
      </w:r>
      <w:proofErr w:type="spellEnd"/>
      <w:r w:rsidRPr="007F6F40">
        <w:t xml:space="preserve">, and </w:t>
      </w:r>
      <w:proofErr w:type="gramStart"/>
      <w:r w:rsidRPr="007F6F40">
        <w:t>iridocyclitis;</w:t>
      </w:r>
      <w:proofErr w:type="gramEnd"/>
    </w:p>
    <w:p w14:paraId="457E2737" w14:textId="77777777" w:rsidR="005329DD" w:rsidRPr="007F6F40" w:rsidRDefault="005329DD" w:rsidP="007F6F40">
      <w:pPr>
        <w:pStyle w:val="TableDescription"/>
      </w:pPr>
      <w:r w:rsidRPr="007F6F40">
        <w:t xml:space="preserve">Category 5: Iatrogenic traumatic </w:t>
      </w:r>
      <w:proofErr w:type="gramStart"/>
      <w:r w:rsidRPr="007F6F40">
        <w:t>cataract;</w:t>
      </w:r>
      <w:proofErr w:type="gramEnd"/>
    </w:p>
    <w:p w14:paraId="6E4260AE" w14:textId="6E2C5D7C" w:rsidR="00E3731A" w:rsidRPr="007F6F40" w:rsidRDefault="005329DD" w:rsidP="007F6F40">
      <w:pPr>
        <w:pStyle w:val="TableDescription"/>
      </w:pPr>
      <w:r w:rsidRPr="007F6F40">
        <w:t>Category 6: Arterial thromboembolic events defined as non-fatal stroke, non-fatal myocardial infarction, or vascular death (including deaths of unknown as cause).</w:t>
      </w:r>
    </w:p>
    <w:p w14:paraId="4606DECB" w14:textId="3207AC1E" w:rsidR="005329DD" w:rsidRPr="007F6F40" w:rsidRDefault="00E3731A" w:rsidP="007F6F40">
      <w:pPr>
        <w:pStyle w:val="TableTitle"/>
      </w:pPr>
      <w:r w:rsidRPr="007F6F40">
        <w:lastRenderedPageBreak/>
        <w:t xml:space="preserve">Table </w:t>
      </w:r>
      <w:fldSimple w:instr=" SEQ Table \* ARABIC ">
        <w:r w:rsidR="00792989">
          <w:rPr>
            <w:noProof/>
          </w:rPr>
          <w:t>9</w:t>
        </w:r>
      </w:fldSimple>
      <w:r w:rsidR="005329DD" w:rsidRPr="007F6F40">
        <w:t xml:space="preserve">: Study SB11-G31-AMD Adverse </w:t>
      </w:r>
      <w:r w:rsidR="007F6F40" w:rsidRPr="007F6F40">
        <w:t>events of special interes</w:t>
      </w:r>
      <w:r w:rsidR="005329DD" w:rsidRPr="007F6F40">
        <w:t>t by System Organ Class and Preferred Term (</w:t>
      </w:r>
      <w:r w:rsidR="007F6F40" w:rsidRPr="007F6F40">
        <w:t>safety set)</w:t>
      </w:r>
    </w:p>
    <w:p w14:paraId="3366AE75" w14:textId="3920A811" w:rsidR="005329DD" w:rsidRPr="00B44440" w:rsidRDefault="005329DD" w:rsidP="007F6F40">
      <w:r w:rsidRPr="00B44440">
        <w:rPr>
          <w:noProof/>
          <w:lang w:val="en-GB" w:eastAsia="en-GB"/>
        </w:rPr>
        <w:drawing>
          <wp:inline distT="0" distB="0" distL="0" distR="0" wp14:anchorId="34DC7403" wp14:editId="685E7DE2">
            <wp:extent cx="5400040" cy="3112135"/>
            <wp:effectExtent l="0" t="0" r="0" b="0"/>
            <wp:docPr id="19" name="Picture 19" descr="Table 9: Study SB11-G31-AMD Adverse events of special interest by System Organ Class and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9: Study SB11-G31-AMD Adverse events of special interest by System Organ Class and Preferred Term (safety set)"/>
                    <pic:cNvPicPr/>
                  </pic:nvPicPr>
                  <pic:blipFill>
                    <a:blip r:embed="rId30"/>
                    <a:stretch>
                      <a:fillRect/>
                    </a:stretch>
                  </pic:blipFill>
                  <pic:spPr>
                    <a:xfrm>
                      <a:off x="0" y="0"/>
                      <a:ext cx="5400040" cy="3112135"/>
                    </a:xfrm>
                    <a:prstGeom prst="rect">
                      <a:avLst/>
                    </a:prstGeom>
                  </pic:spPr>
                </pic:pic>
              </a:graphicData>
            </a:graphic>
          </wp:inline>
        </w:drawing>
      </w:r>
    </w:p>
    <w:p w14:paraId="60B15904" w14:textId="6A7EFC95" w:rsidR="005329DD" w:rsidRPr="007F6F40" w:rsidRDefault="007F6F40" w:rsidP="007F6F40">
      <w:pPr>
        <w:pStyle w:val="TableDescription"/>
      </w:pPr>
      <w:r w:rsidRPr="007F6F40">
        <w:t xml:space="preserve">Abbreviations: </w:t>
      </w:r>
      <w:r w:rsidR="005329DD" w:rsidRPr="007F6F40">
        <w:t>AESI = adverse event of special interest; E = frequency of events; N = total number of patients; n = number of patients with event</w:t>
      </w:r>
      <w:r w:rsidRPr="007F6F40">
        <w:t xml:space="preserve">; SB11 = </w:t>
      </w:r>
      <w:proofErr w:type="spellStart"/>
      <w:r w:rsidRPr="007F6F40">
        <w:t>Byooviz</w:t>
      </w:r>
      <w:proofErr w:type="spellEnd"/>
      <w:r w:rsidRPr="007F6F40">
        <w:t xml:space="preserve"> (ranibizumab); US= United States.</w:t>
      </w:r>
    </w:p>
    <w:p w14:paraId="0EB0E9CA" w14:textId="13193D3E" w:rsidR="005329DD" w:rsidRPr="007F6F40" w:rsidRDefault="005329DD" w:rsidP="007F6F40">
      <w:pPr>
        <w:pStyle w:val="TableDescription"/>
      </w:pPr>
      <w:r w:rsidRPr="007F6F40">
        <w:t>Percentages were based on the number of subjects in t</w:t>
      </w:r>
      <w:r w:rsidR="007F6F40" w:rsidRPr="007F6F40">
        <w:t>he safety set.</w:t>
      </w:r>
    </w:p>
    <w:p w14:paraId="34059D1C" w14:textId="4A45DFCC" w:rsidR="005329DD" w:rsidRPr="007F6F40" w:rsidRDefault="00815D7B" w:rsidP="007F6F40">
      <w:pPr>
        <w:pStyle w:val="TableDescription"/>
      </w:pPr>
      <w:r w:rsidRPr="007F6F40">
        <w:t>Adverse events</w:t>
      </w:r>
      <w:r w:rsidR="005329DD" w:rsidRPr="007F6F40">
        <w:t xml:space="preserve"> were coded to </w:t>
      </w:r>
      <w:r w:rsidR="007F6F40" w:rsidRPr="007F6F40">
        <w:t>System Organ Class</w:t>
      </w:r>
      <w:r w:rsidR="005329DD" w:rsidRPr="007F6F40">
        <w:t xml:space="preserve"> and </w:t>
      </w:r>
      <w:r w:rsidR="007F6F40" w:rsidRPr="007F6F40">
        <w:t>Preferred Term</w:t>
      </w:r>
      <w:r w:rsidR="005329DD" w:rsidRPr="007F6F40">
        <w:t xml:space="preserve"> using </w:t>
      </w:r>
      <w:r w:rsidR="007F6F40" w:rsidRPr="007F6F40">
        <w:t>Medical Dictionary for Regulatory Activities (MedDRA)</w:t>
      </w:r>
      <w:r w:rsidR="007F6F40" w:rsidRPr="007F6F40">
        <w:rPr>
          <w:vertAlign w:val="superscript"/>
        </w:rPr>
        <w:fldChar w:fldCharType="begin"/>
      </w:r>
      <w:r w:rsidR="007F6F40" w:rsidRPr="007F6F40">
        <w:rPr>
          <w:vertAlign w:val="superscript"/>
        </w:rPr>
        <w:instrText xml:space="preserve"> NOTEREF _Ref129192930 \h  \* MERGEFORMAT </w:instrText>
      </w:r>
      <w:r w:rsidR="007F6F40" w:rsidRPr="007F6F40">
        <w:rPr>
          <w:vertAlign w:val="superscript"/>
        </w:rPr>
      </w:r>
      <w:r w:rsidR="007F6F40" w:rsidRPr="007F6F40">
        <w:rPr>
          <w:vertAlign w:val="superscript"/>
        </w:rPr>
        <w:fldChar w:fldCharType="separate"/>
      </w:r>
      <w:r w:rsidR="00792989">
        <w:rPr>
          <w:vertAlign w:val="superscript"/>
        </w:rPr>
        <w:t>18</w:t>
      </w:r>
      <w:r w:rsidR="007F6F40" w:rsidRPr="007F6F40">
        <w:rPr>
          <w:vertAlign w:val="superscript"/>
        </w:rPr>
        <w:fldChar w:fldCharType="end"/>
      </w:r>
      <w:r w:rsidR="005329DD" w:rsidRPr="007F6F40">
        <w:t xml:space="preserve"> coding dictionary version 20.1.</w:t>
      </w:r>
    </w:p>
    <w:p w14:paraId="08F60EDF" w14:textId="03EE846F" w:rsidR="005329DD" w:rsidRPr="007F6F40" w:rsidRDefault="005329DD" w:rsidP="007F6F40">
      <w:pPr>
        <w:pStyle w:val="TableDescription"/>
      </w:pPr>
      <w:r w:rsidRPr="007F6F40">
        <w:t xml:space="preserve">System organ classes were presented alphabetically; </w:t>
      </w:r>
      <w:r w:rsidR="007F6F40" w:rsidRPr="007F6F40">
        <w:t>Preferred Term</w:t>
      </w:r>
      <w:r w:rsidRPr="007F6F40">
        <w:t xml:space="preserve">s were sorted within each primary </w:t>
      </w:r>
      <w:r w:rsidR="007F6F40" w:rsidRPr="007F6F40">
        <w:t>System Organ Class</w:t>
      </w:r>
      <w:r w:rsidRPr="007F6F40">
        <w:t xml:space="preserve"> in descending order of subject frequency of</w:t>
      </w:r>
      <w:r w:rsidR="00B3332B" w:rsidRPr="007F6F40">
        <w:t xml:space="preserve"> </w:t>
      </w:r>
      <w:proofErr w:type="spellStart"/>
      <w:r w:rsidR="00B3332B" w:rsidRPr="007F6F40">
        <w:t>Byooviz</w:t>
      </w:r>
      <w:proofErr w:type="spellEnd"/>
      <w:r w:rsidRPr="007F6F40">
        <w:t xml:space="preserve">. If the frequency of the </w:t>
      </w:r>
      <w:r w:rsidR="007F6F40" w:rsidRPr="007F6F40">
        <w:t>Preferred Term</w:t>
      </w:r>
      <w:r w:rsidRPr="007F6F40">
        <w:t xml:space="preserve">s were tied, the </w:t>
      </w:r>
      <w:r w:rsidR="007F6F40" w:rsidRPr="007F6F40">
        <w:t>Preferred Term</w:t>
      </w:r>
      <w:r w:rsidRPr="007F6F40">
        <w:t>s were ordered alphabetically.</w:t>
      </w:r>
    </w:p>
    <w:p w14:paraId="7CAB9C2D" w14:textId="7AC61CA6" w:rsidR="00E3731A" w:rsidRPr="007F6F40" w:rsidRDefault="005329DD" w:rsidP="007F6F40">
      <w:pPr>
        <w:pStyle w:val="TableDescription"/>
      </w:pPr>
      <w:r w:rsidRPr="007F6F40">
        <w:t xml:space="preserve">If a patient had multiple conditions with the same </w:t>
      </w:r>
      <w:r w:rsidR="007F6F40" w:rsidRPr="007F6F40">
        <w:t>Preferred Term</w:t>
      </w:r>
      <w:r w:rsidRPr="007F6F40">
        <w:t xml:space="preserve"> and </w:t>
      </w:r>
      <w:r w:rsidR="007F6F40" w:rsidRPr="007F6F40">
        <w:t>System Organ Class</w:t>
      </w:r>
      <w:r w:rsidRPr="007F6F40">
        <w:t>, the subject was counted only once.</w:t>
      </w:r>
    </w:p>
    <w:p w14:paraId="5E935545" w14:textId="7D743E7F" w:rsidR="00E3731A" w:rsidRPr="00B44440" w:rsidRDefault="00E3731A" w:rsidP="00E3731A">
      <w:r w:rsidRPr="00B44440">
        <w:t>There were no notable differences between the treatment groups for laboratory findings and vital signs, including intraocular pressure.</w:t>
      </w:r>
    </w:p>
    <w:p w14:paraId="553B19B2" w14:textId="77777777" w:rsidR="00E3731A" w:rsidRPr="00B44440" w:rsidRDefault="00E3731A" w:rsidP="00A8414C">
      <w:pPr>
        <w:pStyle w:val="Heading4"/>
      </w:pPr>
      <w:r w:rsidRPr="00B44440">
        <w:t>Immunogenicity</w:t>
      </w:r>
    </w:p>
    <w:p w14:paraId="5755B581" w14:textId="7EB72043" w:rsidR="00E3731A" w:rsidRPr="00B44440" w:rsidRDefault="00E3731A" w:rsidP="00B72BE4">
      <w:r w:rsidRPr="00B44440">
        <w:t>In Study SB11-G31-AMD, blood samples for immunogenicity were collected prior to intravitreal injection at Week 0 (Day 1), Week 4, Week 8, Week 16, Week 24, and Week</w:t>
      </w:r>
      <w:r w:rsidR="002F4676" w:rsidRPr="00B44440">
        <w:t> </w:t>
      </w:r>
      <w:r w:rsidRPr="00B44440">
        <w:t>36, and at any time during the visit at Week</w:t>
      </w:r>
      <w:r w:rsidR="002F4676" w:rsidRPr="00B44440">
        <w:t> </w:t>
      </w:r>
      <w:r w:rsidRPr="00B44440">
        <w:t>1 and Week 52 (</w:t>
      </w:r>
      <w:r w:rsidR="002F4676" w:rsidRPr="00B44440">
        <w:t>end of study visit) or early termination visit</w:t>
      </w:r>
      <w:r w:rsidRPr="00B44440">
        <w:t>.</w:t>
      </w:r>
      <w:r w:rsidR="00962117" w:rsidRPr="00B44440">
        <w:t xml:space="preserve"> </w:t>
      </w:r>
      <w:r w:rsidRPr="00B44440">
        <w:t xml:space="preserve">The overall incidence of </w:t>
      </w:r>
      <w:r w:rsidR="001D1582" w:rsidRPr="00B44440">
        <w:t>anti-drug antibody (ADA)</w:t>
      </w:r>
      <w:r w:rsidRPr="00B44440">
        <w:t xml:space="preserve"> and </w:t>
      </w:r>
      <w:r w:rsidR="001D1582" w:rsidRPr="00B44440">
        <w:t>neutralising antibody</w:t>
      </w:r>
      <w:r w:rsidRPr="00B44440">
        <w:t xml:space="preserve"> was low and comparable in the </w:t>
      </w:r>
      <w:proofErr w:type="spellStart"/>
      <w:r w:rsidR="001735C1" w:rsidRPr="00B44440">
        <w:t>Byooviz</w:t>
      </w:r>
      <w:proofErr w:type="spellEnd"/>
      <w:r w:rsidRPr="00B44440">
        <w:t xml:space="preserve"> and </w:t>
      </w:r>
      <w:r w:rsidR="001735C1" w:rsidRPr="00B44440">
        <w:t>Lucentis</w:t>
      </w:r>
      <w:r w:rsidRPr="00B44440">
        <w:t xml:space="preserve"> treatment groups over the duration of the study (</w:t>
      </w:r>
      <w:r w:rsidR="002F4676" w:rsidRPr="00B44440">
        <w:t xml:space="preserve">see </w:t>
      </w:r>
      <w:r w:rsidRPr="00B44440">
        <w:fldChar w:fldCharType="begin"/>
      </w:r>
      <w:r w:rsidRPr="00B44440">
        <w:instrText xml:space="preserve"> REF _Ref104899857 \h  \* MERGEFORMAT </w:instrText>
      </w:r>
      <w:r w:rsidRPr="00B44440">
        <w:fldChar w:fldCharType="separate"/>
      </w:r>
      <w:r w:rsidR="00792989" w:rsidRPr="007F6F40">
        <w:t xml:space="preserve">Table </w:t>
      </w:r>
      <w:r w:rsidR="00792989">
        <w:t>10</w:t>
      </w:r>
      <w:r w:rsidRPr="00B44440">
        <w:fldChar w:fldCharType="end"/>
      </w:r>
      <w:r w:rsidR="002F4676" w:rsidRPr="00B44440">
        <w:t xml:space="preserve"> below</w:t>
      </w:r>
      <w:r w:rsidRPr="00B44440">
        <w:t>).</w:t>
      </w:r>
    </w:p>
    <w:p w14:paraId="70957F10" w14:textId="1BEEB38C" w:rsidR="00D32C49" w:rsidRDefault="00E3731A" w:rsidP="007F6F40">
      <w:pPr>
        <w:pStyle w:val="TableTitle"/>
      </w:pPr>
      <w:bookmarkStart w:id="48" w:name="_Ref104899857"/>
      <w:r w:rsidRPr="007F6F40">
        <w:lastRenderedPageBreak/>
        <w:t xml:space="preserve">Table </w:t>
      </w:r>
      <w:fldSimple w:instr=" SEQ Table \* ARABIC ">
        <w:r w:rsidR="00792989">
          <w:rPr>
            <w:noProof/>
          </w:rPr>
          <w:t>10</w:t>
        </w:r>
      </w:fldSimple>
      <w:bookmarkEnd w:id="48"/>
      <w:r w:rsidR="00D32C49" w:rsidRPr="007F6F40">
        <w:t xml:space="preserve">: </w:t>
      </w:r>
      <w:r w:rsidR="002F4676" w:rsidRPr="007F6F40">
        <w:t xml:space="preserve">Study SB11-G31-AMD </w:t>
      </w:r>
      <w:r w:rsidR="007F6F40" w:rsidRPr="007F6F40">
        <w:rPr>
          <w:i/>
          <w:iCs/>
        </w:rPr>
        <w:t>Ad-hoc</w:t>
      </w:r>
      <w:r w:rsidR="007F6F40" w:rsidRPr="007F6F40">
        <w:t xml:space="preserve"> analysis on i</w:t>
      </w:r>
      <w:r w:rsidR="00D32C49" w:rsidRPr="007F6F40">
        <w:t xml:space="preserve">ncidence </w:t>
      </w:r>
      <w:r w:rsidR="007F6F40" w:rsidRPr="007F6F40">
        <w:t>of overall anti-drug antibody by visit and treatment group (safety set)</w:t>
      </w:r>
    </w:p>
    <w:p w14:paraId="5E62E2B8" w14:textId="164B00CD" w:rsidR="008F1364" w:rsidRPr="007F6F40" w:rsidRDefault="00B56866" w:rsidP="00B56866">
      <w:r>
        <w:rPr>
          <w:noProof/>
          <w:lang w:val="en-GB" w:eastAsia="en-GB"/>
        </w:rPr>
        <w:drawing>
          <wp:inline distT="0" distB="0" distL="0" distR="0" wp14:anchorId="566A7504" wp14:editId="0DF25CCB">
            <wp:extent cx="5400040" cy="4883150"/>
            <wp:effectExtent l="0" t="0" r="0" b="0"/>
            <wp:docPr id="6" name="Picture 6" descr="Table 10: Study SB11-G31-AMD Ad-hoc analysis on incidence of overall anti-drug antibody by visit and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10: Study SB11-G31-AMD Ad-hoc analysis on incidence of overall anti-drug antibody by visit and treatment group (safety set)"/>
                    <pic:cNvPicPr/>
                  </pic:nvPicPr>
                  <pic:blipFill>
                    <a:blip r:embed="rId31"/>
                    <a:stretch>
                      <a:fillRect/>
                    </a:stretch>
                  </pic:blipFill>
                  <pic:spPr>
                    <a:xfrm>
                      <a:off x="0" y="0"/>
                      <a:ext cx="5400040" cy="4883150"/>
                    </a:xfrm>
                    <a:prstGeom prst="rect">
                      <a:avLst/>
                    </a:prstGeom>
                  </pic:spPr>
                </pic:pic>
              </a:graphicData>
            </a:graphic>
          </wp:inline>
        </w:drawing>
      </w:r>
    </w:p>
    <w:p w14:paraId="172170B9" w14:textId="2449CACA" w:rsidR="00364118" w:rsidRPr="00364118" w:rsidRDefault="00364118" w:rsidP="00364118">
      <w:pPr>
        <w:pStyle w:val="TableDescription"/>
      </w:pPr>
      <w:r w:rsidRPr="00364118">
        <w:t xml:space="preserve">Abbreviations: </w:t>
      </w:r>
      <w:r w:rsidR="00E3731A" w:rsidRPr="00364118">
        <w:t xml:space="preserve">ADA = anti-drug antibody; </w:t>
      </w:r>
      <w:proofErr w:type="spellStart"/>
      <w:r w:rsidR="00E3731A" w:rsidRPr="00364118">
        <w:t>NAb</w:t>
      </w:r>
      <w:proofErr w:type="spellEnd"/>
      <w:r w:rsidR="00E3731A" w:rsidRPr="00364118">
        <w:t xml:space="preserve"> = neutralising antibody; N = total number of patients; </w:t>
      </w:r>
      <w:r w:rsidRPr="00364118">
        <w:t>n</w:t>
      </w:r>
      <w:r w:rsidR="003B24EA">
        <w:t> </w:t>
      </w:r>
      <w:r w:rsidRPr="00364118">
        <w:t>=</w:t>
      </w:r>
      <w:r w:rsidR="003B24EA">
        <w:t> </w:t>
      </w:r>
      <w:r w:rsidR="003B24EA" w:rsidRPr="003B24EA">
        <w:t>number of patients with event</w:t>
      </w:r>
      <w:r w:rsidRPr="00364118">
        <w:t xml:space="preserve">; </w:t>
      </w:r>
      <w:r w:rsidR="00E3731A" w:rsidRPr="00364118">
        <w:t>n' = number of patients with available assessment results at each visit</w:t>
      </w:r>
      <w:r w:rsidRPr="00364118">
        <w:t>;</w:t>
      </w:r>
      <w:r w:rsidR="00E3731A" w:rsidRPr="00364118">
        <w:t xml:space="preserve"> </w:t>
      </w:r>
      <w:r w:rsidRPr="00364118">
        <w:t xml:space="preserve">SB11 = </w:t>
      </w:r>
      <w:proofErr w:type="spellStart"/>
      <w:r w:rsidRPr="00364118">
        <w:t>Byooviz</w:t>
      </w:r>
      <w:proofErr w:type="spellEnd"/>
      <w:r w:rsidRPr="00364118">
        <w:t xml:space="preserve"> (ranibizumab); US= United States.</w:t>
      </w:r>
    </w:p>
    <w:p w14:paraId="1F8A6A39" w14:textId="0CD7BC16" w:rsidR="00E3731A" w:rsidRDefault="00E3731A" w:rsidP="00364118">
      <w:pPr>
        <w:pStyle w:val="TableDescription"/>
      </w:pPr>
      <w:r w:rsidRPr="00364118">
        <w:t>Percentages are based on n’</w:t>
      </w:r>
      <w:r w:rsidR="00364118" w:rsidRPr="00364118">
        <w:t>.</w:t>
      </w:r>
    </w:p>
    <w:p w14:paraId="4B575236" w14:textId="7E93A744" w:rsidR="008F1364" w:rsidRPr="00364118" w:rsidRDefault="008F1364" w:rsidP="00364118">
      <w:pPr>
        <w:pStyle w:val="TableDescription"/>
      </w:pPr>
      <w:r>
        <w:t xml:space="preserve">Source: this table is extracted from the </w:t>
      </w:r>
      <w:r w:rsidRPr="008F1364">
        <w:t>European Medicines Agency (EMA)</w:t>
      </w:r>
      <w:r>
        <w:t xml:space="preserve">’s </w:t>
      </w:r>
      <w:r w:rsidRPr="008F1364">
        <w:t xml:space="preserve">Assessment Report for </w:t>
      </w:r>
      <w:proofErr w:type="spellStart"/>
      <w:r w:rsidRPr="008F1364">
        <w:t>Byooviz</w:t>
      </w:r>
      <w:proofErr w:type="spellEnd"/>
      <w:r>
        <w:t xml:space="preserve"> </w:t>
      </w:r>
      <w:r>
        <w:rPr>
          <w:rStyle w:val="FootnoteReference"/>
        </w:rPr>
        <w:footnoteReference w:id="20"/>
      </w:r>
    </w:p>
    <w:p w14:paraId="0CB626B7" w14:textId="3CFCB841" w:rsidR="00E3731A" w:rsidRPr="00B44440" w:rsidRDefault="00E3731A" w:rsidP="00E3731A">
      <w:r w:rsidRPr="00B44440">
        <w:t>Overall, there were limited number of ADA-positive subjects in both treatment groups.</w:t>
      </w:r>
      <w:r w:rsidR="00962117" w:rsidRPr="00B44440">
        <w:t xml:space="preserve"> </w:t>
      </w:r>
      <w:r w:rsidRPr="00B44440">
        <w:t xml:space="preserve">In the PK </w:t>
      </w:r>
      <w:r w:rsidR="00585AD2" w:rsidRPr="00B44440">
        <w:t>analysis set</w:t>
      </w:r>
      <w:r w:rsidRPr="00B44440">
        <w:t xml:space="preserve">, only 3 subjects had positive ADA results (2 subjects in </w:t>
      </w:r>
      <w:proofErr w:type="spellStart"/>
      <w:r w:rsidR="001735C1" w:rsidRPr="00B44440">
        <w:t>Byooviz</w:t>
      </w:r>
      <w:proofErr w:type="spellEnd"/>
      <w:r w:rsidRPr="00B44440">
        <w:t xml:space="preserve"> group at Week 52, and </w:t>
      </w:r>
      <w:r w:rsidR="002F4676" w:rsidRPr="00B44440">
        <w:t>one</w:t>
      </w:r>
      <w:r w:rsidRPr="00B44440">
        <w:t xml:space="preserve"> subject in Lucentis group at Week 36), so the impact of immunogenicity on PK cannot be evaluated.</w:t>
      </w:r>
      <w:r w:rsidR="00962117" w:rsidRPr="00B44440">
        <w:t xml:space="preserve"> </w:t>
      </w:r>
      <w:r w:rsidRPr="00B44440">
        <w:t>Subgroup analyses of efficacy endpoints (</w:t>
      </w:r>
      <w:r w:rsidR="00BE3F9B" w:rsidRPr="00B44440">
        <w:t xml:space="preserve">central subfield thickness </w:t>
      </w:r>
      <w:r w:rsidRPr="00B44440">
        <w:t xml:space="preserve">and </w:t>
      </w:r>
      <w:r w:rsidR="008106E9" w:rsidRPr="00B44440">
        <w:t>best corrected visual acuity (BCVA)</w:t>
      </w:r>
      <w:r w:rsidRPr="00B44440">
        <w:t>) based on ADA status showed no consistent findings regarding impact of ADA on efficacy.</w:t>
      </w:r>
      <w:r w:rsidR="00962117" w:rsidRPr="00B44440">
        <w:t xml:space="preserve"> </w:t>
      </w:r>
      <w:r w:rsidRPr="00B44440">
        <w:t xml:space="preserve">In two patients with the highest ADA titres, no influence of high ADA titre (and its neutralising capacity) on BCVA and </w:t>
      </w:r>
      <w:r w:rsidR="00BE3F9B" w:rsidRPr="00B44440">
        <w:t>central subfield thickness</w:t>
      </w:r>
      <w:r w:rsidRPr="00B44440">
        <w:t xml:space="preserve"> was evident.</w:t>
      </w:r>
      <w:r w:rsidR="00962117" w:rsidRPr="00B44440">
        <w:t xml:space="preserve"> </w:t>
      </w:r>
      <w:r w:rsidRPr="00B44440">
        <w:t>Subgroup analyses of TEAEs based on ADA status showed no clear imbalance between treatment groups.</w:t>
      </w:r>
    </w:p>
    <w:p w14:paraId="2A4C64D1" w14:textId="77777777" w:rsidR="008E7846" w:rsidRPr="00B44440" w:rsidRDefault="00386150" w:rsidP="007B6132">
      <w:pPr>
        <w:pStyle w:val="Heading3"/>
        <w:rPr>
          <w:lang w:eastAsia="en-AU"/>
        </w:rPr>
      </w:pPr>
      <w:bookmarkStart w:id="49" w:name="_Toc314842514"/>
      <w:bookmarkStart w:id="50" w:name="_Toc133421043"/>
      <w:r w:rsidRPr="00B44440">
        <w:rPr>
          <w:lang w:eastAsia="en-AU"/>
        </w:rPr>
        <w:lastRenderedPageBreak/>
        <w:t>Risk m</w:t>
      </w:r>
      <w:r w:rsidR="008E7846" w:rsidRPr="00B44440">
        <w:rPr>
          <w:lang w:eastAsia="en-AU"/>
        </w:rPr>
        <w:t xml:space="preserve">anagement </w:t>
      </w:r>
      <w:r w:rsidRPr="00B44440">
        <w:rPr>
          <w:lang w:eastAsia="en-AU"/>
        </w:rPr>
        <w:t>p</w:t>
      </w:r>
      <w:r w:rsidR="008E7846" w:rsidRPr="00B44440">
        <w:rPr>
          <w:lang w:eastAsia="en-AU"/>
        </w:rPr>
        <w:t>lan</w:t>
      </w:r>
      <w:bookmarkEnd w:id="49"/>
      <w:bookmarkEnd w:id="50"/>
    </w:p>
    <w:p w14:paraId="62AD4BB0" w14:textId="7280DB8F" w:rsidR="000519F4" w:rsidRPr="00B44440" w:rsidRDefault="002F4676" w:rsidP="000519F4">
      <w:bookmarkStart w:id="51" w:name="_Toc247691531"/>
      <w:bookmarkStart w:id="52" w:name="_Toc314842515"/>
      <w:bookmarkStart w:id="53" w:name="_Toc196046505"/>
      <w:bookmarkStart w:id="54" w:name="_Toc196046949"/>
      <w:r w:rsidRPr="00B44440">
        <w:t>The sponsor</w:t>
      </w:r>
      <w:r w:rsidR="000519F4" w:rsidRPr="00B44440">
        <w:t xml:space="preserve"> has submitted </w:t>
      </w:r>
      <w:r w:rsidR="00AB5306" w:rsidRPr="00B44440">
        <w:t>European Union (</w:t>
      </w:r>
      <w:r w:rsidR="000519F4" w:rsidRPr="00B44440">
        <w:t>EU</w:t>
      </w:r>
      <w:r w:rsidR="00AB5306" w:rsidRPr="00B44440">
        <w:t>)</w:t>
      </w:r>
      <w:r w:rsidR="000519F4" w:rsidRPr="00B44440">
        <w:t>-</w:t>
      </w:r>
      <w:r w:rsidR="00AB5306" w:rsidRPr="00B44440">
        <w:t>risk management plan (</w:t>
      </w:r>
      <w:r w:rsidR="000519F4" w:rsidRPr="00B44440">
        <w:t>RMP</w:t>
      </w:r>
      <w:r w:rsidR="00AB5306" w:rsidRPr="00B44440">
        <w:t>)</w:t>
      </w:r>
      <w:r w:rsidR="000519F4" w:rsidRPr="00B44440">
        <w:t xml:space="preserve"> version</w:t>
      </w:r>
      <w:r w:rsidR="00046CAF">
        <w:t> </w:t>
      </w:r>
      <w:r w:rsidR="000519F4" w:rsidRPr="00B44440">
        <w:t>1.1 (date</w:t>
      </w:r>
      <w:r w:rsidRPr="00B44440">
        <w:t>d</w:t>
      </w:r>
      <w:r w:rsidR="000519F4" w:rsidRPr="00B44440">
        <w:t xml:space="preserve"> 17 February 2021; </w:t>
      </w:r>
      <w:r w:rsidR="00AB5306" w:rsidRPr="00B44440">
        <w:t>data lock point (</w:t>
      </w:r>
      <w:r w:rsidR="000519F4" w:rsidRPr="00B44440">
        <w:t>DLP</w:t>
      </w:r>
      <w:r w:rsidR="00AB5306" w:rsidRPr="00B44440">
        <w:t>)</w:t>
      </w:r>
      <w:r w:rsidR="000519F4" w:rsidRPr="00B44440">
        <w:t xml:space="preserve"> 4</w:t>
      </w:r>
      <w:r w:rsidRPr="00B44440">
        <w:t> </w:t>
      </w:r>
      <w:r w:rsidR="000519F4" w:rsidRPr="00B44440">
        <w:t>February</w:t>
      </w:r>
      <w:r w:rsidRPr="00B44440">
        <w:t> </w:t>
      </w:r>
      <w:r w:rsidR="000519F4" w:rsidRPr="00B44440">
        <w:t xml:space="preserve">2021) and </w:t>
      </w:r>
      <w:r w:rsidR="00AB5306" w:rsidRPr="00B44440">
        <w:t>Australia specific annex (</w:t>
      </w:r>
      <w:r w:rsidR="000519F4" w:rsidRPr="00B44440">
        <w:t>ASA</w:t>
      </w:r>
      <w:r w:rsidR="00AB5306" w:rsidRPr="00B44440">
        <w:t>)</w:t>
      </w:r>
      <w:r w:rsidR="000519F4" w:rsidRPr="00B44440">
        <w:t xml:space="preserve"> version 1.0 (date</w:t>
      </w:r>
      <w:r w:rsidRPr="00B44440">
        <w:t>d</w:t>
      </w:r>
      <w:r w:rsidR="000519F4" w:rsidRPr="00B44440">
        <w:t xml:space="preserve"> 8 September 2021) in support of this application. </w:t>
      </w:r>
      <w:r w:rsidR="006153E6">
        <w:t xml:space="preserve">In response to </w:t>
      </w:r>
      <w:r w:rsidR="006153E6" w:rsidRPr="006153E6">
        <w:t xml:space="preserve">questions raised by </w:t>
      </w:r>
      <w:r w:rsidR="006153E6">
        <w:t xml:space="preserve">the </w:t>
      </w:r>
      <w:r w:rsidR="006153E6" w:rsidRPr="006153E6">
        <w:t>TGA</w:t>
      </w:r>
      <w:r w:rsidR="006153E6">
        <w:rPr>
          <w:rStyle w:val="CommentReference"/>
        </w:rPr>
        <w:t>,</w:t>
      </w:r>
      <w:r w:rsidR="000519F4" w:rsidRPr="00B44440">
        <w:t xml:space="preserve"> the sponsor has submitted ASA version</w:t>
      </w:r>
      <w:r w:rsidRPr="00B44440">
        <w:t> </w:t>
      </w:r>
      <w:r w:rsidR="000519F4" w:rsidRPr="00B44440">
        <w:t>1.2 (31</w:t>
      </w:r>
      <w:r w:rsidRPr="00B44440">
        <w:t> </w:t>
      </w:r>
      <w:r w:rsidR="000519F4" w:rsidRPr="00B44440">
        <w:t>March</w:t>
      </w:r>
      <w:r w:rsidR="001D1582" w:rsidRPr="00B44440">
        <w:t> </w:t>
      </w:r>
      <w:r w:rsidR="000519F4" w:rsidRPr="00B44440">
        <w:t>2022).</w:t>
      </w:r>
    </w:p>
    <w:p w14:paraId="3FD3BA79" w14:textId="0DE430A9" w:rsidR="0074163C" w:rsidRPr="00B44440" w:rsidRDefault="0074163C" w:rsidP="0074163C">
      <w:r w:rsidRPr="00B44440">
        <w:t xml:space="preserve">The summary of safety concerns and their associated risk monitoring and mitigation strategies are summarised in </w:t>
      </w:r>
      <w:r w:rsidR="000519F4" w:rsidRPr="00B44440">
        <w:fldChar w:fldCharType="begin"/>
      </w:r>
      <w:r w:rsidR="000519F4" w:rsidRPr="00B44440">
        <w:instrText xml:space="preserve"> REF _Ref97629131 \h </w:instrText>
      </w:r>
      <w:r w:rsidR="00B44440">
        <w:instrText xml:space="preserve"> \* MERGEFORMAT </w:instrText>
      </w:r>
      <w:r w:rsidR="000519F4" w:rsidRPr="00B44440">
        <w:fldChar w:fldCharType="separate"/>
      </w:r>
      <w:r w:rsidR="00792989" w:rsidRPr="00B44440">
        <w:t xml:space="preserve">Table </w:t>
      </w:r>
      <w:r w:rsidR="00792989">
        <w:rPr>
          <w:noProof/>
        </w:rPr>
        <w:t>11</w:t>
      </w:r>
      <w:r w:rsidR="000519F4" w:rsidRPr="00B44440">
        <w:fldChar w:fldCharType="end"/>
      </w:r>
      <w:r w:rsidRPr="00B44440">
        <w:t xml:space="preserve">. Further information regarding </w:t>
      </w:r>
      <w:r w:rsidR="00CC5044" w:rsidRPr="00B44440">
        <w:t>the TGA</w:t>
      </w:r>
      <w:r w:rsidR="00BF7063" w:rsidRPr="00B44440">
        <w:t>’</w:t>
      </w:r>
      <w:r w:rsidR="00CC5044" w:rsidRPr="00B44440">
        <w:t>s r</w:t>
      </w:r>
      <w:r w:rsidRPr="00B44440">
        <w:t xml:space="preserve">isk management approach can be found in </w:t>
      </w:r>
      <w:hyperlink r:id="rId32" w:history="1">
        <w:r w:rsidRPr="00B44440">
          <w:rPr>
            <w:rStyle w:val="Hyperlink"/>
          </w:rPr>
          <w:t>risk management plans for medicines and biologicals</w:t>
        </w:r>
      </w:hyperlink>
      <w:r w:rsidRPr="00B44440">
        <w:t xml:space="preserve"> and </w:t>
      </w:r>
      <w:hyperlink r:id="rId33" w:history="1">
        <w:r w:rsidRPr="00B44440">
          <w:rPr>
            <w:rStyle w:val="Hyperlink"/>
          </w:rPr>
          <w:t>the TGA's risk management approach</w:t>
        </w:r>
      </w:hyperlink>
      <w:r w:rsidRPr="00B44440">
        <w:t>.</w:t>
      </w:r>
    </w:p>
    <w:p w14:paraId="38A57957" w14:textId="1238391A" w:rsidR="0074163C" w:rsidRPr="00B44440" w:rsidRDefault="0074163C" w:rsidP="0074163C">
      <w:pPr>
        <w:pStyle w:val="TableTitle"/>
      </w:pPr>
      <w:bookmarkStart w:id="55" w:name="_Ref97629131"/>
      <w:r w:rsidRPr="00B44440">
        <w:t xml:space="preserve">Table </w:t>
      </w:r>
      <w:fldSimple w:instr=" SEQ Table \* ARABIC ">
        <w:r w:rsidR="00792989">
          <w:rPr>
            <w:noProof/>
          </w:rPr>
          <w:t>11</w:t>
        </w:r>
      </w:fldSimple>
      <w:bookmarkEnd w:id="55"/>
      <w:r w:rsidRPr="00B44440">
        <w:t>: Summary of safety concerns</w:t>
      </w:r>
    </w:p>
    <w:tbl>
      <w:tblPr>
        <w:tblStyle w:val="TableTGAblue"/>
        <w:tblW w:w="8495" w:type="dxa"/>
        <w:tblLayout w:type="fixed"/>
        <w:tblLook w:val="04A0" w:firstRow="1" w:lastRow="0" w:firstColumn="1" w:lastColumn="0" w:noHBand="0" w:noVBand="1"/>
      </w:tblPr>
      <w:tblGrid>
        <w:gridCol w:w="1266"/>
        <w:gridCol w:w="2693"/>
        <w:gridCol w:w="993"/>
        <w:gridCol w:w="1275"/>
        <w:gridCol w:w="993"/>
        <w:gridCol w:w="1275"/>
      </w:tblGrid>
      <w:tr w:rsidR="000519F4" w:rsidRPr="00B44440" w14:paraId="25A4D52E" w14:textId="77777777" w:rsidTr="00815D7B">
        <w:trPr>
          <w:cnfStyle w:val="100000000000" w:firstRow="1" w:lastRow="0" w:firstColumn="0" w:lastColumn="0" w:oddVBand="0" w:evenVBand="0" w:oddHBand="0" w:evenHBand="0" w:firstRowFirstColumn="0" w:firstRowLastColumn="0" w:lastRowFirstColumn="0" w:lastRowLastColumn="0"/>
          <w:trHeight w:val="131"/>
        </w:trPr>
        <w:tc>
          <w:tcPr>
            <w:tcW w:w="3959" w:type="dxa"/>
            <w:gridSpan w:val="2"/>
            <w:vMerge w:val="restart"/>
            <w:tcBorders>
              <w:top w:val="single" w:sz="8" w:space="0" w:color="auto"/>
              <w:left w:val="single" w:sz="8" w:space="0" w:color="auto"/>
              <w:bottom w:val="single" w:sz="8" w:space="0" w:color="auto"/>
              <w:right w:val="single" w:sz="8" w:space="0" w:color="auto"/>
            </w:tcBorders>
          </w:tcPr>
          <w:p w14:paraId="3ADA01E1" w14:textId="77777777" w:rsidR="000519F4" w:rsidRPr="00B44440" w:rsidRDefault="000519F4" w:rsidP="000519F4">
            <w:pPr>
              <w:pStyle w:val="Tabletext"/>
              <w:ind w:left="0" w:right="0"/>
            </w:pPr>
            <w:r w:rsidRPr="00B44440">
              <w:t>Summary of safety concerns</w:t>
            </w:r>
          </w:p>
        </w:tc>
        <w:tc>
          <w:tcPr>
            <w:tcW w:w="2268" w:type="dxa"/>
            <w:gridSpan w:val="2"/>
            <w:tcBorders>
              <w:top w:val="single" w:sz="8" w:space="0" w:color="auto"/>
              <w:left w:val="single" w:sz="8" w:space="0" w:color="auto"/>
              <w:bottom w:val="single" w:sz="8" w:space="0" w:color="auto"/>
              <w:right w:val="single" w:sz="8" w:space="0" w:color="auto"/>
            </w:tcBorders>
          </w:tcPr>
          <w:p w14:paraId="5886DB52" w14:textId="77777777" w:rsidR="000519F4" w:rsidRPr="00B44440" w:rsidRDefault="000519F4" w:rsidP="000519F4">
            <w:pPr>
              <w:pStyle w:val="Tabletext"/>
              <w:ind w:left="0" w:right="0"/>
            </w:pPr>
            <w:r w:rsidRPr="00B44440">
              <w:t>Pharmacovigilance</w:t>
            </w:r>
          </w:p>
        </w:tc>
        <w:tc>
          <w:tcPr>
            <w:tcW w:w="2268" w:type="dxa"/>
            <w:gridSpan w:val="2"/>
            <w:tcBorders>
              <w:top w:val="single" w:sz="8" w:space="0" w:color="auto"/>
              <w:left w:val="single" w:sz="8" w:space="0" w:color="auto"/>
              <w:bottom w:val="single" w:sz="8" w:space="0" w:color="auto"/>
              <w:right w:val="single" w:sz="8" w:space="0" w:color="auto"/>
            </w:tcBorders>
          </w:tcPr>
          <w:p w14:paraId="4898B6AD" w14:textId="34D9993A" w:rsidR="000519F4" w:rsidRPr="00B44440" w:rsidRDefault="000519F4" w:rsidP="000519F4">
            <w:pPr>
              <w:pStyle w:val="Tabletext"/>
              <w:ind w:left="0" w:right="0"/>
            </w:pPr>
            <w:r w:rsidRPr="00B44440">
              <w:t>Risk minimisation</w:t>
            </w:r>
          </w:p>
        </w:tc>
      </w:tr>
      <w:tr w:rsidR="000519F4" w:rsidRPr="00B44440" w14:paraId="5C64FD76" w14:textId="77777777" w:rsidTr="00815D7B">
        <w:trPr>
          <w:trHeight w:val="150"/>
        </w:trPr>
        <w:tc>
          <w:tcPr>
            <w:tcW w:w="3959" w:type="dxa"/>
            <w:gridSpan w:val="2"/>
            <w:vMerge/>
            <w:tcBorders>
              <w:top w:val="single" w:sz="8" w:space="0" w:color="auto"/>
              <w:left w:val="single" w:sz="8" w:space="0" w:color="auto"/>
              <w:bottom w:val="single" w:sz="8" w:space="0" w:color="auto"/>
              <w:right w:val="single" w:sz="8" w:space="0" w:color="auto"/>
            </w:tcBorders>
            <w:shd w:val="clear" w:color="auto" w:fill="006DA7"/>
          </w:tcPr>
          <w:p w14:paraId="3F930061" w14:textId="77777777" w:rsidR="000519F4" w:rsidRPr="00B44440" w:rsidRDefault="000519F4" w:rsidP="000519F4">
            <w:pPr>
              <w:pStyle w:val="Tabletext"/>
              <w:ind w:left="0" w:right="0"/>
              <w:rPr>
                <w:b/>
                <w:color w:val="FFFFFF" w:themeColor="background1"/>
              </w:rPr>
            </w:pPr>
          </w:p>
        </w:tc>
        <w:tc>
          <w:tcPr>
            <w:tcW w:w="993" w:type="dxa"/>
            <w:tcBorders>
              <w:top w:val="single" w:sz="8" w:space="0" w:color="auto"/>
              <w:left w:val="single" w:sz="8" w:space="0" w:color="auto"/>
              <w:bottom w:val="single" w:sz="8" w:space="0" w:color="auto"/>
              <w:right w:val="single" w:sz="8" w:space="0" w:color="auto"/>
            </w:tcBorders>
            <w:shd w:val="clear" w:color="auto" w:fill="006DA7"/>
          </w:tcPr>
          <w:p w14:paraId="05826BB3" w14:textId="77777777" w:rsidR="000519F4" w:rsidRPr="00B44440" w:rsidRDefault="000519F4" w:rsidP="000519F4">
            <w:pPr>
              <w:pStyle w:val="Tabletext"/>
              <w:ind w:left="0" w:right="0"/>
              <w:rPr>
                <w:b/>
                <w:color w:val="FFFFFF" w:themeColor="background1"/>
              </w:rPr>
            </w:pPr>
            <w:r w:rsidRPr="00B44440">
              <w:rPr>
                <w:b/>
                <w:color w:val="FFFFFF" w:themeColor="background1"/>
              </w:rPr>
              <w:t>Routine</w:t>
            </w:r>
          </w:p>
        </w:tc>
        <w:tc>
          <w:tcPr>
            <w:tcW w:w="1275" w:type="dxa"/>
            <w:tcBorders>
              <w:top w:val="single" w:sz="8" w:space="0" w:color="auto"/>
              <w:left w:val="single" w:sz="8" w:space="0" w:color="auto"/>
              <w:bottom w:val="single" w:sz="8" w:space="0" w:color="auto"/>
              <w:right w:val="single" w:sz="8" w:space="0" w:color="auto"/>
            </w:tcBorders>
            <w:shd w:val="clear" w:color="auto" w:fill="006DA7"/>
          </w:tcPr>
          <w:p w14:paraId="776A5910" w14:textId="77777777" w:rsidR="000519F4" w:rsidRPr="00B44440" w:rsidRDefault="000519F4" w:rsidP="000519F4">
            <w:pPr>
              <w:pStyle w:val="Tabletext"/>
              <w:ind w:left="0" w:right="0"/>
              <w:rPr>
                <w:b/>
                <w:color w:val="FFFFFF" w:themeColor="background1"/>
              </w:rPr>
            </w:pPr>
            <w:r w:rsidRPr="00B44440">
              <w:rPr>
                <w:b/>
                <w:color w:val="FFFFFF" w:themeColor="background1"/>
              </w:rPr>
              <w:t>Additional</w:t>
            </w:r>
          </w:p>
        </w:tc>
        <w:tc>
          <w:tcPr>
            <w:tcW w:w="993" w:type="dxa"/>
            <w:tcBorders>
              <w:top w:val="single" w:sz="8" w:space="0" w:color="auto"/>
              <w:left w:val="single" w:sz="8" w:space="0" w:color="auto"/>
              <w:bottom w:val="single" w:sz="8" w:space="0" w:color="auto"/>
              <w:right w:val="single" w:sz="8" w:space="0" w:color="auto"/>
            </w:tcBorders>
            <w:shd w:val="clear" w:color="auto" w:fill="006DA7"/>
          </w:tcPr>
          <w:p w14:paraId="45E7AD01" w14:textId="77777777" w:rsidR="000519F4" w:rsidRPr="00B44440" w:rsidRDefault="000519F4" w:rsidP="000519F4">
            <w:pPr>
              <w:pStyle w:val="Tabletext"/>
              <w:ind w:left="0" w:right="0"/>
              <w:rPr>
                <w:b/>
                <w:color w:val="FFFFFF" w:themeColor="background1"/>
              </w:rPr>
            </w:pPr>
            <w:r w:rsidRPr="00B44440">
              <w:rPr>
                <w:b/>
                <w:color w:val="FFFFFF" w:themeColor="background1"/>
              </w:rPr>
              <w:t>Routine</w:t>
            </w:r>
          </w:p>
        </w:tc>
        <w:tc>
          <w:tcPr>
            <w:tcW w:w="1275" w:type="dxa"/>
            <w:tcBorders>
              <w:top w:val="single" w:sz="8" w:space="0" w:color="auto"/>
              <w:left w:val="single" w:sz="8" w:space="0" w:color="auto"/>
              <w:bottom w:val="single" w:sz="8" w:space="0" w:color="auto"/>
              <w:right w:val="single" w:sz="8" w:space="0" w:color="auto"/>
            </w:tcBorders>
            <w:shd w:val="clear" w:color="auto" w:fill="006DA7"/>
          </w:tcPr>
          <w:p w14:paraId="63E4D24F" w14:textId="77777777" w:rsidR="000519F4" w:rsidRPr="00B44440" w:rsidRDefault="000519F4" w:rsidP="000519F4">
            <w:pPr>
              <w:pStyle w:val="Tabletext"/>
              <w:ind w:left="0" w:right="0"/>
              <w:rPr>
                <w:b/>
                <w:color w:val="FFFFFF" w:themeColor="background1"/>
              </w:rPr>
            </w:pPr>
            <w:r w:rsidRPr="00B44440">
              <w:rPr>
                <w:b/>
                <w:color w:val="FFFFFF" w:themeColor="background1"/>
              </w:rPr>
              <w:t>Additional</w:t>
            </w:r>
          </w:p>
        </w:tc>
      </w:tr>
      <w:tr w:rsidR="000519F4" w:rsidRPr="00B44440" w14:paraId="68148FE5" w14:textId="77777777" w:rsidTr="00815D7B">
        <w:trPr>
          <w:trHeight w:val="137"/>
        </w:trPr>
        <w:tc>
          <w:tcPr>
            <w:tcW w:w="1266" w:type="dxa"/>
            <w:vMerge w:val="restart"/>
            <w:tcBorders>
              <w:top w:val="single" w:sz="8" w:space="0" w:color="auto"/>
            </w:tcBorders>
          </w:tcPr>
          <w:p w14:paraId="295C6CC3" w14:textId="77777777" w:rsidR="000519F4" w:rsidRPr="00B44440" w:rsidRDefault="000519F4" w:rsidP="000519F4">
            <w:pPr>
              <w:pStyle w:val="Tabletext"/>
              <w:ind w:left="0" w:right="0"/>
            </w:pPr>
            <w:r w:rsidRPr="00B44440">
              <w:t>Important identified risks</w:t>
            </w:r>
          </w:p>
        </w:tc>
        <w:tc>
          <w:tcPr>
            <w:tcW w:w="2693" w:type="dxa"/>
            <w:tcBorders>
              <w:top w:val="single" w:sz="8" w:space="0" w:color="auto"/>
            </w:tcBorders>
          </w:tcPr>
          <w:p w14:paraId="59C546F6" w14:textId="79350754" w:rsidR="000519F4" w:rsidRPr="00B44440" w:rsidRDefault="000519F4" w:rsidP="000519F4">
            <w:pPr>
              <w:pStyle w:val="Tabletext"/>
              <w:ind w:left="0" w:right="0"/>
            </w:pPr>
            <w:r w:rsidRPr="00B44440">
              <w:t>Infectious endophthalmitis</w:t>
            </w:r>
          </w:p>
        </w:tc>
        <w:tc>
          <w:tcPr>
            <w:tcW w:w="993" w:type="dxa"/>
            <w:tcBorders>
              <w:top w:val="single" w:sz="8" w:space="0" w:color="auto"/>
            </w:tcBorders>
          </w:tcPr>
          <w:p w14:paraId="00402835"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r w:rsidRPr="00B44440">
              <w:t>*</w:t>
            </w:r>
          </w:p>
        </w:tc>
        <w:tc>
          <w:tcPr>
            <w:tcW w:w="1275" w:type="dxa"/>
            <w:tcBorders>
              <w:top w:val="single" w:sz="8" w:space="0" w:color="auto"/>
            </w:tcBorders>
          </w:tcPr>
          <w:p w14:paraId="38532EC1" w14:textId="03491785" w:rsidR="000519F4" w:rsidRPr="00B44440" w:rsidRDefault="00CB05AE" w:rsidP="004C7241">
            <w:pPr>
              <w:pStyle w:val="Tabletext"/>
              <w:ind w:left="0" w:right="0"/>
              <w:jc w:val="center"/>
            </w:pPr>
            <w:r w:rsidRPr="00B44440">
              <w:t>-</w:t>
            </w:r>
          </w:p>
        </w:tc>
        <w:tc>
          <w:tcPr>
            <w:tcW w:w="993" w:type="dxa"/>
            <w:tcBorders>
              <w:top w:val="single" w:sz="8" w:space="0" w:color="auto"/>
            </w:tcBorders>
          </w:tcPr>
          <w:p w14:paraId="6A35701D"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Borders>
              <w:top w:val="single" w:sz="8" w:space="0" w:color="auto"/>
            </w:tcBorders>
          </w:tcPr>
          <w:p w14:paraId="1F1AF422" w14:textId="4CE74604" w:rsidR="000519F4" w:rsidRPr="00B44440" w:rsidRDefault="00CB05AE" w:rsidP="004C7241">
            <w:pPr>
              <w:pStyle w:val="Tabletext"/>
              <w:ind w:left="0" w:right="0"/>
              <w:jc w:val="center"/>
            </w:pPr>
            <w:r w:rsidRPr="00B44440">
              <w:t>-</w:t>
            </w:r>
          </w:p>
        </w:tc>
      </w:tr>
      <w:tr w:rsidR="000519F4" w:rsidRPr="00B44440" w14:paraId="14F5B842" w14:textId="77777777" w:rsidTr="000519F4">
        <w:trPr>
          <w:trHeight w:val="94"/>
        </w:trPr>
        <w:tc>
          <w:tcPr>
            <w:tcW w:w="1266" w:type="dxa"/>
            <w:vMerge/>
          </w:tcPr>
          <w:p w14:paraId="77E13255" w14:textId="77777777" w:rsidR="000519F4" w:rsidRPr="00B44440" w:rsidRDefault="000519F4" w:rsidP="000519F4">
            <w:pPr>
              <w:pStyle w:val="Tabletext"/>
              <w:ind w:left="0" w:right="0"/>
            </w:pPr>
          </w:p>
        </w:tc>
        <w:tc>
          <w:tcPr>
            <w:tcW w:w="2693" w:type="dxa"/>
          </w:tcPr>
          <w:p w14:paraId="1554E789" w14:textId="026726E4" w:rsidR="000519F4" w:rsidRPr="00B44440" w:rsidRDefault="000519F4" w:rsidP="000519F4">
            <w:pPr>
              <w:pStyle w:val="Tabletext"/>
              <w:ind w:left="0" w:right="0"/>
            </w:pPr>
            <w:r w:rsidRPr="00B44440">
              <w:t>Retinal detachment and retinal tear</w:t>
            </w:r>
          </w:p>
        </w:tc>
        <w:tc>
          <w:tcPr>
            <w:tcW w:w="993" w:type="dxa"/>
          </w:tcPr>
          <w:p w14:paraId="75432199"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Pr>
          <w:p w14:paraId="2B6CD894" w14:textId="7EE1C8CD" w:rsidR="000519F4" w:rsidRPr="00B44440" w:rsidRDefault="00CB05AE" w:rsidP="004C7241">
            <w:pPr>
              <w:pStyle w:val="Tabletext"/>
              <w:ind w:left="0" w:right="0"/>
              <w:jc w:val="center"/>
            </w:pPr>
            <w:r w:rsidRPr="00B44440">
              <w:t>-</w:t>
            </w:r>
          </w:p>
        </w:tc>
        <w:tc>
          <w:tcPr>
            <w:tcW w:w="993" w:type="dxa"/>
          </w:tcPr>
          <w:p w14:paraId="09BD721F"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Pr>
          <w:p w14:paraId="43CFC642"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r w:rsidRPr="00B44440">
              <w:t>†</w:t>
            </w:r>
          </w:p>
        </w:tc>
      </w:tr>
      <w:tr w:rsidR="000519F4" w:rsidRPr="00B44440" w14:paraId="765F8643" w14:textId="77777777" w:rsidTr="000519F4">
        <w:trPr>
          <w:trHeight w:val="187"/>
        </w:trPr>
        <w:tc>
          <w:tcPr>
            <w:tcW w:w="1266" w:type="dxa"/>
            <w:vMerge/>
          </w:tcPr>
          <w:p w14:paraId="31AA6D21" w14:textId="77777777" w:rsidR="000519F4" w:rsidRPr="00B44440" w:rsidRDefault="000519F4" w:rsidP="000519F4">
            <w:pPr>
              <w:pStyle w:val="Tabletext"/>
              <w:ind w:left="0" w:right="0"/>
            </w:pPr>
          </w:p>
        </w:tc>
        <w:tc>
          <w:tcPr>
            <w:tcW w:w="2693" w:type="dxa"/>
          </w:tcPr>
          <w:p w14:paraId="72296AD2" w14:textId="77777777" w:rsidR="000519F4" w:rsidRPr="00B44440" w:rsidRDefault="000519F4" w:rsidP="000519F4">
            <w:pPr>
              <w:pStyle w:val="Tabletext"/>
              <w:ind w:left="0" w:right="0"/>
            </w:pPr>
            <w:r w:rsidRPr="00B44440">
              <w:t>Intraocular inflammation</w:t>
            </w:r>
          </w:p>
        </w:tc>
        <w:tc>
          <w:tcPr>
            <w:tcW w:w="993" w:type="dxa"/>
          </w:tcPr>
          <w:p w14:paraId="39F3E058"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Pr>
          <w:p w14:paraId="5BF252BA" w14:textId="7D4F3949" w:rsidR="000519F4" w:rsidRPr="00B44440" w:rsidRDefault="00CB05AE" w:rsidP="004C7241">
            <w:pPr>
              <w:pStyle w:val="Tabletext"/>
              <w:ind w:left="0" w:right="0"/>
              <w:jc w:val="center"/>
            </w:pPr>
            <w:r w:rsidRPr="00B44440">
              <w:t>-</w:t>
            </w:r>
          </w:p>
        </w:tc>
        <w:tc>
          <w:tcPr>
            <w:tcW w:w="993" w:type="dxa"/>
          </w:tcPr>
          <w:p w14:paraId="7A5CA3B3"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Pr>
          <w:p w14:paraId="4F010D14"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r w:rsidRPr="00B44440">
              <w:t>†</w:t>
            </w:r>
          </w:p>
        </w:tc>
      </w:tr>
      <w:tr w:rsidR="000519F4" w:rsidRPr="00B44440" w14:paraId="08FA0E89" w14:textId="77777777" w:rsidTr="000519F4">
        <w:trPr>
          <w:trHeight w:val="187"/>
        </w:trPr>
        <w:tc>
          <w:tcPr>
            <w:tcW w:w="1266" w:type="dxa"/>
            <w:vMerge/>
          </w:tcPr>
          <w:p w14:paraId="49AEBBEA" w14:textId="77777777" w:rsidR="000519F4" w:rsidRPr="00B44440" w:rsidRDefault="000519F4" w:rsidP="000519F4">
            <w:pPr>
              <w:pStyle w:val="Tabletext"/>
              <w:ind w:left="0" w:right="0"/>
            </w:pPr>
          </w:p>
        </w:tc>
        <w:tc>
          <w:tcPr>
            <w:tcW w:w="2693" w:type="dxa"/>
          </w:tcPr>
          <w:p w14:paraId="4F6BD859" w14:textId="77777777" w:rsidR="000519F4" w:rsidRPr="00B44440" w:rsidRDefault="000519F4" w:rsidP="000519F4">
            <w:pPr>
              <w:pStyle w:val="Tabletext"/>
              <w:ind w:left="0" w:right="0"/>
            </w:pPr>
            <w:r w:rsidRPr="00B44440">
              <w:t>Intraocular pressure increase</w:t>
            </w:r>
          </w:p>
        </w:tc>
        <w:tc>
          <w:tcPr>
            <w:tcW w:w="993" w:type="dxa"/>
          </w:tcPr>
          <w:p w14:paraId="7757AE16"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Pr>
          <w:p w14:paraId="79BE8770" w14:textId="6850558A" w:rsidR="000519F4" w:rsidRPr="00B44440" w:rsidRDefault="00CB05AE" w:rsidP="004C7241">
            <w:pPr>
              <w:pStyle w:val="Tabletext"/>
              <w:ind w:left="0" w:right="0"/>
              <w:jc w:val="center"/>
            </w:pPr>
            <w:r w:rsidRPr="00B44440">
              <w:t>-</w:t>
            </w:r>
          </w:p>
        </w:tc>
        <w:tc>
          <w:tcPr>
            <w:tcW w:w="993" w:type="dxa"/>
          </w:tcPr>
          <w:p w14:paraId="1D5EC0DC"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Pr>
          <w:p w14:paraId="5719846C"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r w:rsidRPr="00B44440">
              <w:t>†</w:t>
            </w:r>
          </w:p>
        </w:tc>
      </w:tr>
      <w:tr w:rsidR="000519F4" w:rsidRPr="00B44440" w14:paraId="636049CA" w14:textId="77777777" w:rsidTr="000519F4">
        <w:trPr>
          <w:trHeight w:val="178"/>
        </w:trPr>
        <w:tc>
          <w:tcPr>
            <w:tcW w:w="1266" w:type="dxa"/>
            <w:vMerge w:val="restart"/>
          </w:tcPr>
          <w:p w14:paraId="7C0C5570" w14:textId="77777777" w:rsidR="000519F4" w:rsidRPr="00B44440" w:rsidRDefault="000519F4" w:rsidP="000519F4">
            <w:pPr>
              <w:pStyle w:val="Tabletext"/>
              <w:ind w:left="0" w:right="0"/>
            </w:pPr>
            <w:r w:rsidRPr="00B44440">
              <w:t>Missing information</w:t>
            </w:r>
          </w:p>
        </w:tc>
        <w:tc>
          <w:tcPr>
            <w:tcW w:w="2693" w:type="dxa"/>
          </w:tcPr>
          <w:p w14:paraId="0036A852" w14:textId="46570A5B" w:rsidR="000519F4" w:rsidRPr="00B44440" w:rsidRDefault="000519F4" w:rsidP="000519F4">
            <w:pPr>
              <w:pStyle w:val="Tabletext"/>
              <w:ind w:left="0" w:right="0"/>
            </w:pPr>
            <w:proofErr w:type="spellStart"/>
            <w:r w:rsidRPr="00B44440">
              <w:t>Visudyne</w:t>
            </w:r>
            <w:proofErr w:type="spellEnd"/>
            <w:r w:rsidRPr="00B44440">
              <w:t xml:space="preserve"> (verteporfin</w:t>
            </w:r>
            <w:r w:rsidR="00AB5306" w:rsidRPr="00B44440">
              <w:t>-photodynamic therapy</w:t>
            </w:r>
            <w:r w:rsidRPr="00B44440">
              <w:t>) given in combination with ranibizumab (</w:t>
            </w:r>
            <w:r w:rsidR="00AB5306" w:rsidRPr="00B44440">
              <w:t>pathologic myopia</w:t>
            </w:r>
            <w:r w:rsidRPr="00B44440">
              <w:t>)</w:t>
            </w:r>
          </w:p>
        </w:tc>
        <w:tc>
          <w:tcPr>
            <w:tcW w:w="993" w:type="dxa"/>
          </w:tcPr>
          <w:p w14:paraId="4BE4045E"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Pr>
          <w:p w14:paraId="058854EF" w14:textId="15685A27" w:rsidR="000519F4" w:rsidRPr="00B44440" w:rsidRDefault="00CB05AE" w:rsidP="004C7241">
            <w:pPr>
              <w:pStyle w:val="Tabletext"/>
              <w:ind w:left="0" w:right="0"/>
              <w:jc w:val="center"/>
            </w:pPr>
            <w:r w:rsidRPr="00B44440">
              <w:t>-</w:t>
            </w:r>
          </w:p>
        </w:tc>
        <w:tc>
          <w:tcPr>
            <w:tcW w:w="993" w:type="dxa"/>
          </w:tcPr>
          <w:p w14:paraId="5A2EFAF6"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Pr>
          <w:p w14:paraId="575E9AAA" w14:textId="49873DF3" w:rsidR="000519F4" w:rsidRPr="00B44440" w:rsidRDefault="00CB05AE" w:rsidP="004C7241">
            <w:pPr>
              <w:pStyle w:val="Tabletext"/>
              <w:ind w:left="0" w:right="0"/>
              <w:jc w:val="center"/>
            </w:pPr>
            <w:r w:rsidRPr="00B44440">
              <w:t>-</w:t>
            </w:r>
          </w:p>
        </w:tc>
      </w:tr>
      <w:tr w:rsidR="000519F4" w:rsidRPr="00B44440" w14:paraId="792B154B" w14:textId="77777777" w:rsidTr="000519F4">
        <w:trPr>
          <w:trHeight w:val="103"/>
        </w:trPr>
        <w:tc>
          <w:tcPr>
            <w:tcW w:w="1266" w:type="dxa"/>
            <w:vMerge/>
          </w:tcPr>
          <w:p w14:paraId="7FFBC902" w14:textId="77777777" w:rsidR="000519F4" w:rsidRPr="00B44440" w:rsidRDefault="000519F4" w:rsidP="000519F4">
            <w:pPr>
              <w:pStyle w:val="Tabletext"/>
              <w:ind w:left="0" w:right="0"/>
            </w:pPr>
          </w:p>
        </w:tc>
        <w:tc>
          <w:tcPr>
            <w:tcW w:w="2693" w:type="dxa"/>
          </w:tcPr>
          <w:p w14:paraId="795B50E0" w14:textId="4D922495" w:rsidR="000519F4" w:rsidRPr="00B44440" w:rsidRDefault="000519F4" w:rsidP="000519F4">
            <w:pPr>
              <w:pStyle w:val="Tabletext"/>
              <w:ind w:left="0" w:right="0"/>
            </w:pPr>
            <w:r w:rsidRPr="00B44440">
              <w:t xml:space="preserve">Long term effects on the progression of the condition </w:t>
            </w:r>
            <w:r w:rsidR="00274434" w:rsidRPr="00B44440">
              <w:t>choroidal neovascularisation</w:t>
            </w:r>
            <w:r w:rsidRPr="00B44440">
              <w:t xml:space="preserve"> (other than </w:t>
            </w:r>
            <w:r w:rsidR="006811E3" w:rsidRPr="00B44440">
              <w:t>neovascular age</w:t>
            </w:r>
            <w:r w:rsidR="006811E3" w:rsidRPr="00B44440">
              <w:noBreakHyphen/>
              <w:t>related macular degeneration</w:t>
            </w:r>
            <w:r w:rsidRPr="00B44440">
              <w:t>)</w:t>
            </w:r>
          </w:p>
        </w:tc>
        <w:tc>
          <w:tcPr>
            <w:tcW w:w="993" w:type="dxa"/>
          </w:tcPr>
          <w:p w14:paraId="3F3AAB05"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Pr>
          <w:p w14:paraId="48BFAC38" w14:textId="31ADEB90" w:rsidR="000519F4" w:rsidRPr="00B44440" w:rsidRDefault="00CB05AE" w:rsidP="004C7241">
            <w:pPr>
              <w:pStyle w:val="Tabletext"/>
              <w:ind w:left="0" w:right="0"/>
              <w:jc w:val="center"/>
            </w:pPr>
            <w:r w:rsidRPr="00B44440">
              <w:t>-</w:t>
            </w:r>
          </w:p>
        </w:tc>
        <w:tc>
          <w:tcPr>
            <w:tcW w:w="993" w:type="dxa"/>
          </w:tcPr>
          <w:p w14:paraId="7C3EAC2B" w14:textId="77777777" w:rsidR="000519F4" w:rsidRPr="00B44440" w:rsidRDefault="000519F4" w:rsidP="004C7241">
            <w:pPr>
              <w:pStyle w:val="Tabletext"/>
              <w:ind w:left="0" w:right="0"/>
              <w:jc w:val="center"/>
            </w:pPr>
            <w:r w:rsidRPr="00B44440">
              <w:rPr>
                <w:rFonts w:ascii="Wingdings" w:eastAsia="Wingdings" w:hAnsi="Wingdings" w:cs="Wingdings"/>
              </w:rPr>
              <w:sym w:font="Wingdings" w:char="F0FC"/>
            </w:r>
          </w:p>
        </w:tc>
        <w:tc>
          <w:tcPr>
            <w:tcW w:w="1275" w:type="dxa"/>
          </w:tcPr>
          <w:p w14:paraId="0B5FE6EF" w14:textId="64800FF6" w:rsidR="000519F4" w:rsidRPr="00B44440" w:rsidRDefault="00CB05AE" w:rsidP="004C7241">
            <w:pPr>
              <w:pStyle w:val="Tabletext"/>
              <w:ind w:left="0" w:right="0"/>
              <w:jc w:val="center"/>
            </w:pPr>
            <w:r w:rsidRPr="00B44440">
              <w:t>-</w:t>
            </w:r>
          </w:p>
        </w:tc>
      </w:tr>
    </w:tbl>
    <w:p w14:paraId="289C501C" w14:textId="0CEA5A18" w:rsidR="000519F4" w:rsidRPr="00B44440" w:rsidRDefault="000519F4" w:rsidP="000519F4">
      <w:pPr>
        <w:pStyle w:val="TableDescription"/>
      </w:pPr>
      <w:r w:rsidRPr="00B44440">
        <w:t>* Adverse</w:t>
      </w:r>
      <w:r w:rsidR="002F4676" w:rsidRPr="00B44440">
        <w:t xml:space="preserve"> </w:t>
      </w:r>
      <w:proofErr w:type="gramStart"/>
      <w:r w:rsidRPr="00B44440">
        <w:t>event</w:t>
      </w:r>
      <w:proofErr w:type="gramEnd"/>
      <w:r w:rsidRPr="00B44440">
        <w:t xml:space="preserve"> follow up form</w:t>
      </w:r>
    </w:p>
    <w:p w14:paraId="0FBA06F6" w14:textId="77777777" w:rsidR="000519F4" w:rsidRPr="00B44440" w:rsidRDefault="000519F4" w:rsidP="000519F4">
      <w:pPr>
        <w:pStyle w:val="TableDescription"/>
      </w:pPr>
      <w:r w:rsidRPr="00B44440">
        <w:t>† Patient education (patient information booklet)</w:t>
      </w:r>
    </w:p>
    <w:p w14:paraId="7F9586F3" w14:textId="24E8EFC5" w:rsidR="000519F4" w:rsidRPr="00B44440" w:rsidRDefault="000519F4" w:rsidP="000519F4">
      <w:pPr>
        <w:pStyle w:val="ListBullet"/>
      </w:pPr>
      <w:r w:rsidRPr="00B44440">
        <w:t xml:space="preserve">The ASA summary of safety concerns aligns with approved </w:t>
      </w:r>
      <w:proofErr w:type="spellStart"/>
      <w:r w:rsidRPr="00B44440">
        <w:t>Byooviz</w:t>
      </w:r>
      <w:proofErr w:type="spellEnd"/>
      <w:r w:rsidRPr="00B44440">
        <w:t xml:space="preserve"> EU-RMP.</w:t>
      </w:r>
      <w:r w:rsidR="00962117" w:rsidRPr="00B44440">
        <w:t xml:space="preserve"> </w:t>
      </w:r>
      <w:r w:rsidRPr="00B44440">
        <w:t>These also align with currently agreed reference product EU-RMP/ASA, for the same indications. The summary of safety concerns is acceptable from an RMP perspective.</w:t>
      </w:r>
    </w:p>
    <w:p w14:paraId="266716AF" w14:textId="5493E53C" w:rsidR="000519F4" w:rsidRPr="00B44440" w:rsidRDefault="000519F4" w:rsidP="000519F4">
      <w:pPr>
        <w:pStyle w:val="ListBullet"/>
      </w:pPr>
      <w:r w:rsidRPr="00B44440">
        <w:t xml:space="preserve">The sponsor proposes routine pharmacovigilance for all safety concerns listed in the ASA. This aligns with the EU-RMP for </w:t>
      </w:r>
      <w:proofErr w:type="spellStart"/>
      <w:r w:rsidRPr="00B44440">
        <w:t>Byooviz</w:t>
      </w:r>
      <w:proofErr w:type="spellEnd"/>
      <w:r w:rsidRPr="00B44440">
        <w:t xml:space="preserve"> and the reference product RMP. The sponsor proposes an adverse event follow up form for infectious endophthalmitis to align with the reference product. This is acceptable.</w:t>
      </w:r>
    </w:p>
    <w:p w14:paraId="796273CC" w14:textId="30717D73" w:rsidR="000519F4" w:rsidRPr="00B44440" w:rsidRDefault="000519F4" w:rsidP="000519F4">
      <w:pPr>
        <w:pStyle w:val="ListBullet"/>
      </w:pPr>
      <w:r w:rsidRPr="00B44440">
        <w:t xml:space="preserve">The sponsor proposes routine risk minimisation activities for all safety concerns listed in the ASA. This aligns with the </w:t>
      </w:r>
      <w:proofErr w:type="spellStart"/>
      <w:r w:rsidRPr="00B44440">
        <w:t>Byooviz</w:t>
      </w:r>
      <w:proofErr w:type="spellEnd"/>
      <w:r w:rsidRPr="00B44440">
        <w:t xml:space="preserve"> EU-RMP and reference product RMP. The sponsor also proposes additional risk minimisation activities in the form of patient education (patient booklet) to address important identified risks in Table above. This aligns with the additional risk minimisation activities in place for reference product in </w:t>
      </w:r>
      <w:r w:rsidRPr="00B44440">
        <w:lastRenderedPageBreak/>
        <w:t>EU and Australia</w:t>
      </w:r>
      <w:bookmarkStart w:id="56" w:name="_Hlk103079088"/>
      <w:r w:rsidRPr="00B44440">
        <w:t xml:space="preserve">. The word form of these booklets is acceptable. </w:t>
      </w:r>
      <w:bookmarkEnd w:id="56"/>
      <w:r w:rsidRPr="00B44440">
        <w:t xml:space="preserve">The sponsor also proposes a </w:t>
      </w:r>
      <w:r w:rsidR="00AB5306" w:rsidRPr="00B44440">
        <w:t xml:space="preserve">Dear Health Care Provider </w:t>
      </w:r>
      <w:r w:rsidRPr="00B44440">
        <w:t>letter for dissemination of the additional risk minimisation materials. The sponsor has committed to providing final draft copies of the additional risk minimisation materials to the TGA for review prior to launch. The additional risk minimisation activities are acceptable.</w:t>
      </w:r>
    </w:p>
    <w:p w14:paraId="29847A83" w14:textId="77777777" w:rsidR="008E7846" w:rsidRPr="00B44440" w:rsidRDefault="00AA0ED0" w:rsidP="008E7846">
      <w:pPr>
        <w:pStyle w:val="Heading3"/>
      </w:pPr>
      <w:bookmarkStart w:id="57" w:name="_Toc133421044"/>
      <w:r w:rsidRPr="00B44440">
        <w:t>Risk-benefit a</w:t>
      </w:r>
      <w:r w:rsidR="008E7846" w:rsidRPr="00B44440">
        <w:t>nalysis</w:t>
      </w:r>
      <w:bookmarkEnd w:id="51"/>
      <w:bookmarkEnd w:id="52"/>
      <w:bookmarkEnd w:id="57"/>
    </w:p>
    <w:p w14:paraId="5A5CB168" w14:textId="77777777" w:rsidR="0074163C" w:rsidRPr="00B44440" w:rsidRDefault="0074163C" w:rsidP="0074163C">
      <w:pPr>
        <w:pStyle w:val="Heading4"/>
      </w:pPr>
      <w:bookmarkStart w:id="58" w:name="_Toc98931932"/>
      <w:r w:rsidRPr="00B44440">
        <w:t>Delegate’s considerations</w:t>
      </w:r>
      <w:bookmarkEnd w:id="58"/>
    </w:p>
    <w:p w14:paraId="3F3F1C71" w14:textId="77777777" w:rsidR="00E3731A" w:rsidRPr="00B44440" w:rsidRDefault="00E3731A" w:rsidP="000519F4">
      <w:pPr>
        <w:pStyle w:val="Heading5"/>
      </w:pPr>
      <w:proofErr w:type="spellStart"/>
      <w:r w:rsidRPr="00B44440">
        <w:t>Biosimilarity</w:t>
      </w:r>
      <w:proofErr w:type="spellEnd"/>
    </w:p>
    <w:p w14:paraId="7332EE25" w14:textId="77777777" w:rsidR="00E3731A" w:rsidRPr="00B44440" w:rsidRDefault="00E3731A" w:rsidP="000519F4">
      <w:pPr>
        <w:pStyle w:val="Heading6"/>
      </w:pPr>
      <w:r w:rsidRPr="00B44440">
        <w:t>Quality</w:t>
      </w:r>
    </w:p>
    <w:p w14:paraId="03E6EC25" w14:textId="362DC98B" w:rsidR="00E3731A" w:rsidRPr="00B44440" w:rsidRDefault="00E3731A" w:rsidP="000519F4">
      <w:r w:rsidRPr="00B44440">
        <w:t xml:space="preserve">Comprehensive comparisons of physicochemical and biological quality attributes were undertaken to demonstrate </w:t>
      </w:r>
      <w:proofErr w:type="spellStart"/>
      <w:r w:rsidRPr="00B44440">
        <w:t>biosimilarity</w:t>
      </w:r>
      <w:proofErr w:type="spellEnd"/>
      <w:r w:rsidRPr="00B44440">
        <w:t xml:space="preserve"> of </w:t>
      </w:r>
      <w:proofErr w:type="spellStart"/>
      <w:r w:rsidR="001735C1" w:rsidRPr="00B44440">
        <w:t>Byooviz</w:t>
      </w:r>
      <w:proofErr w:type="spellEnd"/>
      <w:r w:rsidRPr="00B44440">
        <w:t xml:space="preserve"> to </w:t>
      </w:r>
      <w:r w:rsidR="001735C1" w:rsidRPr="00B44440">
        <w:t>Lucentis</w:t>
      </w:r>
      <w:r w:rsidRPr="00B44440">
        <w:t>.</w:t>
      </w:r>
      <w:r w:rsidR="00962117" w:rsidRPr="00B44440">
        <w:t xml:space="preserve"> </w:t>
      </w:r>
      <w:r w:rsidRPr="00B44440">
        <w:t xml:space="preserve">These assessments demonstrated high similarity of </w:t>
      </w:r>
      <w:proofErr w:type="spellStart"/>
      <w:r w:rsidR="001735C1" w:rsidRPr="00B44440">
        <w:t>Byooviz</w:t>
      </w:r>
      <w:proofErr w:type="spellEnd"/>
      <w:r w:rsidRPr="00B44440">
        <w:t xml:space="preserve"> to </w:t>
      </w:r>
      <w:r w:rsidR="00F562F7" w:rsidRPr="00F562F7">
        <w:t>European Union (EU)</w:t>
      </w:r>
      <w:r w:rsidRPr="00B44440">
        <w:t>-</w:t>
      </w:r>
      <w:r w:rsidR="00496C5E">
        <w:t>sourced Lucentis,</w:t>
      </w:r>
      <w:r w:rsidRPr="00B44440">
        <w:t xml:space="preserve"> and </w:t>
      </w:r>
      <w:r w:rsidR="00496C5E">
        <w:t xml:space="preserve">to </w:t>
      </w:r>
      <w:proofErr w:type="spellStart"/>
      <w:r w:rsidR="00496C5E">
        <w:t>to</w:t>
      </w:r>
      <w:proofErr w:type="spellEnd"/>
      <w:r w:rsidR="00496C5E">
        <w:t xml:space="preserve"> Lucentis sourced in the </w:t>
      </w:r>
      <w:r w:rsidR="0080282E" w:rsidRPr="0080282E">
        <w:t xml:space="preserve">United States </w:t>
      </w:r>
      <w:r w:rsidR="00496C5E">
        <w:t xml:space="preserve">of America </w:t>
      </w:r>
      <w:r w:rsidR="0080282E">
        <w:t>(</w:t>
      </w:r>
      <w:r w:rsidRPr="00B44440">
        <w:t>US</w:t>
      </w:r>
      <w:r w:rsidR="00496C5E">
        <w:t>A</w:t>
      </w:r>
      <w:r w:rsidR="0080282E">
        <w:t>)</w:t>
      </w:r>
      <w:r w:rsidRPr="00B44440">
        <w:t>.</w:t>
      </w:r>
      <w:r w:rsidR="00962117" w:rsidRPr="00B44440">
        <w:t xml:space="preserve"> </w:t>
      </w:r>
      <w:r w:rsidRPr="00B44440">
        <w:t xml:space="preserve">A bridging study demonstrated high similarity of Australian-sourced </w:t>
      </w:r>
      <w:r w:rsidR="001735C1" w:rsidRPr="00B44440">
        <w:t>Lucentis</w:t>
      </w:r>
      <w:r w:rsidRPr="00B44440">
        <w:t xml:space="preserve"> to US-sourced </w:t>
      </w:r>
      <w:r w:rsidR="001735C1" w:rsidRPr="00B44440">
        <w:t>Lucentis</w:t>
      </w:r>
      <w:r w:rsidRPr="00B44440">
        <w:t xml:space="preserve">, supporting </w:t>
      </w:r>
      <w:proofErr w:type="spellStart"/>
      <w:r w:rsidRPr="00B44440">
        <w:t>biosimilarity</w:t>
      </w:r>
      <w:proofErr w:type="spellEnd"/>
      <w:r w:rsidRPr="00B44440">
        <w:t xml:space="preserve"> of </w:t>
      </w:r>
      <w:proofErr w:type="spellStart"/>
      <w:r w:rsidR="001735C1" w:rsidRPr="00B44440">
        <w:t>Byooviz</w:t>
      </w:r>
      <w:proofErr w:type="spellEnd"/>
      <w:r w:rsidRPr="00B44440">
        <w:t xml:space="preserve"> to the Australian reference product.</w:t>
      </w:r>
    </w:p>
    <w:p w14:paraId="4CFDEDBB" w14:textId="2A7F1931" w:rsidR="00E3731A" w:rsidRPr="00B44440" w:rsidRDefault="00E3731A" w:rsidP="000519F4">
      <w:pPr>
        <w:pStyle w:val="Heading6"/>
      </w:pPr>
      <w:r w:rsidRPr="00B44440">
        <w:t>Clinical</w:t>
      </w:r>
    </w:p>
    <w:p w14:paraId="4495F1CE" w14:textId="18E3584E" w:rsidR="00E3731A" w:rsidRPr="00B44440" w:rsidRDefault="00E3731A" w:rsidP="000519F4">
      <w:r w:rsidRPr="00B44440">
        <w:t>A Phase III</w:t>
      </w:r>
      <w:r w:rsidR="00496C5E">
        <w:t xml:space="preserve"> study</w:t>
      </w:r>
      <w:r w:rsidRPr="00B44440">
        <w:t xml:space="preserve"> </w:t>
      </w:r>
      <w:r w:rsidR="00496C5E">
        <w:t>(</w:t>
      </w:r>
      <w:r w:rsidR="002F4676" w:rsidRPr="00B44440">
        <w:t xml:space="preserve">Study </w:t>
      </w:r>
      <w:r w:rsidRPr="00B44440">
        <w:t>SB11-G31-AMD</w:t>
      </w:r>
      <w:r w:rsidR="00496C5E">
        <w:t>)</w:t>
      </w:r>
      <w:r w:rsidRPr="00B44440">
        <w:t xml:space="preserve"> comparing the efficacy, safety, and immunogenicity of </w:t>
      </w:r>
      <w:proofErr w:type="spellStart"/>
      <w:r w:rsidR="001735C1" w:rsidRPr="00B44440">
        <w:t>Byooviz</w:t>
      </w:r>
      <w:proofErr w:type="spellEnd"/>
      <w:r w:rsidRPr="00B44440">
        <w:t xml:space="preserve"> to US-sourced </w:t>
      </w:r>
      <w:r w:rsidR="001735C1" w:rsidRPr="00B44440">
        <w:t>Lucentis</w:t>
      </w:r>
      <w:r w:rsidRPr="00B44440">
        <w:t xml:space="preserve"> was conducted in adults with neovascular </w:t>
      </w:r>
      <w:r w:rsidR="006811E3" w:rsidRPr="00B44440">
        <w:t>age related macular degeneration (AMD)</w:t>
      </w:r>
      <w:r w:rsidRPr="00B44440">
        <w:t>.</w:t>
      </w:r>
      <w:r w:rsidR="00962117" w:rsidRPr="00B44440">
        <w:t xml:space="preserve"> </w:t>
      </w:r>
      <w:r w:rsidRPr="00B44440">
        <w:t>The design of the study was acceptable.</w:t>
      </w:r>
      <w:r w:rsidR="00962117" w:rsidRPr="00B44440">
        <w:t xml:space="preserve"> </w:t>
      </w:r>
      <w:r w:rsidRPr="00B44440">
        <w:t>The findings can be applied to the Australian setting given the demonstrated similarity of Australian- and US</w:t>
      </w:r>
      <w:r w:rsidR="00046CAF">
        <w:noBreakHyphen/>
      </w:r>
      <w:r w:rsidRPr="00B44440">
        <w:t xml:space="preserve">sourced </w:t>
      </w:r>
      <w:r w:rsidR="001735C1" w:rsidRPr="00B44440">
        <w:t>Lucentis</w:t>
      </w:r>
      <w:r w:rsidRPr="00B44440">
        <w:t xml:space="preserve"> in the bridging study.</w:t>
      </w:r>
    </w:p>
    <w:p w14:paraId="476A41A1" w14:textId="3EEBE50B" w:rsidR="00E3731A" w:rsidRPr="00B44440" w:rsidRDefault="00E3731A" w:rsidP="000519F4">
      <w:r w:rsidRPr="00B44440">
        <w:t xml:space="preserve">Equivalent efficacy was demonstrated for the </w:t>
      </w:r>
      <w:r w:rsidR="0080282E" w:rsidRPr="0080282E">
        <w:t xml:space="preserve">European Medicines Agency </w:t>
      </w:r>
      <w:r w:rsidR="0080282E">
        <w:t>(</w:t>
      </w:r>
      <w:r w:rsidRPr="00B44440">
        <w:t>EMA</w:t>
      </w:r>
      <w:r w:rsidR="0080282E">
        <w:t>)</w:t>
      </w:r>
      <w:r w:rsidRPr="00B44440">
        <w:t xml:space="preserve">’s preferred primary endpoint, </w:t>
      </w:r>
      <w:r w:rsidRPr="004C7241">
        <w:rPr>
          <w:i/>
        </w:rPr>
        <w:t xml:space="preserve">change from </w:t>
      </w:r>
      <w:r w:rsidR="00B30650" w:rsidRPr="004C7241">
        <w:rPr>
          <w:i/>
        </w:rPr>
        <w:t>Baseline</w:t>
      </w:r>
      <w:r w:rsidRPr="004C7241">
        <w:rPr>
          <w:i/>
        </w:rPr>
        <w:t xml:space="preserve"> in </w:t>
      </w:r>
      <w:r w:rsidR="00BE3F9B" w:rsidRPr="004C7241">
        <w:rPr>
          <w:i/>
        </w:rPr>
        <w:t>central subfield thickness</w:t>
      </w:r>
      <w:r w:rsidRPr="004C7241">
        <w:rPr>
          <w:i/>
        </w:rPr>
        <w:t xml:space="preserve"> at Week</w:t>
      </w:r>
      <w:r w:rsidR="00046CAF" w:rsidRPr="004C7241">
        <w:rPr>
          <w:i/>
        </w:rPr>
        <w:t> </w:t>
      </w:r>
      <w:r w:rsidRPr="004C7241">
        <w:rPr>
          <w:i/>
        </w:rPr>
        <w:t>4</w:t>
      </w:r>
      <w:r w:rsidRPr="00B44440">
        <w:t xml:space="preserve">, as well as the FDA’s preferred primary endpoint, </w:t>
      </w:r>
      <w:r w:rsidRPr="004C7241">
        <w:rPr>
          <w:i/>
        </w:rPr>
        <w:t xml:space="preserve">change from </w:t>
      </w:r>
      <w:r w:rsidR="00B30650" w:rsidRPr="004C7241">
        <w:rPr>
          <w:i/>
        </w:rPr>
        <w:t>Baseline</w:t>
      </w:r>
      <w:r w:rsidRPr="004C7241">
        <w:rPr>
          <w:i/>
        </w:rPr>
        <w:t xml:space="preserve"> in </w:t>
      </w:r>
      <w:r w:rsidR="008106E9" w:rsidRPr="004C7241">
        <w:rPr>
          <w:i/>
        </w:rPr>
        <w:t xml:space="preserve">best corrected visual acuity </w:t>
      </w:r>
      <w:r w:rsidRPr="004C7241">
        <w:rPr>
          <w:i/>
        </w:rPr>
        <w:t>at Week 8</w:t>
      </w:r>
      <w:r w:rsidRPr="00B44440">
        <w:t>.</w:t>
      </w:r>
      <w:r w:rsidR="00962117" w:rsidRPr="00B44440">
        <w:t xml:space="preserve"> </w:t>
      </w:r>
      <w:r w:rsidRPr="00B44440">
        <w:t>The secondary efficacy endpoints were supportive of comparable efficacy.</w:t>
      </w:r>
      <w:r w:rsidR="00962117" w:rsidRPr="00B44440">
        <w:t xml:space="preserve"> </w:t>
      </w:r>
      <w:r w:rsidRPr="00B44440">
        <w:t>The clinical safety findings were similar overall across the treatment groups, with no clear difference in the safety profiles.</w:t>
      </w:r>
      <w:r w:rsidR="00962117" w:rsidRPr="00B44440">
        <w:t xml:space="preserve"> </w:t>
      </w:r>
      <w:r w:rsidRPr="00B44440">
        <w:t xml:space="preserve">The incidence of </w:t>
      </w:r>
      <w:r w:rsidR="001D1582" w:rsidRPr="00B44440">
        <w:t xml:space="preserve">anti-drug antibody </w:t>
      </w:r>
      <w:r w:rsidRPr="00B44440">
        <w:t xml:space="preserve">and </w:t>
      </w:r>
      <w:r w:rsidR="001D1582" w:rsidRPr="00B44440">
        <w:t>neutralising antibody</w:t>
      </w:r>
      <w:r w:rsidRPr="00B44440">
        <w:t xml:space="preserve"> was low overall and comparable across the treatment groups, with no clinically meaningful impact on </w:t>
      </w:r>
      <w:r w:rsidR="00BE3F9B" w:rsidRPr="00B44440">
        <w:t>pharmacokinetics</w:t>
      </w:r>
      <w:r w:rsidRPr="00B44440">
        <w:t>, efficacy, or safety evident in the clinical study.</w:t>
      </w:r>
      <w:r w:rsidR="00962117" w:rsidRPr="00B44440">
        <w:t xml:space="preserve"> </w:t>
      </w:r>
      <w:r w:rsidRPr="00B44440">
        <w:t xml:space="preserve">The clinical findings support a conclusion of </w:t>
      </w:r>
      <w:proofErr w:type="spellStart"/>
      <w:r w:rsidRPr="00B44440">
        <w:t>biosimilarity</w:t>
      </w:r>
      <w:proofErr w:type="spellEnd"/>
      <w:r w:rsidRPr="00B44440">
        <w:t>.</w:t>
      </w:r>
    </w:p>
    <w:p w14:paraId="52649681" w14:textId="77777777" w:rsidR="00E3731A" w:rsidRPr="00B44440" w:rsidRDefault="00E3731A" w:rsidP="000519F4">
      <w:pPr>
        <w:pStyle w:val="Heading5"/>
      </w:pPr>
      <w:r w:rsidRPr="00B44440">
        <w:t>Proposed Indications</w:t>
      </w:r>
    </w:p>
    <w:p w14:paraId="77EEA49B" w14:textId="49C6058F" w:rsidR="00E3731A" w:rsidRPr="00B44440" w:rsidRDefault="00E3731A" w:rsidP="000519F4">
      <w:r w:rsidRPr="00B44440">
        <w:t xml:space="preserve">The proposed indications are the same as the approved indications for </w:t>
      </w:r>
      <w:r w:rsidR="001735C1" w:rsidRPr="00B44440">
        <w:t>Lucentis</w:t>
      </w:r>
      <w:r w:rsidRPr="00B44440">
        <w:t>, except for the recently approved indication for the treatment of retinopathy of prematurity in preterm infants.</w:t>
      </w:r>
      <w:r w:rsidR="00962117" w:rsidRPr="00B44440">
        <w:t xml:space="preserve"> </w:t>
      </w:r>
      <w:r w:rsidRPr="00B44440">
        <w:t xml:space="preserve">This indication is not being sought for </w:t>
      </w:r>
      <w:proofErr w:type="spellStart"/>
      <w:r w:rsidR="001735C1" w:rsidRPr="00B44440">
        <w:t>Byooviz</w:t>
      </w:r>
      <w:proofErr w:type="spellEnd"/>
      <w:r w:rsidRPr="00B44440">
        <w:t xml:space="preserve"> as the </w:t>
      </w:r>
      <w:r w:rsidR="00A84A5B" w:rsidRPr="00B44440">
        <w:t>sponsor</w:t>
      </w:r>
      <w:r w:rsidRPr="00B44440">
        <w:t xml:space="preserve"> has not yet developed a low volume high accuracy syringe required for this indication.</w:t>
      </w:r>
    </w:p>
    <w:p w14:paraId="192DD508" w14:textId="5D17CA6B" w:rsidR="00E3731A" w:rsidRPr="00B44440" w:rsidRDefault="00E3731A" w:rsidP="000519F4">
      <w:r w:rsidRPr="00B44440">
        <w:t>Comparable efficacy, safety, and immunogenicity have been demonstrated in adults with neovascular AMD.</w:t>
      </w:r>
      <w:r w:rsidR="00962117" w:rsidRPr="00B44440">
        <w:t xml:space="preserve"> </w:t>
      </w:r>
      <w:r w:rsidRPr="00B44440">
        <w:t>Neovascular AMD is considered a sensitive condition to detect potential differences between the products.</w:t>
      </w:r>
      <w:r w:rsidR="00962117" w:rsidRPr="00B44440">
        <w:t xml:space="preserve"> </w:t>
      </w:r>
      <w:r w:rsidRPr="00B44440">
        <w:t>The same mode of action of ranibizumab applies across all the proposed indications.</w:t>
      </w:r>
      <w:r w:rsidR="00962117" w:rsidRPr="00B44440">
        <w:t xml:space="preserve"> </w:t>
      </w:r>
      <w:r w:rsidRPr="00B44440">
        <w:t xml:space="preserve">The demonstrated </w:t>
      </w:r>
      <w:proofErr w:type="spellStart"/>
      <w:r w:rsidRPr="00B44440">
        <w:t>biosimilarity</w:t>
      </w:r>
      <w:proofErr w:type="spellEnd"/>
      <w:r w:rsidRPr="00B44440">
        <w:t xml:space="preserve"> of </w:t>
      </w:r>
      <w:proofErr w:type="spellStart"/>
      <w:r w:rsidR="001735C1" w:rsidRPr="00B44440">
        <w:t>Byooviz</w:t>
      </w:r>
      <w:proofErr w:type="spellEnd"/>
      <w:r w:rsidRPr="00B44440">
        <w:t xml:space="preserve"> to </w:t>
      </w:r>
      <w:r w:rsidR="001735C1" w:rsidRPr="00B44440">
        <w:t>Lucentis</w:t>
      </w:r>
      <w:r w:rsidRPr="00B44440">
        <w:t xml:space="preserve"> supports the use of </w:t>
      </w:r>
      <w:proofErr w:type="spellStart"/>
      <w:r w:rsidR="001735C1" w:rsidRPr="00B44440">
        <w:t>Byooviz</w:t>
      </w:r>
      <w:proofErr w:type="spellEnd"/>
      <w:r w:rsidRPr="00B44440">
        <w:t xml:space="preserve"> in the proposed indications.</w:t>
      </w:r>
    </w:p>
    <w:p w14:paraId="0E525E2A" w14:textId="77777777" w:rsidR="00E3731A" w:rsidRPr="00B44440" w:rsidRDefault="00E3731A" w:rsidP="000519F4">
      <w:pPr>
        <w:pStyle w:val="Heading5"/>
        <w:rPr>
          <w:lang w:eastAsia="ja-JP"/>
        </w:rPr>
      </w:pPr>
      <w:bookmarkStart w:id="59" w:name="_Ref105080005"/>
      <w:r w:rsidRPr="00B44440">
        <w:rPr>
          <w:lang w:eastAsia="ja-JP"/>
        </w:rPr>
        <w:t>Proposed conditions of registration</w:t>
      </w:r>
      <w:bookmarkEnd w:id="59"/>
    </w:p>
    <w:p w14:paraId="08F324F6" w14:textId="52523D46" w:rsidR="00E3731A" w:rsidRPr="00B44440" w:rsidRDefault="00E3731A" w:rsidP="000519F4">
      <w:pPr>
        <w:pStyle w:val="ListBullet"/>
      </w:pPr>
      <w:r w:rsidRPr="00B44440">
        <w:t xml:space="preserve">The </w:t>
      </w:r>
      <w:proofErr w:type="spellStart"/>
      <w:r w:rsidR="001735C1" w:rsidRPr="00B44440">
        <w:t>Byooviz</w:t>
      </w:r>
      <w:proofErr w:type="spellEnd"/>
      <w:r w:rsidRPr="00B44440">
        <w:t xml:space="preserve"> EU-</w:t>
      </w:r>
      <w:r w:rsidR="002F4676" w:rsidRPr="00B44440">
        <w:t xml:space="preserve">risk management plan </w:t>
      </w:r>
      <w:r w:rsidRPr="00B44440">
        <w:t>(RMP) (version 1.1, dated 17 February 2021, data lock point 4 February 2021), with Australian Specific Annex (version 1.2, dated 31</w:t>
      </w:r>
      <w:r w:rsidR="00046CAF">
        <w:t> </w:t>
      </w:r>
      <w:r w:rsidRPr="00B44440">
        <w:t>March</w:t>
      </w:r>
      <w:r w:rsidR="00046CAF">
        <w:t> </w:t>
      </w:r>
      <w:r w:rsidRPr="00B44440">
        <w:t xml:space="preserve">2022), included with </w:t>
      </w:r>
      <w:r w:rsidR="002F4676" w:rsidRPr="00B44440">
        <w:t xml:space="preserve">Submission </w:t>
      </w:r>
      <w:r w:rsidRPr="00B44440">
        <w:t>PM-2021-04292-1-5, to be revised to the satisfaction of the TGA, and any subsequent revisions, will be implemented in Australia.</w:t>
      </w:r>
    </w:p>
    <w:p w14:paraId="314F1233" w14:textId="521EE49E" w:rsidR="002F4676" w:rsidRPr="00B44440" w:rsidRDefault="00E3731A" w:rsidP="000519F4">
      <w:pPr>
        <w:pStyle w:val="ListBullet"/>
      </w:pPr>
      <w:r w:rsidRPr="00B44440">
        <w:lastRenderedPageBreak/>
        <w:t xml:space="preserve">Reports are to be provided in line with the current published list of EU reference dates and frequency of submission of PSURs until the period covered by such reports is not less than three years from the date of </w:t>
      </w:r>
      <w:r w:rsidR="002059C9" w:rsidRPr="00B44440">
        <w:t>the</w:t>
      </w:r>
      <w:r w:rsidRPr="00B44440">
        <w:t xml:space="preserve"> approval letter.</w:t>
      </w:r>
    </w:p>
    <w:p w14:paraId="72DDB194" w14:textId="0E13F927" w:rsidR="00E3731A" w:rsidRPr="00B44440" w:rsidRDefault="00E3731A" w:rsidP="002F4676">
      <w:pPr>
        <w:pStyle w:val="ListBullet"/>
        <w:numPr>
          <w:ilvl w:val="0"/>
          <w:numId w:val="0"/>
        </w:numPr>
        <w:ind w:left="360"/>
      </w:pPr>
      <w:r w:rsidRPr="00B44440">
        <w:t xml:space="preserve">The reports are to at least meet the requirements for PSURs as described in the European Medicines Agency’s Guideline on </w:t>
      </w:r>
      <w:r w:rsidR="002F4676" w:rsidRPr="00B44440">
        <w:t xml:space="preserve">Good Pharmacovigilance Practices </w:t>
      </w:r>
      <w:r w:rsidRPr="00B44440">
        <w:t xml:space="preserve">(GVP) Module VII-periodic safety update report </w:t>
      </w:r>
      <w:r w:rsidR="002F4676" w:rsidRPr="00B44440">
        <w:t>[</w:t>
      </w:r>
      <w:r w:rsidRPr="00B44440">
        <w:t>Rev</w:t>
      </w:r>
      <w:r w:rsidR="002F4676" w:rsidRPr="00B44440">
        <w:t>ision</w:t>
      </w:r>
      <w:r w:rsidRPr="00B44440">
        <w:t xml:space="preserve"> 1</w:t>
      </w:r>
      <w:r w:rsidR="002059C9" w:rsidRPr="00B44440">
        <w:t>]</w:t>
      </w:r>
      <w:r w:rsidRPr="00B44440">
        <w:t>, Part VII.B Structures and processes. Note that submission of a PSUR does not constitute an application to vary the registration.</w:t>
      </w:r>
    </w:p>
    <w:p w14:paraId="27454D28" w14:textId="107E8F7C" w:rsidR="000519F4" w:rsidRPr="00B44440" w:rsidRDefault="00E3731A" w:rsidP="000519F4">
      <w:pPr>
        <w:pStyle w:val="ListBullet"/>
      </w:pPr>
      <w:r w:rsidRPr="00B44440">
        <w:t xml:space="preserve">Laboratory testing </w:t>
      </w:r>
      <w:r w:rsidR="00CB05AE" w:rsidRPr="00B44440">
        <w:t>and</w:t>
      </w:r>
      <w:r w:rsidRPr="00B44440">
        <w:t xml:space="preserve"> compliance with Certified Product Details (CPD)</w:t>
      </w:r>
    </w:p>
    <w:p w14:paraId="69EDBE89" w14:textId="45971BD2" w:rsidR="000519F4" w:rsidRPr="00B44440" w:rsidRDefault="00E3731A" w:rsidP="000519F4">
      <w:pPr>
        <w:pStyle w:val="ListBullet2"/>
      </w:pPr>
      <w:r w:rsidRPr="00B44440">
        <w:t xml:space="preserve">All batches of </w:t>
      </w:r>
      <w:proofErr w:type="spellStart"/>
      <w:r w:rsidR="001735C1" w:rsidRPr="00B44440">
        <w:t>Byooviz</w:t>
      </w:r>
      <w:proofErr w:type="spellEnd"/>
      <w:r w:rsidRPr="00B44440">
        <w:t xml:space="preserve"> ranibizumab supplied in Australia must comply with the product details and specifications approved during evaluation and detailed in the Certified Product Details (CPD).</w:t>
      </w:r>
    </w:p>
    <w:p w14:paraId="0FD2D471" w14:textId="25C3331B" w:rsidR="00E3731A" w:rsidRPr="00B44440" w:rsidRDefault="00E3731A" w:rsidP="000519F4">
      <w:pPr>
        <w:pStyle w:val="ListBullet2"/>
      </w:pPr>
      <w:r w:rsidRPr="00B44440">
        <w:t xml:space="preserve">When requested by the TGA, the </w:t>
      </w:r>
      <w:r w:rsidR="00A84A5B" w:rsidRPr="00B44440">
        <w:t>sponsor</w:t>
      </w:r>
      <w:r w:rsidRPr="00B44440">
        <w:t xml:space="preserve"> should be prepared to provide product samples, specified reference materials and documentary evidence to enable the TGA to conduct laboratory testing on the </w:t>
      </w:r>
      <w:r w:rsidR="002059C9" w:rsidRPr="00B44440">
        <w:t>product</w:t>
      </w:r>
      <w:r w:rsidRPr="00B44440">
        <w:t xml:space="preserve">. Outcomes of laboratory testing are published biannually in the TGA Database of Laboratory Testing Results </w:t>
      </w:r>
      <w:hyperlink r:id="rId34" w:history="1">
        <w:r w:rsidR="00815D7B" w:rsidRPr="00B44440">
          <w:rPr>
            <w:rStyle w:val="Hyperlink"/>
          </w:rPr>
          <w:t>http://www.tga.gov.au/ws-labs-index</w:t>
        </w:r>
      </w:hyperlink>
      <w:r w:rsidR="00815D7B" w:rsidRPr="00B44440">
        <w:rPr>
          <w:rStyle w:val="Hyperlink"/>
          <w:color w:val="auto"/>
          <w:u w:val="none"/>
        </w:rPr>
        <w:t xml:space="preserve"> </w:t>
      </w:r>
      <w:r w:rsidRPr="00B44440">
        <w:t>and periodically in testing reports on the TGA website.</w:t>
      </w:r>
    </w:p>
    <w:p w14:paraId="3F9265F3" w14:textId="77777777" w:rsidR="000519F4" w:rsidRPr="00B44440" w:rsidRDefault="00E3731A" w:rsidP="000519F4">
      <w:pPr>
        <w:pStyle w:val="ListBullet"/>
        <w:numPr>
          <w:ilvl w:val="0"/>
          <w:numId w:val="0"/>
        </w:numPr>
        <w:ind w:left="360"/>
      </w:pPr>
      <w:r w:rsidRPr="00B44440">
        <w:t>Certified Product Details</w:t>
      </w:r>
    </w:p>
    <w:p w14:paraId="3DF26E28" w14:textId="4C8C6441" w:rsidR="00E3731A" w:rsidRPr="00B44440" w:rsidRDefault="00E3731A" w:rsidP="000519F4">
      <w:pPr>
        <w:pStyle w:val="ListBullet"/>
        <w:numPr>
          <w:ilvl w:val="0"/>
          <w:numId w:val="0"/>
        </w:numPr>
        <w:ind w:left="360"/>
      </w:pPr>
      <w:r w:rsidRPr="00B44440">
        <w:t xml:space="preserve">The Certified Product Details (CPD), as described in Guidance 7: Certified Product Details of the Australian Regulatory Guidelines for Prescription Medicines (ARGPM) </w:t>
      </w:r>
      <w:r w:rsidR="00646F45">
        <w:t>[</w:t>
      </w:r>
      <w:hyperlink r:id="rId35" w:history="1">
        <w:r w:rsidR="00646F45" w:rsidRPr="00047B5F">
          <w:rPr>
            <w:rStyle w:val="Hyperlink"/>
          </w:rPr>
          <w:t>https://www.tga.gov.au/guidance-7-certified-product-details</w:t>
        </w:r>
      </w:hyperlink>
      <w:r w:rsidR="00646F45">
        <w:t>]</w:t>
      </w:r>
      <w:r w:rsidRPr="00B44440">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1C8F5B23" w14:textId="77777777" w:rsidR="0074163C" w:rsidRPr="00B44440" w:rsidRDefault="0074163C" w:rsidP="0074163C">
      <w:pPr>
        <w:pStyle w:val="Heading4"/>
      </w:pPr>
      <w:bookmarkStart w:id="60" w:name="_Toc98931933"/>
      <w:r w:rsidRPr="00B44440">
        <w:t>Proposed action</w:t>
      </w:r>
      <w:bookmarkEnd w:id="60"/>
    </w:p>
    <w:p w14:paraId="6864446F" w14:textId="0AEAB403" w:rsidR="00E3731A" w:rsidRPr="00B44440" w:rsidRDefault="00E3731A" w:rsidP="00E3731A">
      <w:proofErr w:type="spellStart"/>
      <w:r w:rsidRPr="00B44440">
        <w:t>Biosimilarity</w:t>
      </w:r>
      <w:proofErr w:type="spellEnd"/>
      <w:r w:rsidRPr="00B44440">
        <w:t xml:space="preserve"> of </w:t>
      </w:r>
      <w:proofErr w:type="spellStart"/>
      <w:r w:rsidR="001735C1" w:rsidRPr="00B44440">
        <w:t>Byooviz</w:t>
      </w:r>
      <w:proofErr w:type="spellEnd"/>
      <w:r w:rsidRPr="00B44440">
        <w:t xml:space="preserve"> to </w:t>
      </w:r>
      <w:r w:rsidR="001735C1" w:rsidRPr="00B44440">
        <w:t>Lucentis</w:t>
      </w:r>
      <w:r w:rsidRPr="00B44440">
        <w:t xml:space="preserve"> has been satisfactorily demonstrated, supporting a favourable benefit-risk for </w:t>
      </w:r>
      <w:proofErr w:type="spellStart"/>
      <w:r w:rsidR="001735C1" w:rsidRPr="00B44440">
        <w:t>Byooviz</w:t>
      </w:r>
      <w:proofErr w:type="spellEnd"/>
      <w:r w:rsidRPr="00B44440">
        <w:t xml:space="preserve"> in the proposed indications.</w:t>
      </w:r>
      <w:r w:rsidR="00962117" w:rsidRPr="00B44440">
        <w:t xml:space="preserve"> </w:t>
      </w:r>
      <w:r w:rsidRPr="00B44440">
        <w:t>There are no outstanding manufacturing quality issues.</w:t>
      </w:r>
      <w:r w:rsidR="00962117" w:rsidRPr="00B44440">
        <w:t xml:space="preserve"> </w:t>
      </w:r>
      <w:r w:rsidRPr="00B44440">
        <w:t xml:space="preserve">There are no outstanding clinical issues requiring advice from </w:t>
      </w:r>
      <w:r w:rsidR="002059C9" w:rsidRPr="00B44440">
        <w:t xml:space="preserve">the </w:t>
      </w:r>
      <w:r w:rsidR="00AB5306" w:rsidRPr="00B44440">
        <w:t>Advisory Committee on Medicines</w:t>
      </w:r>
      <w:r w:rsidRPr="00B44440">
        <w:t>.</w:t>
      </w:r>
    </w:p>
    <w:p w14:paraId="2E03A92A" w14:textId="77777777" w:rsidR="0074163C" w:rsidRPr="00B44440" w:rsidRDefault="0074163C" w:rsidP="0074163C">
      <w:pPr>
        <w:pStyle w:val="Heading4"/>
      </w:pPr>
      <w:bookmarkStart w:id="61" w:name="_Toc98931936"/>
      <w:bookmarkStart w:id="62" w:name="_Toc247691532"/>
      <w:bookmarkStart w:id="63" w:name="_Toc314842516"/>
      <w:bookmarkEnd w:id="29"/>
      <w:bookmarkEnd w:id="53"/>
      <w:bookmarkEnd w:id="54"/>
      <w:r w:rsidRPr="00B44440">
        <w:t>Advisory Committee considerations</w:t>
      </w:r>
      <w:bookmarkEnd w:id="61"/>
    </w:p>
    <w:p w14:paraId="63BDB52D" w14:textId="35637E41" w:rsidR="0074163C" w:rsidRPr="00B44440" w:rsidRDefault="0074163C" w:rsidP="0074163C">
      <w:r w:rsidRPr="00B44440">
        <w:t xml:space="preserve">The Delegate did not refer this </w:t>
      </w:r>
      <w:r w:rsidR="00BB0B78" w:rsidRPr="00B44440">
        <w:t>submission</w:t>
      </w:r>
      <w:r w:rsidRPr="00B44440">
        <w:t xml:space="preserve"> to the Advisory Committee on Medicines (ACM) for advice.</w:t>
      </w:r>
    </w:p>
    <w:p w14:paraId="7FDC6C24" w14:textId="468A6672" w:rsidR="008E7846" w:rsidRPr="00B44440" w:rsidRDefault="008E7846" w:rsidP="00D212F3">
      <w:pPr>
        <w:pStyle w:val="Heading2"/>
      </w:pPr>
      <w:bookmarkStart w:id="64" w:name="_Toc133421045"/>
      <w:r w:rsidRPr="00B44440">
        <w:t>Outcome</w:t>
      </w:r>
      <w:bookmarkEnd w:id="62"/>
      <w:bookmarkEnd w:id="63"/>
      <w:bookmarkEnd w:id="64"/>
    </w:p>
    <w:p w14:paraId="462D9764" w14:textId="51C65E89" w:rsidR="0074163C" w:rsidRPr="00B44440" w:rsidRDefault="0074163C" w:rsidP="0074163C">
      <w:bookmarkStart w:id="65" w:name="_Toc247691533"/>
      <w:bookmarkStart w:id="66" w:name="_Toc314842517"/>
      <w:r w:rsidRPr="00B44440">
        <w:t xml:space="preserve">Based on a review of quality, </w:t>
      </w:r>
      <w:r w:rsidR="00CC5044" w:rsidRPr="00B44440">
        <w:t>safety,</w:t>
      </w:r>
      <w:r w:rsidRPr="00B44440">
        <w:t xml:space="preserve"> and efficacy, the TGA approved the registration of </w:t>
      </w:r>
      <w:proofErr w:type="spellStart"/>
      <w:r w:rsidR="00E64F31" w:rsidRPr="00B44440">
        <w:t>Byooviz</w:t>
      </w:r>
      <w:proofErr w:type="spellEnd"/>
      <w:r w:rsidRPr="00B44440">
        <w:t xml:space="preserve"> (</w:t>
      </w:r>
      <w:r w:rsidR="00B0257C" w:rsidRPr="00B44440">
        <w:t>ranibizumab</w:t>
      </w:r>
      <w:r w:rsidRPr="00B44440">
        <w:t xml:space="preserve">) </w:t>
      </w:r>
      <w:r w:rsidR="00AE7664" w:rsidRPr="00B44440">
        <w:t>10 mg/mL</w:t>
      </w:r>
      <w:r w:rsidRPr="00B44440">
        <w:t xml:space="preserve">, </w:t>
      </w:r>
      <w:r w:rsidR="00AE7664" w:rsidRPr="00B44440">
        <w:t>solution for injection, vial</w:t>
      </w:r>
      <w:r w:rsidRPr="00B44440">
        <w:t xml:space="preserve">, indicated </w:t>
      </w:r>
      <w:r w:rsidR="00AE7664" w:rsidRPr="00B44440">
        <w:t>for</w:t>
      </w:r>
      <w:r w:rsidRPr="00B44440">
        <w:t>:</w:t>
      </w:r>
    </w:p>
    <w:p w14:paraId="701D8FEF" w14:textId="77777777" w:rsidR="00E64F31" w:rsidRPr="00B44440" w:rsidRDefault="00E64F31" w:rsidP="00E64F31">
      <w:pPr>
        <w:ind w:left="360"/>
        <w:rPr>
          <w:i/>
          <w:iCs/>
        </w:rPr>
      </w:pPr>
      <w:proofErr w:type="spellStart"/>
      <w:r w:rsidRPr="00B44440">
        <w:rPr>
          <w:i/>
          <w:iCs/>
        </w:rPr>
        <w:t>Byooviz</w:t>
      </w:r>
      <w:proofErr w:type="spellEnd"/>
      <w:r w:rsidRPr="00B44440">
        <w:rPr>
          <w:i/>
          <w:iCs/>
        </w:rPr>
        <w:t xml:space="preserve"> (ranibizumab) is indicated in adults for:</w:t>
      </w:r>
    </w:p>
    <w:p w14:paraId="3927CA2C" w14:textId="659C8F04" w:rsidR="00E64F31" w:rsidRPr="00B44440" w:rsidRDefault="00E64F31" w:rsidP="00E64F31">
      <w:pPr>
        <w:pStyle w:val="ListBullet"/>
        <w:ind w:left="720"/>
        <w:rPr>
          <w:i/>
          <w:iCs/>
        </w:rPr>
      </w:pPr>
      <w:r w:rsidRPr="00B44440">
        <w:rPr>
          <w:i/>
          <w:iCs/>
        </w:rPr>
        <w:t>the treatment of neovascular (wet) age-related macular degeneration (AMD),</w:t>
      </w:r>
    </w:p>
    <w:p w14:paraId="4683C7AF" w14:textId="00C7DA8D" w:rsidR="00E64F31" w:rsidRPr="00B44440" w:rsidRDefault="00E64F31" w:rsidP="00E64F31">
      <w:pPr>
        <w:pStyle w:val="ListBullet"/>
        <w:ind w:left="720"/>
        <w:rPr>
          <w:i/>
          <w:iCs/>
        </w:rPr>
      </w:pPr>
      <w:r w:rsidRPr="00B44440">
        <w:rPr>
          <w:i/>
          <w:iCs/>
        </w:rPr>
        <w:t>the treatment of visual impairment due to diabetic macular oedema (DME),</w:t>
      </w:r>
    </w:p>
    <w:p w14:paraId="48906C46" w14:textId="4CDF5A84" w:rsidR="00E64F31" w:rsidRPr="00B44440" w:rsidRDefault="00E64F31" w:rsidP="00E64F31">
      <w:pPr>
        <w:pStyle w:val="ListBullet"/>
        <w:ind w:left="720"/>
        <w:rPr>
          <w:i/>
          <w:iCs/>
        </w:rPr>
      </w:pPr>
      <w:r w:rsidRPr="00B44440">
        <w:rPr>
          <w:i/>
          <w:iCs/>
        </w:rPr>
        <w:t>treatment of proliferative diabetic retinopathy (PDR),</w:t>
      </w:r>
    </w:p>
    <w:p w14:paraId="6796A241" w14:textId="35E20720" w:rsidR="00E64F31" w:rsidRPr="00B44440" w:rsidRDefault="00E64F31" w:rsidP="00E64F31">
      <w:pPr>
        <w:pStyle w:val="ListBullet"/>
        <w:ind w:left="720"/>
        <w:rPr>
          <w:i/>
          <w:iCs/>
        </w:rPr>
      </w:pPr>
      <w:r w:rsidRPr="00B44440">
        <w:rPr>
          <w:i/>
          <w:iCs/>
        </w:rPr>
        <w:t>the treatment of visual impairment due to choroidal neovascularisation (CNV),</w:t>
      </w:r>
    </w:p>
    <w:p w14:paraId="3645D92F" w14:textId="75015E66" w:rsidR="00E64F31" w:rsidRPr="00B44440" w:rsidRDefault="00E64F31" w:rsidP="00E64F31">
      <w:pPr>
        <w:pStyle w:val="ListBullet"/>
        <w:ind w:left="720"/>
        <w:rPr>
          <w:i/>
          <w:iCs/>
        </w:rPr>
      </w:pPr>
      <w:r w:rsidRPr="00B44440">
        <w:rPr>
          <w:i/>
          <w:iCs/>
        </w:rPr>
        <w:lastRenderedPageBreak/>
        <w:t>the treatment of visual impairment due to choroidal neovascularisation (CNV) secondary to pathologic myopia (PM),</w:t>
      </w:r>
    </w:p>
    <w:p w14:paraId="5E15A9F9" w14:textId="2AEDFA3E" w:rsidR="0074163C" w:rsidRPr="00B44440" w:rsidRDefault="00E64F31" w:rsidP="00E64F31">
      <w:pPr>
        <w:pStyle w:val="ListBullet"/>
        <w:ind w:left="720"/>
        <w:rPr>
          <w:i/>
          <w:iCs/>
        </w:rPr>
      </w:pPr>
      <w:r w:rsidRPr="00B44440">
        <w:rPr>
          <w:i/>
          <w:iCs/>
        </w:rPr>
        <w:t>the treatment of visual impairment due to macular oedema secondary to retinal vein occlusion (RVO).</w:t>
      </w:r>
    </w:p>
    <w:p w14:paraId="58458192" w14:textId="77777777" w:rsidR="00D23139" w:rsidRPr="00B44440" w:rsidRDefault="00D23139" w:rsidP="00D212F3">
      <w:pPr>
        <w:pStyle w:val="Heading3"/>
      </w:pPr>
      <w:bookmarkStart w:id="67" w:name="_Toc133421046"/>
      <w:r w:rsidRPr="00B44440">
        <w:t>Specific conditions of registration applying to these goods</w:t>
      </w:r>
      <w:bookmarkEnd w:id="67"/>
    </w:p>
    <w:p w14:paraId="66D8EA2B" w14:textId="481A5E03" w:rsidR="00E64F31" w:rsidRPr="00B44440" w:rsidRDefault="00E64F31" w:rsidP="00E64F31">
      <w:pPr>
        <w:pStyle w:val="ListBullet"/>
      </w:pPr>
      <w:r w:rsidRPr="00B44440">
        <w:t xml:space="preserve">The </w:t>
      </w:r>
      <w:proofErr w:type="spellStart"/>
      <w:r w:rsidR="001735C1" w:rsidRPr="00B44440">
        <w:t>Byooviz</w:t>
      </w:r>
      <w:proofErr w:type="spellEnd"/>
      <w:r w:rsidRPr="00B44440">
        <w:t xml:space="preserve"> EU-</w:t>
      </w:r>
      <w:r w:rsidR="002059C9" w:rsidRPr="00B44440">
        <w:t xml:space="preserve">risk management plan </w:t>
      </w:r>
      <w:r w:rsidRPr="00B44440">
        <w:t>(RMP) (version 1.1, dated 17</w:t>
      </w:r>
      <w:r w:rsidR="002059C9" w:rsidRPr="00B44440">
        <w:t> </w:t>
      </w:r>
      <w:r w:rsidRPr="00B44440">
        <w:t>February</w:t>
      </w:r>
      <w:r w:rsidR="002059C9" w:rsidRPr="00B44440">
        <w:t> </w:t>
      </w:r>
      <w:r w:rsidRPr="00B44440">
        <w:t xml:space="preserve">2021, data lock point 4 February 2021), with Australian </w:t>
      </w:r>
      <w:r w:rsidR="002059C9" w:rsidRPr="00B44440">
        <w:t xml:space="preserve">specific annex </w:t>
      </w:r>
      <w:r w:rsidRPr="00B44440">
        <w:t>(version 1.2, dated 31</w:t>
      </w:r>
      <w:r w:rsidR="002059C9" w:rsidRPr="00B44440">
        <w:t> </w:t>
      </w:r>
      <w:r w:rsidRPr="00B44440">
        <w:t xml:space="preserve">March 2022), included with </w:t>
      </w:r>
      <w:r w:rsidR="002059C9" w:rsidRPr="00B44440">
        <w:t xml:space="preserve">Submission </w:t>
      </w:r>
      <w:r w:rsidRPr="00B44440">
        <w:t>PM-2021-04292-1-5, to be revised to the satisfaction of the TGA, and any subsequent revisions, will be implemented in Australia.</w:t>
      </w:r>
    </w:p>
    <w:p w14:paraId="4E1ED165" w14:textId="721E61EB" w:rsidR="00E64F31" w:rsidRPr="00B44440" w:rsidRDefault="00E64F31" w:rsidP="00E64F31">
      <w:pPr>
        <w:pStyle w:val="ListBullet"/>
        <w:numPr>
          <w:ilvl w:val="0"/>
          <w:numId w:val="0"/>
        </w:numPr>
        <w:ind w:left="360"/>
      </w:pPr>
      <w:r w:rsidRPr="00B44440">
        <w:t>Reports are to be provided in line with the current published list of EU reference dates and frequency of submission of PSURs until the period covered by such reports is not less than three years from the date of</w:t>
      </w:r>
      <w:r w:rsidR="002059C9" w:rsidRPr="00B44440">
        <w:t xml:space="preserve"> the</w:t>
      </w:r>
      <w:r w:rsidRPr="00B44440">
        <w:t xml:space="preserve"> approval letter.</w:t>
      </w:r>
    </w:p>
    <w:p w14:paraId="0C545917" w14:textId="78850D2C" w:rsidR="00E64F31" w:rsidRPr="00B44440" w:rsidRDefault="00E64F31" w:rsidP="00E64F31">
      <w:pPr>
        <w:pStyle w:val="ListBullet"/>
        <w:numPr>
          <w:ilvl w:val="0"/>
          <w:numId w:val="0"/>
        </w:numPr>
        <w:ind w:left="360"/>
      </w:pPr>
      <w:r w:rsidRPr="00B44440">
        <w:t xml:space="preserve">The reports are to at least meet the requirements for PSURs as described in the European Medicines Agency’s Guideline on </w:t>
      </w:r>
      <w:r w:rsidR="002059C9" w:rsidRPr="00B44440">
        <w:t xml:space="preserve">Good Pharmacovigilance Practices </w:t>
      </w:r>
      <w:r w:rsidRPr="00B44440">
        <w:t xml:space="preserve">(GVP) Module VII-periodic safety update report </w:t>
      </w:r>
      <w:r w:rsidR="002059C9" w:rsidRPr="00B44440">
        <w:t>[</w:t>
      </w:r>
      <w:r w:rsidRPr="00B44440">
        <w:t>Rev</w:t>
      </w:r>
      <w:r w:rsidR="002059C9" w:rsidRPr="00B44440">
        <w:t>ision</w:t>
      </w:r>
      <w:r w:rsidRPr="00B44440">
        <w:t xml:space="preserve"> 1</w:t>
      </w:r>
      <w:r w:rsidR="002059C9" w:rsidRPr="00B44440">
        <w:t>]</w:t>
      </w:r>
      <w:r w:rsidRPr="00B44440">
        <w:t>, Part VII.B Structures and processes.</w:t>
      </w:r>
      <w:r w:rsidR="00C022B5">
        <w:t xml:space="preserve"> </w:t>
      </w:r>
      <w:r w:rsidRPr="00B44440">
        <w:t>Note that submission of a PSUR does not constitute an application to vary the registration.</w:t>
      </w:r>
    </w:p>
    <w:p w14:paraId="7BB94A02" w14:textId="74E00294" w:rsidR="00E64F31" w:rsidRPr="00B44440" w:rsidRDefault="00E64F31" w:rsidP="00E64F31">
      <w:pPr>
        <w:pStyle w:val="ListBullet"/>
      </w:pPr>
      <w:r w:rsidRPr="00B44440">
        <w:t xml:space="preserve">Laboratory testing </w:t>
      </w:r>
      <w:r w:rsidR="00CB05AE" w:rsidRPr="00B44440">
        <w:t>and</w:t>
      </w:r>
      <w:r w:rsidRPr="00B44440">
        <w:t xml:space="preserve"> compliance with Certified Product Details (CPD)</w:t>
      </w:r>
    </w:p>
    <w:p w14:paraId="21241F41" w14:textId="7E39F1E3" w:rsidR="00E64F31" w:rsidRPr="00B44440" w:rsidRDefault="00E64F31" w:rsidP="00E64F31">
      <w:pPr>
        <w:pStyle w:val="ListBullet2"/>
      </w:pPr>
      <w:r w:rsidRPr="00B44440">
        <w:t xml:space="preserve">All batches of </w:t>
      </w:r>
      <w:proofErr w:type="spellStart"/>
      <w:r w:rsidR="001735C1" w:rsidRPr="00B44440">
        <w:t>Byooviz</w:t>
      </w:r>
      <w:proofErr w:type="spellEnd"/>
      <w:r w:rsidRPr="00B44440">
        <w:t xml:space="preserve"> ranibizumab supplied in Australia must comply with the product details and specifications approved during evaluation and detailed in the Certified Product Details (CPD).</w:t>
      </w:r>
    </w:p>
    <w:p w14:paraId="4D56FC20" w14:textId="40EEFC76" w:rsidR="00E64F31" w:rsidRPr="00B44440" w:rsidRDefault="00E64F31" w:rsidP="00FE1F4B">
      <w:pPr>
        <w:pStyle w:val="ListBullet2"/>
      </w:pPr>
      <w:r w:rsidRPr="00B44440">
        <w:t xml:space="preserve">When requested by the TGA, the </w:t>
      </w:r>
      <w:r w:rsidR="00A84A5B" w:rsidRPr="00B44440">
        <w:t>sponsor</w:t>
      </w:r>
      <w:r w:rsidRPr="00B44440">
        <w:t xml:space="preserve"> should be prepared to provide product samples, specified reference materials and documentary evidence to enable the TGA to conduct laboratory testing on the </w:t>
      </w:r>
      <w:r w:rsidR="002059C9" w:rsidRPr="00B44440">
        <w:t>product</w:t>
      </w:r>
      <w:r w:rsidRPr="00B44440">
        <w:t>. Outcomes of laboratory testing are published biannually in the TGA Database of Laboratory Testing Results</w:t>
      </w:r>
      <w:r w:rsidR="00B0257C" w:rsidRPr="00B44440">
        <w:t xml:space="preserve"> </w:t>
      </w:r>
      <w:hyperlink r:id="rId36" w:history="1">
        <w:r w:rsidR="00B0257C" w:rsidRPr="00B44440">
          <w:rPr>
            <w:rStyle w:val="Hyperlink"/>
          </w:rPr>
          <w:t>http://www.tga.gov.au/ws-labs-index</w:t>
        </w:r>
      </w:hyperlink>
      <w:r w:rsidR="00B0257C" w:rsidRPr="00B44440">
        <w:t xml:space="preserve"> </w:t>
      </w:r>
      <w:r w:rsidRPr="00B44440">
        <w:t>and periodically in testing reports on the TGA website.</w:t>
      </w:r>
    </w:p>
    <w:p w14:paraId="1D133FC7" w14:textId="77777777" w:rsidR="00E64F31" w:rsidRPr="00B44440" w:rsidRDefault="00E64F31" w:rsidP="00B0257C">
      <w:pPr>
        <w:pStyle w:val="ListBullet"/>
        <w:numPr>
          <w:ilvl w:val="0"/>
          <w:numId w:val="0"/>
        </w:numPr>
        <w:ind w:left="360"/>
      </w:pPr>
      <w:r w:rsidRPr="00B44440">
        <w:t>Certified Product Details</w:t>
      </w:r>
    </w:p>
    <w:p w14:paraId="1F228372" w14:textId="2B581575" w:rsidR="00E64F31" w:rsidRPr="00B44440" w:rsidRDefault="00E64F31" w:rsidP="00B0257C">
      <w:pPr>
        <w:pStyle w:val="ListBullet"/>
        <w:numPr>
          <w:ilvl w:val="0"/>
          <w:numId w:val="0"/>
        </w:numPr>
        <w:ind w:left="360"/>
      </w:pPr>
      <w:r w:rsidRPr="00B44440">
        <w:t xml:space="preserve">The Certified Product Details (CPD), as described in Guidance 7: Certified Product Details of the Australian Regulatory Guidelines for Prescription Medicines (ARGPM) </w:t>
      </w:r>
      <w:r w:rsidR="00646F45">
        <w:t>[</w:t>
      </w:r>
      <w:hyperlink r:id="rId37" w:history="1">
        <w:r w:rsidR="00646F45" w:rsidRPr="00047B5F">
          <w:rPr>
            <w:rStyle w:val="Hyperlink"/>
          </w:rPr>
          <w:t>https://www.tga.gov.au/guidance-7-certified-product-details</w:t>
        </w:r>
      </w:hyperlink>
      <w:r w:rsidR="00646F45">
        <w:t>]</w:t>
      </w:r>
      <w:r w:rsidRPr="00B44440">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C47E737" w14:textId="1EAF90E9" w:rsidR="00E64F31" w:rsidRPr="00B44440" w:rsidRDefault="00E64F31" w:rsidP="00E64F31">
      <w:pPr>
        <w:pStyle w:val="ListBullet"/>
      </w:pPr>
      <w:r w:rsidRPr="00B44440">
        <w:t>For all injectable products the Product Information must be included with the product as a package insert.</w:t>
      </w:r>
    </w:p>
    <w:p w14:paraId="068F0368" w14:textId="0208D7B8" w:rsidR="008E7846" w:rsidRPr="00B44440" w:rsidRDefault="00A80B5B" w:rsidP="00D23139">
      <w:pPr>
        <w:pStyle w:val="Heading2"/>
      </w:pPr>
      <w:bookmarkStart w:id="68" w:name="_Toc133421047"/>
      <w:r w:rsidRPr="00B44440">
        <w:t xml:space="preserve">Attachment 1. </w:t>
      </w:r>
      <w:r w:rsidR="008E7846" w:rsidRPr="00B44440">
        <w:t xml:space="preserve">Product </w:t>
      </w:r>
      <w:r w:rsidR="00AA0ED0" w:rsidRPr="00B44440">
        <w:t>I</w:t>
      </w:r>
      <w:r w:rsidR="008E7846" w:rsidRPr="00B44440">
        <w:t>nformation</w:t>
      </w:r>
      <w:bookmarkEnd w:id="65"/>
      <w:bookmarkEnd w:id="66"/>
      <w:bookmarkEnd w:id="68"/>
    </w:p>
    <w:p w14:paraId="37826D25" w14:textId="505F870F" w:rsidR="00523A21" w:rsidRPr="00B44440" w:rsidRDefault="006136D7" w:rsidP="00C80137">
      <w:r w:rsidRPr="00B44440">
        <w:t xml:space="preserve">The PI for </w:t>
      </w:r>
      <w:proofErr w:type="spellStart"/>
      <w:r w:rsidR="00E64F31" w:rsidRPr="00B44440">
        <w:t>Byooviz</w:t>
      </w:r>
      <w:proofErr w:type="spellEnd"/>
      <w:r w:rsidR="00E64F31" w:rsidRPr="00B44440">
        <w:t xml:space="preserve"> </w:t>
      </w:r>
      <w:r w:rsidRPr="00B44440">
        <w:t>approved with the submission which is described in this AusPAR is at Attachment 1.</w:t>
      </w:r>
      <w:r w:rsidR="00CC5044" w:rsidRPr="00B44440">
        <w:t xml:space="preserve"> </w:t>
      </w:r>
      <w:r w:rsidR="0074163C" w:rsidRPr="00B44440">
        <w:t xml:space="preserve">For the most recent PI, please refer to the TGA </w:t>
      </w:r>
      <w:hyperlink r:id="rId38" w:history="1">
        <w:r w:rsidR="0074163C" w:rsidRPr="00B44440">
          <w:rPr>
            <w:rStyle w:val="Hyperlink"/>
          </w:rPr>
          <w:t>PI/CMI search facility</w:t>
        </w:r>
        <w:r w:rsidR="0074163C" w:rsidRPr="00B44440">
          <w:rPr>
            <w:rStyle w:val="Hyperlink"/>
            <w:color w:val="auto"/>
            <w:u w:val="none"/>
          </w:rPr>
          <w:t>.</w:t>
        </w:r>
      </w:hyperlink>
    </w:p>
    <w:p w14:paraId="1154AB65" w14:textId="7CA7EA59" w:rsidR="00744121" w:rsidRPr="00B44440" w:rsidRDefault="008E7846" w:rsidP="00744121">
      <w:r w:rsidRPr="00B44440">
        <w:br w:type="page"/>
      </w:r>
    </w:p>
    <w:p w14:paraId="783FF444" w14:textId="77777777" w:rsidR="00C80137" w:rsidRPr="00B44440" w:rsidRDefault="00C80137" w:rsidP="003A7F6C">
      <w:pPr>
        <w:pStyle w:val="TableTitle"/>
        <w:sectPr w:rsidR="00C80137" w:rsidRPr="00B44440" w:rsidSect="00B452CE">
          <w:headerReference w:type="even" r:id="rId39"/>
          <w:headerReference w:type="default" r:id="rId40"/>
          <w:headerReference w:type="first" r:id="rId41"/>
          <w:footerReference w:type="first" r:id="rId4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B44440" w14:paraId="0ED4D41A" w14:textId="77777777" w:rsidTr="00A05FA4">
        <w:trPr>
          <w:trHeight w:hRule="exact" w:val="704"/>
        </w:trPr>
        <w:tc>
          <w:tcPr>
            <w:tcW w:w="9175" w:type="dxa"/>
          </w:tcPr>
          <w:p w14:paraId="488AC5D8" w14:textId="77777777" w:rsidR="001C32CD" w:rsidRPr="00B44440" w:rsidRDefault="001C32CD" w:rsidP="00A05FA4">
            <w:pPr>
              <w:pStyle w:val="TGASignoff"/>
            </w:pPr>
            <w:r w:rsidRPr="00B44440">
              <w:lastRenderedPageBreak/>
              <w:t>Therapeutic Goods Administration</w:t>
            </w:r>
          </w:p>
        </w:tc>
      </w:tr>
      <w:tr w:rsidR="001C32CD" w:rsidRPr="004C239D" w14:paraId="4CE49654" w14:textId="77777777" w:rsidTr="00A05FA4">
        <w:trPr>
          <w:trHeight w:val="1221"/>
        </w:trPr>
        <w:tc>
          <w:tcPr>
            <w:tcW w:w="9175" w:type="dxa"/>
            <w:tcMar>
              <w:top w:w="28" w:type="dxa"/>
            </w:tcMar>
          </w:tcPr>
          <w:p w14:paraId="15D99AC0" w14:textId="77777777" w:rsidR="001C32CD" w:rsidRPr="00B44440" w:rsidRDefault="001C32CD" w:rsidP="00A05FA4">
            <w:pPr>
              <w:pStyle w:val="Address"/>
            </w:pPr>
            <w:r w:rsidRPr="00B44440">
              <w:t>PO Box 100 Woden ACT 2606 Australia</w:t>
            </w:r>
          </w:p>
          <w:p w14:paraId="58127F28" w14:textId="7BCD3645" w:rsidR="001C32CD" w:rsidRPr="00B44440" w:rsidRDefault="001C32CD" w:rsidP="00A05FA4">
            <w:pPr>
              <w:pStyle w:val="Address"/>
            </w:pPr>
            <w:r w:rsidRPr="00B44440">
              <w:t xml:space="preserve">Email: </w:t>
            </w:r>
            <w:hyperlink r:id="rId43" w:history="1">
              <w:r w:rsidRPr="00B44440">
                <w:rPr>
                  <w:rStyle w:val="Hyperlink"/>
                </w:rPr>
                <w:t>info@tga.gov.au</w:t>
              </w:r>
            </w:hyperlink>
            <w:r w:rsidRPr="00B44440">
              <w:t xml:space="preserve">  Phone: 1800 020 </w:t>
            </w:r>
            <w:proofErr w:type="gramStart"/>
            <w:r w:rsidRPr="00B44440">
              <w:t>653  Fax</w:t>
            </w:r>
            <w:proofErr w:type="gramEnd"/>
            <w:r w:rsidRPr="00B44440">
              <w:t>: 02 6232 8605</w:t>
            </w:r>
          </w:p>
          <w:p w14:paraId="58A4FF57" w14:textId="0AA7DD85" w:rsidR="001C32CD" w:rsidRPr="004C239D" w:rsidRDefault="001101BB" w:rsidP="00A05FA4">
            <w:pPr>
              <w:pStyle w:val="Address"/>
              <w:spacing w:line="260" w:lineRule="atLeast"/>
              <w:rPr>
                <w:b/>
                <w:color w:val="0000FF"/>
                <w:u w:val="single"/>
              </w:rPr>
            </w:pPr>
            <w:hyperlink r:id="rId44" w:history="1">
              <w:r w:rsidR="007C6B9B" w:rsidRPr="00B44440">
                <w:rPr>
                  <w:rStyle w:val="Hyperlink"/>
                  <w:b/>
                </w:rPr>
                <w:t>https://www.tga.gov.au</w:t>
              </w:r>
            </w:hyperlink>
          </w:p>
        </w:tc>
      </w:tr>
    </w:tbl>
    <w:p w14:paraId="7867F9AA" w14:textId="77777777" w:rsidR="00774E1D" w:rsidRPr="008A5E0B" w:rsidRDefault="00774E1D" w:rsidP="004C239D"/>
    <w:sectPr w:rsidR="00774E1D" w:rsidRPr="008A5E0B" w:rsidSect="001C32CD">
      <w:headerReference w:type="even" r:id="rId45"/>
      <w:headerReference w:type="default" r:id="rId46"/>
      <w:footerReference w:type="default" r:id="rId47"/>
      <w:headerReference w:type="first" r:id="rId48"/>
      <w:footerReference w:type="first" r:id="rId4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A5135" w14:textId="77777777" w:rsidR="002009DE" w:rsidRDefault="002009DE" w:rsidP="00C40A36">
      <w:pPr>
        <w:spacing w:after="0"/>
      </w:pPr>
      <w:r>
        <w:separator/>
      </w:r>
    </w:p>
  </w:endnote>
  <w:endnote w:type="continuationSeparator" w:id="0">
    <w:p w14:paraId="2B441A55" w14:textId="77777777" w:rsidR="002009DE" w:rsidRDefault="002009DE" w:rsidP="00C40A36">
      <w:pPr>
        <w:spacing w:after="0"/>
      </w:pPr>
      <w:r>
        <w:continuationSeparator/>
      </w:r>
    </w:p>
  </w:endnote>
  <w:endnote w:type="continuationNotice" w:id="1">
    <w:p w14:paraId="65960A30" w14:textId="77777777" w:rsidR="002009DE" w:rsidRDefault="002009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Helv">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37542" w:rsidRPr="00487162" w14:paraId="555099F7" w14:textId="77777777" w:rsidTr="00DB750B">
      <w:trPr>
        <w:trHeight w:val="269"/>
      </w:trPr>
      <w:tc>
        <w:tcPr>
          <w:tcW w:w="7371" w:type="dxa"/>
          <w:tcMar>
            <w:top w:w="142" w:type="dxa"/>
            <w:bottom w:w="0" w:type="dxa"/>
          </w:tcMar>
        </w:tcPr>
        <w:p w14:paraId="6DB10EA4" w14:textId="40FAABC5" w:rsidR="00937542" w:rsidRPr="00487162" w:rsidRDefault="00937542" w:rsidP="00460036">
          <w:pPr>
            <w:pStyle w:val="Footer"/>
          </w:pPr>
          <w:r w:rsidRPr="00487162">
            <w:t>AusPA</w:t>
          </w:r>
          <w:r>
            <w:t xml:space="preserve">R - </w:t>
          </w:r>
          <w:proofErr w:type="spellStart"/>
          <w:r w:rsidRPr="00923038">
            <w:t>Byooviz</w:t>
          </w:r>
          <w:proofErr w:type="spellEnd"/>
          <w:r w:rsidRPr="00923038">
            <w:t xml:space="preserve"> </w:t>
          </w:r>
          <w:r>
            <w:t>-</w:t>
          </w:r>
          <w:r w:rsidRPr="00460036">
            <w:t xml:space="preserve"> </w:t>
          </w:r>
          <w:r w:rsidRPr="00B0257C">
            <w:t>ranibizumab</w:t>
          </w:r>
          <w:r w:rsidRPr="00460036">
            <w:t xml:space="preserve"> </w:t>
          </w:r>
          <w:r>
            <w:t xml:space="preserve">- </w:t>
          </w:r>
          <w:r w:rsidRPr="00923038">
            <w:t xml:space="preserve">Samsung Bioepis AU Pty Ltd </w:t>
          </w:r>
          <w:r>
            <w:t xml:space="preserve">- </w:t>
          </w:r>
          <w:r w:rsidRPr="00923038">
            <w:t>PM-2021-04292-1-5</w:t>
          </w:r>
          <w:r>
            <w:br/>
          </w:r>
          <w:r w:rsidR="006F18EF">
            <w:t>Final 26 April</w:t>
          </w:r>
          <w:r>
            <w:t xml:space="preserve"> 2023</w:t>
          </w:r>
        </w:p>
      </w:tc>
      <w:tc>
        <w:tcPr>
          <w:tcW w:w="1490" w:type="dxa"/>
          <w:tcMar>
            <w:top w:w="142" w:type="dxa"/>
            <w:bottom w:w="0" w:type="dxa"/>
          </w:tcMar>
        </w:tcPr>
        <w:p w14:paraId="3C8BABF5" w14:textId="58CB1761" w:rsidR="00937542" w:rsidRPr="00487162" w:rsidRDefault="00937542" w:rsidP="00DB750B">
          <w:pPr>
            <w:pStyle w:val="Footer"/>
            <w:jc w:val="right"/>
          </w:pPr>
          <w:r w:rsidRPr="00487162">
            <w:t xml:space="preserve">Page </w:t>
          </w:r>
          <w:r>
            <w:fldChar w:fldCharType="begin"/>
          </w:r>
          <w:r>
            <w:instrText xml:space="preserve"> PAGE  \* Arabic </w:instrText>
          </w:r>
          <w:r>
            <w:fldChar w:fldCharType="separate"/>
          </w:r>
          <w:r w:rsidR="00DF2553">
            <w:rPr>
              <w:noProof/>
            </w:rPr>
            <w:t>9</w:t>
          </w:r>
          <w:r>
            <w:fldChar w:fldCharType="end"/>
          </w:r>
          <w:r w:rsidRPr="00487162">
            <w:t xml:space="preserve"> of </w:t>
          </w:r>
          <w:fldSimple w:instr=" NUMPAGES  \* Arabic ">
            <w:r w:rsidR="00DF2553">
              <w:rPr>
                <w:noProof/>
              </w:rPr>
              <w:t>32</w:t>
            </w:r>
          </w:fldSimple>
        </w:p>
      </w:tc>
    </w:tr>
  </w:tbl>
  <w:p w14:paraId="102F68E8" w14:textId="77777777" w:rsidR="00937542" w:rsidRDefault="00937542"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37542" w:rsidRPr="00487162" w14:paraId="0E0C6D69" w14:textId="77777777" w:rsidTr="00E45619">
      <w:trPr>
        <w:trHeight w:val="269"/>
      </w:trPr>
      <w:tc>
        <w:tcPr>
          <w:tcW w:w="4519" w:type="dxa"/>
          <w:tcBorders>
            <w:top w:val="single" w:sz="4" w:space="0" w:color="auto"/>
          </w:tcBorders>
          <w:tcMar>
            <w:top w:w="142" w:type="dxa"/>
            <w:bottom w:w="0" w:type="dxa"/>
          </w:tcMar>
        </w:tcPr>
        <w:p w14:paraId="06E4A023" w14:textId="77777777" w:rsidR="00937542" w:rsidRPr="00487162" w:rsidRDefault="00937542" w:rsidP="00FE1DEE">
          <w:pPr>
            <w:pStyle w:val="Footer"/>
          </w:pPr>
          <w:r w:rsidRPr="00487162">
            <w:t>Document title, Part #, Section # - Section title</w:t>
          </w:r>
        </w:p>
        <w:p w14:paraId="0BE01019" w14:textId="77777777" w:rsidR="00937542" w:rsidRPr="00487162" w:rsidRDefault="00937542" w:rsidP="00FE1DEE">
          <w:pPr>
            <w:pStyle w:val="Footer"/>
          </w:pPr>
          <w:r w:rsidRPr="00487162">
            <w:t>V1.0 October 2010</w:t>
          </w:r>
        </w:p>
      </w:tc>
      <w:tc>
        <w:tcPr>
          <w:tcW w:w="4342" w:type="dxa"/>
          <w:tcBorders>
            <w:top w:val="single" w:sz="4" w:space="0" w:color="auto"/>
          </w:tcBorders>
          <w:tcMar>
            <w:top w:w="142" w:type="dxa"/>
            <w:bottom w:w="0" w:type="dxa"/>
          </w:tcMar>
        </w:tcPr>
        <w:p w14:paraId="2DD63718" w14:textId="77777777" w:rsidR="00937542" w:rsidRPr="00487162" w:rsidRDefault="0093754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0DCE18E2" w14:textId="77777777" w:rsidR="00937542" w:rsidRDefault="00937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F14A" w14:textId="77777777" w:rsidR="00937542" w:rsidRPr="001C32CD" w:rsidRDefault="00937542"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37542" w14:paraId="78527175" w14:textId="77777777" w:rsidTr="0010601F">
      <w:trPr>
        <w:trHeight w:val="108"/>
      </w:trPr>
      <w:tc>
        <w:tcPr>
          <w:tcW w:w="8875" w:type="dxa"/>
          <w:gridSpan w:val="2"/>
          <w:tcBorders>
            <w:bottom w:val="single" w:sz="4" w:space="0" w:color="auto"/>
          </w:tcBorders>
          <w:tcMar>
            <w:right w:w="284" w:type="dxa"/>
          </w:tcMar>
        </w:tcPr>
        <w:p w14:paraId="6A4CD745" w14:textId="77777777" w:rsidR="00937542" w:rsidRDefault="00937542" w:rsidP="006E08B3">
          <w:pPr>
            <w:pStyle w:val="Heading3"/>
          </w:pPr>
          <w:r>
            <w:t>Copyright</w:t>
          </w:r>
        </w:p>
        <w:p w14:paraId="20EB6250" w14:textId="77777777" w:rsidR="00937542" w:rsidRDefault="00937542" w:rsidP="006E08B3">
          <w:r>
            <w:rPr>
              <w:rFonts w:cs="Arial"/>
            </w:rPr>
            <w:t>©</w:t>
          </w:r>
          <w:r>
            <w:t xml:space="preserve"> Commonwealth of Australia [add year]</w:t>
          </w:r>
        </w:p>
        <w:p w14:paraId="01274E4A" w14:textId="77777777" w:rsidR="00937542" w:rsidRDefault="00937542" w:rsidP="006E08B3"/>
        <w:p w14:paraId="5BF31B56" w14:textId="77777777" w:rsidR="00937542" w:rsidRDefault="0093754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86CA3C3" w14:textId="77777777" w:rsidR="00937542" w:rsidRDefault="00937542" w:rsidP="006E08B3"/>
        <w:p w14:paraId="1AD335E7" w14:textId="77777777" w:rsidR="00937542" w:rsidRDefault="00937542" w:rsidP="006E08B3">
          <w:pPr>
            <w:pStyle w:val="Heading3"/>
          </w:pPr>
          <w:r>
            <w:t>Confidentiality</w:t>
          </w:r>
        </w:p>
        <w:p w14:paraId="33C78C07" w14:textId="77777777" w:rsidR="00937542" w:rsidRDefault="0093754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953A95C" w14:textId="77777777" w:rsidR="00937542" w:rsidRDefault="00937542" w:rsidP="006E08B3"/>
        <w:p w14:paraId="6994E677" w14:textId="77777777" w:rsidR="00937542" w:rsidRDefault="00937542" w:rsidP="006E08B3">
          <w:r>
            <w:t>For submission made by individuals, all personal details, other than your name, will be removed from your submission before it is published on the TGA’s Internet site.</w:t>
          </w:r>
        </w:p>
        <w:p w14:paraId="105A5E57" w14:textId="77777777" w:rsidR="00937542" w:rsidRDefault="00937542" w:rsidP="006E08B3"/>
        <w:p w14:paraId="75E1F3CA" w14:textId="77777777" w:rsidR="00937542" w:rsidRDefault="00937542" w:rsidP="006E08B3">
          <w:r>
            <w:t>In addition, a list of parties making submissions will be published. If you do not wish to be identified with your submission you must specifically request this in the space provided in the submission coversheet.</w:t>
          </w:r>
        </w:p>
      </w:tc>
    </w:tr>
    <w:tr w:rsidR="00937542" w14:paraId="122B9DAE" w14:textId="77777777" w:rsidTr="0010601F">
      <w:trPr>
        <w:trHeight w:val="417"/>
      </w:trPr>
      <w:tc>
        <w:tcPr>
          <w:tcW w:w="4519" w:type="dxa"/>
          <w:tcBorders>
            <w:top w:val="single" w:sz="4" w:space="0" w:color="auto"/>
          </w:tcBorders>
          <w:tcMar>
            <w:top w:w="142" w:type="dxa"/>
            <w:bottom w:w="0" w:type="dxa"/>
          </w:tcMar>
        </w:tcPr>
        <w:p w14:paraId="0DD7970F" w14:textId="77777777" w:rsidR="00937542" w:rsidRDefault="00937542" w:rsidP="006E08B3">
          <w:r>
            <w:t>Document title, Part #, Section # - Section title</w:t>
          </w:r>
        </w:p>
        <w:p w14:paraId="22CAD02D" w14:textId="77777777" w:rsidR="00937542" w:rsidRDefault="00937542" w:rsidP="006E08B3">
          <w:r>
            <w:t>V1.0 October 2010</w:t>
          </w:r>
        </w:p>
      </w:tc>
      <w:tc>
        <w:tcPr>
          <w:tcW w:w="4356" w:type="dxa"/>
          <w:tcBorders>
            <w:top w:val="single" w:sz="4" w:space="0" w:color="auto"/>
          </w:tcBorders>
          <w:tcMar>
            <w:top w:w="142" w:type="dxa"/>
            <w:bottom w:w="0" w:type="dxa"/>
          </w:tcMar>
        </w:tcPr>
        <w:p w14:paraId="59A10AE3" w14:textId="77777777" w:rsidR="00937542" w:rsidRDefault="0093754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2E4CCF50" w14:textId="77777777" w:rsidR="00937542" w:rsidRDefault="009375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F2CAD" w14:textId="77777777" w:rsidR="002009DE" w:rsidRDefault="002009DE" w:rsidP="00C40A36">
      <w:pPr>
        <w:spacing w:after="0"/>
      </w:pPr>
      <w:r>
        <w:separator/>
      </w:r>
    </w:p>
  </w:footnote>
  <w:footnote w:type="continuationSeparator" w:id="0">
    <w:p w14:paraId="5CEBE491" w14:textId="77777777" w:rsidR="002009DE" w:rsidRDefault="002009DE" w:rsidP="00C40A36">
      <w:pPr>
        <w:spacing w:after="0"/>
      </w:pPr>
      <w:r>
        <w:continuationSeparator/>
      </w:r>
    </w:p>
  </w:footnote>
  <w:footnote w:type="continuationNotice" w:id="1">
    <w:p w14:paraId="5559F1C6" w14:textId="77777777" w:rsidR="002009DE" w:rsidRDefault="002009DE">
      <w:pPr>
        <w:spacing w:before="0" w:after="0" w:line="240" w:lineRule="auto"/>
      </w:pPr>
    </w:p>
  </w:footnote>
  <w:footnote w:id="2">
    <w:p w14:paraId="77637A5C" w14:textId="2B7FAFFE" w:rsidR="00937542" w:rsidRPr="006F18EF" w:rsidRDefault="00937542" w:rsidP="00646F45">
      <w:pPr>
        <w:pStyle w:val="FootnoteText"/>
        <w:rPr>
          <w:iCs/>
          <w:lang w:val="en-GB"/>
        </w:rPr>
      </w:pPr>
      <w:r>
        <w:rPr>
          <w:rStyle w:val="FootnoteReference"/>
        </w:rPr>
        <w:footnoteRef/>
      </w:r>
      <w:r>
        <w:t xml:space="preserve"> </w:t>
      </w:r>
      <w:proofErr w:type="spellStart"/>
      <w:proofErr w:type="gramStart"/>
      <w:r w:rsidRPr="00774862">
        <w:t>Felmeden,</w:t>
      </w:r>
      <w:r w:rsidR="00646F45">
        <w:t>D.C</w:t>
      </w:r>
      <w:proofErr w:type="spellEnd"/>
      <w:r w:rsidR="00646F45">
        <w:t>.</w:t>
      </w:r>
      <w:proofErr w:type="gramEnd"/>
      <w:r w:rsidR="00646F45">
        <w:t xml:space="preserve"> et al.</w:t>
      </w:r>
      <w:r w:rsidRPr="00774862">
        <w:t xml:space="preserve"> Angiogenesis</w:t>
      </w:r>
      <w:r w:rsidR="00646F45" w:rsidRPr="00774862">
        <w:t xml:space="preserve">: Basic Pathophysiology </w:t>
      </w:r>
      <w:r w:rsidR="00646F45">
        <w:t>a</w:t>
      </w:r>
      <w:r w:rsidR="00646F45" w:rsidRPr="00774862">
        <w:t xml:space="preserve">nd Implications </w:t>
      </w:r>
      <w:r w:rsidR="00646F45">
        <w:t>f</w:t>
      </w:r>
      <w:r w:rsidR="00646F45" w:rsidRPr="00774862">
        <w:t>or Disease</w:t>
      </w:r>
      <w:r w:rsidRPr="00774862">
        <w:t xml:space="preserve">, </w:t>
      </w:r>
      <w:proofErr w:type="spellStart"/>
      <w:r w:rsidR="00646F45" w:rsidRPr="00646F45">
        <w:rPr>
          <w:i/>
        </w:rPr>
        <w:t>Eur</w:t>
      </w:r>
      <w:proofErr w:type="spellEnd"/>
      <w:r w:rsidR="00646F45" w:rsidRPr="00646F45">
        <w:rPr>
          <w:i/>
        </w:rPr>
        <w:t xml:space="preserve"> Heart J</w:t>
      </w:r>
      <w:r w:rsidR="00646F45" w:rsidRPr="00646F45">
        <w:rPr>
          <w:iCs/>
        </w:rPr>
        <w:t>, 2003;</w:t>
      </w:r>
      <w:r w:rsidR="00646F45">
        <w:rPr>
          <w:iCs/>
        </w:rPr>
        <w:t xml:space="preserve"> </w:t>
      </w:r>
      <w:r w:rsidR="00646F45" w:rsidRPr="00646F45">
        <w:rPr>
          <w:iCs/>
        </w:rPr>
        <w:t>24(7):</w:t>
      </w:r>
      <w:r w:rsidR="00646F45">
        <w:rPr>
          <w:iCs/>
        </w:rPr>
        <w:t xml:space="preserve"> </w:t>
      </w:r>
      <w:r w:rsidR="00646F45" w:rsidRPr="00646F45">
        <w:rPr>
          <w:iCs/>
        </w:rPr>
        <w:t>586-603</w:t>
      </w:r>
      <w:r w:rsidRPr="00646F45">
        <w:rPr>
          <w:iCs/>
        </w:rPr>
        <w:t>.</w:t>
      </w:r>
    </w:p>
  </w:footnote>
  <w:footnote w:id="3">
    <w:p w14:paraId="696EBFBD" w14:textId="444A04F3" w:rsidR="00937542" w:rsidRPr="00DF06A5" w:rsidRDefault="00937542" w:rsidP="00774862">
      <w:pPr>
        <w:pStyle w:val="FootnoteText"/>
        <w:rPr>
          <w:lang w:val="en-GB"/>
        </w:rPr>
      </w:pPr>
      <w:r>
        <w:rPr>
          <w:rStyle w:val="FootnoteReference"/>
        </w:rPr>
        <w:footnoteRef/>
      </w:r>
      <w:r>
        <w:t xml:space="preserve"> </w:t>
      </w:r>
      <w:r w:rsidRPr="00242789">
        <w:t>Adair</w:t>
      </w:r>
      <w:r w:rsidR="00646F45">
        <w:t>,</w:t>
      </w:r>
      <w:r w:rsidRPr="00242789">
        <w:t xml:space="preserve"> T</w:t>
      </w:r>
      <w:r w:rsidR="00646F45">
        <w:t>.</w:t>
      </w:r>
      <w:r w:rsidRPr="00242789">
        <w:t>H</w:t>
      </w:r>
      <w:r w:rsidR="00646F45">
        <w:t>. and</w:t>
      </w:r>
      <w:r w:rsidRPr="00242789">
        <w:t xml:space="preserve"> </w:t>
      </w:r>
      <w:proofErr w:type="spellStart"/>
      <w:r w:rsidRPr="00242789">
        <w:t>Montani</w:t>
      </w:r>
      <w:proofErr w:type="spellEnd"/>
      <w:r w:rsidR="00646F45">
        <w:t>,</w:t>
      </w:r>
      <w:r w:rsidRPr="00242789">
        <w:t xml:space="preserve"> J</w:t>
      </w:r>
      <w:r w:rsidR="00646F45">
        <w:t>.</w:t>
      </w:r>
      <w:r w:rsidRPr="00242789">
        <w:t>P</w:t>
      </w:r>
      <w:r w:rsidR="00646F45">
        <w:t>.</w:t>
      </w:r>
      <w:r w:rsidRPr="00242789">
        <w:t xml:space="preserve"> Angiogenesis</w:t>
      </w:r>
      <w:r w:rsidR="00646F45">
        <w:t xml:space="preserve">, </w:t>
      </w:r>
      <w:r w:rsidRPr="00646F45">
        <w:rPr>
          <w:i/>
          <w:iCs/>
        </w:rPr>
        <w:t>San Rafael (CA): Morgan &amp; Claypool Life Sciences</w:t>
      </w:r>
      <w:r w:rsidRPr="00242789">
        <w:t>; 2010. Chapter 1, Overview of Angiogenesis.</w:t>
      </w:r>
    </w:p>
  </w:footnote>
  <w:footnote w:id="4">
    <w:p w14:paraId="2B99F1D9" w14:textId="309DB633" w:rsidR="00937542" w:rsidRPr="006F18EF" w:rsidRDefault="00937542">
      <w:pPr>
        <w:pStyle w:val="FootnoteText"/>
        <w:rPr>
          <w:lang w:val="en-GB"/>
        </w:rPr>
      </w:pPr>
      <w:r>
        <w:rPr>
          <w:rStyle w:val="FootnoteReference"/>
        </w:rPr>
        <w:footnoteRef/>
      </w:r>
      <w:r>
        <w:t xml:space="preserve"> </w:t>
      </w:r>
      <w:proofErr w:type="spellStart"/>
      <w:r w:rsidRPr="00736B48">
        <w:t>Carmeliet</w:t>
      </w:r>
      <w:proofErr w:type="spellEnd"/>
      <w:r w:rsidRPr="00736B48">
        <w:t xml:space="preserve">, P. Angiogenesis in </w:t>
      </w:r>
      <w:r w:rsidR="00646F45" w:rsidRPr="00736B48">
        <w:t xml:space="preserve">Health </w:t>
      </w:r>
      <w:r w:rsidR="00646F45">
        <w:t>a</w:t>
      </w:r>
      <w:r w:rsidR="00646F45" w:rsidRPr="00736B48">
        <w:t>nd Disease</w:t>
      </w:r>
      <w:r w:rsidR="00646F45">
        <w:t>,</w:t>
      </w:r>
      <w:r w:rsidRPr="00736B48">
        <w:t xml:space="preserve"> </w:t>
      </w:r>
      <w:r w:rsidRPr="006F18EF">
        <w:rPr>
          <w:i/>
        </w:rPr>
        <w:t xml:space="preserve">Nat </w:t>
      </w:r>
      <w:proofErr w:type="gramStart"/>
      <w:r w:rsidRPr="006F18EF">
        <w:rPr>
          <w:i/>
        </w:rPr>
        <w:t>Med</w:t>
      </w:r>
      <w:r w:rsidRPr="00736B48">
        <w:t xml:space="preserve"> </w:t>
      </w:r>
      <w:r w:rsidR="00646F45">
        <w:t>,</w:t>
      </w:r>
      <w:proofErr w:type="gramEnd"/>
      <w:r w:rsidR="00646F45" w:rsidRPr="00646F45">
        <w:t xml:space="preserve"> 2003;</w:t>
      </w:r>
      <w:r w:rsidR="00646F45">
        <w:t xml:space="preserve"> </w:t>
      </w:r>
      <w:r w:rsidR="00646F45" w:rsidRPr="00646F45">
        <w:t>9(6):</w:t>
      </w:r>
      <w:r w:rsidR="00646F45">
        <w:t xml:space="preserve"> </w:t>
      </w:r>
      <w:r w:rsidR="00646F45" w:rsidRPr="00646F45">
        <w:t>653-</w:t>
      </w:r>
      <w:r w:rsidR="00646F45">
        <w:t>6</w:t>
      </w:r>
      <w:r w:rsidR="00646F45" w:rsidRPr="00646F45">
        <w:t>60</w:t>
      </w:r>
      <w:r w:rsidRPr="00736B48">
        <w:t>.</w:t>
      </w:r>
    </w:p>
  </w:footnote>
  <w:footnote w:id="5">
    <w:p w14:paraId="7BD48203" w14:textId="0CC462FD" w:rsidR="00937542" w:rsidRPr="006F18EF" w:rsidRDefault="00937542">
      <w:pPr>
        <w:pStyle w:val="FootnoteText"/>
        <w:rPr>
          <w:lang w:val="en-GB"/>
        </w:rPr>
      </w:pPr>
      <w:r>
        <w:rPr>
          <w:rStyle w:val="FootnoteReference"/>
        </w:rPr>
        <w:footnoteRef/>
      </w:r>
      <w:r>
        <w:t xml:space="preserve"> </w:t>
      </w:r>
      <w:r w:rsidRPr="00C12685">
        <w:t>Shibuya</w:t>
      </w:r>
      <w:r w:rsidR="00646F45">
        <w:t>,</w:t>
      </w:r>
      <w:r w:rsidRPr="00C12685">
        <w:t xml:space="preserve"> M. Vascular Endothelial Growth Factor (VEGF) and Its Receptor (VEGFR) </w:t>
      </w:r>
      <w:proofErr w:type="spellStart"/>
      <w:r w:rsidRPr="00C12685">
        <w:t>Signaling</w:t>
      </w:r>
      <w:proofErr w:type="spellEnd"/>
      <w:r w:rsidRPr="00C12685">
        <w:t xml:space="preserve"> in Angiogenesis: A Crucial Target for Anti- and Pro-Angiogenic Therapies</w:t>
      </w:r>
      <w:r w:rsidR="00646F45">
        <w:t>,</w:t>
      </w:r>
      <w:r w:rsidRPr="00C12685">
        <w:t xml:space="preserve"> </w:t>
      </w:r>
      <w:r w:rsidRPr="006F18EF">
        <w:rPr>
          <w:i/>
        </w:rPr>
        <w:t>Genes Cancer</w:t>
      </w:r>
      <w:r w:rsidR="00646F45">
        <w:rPr>
          <w:i/>
        </w:rPr>
        <w:t>,</w:t>
      </w:r>
      <w:r w:rsidRPr="00C12685">
        <w:t xml:space="preserve"> 2011;</w:t>
      </w:r>
      <w:r w:rsidR="00646F45">
        <w:t xml:space="preserve"> </w:t>
      </w:r>
      <w:r w:rsidRPr="00C12685">
        <w:t>2(12):</w:t>
      </w:r>
      <w:r w:rsidR="00646F45">
        <w:t xml:space="preserve"> </w:t>
      </w:r>
      <w:r w:rsidRPr="00C12685">
        <w:t>1097-1105.</w:t>
      </w:r>
    </w:p>
  </w:footnote>
  <w:footnote w:id="6">
    <w:p w14:paraId="1394FEE8" w14:textId="37844DEB" w:rsidR="00937542" w:rsidRPr="006F18EF" w:rsidRDefault="00937542">
      <w:pPr>
        <w:pStyle w:val="FootnoteText"/>
        <w:rPr>
          <w:lang w:val="en-GB"/>
        </w:rPr>
      </w:pPr>
      <w:r>
        <w:rPr>
          <w:rStyle w:val="FootnoteReference"/>
        </w:rPr>
        <w:footnoteRef/>
      </w:r>
      <w:r>
        <w:t xml:space="preserve"> </w:t>
      </w:r>
      <w:r w:rsidRPr="008D1512">
        <w:t>Penn</w:t>
      </w:r>
      <w:r w:rsidR="00646F45">
        <w:t>,</w:t>
      </w:r>
      <w:r w:rsidRPr="008D1512">
        <w:t xml:space="preserve"> J</w:t>
      </w:r>
      <w:r w:rsidR="00646F45">
        <w:t>.</w:t>
      </w:r>
      <w:r w:rsidRPr="008D1512">
        <w:t>S</w:t>
      </w:r>
      <w:r w:rsidR="00646F45">
        <w:t>.</w:t>
      </w:r>
      <w:r w:rsidRPr="008D1512">
        <w:t>,</w:t>
      </w:r>
      <w:r w:rsidR="00646F45">
        <w:t xml:space="preserve"> et al.</w:t>
      </w:r>
      <w:r w:rsidRPr="008D1512">
        <w:t xml:space="preserve"> Vascular </w:t>
      </w:r>
      <w:r w:rsidR="00646F45" w:rsidRPr="008D1512">
        <w:t xml:space="preserve">Endothelial Growth Factor </w:t>
      </w:r>
      <w:r w:rsidR="00646F45">
        <w:t>i</w:t>
      </w:r>
      <w:r w:rsidR="00646F45" w:rsidRPr="008D1512">
        <w:t>n Eye Disease</w:t>
      </w:r>
      <w:r w:rsidR="00646F45">
        <w:t>,</w:t>
      </w:r>
      <w:r w:rsidRPr="008D1512">
        <w:t xml:space="preserve"> </w:t>
      </w:r>
      <w:r w:rsidRPr="006F18EF">
        <w:rPr>
          <w:i/>
        </w:rPr>
        <w:t>Prog Retin Eye Res</w:t>
      </w:r>
      <w:r w:rsidR="00646F45">
        <w:rPr>
          <w:i/>
        </w:rPr>
        <w:t>,</w:t>
      </w:r>
      <w:r w:rsidRPr="008D1512">
        <w:t xml:space="preserve"> 2008;</w:t>
      </w:r>
      <w:r w:rsidR="00646F45">
        <w:t xml:space="preserve"> </w:t>
      </w:r>
      <w:r w:rsidRPr="008D1512">
        <w:t>27(4):</w:t>
      </w:r>
      <w:r w:rsidR="00646F45">
        <w:t xml:space="preserve"> </w:t>
      </w:r>
      <w:r w:rsidRPr="008D1512">
        <w:t>331-</w:t>
      </w:r>
      <w:r w:rsidR="00646F45">
        <w:t>3</w:t>
      </w:r>
      <w:r w:rsidRPr="008D1512">
        <w:t>71.</w:t>
      </w:r>
    </w:p>
  </w:footnote>
  <w:footnote w:id="7">
    <w:p w14:paraId="2473A756" w14:textId="15576048" w:rsidR="0056252B" w:rsidRPr="00A3346A" w:rsidRDefault="0056252B" w:rsidP="0056252B">
      <w:pPr>
        <w:pStyle w:val="FootnoteText"/>
        <w:rPr>
          <w:lang w:val="en-GB"/>
        </w:rPr>
      </w:pPr>
      <w:r>
        <w:rPr>
          <w:rStyle w:val="FootnoteReference"/>
        </w:rPr>
        <w:footnoteRef/>
      </w:r>
      <w:r>
        <w:t xml:space="preserve"> </w:t>
      </w:r>
      <w:proofErr w:type="spellStart"/>
      <w:r w:rsidRPr="008D1512">
        <w:t>Kvanta</w:t>
      </w:r>
      <w:proofErr w:type="spellEnd"/>
      <w:r w:rsidR="00646F45">
        <w:t>,</w:t>
      </w:r>
      <w:r w:rsidRPr="008D1512">
        <w:t xml:space="preserve"> A</w:t>
      </w:r>
      <w:r w:rsidR="00646F45">
        <w:t xml:space="preserve">. et al. </w:t>
      </w:r>
      <w:proofErr w:type="spellStart"/>
      <w:r w:rsidRPr="008D1512">
        <w:t>Subfoveal</w:t>
      </w:r>
      <w:proofErr w:type="spellEnd"/>
      <w:r w:rsidRPr="008D1512">
        <w:t xml:space="preserve"> </w:t>
      </w:r>
      <w:r w:rsidR="00646F45" w:rsidRPr="008D1512">
        <w:t xml:space="preserve">Fibrovascular Membranes </w:t>
      </w:r>
      <w:r w:rsidR="00646F45">
        <w:t>i</w:t>
      </w:r>
      <w:r w:rsidR="00646F45" w:rsidRPr="008D1512">
        <w:t>n Age-Related Macular Degeneration Express Vascular Endothelial Growth Factor</w:t>
      </w:r>
      <w:r w:rsidR="00646F45">
        <w:t xml:space="preserve">, </w:t>
      </w:r>
      <w:r w:rsidRPr="00A3346A">
        <w:rPr>
          <w:i/>
        </w:rPr>
        <w:t xml:space="preserve">Invest </w:t>
      </w:r>
      <w:proofErr w:type="spellStart"/>
      <w:r w:rsidRPr="00A3346A">
        <w:rPr>
          <w:i/>
        </w:rPr>
        <w:t>Ophthalmol</w:t>
      </w:r>
      <w:proofErr w:type="spellEnd"/>
      <w:r w:rsidRPr="00A3346A">
        <w:rPr>
          <w:i/>
        </w:rPr>
        <w:t xml:space="preserve"> Vis Sci</w:t>
      </w:r>
      <w:r w:rsidR="00646F45">
        <w:rPr>
          <w:i/>
        </w:rPr>
        <w:t>,</w:t>
      </w:r>
      <w:r w:rsidRPr="008D1512">
        <w:t xml:space="preserve"> 1996;</w:t>
      </w:r>
      <w:r w:rsidR="00646F45">
        <w:t xml:space="preserve"> </w:t>
      </w:r>
      <w:r w:rsidRPr="008D1512">
        <w:t>37(9):</w:t>
      </w:r>
      <w:r w:rsidR="00646F45">
        <w:t xml:space="preserve"> </w:t>
      </w:r>
      <w:r w:rsidRPr="008D1512">
        <w:t>1929-</w:t>
      </w:r>
      <w:r w:rsidR="00646F45">
        <w:t>19</w:t>
      </w:r>
      <w:r w:rsidRPr="008D1512">
        <w:t>34.</w:t>
      </w:r>
    </w:p>
  </w:footnote>
  <w:footnote w:id="8">
    <w:p w14:paraId="0345BD98" w14:textId="7FC6B44C" w:rsidR="0056252B" w:rsidRPr="002F7D4D" w:rsidRDefault="0056252B" w:rsidP="0056252B">
      <w:pPr>
        <w:pStyle w:val="FootnoteText"/>
        <w:rPr>
          <w:lang w:val="en-GB"/>
        </w:rPr>
      </w:pPr>
      <w:r>
        <w:rPr>
          <w:rStyle w:val="FootnoteReference"/>
        </w:rPr>
        <w:footnoteRef/>
      </w:r>
      <w:r>
        <w:t xml:space="preserve"> </w:t>
      </w:r>
      <w:proofErr w:type="spellStart"/>
      <w:r w:rsidRPr="008D1512">
        <w:t>Pe'er</w:t>
      </w:r>
      <w:proofErr w:type="spellEnd"/>
      <w:r w:rsidR="00646F45">
        <w:t>,</w:t>
      </w:r>
      <w:r w:rsidRPr="008D1512">
        <w:t xml:space="preserve"> J</w:t>
      </w:r>
      <w:r w:rsidR="00646F45">
        <w:t>. et al</w:t>
      </w:r>
      <w:r w:rsidRPr="008D1512">
        <w:t xml:space="preserve">, Vascular </w:t>
      </w:r>
      <w:r w:rsidR="006F18EF" w:rsidRPr="008D1512">
        <w:t xml:space="preserve">Endothelial Growth Factor Upregulation </w:t>
      </w:r>
      <w:r w:rsidR="006F18EF">
        <w:t>i</w:t>
      </w:r>
      <w:r w:rsidR="006F18EF" w:rsidRPr="008D1512">
        <w:t>n Human Central Retinal Vein Occlusion</w:t>
      </w:r>
      <w:r w:rsidR="006F18EF">
        <w:t>,</w:t>
      </w:r>
      <w:r w:rsidRPr="008D1512">
        <w:t xml:space="preserve"> </w:t>
      </w:r>
      <w:r w:rsidRPr="002F7D4D">
        <w:rPr>
          <w:i/>
        </w:rPr>
        <w:t>Ophthalmology</w:t>
      </w:r>
      <w:r w:rsidR="006F18EF">
        <w:rPr>
          <w:i/>
        </w:rPr>
        <w:t>,</w:t>
      </w:r>
      <w:r w:rsidRPr="008D1512">
        <w:t xml:space="preserve"> 1998</w:t>
      </w:r>
      <w:r w:rsidR="006F18EF">
        <w:t xml:space="preserve">; </w:t>
      </w:r>
      <w:r w:rsidRPr="008D1512">
        <w:t>105(3):</w:t>
      </w:r>
      <w:r w:rsidR="006F18EF">
        <w:t xml:space="preserve"> </w:t>
      </w:r>
      <w:r w:rsidRPr="008D1512">
        <w:t>412-</w:t>
      </w:r>
      <w:r w:rsidR="006F18EF">
        <w:t>41</w:t>
      </w:r>
      <w:r w:rsidRPr="008D1512">
        <w:t>6.</w:t>
      </w:r>
    </w:p>
  </w:footnote>
  <w:footnote w:id="9">
    <w:p w14:paraId="50D1CF8F" w14:textId="7B12F96D" w:rsidR="00937542" w:rsidRPr="006F18EF" w:rsidRDefault="00937542">
      <w:pPr>
        <w:pStyle w:val="FootnoteText"/>
        <w:rPr>
          <w:lang w:val="en-GB"/>
        </w:rPr>
      </w:pPr>
      <w:r>
        <w:rPr>
          <w:rStyle w:val="FootnoteReference"/>
        </w:rPr>
        <w:footnoteRef/>
      </w:r>
      <w:r>
        <w:t xml:space="preserve"> </w:t>
      </w:r>
      <w:r w:rsidRPr="008D1512">
        <w:t>Aiello</w:t>
      </w:r>
      <w:r w:rsidR="006F18EF">
        <w:t>,</w:t>
      </w:r>
      <w:r w:rsidRPr="008D1512">
        <w:t xml:space="preserve"> L</w:t>
      </w:r>
      <w:r w:rsidR="006F18EF">
        <w:t>.</w:t>
      </w:r>
      <w:r w:rsidRPr="008D1512">
        <w:t>P</w:t>
      </w:r>
      <w:r w:rsidR="006F18EF">
        <w:t>.</w:t>
      </w:r>
      <w:r w:rsidRPr="008D1512">
        <w:t xml:space="preserve"> et al. Vascular </w:t>
      </w:r>
      <w:r w:rsidR="006F18EF" w:rsidRPr="008D1512">
        <w:t xml:space="preserve">Endothelial Growth Factor </w:t>
      </w:r>
      <w:r w:rsidR="006F18EF">
        <w:t>i</w:t>
      </w:r>
      <w:r w:rsidR="006F18EF" w:rsidRPr="008D1512">
        <w:t xml:space="preserve">n Ocular Fluid </w:t>
      </w:r>
      <w:r w:rsidR="006F18EF">
        <w:t>o</w:t>
      </w:r>
      <w:r w:rsidR="006F18EF" w:rsidRPr="008D1512">
        <w:t>f Patients with Diabetic Retinopathy and Other Retinal Disorders</w:t>
      </w:r>
      <w:r w:rsidR="006F18EF">
        <w:t>,</w:t>
      </w:r>
      <w:r w:rsidRPr="008D1512">
        <w:t xml:space="preserve"> </w:t>
      </w:r>
      <w:r w:rsidRPr="006F18EF">
        <w:rPr>
          <w:i/>
        </w:rPr>
        <w:t xml:space="preserve">N </w:t>
      </w:r>
      <w:proofErr w:type="spellStart"/>
      <w:r w:rsidRPr="006F18EF">
        <w:rPr>
          <w:i/>
        </w:rPr>
        <w:t>Engl</w:t>
      </w:r>
      <w:proofErr w:type="spellEnd"/>
      <w:r w:rsidRPr="006F18EF">
        <w:rPr>
          <w:i/>
        </w:rPr>
        <w:t xml:space="preserve"> J Med</w:t>
      </w:r>
      <w:r w:rsidR="006F18EF">
        <w:rPr>
          <w:i/>
        </w:rPr>
        <w:t>,</w:t>
      </w:r>
      <w:r w:rsidRPr="008D1512">
        <w:t xml:space="preserve"> 1994</w:t>
      </w:r>
      <w:r w:rsidR="006F18EF">
        <w:t>;</w:t>
      </w:r>
      <w:r w:rsidRPr="008D1512">
        <w:t xml:space="preserve"> 331(22):</w:t>
      </w:r>
      <w:r w:rsidR="006F18EF">
        <w:t xml:space="preserve"> </w:t>
      </w:r>
      <w:r w:rsidRPr="008D1512">
        <w:t>1480-</w:t>
      </w:r>
      <w:r w:rsidR="006F18EF">
        <w:t>148</w:t>
      </w:r>
      <w:r w:rsidRPr="008D1512">
        <w:t>7.</w:t>
      </w:r>
    </w:p>
  </w:footnote>
  <w:footnote w:id="10">
    <w:p w14:paraId="4FFA10A8" w14:textId="616F2CE6" w:rsidR="0056252B" w:rsidRPr="006F18EF" w:rsidRDefault="0056252B">
      <w:pPr>
        <w:pStyle w:val="FootnoteText"/>
        <w:rPr>
          <w:lang w:val="en-GB"/>
        </w:rPr>
      </w:pPr>
      <w:r>
        <w:rPr>
          <w:rStyle w:val="FootnoteReference"/>
        </w:rPr>
        <w:footnoteRef/>
      </w:r>
      <w:r>
        <w:t xml:space="preserve"> </w:t>
      </w:r>
      <w:r w:rsidRPr="0056252B">
        <w:t>Lien</w:t>
      </w:r>
      <w:r w:rsidR="006F18EF">
        <w:t>,</w:t>
      </w:r>
      <w:r w:rsidRPr="0056252B">
        <w:t xml:space="preserve"> S</w:t>
      </w:r>
      <w:r w:rsidR="006F18EF">
        <w:t>. and</w:t>
      </w:r>
      <w:r w:rsidRPr="0056252B">
        <w:t xml:space="preserve"> Lowman</w:t>
      </w:r>
      <w:r w:rsidR="006F18EF">
        <w:t>,</w:t>
      </w:r>
      <w:r w:rsidRPr="0056252B">
        <w:t xml:space="preserve"> H</w:t>
      </w:r>
      <w:r w:rsidR="006F18EF">
        <w:t>.</w:t>
      </w:r>
      <w:r w:rsidRPr="0056252B">
        <w:t xml:space="preserve">B. Therapeutic </w:t>
      </w:r>
      <w:r w:rsidR="006F18EF" w:rsidRPr="0056252B">
        <w:t>Anti</w:t>
      </w:r>
      <w:r w:rsidRPr="0056252B">
        <w:t xml:space="preserve">-VEGF </w:t>
      </w:r>
      <w:r w:rsidR="006F18EF" w:rsidRPr="0056252B">
        <w:t>Antibodies</w:t>
      </w:r>
      <w:r w:rsidR="006F18EF">
        <w:t>,</w:t>
      </w:r>
      <w:r w:rsidRPr="0056252B">
        <w:t xml:space="preserve"> </w:t>
      </w:r>
      <w:proofErr w:type="spellStart"/>
      <w:r w:rsidRPr="006F18EF">
        <w:rPr>
          <w:i/>
        </w:rPr>
        <w:t>Handb</w:t>
      </w:r>
      <w:proofErr w:type="spellEnd"/>
      <w:r w:rsidRPr="006F18EF">
        <w:rPr>
          <w:i/>
        </w:rPr>
        <w:t xml:space="preserve"> Exp </w:t>
      </w:r>
      <w:proofErr w:type="spellStart"/>
      <w:r w:rsidRPr="006F18EF">
        <w:rPr>
          <w:i/>
        </w:rPr>
        <w:t>Pharmacol</w:t>
      </w:r>
      <w:proofErr w:type="spellEnd"/>
      <w:r w:rsidR="006F18EF">
        <w:rPr>
          <w:i/>
        </w:rPr>
        <w:t>,</w:t>
      </w:r>
      <w:r w:rsidRPr="0056252B">
        <w:t xml:space="preserve"> 2008;</w:t>
      </w:r>
      <w:r w:rsidR="006F18EF">
        <w:t xml:space="preserve"> </w:t>
      </w:r>
      <w:r w:rsidRPr="0056252B">
        <w:t>(181):</w:t>
      </w:r>
      <w:r w:rsidR="006F18EF">
        <w:t xml:space="preserve"> </w:t>
      </w:r>
      <w:r w:rsidRPr="0056252B">
        <w:t>131-150.</w:t>
      </w:r>
    </w:p>
  </w:footnote>
  <w:footnote w:id="11">
    <w:p w14:paraId="7B80DF3C" w14:textId="77777777" w:rsidR="00937542" w:rsidRDefault="00937542" w:rsidP="004A3F96">
      <w:pPr>
        <w:pStyle w:val="FootnoteText"/>
      </w:pPr>
      <w:r>
        <w:rPr>
          <w:rStyle w:val="FootnoteReference"/>
        </w:rPr>
        <w:footnoteRef/>
      </w:r>
      <w:r>
        <w:t xml:space="preserve"> A </w:t>
      </w:r>
      <w:r w:rsidRPr="006F18EF">
        <w:rPr>
          <w:b/>
        </w:rPr>
        <w:t>biosimilar medicine</w:t>
      </w:r>
      <w:r>
        <w:t xml:space="preserve"> is a version of a biological medicine that is already registered and is referred to as the 'reference medicine'.</w:t>
      </w:r>
    </w:p>
    <w:p w14:paraId="00106BEF" w14:textId="6B4ACAD3" w:rsidR="00937542" w:rsidRDefault="00937542" w:rsidP="00D962E0">
      <w:pPr>
        <w:pStyle w:val="FootnoteText"/>
      </w:pPr>
      <w:r>
        <w:t>Both the biosimilar medicine and its reference medicine will have similar core characteristics such as physicochemical, biological, immunological, efficacy and safety, which are demonstrated using comprehensive comparability studies. Most biosimilar medicines are likely to contain biotechnology-derived p</w:t>
      </w:r>
      <w:r w:rsidR="00D962E0">
        <w:t>roteins as the active substance, but includes other biosimilar medicines, such as those consisting of vaccines, and polysaccharides, such as low molecular weight heparins.</w:t>
      </w:r>
    </w:p>
    <w:p w14:paraId="2F5400A2" w14:textId="3F504D1F" w:rsidR="00DF2553" w:rsidRPr="00D962E0" w:rsidRDefault="00DF2553" w:rsidP="00D962E0">
      <w:pPr>
        <w:pStyle w:val="FootnoteText"/>
      </w:pPr>
      <w:r>
        <w:t xml:space="preserve">Further information on biosimilar medicines is available from the TGA website: </w:t>
      </w:r>
      <w:hyperlink r:id="rId1" w:history="1">
        <w:r>
          <w:rPr>
            <w:rStyle w:val="Hyperlink"/>
          </w:rPr>
          <w:t>Biosimilar medicines regulation | Therapeutic Goods Administration (TGA)</w:t>
        </w:r>
      </w:hyperlink>
    </w:p>
  </w:footnote>
  <w:footnote w:id="12">
    <w:p w14:paraId="4A73B07D" w14:textId="3C7FF96B" w:rsidR="00937542" w:rsidRDefault="00937542">
      <w:pPr>
        <w:pStyle w:val="FootnoteText"/>
      </w:pPr>
      <w:r>
        <w:rPr>
          <w:rStyle w:val="FootnoteReference"/>
        </w:rPr>
        <w:footnoteRef/>
      </w:r>
      <w:r>
        <w:t xml:space="preserve"> </w:t>
      </w:r>
      <w:r w:rsidRPr="00032300">
        <w:rPr>
          <w:b/>
          <w:bCs/>
        </w:rPr>
        <w:t>Good Manufacturing Practice (GMP)</w:t>
      </w:r>
      <w:r w:rsidRPr="00032300">
        <w:t xml:space="preserve"> is a code of standards that describes a set of principles and procedures that when followed helps ensure that therapeutic goods are of high quality.</w:t>
      </w:r>
    </w:p>
  </w:footnote>
  <w:footnote w:id="13">
    <w:p w14:paraId="1550E4DA" w14:textId="299DF8DE" w:rsidR="00937542" w:rsidRDefault="00937542">
      <w:pPr>
        <w:pStyle w:val="FootnoteText"/>
      </w:pPr>
      <w:r>
        <w:rPr>
          <w:rStyle w:val="FootnoteReference"/>
        </w:rPr>
        <w:footnoteRef/>
      </w:r>
      <w:r>
        <w:t xml:space="preserve"> </w:t>
      </w:r>
      <w:r w:rsidRPr="00032300">
        <w:t xml:space="preserve">A </w:t>
      </w:r>
      <w:r w:rsidRPr="00032300">
        <w:rPr>
          <w:b/>
          <w:bCs/>
        </w:rPr>
        <w:t>Category 3 application</w:t>
      </w:r>
      <w:r w:rsidRPr="00032300">
        <w:t xml:space="preserve"> relates to updates to the quality data of medicines already included on the Australian Register of Therapeutic Goods (ARTG) which, in the opinion of the TGA, do not need to be supported by clinical, non-clinical or bioequivalence data.</w:t>
      </w:r>
    </w:p>
  </w:footnote>
  <w:footnote w:id="14">
    <w:p w14:paraId="72FB8C89" w14:textId="2E14B404" w:rsidR="00937542" w:rsidRDefault="00937542">
      <w:pPr>
        <w:pStyle w:val="FootnoteText"/>
      </w:pPr>
      <w:r>
        <w:rPr>
          <w:rStyle w:val="FootnoteReference"/>
        </w:rPr>
        <w:footnoteRef/>
      </w:r>
      <w:r>
        <w:t xml:space="preserve"> </w:t>
      </w:r>
      <w:r w:rsidRPr="00EB5AA0">
        <w:t>European Medicines Agency (EMA), Committee for Medicinal Products for Human Use (CHMP), Guideline on Similar Biological Medicinal Products Containing Monoclonal Antibodies - Non-clinical and Clinical Issues, EMA/CHMP/BMWP/403543/2010, 30 May 2012.</w:t>
      </w:r>
    </w:p>
  </w:footnote>
  <w:footnote w:id="15">
    <w:p w14:paraId="4E11F58C" w14:textId="30979C8E" w:rsidR="00937542" w:rsidRDefault="00937542">
      <w:pPr>
        <w:pStyle w:val="FootnoteText"/>
      </w:pPr>
      <w:r>
        <w:rPr>
          <w:rStyle w:val="FootnoteReference"/>
        </w:rPr>
        <w:footnoteRef/>
      </w:r>
      <w:r>
        <w:t xml:space="preserve"> </w:t>
      </w:r>
      <w:r w:rsidRPr="00326373">
        <w:t xml:space="preserve">European Medicines Agency (EMA), </w:t>
      </w:r>
      <w:bookmarkStart w:id="36" w:name="_Hlk129190159"/>
      <w:r w:rsidRPr="00326373">
        <w:t xml:space="preserve">Committee for Medicinal Products for Human Use </w:t>
      </w:r>
      <w:bookmarkEnd w:id="36"/>
      <w:r w:rsidRPr="00326373">
        <w:t>(CHMP), Guideline on Similar Biological Medicinal Products Containing Biotechnology Derived Proteins as Active Substance: Non-clinical and Clinical Issues, EMEA/CHMP/BMWP/42832/2005 Rev1, 18 December 2014.</w:t>
      </w:r>
    </w:p>
  </w:footnote>
  <w:footnote w:id="16">
    <w:p w14:paraId="2369D4E9" w14:textId="3BA6A4B3" w:rsidR="00937542" w:rsidRDefault="00937542" w:rsidP="00C4167E">
      <w:pPr>
        <w:pStyle w:val="FootnoteText"/>
      </w:pPr>
      <w:r>
        <w:rPr>
          <w:rStyle w:val="FootnoteReference"/>
        </w:rPr>
        <w:footnoteRef/>
      </w:r>
      <w:r>
        <w:t xml:space="preserve">The </w:t>
      </w:r>
      <w:r w:rsidRPr="00C4167E">
        <w:rPr>
          <w:b/>
          <w:bCs/>
        </w:rPr>
        <w:t>National Eye Institute 25-item visual function questionnaire</w:t>
      </w:r>
      <w:r>
        <w:t xml:space="preserve"> is a survey that measures the dimensions of self-reported vision-targeted health status that are most important for persons who have chronic eye diseases. The questionnaire consists of a base set of 25 vision targeted questions representing 11 vision-related constructs, plus an additional single-item general health rating question.</w:t>
      </w:r>
    </w:p>
  </w:footnote>
  <w:footnote w:id="17">
    <w:p w14:paraId="25450149" w14:textId="69DFED60" w:rsidR="00937542" w:rsidRDefault="00937542">
      <w:pPr>
        <w:pStyle w:val="FootnoteText"/>
      </w:pPr>
      <w:r>
        <w:rPr>
          <w:rStyle w:val="FootnoteReference"/>
        </w:rPr>
        <w:footnoteRef/>
      </w:r>
      <w:r>
        <w:t xml:space="preserve"> </w:t>
      </w:r>
      <w:r w:rsidRPr="006153E6">
        <w:t xml:space="preserve">The </w:t>
      </w:r>
      <w:r w:rsidRPr="006153E6">
        <w:rPr>
          <w:b/>
          <w:bCs/>
        </w:rPr>
        <w:t>per-protocol analysis</w:t>
      </w:r>
      <w:r w:rsidRPr="006153E6">
        <w:t xml:space="preserve"> is restricted to the participants who strictly adhered to the protocol. Also known as ‘on-treatment’ analysis.</w:t>
      </w:r>
    </w:p>
  </w:footnote>
  <w:footnote w:id="18">
    <w:p w14:paraId="578B5D50" w14:textId="77777777" w:rsidR="00937542" w:rsidRDefault="00937542" w:rsidP="008F1364">
      <w:pPr>
        <w:pStyle w:val="FootnoteText"/>
      </w:pPr>
      <w:r>
        <w:rPr>
          <w:rStyle w:val="FootnoteReference"/>
        </w:rPr>
        <w:footnoteRef/>
      </w:r>
      <w:r>
        <w:t xml:space="preserve"> European Medicines Agency (EMA), </w:t>
      </w:r>
      <w:r w:rsidRPr="006E156B">
        <w:t>Committee for Medicinal Products for Human Use (CHMP)</w:t>
      </w:r>
      <w:r>
        <w:t xml:space="preserve">, Assessment Report for </w:t>
      </w:r>
      <w:proofErr w:type="spellStart"/>
      <w:r>
        <w:t>Byooviz</w:t>
      </w:r>
      <w:proofErr w:type="spellEnd"/>
      <w:r>
        <w:t xml:space="preserve">, International Non-proprietary Name: Ranibizumab, </w:t>
      </w:r>
      <w:r w:rsidRPr="006E156B">
        <w:t>EMA/446448/2021</w:t>
      </w:r>
      <w:r>
        <w:t xml:space="preserve">, </w:t>
      </w:r>
      <w:r w:rsidRPr="006E156B">
        <w:t>24 June 2021</w:t>
      </w:r>
      <w:r>
        <w:t>.</w:t>
      </w:r>
    </w:p>
  </w:footnote>
  <w:footnote w:id="19">
    <w:p w14:paraId="055441B8" w14:textId="29A63F27" w:rsidR="00937542" w:rsidRDefault="00937542">
      <w:pPr>
        <w:pStyle w:val="FootnoteText"/>
      </w:pPr>
      <w:r>
        <w:rPr>
          <w:rStyle w:val="FootnoteReference"/>
        </w:rPr>
        <w:footnoteRef/>
      </w:r>
      <w:r>
        <w:t xml:space="preserve"> </w:t>
      </w:r>
      <w:r w:rsidRPr="007F6F40">
        <w:t xml:space="preserve">The </w:t>
      </w:r>
      <w:r w:rsidRPr="007F6F40">
        <w:rPr>
          <w:b/>
          <w:bCs/>
        </w:rPr>
        <w:t>Medical Dictionary for Regulatory Activities (MedDRA)</w:t>
      </w:r>
      <w:r w:rsidRPr="007F6F40">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proofErr w:type="gramStart"/>
      <w:r w:rsidRPr="007F6F40">
        <w:t>documentation</w:t>
      </w:r>
      <w:proofErr w:type="gramEnd"/>
      <w:r w:rsidRPr="007F6F40">
        <w:t xml:space="preserve">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20">
    <w:p w14:paraId="5B5FA040" w14:textId="77777777" w:rsidR="00937542" w:rsidRDefault="00937542" w:rsidP="008F1364">
      <w:pPr>
        <w:pStyle w:val="FootnoteText"/>
      </w:pPr>
      <w:r>
        <w:rPr>
          <w:rStyle w:val="FootnoteReference"/>
        </w:rPr>
        <w:footnoteRef/>
      </w:r>
      <w:r>
        <w:t xml:space="preserve"> European Medicines Agency (EMA), </w:t>
      </w:r>
      <w:r w:rsidRPr="006E156B">
        <w:t>Committee for Medicinal Products for Human Use (CHMP)</w:t>
      </w:r>
      <w:r>
        <w:t xml:space="preserve">, Assessment Report for </w:t>
      </w:r>
      <w:proofErr w:type="spellStart"/>
      <w:r>
        <w:t>Byooviz</w:t>
      </w:r>
      <w:proofErr w:type="spellEnd"/>
      <w:r>
        <w:t xml:space="preserve">, International Non-proprietary Name: Ranibizumab, </w:t>
      </w:r>
      <w:r w:rsidRPr="006E156B">
        <w:t>EMA/446448/2021</w:t>
      </w:r>
      <w:r>
        <w:t xml:space="preserve">, </w:t>
      </w:r>
      <w:r w:rsidRPr="006E156B">
        <w:t>24 June 2021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B242" w14:textId="77777777" w:rsidR="00937542" w:rsidRDefault="00937542"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EF9C" w14:textId="77777777" w:rsidR="00937542" w:rsidRDefault="00937542">
    <w:pPr>
      <w:rPr>
        <w:noProof/>
        <w:lang w:eastAsia="en-AU"/>
      </w:rPr>
    </w:pPr>
    <w:r w:rsidRPr="00347824">
      <w:rPr>
        <w:noProof/>
        <w:lang w:val="en-GB" w:eastAsia="en-GB"/>
      </w:rPr>
      <w:drawing>
        <wp:anchor distT="0" distB="0" distL="114300" distR="114300" simplePos="0" relativeHeight="251658240" behindDoc="1" locked="0" layoutInCell="1" allowOverlap="1" wp14:anchorId="1D813907" wp14:editId="0175788B">
          <wp:simplePos x="0" y="0"/>
          <wp:positionH relativeFrom="column">
            <wp:posOffset>-1089660</wp:posOffset>
          </wp:positionH>
          <wp:positionV relativeFrom="paragraph">
            <wp:posOffset>-585470</wp:posOffset>
          </wp:positionV>
          <wp:extent cx="7572375" cy="10706100"/>
          <wp:effectExtent l="19050" t="0" r="0" b="0"/>
          <wp:wrapNone/>
          <wp:docPr id="8" name="Picture 8"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0495" w14:textId="77777777" w:rsidR="00937542" w:rsidRDefault="00937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3653" w14:textId="77777777" w:rsidR="00937542" w:rsidRDefault="00937542">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04EE" w14:textId="77777777" w:rsidR="00937542" w:rsidRDefault="00937542">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76FD" w14:textId="77777777" w:rsidR="00937542" w:rsidRDefault="009375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E094" w14:textId="77777777" w:rsidR="00937542" w:rsidRDefault="00937542"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229F" w14:textId="77777777" w:rsidR="00937542" w:rsidRDefault="00937542" w:rsidP="006E08B3">
    <w:r>
      <w:t>Therapeutic Goods Administration</w:t>
    </w:r>
  </w:p>
  <w:p w14:paraId="633F256C" w14:textId="77777777" w:rsidR="00937542" w:rsidRDefault="00937542"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B49E90F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7CF3F23"/>
    <w:multiLevelType w:val="hybridMultilevel"/>
    <w:tmpl w:val="AD90F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676D56"/>
    <w:multiLevelType w:val="hybridMultilevel"/>
    <w:tmpl w:val="AC3E3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8A43AA8"/>
    <w:multiLevelType w:val="hybridMultilevel"/>
    <w:tmpl w:val="FB440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BF5B82"/>
    <w:multiLevelType w:val="hybridMultilevel"/>
    <w:tmpl w:val="98706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23A40BE"/>
    <w:multiLevelType w:val="hybridMultilevel"/>
    <w:tmpl w:val="D058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60587C"/>
    <w:multiLevelType w:val="hybridMultilevel"/>
    <w:tmpl w:val="E6A4C092"/>
    <w:lvl w:ilvl="0" w:tplc="72769448">
      <w:numFmt w:val="bullet"/>
      <w:lvlText w:val="•"/>
      <w:lvlJc w:val="left"/>
      <w:pPr>
        <w:ind w:left="800" w:hanging="400"/>
      </w:pPr>
      <w:rPr>
        <w:rFonts w:ascii="Malgun Gothic" w:eastAsia="Malgun Gothic" w:hAnsi="Malgun Gothic"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4BB1FE7"/>
    <w:multiLevelType w:val="hybridMultilevel"/>
    <w:tmpl w:val="0D26B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8D9744F"/>
    <w:multiLevelType w:val="hybridMultilevel"/>
    <w:tmpl w:val="B6A2E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10"/>
  </w:num>
  <w:num w:numId="20">
    <w:abstractNumId w:val="10"/>
  </w:num>
  <w:num w:numId="21">
    <w:abstractNumId w:val="10"/>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20"/>
  </w:num>
  <w:num w:numId="29">
    <w:abstractNumId w:val="8"/>
  </w:num>
  <w:num w:numId="30">
    <w:abstractNumId w:val="12"/>
  </w:num>
  <w:num w:numId="31">
    <w:abstractNumId w:val="5"/>
  </w:num>
  <w:num w:numId="32">
    <w:abstractNumId w:val="16"/>
  </w:num>
  <w:num w:numId="33">
    <w:abstractNumId w:val="4"/>
  </w:num>
  <w:num w:numId="34">
    <w:abstractNumId w:val="13"/>
  </w:num>
  <w:num w:numId="35">
    <w:abstractNumId w:val="17"/>
  </w:num>
  <w:num w:numId="36">
    <w:abstractNumId w:val="14"/>
  </w:num>
  <w:num w:numId="37">
    <w:abstractNumId w:val="19"/>
  </w:num>
  <w:num w:numId="38">
    <w:abstractNumId w:val="9"/>
  </w:num>
  <w:num w:numId="39">
    <w:abstractNumId w:val="11"/>
  </w:num>
  <w:num w:numId="40">
    <w:abstractNumId w:val="6"/>
  </w:num>
  <w:num w:numId="41">
    <w:abstractNumId w:val="21"/>
  </w:num>
  <w:num w:numId="42">
    <w:abstractNumId w:val="18"/>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91"/>
    <w:rsid w:val="00002031"/>
    <w:rsid w:val="00004734"/>
    <w:rsid w:val="00006B22"/>
    <w:rsid w:val="00006FAB"/>
    <w:rsid w:val="0001276A"/>
    <w:rsid w:val="000246AE"/>
    <w:rsid w:val="00025C67"/>
    <w:rsid w:val="00032300"/>
    <w:rsid w:val="00044772"/>
    <w:rsid w:val="0004541C"/>
    <w:rsid w:val="0004623A"/>
    <w:rsid w:val="00046CAF"/>
    <w:rsid w:val="000473CD"/>
    <w:rsid w:val="000519F4"/>
    <w:rsid w:val="00051C70"/>
    <w:rsid w:val="0005559E"/>
    <w:rsid w:val="000604D6"/>
    <w:rsid w:val="00061C5C"/>
    <w:rsid w:val="000734D8"/>
    <w:rsid w:val="00077775"/>
    <w:rsid w:val="00090471"/>
    <w:rsid w:val="00096AA7"/>
    <w:rsid w:val="000A3AED"/>
    <w:rsid w:val="000A5A6A"/>
    <w:rsid w:val="000B3532"/>
    <w:rsid w:val="000B3A75"/>
    <w:rsid w:val="000C00C2"/>
    <w:rsid w:val="000C690F"/>
    <w:rsid w:val="000D1295"/>
    <w:rsid w:val="000D391B"/>
    <w:rsid w:val="000D3D6D"/>
    <w:rsid w:val="000D4FC7"/>
    <w:rsid w:val="000E6196"/>
    <w:rsid w:val="000F4869"/>
    <w:rsid w:val="000F5B42"/>
    <w:rsid w:val="000F6E6F"/>
    <w:rsid w:val="0010381D"/>
    <w:rsid w:val="0010601F"/>
    <w:rsid w:val="0010788A"/>
    <w:rsid w:val="00107A31"/>
    <w:rsid w:val="001101BB"/>
    <w:rsid w:val="00110EA5"/>
    <w:rsid w:val="00111FDF"/>
    <w:rsid w:val="00112F56"/>
    <w:rsid w:val="00117C1F"/>
    <w:rsid w:val="00122C2E"/>
    <w:rsid w:val="00124ACD"/>
    <w:rsid w:val="00125318"/>
    <w:rsid w:val="001305A2"/>
    <w:rsid w:val="00133238"/>
    <w:rsid w:val="00133A1B"/>
    <w:rsid w:val="0014197B"/>
    <w:rsid w:val="00144765"/>
    <w:rsid w:val="001447CD"/>
    <w:rsid w:val="001516B1"/>
    <w:rsid w:val="00154EBB"/>
    <w:rsid w:val="00156316"/>
    <w:rsid w:val="00161181"/>
    <w:rsid w:val="00161D56"/>
    <w:rsid w:val="00162D14"/>
    <w:rsid w:val="00163780"/>
    <w:rsid w:val="00165389"/>
    <w:rsid w:val="001735C1"/>
    <w:rsid w:val="0017693F"/>
    <w:rsid w:val="0018110E"/>
    <w:rsid w:val="00181684"/>
    <w:rsid w:val="001843C6"/>
    <w:rsid w:val="001850E0"/>
    <w:rsid w:val="00185407"/>
    <w:rsid w:val="001A03AF"/>
    <w:rsid w:val="001A2158"/>
    <w:rsid w:val="001A525F"/>
    <w:rsid w:val="001A5A00"/>
    <w:rsid w:val="001A66B8"/>
    <w:rsid w:val="001B09F9"/>
    <w:rsid w:val="001B1DA4"/>
    <w:rsid w:val="001B5C90"/>
    <w:rsid w:val="001B623D"/>
    <w:rsid w:val="001B6448"/>
    <w:rsid w:val="001C32CD"/>
    <w:rsid w:val="001D1582"/>
    <w:rsid w:val="001D2984"/>
    <w:rsid w:val="001E07CF"/>
    <w:rsid w:val="001E359E"/>
    <w:rsid w:val="001E59F1"/>
    <w:rsid w:val="001E607D"/>
    <w:rsid w:val="001F2CEE"/>
    <w:rsid w:val="001F49EB"/>
    <w:rsid w:val="001F5D8D"/>
    <w:rsid w:val="001F6CBA"/>
    <w:rsid w:val="002009DE"/>
    <w:rsid w:val="00201D4E"/>
    <w:rsid w:val="002059C9"/>
    <w:rsid w:val="002076C9"/>
    <w:rsid w:val="00220B8A"/>
    <w:rsid w:val="002257F3"/>
    <w:rsid w:val="0023045A"/>
    <w:rsid w:val="002314EA"/>
    <w:rsid w:val="00233456"/>
    <w:rsid w:val="002339A5"/>
    <w:rsid w:val="002352D9"/>
    <w:rsid w:val="00242789"/>
    <w:rsid w:val="00250271"/>
    <w:rsid w:val="00250F35"/>
    <w:rsid w:val="00257848"/>
    <w:rsid w:val="002578E8"/>
    <w:rsid w:val="0027084A"/>
    <w:rsid w:val="00271E85"/>
    <w:rsid w:val="00274434"/>
    <w:rsid w:val="00280265"/>
    <w:rsid w:val="00286434"/>
    <w:rsid w:val="00286C59"/>
    <w:rsid w:val="00287167"/>
    <w:rsid w:val="00291957"/>
    <w:rsid w:val="002942D1"/>
    <w:rsid w:val="0029501A"/>
    <w:rsid w:val="0029548C"/>
    <w:rsid w:val="002A3721"/>
    <w:rsid w:val="002B1638"/>
    <w:rsid w:val="002B3624"/>
    <w:rsid w:val="002D0952"/>
    <w:rsid w:val="002D1DF4"/>
    <w:rsid w:val="002E40B3"/>
    <w:rsid w:val="002E4C9A"/>
    <w:rsid w:val="002F11F8"/>
    <w:rsid w:val="002F3F56"/>
    <w:rsid w:val="002F44B5"/>
    <w:rsid w:val="002F4676"/>
    <w:rsid w:val="002F5122"/>
    <w:rsid w:val="00311AC0"/>
    <w:rsid w:val="003176FC"/>
    <w:rsid w:val="00324E45"/>
    <w:rsid w:val="00325824"/>
    <w:rsid w:val="0032583B"/>
    <w:rsid w:val="00326373"/>
    <w:rsid w:val="00327883"/>
    <w:rsid w:val="00332715"/>
    <w:rsid w:val="00335504"/>
    <w:rsid w:val="0034082A"/>
    <w:rsid w:val="00340C18"/>
    <w:rsid w:val="003442FD"/>
    <w:rsid w:val="00344E52"/>
    <w:rsid w:val="00347824"/>
    <w:rsid w:val="00350567"/>
    <w:rsid w:val="003521E8"/>
    <w:rsid w:val="00364118"/>
    <w:rsid w:val="00370CE3"/>
    <w:rsid w:val="003728F3"/>
    <w:rsid w:val="003735BC"/>
    <w:rsid w:val="0037496E"/>
    <w:rsid w:val="00383221"/>
    <w:rsid w:val="00386150"/>
    <w:rsid w:val="003874CE"/>
    <w:rsid w:val="00390900"/>
    <w:rsid w:val="003A7F6C"/>
    <w:rsid w:val="003B24EA"/>
    <w:rsid w:val="003B4D60"/>
    <w:rsid w:val="003B7E39"/>
    <w:rsid w:val="003C31E2"/>
    <w:rsid w:val="003C58DC"/>
    <w:rsid w:val="003D1E62"/>
    <w:rsid w:val="003E0B99"/>
    <w:rsid w:val="003E2486"/>
    <w:rsid w:val="003E3208"/>
    <w:rsid w:val="003F0B04"/>
    <w:rsid w:val="0040134E"/>
    <w:rsid w:val="00421B3C"/>
    <w:rsid w:val="00423CFA"/>
    <w:rsid w:val="004327A0"/>
    <w:rsid w:val="004334C7"/>
    <w:rsid w:val="00440A2D"/>
    <w:rsid w:val="00441C3F"/>
    <w:rsid w:val="00444D1A"/>
    <w:rsid w:val="0045186A"/>
    <w:rsid w:val="00454BDC"/>
    <w:rsid w:val="004564A7"/>
    <w:rsid w:val="00456765"/>
    <w:rsid w:val="00460036"/>
    <w:rsid w:val="004617BF"/>
    <w:rsid w:val="00463658"/>
    <w:rsid w:val="004637A0"/>
    <w:rsid w:val="004722CC"/>
    <w:rsid w:val="00480167"/>
    <w:rsid w:val="00490483"/>
    <w:rsid w:val="004936E4"/>
    <w:rsid w:val="00494E60"/>
    <w:rsid w:val="00496C5E"/>
    <w:rsid w:val="00497487"/>
    <w:rsid w:val="004A0CEF"/>
    <w:rsid w:val="004A2771"/>
    <w:rsid w:val="004A3F96"/>
    <w:rsid w:val="004A6189"/>
    <w:rsid w:val="004A6E76"/>
    <w:rsid w:val="004A7390"/>
    <w:rsid w:val="004B7B76"/>
    <w:rsid w:val="004C2131"/>
    <w:rsid w:val="004C239D"/>
    <w:rsid w:val="004C2B1B"/>
    <w:rsid w:val="004C2DCA"/>
    <w:rsid w:val="004C4FBE"/>
    <w:rsid w:val="004C61D2"/>
    <w:rsid w:val="004C7241"/>
    <w:rsid w:val="004C7824"/>
    <w:rsid w:val="004F0C4A"/>
    <w:rsid w:val="004F0F38"/>
    <w:rsid w:val="004F47D6"/>
    <w:rsid w:val="00500337"/>
    <w:rsid w:val="00501921"/>
    <w:rsid w:val="00503558"/>
    <w:rsid w:val="00505417"/>
    <w:rsid w:val="00510941"/>
    <w:rsid w:val="0052149B"/>
    <w:rsid w:val="00523A21"/>
    <w:rsid w:val="00525B9F"/>
    <w:rsid w:val="00530354"/>
    <w:rsid w:val="005329DD"/>
    <w:rsid w:val="0053625B"/>
    <w:rsid w:val="005434C6"/>
    <w:rsid w:val="00543B39"/>
    <w:rsid w:val="00545CDB"/>
    <w:rsid w:val="00546154"/>
    <w:rsid w:val="00550096"/>
    <w:rsid w:val="00555280"/>
    <w:rsid w:val="00557FF9"/>
    <w:rsid w:val="00562327"/>
    <w:rsid w:val="0056252B"/>
    <w:rsid w:val="005711D5"/>
    <w:rsid w:val="00576378"/>
    <w:rsid w:val="00577130"/>
    <w:rsid w:val="00577945"/>
    <w:rsid w:val="00577E38"/>
    <w:rsid w:val="00585322"/>
    <w:rsid w:val="005857C6"/>
    <w:rsid w:val="00585AD2"/>
    <w:rsid w:val="00592F6E"/>
    <w:rsid w:val="00593AD1"/>
    <w:rsid w:val="005A68B6"/>
    <w:rsid w:val="005A75DB"/>
    <w:rsid w:val="005A79F5"/>
    <w:rsid w:val="005A7D5A"/>
    <w:rsid w:val="005C494B"/>
    <w:rsid w:val="005C5570"/>
    <w:rsid w:val="005C5B66"/>
    <w:rsid w:val="005C6489"/>
    <w:rsid w:val="005C79A4"/>
    <w:rsid w:val="005D5442"/>
    <w:rsid w:val="005F01EB"/>
    <w:rsid w:val="00603F32"/>
    <w:rsid w:val="00604A0A"/>
    <w:rsid w:val="00605AD4"/>
    <w:rsid w:val="006136D7"/>
    <w:rsid w:val="006153E6"/>
    <w:rsid w:val="006250EB"/>
    <w:rsid w:val="00625A6E"/>
    <w:rsid w:val="00630691"/>
    <w:rsid w:val="00632398"/>
    <w:rsid w:val="00637253"/>
    <w:rsid w:val="00640FC3"/>
    <w:rsid w:val="00642020"/>
    <w:rsid w:val="006430EE"/>
    <w:rsid w:val="00643CE5"/>
    <w:rsid w:val="00646F45"/>
    <w:rsid w:val="0065337B"/>
    <w:rsid w:val="0065419D"/>
    <w:rsid w:val="006603BC"/>
    <w:rsid w:val="006604D8"/>
    <w:rsid w:val="00664A5B"/>
    <w:rsid w:val="0066735C"/>
    <w:rsid w:val="006763D2"/>
    <w:rsid w:val="00680C08"/>
    <w:rsid w:val="006811E3"/>
    <w:rsid w:val="006901BA"/>
    <w:rsid w:val="006916A0"/>
    <w:rsid w:val="00691DAC"/>
    <w:rsid w:val="006931B1"/>
    <w:rsid w:val="006A15C0"/>
    <w:rsid w:val="006A58A8"/>
    <w:rsid w:val="006B01CB"/>
    <w:rsid w:val="006C3E2A"/>
    <w:rsid w:val="006C642F"/>
    <w:rsid w:val="006D03E5"/>
    <w:rsid w:val="006D5D3E"/>
    <w:rsid w:val="006E08B3"/>
    <w:rsid w:val="006E156B"/>
    <w:rsid w:val="006E7D4A"/>
    <w:rsid w:val="006F17AC"/>
    <w:rsid w:val="006F18EF"/>
    <w:rsid w:val="006F25B8"/>
    <w:rsid w:val="006F572E"/>
    <w:rsid w:val="007046D6"/>
    <w:rsid w:val="00705DB0"/>
    <w:rsid w:val="0072292E"/>
    <w:rsid w:val="00722B57"/>
    <w:rsid w:val="00730F8A"/>
    <w:rsid w:val="00735A8C"/>
    <w:rsid w:val="00736B48"/>
    <w:rsid w:val="0074163C"/>
    <w:rsid w:val="0074253D"/>
    <w:rsid w:val="00744121"/>
    <w:rsid w:val="0074429B"/>
    <w:rsid w:val="007615BC"/>
    <w:rsid w:val="00762F05"/>
    <w:rsid w:val="007652FF"/>
    <w:rsid w:val="007703EF"/>
    <w:rsid w:val="00770CAC"/>
    <w:rsid w:val="00770EF1"/>
    <w:rsid w:val="0077131A"/>
    <w:rsid w:val="00773EF7"/>
    <w:rsid w:val="00774862"/>
    <w:rsid w:val="00774E1D"/>
    <w:rsid w:val="007765D8"/>
    <w:rsid w:val="0077675A"/>
    <w:rsid w:val="00780355"/>
    <w:rsid w:val="007819FD"/>
    <w:rsid w:val="00785717"/>
    <w:rsid w:val="00785721"/>
    <w:rsid w:val="00790597"/>
    <w:rsid w:val="00792989"/>
    <w:rsid w:val="00793A59"/>
    <w:rsid w:val="00793DBB"/>
    <w:rsid w:val="007A46F5"/>
    <w:rsid w:val="007A6505"/>
    <w:rsid w:val="007B6132"/>
    <w:rsid w:val="007B6E9F"/>
    <w:rsid w:val="007C1216"/>
    <w:rsid w:val="007C1AF7"/>
    <w:rsid w:val="007C6B9B"/>
    <w:rsid w:val="007D394B"/>
    <w:rsid w:val="007D53B6"/>
    <w:rsid w:val="007F6F40"/>
    <w:rsid w:val="0080282E"/>
    <w:rsid w:val="00804D99"/>
    <w:rsid w:val="00805D27"/>
    <w:rsid w:val="00806DCB"/>
    <w:rsid w:val="008106E9"/>
    <w:rsid w:val="008110BC"/>
    <w:rsid w:val="00815D7B"/>
    <w:rsid w:val="00821776"/>
    <w:rsid w:val="008321F5"/>
    <w:rsid w:val="00832369"/>
    <w:rsid w:val="00833ED8"/>
    <w:rsid w:val="00834660"/>
    <w:rsid w:val="00834E26"/>
    <w:rsid w:val="008351CA"/>
    <w:rsid w:val="00836BC2"/>
    <w:rsid w:val="0085156D"/>
    <w:rsid w:val="00852B28"/>
    <w:rsid w:val="0085641B"/>
    <w:rsid w:val="00857136"/>
    <w:rsid w:val="00865B03"/>
    <w:rsid w:val="00875A6B"/>
    <w:rsid w:val="00885B11"/>
    <w:rsid w:val="00886D15"/>
    <w:rsid w:val="00887DD8"/>
    <w:rsid w:val="00891BA9"/>
    <w:rsid w:val="00893FDD"/>
    <w:rsid w:val="00896018"/>
    <w:rsid w:val="008960DD"/>
    <w:rsid w:val="0089635C"/>
    <w:rsid w:val="008A2B9D"/>
    <w:rsid w:val="008A3D9F"/>
    <w:rsid w:val="008A5E0B"/>
    <w:rsid w:val="008A6D59"/>
    <w:rsid w:val="008B16D5"/>
    <w:rsid w:val="008B4B03"/>
    <w:rsid w:val="008B596F"/>
    <w:rsid w:val="008B7103"/>
    <w:rsid w:val="008C159F"/>
    <w:rsid w:val="008C1623"/>
    <w:rsid w:val="008C1850"/>
    <w:rsid w:val="008C287E"/>
    <w:rsid w:val="008C51A9"/>
    <w:rsid w:val="008D1512"/>
    <w:rsid w:val="008E7846"/>
    <w:rsid w:val="008F02E5"/>
    <w:rsid w:val="008F1364"/>
    <w:rsid w:val="008F1CCC"/>
    <w:rsid w:val="008F2967"/>
    <w:rsid w:val="008F44A2"/>
    <w:rsid w:val="008F6943"/>
    <w:rsid w:val="00902A21"/>
    <w:rsid w:val="0091523F"/>
    <w:rsid w:val="00920330"/>
    <w:rsid w:val="009219D7"/>
    <w:rsid w:val="00922D53"/>
    <w:rsid w:val="00923038"/>
    <w:rsid w:val="00923B70"/>
    <w:rsid w:val="00924482"/>
    <w:rsid w:val="00930237"/>
    <w:rsid w:val="00931B57"/>
    <w:rsid w:val="00937542"/>
    <w:rsid w:val="00937C17"/>
    <w:rsid w:val="00940A89"/>
    <w:rsid w:val="00941F77"/>
    <w:rsid w:val="00946EA5"/>
    <w:rsid w:val="009556D7"/>
    <w:rsid w:val="00960520"/>
    <w:rsid w:val="00962117"/>
    <w:rsid w:val="00963C08"/>
    <w:rsid w:val="009749D0"/>
    <w:rsid w:val="009752A5"/>
    <w:rsid w:val="0098233C"/>
    <w:rsid w:val="009846A9"/>
    <w:rsid w:val="0098585A"/>
    <w:rsid w:val="00996524"/>
    <w:rsid w:val="009A4C47"/>
    <w:rsid w:val="009A4CED"/>
    <w:rsid w:val="009A690D"/>
    <w:rsid w:val="009B1D12"/>
    <w:rsid w:val="009B265E"/>
    <w:rsid w:val="009B416B"/>
    <w:rsid w:val="009B48B1"/>
    <w:rsid w:val="009C4BD5"/>
    <w:rsid w:val="009D7B77"/>
    <w:rsid w:val="009E0BB0"/>
    <w:rsid w:val="009E3FBB"/>
    <w:rsid w:val="009E5A87"/>
    <w:rsid w:val="009F2673"/>
    <w:rsid w:val="009F7353"/>
    <w:rsid w:val="00A02AE2"/>
    <w:rsid w:val="00A04F85"/>
    <w:rsid w:val="00A05FA4"/>
    <w:rsid w:val="00A102E4"/>
    <w:rsid w:val="00A1219C"/>
    <w:rsid w:val="00A12C42"/>
    <w:rsid w:val="00A14DF7"/>
    <w:rsid w:val="00A15461"/>
    <w:rsid w:val="00A22D57"/>
    <w:rsid w:val="00A3246D"/>
    <w:rsid w:val="00A343DA"/>
    <w:rsid w:val="00A36FA7"/>
    <w:rsid w:val="00A44DDB"/>
    <w:rsid w:val="00A4588A"/>
    <w:rsid w:val="00A475B7"/>
    <w:rsid w:val="00A47AF7"/>
    <w:rsid w:val="00A47C3E"/>
    <w:rsid w:val="00A50226"/>
    <w:rsid w:val="00A608C6"/>
    <w:rsid w:val="00A60BAD"/>
    <w:rsid w:val="00A77F87"/>
    <w:rsid w:val="00A80B5B"/>
    <w:rsid w:val="00A8414C"/>
    <w:rsid w:val="00A84A5B"/>
    <w:rsid w:val="00A84E36"/>
    <w:rsid w:val="00A91B08"/>
    <w:rsid w:val="00A964D1"/>
    <w:rsid w:val="00AA0ED0"/>
    <w:rsid w:val="00AB5306"/>
    <w:rsid w:val="00AC2B40"/>
    <w:rsid w:val="00AC2BB2"/>
    <w:rsid w:val="00AC2C3C"/>
    <w:rsid w:val="00AC512D"/>
    <w:rsid w:val="00AD0083"/>
    <w:rsid w:val="00AD132A"/>
    <w:rsid w:val="00AD3935"/>
    <w:rsid w:val="00AD7B95"/>
    <w:rsid w:val="00AE65EB"/>
    <w:rsid w:val="00AE67A7"/>
    <w:rsid w:val="00AE7664"/>
    <w:rsid w:val="00AF1D94"/>
    <w:rsid w:val="00AF2313"/>
    <w:rsid w:val="00AF60C5"/>
    <w:rsid w:val="00AF7B6B"/>
    <w:rsid w:val="00B009C6"/>
    <w:rsid w:val="00B01548"/>
    <w:rsid w:val="00B0257C"/>
    <w:rsid w:val="00B062C9"/>
    <w:rsid w:val="00B130C5"/>
    <w:rsid w:val="00B13EBD"/>
    <w:rsid w:val="00B1406F"/>
    <w:rsid w:val="00B21D29"/>
    <w:rsid w:val="00B25034"/>
    <w:rsid w:val="00B30650"/>
    <w:rsid w:val="00B3101B"/>
    <w:rsid w:val="00B3332B"/>
    <w:rsid w:val="00B33588"/>
    <w:rsid w:val="00B33863"/>
    <w:rsid w:val="00B37D17"/>
    <w:rsid w:val="00B4175E"/>
    <w:rsid w:val="00B41C85"/>
    <w:rsid w:val="00B44440"/>
    <w:rsid w:val="00B452CE"/>
    <w:rsid w:val="00B4770A"/>
    <w:rsid w:val="00B54C25"/>
    <w:rsid w:val="00B56866"/>
    <w:rsid w:val="00B64EA0"/>
    <w:rsid w:val="00B72BE4"/>
    <w:rsid w:val="00B76B91"/>
    <w:rsid w:val="00B77EB1"/>
    <w:rsid w:val="00B811C6"/>
    <w:rsid w:val="00B855B0"/>
    <w:rsid w:val="00B92E08"/>
    <w:rsid w:val="00B94D96"/>
    <w:rsid w:val="00BA4FAB"/>
    <w:rsid w:val="00BB0B78"/>
    <w:rsid w:val="00BB75D6"/>
    <w:rsid w:val="00BC1D2A"/>
    <w:rsid w:val="00BC622A"/>
    <w:rsid w:val="00BE0A78"/>
    <w:rsid w:val="00BE3F9B"/>
    <w:rsid w:val="00BE6542"/>
    <w:rsid w:val="00BE79F0"/>
    <w:rsid w:val="00BF046D"/>
    <w:rsid w:val="00BF1190"/>
    <w:rsid w:val="00BF3774"/>
    <w:rsid w:val="00BF5D04"/>
    <w:rsid w:val="00BF7063"/>
    <w:rsid w:val="00C009AA"/>
    <w:rsid w:val="00C022B5"/>
    <w:rsid w:val="00C1164D"/>
    <w:rsid w:val="00C12685"/>
    <w:rsid w:val="00C16861"/>
    <w:rsid w:val="00C34133"/>
    <w:rsid w:val="00C346AB"/>
    <w:rsid w:val="00C404A6"/>
    <w:rsid w:val="00C40A36"/>
    <w:rsid w:val="00C4167E"/>
    <w:rsid w:val="00C44419"/>
    <w:rsid w:val="00C45E7B"/>
    <w:rsid w:val="00C471B1"/>
    <w:rsid w:val="00C525A2"/>
    <w:rsid w:val="00C52627"/>
    <w:rsid w:val="00C52E24"/>
    <w:rsid w:val="00C545FE"/>
    <w:rsid w:val="00C6316B"/>
    <w:rsid w:val="00C634A9"/>
    <w:rsid w:val="00C64586"/>
    <w:rsid w:val="00C70A36"/>
    <w:rsid w:val="00C70D53"/>
    <w:rsid w:val="00C71D8F"/>
    <w:rsid w:val="00C73D0B"/>
    <w:rsid w:val="00C74F5C"/>
    <w:rsid w:val="00C772FF"/>
    <w:rsid w:val="00C774B2"/>
    <w:rsid w:val="00C80137"/>
    <w:rsid w:val="00C801AF"/>
    <w:rsid w:val="00C80256"/>
    <w:rsid w:val="00C844DA"/>
    <w:rsid w:val="00C90D7E"/>
    <w:rsid w:val="00C94CD4"/>
    <w:rsid w:val="00C9747E"/>
    <w:rsid w:val="00C979EA"/>
    <w:rsid w:val="00CB05AE"/>
    <w:rsid w:val="00CB0D64"/>
    <w:rsid w:val="00CB6BC0"/>
    <w:rsid w:val="00CC1B7C"/>
    <w:rsid w:val="00CC5044"/>
    <w:rsid w:val="00CC727F"/>
    <w:rsid w:val="00CF15C3"/>
    <w:rsid w:val="00CF2B6F"/>
    <w:rsid w:val="00CF2F3E"/>
    <w:rsid w:val="00CF58B6"/>
    <w:rsid w:val="00CF5DAD"/>
    <w:rsid w:val="00D0062D"/>
    <w:rsid w:val="00D017ED"/>
    <w:rsid w:val="00D040D3"/>
    <w:rsid w:val="00D04C65"/>
    <w:rsid w:val="00D153D8"/>
    <w:rsid w:val="00D201D2"/>
    <w:rsid w:val="00D212F3"/>
    <w:rsid w:val="00D224FE"/>
    <w:rsid w:val="00D23139"/>
    <w:rsid w:val="00D26761"/>
    <w:rsid w:val="00D32C49"/>
    <w:rsid w:val="00D425BB"/>
    <w:rsid w:val="00D453FA"/>
    <w:rsid w:val="00D53D26"/>
    <w:rsid w:val="00D56348"/>
    <w:rsid w:val="00D6493E"/>
    <w:rsid w:val="00D7062C"/>
    <w:rsid w:val="00D7195D"/>
    <w:rsid w:val="00D72CBA"/>
    <w:rsid w:val="00D7301E"/>
    <w:rsid w:val="00D77FF0"/>
    <w:rsid w:val="00D83AE1"/>
    <w:rsid w:val="00D854AC"/>
    <w:rsid w:val="00D855D4"/>
    <w:rsid w:val="00D902C9"/>
    <w:rsid w:val="00D93466"/>
    <w:rsid w:val="00D962E0"/>
    <w:rsid w:val="00DA1124"/>
    <w:rsid w:val="00DA159B"/>
    <w:rsid w:val="00DA64CB"/>
    <w:rsid w:val="00DA7F48"/>
    <w:rsid w:val="00DB06B8"/>
    <w:rsid w:val="00DB594C"/>
    <w:rsid w:val="00DB6124"/>
    <w:rsid w:val="00DB750B"/>
    <w:rsid w:val="00DB75B7"/>
    <w:rsid w:val="00DC0A2F"/>
    <w:rsid w:val="00DC1948"/>
    <w:rsid w:val="00DC6E02"/>
    <w:rsid w:val="00DD28CD"/>
    <w:rsid w:val="00DE02AE"/>
    <w:rsid w:val="00DE1C53"/>
    <w:rsid w:val="00DE39D1"/>
    <w:rsid w:val="00DF1D7F"/>
    <w:rsid w:val="00DF2553"/>
    <w:rsid w:val="00DF2E30"/>
    <w:rsid w:val="00DF4BE4"/>
    <w:rsid w:val="00DF5F27"/>
    <w:rsid w:val="00DF7C6F"/>
    <w:rsid w:val="00E02382"/>
    <w:rsid w:val="00E02FB4"/>
    <w:rsid w:val="00E04221"/>
    <w:rsid w:val="00E075F6"/>
    <w:rsid w:val="00E13FC7"/>
    <w:rsid w:val="00E20571"/>
    <w:rsid w:val="00E20FAE"/>
    <w:rsid w:val="00E235F7"/>
    <w:rsid w:val="00E23659"/>
    <w:rsid w:val="00E239D4"/>
    <w:rsid w:val="00E24EB5"/>
    <w:rsid w:val="00E26130"/>
    <w:rsid w:val="00E33D42"/>
    <w:rsid w:val="00E3731A"/>
    <w:rsid w:val="00E40B22"/>
    <w:rsid w:val="00E44ED1"/>
    <w:rsid w:val="00E45619"/>
    <w:rsid w:val="00E4588F"/>
    <w:rsid w:val="00E46DA3"/>
    <w:rsid w:val="00E47B2B"/>
    <w:rsid w:val="00E51BB1"/>
    <w:rsid w:val="00E55CB0"/>
    <w:rsid w:val="00E624A5"/>
    <w:rsid w:val="00E64BA4"/>
    <w:rsid w:val="00E64F31"/>
    <w:rsid w:val="00E7344E"/>
    <w:rsid w:val="00E82665"/>
    <w:rsid w:val="00EB0798"/>
    <w:rsid w:val="00EB36D6"/>
    <w:rsid w:val="00EB40AD"/>
    <w:rsid w:val="00EB586E"/>
    <w:rsid w:val="00EB5AA0"/>
    <w:rsid w:val="00EB5FC8"/>
    <w:rsid w:val="00EC463D"/>
    <w:rsid w:val="00EC7A85"/>
    <w:rsid w:val="00ED1CBE"/>
    <w:rsid w:val="00ED2922"/>
    <w:rsid w:val="00ED3CAD"/>
    <w:rsid w:val="00ED5A41"/>
    <w:rsid w:val="00EE1DE8"/>
    <w:rsid w:val="00EE27C2"/>
    <w:rsid w:val="00EF4BAD"/>
    <w:rsid w:val="00EF59DC"/>
    <w:rsid w:val="00F033EC"/>
    <w:rsid w:val="00F04F68"/>
    <w:rsid w:val="00F12670"/>
    <w:rsid w:val="00F14B27"/>
    <w:rsid w:val="00F2352F"/>
    <w:rsid w:val="00F3148D"/>
    <w:rsid w:val="00F325C5"/>
    <w:rsid w:val="00F32FE0"/>
    <w:rsid w:val="00F35298"/>
    <w:rsid w:val="00F430FA"/>
    <w:rsid w:val="00F47333"/>
    <w:rsid w:val="00F47E37"/>
    <w:rsid w:val="00F53C07"/>
    <w:rsid w:val="00F54B65"/>
    <w:rsid w:val="00F562F7"/>
    <w:rsid w:val="00F63DBF"/>
    <w:rsid w:val="00F640B6"/>
    <w:rsid w:val="00F66DF2"/>
    <w:rsid w:val="00F76FA0"/>
    <w:rsid w:val="00F80E40"/>
    <w:rsid w:val="00F815BB"/>
    <w:rsid w:val="00F848D9"/>
    <w:rsid w:val="00F931CE"/>
    <w:rsid w:val="00FA05AE"/>
    <w:rsid w:val="00FA4BBA"/>
    <w:rsid w:val="00FA5069"/>
    <w:rsid w:val="00FA5B82"/>
    <w:rsid w:val="00FA639E"/>
    <w:rsid w:val="00FC1FCA"/>
    <w:rsid w:val="00FC25E4"/>
    <w:rsid w:val="00FC4EF7"/>
    <w:rsid w:val="00FD0824"/>
    <w:rsid w:val="00FD119B"/>
    <w:rsid w:val="00FD1EDC"/>
    <w:rsid w:val="00FE1DEE"/>
    <w:rsid w:val="00FE1F4B"/>
    <w:rsid w:val="00FF2126"/>
    <w:rsid w:val="00FF5755"/>
    <w:rsid w:val="00FF69BE"/>
    <w:rsid w:val="00FF7B93"/>
    <w:rsid w:val="158392C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A8FA9"/>
  <w15:docId w15:val="{637951CF-3698-4264-A32C-876AEB5D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AE766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E7664"/>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E3731A"/>
    <w:pPr>
      <w:numPr>
        <w:numId w:val="34"/>
      </w:numPr>
      <w:tabs>
        <w:tab w:val="clear" w:pos="369"/>
        <w:tab w:val="left" w:pos="397"/>
        <w:tab w:val="num" w:pos="511"/>
      </w:tabs>
      <w:spacing w:before="0" w:after="180" w:line="252" w:lineRule="auto"/>
      <w:ind w:left="0" w:firstLine="0"/>
    </w:pPr>
    <w:rPr>
      <w:rFonts w:eastAsia="Times New Roman"/>
      <w:snapToGrid w:val="0"/>
      <w:kern w:val="16"/>
      <w:szCs w:val="24"/>
    </w:rPr>
  </w:style>
  <w:style w:type="paragraph" w:customStyle="1" w:styleId="Bulletlist">
    <w:name w:val="Bullet list"/>
    <w:basedOn w:val="Normal"/>
    <w:link w:val="BulletlistChar"/>
    <w:qFormat/>
    <w:rsid w:val="000519F4"/>
    <w:pPr>
      <w:numPr>
        <w:numId w:val="40"/>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0519F4"/>
    <w:rPr>
      <w:rFonts w:ascii="Cambria" w:eastAsia="Times New Roman" w:hAnsi="Cambria" w:cs="Times New Roman"/>
      <w:snapToGrid w:val="0"/>
      <w:kern w:val="2"/>
      <w:sz w:val="23"/>
    </w:rPr>
  </w:style>
  <w:style w:type="paragraph" w:customStyle="1" w:styleId="Standard">
    <w:name w:val="Standard"/>
    <w:basedOn w:val="Normal"/>
    <w:link w:val="StandardChar"/>
    <w:qFormat/>
    <w:rsid w:val="000519F4"/>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519F4"/>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0519F4"/>
    <w:rPr>
      <w:rFonts w:ascii="Cambria" w:eastAsia="Cambria" w:hAnsi="Cambria" w:cs="Times New Roman"/>
      <w:snapToGrid/>
      <w:kern w:val="16"/>
      <w:sz w:val="19"/>
      <w:szCs w:val="24"/>
    </w:rPr>
  </w:style>
  <w:style w:type="paragraph" w:customStyle="1" w:styleId="C-TableHeader">
    <w:name w:val="C-Table Header"/>
    <w:next w:val="C-TableText"/>
    <w:link w:val="C-TableHeaderChar"/>
    <w:rsid w:val="00421B3C"/>
    <w:pPr>
      <w:keepNext/>
      <w:spacing w:before="60" w:after="60" w:line="240" w:lineRule="auto"/>
    </w:pPr>
    <w:rPr>
      <w:rFonts w:ascii="Times New Roman" w:eastAsiaTheme="minorEastAsia" w:hAnsi="Times New Roman" w:cs="Times New Roman"/>
      <w:b/>
      <w:szCs w:val="20"/>
      <w:lang w:val="en-US"/>
    </w:rPr>
  </w:style>
  <w:style w:type="paragraph" w:customStyle="1" w:styleId="C-TableText">
    <w:name w:val="C-Table Text"/>
    <w:link w:val="C-TableTextChar"/>
    <w:rsid w:val="00421B3C"/>
    <w:pPr>
      <w:spacing w:before="60" w:after="60" w:line="240" w:lineRule="auto"/>
    </w:pPr>
    <w:rPr>
      <w:rFonts w:ascii="Times New Roman" w:eastAsiaTheme="minorEastAsia" w:hAnsi="Times New Roman" w:cs="Times New Roman"/>
      <w:szCs w:val="20"/>
      <w:lang w:val="en-US"/>
    </w:rPr>
  </w:style>
  <w:style w:type="character" w:customStyle="1" w:styleId="C-TableTextChar">
    <w:name w:val="C-Table Text Char"/>
    <w:link w:val="C-TableText"/>
    <w:rsid w:val="00421B3C"/>
    <w:rPr>
      <w:rFonts w:ascii="Times New Roman" w:eastAsiaTheme="minorEastAsia" w:hAnsi="Times New Roman" w:cs="Times New Roman"/>
      <w:szCs w:val="20"/>
      <w:lang w:val="en-US"/>
    </w:rPr>
  </w:style>
  <w:style w:type="character" w:customStyle="1" w:styleId="C-TableHeaderChar">
    <w:name w:val="C-Table Header Char"/>
    <w:link w:val="C-TableHeader"/>
    <w:rsid w:val="00421B3C"/>
    <w:rPr>
      <w:rFonts w:ascii="Times New Roman" w:eastAsiaTheme="minorEastAsia" w:hAnsi="Times New Roman" w:cs="Times New Roman"/>
      <w:b/>
      <w:szCs w:val="20"/>
      <w:lang w:val="en-US"/>
    </w:rPr>
  </w:style>
  <w:style w:type="table" w:styleId="TableGridLight">
    <w:name w:val="Grid Table Light"/>
    <w:basedOn w:val="TableNormal"/>
    <w:uiPriority w:val="40"/>
    <w:rsid w:val="002304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46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450251970">
      <w:bodyDiv w:val="1"/>
      <w:marLeft w:val="0"/>
      <w:marRight w:val="0"/>
      <w:marTop w:val="0"/>
      <w:marBottom w:val="0"/>
      <w:divBdr>
        <w:top w:val="none" w:sz="0" w:space="0" w:color="auto"/>
        <w:left w:val="none" w:sz="0" w:space="0" w:color="auto"/>
        <w:bottom w:val="none" w:sz="0" w:space="0" w:color="auto"/>
        <w:right w:val="none" w:sz="0" w:space="0" w:color="auto"/>
      </w:divBdr>
    </w:div>
    <w:div w:id="482047725">
      <w:bodyDiv w:val="1"/>
      <w:marLeft w:val="0"/>
      <w:marRight w:val="0"/>
      <w:marTop w:val="0"/>
      <w:marBottom w:val="0"/>
      <w:divBdr>
        <w:top w:val="none" w:sz="0" w:space="0" w:color="auto"/>
        <w:left w:val="none" w:sz="0" w:space="0" w:color="auto"/>
        <w:bottom w:val="none" w:sz="0" w:space="0" w:color="auto"/>
        <w:right w:val="none" w:sz="0" w:space="0" w:color="auto"/>
      </w:divBdr>
    </w:div>
    <w:div w:id="855464467">
      <w:bodyDiv w:val="1"/>
      <w:marLeft w:val="0"/>
      <w:marRight w:val="0"/>
      <w:marTop w:val="0"/>
      <w:marBottom w:val="0"/>
      <w:divBdr>
        <w:top w:val="none" w:sz="0" w:space="0" w:color="auto"/>
        <w:left w:val="none" w:sz="0" w:space="0" w:color="auto"/>
        <w:bottom w:val="none" w:sz="0" w:space="0" w:color="auto"/>
        <w:right w:val="none" w:sz="0" w:space="0" w:color="auto"/>
      </w:divBdr>
    </w:div>
    <w:div w:id="874464514">
      <w:bodyDiv w:val="1"/>
      <w:marLeft w:val="0"/>
      <w:marRight w:val="0"/>
      <w:marTop w:val="0"/>
      <w:marBottom w:val="0"/>
      <w:divBdr>
        <w:top w:val="none" w:sz="0" w:space="0" w:color="auto"/>
        <w:left w:val="none" w:sz="0" w:space="0" w:color="auto"/>
        <w:bottom w:val="none" w:sz="0" w:space="0" w:color="auto"/>
        <w:right w:val="none" w:sz="0" w:space="0" w:color="auto"/>
      </w:divBdr>
    </w:div>
    <w:div w:id="1701272530">
      <w:bodyDiv w:val="1"/>
      <w:marLeft w:val="0"/>
      <w:marRight w:val="0"/>
      <w:marTop w:val="0"/>
      <w:marBottom w:val="0"/>
      <w:divBdr>
        <w:top w:val="none" w:sz="0" w:space="0" w:color="auto"/>
        <w:left w:val="none" w:sz="0" w:space="0" w:color="auto"/>
        <w:bottom w:val="none" w:sz="0" w:space="0" w:color="auto"/>
        <w:right w:val="none" w:sz="0" w:space="0" w:color="auto"/>
      </w:divBdr>
    </w:div>
    <w:div w:id="1789424775">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1135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s://www.tga.gov.au/comparable-overseas-regulators-cors-timeframes-and-milestones" TargetMode="External"/><Relationship Id="rId26" Type="http://schemas.openxmlformats.org/officeDocument/2006/relationships/image" Target="media/image5.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tga.gov.au/ws-labs-index" TargetMode="External"/><Relationship Id="rId34" Type="http://schemas.openxmlformats.org/officeDocument/2006/relationships/hyperlink" Target="http://www.tga.gov.au/ws-labs-index" TargetMode="External"/><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4.png"/><Relationship Id="rId33" Type="http://schemas.openxmlformats.org/officeDocument/2006/relationships/hyperlink" Target="https://www.tga.gov.au/tgas-risk-management-approach" TargetMode="External"/><Relationship Id="rId38" Type="http://schemas.openxmlformats.org/officeDocument/2006/relationships/hyperlink" Target="https://www.tga.gov.au/picmi-search-facility" TargetMode="Externa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tga.gov.au/resources/resource/guidance/biosimilar-medicines-regulation" TargetMode="External"/><Relationship Id="rId29" Type="http://schemas.openxmlformats.org/officeDocument/2006/relationships/image" Target="media/image8.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3.png"/><Relationship Id="rId32" Type="http://schemas.openxmlformats.org/officeDocument/2006/relationships/hyperlink" Target="https://www.tga.gov.au/publication/risk-management-plans-medicines-and-biologicals" TargetMode="External"/><Relationship Id="rId37" Type="http://schemas.openxmlformats.org/officeDocument/2006/relationships/hyperlink" Target="https://www.tga.gov.au/guidance-7-certified-product-details" TargetMode="External"/><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www.tga.gov.au/ws-labs-index"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picmi-search-facility" TargetMode="External"/><Relationship Id="rId31" Type="http://schemas.openxmlformats.org/officeDocument/2006/relationships/image" Target="media/image10.png"/><Relationship Id="rId44"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tga.gov.au/guidance-7-certified-product-detail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tga.gov.au/guidance-7-certified-product-details" TargetMode="External"/><Relationship Id="rId43" Type="http://schemas.openxmlformats.org/officeDocument/2006/relationships/hyperlink" Target="mailto:info@tga.gov.au" TargetMode="Externa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resources/resource/guidance/biosimilar-medicines-regul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1028\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2BA0CB7071504EBE7DE274700D6F37" ma:contentTypeVersion="3" ma:contentTypeDescription="Create a new document." ma:contentTypeScope="" ma:versionID="990e0337549b8ab5308b7b053fce1981">
  <xsd:schema xmlns:xsd="http://www.w3.org/2001/XMLSchema" xmlns:xs="http://www.w3.org/2001/XMLSchema" xmlns:p="http://schemas.microsoft.com/office/2006/metadata/properties" xmlns:ns2="554355f3-c643-45c8-81fb-e08abc867a20" xmlns:ns3="d2f70854-3ec9-4883-a0c8-3037e10c6f53" targetNamespace="http://schemas.microsoft.com/office/2006/metadata/properties" ma:root="true" ma:fieldsID="644abf35ca319512c356e8a38a8bc576" ns2:_="" ns3:_="">
    <xsd:import namespace="554355f3-c643-45c8-81fb-e08abc867a20"/>
    <xsd:import namespace="d2f70854-3ec9-4883-a0c8-3037e10c6f53"/>
    <xsd:element name="properties">
      <xsd:complexType>
        <xsd:sequence>
          <xsd:element name="documentManagement">
            <xsd:complexType>
              <xsd:all>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355f3-c643-45c8-81fb-e08abc867a2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95102eb-6ca8-4f1d-8f69-493f68578a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f70854-3ec9-4883-a0c8-3037e10c6f5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cc3304c-3343-49a2-a18e-9e6f6bd2ff73}" ma:internalName="TaxCatchAll" ma:showField="CatchAllData" ma:web="d2f70854-3ec9-4883-a0c8-3037e10c6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54355f3-c643-45c8-81fb-e08abc867a20">
      <Terms xmlns="http://schemas.microsoft.com/office/infopath/2007/PartnerControls"/>
    </lcf76f155ced4ddcb4097134ff3c332f>
    <TaxCatchAll xmlns="d2f70854-3ec9-4883-a0c8-3037e10c6f5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86D9BE-110D-4A8E-9396-076E3807B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355f3-c643-45c8-81fb-e08abc867a20"/>
    <ds:schemaRef ds:uri="d2f70854-3ec9-4883-a0c8-3037e10c6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2C958-AEFA-4A35-92D3-23A01C1C9FE3}">
  <ds:schemaRefs>
    <ds:schemaRef ds:uri="http://schemas.microsoft.com/office/2006/metadata/properties"/>
    <ds:schemaRef ds:uri="http://schemas.microsoft.com/office/infopath/2007/PartnerControls"/>
    <ds:schemaRef ds:uri="554355f3-c643-45c8-81fb-e08abc867a20"/>
    <ds:schemaRef ds:uri="d2f70854-3ec9-4883-a0c8-3037e10c6f53"/>
  </ds:schemaRefs>
</ds:datastoreItem>
</file>

<file path=customXml/itemProps3.xml><?xml version="1.0" encoding="utf-8"?>
<ds:datastoreItem xmlns:ds="http://schemas.openxmlformats.org/officeDocument/2006/customXml" ds:itemID="{063EB0FF-B343-455A-A36E-95169D249C1C}">
  <ds:schemaRefs>
    <ds:schemaRef ds:uri="http://schemas.openxmlformats.org/officeDocument/2006/bibliography"/>
  </ds:schemaRefs>
</ds:datastoreItem>
</file>

<file path=customXml/itemProps4.xml><?xml version="1.0" encoding="utf-8"?>
<ds:datastoreItem xmlns:ds="http://schemas.openxmlformats.org/officeDocument/2006/customXml" ds:itemID="{73723639-0B9E-40B4-8EED-301D37A2C6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6</TotalTime>
  <Pages>30</Pages>
  <Words>9034</Words>
  <Characters>51499</Characters>
  <Application>Microsoft Office Word</Application>
  <DocSecurity>0</DocSecurity>
  <Lines>429</Lines>
  <Paragraphs>120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Australian public assessment report for</vt:lpstr>
      <vt:lpstr>Australian public assessment report for</vt:lpstr>
    </vt:vector>
  </TitlesOfParts>
  <Company>Department of Health and Aged Care, Therapeutic Goods Administration</Company>
  <LinksUpToDate>false</LinksUpToDate>
  <CharactersWithSpaces>60413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Byooviz</dc:title>
  <dc:subject>prescription medicines</dc:subject>
  <dc:creator>Therapeutic Goods Administration</dc:creator>
  <cp:keywords/>
  <cp:lastModifiedBy>LACK, Janet</cp:lastModifiedBy>
  <cp:revision>3</cp:revision>
  <cp:lastPrinted>2019-08-14T04:30:00Z</cp:lastPrinted>
  <dcterms:created xsi:type="dcterms:W3CDTF">2023-05-08T21:33:00Z</dcterms:created>
  <dcterms:modified xsi:type="dcterms:W3CDTF">2023-05-08T21:39:00Z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6ddddc05-6d75-4c89-ae8a-b8ab1a1994bc_Enabled">
    <vt:lpwstr>true</vt:lpwstr>
  </property>
  <property fmtid="{D5CDD505-2E9C-101B-9397-08002B2CF9AE}" pid="4" name="MSIP_Label_6ddddc05-6d75-4c89-ae8a-b8ab1a1994bc_SetDate">
    <vt:lpwstr>2023-03-14T03:17:11Z</vt:lpwstr>
  </property>
  <property fmtid="{D5CDD505-2E9C-101B-9397-08002B2CF9AE}" pid="5" name="MSIP_Label_6ddddc05-6d75-4c89-ae8a-b8ab1a1994bc_Method">
    <vt:lpwstr>Standard</vt:lpwstr>
  </property>
  <property fmtid="{D5CDD505-2E9C-101B-9397-08002B2CF9AE}" pid="6" name="MSIP_Label_6ddddc05-6d75-4c89-ae8a-b8ab1a1994bc_Name">
    <vt:lpwstr>without watermark</vt:lpwstr>
  </property>
  <property fmtid="{D5CDD505-2E9C-101B-9397-08002B2CF9AE}" pid="7" name="MSIP_Label_6ddddc05-6d75-4c89-ae8a-b8ab1a1994bc_SiteId">
    <vt:lpwstr>ff9ac3ce-3c41-41c3-b556-e1b32a662fed</vt:lpwstr>
  </property>
  <property fmtid="{D5CDD505-2E9C-101B-9397-08002B2CF9AE}" pid="8" name="MSIP_Label_6ddddc05-6d75-4c89-ae8a-b8ab1a1994bc_ActionId">
    <vt:lpwstr>39e100a4-fff5-4083-a944-f5b80091ee7c</vt:lpwstr>
  </property>
  <property fmtid="{D5CDD505-2E9C-101B-9397-08002B2CF9AE}" pid="9" name="MSIP_Label_6ddddc05-6d75-4c89-ae8a-b8ab1a1994bc_ContentBits">
    <vt:lpwstr>0</vt:lpwstr>
  </property>
  <property fmtid="{D5CDD505-2E9C-101B-9397-08002B2CF9AE}" pid="10" name="ContentTypeId">
    <vt:lpwstr>0x010100842BA0CB7071504EBE7DE274700D6F37</vt:lpwstr>
  </property>
  <property fmtid="{D5CDD505-2E9C-101B-9397-08002B2CF9AE}" pid="11" name="MediaServiceImageTags">
    <vt:lpwstr/>
  </property>
</Properties>
</file>