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A04DEE7" w:rsidR="00F02AEC" w:rsidRPr="00215D48" w:rsidRDefault="00346EC2" w:rsidP="007452E8">
            <w:pPr>
              <w:pStyle w:val="Title"/>
            </w:pPr>
            <w:r w:rsidRPr="00346EC2">
              <w:t>Australian Public Assessment Report for</w:t>
            </w:r>
            <w:r w:rsidR="003C7C1F">
              <w:t xml:space="preserve"> </w:t>
            </w:r>
            <w:proofErr w:type="spellStart"/>
            <w:r w:rsidR="003C7C1F">
              <w:t>Jakavi</w:t>
            </w:r>
            <w:proofErr w:type="spellEnd"/>
          </w:p>
        </w:tc>
      </w:tr>
      <w:tr w:rsidR="00F02AEC" w:rsidRPr="00215D48" w14:paraId="318A40A3" w14:textId="77777777" w:rsidTr="00346EC2">
        <w:trPr>
          <w:trHeight w:val="995"/>
        </w:trPr>
        <w:tc>
          <w:tcPr>
            <w:tcW w:w="8720" w:type="dxa"/>
          </w:tcPr>
          <w:p w14:paraId="1AA7C701" w14:textId="1104636A" w:rsidR="00F02AEC" w:rsidRPr="00215D48" w:rsidRDefault="00346EC2" w:rsidP="007452E8">
            <w:pPr>
              <w:pStyle w:val="Subtitle"/>
              <w:ind w:left="0"/>
            </w:pPr>
            <w:r w:rsidRPr="00346EC2">
              <w:t>Active ingredient:</w:t>
            </w:r>
            <w:r w:rsidR="003C7C1F">
              <w:t xml:space="preserve"> Ruxolitinib phosphate</w:t>
            </w:r>
          </w:p>
        </w:tc>
      </w:tr>
      <w:tr w:rsidR="00346EC2" w:rsidRPr="00215D48" w14:paraId="362CCAE4" w14:textId="77777777" w:rsidTr="007452E8">
        <w:trPr>
          <w:trHeight w:val="1916"/>
        </w:trPr>
        <w:tc>
          <w:tcPr>
            <w:tcW w:w="8720" w:type="dxa"/>
          </w:tcPr>
          <w:p w14:paraId="709C45C0" w14:textId="63186DC9" w:rsidR="00346EC2" w:rsidRPr="00215D48" w:rsidRDefault="00346EC2" w:rsidP="007452E8">
            <w:pPr>
              <w:pStyle w:val="Subtitle"/>
              <w:ind w:left="0"/>
            </w:pPr>
            <w:r w:rsidRPr="00346EC2">
              <w:t>Sponsor:</w:t>
            </w:r>
            <w:r w:rsidR="003C7C1F">
              <w:t xml:space="preserve"> Novartis Pharmaceuticals Australia Pty Ltd</w:t>
            </w:r>
          </w:p>
        </w:tc>
      </w:tr>
      <w:tr w:rsidR="00F02AEC" w:rsidRPr="00215D48" w14:paraId="37F2AA1F" w14:textId="77777777" w:rsidTr="007452E8">
        <w:tc>
          <w:tcPr>
            <w:tcW w:w="8720" w:type="dxa"/>
          </w:tcPr>
          <w:p w14:paraId="1FDE8DCD" w14:textId="4BE6F035" w:rsidR="00F02AEC" w:rsidRPr="00215D48" w:rsidRDefault="001D4B64" w:rsidP="007452E8">
            <w:pPr>
              <w:pStyle w:val="Date"/>
            </w:pPr>
            <w:r>
              <w:t xml:space="preserve">May </w:t>
            </w:r>
            <w:r w:rsidR="003C7C1F">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4443915"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184E9E24"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543841">
      <w:pPr>
        <w:pStyle w:val="LegalSubheading"/>
        <w:spacing w:before="3480"/>
      </w:pPr>
      <w:r w:rsidRPr="00BA0DFC">
        <w:t>Copyright</w:t>
      </w:r>
    </w:p>
    <w:p w14:paraId="170A8A5D" w14:textId="1B1597CF"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25AF79B" w14:textId="337D7479" w:rsidR="00337955"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4095491" w:history="1">
            <w:r w:rsidR="00337955" w:rsidRPr="00F60547">
              <w:rPr>
                <w:rStyle w:val="Hyperlink"/>
                <w:noProof/>
              </w:rPr>
              <w:t>List of abbreviations</w:t>
            </w:r>
            <w:r w:rsidR="00337955">
              <w:rPr>
                <w:noProof/>
                <w:webHidden/>
              </w:rPr>
              <w:tab/>
            </w:r>
            <w:r w:rsidR="00337955">
              <w:rPr>
                <w:noProof/>
                <w:webHidden/>
              </w:rPr>
              <w:fldChar w:fldCharType="begin"/>
            </w:r>
            <w:r w:rsidR="00337955">
              <w:rPr>
                <w:noProof/>
                <w:webHidden/>
              </w:rPr>
              <w:instrText xml:space="preserve"> PAGEREF _Toc134095491 \h </w:instrText>
            </w:r>
            <w:r w:rsidR="00337955">
              <w:rPr>
                <w:noProof/>
                <w:webHidden/>
              </w:rPr>
            </w:r>
            <w:r w:rsidR="00337955">
              <w:rPr>
                <w:noProof/>
                <w:webHidden/>
              </w:rPr>
              <w:fldChar w:fldCharType="separate"/>
            </w:r>
            <w:r w:rsidR="00F20AB1">
              <w:rPr>
                <w:noProof/>
                <w:webHidden/>
              </w:rPr>
              <w:t>4</w:t>
            </w:r>
            <w:r w:rsidR="00337955">
              <w:rPr>
                <w:noProof/>
                <w:webHidden/>
              </w:rPr>
              <w:fldChar w:fldCharType="end"/>
            </w:r>
          </w:hyperlink>
        </w:p>
        <w:p w14:paraId="26D9E16F" w14:textId="1058F2CA" w:rsidR="00337955" w:rsidRDefault="00F20AB1">
          <w:pPr>
            <w:pStyle w:val="TOC1"/>
            <w:rPr>
              <w:rFonts w:asciiTheme="minorHAnsi" w:eastAsiaTheme="minorEastAsia" w:hAnsiTheme="minorHAnsi" w:cstheme="minorBidi"/>
              <w:b w:val="0"/>
              <w:noProof/>
              <w:color w:val="auto"/>
              <w:sz w:val="22"/>
              <w:szCs w:val="22"/>
              <w:lang w:eastAsia="en-AU"/>
            </w:rPr>
          </w:pPr>
          <w:hyperlink w:anchor="_Toc134095492" w:history="1">
            <w:r w:rsidR="00337955" w:rsidRPr="00F60547">
              <w:rPr>
                <w:rStyle w:val="Hyperlink"/>
                <w:noProof/>
              </w:rPr>
              <w:t>Product submission</w:t>
            </w:r>
            <w:r w:rsidR="00337955">
              <w:rPr>
                <w:noProof/>
                <w:webHidden/>
              </w:rPr>
              <w:tab/>
            </w:r>
            <w:r w:rsidR="00337955">
              <w:rPr>
                <w:noProof/>
                <w:webHidden/>
              </w:rPr>
              <w:fldChar w:fldCharType="begin"/>
            </w:r>
            <w:r w:rsidR="00337955">
              <w:rPr>
                <w:noProof/>
                <w:webHidden/>
              </w:rPr>
              <w:instrText xml:space="preserve"> PAGEREF _Toc134095492 \h </w:instrText>
            </w:r>
            <w:r w:rsidR="00337955">
              <w:rPr>
                <w:noProof/>
                <w:webHidden/>
              </w:rPr>
            </w:r>
            <w:r w:rsidR="00337955">
              <w:rPr>
                <w:noProof/>
                <w:webHidden/>
              </w:rPr>
              <w:fldChar w:fldCharType="separate"/>
            </w:r>
            <w:r>
              <w:rPr>
                <w:noProof/>
                <w:webHidden/>
              </w:rPr>
              <w:t>6</w:t>
            </w:r>
            <w:r w:rsidR="00337955">
              <w:rPr>
                <w:noProof/>
                <w:webHidden/>
              </w:rPr>
              <w:fldChar w:fldCharType="end"/>
            </w:r>
          </w:hyperlink>
        </w:p>
        <w:p w14:paraId="0FAA1700" w14:textId="73EA1FBF" w:rsidR="00337955" w:rsidRDefault="00F20AB1">
          <w:pPr>
            <w:pStyle w:val="TOC2"/>
            <w:rPr>
              <w:rFonts w:asciiTheme="minorHAnsi" w:eastAsiaTheme="minorEastAsia" w:hAnsiTheme="minorHAnsi" w:cstheme="minorBidi"/>
              <w:b w:val="0"/>
              <w:noProof/>
              <w:color w:val="auto"/>
              <w:sz w:val="22"/>
              <w:szCs w:val="22"/>
              <w:lang w:eastAsia="en-AU"/>
            </w:rPr>
          </w:pPr>
          <w:hyperlink w:anchor="_Toc134095493" w:history="1">
            <w:r w:rsidR="00337955" w:rsidRPr="00F60547">
              <w:rPr>
                <w:rStyle w:val="Hyperlink"/>
                <w:noProof/>
                <w:lang w:eastAsia="en-AU"/>
              </w:rPr>
              <w:t>Submission details</w:t>
            </w:r>
            <w:r w:rsidR="00337955">
              <w:rPr>
                <w:noProof/>
                <w:webHidden/>
              </w:rPr>
              <w:tab/>
            </w:r>
            <w:r w:rsidR="00337955">
              <w:rPr>
                <w:noProof/>
                <w:webHidden/>
              </w:rPr>
              <w:fldChar w:fldCharType="begin"/>
            </w:r>
            <w:r w:rsidR="00337955">
              <w:rPr>
                <w:noProof/>
                <w:webHidden/>
              </w:rPr>
              <w:instrText xml:space="preserve"> PAGEREF _Toc134095493 \h </w:instrText>
            </w:r>
            <w:r w:rsidR="00337955">
              <w:rPr>
                <w:noProof/>
                <w:webHidden/>
              </w:rPr>
            </w:r>
            <w:r w:rsidR="00337955">
              <w:rPr>
                <w:noProof/>
                <w:webHidden/>
              </w:rPr>
              <w:fldChar w:fldCharType="separate"/>
            </w:r>
            <w:r>
              <w:rPr>
                <w:noProof/>
                <w:webHidden/>
              </w:rPr>
              <w:t>6</w:t>
            </w:r>
            <w:r w:rsidR="00337955">
              <w:rPr>
                <w:noProof/>
                <w:webHidden/>
              </w:rPr>
              <w:fldChar w:fldCharType="end"/>
            </w:r>
          </w:hyperlink>
        </w:p>
        <w:p w14:paraId="0B410CE8" w14:textId="7A8ADC07" w:rsidR="00337955" w:rsidRDefault="00F20AB1">
          <w:pPr>
            <w:pStyle w:val="TOC2"/>
            <w:rPr>
              <w:rFonts w:asciiTheme="minorHAnsi" w:eastAsiaTheme="minorEastAsia" w:hAnsiTheme="minorHAnsi" w:cstheme="minorBidi"/>
              <w:b w:val="0"/>
              <w:noProof/>
              <w:color w:val="auto"/>
              <w:sz w:val="22"/>
              <w:szCs w:val="22"/>
              <w:lang w:eastAsia="en-AU"/>
            </w:rPr>
          </w:pPr>
          <w:hyperlink w:anchor="_Toc134095494" w:history="1">
            <w:r w:rsidR="00337955" w:rsidRPr="00F60547">
              <w:rPr>
                <w:rStyle w:val="Hyperlink"/>
                <w:noProof/>
              </w:rPr>
              <w:t>Product background</w:t>
            </w:r>
            <w:r w:rsidR="00337955">
              <w:rPr>
                <w:noProof/>
                <w:webHidden/>
              </w:rPr>
              <w:tab/>
            </w:r>
            <w:r w:rsidR="00337955">
              <w:rPr>
                <w:noProof/>
                <w:webHidden/>
              </w:rPr>
              <w:fldChar w:fldCharType="begin"/>
            </w:r>
            <w:r w:rsidR="00337955">
              <w:rPr>
                <w:noProof/>
                <w:webHidden/>
              </w:rPr>
              <w:instrText xml:space="preserve"> PAGEREF _Toc134095494 \h </w:instrText>
            </w:r>
            <w:r w:rsidR="00337955">
              <w:rPr>
                <w:noProof/>
                <w:webHidden/>
              </w:rPr>
            </w:r>
            <w:r w:rsidR="00337955">
              <w:rPr>
                <w:noProof/>
                <w:webHidden/>
              </w:rPr>
              <w:fldChar w:fldCharType="separate"/>
            </w:r>
            <w:r>
              <w:rPr>
                <w:noProof/>
                <w:webHidden/>
              </w:rPr>
              <w:t>7</w:t>
            </w:r>
            <w:r w:rsidR="00337955">
              <w:rPr>
                <w:noProof/>
                <w:webHidden/>
              </w:rPr>
              <w:fldChar w:fldCharType="end"/>
            </w:r>
          </w:hyperlink>
        </w:p>
        <w:p w14:paraId="5998D2B5" w14:textId="47BD7AEB" w:rsidR="00337955" w:rsidRDefault="00F20AB1">
          <w:pPr>
            <w:pStyle w:val="TOC3"/>
            <w:rPr>
              <w:rFonts w:asciiTheme="minorHAnsi" w:eastAsiaTheme="minorEastAsia" w:hAnsiTheme="minorHAnsi" w:cstheme="minorBidi"/>
              <w:b w:val="0"/>
              <w:noProof/>
              <w:color w:val="auto"/>
              <w:szCs w:val="22"/>
              <w:lang w:eastAsia="en-AU"/>
            </w:rPr>
          </w:pPr>
          <w:hyperlink w:anchor="_Toc134095495" w:history="1">
            <w:r w:rsidR="00337955" w:rsidRPr="00F60547">
              <w:rPr>
                <w:rStyle w:val="Hyperlink"/>
                <w:noProof/>
              </w:rPr>
              <w:t>Current treatment options</w:t>
            </w:r>
            <w:r w:rsidR="00337955">
              <w:rPr>
                <w:noProof/>
                <w:webHidden/>
              </w:rPr>
              <w:tab/>
            </w:r>
            <w:r w:rsidR="00337955">
              <w:rPr>
                <w:noProof/>
                <w:webHidden/>
              </w:rPr>
              <w:fldChar w:fldCharType="begin"/>
            </w:r>
            <w:r w:rsidR="00337955">
              <w:rPr>
                <w:noProof/>
                <w:webHidden/>
              </w:rPr>
              <w:instrText xml:space="preserve"> PAGEREF _Toc134095495 \h </w:instrText>
            </w:r>
            <w:r w:rsidR="00337955">
              <w:rPr>
                <w:noProof/>
                <w:webHidden/>
              </w:rPr>
            </w:r>
            <w:r w:rsidR="00337955">
              <w:rPr>
                <w:noProof/>
                <w:webHidden/>
              </w:rPr>
              <w:fldChar w:fldCharType="separate"/>
            </w:r>
            <w:r>
              <w:rPr>
                <w:noProof/>
                <w:webHidden/>
              </w:rPr>
              <w:t>8</w:t>
            </w:r>
            <w:r w:rsidR="00337955">
              <w:rPr>
                <w:noProof/>
                <w:webHidden/>
              </w:rPr>
              <w:fldChar w:fldCharType="end"/>
            </w:r>
          </w:hyperlink>
        </w:p>
        <w:p w14:paraId="56D84CF5" w14:textId="33D5449F" w:rsidR="00337955" w:rsidRDefault="00F20AB1">
          <w:pPr>
            <w:pStyle w:val="TOC2"/>
            <w:rPr>
              <w:rFonts w:asciiTheme="minorHAnsi" w:eastAsiaTheme="minorEastAsia" w:hAnsiTheme="minorHAnsi" w:cstheme="minorBidi"/>
              <w:b w:val="0"/>
              <w:noProof/>
              <w:color w:val="auto"/>
              <w:sz w:val="22"/>
              <w:szCs w:val="22"/>
              <w:lang w:eastAsia="en-AU"/>
            </w:rPr>
          </w:pPr>
          <w:hyperlink w:anchor="_Toc134095496" w:history="1">
            <w:r w:rsidR="00337955" w:rsidRPr="00F60547">
              <w:rPr>
                <w:rStyle w:val="Hyperlink"/>
                <w:noProof/>
              </w:rPr>
              <w:t>Regulatory status</w:t>
            </w:r>
            <w:r w:rsidR="00337955">
              <w:rPr>
                <w:noProof/>
                <w:webHidden/>
              </w:rPr>
              <w:tab/>
            </w:r>
            <w:r w:rsidR="00337955">
              <w:rPr>
                <w:noProof/>
                <w:webHidden/>
              </w:rPr>
              <w:fldChar w:fldCharType="begin"/>
            </w:r>
            <w:r w:rsidR="00337955">
              <w:rPr>
                <w:noProof/>
                <w:webHidden/>
              </w:rPr>
              <w:instrText xml:space="preserve"> PAGEREF _Toc134095496 \h </w:instrText>
            </w:r>
            <w:r w:rsidR="00337955">
              <w:rPr>
                <w:noProof/>
                <w:webHidden/>
              </w:rPr>
            </w:r>
            <w:r w:rsidR="00337955">
              <w:rPr>
                <w:noProof/>
                <w:webHidden/>
              </w:rPr>
              <w:fldChar w:fldCharType="separate"/>
            </w:r>
            <w:r>
              <w:rPr>
                <w:noProof/>
                <w:webHidden/>
              </w:rPr>
              <w:t>10</w:t>
            </w:r>
            <w:r w:rsidR="00337955">
              <w:rPr>
                <w:noProof/>
                <w:webHidden/>
              </w:rPr>
              <w:fldChar w:fldCharType="end"/>
            </w:r>
          </w:hyperlink>
        </w:p>
        <w:p w14:paraId="430D3FBA" w14:textId="60CAC172" w:rsidR="00337955" w:rsidRDefault="00F20AB1">
          <w:pPr>
            <w:pStyle w:val="TOC2"/>
            <w:rPr>
              <w:rFonts w:asciiTheme="minorHAnsi" w:eastAsiaTheme="minorEastAsia" w:hAnsiTheme="minorHAnsi" w:cstheme="minorBidi"/>
              <w:b w:val="0"/>
              <w:noProof/>
              <w:color w:val="auto"/>
              <w:sz w:val="22"/>
              <w:szCs w:val="22"/>
              <w:lang w:eastAsia="en-AU"/>
            </w:rPr>
          </w:pPr>
          <w:hyperlink w:anchor="_Toc134095497" w:history="1">
            <w:r w:rsidR="00337955" w:rsidRPr="00F60547">
              <w:rPr>
                <w:rStyle w:val="Hyperlink"/>
                <w:noProof/>
              </w:rPr>
              <w:t>Product Information</w:t>
            </w:r>
            <w:r w:rsidR="00337955">
              <w:rPr>
                <w:noProof/>
                <w:webHidden/>
              </w:rPr>
              <w:tab/>
            </w:r>
            <w:r w:rsidR="00337955">
              <w:rPr>
                <w:noProof/>
                <w:webHidden/>
              </w:rPr>
              <w:fldChar w:fldCharType="begin"/>
            </w:r>
            <w:r w:rsidR="00337955">
              <w:rPr>
                <w:noProof/>
                <w:webHidden/>
              </w:rPr>
              <w:instrText xml:space="preserve"> PAGEREF _Toc134095497 \h </w:instrText>
            </w:r>
            <w:r w:rsidR="00337955">
              <w:rPr>
                <w:noProof/>
                <w:webHidden/>
              </w:rPr>
            </w:r>
            <w:r w:rsidR="00337955">
              <w:rPr>
                <w:noProof/>
                <w:webHidden/>
              </w:rPr>
              <w:fldChar w:fldCharType="separate"/>
            </w:r>
            <w:r>
              <w:rPr>
                <w:noProof/>
                <w:webHidden/>
              </w:rPr>
              <w:t>11</w:t>
            </w:r>
            <w:r w:rsidR="00337955">
              <w:rPr>
                <w:noProof/>
                <w:webHidden/>
              </w:rPr>
              <w:fldChar w:fldCharType="end"/>
            </w:r>
          </w:hyperlink>
        </w:p>
        <w:p w14:paraId="6E528B8C" w14:textId="0AEC8F3D" w:rsidR="00337955" w:rsidRDefault="00F20AB1">
          <w:pPr>
            <w:pStyle w:val="TOC1"/>
            <w:rPr>
              <w:rFonts w:asciiTheme="minorHAnsi" w:eastAsiaTheme="minorEastAsia" w:hAnsiTheme="minorHAnsi" w:cstheme="minorBidi"/>
              <w:b w:val="0"/>
              <w:noProof/>
              <w:color w:val="auto"/>
              <w:sz w:val="22"/>
              <w:szCs w:val="22"/>
              <w:lang w:eastAsia="en-AU"/>
            </w:rPr>
          </w:pPr>
          <w:hyperlink w:anchor="_Toc134095498" w:history="1">
            <w:r w:rsidR="00337955" w:rsidRPr="00F60547">
              <w:rPr>
                <w:rStyle w:val="Hyperlink"/>
                <w:noProof/>
              </w:rPr>
              <w:t>Registration timeline</w:t>
            </w:r>
            <w:r w:rsidR="00337955">
              <w:rPr>
                <w:noProof/>
                <w:webHidden/>
              </w:rPr>
              <w:tab/>
            </w:r>
            <w:r w:rsidR="00337955">
              <w:rPr>
                <w:noProof/>
                <w:webHidden/>
              </w:rPr>
              <w:fldChar w:fldCharType="begin"/>
            </w:r>
            <w:r w:rsidR="00337955">
              <w:rPr>
                <w:noProof/>
                <w:webHidden/>
              </w:rPr>
              <w:instrText xml:space="preserve"> PAGEREF _Toc134095498 \h </w:instrText>
            </w:r>
            <w:r w:rsidR="00337955">
              <w:rPr>
                <w:noProof/>
                <w:webHidden/>
              </w:rPr>
            </w:r>
            <w:r w:rsidR="00337955">
              <w:rPr>
                <w:noProof/>
                <w:webHidden/>
              </w:rPr>
              <w:fldChar w:fldCharType="separate"/>
            </w:r>
            <w:r>
              <w:rPr>
                <w:noProof/>
                <w:webHidden/>
              </w:rPr>
              <w:t>12</w:t>
            </w:r>
            <w:r w:rsidR="00337955">
              <w:rPr>
                <w:noProof/>
                <w:webHidden/>
              </w:rPr>
              <w:fldChar w:fldCharType="end"/>
            </w:r>
          </w:hyperlink>
        </w:p>
        <w:p w14:paraId="6FC076E9" w14:textId="2399885E" w:rsidR="00337955" w:rsidRDefault="00F20AB1">
          <w:pPr>
            <w:pStyle w:val="TOC1"/>
            <w:rPr>
              <w:rFonts w:asciiTheme="minorHAnsi" w:eastAsiaTheme="minorEastAsia" w:hAnsiTheme="minorHAnsi" w:cstheme="minorBidi"/>
              <w:b w:val="0"/>
              <w:noProof/>
              <w:color w:val="auto"/>
              <w:sz w:val="22"/>
              <w:szCs w:val="22"/>
              <w:lang w:eastAsia="en-AU"/>
            </w:rPr>
          </w:pPr>
          <w:hyperlink w:anchor="_Toc134095499" w:history="1">
            <w:r w:rsidR="00337955" w:rsidRPr="00F60547">
              <w:rPr>
                <w:rStyle w:val="Hyperlink"/>
                <w:noProof/>
              </w:rPr>
              <w:t>Submission overview and risk/benefit assessment</w:t>
            </w:r>
            <w:r w:rsidR="00337955">
              <w:rPr>
                <w:noProof/>
                <w:webHidden/>
              </w:rPr>
              <w:tab/>
            </w:r>
            <w:r w:rsidR="00337955">
              <w:rPr>
                <w:noProof/>
                <w:webHidden/>
              </w:rPr>
              <w:fldChar w:fldCharType="begin"/>
            </w:r>
            <w:r w:rsidR="00337955">
              <w:rPr>
                <w:noProof/>
                <w:webHidden/>
              </w:rPr>
              <w:instrText xml:space="preserve"> PAGEREF _Toc134095499 \h </w:instrText>
            </w:r>
            <w:r w:rsidR="00337955">
              <w:rPr>
                <w:noProof/>
                <w:webHidden/>
              </w:rPr>
            </w:r>
            <w:r w:rsidR="00337955">
              <w:rPr>
                <w:noProof/>
                <w:webHidden/>
              </w:rPr>
              <w:fldChar w:fldCharType="separate"/>
            </w:r>
            <w:r>
              <w:rPr>
                <w:noProof/>
                <w:webHidden/>
              </w:rPr>
              <w:t>12</w:t>
            </w:r>
            <w:r w:rsidR="00337955">
              <w:rPr>
                <w:noProof/>
                <w:webHidden/>
              </w:rPr>
              <w:fldChar w:fldCharType="end"/>
            </w:r>
          </w:hyperlink>
        </w:p>
        <w:p w14:paraId="459ECEFE" w14:textId="4AB2CB09" w:rsidR="00337955" w:rsidRDefault="00F20AB1">
          <w:pPr>
            <w:pStyle w:val="TOC2"/>
            <w:rPr>
              <w:rFonts w:asciiTheme="minorHAnsi" w:eastAsiaTheme="minorEastAsia" w:hAnsiTheme="minorHAnsi" w:cstheme="minorBidi"/>
              <w:b w:val="0"/>
              <w:noProof/>
              <w:color w:val="auto"/>
              <w:sz w:val="22"/>
              <w:szCs w:val="22"/>
              <w:lang w:eastAsia="en-AU"/>
            </w:rPr>
          </w:pPr>
          <w:hyperlink w:anchor="_Toc134095500" w:history="1">
            <w:r w:rsidR="00337955" w:rsidRPr="00F60547">
              <w:rPr>
                <w:rStyle w:val="Hyperlink"/>
                <w:noProof/>
              </w:rPr>
              <w:t>Quality</w:t>
            </w:r>
            <w:r w:rsidR="00337955">
              <w:rPr>
                <w:noProof/>
                <w:webHidden/>
              </w:rPr>
              <w:tab/>
            </w:r>
            <w:r w:rsidR="00337955">
              <w:rPr>
                <w:noProof/>
                <w:webHidden/>
              </w:rPr>
              <w:fldChar w:fldCharType="begin"/>
            </w:r>
            <w:r w:rsidR="00337955">
              <w:rPr>
                <w:noProof/>
                <w:webHidden/>
              </w:rPr>
              <w:instrText xml:space="preserve"> PAGEREF _Toc134095500 \h </w:instrText>
            </w:r>
            <w:r w:rsidR="00337955">
              <w:rPr>
                <w:noProof/>
                <w:webHidden/>
              </w:rPr>
            </w:r>
            <w:r w:rsidR="00337955">
              <w:rPr>
                <w:noProof/>
                <w:webHidden/>
              </w:rPr>
              <w:fldChar w:fldCharType="separate"/>
            </w:r>
            <w:r>
              <w:rPr>
                <w:noProof/>
                <w:webHidden/>
              </w:rPr>
              <w:t>12</w:t>
            </w:r>
            <w:r w:rsidR="00337955">
              <w:rPr>
                <w:noProof/>
                <w:webHidden/>
              </w:rPr>
              <w:fldChar w:fldCharType="end"/>
            </w:r>
          </w:hyperlink>
        </w:p>
        <w:p w14:paraId="7877B3F9" w14:textId="6A023176" w:rsidR="00337955" w:rsidRDefault="00F20AB1">
          <w:pPr>
            <w:pStyle w:val="TOC2"/>
            <w:rPr>
              <w:rFonts w:asciiTheme="minorHAnsi" w:eastAsiaTheme="minorEastAsia" w:hAnsiTheme="minorHAnsi" w:cstheme="minorBidi"/>
              <w:b w:val="0"/>
              <w:noProof/>
              <w:color w:val="auto"/>
              <w:sz w:val="22"/>
              <w:szCs w:val="22"/>
              <w:lang w:eastAsia="en-AU"/>
            </w:rPr>
          </w:pPr>
          <w:hyperlink w:anchor="_Toc134095501" w:history="1">
            <w:r w:rsidR="00337955" w:rsidRPr="00F60547">
              <w:rPr>
                <w:rStyle w:val="Hyperlink"/>
                <w:noProof/>
              </w:rPr>
              <w:t>Nonclinical</w:t>
            </w:r>
            <w:r w:rsidR="00337955">
              <w:rPr>
                <w:noProof/>
                <w:webHidden/>
              </w:rPr>
              <w:tab/>
            </w:r>
            <w:r w:rsidR="00337955">
              <w:rPr>
                <w:noProof/>
                <w:webHidden/>
              </w:rPr>
              <w:fldChar w:fldCharType="begin"/>
            </w:r>
            <w:r w:rsidR="00337955">
              <w:rPr>
                <w:noProof/>
                <w:webHidden/>
              </w:rPr>
              <w:instrText xml:space="preserve"> PAGEREF _Toc134095501 \h </w:instrText>
            </w:r>
            <w:r w:rsidR="00337955">
              <w:rPr>
                <w:noProof/>
                <w:webHidden/>
              </w:rPr>
            </w:r>
            <w:r w:rsidR="00337955">
              <w:rPr>
                <w:noProof/>
                <w:webHidden/>
              </w:rPr>
              <w:fldChar w:fldCharType="separate"/>
            </w:r>
            <w:r>
              <w:rPr>
                <w:noProof/>
                <w:webHidden/>
              </w:rPr>
              <w:t>12</w:t>
            </w:r>
            <w:r w:rsidR="00337955">
              <w:rPr>
                <w:noProof/>
                <w:webHidden/>
              </w:rPr>
              <w:fldChar w:fldCharType="end"/>
            </w:r>
          </w:hyperlink>
        </w:p>
        <w:p w14:paraId="23403F29" w14:textId="48B84F27" w:rsidR="00337955" w:rsidRDefault="00F20AB1">
          <w:pPr>
            <w:pStyle w:val="TOC2"/>
            <w:rPr>
              <w:rFonts w:asciiTheme="minorHAnsi" w:eastAsiaTheme="minorEastAsia" w:hAnsiTheme="minorHAnsi" w:cstheme="minorBidi"/>
              <w:b w:val="0"/>
              <w:noProof/>
              <w:color w:val="auto"/>
              <w:sz w:val="22"/>
              <w:szCs w:val="22"/>
              <w:lang w:eastAsia="en-AU"/>
            </w:rPr>
          </w:pPr>
          <w:hyperlink w:anchor="_Toc134095502" w:history="1">
            <w:r w:rsidR="00337955" w:rsidRPr="00F60547">
              <w:rPr>
                <w:rStyle w:val="Hyperlink"/>
                <w:noProof/>
              </w:rPr>
              <w:t>Clinical</w:t>
            </w:r>
            <w:r w:rsidR="00337955">
              <w:rPr>
                <w:noProof/>
                <w:webHidden/>
              </w:rPr>
              <w:tab/>
            </w:r>
            <w:r w:rsidR="00337955">
              <w:rPr>
                <w:noProof/>
                <w:webHidden/>
              </w:rPr>
              <w:fldChar w:fldCharType="begin"/>
            </w:r>
            <w:r w:rsidR="00337955">
              <w:rPr>
                <w:noProof/>
                <w:webHidden/>
              </w:rPr>
              <w:instrText xml:space="preserve"> PAGEREF _Toc134095502 \h </w:instrText>
            </w:r>
            <w:r w:rsidR="00337955">
              <w:rPr>
                <w:noProof/>
                <w:webHidden/>
              </w:rPr>
            </w:r>
            <w:r w:rsidR="00337955">
              <w:rPr>
                <w:noProof/>
                <w:webHidden/>
              </w:rPr>
              <w:fldChar w:fldCharType="separate"/>
            </w:r>
            <w:r>
              <w:rPr>
                <w:noProof/>
                <w:webHidden/>
              </w:rPr>
              <w:t>13</w:t>
            </w:r>
            <w:r w:rsidR="00337955">
              <w:rPr>
                <w:noProof/>
                <w:webHidden/>
              </w:rPr>
              <w:fldChar w:fldCharType="end"/>
            </w:r>
          </w:hyperlink>
        </w:p>
        <w:p w14:paraId="72C3CA5A" w14:textId="7C0F360C" w:rsidR="00337955" w:rsidRDefault="00F20AB1">
          <w:pPr>
            <w:pStyle w:val="TOC3"/>
            <w:rPr>
              <w:rFonts w:asciiTheme="minorHAnsi" w:eastAsiaTheme="minorEastAsia" w:hAnsiTheme="minorHAnsi" w:cstheme="minorBidi"/>
              <w:b w:val="0"/>
              <w:noProof/>
              <w:color w:val="auto"/>
              <w:szCs w:val="22"/>
              <w:lang w:eastAsia="en-AU"/>
            </w:rPr>
          </w:pPr>
          <w:hyperlink w:anchor="_Toc134095503" w:history="1">
            <w:r w:rsidR="00337955" w:rsidRPr="00F60547">
              <w:rPr>
                <w:rStyle w:val="Hyperlink"/>
                <w:noProof/>
              </w:rPr>
              <w:t>Summary of clinical studies</w:t>
            </w:r>
            <w:r w:rsidR="00337955">
              <w:rPr>
                <w:noProof/>
                <w:webHidden/>
              </w:rPr>
              <w:tab/>
            </w:r>
            <w:r w:rsidR="00337955">
              <w:rPr>
                <w:noProof/>
                <w:webHidden/>
              </w:rPr>
              <w:fldChar w:fldCharType="begin"/>
            </w:r>
            <w:r w:rsidR="00337955">
              <w:rPr>
                <w:noProof/>
                <w:webHidden/>
              </w:rPr>
              <w:instrText xml:space="preserve"> PAGEREF _Toc134095503 \h </w:instrText>
            </w:r>
            <w:r w:rsidR="00337955">
              <w:rPr>
                <w:noProof/>
                <w:webHidden/>
              </w:rPr>
            </w:r>
            <w:r w:rsidR="00337955">
              <w:rPr>
                <w:noProof/>
                <w:webHidden/>
              </w:rPr>
              <w:fldChar w:fldCharType="separate"/>
            </w:r>
            <w:r>
              <w:rPr>
                <w:noProof/>
                <w:webHidden/>
              </w:rPr>
              <w:t>13</w:t>
            </w:r>
            <w:r w:rsidR="00337955">
              <w:rPr>
                <w:noProof/>
                <w:webHidden/>
              </w:rPr>
              <w:fldChar w:fldCharType="end"/>
            </w:r>
          </w:hyperlink>
        </w:p>
        <w:p w14:paraId="5C36E351" w14:textId="1E3375E1" w:rsidR="00337955" w:rsidRDefault="00F20AB1">
          <w:pPr>
            <w:pStyle w:val="TOC3"/>
            <w:rPr>
              <w:rFonts w:asciiTheme="minorHAnsi" w:eastAsiaTheme="minorEastAsia" w:hAnsiTheme="minorHAnsi" w:cstheme="minorBidi"/>
              <w:b w:val="0"/>
              <w:noProof/>
              <w:color w:val="auto"/>
              <w:szCs w:val="22"/>
              <w:lang w:eastAsia="en-AU"/>
            </w:rPr>
          </w:pPr>
          <w:hyperlink w:anchor="_Toc134095504" w:history="1">
            <w:r w:rsidR="00337955" w:rsidRPr="00F60547">
              <w:rPr>
                <w:rStyle w:val="Hyperlink"/>
                <w:noProof/>
              </w:rPr>
              <w:t>Pharmacology</w:t>
            </w:r>
            <w:r w:rsidR="00337955">
              <w:rPr>
                <w:noProof/>
                <w:webHidden/>
              </w:rPr>
              <w:tab/>
            </w:r>
            <w:r w:rsidR="00337955">
              <w:rPr>
                <w:noProof/>
                <w:webHidden/>
              </w:rPr>
              <w:fldChar w:fldCharType="begin"/>
            </w:r>
            <w:r w:rsidR="00337955">
              <w:rPr>
                <w:noProof/>
                <w:webHidden/>
              </w:rPr>
              <w:instrText xml:space="preserve"> PAGEREF _Toc134095504 \h </w:instrText>
            </w:r>
            <w:r w:rsidR="00337955">
              <w:rPr>
                <w:noProof/>
                <w:webHidden/>
              </w:rPr>
            </w:r>
            <w:r w:rsidR="00337955">
              <w:rPr>
                <w:noProof/>
                <w:webHidden/>
              </w:rPr>
              <w:fldChar w:fldCharType="separate"/>
            </w:r>
            <w:r>
              <w:rPr>
                <w:noProof/>
                <w:webHidden/>
              </w:rPr>
              <w:t>13</w:t>
            </w:r>
            <w:r w:rsidR="00337955">
              <w:rPr>
                <w:noProof/>
                <w:webHidden/>
              </w:rPr>
              <w:fldChar w:fldCharType="end"/>
            </w:r>
          </w:hyperlink>
        </w:p>
        <w:p w14:paraId="40BB87BF" w14:textId="40510FDD" w:rsidR="00337955" w:rsidRDefault="00F20AB1">
          <w:pPr>
            <w:pStyle w:val="TOC3"/>
            <w:rPr>
              <w:rFonts w:asciiTheme="minorHAnsi" w:eastAsiaTheme="minorEastAsia" w:hAnsiTheme="minorHAnsi" w:cstheme="minorBidi"/>
              <w:b w:val="0"/>
              <w:noProof/>
              <w:color w:val="auto"/>
              <w:szCs w:val="22"/>
              <w:lang w:eastAsia="en-AU"/>
            </w:rPr>
          </w:pPr>
          <w:hyperlink w:anchor="_Toc134095505" w:history="1">
            <w:r w:rsidR="00337955" w:rsidRPr="00F60547">
              <w:rPr>
                <w:rStyle w:val="Hyperlink"/>
                <w:noProof/>
              </w:rPr>
              <w:t>Efficacy</w:t>
            </w:r>
            <w:r w:rsidR="00337955">
              <w:rPr>
                <w:noProof/>
                <w:webHidden/>
              </w:rPr>
              <w:tab/>
            </w:r>
            <w:r w:rsidR="00337955">
              <w:rPr>
                <w:noProof/>
                <w:webHidden/>
              </w:rPr>
              <w:fldChar w:fldCharType="begin"/>
            </w:r>
            <w:r w:rsidR="00337955">
              <w:rPr>
                <w:noProof/>
                <w:webHidden/>
              </w:rPr>
              <w:instrText xml:space="preserve"> PAGEREF _Toc134095505 \h </w:instrText>
            </w:r>
            <w:r w:rsidR="00337955">
              <w:rPr>
                <w:noProof/>
                <w:webHidden/>
              </w:rPr>
            </w:r>
            <w:r w:rsidR="00337955">
              <w:rPr>
                <w:noProof/>
                <w:webHidden/>
              </w:rPr>
              <w:fldChar w:fldCharType="separate"/>
            </w:r>
            <w:r>
              <w:rPr>
                <w:noProof/>
                <w:webHidden/>
              </w:rPr>
              <w:t>16</w:t>
            </w:r>
            <w:r w:rsidR="00337955">
              <w:rPr>
                <w:noProof/>
                <w:webHidden/>
              </w:rPr>
              <w:fldChar w:fldCharType="end"/>
            </w:r>
          </w:hyperlink>
        </w:p>
        <w:p w14:paraId="755384BF" w14:textId="0231CFF3" w:rsidR="00337955" w:rsidRDefault="00F20AB1">
          <w:pPr>
            <w:pStyle w:val="TOC3"/>
            <w:rPr>
              <w:rFonts w:asciiTheme="minorHAnsi" w:eastAsiaTheme="minorEastAsia" w:hAnsiTheme="minorHAnsi" w:cstheme="minorBidi"/>
              <w:b w:val="0"/>
              <w:noProof/>
              <w:color w:val="auto"/>
              <w:szCs w:val="22"/>
              <w:lang w:eastAsia="en-AU"/>
            </w:rPr>
          </w:pPr>
          <w:hyperlink w:anchor="_Toc134095506" w:history="1">
            <w:r w:rsidR="00337955" w:rsidRPr="00F60547">
              <w:rPr>
                <w:rStyle w:val="Hyperlink"/>
                <w:noProof/>
              </w:rPr>
              <w:t>Safety</w:t>
            </w:r>
            <w:r w:rsidR="00337955">
              <w:rPr>
                <w:noProof/>
                <w:webHidden/>
              </w:rPr>
              <w:tab/>
            </w:r>
            <w:r w:rsidR="00337955">
              <w:rPr>
                <w:noProof/>
                <w:webHidden/>
              </w:rPr>
              <w:fldChar w:fldCharType="begin"/>
            </w:r>
            <w:r w:rsidR="00337955">
              <w:rPr>
                <w:noProof/>
                <w:webHidden/>
              </w:rPr>
              <w:instrText xml:space="preserve"> PAGEREF _Toc134095506 \h </w:instrText>
            </w:r>
            <w:r w:rsidR="00337955">
              <w:rPr>
                <w:noProof/>
                <w:webHidden/>
              </w:rPr>
            </w:r>
            <w:r w:rsidR="00337955">
              <w:rPr>
                <w:noProof/>
                <w:webHidden/>
              </w:rPr>
              <w:fldChar w:fldCharType="separate"/>
            </w:r>
            <w:r>
              <w:rPr>
                <w:noProof/>
                <w:webHidden/>
              </w:rPr>
              <w:t>37</w:t>
            </w:r>
            <w:r w:rsidR="00337955">
              <w:rPr>
                <w:noProof/>
                <w:webHidden/>
              </w:rPr>
              <w:fldChar w:fldCharType="end"/>
            </w:r>
          </w:hyperlink>
        </w:p>
        <w:p w14:paraId="201895D7" w14:textId="0462C750" w:rsidR="00337955" w:rsidRDefault="00F20AB1">
          <w:pPr>
            <w:pStyle w:val="TOC2"/>
            <w:rPr>
              <w:rFonts w:asciiTheme="minorHAnsi" w:eastAsiaTheme="minorEastAsia" w:hAnsiTheme="minorHAnsi" w:cstheme="minorBidi"/>
              <w:b w:val="0"/>
              <w:noProof/>
              <w:color w:val="auto"/>
              <w:sz w:val="22"/>
              <w:szCs w:val="22"/>
              <w:lang w:eastAsia="en-AU"/>
            </w:rPr>
          </w:pPr>
          <w:hyperlink w:anchor="_Toc134095507" w:history="1">
            <w:r w:rsidR="00337955" w:rsidRPr="00F60547">
              <w:rPr>
                <w:rStyle w:val="Hyperlink"/>
                <w:noProof/>
                <w:lang w:eastAsia="en-AU"/>
              </w:rPr>
              <w:t>Risk management plan</w:t>
            </w:r>
            <w:r w:rsidR="00337955">
              <w:rPr>
                <w:noProof/>
                <w:webHidden/>
              </w:rPr>
              <w:tab/>
            </w:r>
            <w:r w:rsidR="00337955">
              <w:rPr>
                <w:noProof/>
                <w:webHidden/>
              </w:rPr>
              <w:fldChar w:fldCharType="begin"/>
            </w:r>
            <w:r w:rsidR="00337955">
              <w:rPr>
                <w:noProof/>
                <w:webHidden/>
              </w:rPr>
              <w:instrText xml:space="preserve"> PAGEREF _Toc134095507 \h </w:instrText>
            </w:r>
            <w:r w:rsidR="00337955">
              <w:rPr>
                <w:noProof/>
                <w:webHidden/>
              </w:rPr>
            </w:r>
            <w:r w:rsidR="00337955">
              <w:rPr>
                <w:noProof/>
                <w:webHidden/>
              </w:rPr>
              <w:fldChar w:fldCharType="separate"/>
            </w:r>
            <w:r>
              <w:rPr>
                <w:noProof/>
                <w:webHidden/>
              </w:rPr>
              <w:t>45</w:t>
            </w:r>
            <w:r w:rsidR="00337955">
              <w:rPr>
                <w:noProof/>
                <w:webHidden/>
              </w:rPr>
              <w:fldChar w:fldCharType="end"/>
            </w:r>
          </w:hyperlink>
        </w:p>
        <w:p w14:paraId="6A3915B8" w14:textId="722956F1" w:rsidR="00337955" w:rsidRDefault="00F20AB1">
          <w:pPr>
            <w:pStyle w:val="TOC2"/>
            <w:rPr>
              <w:rFonts w:asciiTheme="minorHAnsi" w:eastAsiaTheme="minorEastAsia" w:hAnsiTheme="minorHAnsi" w:cstheme="minorBidi"/>
              <w:b w:val="0"/>
              <w:noProof/>
              <w:color w:val="auto"/>
              <w:sz w:val="22"/>
              <w:szCs w:val="22"/>
              <w:lang w:eastAsia="en-AU"/>
            </w:rPr>
          </w:pPr>
          <w:hyperlink w:anchor="_Toc134095508" w:history="1">
            <w:r w:rsidR="00337955" w:rsidRPr="00F60547">
              <w:rPr>
                <w:rStyle w:val="Hyperlink"/>
                <w:noProof/>
              </w:rPr>
              <w:t>Risk-benefit analysis</w:t>
            </w:r>
            <w:r w:rsidR="00337955">
              <w:rPr>
                <w:noProof/>
                <w:webHidden/>
              </w:rPr>
              <w:tab/>
            </w:r>
            <w:r w:rsidR="00337955">
              <w:rPr>
                <w:noProof/>
                <w:webHidden/>
              </w:rPr>
              <w:fldChar w:fldCharType="begin"/>
            </w:r>
            <w:r w:rsidR="00337955">
              <w:rPr>
                <w:noProof/>
                <w:webHidden/>
              </w:rPr>
              <w:instrText xml:space="preserve"> PAGEREF _Toc134095508 \h </w:instrText>
            </w:r>
            <w:r w:rsidR="00337955">
              <w:rPr>
                <w:noProof/>
                <w:webHidden/>
              </w:rPr>
            </w:r>
            <w:r w:rsidR="00337955">
              <w:rPr>
                <w:noProof/>
                <w:webHidden/>
              </w:rPr>
              <w:fldChar w:fldCharType="separate"/>
            </w:r>
            <w:r>
              <w:rPr>
                <w:noProof/>
                <w:webHidden/>
              </w:rPr>
              <w:t>46</w:t>
            </w:r>
            <w:r w:rsidR="00337955">
              <w:rPr>
                <w:noProof/>
                <w:webHidden/>
              </w:rPr>
              <w:fldChar w:fldCharType="end"/>
            </w:r>
          </w:hyperlink>
        </w:p>
        <w:p w14:paraId="2B033206" w14:textId="19434CB8" w:rsidR="00337955" w:rsidRDefault="00F20AB1">
          <w:pPr>
            <w:pStyle w:val="TOC3"/>
            <w:rPr>
              <w:rFonts w:asciiTheme="minorHAnsi" w:eastAsiaTheme="minorEastAsia" w:hAnsiTheme="minorHAnsi" w:cstheme="minorBidi"/>
              <w:b w:val="0"/>
              <w:noProof/>
              <w:color w:val="auto"/>
              <w:szCs w:val="22"/>
              <w:lang w:eastAsia="en-AU"/>
            </w:rPr>
          </w:pPr>
          <w:hyperlink w:anchor="_Toc134095509" w:history="1">
            <w:r w:rsidR="00337955" w:rsidRPr="00F60547">
              <w:rPr>
                <w:rStyle w:val="Hyperlink"/>
                <w:noProof/>
              </w:rPr>
              <w:t>Delegate’s considerations</w:t>
            </w:r>
            <w:r w:rsidR="00337955">
              <w:rPr>
                <w:noProof/>
                <w:webHidden/>
              </w:rPr>
              <w:tab/>
            </w:r>
            <w:r w:rsidR="00337955">
              <w:rPr>
                <w:noProof/>
                <w:webHidden/>
              </w:rPr>
              <w:fldChar w:fldCharType="begin"/>
            </w:r>
            <w:r w:rsidR="00337955">
              <w:rPr>
                <w:noProof/>
                <w:webHidden/>
              </w:rPr>
              <w:instrText xml:space="preserve"> PAGEREF _Toc134095509 \h </w:instrText>
            </w:r>
            <w:r w:rsidR="00337955">
              <w:rPr>
                <w:noProof/>
                <w:webHidden/>
              </w:rPr>
            </w:r>
            <w:r w:rsidR="00337955">
              <w:rPr>
                <w:noProof/>
                <w:webHidden/>
              </w:rPr>
              <w:fldChar w:fldCharType="separate"/>
            </w:r>
            <w:r>
              <w:rPr>
                <w:noProof/>
                <w:webHidden/>
              </w:rPr>
              <w:t>46</w:t>
            </w:r>
            <w:r w:rsidR="00337955">
              <w:rPr>
                <w:noProof/>
                <w:webHidden/>
              </w:rPr>
              <w:fldChar w:fldCharType="end"/>
            </w:r>
          </w:hyperlink>
        </w:p>
        <w:p w14:paraId="34A2E586" w14:textId="24CD6E6D" w:rsidR="00337955" w:rsidRDefault="00F20AB1">
          <w:pPr>
            <w:pStyle w:val="TOC3"/>
            <w:rPr>
              <w:rFonts w:asciiTheme="minorHAnsi" w:eastAsiaTheme="minorEastAsia" w:hAnsiTheme="minorHAnsi" w:cstheme="minorBidi"/>
              <w:b w:val="0"/>
              <w:noProof/>
              <w:color w:val="auto"/>
              <w:szCs w:val="22"/>
              <w:lang w:eastAsia="en-AU"/>
            </w:rPr>
          </w:pPr>
          <w:hyperlink w:anchor="_Toc134095510" w:history="1">
            <w:r w:rsidR="00337955" w:rsidRPr="00F60547">
              <w:rPr>
                <w:rStyle w:val="Hyperlink"/>
                <w:noProof/>
              </w:rPr>
              <w:t>Proposed action</w:t>
            </w:r>
            <w:r w:rsidR="00337955">
              <w:rPr>
                <w:noProof/>
                <w:webHidden/>
              </w:rPr>
              <w:tab/>
            </w:r>
            <w:r w:rsidR="00337955">
              <w:rPr>
                <w:noProof/>
                <w:webHidden/>
              </w:rPr>
              <w:fldChar w:fldCharType="begin"/>
            </w:r>
            <w:r w:rsidR="00337955">
              <w:rPr>
                <w:noProof/>
                <w:webHidden/>
              </w:rPr>
              <w:instrText xml:space="preserve"> PAGEREF _Toc134095510 \h </w:instrText>
            </w:r>
            <w:r w:rsidR="00337955">
              <w:rPr>
                <w:noProof/>
                <w:webHidden/>
              </w:rPr>
            </w:r>
            <w:r w:rsidR="00337955">
              <w:rPr>
                <w:noProof/>
                <w:webHidden/>
              </w:rPr>
              <w:fldChar w:fldCharType="separate"/>
            </w:r>
            <w:r>
              <w:rPr>
                <w:noProof/>
                <w:webHidden/>
              </w:rPr>
              <w:t>50</w:t>
            </w:r>
            <w:r w:rsidR="00337955">
              <w:rPr>
                <w:noProof/>
                <w:webHidden/>
              </w:rPr>
              <w:fldChar w:fldCharType="end"/>
            </w:r>
          </w:hyperlink>
        </w:p>
        <w:p w14:paraId="684C1B3F" w14:textId="14FD669D" w:rsidR="00337955" w:rsidRDefault="00F20AB1">
          <w:pPr>
            <w:pStyle w:val="TOC3"/>
            <w:rPr>
              <w:rFonts w:asciiTheme="minorHAnsi" w:eastAsiaTheme="minorEastAsia" w:hAnsiTheme="minorHAnsi" w:cstheme="minorBidi"/>
              <w:b w:val="0"/>
              <w:noProof/>
              <w:color w:val="auto"/>
              <w:szCs w:val="22"/>
              <w:lang w:eastAsia="en-AU"/>
            </w:rPr>
          </w:pPr>
          <w:hyperlink w:anchor="_Toc134095511" w:history="1">
            <w:r w:rsidR="00337955" w:rsidRPr="00F60547">
              <w:rPr>
                <w:rStyle w:val="Hyperlink"/>
                <w:noProof/>
              </w:rPr>
              <w:t>Advisory Committee considerations</w:t>
            </w:r>
            <w:r w:rsidR="00337955">
              <w:rPr>
                <w:noProof/>
                <w:webHidden/>
              </w:rPr>
              <w:tab/>
            </w:r>
            <w:r w:rsidR="00337955">
              <w:rPr>
                <w:noProof/>
                <w:webHidden/>
              </w:rPr>
              <w:fldChar w:fldCharType="begin"/>
            </w:r>
            <w:r w:rsidR="00337955">
              <w:rPr>
                <w:noProof/>
                <w:webHidden/>
              </w:rPr>
              <w:instrText xml:space="preserve"> PAGEREF _Toc134095511 \h </w:instrText>
            </w:r>
            <w:r w:rsidR="00337955">
              <w:rPr>
                <w:noProof/>
                <w:webHidden/>
              </w:rPr>
            </w:r>
            <w:r w:rsidR="00337955">
              <w:rPr>
                <w:noProof/>
                <w:webHidden/>
              </w:rPr>
              <w:fldChar w:fldCharType="separate"/>
            </w:r>
            <w:r>
              <w:rPr>
                <w:noProof/>
                <w:webHidden/>
              </w:rPr>
              <w:t>51</w:t>
            </w:r>
            <w:r w:rsidR="00337955">
              <w:rPr>
                <w:noProof/>
                <w:webHidden/>
              </w:rPr>
              <w:fldChar w:fldCharType="end"/>
            </w:r>
          </w:hyperlink>
        </w:p>
        <w:p w14:paraId="4ABE2A5C" w14:textId="46D3BD2F" w:rsidR="00337955" w:rsidRDefault="00F20AB1">
          <w:pPr>
            <w:pStyle w:val="TOC1"/>
            <w:rPr>
              <w:rFonts w:asciiTheme="minorHAnsi" w:eastAsiaTheme="minorEastAsia" w:hAnsiTheme="minorHAnsi" w:cstheme="minorBidi"/>
              <w:b w:val="0"/>
              <w:noProof/>
              <w:color w:val="auto"/>
              <w:sz w:val="22"/>
              <w:szCs w:val="22"/>
              <w:lang w:eastAsia="en-AU"/>
            </w:rPr>
          </w:pPr>
          <w:hyperlink w:anchor="_Toc134095512" w:history="1">
            <w:r w:rsidR="00337955" w:rsidRPr="00F60547">
              <w:rPr>
                <w:rStyle w:val="Hyperlink"/>
                <w:noProof/>
              </w:rPr>
              <w:t>Outcome</w:t>
            </w:r>
            <w:r w:rsidR="00337955">
              <w:rPr>
                <w:noProof/>
                <w:webHidden/>
              </w:rPr>
              <w:tab/>
            </w:r>
            <w:r w:rsidR="00337955">
              <w:rPr>
                <w:noProof/>
                <w:webHidden/>
              </w:rPr>
              <w:fldChar w:fldCharType="begin"/>
            </w:r>
            <w:r w:rsidR="00337955">
              <w:rPr>
                <w:noProof/>
                <w:webHidden/>
              </w:rPr>
              <w:instrText xml:space="preserve"> PAGEREF _Toc134095512 \h </w:instrText>
            </w:r>
            <w:r w:rsidR="00337955">
              <w:rPr>
                <w:noProof/>
                <w:webHidden/>
              </w:rPr>
            </w:r>
            <w:r w:rsidR="00337955">
              <w:rPr>
                <w:noProof/>
                <w:webHidden/>
              </w:rPr>
              <w:fldChar w:fldCharType="separate"/>
            </w:r>
            <w:r>
              <w:rPr>
                <w:noProof/>
                <w:webHidden/>
              </w:rPr>
              <w:t>53</w:t>
            </w:r>
            <w:r w:rsidR="00337955">
              <w:rPr>
                <w:noProof/>
                <w:webHidden/>
              </w:rPr>
              <w:fldChar w:fldCharType="end"/>
            </w:r>
          </w:hyperlink>
        </w:p>
        <w:p w14:paraId="7C6BE987" w14:textId="1589CB20" w:rsidR="00337955" w:rsidRDefault="00F20AB1">
          <w:pPr>
            <w:pStyle w:val="TOC2"/>
            <w:rPr>
              <w:rFonts w:asciiTheme="minorHAnsi" w:eastAsiaTheme="minorEastAsia" w:hAnsiTheme="minorHAnsi" w:cstheme="minorBidi"/>
              <w:b w:val="0"/>
              <w:noProof/>
              <w:color w:val="auto"/>
              <w:sz w:val="22"/>
              <w:szCs w:val="22"/>
              <w:lang w:eastAsia="en-AU"/>
            </w:rPr>
          </w:pPr>
          <w:hyperlink w:anchor="_Toc134095513" w:history="1">
            <w:r w:rsidR="00337955" w:rsidRPr="00F60547">
              <w:rPr>
                <w:rStyle w:val="Hyperlink"/>
                <w:noProof/>
              </w:rPr>
              <w:t>Specific conditions of registration applying to these goods</w:t>
            </w:r>
            <w:r w:rsidR="00337955">
              <w:rPr>
                <w:noProof/>
                <w:webHidden/>
              </w:rPr>
              <w:tab/>
            </w:r>
            <w:r w:rsidR="00337955">
              <w:rPr>
                <w:noProof/>
                <w:webHidden/>
              </w:rPr>
              <w:fldChar w:fldCharType="begin"/>
            </w:r>
            <w:r w:rsidR="00337955">
              <w:rPr>
                <w:noProof/>
                <w:webHidden/>
              </w:rPr>
              <w:instrText xml:space="preserve"> PAGEREF _Toc134095513 \h </w:instrText>
            </w:r>
            <w:r w:rsidR="00337955">
              <w:rPr>
                <w:noProof/>
                <w:webHidden/>
              </w:rPr>
            </w:r>
            <w:r w:rsidR="00337955">
              <w:rPr>
                <w:noProof/>
                <w:webHidden/>
              </w:rPr>
              <w:fldChar w:fldCharType="separate"/>
            </w:r>
            <w:r>
              <w:rPr>
                <w:noProof/>
                <w:webHidden/>
              </w:rPr>
              <w:t>54</w:t>
            </w:r>
            <w:r w:rsidR="00337955">
              <w:rPr>
                <w:noProof/>
                <w:webHidden/>
              </w:rPr>
              <w:fldChar w:fldCharType="end"/>
            </w:r>
          </w:hyperlink>
        </w:p>
        <w:p w14:paraId="52EAE5A4" w14:textId="5FF41D24" w:rsidR="00337955" w:rsidRDefault="00F20AB1">
          <w:pPr>
            <w:pStyle w:val="TOC1"/>
            <w:rPr>
              <w:rFonts w:asciiTheme="minorHAnsi" w:eastAsiaTheme="minorEastAsia" w:hAnsiTheme="minorHAnsi" w:cstheme="minorBidi"/>
              <w:b w:val="0"/>
              <w:noProof/>
              <w:color w:val="auto"/>
              <w:sz w:val="22"/>
              <w:szCs w:val="22"/>
              <w:lang w:eastAsia="en-AU"/>
            </w:rPr>
          </w:pPr>
          <w:hyperlink w:anchor="_Toc134095514" w:history="1">
            <w:r w:rsidR="00337955" w:rsidRPr="00F60547">
              <w:rPr>
                <w:rStyle w:val="Hyperlink"/>
                <w:noProof/>
              </w:rPr>
              <w:t>Attachment 1. Product Information</w:t>
            </w:r>
            <w:r w:rsidR="00337955">
              <w:rPr>
                <w:noProof/>
                <w:webHidden/>
              </w:rPr>
              <w:tab/>
            </w:r>
            <w:r w:rsidR="00337955">
              <w:rPr>
                <w:noProof/>
                <w:webHidden/>
              </w:rPr>
              <w:fldChar w:fldCharType="begin"/>
            </w:r>
            <w:r w:rsidR="00337955">
              <w:rPr>
                <w:noProof/>
                <w:webHidden/>
              </w:rPr>
              <w:instrText xml:space="preserve"> PAGEREF _Toc134095514 \h </w:instrText>
            </w:r>
            <w:r w:rsidR="00337955">
              <w:rPr>
                <w:noProof/>
                <w:webHidden/>
              </w:rPr>
            </w:r>
            <w:r w:rsidR="00337955">
              <w:rPr>
                <w:noProof/>
                <w:webHidden/>
              </w:rPr>
              <w:fldChar w:fldCharType="separate"/>
            </w:r>
            <w:r>
              <w:rPr>
                <w:noProof/>
                <w:webHidden/>
              </w:rPr>
              <w:t>54</w:t>
            </w:r>
            <w:r w:rsidR="00337955">
              <w:rPr>
                <w:noProof/>
                <w:webHidden/>
              </w:rPr>
              <w:fldChar w:fldCharType="end"/>
            </w:r>
          </w:hyperlink>
        </w:p>
        <w:p w14:paraId="77659F2D" w14:textId="1878995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34095491"/>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4249D6" w:rsidRPr="00D01DDB" w14:paraId="5F68606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29CA9A" w14:textId="55DA0D0A" w:rsidR="004249D6" w:rsidRPr="00C96FAD" w:rsidRDefault="004249D6" w:rsidP="00324B33">
            <w:pPr>
              <w:rPr>
                <w:szCs w:val="22"/>
              </w:rPr>
            </w:pPr>
            <w:proofErr w:type="spellStart"/>
            <w:r w:rsidRPr="00C96FAD">
              <w:rPr>
                <w:szCs w:val="22"/>
              </w:rPr>
              <w:t>aGVHD</w:t>
            </w:r>
            <w:proofErr w:type="spellEnd"/>
          </w:p>
        </w:tc>
        <w:tc>
          <w:tcPr>
            <w:tcW w:w="3800" w:type="pct"/>
          </w:tcPr>
          <w:p w14:paraId="494E643D" w14:textId="759A0175" w:rsidR="004249D6" w:rsidRPr="00C96FAD" w:rsidRDefault="004249D6" w:rsidP="00324B33">
            <w:pPr>
              <w:cnfStyle w:val="000000000000" w:firstRow="0" w:lastRow="0" w:firstColumn="0" w:lastColumn="0" w:oddVBand="0" w:evenVBand="0" w:oddHBand="0" w:evenHBand="0" w:firstRowFirstColumn="0" w:firstRowLastColumn="0" w:lastRowFirstColumn="0" w:lastRowLastColumn="0"/>
              <w:rPr>
                <w:szCs w:val="22"/>
              </w:rPr>
            </w:pPr>
            <w:r w:rsidRPr="00C96FAD">
              <w:rPr>
                <w:szCs w:val="22"/>
              </w:rPr>
              <w:t>Acute graft-versus-host disease</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1F2BCDF3"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49FC5D2E"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1D4B64" w:rsidRPr="00D01DDB" w14:paraId="225D649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274EB5" w14:textId="4C21B294" w:rsidR="001D4B64" w:rsidRPr="00D01DDB" w:rsidRDefault="001D4B64" w:rsidP="00324B33">
            <w:pPr>
              <w:rPr>
                <w:szCs w:val="22"/>
              </w:rPr>
            </w:pPr>
            <w:r>
              <w:rPr>
                <w:szCs w:val="22"/>
              </w:rPr>
              <w:t>AUC</w:t>
            </w:r>
          </w:p>
        </w:tc>
        <w:tc>
          <w:tcPr>
            <w:tcW w:w="3800" w:type="pct"/>
          </w:tcPr>
          <w:p w14:paraId="50031C31" w14:textId="429E91E9" w:rsidR="001D4B64" w:rsidRPr="00D01DDB" w:rsidRDefault="0030795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Area under the </w:t>
            </w:r>
            <w:r w:rsidR="001D4B64">
              <w:rPr>
                <w:szCs w:val="22"/>
              </w:rPr>
              <w:t>concentration versus time curve</w:t>
            </w:r>
          </w:p>
        </w:tc>
      </w:tr>
      <w:tr w:rsidR="00955307" w:rsidRPr="00D01DDB" w14:paraId="4DBDCAB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531B5B" w14:textId="1E9A55A0" w:rsidR="00955307" w:rsidRPr="00D01DDB" w:rsidRDefault="00955307" w:rsidP="00324B33">
            <w:pPr>
              <w:rPr>
                <w:szCs w:val="22"/>
              </w:rPr>
            </w:pPr>
            <w:r>
              <w:rPr>
                <w:szCs w:val="22"/>
              </w:rPr>
              <w:t>AUC</w:t>
            </w:r>
            <w:r w:rsidRPr="00955307">
              <w:rPr>
                <w:szCs w:val="22"/>
                <w:vertAlign w:val="subscript"/>
              </w:rPr>
              <w:t>inf</w:t>
            </w:r>
          </w:p>
        </w:tc>
        <w:tc>
          <w:tcPr>
            <w:tcW w:w="3800" w:type="pct"/>
          </w:tcPr>
          <w:p w14:paraId="784D6F8F" w14:textId="1B7B642D" w:rsidR="00955307" w:rsidRPr="00D01DDB" w:rsidRDefault="0095530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Area under the concentration versus time </w:t>
            </w:r>
            <w:r w:rsidR="001D4B64">
              <w:rPr>
                <w:szCs w:val="22"/>
              </w:rPr>
              <w:t xml:space="preserve">curve </w:t>
            </w:r>
            <w:r>
              <w:rPr>
                <w:szCs w:val="22"/>
              </w:rPr>
              <w:t>to infinity</w:t>
            </w:r>
          </w:p>
        </w:tc>
      </w:tr>
      <w:tr w:rsidR="00955307" w:rsidRPr="00D01DDB" w14:paraId="5BBBE8D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9D01AF" w14:textId="44619455" w:rsidR="00955307" w:rsidRDefault="00955307" w:rsidP="00324B33">
            <w:pPr>
              <w:rPr>
                <w:szCs w:val="22"/>
              </w:rPr>
            </w:pPr>
            <w:proofErr w:type="spellStart"/>
            <w:r w:rsidRPr="00955307">
              <w:rPr>
                <w:szCs w:val="22"/>
              </w:rPr>
              <w:t>AUC</w:t>
            </w:r>
            <w:r w:rsidR="00120B1D" w:rsidRPr="00120B1D">
              <w:rPr>
                <w:szCs w:val="22"/>
                <w:vertAlign w:val="subscript"/>
              </w:rPr>
              <w:t>last</w:t>
            </w:r>
            <w:proofErr w:type="spellEnd"/>
          </w:p>
        </w:tc>
        <w:tc>
          <w:tcPr>
            <w:tcW w:w="3800" w:type="pct"/>
          </w:tcPr>
          <w:p w14:paraId="31566DB8" w14:textId="1CA8DBBF" w:rsidR="00955307" w:rsidRDefault="00955307">
            <w:pPr>
              <w:cnfStyle w:val="000000000000" w:firstRow="0" w:lastRow="0" w:firstColumn="0" w:lastColumn="0" w:oddVBand="0" w:evenVBand="0" w:oddHBand="0" w:evenHBand="0" w:firstRowFirstColumn="0" w:firstRowLastColumn="0" w:lastRowFirstColumn="0" w:lastRowLastColumn="0"/>
              <w:rPr>
                <w:szCs w:val="22"/>
              </w:rPr>
            </w:pPr>
            <w:r w:rsidRPr="00955307">
              <w:rPr>
                <w:szCs w:val="22"/>
              </w:rPr>
              <w:t xml:space="preserve">Area under the concentration versus time </w:t>
            </w:r>
            <w:r w:rsidR="001D4B64">
              <w:rPr>
                <w:szCs w:val="22"/>
              </w:rPr>
              <w:t>curve</w:t>
            </w:r>
            <w:r w:rsidR="001D4B64" w:rsidRPr="00955307">
              <w:rPr>
                <w:szCs w:val="22"/>
              </w:rPr>
              <w:t xml:space="preserve"> </w:t>
            </w:r>
            <w:r w:rsidRPr="00955307">
              <w:rPr>
                <w:szCs w:val="22"/>
              </w:rPr>
              <w:t>to</w:t>
            </w:r>
            <w:r>
              <w:rPr>
                <w:szCs w:val="22"/>
              </w:rPr>
              <w:t xml:space="preserve"> last </w:t>
            </w:r>
            <w:r w:rsidR="00AB64C0">
              <w:rPr>
                <w:szCs w:val="22"/>
              </w:rPr>
              <w:t>measured sample</w:t>
            </w:r>
          </w:p>
        </w:tc>
      </w:tr>
      <w:tr w:rsidR="002D5047" w:rsidRPr="00D01DDB" w14:paraId="29EFE89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F108BB" w14:textId="2D651EE6" w:rsidR="002D5047" w:rsidRDefault="002D5047" w:rsidP="00324B33">
            <w:pPr>
              <w:rPr>
                <w:szCs w:val="22"/>
              </w:rPr>
            </w:pPr>
            <w:r>
              <w:rPr>
                <w:szCs w:val="22"/>
              </w:rPr>
              <w:t>BAT</w:t>
            </w:r>
          </w:p>
        </w:tc>
        <w:tc>
          <w:tcPr>
            <w:tcW w:w="3800" w:type="pct"/>
          </w:tcPr>
          <w:p w14:paraId="39E8902D" w14:textId="0E32FBFF" w:rsidR="002D5047" w:rsidRDefault="002D504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Best available treatment</w:t>
            </w:r>
          </w:p>
        </w:tc>
      </w:tr>
      <w:tr w:rsidR="00CE6FFF" w:rsidRPr="00D01DDB" w14:paraId="4426F7D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2F0492" w14:textId="40371AA6" w:rsidR="00CE6FFF" w:rsidRDefault="00CE6FFF" w:rsidP="00324B33">
            <w:pPr>
              <w:rPr>
                <w:szCs w:val="22"/>
              </w:rPr>
            </w:pPr>
            <w:r>
              <w:rPr>
                <w:szCs w:val="22"/>
              </w:rPr>
              <w:t>BOR</w:t>
            </w:r>
          </w:p>
        </w:tc>
        <w:tc>
          <w:tcPr>
            <w:tcW w:w="3800" w:type="pct"/>
          </w:tcPr>
          <w:p w14:paraId="2BCF20B8" w14:textId="62CAFCD3" w:rsidR="00CE6FFF" w:rsidRDefault="00CE6FF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Best overall response</w:t>
            </w:r>
          </w:p>
        </w:tc>
      </w:tr>
      <w:tr w:rsidR="00955307" w:rsidRPr="00D01DDB" w14:paraId="00C90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2644EC" w14:textId="37EA4A96" w:rsidR="00955307" w:rsidRPr="00D01DDB" w:rsidRDefault="00955307" w:rsidP="00324B33">
            <w:pPr>
              <w:rPr>
                <w:szCs w:val="22"/>
              </w:rPr>
            </w:pPr>
            <w:r>
              <w:rPr>
                <w:szCs w:val="22"/>
              </w:rPr>
              <w:t>BSA</w:t>
            </w:r>
          </w:p>
        </w:tc>
        <w:tc>
          <w:tcPr>
            <w:tcW w:w="3800" w:type="pct"/>
          </w:tcPr>
          <w:p w14:paraId="4A2ECF07" w14:textId="4AADF4BB" w:rsidR="00955307" w:rsidRPr="00D01DDB" w:rsidRDefault="0095530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Body surface area</w:t>
            </w:r>
          </w:p>
        </w:tc>
      </w:tr>
      <w:tr w:rsidR="004249D6" w:rsidRPr="00D01DDB" w14:paraId="623B140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C7E439" w14:textId="017EC7D8" w:rsidR="004249D6" w:rsidRPr="00D01DDB" w:rsidRDefault="004249D6" w:rsidP="00324B33">
            <w:pPr>
              <w:rPr>
                <w:szCs w:val="22"/>
              </w:rPr>
            </w:pPr>
            <w:r>
              <w:rPr>
                <w:szCs w:val="22"/>
              </w:rPr>
              <w:t>cGVHD</w:t>
            </w:r>
          </w:p>
        </w:tc>
        <w:tc>
          <w:tcPr>
            <w:tcW w:w="3800" w:type="pct"/>
          </w:tcPr>
          <w:p w14:paraId="1E8B54A6" w14:textId="13FDA56F" w:rsidR="004249D6" w:rsidRPr="00D01DDB" w:rsidRDefault="004249D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Chronic graft-versus-host disease</w:t>
            </w:r>
          </w:p>
        </w:tc>
      </w:tr>
      <w:tr w:rsidR="001046E1" w:rsidRPr="00D01DDB" w14:paraId="4CDA60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789ABB" w14:textId="59005085" w:rsidR="001046E1" w:rsidRDefault="001046E1" w:rsidP="00324B33">
            <w:pPr>
              <w:rPr>
                <w:szCs w:val="22"/>
              </w:rPr>
            </w:pPr>
            <w:r>
              <w:rPr>
                <w:szCs w:val="22"/>
              </w:rPr>
              <w:t>CI</w:t>
            </w:r>
          </w:p>
        </w:tc>
        <w:tc>
          <w:tcPr>
            <w:tcW w:w="3800" w:type="pct"/>
          </w:tcPr>
          <w:p w14:paraId="7AD4B2C0" w14:textId="1502FB7E" w:rsidR="001046E1" w:rsidRDefault="001046E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Confidence </w:t>
            </w:r>
            <w:r w:rsidR="00AB64C0">
              <w:rPr>
                <w:szCs w:val="22"/>
              </w:rPr>
              <w:t>i</w:t>
            </w:r>
            <w:r>
              <w:rPr>
                <w:szCs w:val="22"/>
              </w:rPr>
              <w:t>nterval</w:t>
            </w:r>
          </w:p>
        </w:tc>
      </w:tr>
      <w:tr w:rsidR="00955307" w:rsidRPr="00D01DDB" w14:paraId="596A207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FCF29B" w14:textId="2A9BA0D7" w:rsidR="00955307" w:rsidRDefault="00955307" w:rsidP="00324B33">
            <w:pPr>
              <w:rPr>
                <w:szCs w:val="22"/>
              </w:rPr>
            </w:pPr>
            <w:r>
              <w:rPr>
                <w:szCs w:val="22"/>
              </w:rPr>
              <w:t>CL/F</w:t>
            </w:r>
          </w:p>
        </w:tc>
        <w:tc>
          <w:tcPr>
            <w:tcW w:w="3800" w:type="pct"/>
          </w:tcPr>
          <w:p w14:paraId="70F3F0CF" w14:textId="2A98CEC8" w:rsidR="00955307" w:rsidRDefault="0095530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955307">
              <w:rPr>
                <w:szCs w:val="22"/>
              </w:rPr>
              <w:t>pparent oral clearance</w:t>
            </w:r>
          </w:p>
        </w:tc>
      </w:tr>
      <w:tr w:rsidR="00955307" w:rsidRPr="00D01DDB" w14:paraId="06524FB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EE1DE5" w14:textId="0BF8486D" w:rsidR="00955307" w:rsidRDefault="00955307" w:rsidP="00324B33">
            <w:pPr>
              <w:rPr>
                <w:szCs w:val="22"/>
              </w:rPr>
            </w:pPr>
            <w:proofErr w:type="spellStart"/>
            <w:r w:rsidRPr="00955307">
              <w:rPr>
                <w:szCs w:val="22"/>
              </w:rPr>
              <w:t>CL</w:t>
            </w:r>
            <w:r w:rsidRPr="00A600BC">
              <w:rPr>
                <w:szCs w:val="22"/>
                <w:vertAlign w:val="subscript"/>
              </w:rPr>
              <w:t>ss</w:t>
            </w:r>
            <w:proofErr w:type="spellEnd"/>
            <w:r w:rsidRPr="00955307">
              <w:rPr>
                <w:szCs w:val="22"/>
              </w:rPr>
              <w:t>/F</w:t>
            </w:r>
          </w:p>
        </w:tc>
        <w:tc>
          <w:tcPr>
            <w:tcW w:w="3800" w:type="pct"/>
          </w:tcPr>
          <w:p w14:paraId="13FDAFEA" w14:textId="1CCC8301" w:rsidR="00955307" w:rsidRDefault="0095530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Oral </w:t>
            </w:r>
            <w:r w:rsidRPr="00955307">
              <w:rPr>
                <w:szCs w:val="22"/>
              </w:rPr>
              <w:t>clearance at steady-state</w:t>
            </w:r>
          </w:p>
        </w:tc>
      </w:tr>
      <w:tr w:rsidR="00955307" w:rsidRPr="00D01DDB" w14:paraId="71866A3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14ADCC" w14:textId="0E0A03E6" w:rsidR="00955307" w:rsidRPr="00D01DDB" w:rsidRDefault="00955307" w:rsidP="00324B33">
            <w:pPr>
              <w:rPr>
                <w:szCs w:val="22"/>
              </w:rPr>
            </w:pPr>
            <w:r>
              <w:rPr>
                <w:szCs w:val="22"/>
              </w:rPr>
              <w:t>C</w:t>
            </w:r>
            <w:r w:rsidRPr="00955307">
              <w:rPr>
                <w:szCs w:val="22"/>
                <w:vertAlign w:val="subscript"/>
              </w:rPr>
              <w:t>max</w:t>
            </w:r>
          </w:p>
        </w:tc>
        <w:tc>
          <w:tcPr>
            <w:tcW w:w="3800" w:type="pct"/>
          </w:tcPr>
          <w:p w14:paraId="495C35BD" w14:textId="6CCA7243" w:rsidR="00955307" w:rsidRPr="00D01DDB" w:rsidRDefault="00955307">
            <w:pPr>
              <w:cnfStyle w:val="000000000000" w:firstRow="0" w:lastRow="0" w:firstColumn="0" w:lastColumn="0" w:oddVBand="0" w:evenVBand="0" w:oddHBand="0" w:evenHBand="0" w:firstRowFirstColumn="0" w:firstRowLastColumn="0" w:lastRowFirstColumn="0" w:lastRowLastColumn="0"/>
              <w:rPr>
                <w:szCs w:val="22"/>
              </w:rPr>
            </w:pPr>
            <w:r>
              <w:rPr>
                <w:szCs w:val="22"/>
              </w:rPr>
              <w:t>Maximum concentration</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C908B0" w:rsidRPr="00D01DDB" w14:paraId="593497E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ADB570" w14:textId="7B22C59A" w:rsidR="00C908B0" w:rsidRPr="00D01DDB" w:rsidRDefault="00C908B0" w:rsidP="00324B33">
            <w:pPr>
              <w:rPr>
                <w:szCs w:val="22"/>
              </w:rPr>
            </w:pPr>
            <w:r>
              <w:rPr>
                <w:szCs w:val="22"/>
              </w:rPr>
              <w:t>CR</w:t>
            </w:r>
          </w:p>
        </w:tc>
        <w:tc>
          <w:tcPr>
            <w:tcW w:w="3800" w:type="pct"/>
          </w:tcPr>
          <w:p w14:paraId="291657D7" w14:textId="68AB849A" w:rsidR="00C908B0" w:rsidRPr="00D01DDB" w:rsidRDefault="00C908B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Complete response</w:t>
            </w:r>
          </w:p>
        </w:tc>
      </w:tr>
      <w:tr w:rsidR="002D5047" w:rsidRPr="00D01DDB" w14:paraId="4B509C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888817" w14:textId="032B9296" w:rsidR="002D5047" w:rsidRDefault="002D5047" w:rsidP="00324B33">
            <w:pPr>
              <w:rPr>
                <w:szCs w:val="22"/>
              </w:rPr>
            </w:pPr>
            <w:r>
              <w:rPr>
                <w:szCs w:val="22"/>
              </w:rPr>
              <w:t>CSR</w:t>
            </w:r>
          </w:p>
        </w:tc>
        <w:tc>
          <w:tcPr>
            <w:tcW w:w="3800" w:type="pct"/>
          </w:tcPr>
          <w:p w14:paraId="24D99C5F" w14:textId="4465DB1A" w:rsidR="002D5047" w:rsidRDefault="002D504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Clinical study report</w:t>
            </w:r>
          </w:p>
        </w:tc>
      </w:tr>
      <w:tr w:rsidR="00955307" w:rsidRPr="00D01DDB" w14:paraId="32A43D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31DB6B" w14:textId="4113EACF" w:rsidR="00955307" w:rsidRPr="00D01DDB" w:rsidRDefault="00955307" w:rsidP="00324B33">
            <w:pPr>
              <w:rPr>
                <w:szCs w:val="22"/>
              </w:rPr>
            </w:pPr>
            <w:r>
              <w:rPr>
                <w:szCs w:val="22"/>
              </w:rPr>
              <w:t>CV</w:t>
            </w:r>
          </w:p>
        </w:tc>
        <w:tc>
          <w:tcPr>
            <w:tcW w:w="3800" w:type="pct"/>
          </w:tcPr>
          <w:p w14:paraId="00BB75D6" w14:textId="42E82C4E" w:rsidR="00955307" w:rsidRPr="00D01DDB" w:rsidRDefault="0095530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Coefficient of variation</w:t>
            </w:r>
          </w:p>
        </w:tc>
      </w:tr>
      <w:tr w:rsidR="00C908B0" w:rsidRPr="00D01DDB" w14:paraId="6A9FC9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F05FFD" w14:textId="409F7B92" w:rsidR="00C908B0" w:rsidRPr="00D01DDB" w:rsidRDefault="00C908B0" w:rsidP="00324B33">
            <w:pPr>
              <w:rPr>
                <w:szCs w:val="22"/>
              </w:rPr>
            </w:pPr>
            <w:r>
              <w:rPr>
                <w:szCs w:val="22"/>
              </w:rPr>
              <w:t>DOR</w:t>
            </w:r>
          </w:p>
        </w:tc>
        <w:tc>
          <w:tcPr>
            <w:tcW w:w="3800" w:type="pct"/>
          </w:tcPr>
          <w:p w14:paraId="5C9F6984" w14:textId="4E828701" w:rsidR="00C908B0" w:rsidRPr="00D01DDB" w:rsidRDefault="00C908B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Duration of response</w:t>
            </w:r>
          </w:p>
        </w:tc>
      </w:tr>
      <w:tr w:rsidR="00AB64C0" w:rsidRPr="00D01DDB" w14:paraId="1724015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D2BF2C" w14:textId="377B651A" w:rsidR="00AB64C0" w:rsidRDefault="00AB64C0" w:rsidP="00324B33">
            <w:pPr>
              <w:rPr>
                <w:szCs w:val="22"/>
              </w:rPr>
            </w:pPr>
            <w:r>
              <w:rPr>
                <w:szCs w:val="22"/>
              </w:rPr>
              <w:t>FDA</w:t>
            </w:r>
          </w:p>
        </w:tc>
        <w:tc>
          <w:tcPr>
            <w:tcW w:w="3800" w:type="pct"/>
          </w:tcPr>
          <w:p w14:paraId="03FCDFD8" w14:textId="6A10AC77" w:rsidR="00AB64C0" w:rsidRDefault="00AB64C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Food and Drug Administration (United States of America)</w:t>
            </w:r>
          </w:p>
        </w:tc>
      </w:tr>
      <w:tr w:rsidR="00CE6FFF" w:rsidRPr="00D01DDB" w14:paraId="73268D9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7C221B" w14:textId="4CC8C775" w:rsidR="00CE6FFF" w:rsidRDefault="00CE6FFF" w:rsidP="00324B33">
            <w:pPr>
              <w:rPr>
                <w:szCs w:val="22"/>
              </w:rPr>
            </w:pPr>
            <w:r>
              <w:rPr>
                <w:szCs w:val="22"/>
              </w:rPr>
              <w:t>FFS</w:t>
            </w:r>
          </w:p>
        </w:tc>
        <w:tc>
          <w:tcPr>
            <w:tcW w:w="3800" w:type="pct"/>
          </w:tcPr>
          <w:p w14:paraId="29350C53" w14:textId="1164F0D9" w:rsidR="00CE6FFF" w:rsidRDefault="00CE6FF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Failure free survival</w:t>
            </w:r>
          </w:p>
        </w:tc>
      </w:tr>
      <w:tr w:rsidR="00A27A36" w:rsidRPr="00D01DDB" w14:paraId="5C972A3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C327D6" w14:textId="50B7FA11" w:rsidR="00A27A36" w:rsidRPr="00D01DDB" w:rsidRDefault="00A27A36" w:rsidP="00324B33">
            <w:pPr>
              <w:rPr>
                <w:szCs w:val="22"/>
              </w:rPr>
            </w:pPr>
            <w:r>
              <w:rPr>
                <w:szCs w:val="22"/>
              </w:rPr>
              <w:t>GVHD</w:t>
            </w:r>
          </w:p>
        </w:tc>
        <w:tc>
          <w:tcPr>
            <w:tcW w:w="3800" w:type="pct"/>
          </w:tcPr>
          <w:p w14:paraId="14DC257F" w14:textId="47052901" w:rsidR="00A27A36" w:rsidRPr="00D01DDB" w:rsidRDefault="00A27A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Graft-versus-host disease</w:t>
            </w:r>
          </w:p>
        </w:tc>
      </w:tr>
      <w:tr w:rsidR="00E76F8D" w:rsidRPr="00D01DDB" w14:paraId="1D31A9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D8EFD0" w14:textId="14A5FDD2" w:rsidR="00E76F8D" w:rsidRDefault="00E76F8D" w:rsidP="00324B33">
            <w:pPr>
              <w:rPr>
                <w:szCs w:val="22"/>
              </w:rPr>
            </w:pPr>
            <w:r>
              <w:rPr>
                <w:szCs w:val="22"/>
              </w:rPr>
              <w:t>JAK</w:t>
            </w:r>
          </w:p>
        </w:tc>
        <w:tc>
          <w:tcPr>
            <w:tcW w:w="3800" w:type="pct"/>
          </w:tcPr>
          <w:p w14:paraId="7574CEE2" w14:textId="14D014AC" w:rsidR="00E76F8D" w:rsidRDefault="00E76F8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Janus kinase</w:t>
            </w:r>
          </w:p>
        </w:tc>
      </w:tr>
      <w:tr w:rsidR="00955307" w:rsidRPr="00D01DDB" w14:paraId="268E2BA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AD5695" w14:textId="4D2CBF2B" w:rsidR="00955307" w:rsidRDefault="00955307" w:rsidP="00324B33">
            <w:pPr>
              <w:rPr>
                <w:szCs w:val="22"/>
              </w:rPr>
            </w:pPr>
            <w:r>
              <w:rPr>
                <w:szCs w:val="22"/>
              </w:rPr>
              <w:t>K</w:t>
            </w:r>
            <w:r w:rsidRPr="00A600BC">
              <w:rPr>
                <w:szCs w:val="22"/>
                <w:vertAlign w:val="subscript"/>
              </w:rPr>
              <w:t>a</w:t>
            </w:r>
          </w:p>
        </w:tc>
        <w:tc>
          <w:tcPr>
            <w:tcW w:w="3800" w:type="pct"/>
          </w:tcPr>
          <w:p w14:paraId="5BDF74BC" w14:textId="210FBBED" w:rsidR="00955307" w:rsidRDefault="0095530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Absorption rate constant</w:t>
            </w:r>
          </w:p>
        </w:tc>
      </w:tr>
      <w:tr w:rsidR="004249D6" w:rsidRPr="00D01DDB" w14:paraId="7E6A47F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612E2F" w14:textId="0A18F988" w:rsidR="004249D6" w:rsidRDefault="004249D6" w:rsidP="00324B33">
            <w:pPr>
              <w:rPr>
                <w:szCs w:val="22"/>
              </w:rPr>
            </w:pPr>
            <w:r>
              <w:rPr>
                <w:szCs w:val="22"/>
              </w:rPr>
              <w:t>MAGIC</w:t>
            </w:r>
          </w:p>
        </w:tc>
        <w:tc>
          <w:tcPr>
            <w:tcW w:w="3800" w:type="pct"/>
          </w:tcPr>
          <w:p w14:paraId="4335B4EA" w14:textId="48B8BCAE" w:rsidR="004249D6" w:rsidRDefault="0030795E" w:rsidP="00324B33">
            <w:pPr>
              <w:cnfStyle w:val="000000000000" w:firstRow="0" w:lastRow="0" w:firstColumn="0" w:lastColumn="0" w:oddVBand="0" w:evenVBand="0" w:oddHBand="0" w:evenHBand="0" w:firstRowFirstColumn="0" w:firstRowLastColumn="0" w:lastRowFirstColumn="0" w:lastRowLastColumn="0"/>
              <w:rPr>
                <w:szCs w:val="22"/>
              </w:rPr>
            </w:pPr>
            <w:r w:rsidRPr="0030795E">
              <w:rPr>
                <w:szCs w:val="22"/>
              </w:rPr>
              <w:t>Mount Sinai Acute GvHD International Consortium</w:t>
            </w:r>
          </w:p>
        </w:tc>
      </w:tr>
      <w:tr w:rsidR="00CE6FFF" w:rsidRPr="00D01DDB" w14:paraId="6AB62DA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A7A4C1" w14:textId="4008CA9F" w:rsidR="00CE6FFF" w:rsidRDefault="00CE6FFF" w:rsidP="00324B33">
            <w:pPr>
              <w:rPr>
                <w:szCs w:val="22"/>
              </w:rPr>
            </w:pPr>
            <w:proofErr w:type="spellStart"/>
            <w:r w:rsidRPr="00CE6FFF">
              <w:rPr>
                <w:szCs w:val="22"/>
              </w:rPr>
              <w:t>mLSS</w:t>
            </w:r>
            <w:proofErr w:type="spellEnd"/>
          </w:p>
        </w:tc>
        <w:tc>
          <w:tcPr>
            <w:tcW w:w="3800" w:type="pct"/>
          </w:tcPr>
          <w:p w14:paraId="5E6884A9" w14:textId="4B695496" w:rsidR="00CE6FFF" w:rsidRPr="004249D6" w:rsidRDefault="00CE6FF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Modified Lee Symptom Scale</w:t>
            </w:r>
          </w:p>
        </w:tc>
      </w:tr>
      <w:tr w:rsidR="007E06B1" w:rsidRPr="00D01DDB" w14:paraId="469419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1BE5E2" w14:textId="6593A586" w:rsidR="007E06B1" w:rsidRPr="00CE6FFF" w:rsidRDefault="007E06B1" w:rsidP="00324B33">
            <w:pPr>
              <w:rPr>
                <w:szCs w:val="22"/>
              </w:rPr>
            </w:pPr>
            <w:r>
              <w:rPr>
                <w:szCs w:val="22"/>
              </w:rPr>
              <w:t>NIH</w:t>
            </w:r>
          </w:p>
        </w:tc>
        <w:tc>
          <w:tcPr>
            <w:tcW w:w="3800" w:type="pct"/>
          </w:tcPr>
          <w:p w14:paraId="764EC2CD" w14:textId="3D679D72" w:rsidR="007E06B1" w:rsidRDefault="007E06B1" w:rsidP="00324B33">
            <w:pPr>
              <w:cnfStyle w:val="000000000000" w:firstRow="0" w:lastRow="0" w:firstColumn="0" w:lastColumn="0" w:oddVBand="0" w:evenVBand="0" w:oddHBand="0" w:evenHBand="0" w:firstRowFirstColumn="0" w:firstRowLastColumn="0" w:lastRowFirstColumn="0" w:lastRowLastColumn="0"/>
              <w:rPr>
                <w:szCs w:val="22"/>
              </w:rPr>
            </w:pPr>
            <w:r w:rsidRPr="007E06B1">
              <w:rPr>
                <w:szCs w:val="22"/>
              </w:rPr>
              <w:t>National Institutes of Health</w:t>
            </w:r>
          </w:p>
        </w:tc>
      </w:tr>
      <w:tr w:rsidR="00C908B0" w:rsidRPr="00D01DDB" w14:paraId="1593004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A74B04" w14:textId="37437B06" w:rsidR="00C908B0" w:rsidRDefault="00C908B0" w:rsidP="00324B33">
            <w:pPr>
              <w:rPr>
                <w:szCs w:val="22"/>
              </w:rPr>
            </w:pPr>
            <w:r>
              <w:rPr>
                <w:szCs w:val="22"/>
              </w:rPr>
              <w:t>ORR</w:t>
            </w:r>
          </w:p>
        </w:tc>
        <w:tc>
          <w:tcPr>
            <w:tcW w:w="3800" w:type="pct"/>
          </w:tcPr>
          <w:p w14:paraId="7BF588EE" w14:textId="53DCED01" w:rsidR="00C908B0" w:rsidRPr="004249D6" w:rsidRDefault="00C908B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Overall response rate</w:t>
            </w:r>
          </w:p>
        </w:tc>
      </w:tr>
      <w:tr w:rsidR="0086599A" w:rsidRPr="00D01DDB" w14:paraId="4073253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633AD3" w14:textId="282FAFF0" w:rsidR="0086599A" w:rsidRDefault="0086599A" w:rsidP="00324B33">
            <w:pPr>
              <w:rPr>
                <w:szCs w:val="22"/>
              </w:rPr>
            </w:pPr>
            <w:r>
              <w:rPr>
                <w:szCs w:val="22"/>
              </w:rPr>
              <w:t>PK</w:t>
            </w:r>
          </w:p>
        </w:tc>
        <w:tc>
          <w:tcPr>
            <w:tcW w:w="3800" w:type="pct"/>
          </w:tcPr>
          <w:p w14:paraId="31D4815A" w14:textId="722B3B85" w:rsidR="0086599A" w:rsidRPr="004249D6" w:rsidRDefault="0086599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w:t>
            </w:r>
            <w:r w:rsidR="00AB64C0">
              <w:rPr>
                <w:szCs w:val="22"/>
              </w:rPr>
              <w:t>(</w:t>
            </w:r>
            <w:r>
              <w:rPr>
                <w:szCs w:val="22"/>
              </w:rPr>
              <w:t>s</w:t>
            </w:r>
            <w:r w:rsidR="00AB64C0">
              <w:rPr>
                <w:szCs w:val="22"/>
              </w:rPr>
              <w:t>)</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C908B0" w:rsidRPr="00D01DDB" w14:paraId="274D319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116E86" w14:textId="1F90F023" w:rsidR="00C908B0" w:rsidRPr="00D01DDB" w:rsidRDefault="00C908B0" w:rsidP="00324B33">
            <w:pPr>
              <w:rPr>
                <w:szCs w:val="22"/>
              </w:rPr>
            </w:pPr>
            <w:r>
              <w:rPr>
                <w:szCs w:val="22"/>
              </w:rPr>
              <w:lastRenderedPageBreak/>
              <w:t>PR</w:t>
            </w:r>
          </w:p>
        </w:tc>
        <w:tc>
          <w:tcPr>
            <w:tcW w:w="3800" w:type="pct"/>
          </w:tcPr>
          <w:p w14:paraId="68C9F873" w14:textId="364939A5" w:rsidR="00C908B0" w:rsidRPr="00D01DDB" w:rsidRDefault="00C908B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Partial response</w:t>
            </w:r>
          </w:p>
        </w:tc>
      </w:tr>
      <w:tr w:rsidR="00C96FAD" w:rsidRPr="00D01DDB" w14:paraId="4D7AA04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11C874" w14:textId="69EE9D3C" w:rsidR="00C96FAD" w:rsidRDefault="00C96FAD" w:rsidP="00C96FAD">
            <w:pPr>
              <w:rPr>
                <w:szCs w:val="22"/>
              </w:rPr>
            </w:pPr>
            <w:r w:rsidRPr="00D01DDB">
              <w:rPr>
                <w:szCs w:val="22"/>
              </w:rPr>
              <w:t>PSUR</w:t>
            </w:r>
          </w:p>
        </w:tc>
        <w:tc>
          <w:tcPr>
            <w:tcW w:w="3800" w:type="pct"/>
          </w:tcPr>
          <w:p w14:paraId="0743C21E" w14:textId="0212E609" w:rsidR="00C96FAD" w:rsidRDefault="00C96FAD" w:rsidP="00C96FA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C96FAD"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C96FAD" w:rsidRPr="00D01DDB" w:rsidRDefault="00C96FAD" w:rsidP="00C96FAD">
            <w:pPr>
              <w:rPr>
                <w:szCs w:val="22"/>
              </w:rPr>
            </w:pPr>
            <w:r w:rsidRPr="00D01DDB">
              <w:rPr>
                <w:szCs w:val="22"/>
              </w:rPr>
              <w:t>RMP</w:t>
            </w:r>
          </w:p>
        </w:tc>
        <w:tc>
          <w:tcPr>
            <w:tcW w:w="3800" w:type="pct"/>
          </w:tcPr>
          <w:p w14:paraId="2C862F75" w14:textId="2355E842" w:rsidR="00C96FAD" w:rsidRPr="00D01DDB" w:rsidRDefault="00C96FAD" w:rsidP="00C96FA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C96FAD" w:rsidRPr="00D01DDB" w14:paraId="14EAEB0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3B26A3" w14:textId="02BEC4DD" w:rsidR="00C96FAD" w:rsidRPr="00D01DDB" w:rsidRDefault="00C96FAD" w:rsidP="00C96FAD">
            <w:pPr>
              <w:rPr>
                <w:szCs w:val="22"/>
              </w:rPr>
            </w:pPr>
            <w:r>
              <w:t>t</w:t>
            </w:r>
            <w:r w:rsidRPr="00955307">
              <w:rPr>
                <w:vertAlign w:val="subscript"/>
              </w:rPr>
              <w:t>½</w:t>
            </w:r>
          </w:p>
        </w:tc>
        <w:tc>
          <w:tcPr>
            <w:tcW w:w="3800" w:type="pct"/>
          </w:tcPr>
          <w:p w14:paraId="2C4602EC" w14:textId="7F975520" w:rsidR="00C96FAD" w:rsidRPr="00D01DDB" w:rsidRDefault="00C96FAD" w:rsidP="00C96FAD">
            <w:pPr>
              <w:cnfStyle w:val="000000000000" w:firstRow="0" w:lastRow="0" w:firstColumn="0" w:lastColumn="0" w:oddVBand="0" w:evenVBand="0" w:oddHBand="0" w:evenHBand="0" w:firstRowFirstColumn="0" w:firstRowLastColumn="0" w:lastRowFirstColumn="0" w:lastRowLastColumn="0"/>
              <w:rPr>
                <w:szCs w:val="22"/>
              </w:rPr>
            </w:pPr>
            <w:r>
              <w:rPr>
                <w:szCs w:val="22"/>
              </w:rPr>
              <w:t>Half</w:t>
            </w:r>
            <w:r w:rsidR="00AB64C0">
              <w:rPr>
                <w:szCs w:val="22"/>
              </w:rPr>
              <w:t>-</w:t>
            </w:r>
            <w:r>
              <w:rPr>
                <w:szCs w:val="22"/>
              </w:rPr>
              <w:t>life</w:t>
            </w:r>
          </w:p>
        </w:tc>
      </w:tr>
      <w:tr w:rsidR="00C96FAD"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C96FAD" w:rsidRPr="00D01DDB" w:rsidRDefault="00C96FAD" w:rsidP="00C96FAD">
            <w:pPr>
              <w:rPr>
                <w:szCs w:val="22"/>
              </w:rPr>
            </w:pPr>
            <w:r w:rsidRPr="00D01DDB">
              <w:rPr>
                <w:szCs w:val="22"/>
              </w:rPr>
              <w:t>TGA</w:t>
            </w:r>
          </w:p>
        </w:tc>
        <w:tc>
          <w:tcPr>
            <w:tcW w:w="3800" w:type="pct"/>
          </w:tcPr>
          <w:p w14:paraId="29EA6BA3" w14:textId="6F99059F" w:rsidR="00C96FAD" w:rsidRPr="00D01DDB" w:rsidRDefault="00C96FAD" w:rsidP="00C96FA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C96FAD" w:rsidRPr="00D01DDB" w14:paraId="38FD8EB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EB361E" w14:textId="706A0693" w:rsidR="00C96FAD" w:rsidRPr="00D01DDB" w:rsidRDefault="00C96FAD" w:rsidP="00C96FAD">
            <w:pPr>
              <w:rPr>
                <w:szCs w:val="22"/>
              </w:rPr>
            </w:pPr>
            <w:r>
              <w:rPr>
                <w:szCs w:val="22"/>
              </w:rPr>
              <w:t>TSS</w:t>
            </w:r>
          </w:p>
        </w:tc>
        <w:tc>
          <w:tcPr>
            <w:tcW w:w="3800" w:type="pct"/>
          </w:tcPr>
          <w:p w14:paraId="4B87EF8B" w14:textId="64CCEDFE" w:rsidR="00C96FAD" w:rsidRPr="00D01DDB" w:rsidRDefault="00C96FAD" w:rsidP="00C96FAD">
            <w:pPr>
              <w:cnfStyle w:val="000000000000" w:firstRow="0" w:lastRow="0" w:firstColumn="0" w:lastColumn="0" w:oddVBand="0" w:evenVBand="0" w:oddHBand="0" w:evenHBand="0" w:firstRowFirstColumn="0" w:firstRowLastColumn="0" w:lastRowFirstColumn="0" w:lastRowLastColumn="0"/>
              <w:rPr>
                <w:szCs w:val="22"/>
              </w:rPr>
            </w:pPr>
            <w:r>
              <w:rPr>
                <w:szCs w:val="22"/>
              </w:rPr>
              <w:t>Total symptom score</w:t>
            </w:r>
            <w:r w:rsidR="00FA5EE4">
              <w:rPr>
                <w:szCs w:val="22"/>
              </w:rPr>
              <w:t xml:space="preserve"> (modified Lee Symptom Score)</w:t>
            </w:r>
          </w:p>
        </w:tc>
      </w:tr>
      <w:tr w:rsidR="00C96FAD" w:rsidRPr="00D01DDB" w14:paraId="60022EF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F77B1F" w14:textId="35401178" w:rsidR="00C96FAD" w:rsidRDefault="00C96FAD" w:rsidP="00C96FAD">
            <w:pPr>
              <w:rPr>
                <w:szCs w:val="22"/>
              </w:rPr>
            </w:pPr>
            <w:r>
              <w:rPr>
                <w:szCs w:val="22"/>
              </w:rPr>
              <w:t>US</w:t>
            </w:r>
            <w:r w:rsidR="00AB64C0">
              <w:rPr>
                <w:szCs w:val="22"/>
              </w:rPr>
              <w:t>(</w:t>
            </w:r>
            <w:r>
              <w:rPr>
                <w:szCs w:val="22"/>
              </w:rPr>
              <w:t>A</w:t>
            </w:r>
            <w:r w:rsidR="00AB64C0">
              <w:rPr>
                <w:szCs w:val="22"/>
              </w:rPr>
              <w:t>)</w:t>
            </w:r>
          </w:p>
        </w:tc>
        <w:tc>
          <w:tcPr>
            <w:tcW w:w="3800" w:type="pct"/>
          </w:tcPr>
          <w:p w14:paraId="343B3F8F" w14:textId="2D5856DA" w:rsidR="00C96FAD" w:rsidRDefault="00C96FAD" w:rsidP="00C96FAD">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United States </w:t>
            </w:r>
            <w:r w:rsidR="00AB64C0">
              <w:rPr>
                <w:szCs w:val="22"/>
              </w:rPr>
              <w:t>(</w:t>
            </w:r>
            <w:r>
              <w:rPr>
                <w:szCs w:val="22"/>
              </w:rPr>
              <w:t>of America</w:t>
            </w:r>
            <w:r w:rsidR="00AB64C0">
              <w:rPr>
                <w:szCs w:val="22"/>
              </w:rPr>
              <w:t>)</w:t>
            </w:r>
          </w:p>
        </w:tc>
      </w:tr>
      <w:tr w:rsidR="00C96FAD" w:rsidRPr="00D01DDB" w14:paraId="11894EF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109CD1" w14:textId="26FE001C" w:rsidR="00C96FAD" w:rsidRDefault="00C96FAD" w:rsidP="00C96FAD">
            <w:pPr>
              <w:rPr>
                <w:szCs w:val="22"/>
              </w:rPr>
            </w:pPr>
            <w:proofErr w:type="spellStart"/>
            <w:r>
              <w:rPr>
                <w:szCs w:val="22"/>
              </w:rPr>
              <w:t>Vc</w:t>
            </w:r>
            <w:proofErr w:type="spellEnd"/>
            <w:r>
              <w:rPr>
                <w:szCs w:val="22"/>
              </w:rPr>
              <w:t>/F</w:t>
            </w:r>
          </w:p>
        </w:tc>
        <w:tc>
          <w:tcPr>
            <w:tcW w:w="3800" w:type="pct"/>
          </w:tcPr>
          <w:p w14:paraId="715CD5F7" w14:textId="09ABE247" w:rsidR="00C96FAD" w:rsidRDefault="00C96FAD" w:rsidP="00C96FAD">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955307">
              <w:rPr>
                <w:szCs w:val="22"/>
              </w:rPr>
              <w:t xml:space="preserve">pparent </w:t>
            </w:r>
            <w:r>
              <w:rPr>
                <w:szCs w:val="22"/>
              </w:rPr>
              <w:t>central volume</w:t>
            </w:r>
          </w:p>
        </w:tc>
      </w:tr>
      <w:tr w:rsidR="00C96FAD" w:rsidRPr="00D01DDB" w14:paraId="3659996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3640AA" w14:textId="710403B8" w:rsidR="00C96FAD" w:rsidRDefault="00C96FAD" w:rsidP="00C96FAD">
            <w:pPr>
              <w:rPr>
                <w:szCs w:val="22"/>
              </w:rPr>
            </w:pPr>
            <w:r>
              <w:rPr>
                <w:szCs w:val="22"/>
              </w:rPr>
              <w:t>VGPR</w:t>
            </w:r>
          </w:p>
        </w:tc>
        <w:tc>
          <w:tcPr>
            <w:tcW w:w="3800" w:type="pct"/>
          </w:tcPr>
          <w:p w14:paraId="555B9B17" w14:textId="637BD9BF" w:rsidR="00C96FAD" w:rsidRDefault="00C96FAD" w:rsidP="00C96FAD">
            <w:pPr>
              <w:cnfStyle w:val="000000000000" w:firstRow="0" w:lastRow="0" w:firstColumn="0" w:lastColumn="0" w:oddVBand="0" w:evenVBand="0" w:oddHBand="0" w:evenHBand="0" w:firstRowFirstColumn="0" w:firstRowLastColumn="0" w:lastRowFirstColumn="0" w:lastRowLastColumn="0"/>
              <w:rPr>
                <w:szCs w:val="22"/>
              </w:rPr>
            </w:pPr>
            <w:r>
              <w:rPr>
                <w:szCs w:val="22"/>
              </w:rPr>
              <w:t>Very good partial response</w:t>
            </w:r>
          </w:p>
        </w:tc>
      </w:tr>
      <w:tr w:rsidR="00C96FAD" w:rsidRPr="00D01DDB" w14:paraId="5F37744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6C632A" w14:textId="386201BD" w:rsidR="00C96FAD" w:rsidRDefault="00C96FAD" w:rsidP="00C96FAD">
            <w:pPr>
              <w:rPr>
                <w:szCs w:val="22"/>
              </w:rPr>
            </w:pPr>
            <w:proofErr w:type="spellStart"/>
            <w:r>
              <w:rPr>
                <w:szCs w:val="22"/>
              </w:rPr>
              <w:t>Vp</w:t>
            </w:r>
            <w:proofErr w:type="spellEnd"/>
            <w:r>
              <w:rPr>
                <w:szCs w:val="22"/>
              </w:rPr>
              <w:t>/F</w:t>
            </w:r>
          </w:p>
        </w:tc>
        <w:tc>
          <w:tcPr>
            <w:tcW w:w="3800" w:type="pct"/>
          </w:tcPr>
          <w:p w14:paraId="6525338C" w14:textId="4C18E532" w:rsidR="00C96FAD" w:rsidRDefault="00C96FAD" w:rsidP="00C96FAD">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955307">
              <w:rPr>
                <w:szCs w:val="22"/>
              </w:rPr>
              <w:t>pparent peripheral volume</w:t>
            </w:r>
          </w:p>
        </w:tc>
      </w:tr>
    </w:tbl>
    <w:p w14:paraId="7378F926" w14:textId="77777777" w:rsidR="00324B33" w:rsidRDefault="00324B33" w:rsidP="00324B33"/>
    <w:p w14:paraId="02FB1F38" w14:textId="1B25DF99"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34095492"/>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34095493"/>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5242B166" w:rsidR="00324B33" w:rsidRPr="00BD5DBD" w:rsidRDefault="003554DA" w:rsidP="007452E8">
            <w:pPr>
              <w:rPr>
                <w:szCs w:val="22"/>
              </w:rPr>
            </w:pPr>
            <w:r>
              <w:rPr>
                <w:szCs w:val="22"/>
              </w:rPr>
              <w:t>Extension of indications</w:t>
            </w:r>
          </w:p>
        </w:tc>
      </w:tr>
      <w:tr w:rsidR="00324B33" w:rsidRPr="00BD5DBD" w14:paraId="13482B61" w14:textId="77777777" w:rsidTr="00F865A7">
        <w:tc>
          <w:tcPr>
            <w:tcW w:w="1577" w:type="pct"/>
          </w:tcPr>
          <w:p w14:paraId="2C427FCF" w14:textId="75208FED" w:rsidR="00324B33" w:rsidRPr="00BD5DBD" w:rsidRDefault="00324B33" w:rsidP="007452E8">
            <w:pPr>
              <w:rPr>
                <w:i/>
                <w:szCs w:val="22"/>
              </w:rPr>
            </w:pPr>
            <w:r w:rsidRPr="00BD5DBD">
              <w:rPr>
                <w:i/>
                <w:szCs w:val="22"/>
              </w:rPr>
              <w:t>Product name:</w:t>
            </w:r>
          </w:p>
        </w:tc>
        <w:tc>
          <w:tcPr>
            <w:tcW w:w="3423" w:type="pct"/>
          </w:tcPr>
          <w:p w14:paraId="0E2DEF76" w14:textId="6BA9978C" w:rsidR="00324B33" w:rsidRPr="00BD5DBD" w:rsidRDefault="00AB64C0" w:rsidP="007452E8">
            <w:pPr>
              <w:rPr>
                <w:szCs w:val="22"/>
              </w:rPr>
            </w:pPr>
            <w:proofErr w:type="spellStart"/>
            <w:r>
              <w:rPr>
                <w:szCs w:val="22"/>
              </w:rPr>
              <w:t>Jakavi</w:t>
            </w:r>
            <w:proofErr w:type="spellEnd"/>
          </w:p>
        </w:tc>
      </w:tr>
      <w:tr w:rsidR="00324B33" w:rsidRPr="00BD5DBD" w14:paraId="01255B5B" w14:textId="77777777" w:rsidTr="00F865A7">
        <w:tc>
          <w:tcPr>
            <w:tcW w:w="1577" w:type="pct"/>
          </w:tcPr>
          <w:p w14:paraId="52B4F3D7" w14:textId="45D0649B" w:rsidR="00324B33" w:rsidRPr="00BD5DBD" w:rsidRDefault="00324B33" w:rsidP="007452E8">
            <w:pPr>
              <w:rPr>
                <w:i/>
                <w:szCs w:val="22"/>
              </w:rPr>
            </w:pPr>
            <w:r w:rsidRPr="00BD5DBD">
              <w:rPr>
                <w:i/>
                <w:szCs w:val="22"/>
              </w:rPr>
              <w:t>Active ingredient:</w:t>
            </w:r>
          </w:p>
        </w:tc>
        <w:tc>
          <w:tcPr>
            <w:tcW w:w="3423" w:type="pct"/>
          </w:tcPr>
          <w:p w14:paraId="02FB6383" w14:textId="5A7E8E35" w:rsidR="00324B33" w:rsidRPr="00BD5DBD" w:rsidRDefault="00CC4DD8" w:rsidP="007452E8">
            <w:pPr>
              <w:rPr>
                <w:szCs w:val="22"/>
              </w:rPr>
            </w:pPr>
            <w:r>
              <w:rPr>
                <w:szCs w:val="22"/>
              </w:rPr>
              <w:t>R</w:t>
            </w:r>
            <w:r w:rsidR="003554DA" w:rsidRPr="003554DA">
              <w:rPr>
                <w:szCs w:val="22"/>
              </w:rPr>
              <w:t>uxolitinib phosphate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1608E8F7" w:rsidR="00324B33" w:rsidRPr="00BD5DBD" w:rsidRDefault="00324B33" w:rsidP="007452E8">
            <w:pPr>
              <w:rPr>
                <w:szCs w:val="22"/>
              </w:rPr>
            </w:pPr>
            <w:r w:rsidRPr="00BD5DBD">
              <w:rPr>
                <w:szCs w:val="22"/>
              </w:rPr>
              <w:t>Approved</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1ECB111F" w:rsidR="00324B33" w:rsidRPr="00BD5DBD" w:rsidRDefault="00B54ED2" w:rsidP="007452E8">
            <w:pPr>
              <w:rPr>
                <w:szCs w:val="22"/>
              </w:rPr>
            </w:pPr>
            <w:r w:rsidRPr="00B54ED2">
              <w:rPr>
                <w:szCs w:val="22"/>
              </w:rPr>
              <w:t>28 January 2022</w:t>
            </w:r>
          </w:p>
        </w:tc>
      </w:tr>
      <w:tr w:rsidR="00324B33" w:rsidRPr="00BD5DBD" w14:paraId="547E08D7" w14:textId="77777777" w:rsidTr="00F865A7">
        <w:tc>
          <w:tcPr>
            <w:tcW w:w="1577" w:type="pct"/>
          </w:tcPr>
          <w:p w14:paraId="5030EF30" w14:textId="4EA51D5F" w:rsidR="00324B33" w:rsidRPr="00BD5DBD" w:rsidRDefault="00324B33" w:rsidP="007452E8">
            <w:pPr>
              <w:rPr>
                <w:i/>
                <w:szCs w:val="22"/>
              </w:rPr>
            </w:pPr>
            <w:r w:rsidRPr="00BD5DBD">
              <w:rPr>
                <w:i/>
                <w:szCs w:val="22"/>
              </w:rPr>
              <w:t>ARTG number:</w:t>
            </w:r>
          </w:p>
        </w:tc>
        <w:tc>
          <w:tcPr>
            <w:tcW w:w="3423" w:type="pct"/>
          </w:tcPr>
          <w:p w14:paraId="0054E912" w14:textId="3BD7025B" w:rsidR="00324B33" w:rsidRPr="00BD5DBD" w:rsidRDefault="00B54ED2" w:rsidP="007452E8">
            <w:pPr>
              <w:rPr>
                <w:szCs w:val="22"/>
              </w:rPr>
            </w:pPr>
            <w:r>
              <w:rPr>
                <w:szCs w:val="22"/>
              </w:rPr>
              <w:t>198933, 198934, 198936, 232702</w:t>
            </w:r>
          </w:p>
        </w:tc>
      </w:tr>
      <w:tr w:rsidR="00324B33" w:rsidRPr="00BD5DBD" w14:paraId="7618393F" w14:textId="77777777" w:rsidTr="00F865A7">
        <w:tc>
          <w:tcPr>
            <w:tcW w:w="1577" w:type="pct"/>
          </w:tcPr>
          <w:p w14:paraId="6C24CEB6" w14:textId="1077C3EB"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5077B405" w14:textId="77777777" w:rsidR="00E70AA0" w:rsidRDefault="00324B33" w:rsidP="007452E8">
            <w:pPr>
              <w:rPr>
                <w:szCs w:val="22"/>
              </w:rPr>
            </w:pPr>
            <w:r w:rsidRPr="00BD5DBD">
              <w:rPr>
                <w:szCs w:val="22"/>
              </w:rPr>
              <w:t>Yes</w:t>
            </w:r>
          </w:p>
          <w:p w14:paraId="6FF3C6A2" w14:textId="5F7617B0" w:rsidR="00324B33" w:rsidRPr="00BD5DBD" w:rsidRDefault="00324B33" w:rsidP="00CC4DD8">
            <w:pPr>
              <w:rPr>
                <w:szCs w:val="22"/>
              </w:rPr>
            </w:pPr>
            <w:r w:rsidRPr="00BD5DBD">
              <w:rPr>
                <w:szCs w:val="22"/>
              </w:rPr>
              <w:t>This product will remain in the scheme for 5 years, starting on the date the new indication was approved</w:t>
            </w:r>
            <w:r w:rsidR="00CC4DD8">
              <w:rPr>
                <w:szCs w:val="22"/>
              </w:rPr>
              <w: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50BAC487" w14:textId="77777777" w:rsidR="00E70AA0" w:rsidRDefault="00CC4DD8" w:rsidP="007452E8">
            <w:pPr>
              <w:rPr>
                <w:szCs w:val="22"/>
              </w:rPr>
            </w:pPr>
            <w:r>
              <w:rPr>
                <w:szCs w:val="22"/>
              </w:rPr>
              <w:t>Novartis Pharmaceuticals Australia Pty Ltd</w:t>
            </w:r>
          </w:p>
          <w:p w14:paraId="110C2FAE" w14:textId="1B42120A" w:rsidR="00CC4DD8" w:rsidRDefault="00CC4DD8" w:rsidP="007452E8">
            <w:pPr>
              <w:rPr>
                <w:szCs w:val="22"/>
              </w:rPr>
            </w:pPr>
            <w:r>
              <w:rPr>
                <w:szCs w:val="22"/>
              </w:rPr>
              <w:t>54 Waterloo Road</w:t>
            </w:r>
          </w:p>
          <w:p w14:paraId="68DD94B0" w14:textId="27DF8BEB" w:rsidR="00CC4DD8" w:rsidRPr="00BD5DBD" w:rsidRDefault="00CC4DD8" w:rsidP="007452E8">
            <w:pPr>
              <w:rPr>
                <w:szCs w:val="22"/>
              </w:rPr>
            </w:pPr>
            <w:r>
              <w:rPr>
                <w:szCs w:val="22"/>
              </w:rPr>
              <w:t>North Ryde</w:t>
            </w:r>
            <w:r w:rsidR="00AB64C0">
              <w:rPr>
                <w:szCs w:val="22"/>
              </w:rPr>
              <w:t xml:space="preserve"> </w:t>
            </w:r>
            <w:r>
              <w:rPr>
                <w:szCs w:val="22"/>
              </w:rPr>
              <w:t>NSW 2113</w:t>
            </w:r>
          </w:p>
        </w:tc>
      </w:tr>
      <w:tr w:rsidR="00324B33" w:rsidRPr="00BD5DBD" w14:paraId="5322B989" w14:textId="77777777" w:rsidTr="00F865A7">
        <w:tc>
          <w:tcPr>
            <w:tcW w:w="1577" w:type="pct"/>
          </w:tcPr>
          <w:p w14:paraId="24F217E3" w14:textId="7D32BA08" w:rsidR="00324B33" w:rsidRPr="00BD5DBD" w:rsidRDefault="00324B33" w:rsidP="007452E8">
            <w:pPr>
              <w:rPr>
                <w:i/>
                <w:szCs w:val="22"/>
              </w:rPr>
            </w:pPr>
            <w:r w:rsidRPr="00BD5DBD">
              <w:rPr>
                <w:i/>
                <w:szCs w:val="22"/>
              </w:rPr>
              <w:t>Dose form:</w:t>
            </w:r>
          </w:p>
        </w:tc>
        <w:tc>
          <w:tcPr>
            <w:tcW w:w="3423" w:type="pct"/>
          </w:tcPr>
          <w:p w14:paraId="768B254C" w14:textId="0C91F858" w:rsidR="00CC4DD8" w:rsidRPr="00BD5DBD" w:rsidRDefault="00CC4DD8" w:rsidP="007452E8">
            <w:pPr>
              <w:rPr>
                <w:szCs w:val="22"/>
              </w:rPr>
            </w:pPr>
            <w:r>
              <w:rPr>
                <w:szCs w:val="22"/>
              </w:rPr>
              <w:t>Table</w:t>
            </w:r>
            <w:r w:rsidR="00AB64C0">
              <w:rPr>
                <w:szCs w:val="22"/>
              </w:rPr>
              <w:t>t</w:t>
            </w:r>
          </w:p>
        </w:tc>
      </w:tr>
      <w:tr w:rsidR="00324B33" w:rsidRPr="00BD5DBD" w14:paraId="115243E6" w14:textId="77777777" w:rsidTr="00F865A7">
        <w:tc>
          <w:tcPr>
            <w:tcW w:w="1577" w:type="pct"/>
          </w:tcPr>
          <w:p w14:paraId="7634B062" w14:textId="3628FB40" w:rsidR="00324B33" w:rsidRPr="00BD5DBD" w:rsidRDefault="00324B33" w:rsidP="007452E8">
            <w:pPr>
              <w:rPr>
                <w:i/>
                <w:szCs w:val="22"/>
              </w:rPr>
            </w:pPr>
            <w:r w:rsidRPr="00BD5DBD">
              <w:rPr>
                <w:i/>
                <w:szCs w:val="22"/>
              </w:rPr>
              <w:t>Strength</w:t>
            </w:r>
            <w:r w:rsidR="00CC4DD8">
              <w:rPr>
                <w:i/>
                <w:szCs w:val="22"/>
              </w:rPr>
              <w:t>s</w:t>
            </w:r>
            <w:r w:rsidRPr="00BD5DBD">
              <w:rPr>
                <w:i/>
                <w:szCs w:val="22"/>
              </w:rPr>
              <w:t>:</w:t>
            </w:r>
          </w:p>
        </w:tc>
        <w:tc>
          <w:tcPr>
            <w:tcW w:w="3423" w:type="pct"/>
          </w:tcPr>
          <w:p w14:paraId="5E5F83DB" w14:textId="182ABAC8" w:rsidR="00324B33" w:rsidRPr="00BD5DBD" w:rsidRDefault="00CC4DD8" w:rsidP="007452E8">
            <w:pPr>
              <w:rPr>
                <w:szCs w:val="22"/>
              </w:rPr>
            </w:pPr>
            <w:r>
              <w:rPr>
                <w:szCs w:val="22"/>
              </w:rPr>
              <w:t>5 mg, 10 mg, 15 mg, 20 mg</w:t>
            </w:r>
          </w:p>
        </w:tc>
      </w:tr>
      <w:tr w:rsidR="00324B33" w:rsidRPr="00BD5DBD" w14:paraId="34B07BA6" w14:textId="77777777" w:rsidTr="00F865A7">
        <w:tc>
          <w:tcPr>
            <w:tcW w:w="1577" w:type="pct"/>
          </w:tcPr>
          <w:p w14:paraId="1C039224" w14:textId="72354E82" w:rsidR="00324B33" w:rsidRPr="00BD5DBD" w:rsidRDefault="00324B33" w:rsidP="007452E8">
            <w:pPr>
              <w:rPr>
                <w:i/>
                <w:szCs w:val="22"/>
              </w:rPr>
            </w:pPr>
            <w:r w:rsidRPr="00BD5DBD">
              <w:rPr>
                <w:i/>
                <w:szCs w:val="22"/>
              </w:rPr>
              <w:t>Container:</w:t>
            </w:r>
          </w:p>
        </w:tc>
        <w:tc>
          <w:tcPr>
            <w:tcW w:w="3423" w:type="pct"/>
          </w:tcPr>
          <w:p w14:paraId="500A42C6" w14:textId="27609721" w:rsidR="00324B33" w:rsidRPr="00BD5DBD" w:rsidRDefault="00CC4DD8" w:rsidP="007452E8">
            <w:pPr>
              <w:rPr>
                <w:szCs w:val="22"/>
              </w:rPr>
            </w:pPr>
            <w:r>
              <w:rPr>
                <w:szCs w:val="22"/>
              </w:rPr>
              <w:t>Blister pack</w:t>
            </w:r>
          </w:p>
        </w:tc>
      </w:tr>
      <w:tr w:rsidR="00324B33" w:rsidRPr="00BD5DBD" w14:paraId="176B6773" w14:textId="77777777" w:rsidTr="00F865A7">
        <w:tc>
          <w:tcPr>
            <w:tcW w:w="1577" w:type="pct"/>
          </w:tcPr>
          <w:p w14:paraId="71846159" w14:textId="62B8A714" w:rsidR="00324B33" w:rsidRPr="00BD5DBD" w:rsidRDefault="00324B33" w:rsidP="007452E8">
            <w:pPr>
              <w:rPr>
                <w:i/>
                <w:szCs w:val="22"/>
              </w:rPr>
            </w:pPr>
            <w:r w:rsidRPr="00BD5DBD">
              <w:rPr>
                <w:i/>
                <w:szCs w:val="22"/>
              </w:rPr>
              <w:t>Pack size</w:t>
            </w:r>
            <w:r w:rsidR="00CC4DD8">
              <w:rPr>
                <w:i/>
                <w:szCs w:val="22"/>
              </w:rPr>
              <w:t>s</w:t>
            </w:r>
            <w:r w:rsidRPr="00BD5DBD">
              <w:rPr>
                <w:i/>
                <w:szCs w:val="22"/>
              </w:rPr>
              <w:t>:</w:t>
            </w:r>
          </w:p>
        </w:tc>
        <w:tc>
          <w:tcPr>
            <w:tcW w:w="3423" w:type="pct"/>
          </w:tcPr>
          <w:p w14:paraId="7E978F8F" w14:textId="46078113" w:rsidR="00324B33" w:rsidRPr="00BD5DBD" w:rsidRDefault="00CC4DD8" w:rsidP="007452E8">
            <w:pPr>
              <w:rPr>
                <w:szCs w:val="22"/>
              </w:rPr>
            </w:pPr>
            <w:r>
              <w:rPr>
                <w:szCs w:val="22"/>
              </w:rPr>
              <w:t>All strengths</w:t>
            </w:r>
            <w:r w:rsidR="00AB64C0">
              <w:rPr>
                <w:szCs w:val="22"/>
              </w:rPr>
              <w:t xml:space="preserve"> are available in pack sizes of</w:t>
            </w:r>
            <w:r>
              <w:rPr>
                <w:szCs w:val="22"/>
              </w:rPr>
              <w:t xml:space="preserve"> 14, 28, 56, 112, 168, </w:t>
            </w:r>
            <w:r w:rsidR="00AB64C0">
              <w:rPr>
                <w:szCs w:val="22"/>
              </w:rPr>
              <w:t xml:space="preserve">and </w:t>
            </w:r>
            <w:r>
              <w:rPr>
                <w:szCs w:val="22"/>
              </w:rPr>
              <w:t>224 tablets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0C924017" w14:textId="77777777" w:rsidR="00E70AA0" w:rsidRDefault="00CC4DD8" w:rsidP="007452E8">
            <w:pPr>
              <w:rPr>
                <w:i/>
                <w:iCs/>
                <w:szCs w:val="22"/>
              </w:rPr>
            </w:pPr>
            <w:proofErr w:type="spellStart"/>
            <w:r w:rsidRPr="00CC4DD8">
              <w:rPr>
                <w:i/>
                <w:iCs/>
                <w:szCs w:val="22"/>
              </w:rPr>
              <w:t>Jakavi</w:t>
            </w:r>
            <w:proofErr w:type="spellEnd"/>
            <w:r w:rsidRPr="00CC4DD8">
              <w:rPr>
                <w:i/>
                <w:iCs/>
                <w:szCs w:val="22"/>
              </w:rPr>
              <w:t xml:space="preserve"> is indicated for the treatment of patients aged 12 years and older with acute graft-versus-host disease who have inadequate response to corticosteroids.</w:t>
            </w:r>
          </w:p>
          <w:p w14:paraId="6E143E2E" w14:textId="4227D139" w:rsidR="00324B33" w:rsidRPr="00CC4DD8" w:rsidRDefault="00CC4DD8" w:rsidP="007452E8">
            <w:pPr>
              <w:rPr>
                <w:i/>
                <w:iCs/>
                <w:szCs w:val="22"/>
              </w:rPr>
            </w:pPr>
            <w:proofErr w:type="spellStart"/>
            <w:r w:rsidRPr="00CC4DD8">
              <w:rPr>
                <w:i/>
                <w:iCs/>
                <w:szCs w:val="22"/>
              </w:rPr>
              <w:t>Jakavi</w:t>
            </w:r>
            <w:proofErr w:type="spellEnd"/>
            <w:r w:rsidRPr="00CC4DD8">
              <w:rPr>
                <w:i/>
                <w:iCs/>
                <w:szCs w:val="22"/>
              </w:rPr>
              <w:t xml:space="preserve"> is indicated for the treatment of patients aged 12 years and older with chronic graft-versus-host disease who have inadequate response to corticosteroids.</w:t>
            </w:r>
          </w:p>
        </w:tc>
      </w:tr>
      <w:tr w:rsidR="00324B33" w:rsidRPr="00BD5DBD" w14:paraId="5AFDEED3" w14:textId="77777777" w:rsidTr="00F865A7">
        <w:tc>
          <w:tcPr>
            <w:tcW w:w="1577" w:type="pct"/>
          </w:tcPr>
          <w:p w14:paraId="03884BD1" w14:textId="6F802743" w:rsidR="00324B33" w:rsidRPr="00BD5DBD" w:rsidRDefault="00324B33" w:rsidP="007452E8">
            <w:pPr>
              <w:rPr>
                <w:i/>
                <w:szCs w:val="22"/>
              </w:rPr>
            </w:pPr>
            <w:r w:rsidRPr="00BD5DBD">
              <w:rPr>
                <w:i/>
                <w:szCs w:val="22"/>
              </w:rPr>
              <w:t>Route of administration:</w:t>
            </w:r>
          </w:p>
        </w:tc>
        <w:tc>
          <w:tcPr>
            <w:tcW w:w="3423" w:type="pct"/>
          </w:tcPr>
          <w:p w14:paraId="1ED1357E" w14:textId="0C3A9AE9" w:rsidR="00324B33" w:rsidRPr="00BD5DBD" w:rsidRDefault="00CC4DD8"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2CC8A0CA" w14:textId="77777777" w:rsidR="00B54ED2" w:rsidRPr="00B54ED2" w:rsidRDefault="00CC4DD8" w:rsidP="007452E8">
            <w:pPr>
              <w:rPr>
                <w:szCs w:val="22"/>
              </w:rPr>
            </w:pPr>
            <w:r w:rsidRPr="00B54ED2">
              <w:rPr>
                <w:szCs w:val="22"/>
              </w:rPr>
              <w:t>Doses should be individualised based on safety and efficacy.</w:t>
            </w:r>
          </w:p>
          <w:p w14:paraId="70488F45" w14:textId="77777777" w:rsidR="00E70AA0" w:rsidRDefault="00B54ED2" w:rsidP="007452E8">
            <w:pPr>
              <w:rPr>
                <w:szCs w:val="22"/>
              </w:rPr>
            </w:pPr>
            <w:r w:rsidRPr="00B54ED2">
              <w:rPr>
                <w:szCs w:val="22"/>
              </w:rPr>
              <w:t xml:space="preserve">A blood cell count must be performed before initiating therapy with </w:t>
            </w:r>
            <w:proofErr w:type="spellStart"/>
            <w:r w:rsidRPr="00B54ED2">
              <w:rPr>
                <w:szCs w:val="22"/>
              </w:rPr>
              <w:t>Jakavi</w:t>
            </w:r>
            <w:proofErr w:type="spellEnd"/>
            <w:r w:rsidRPr="00B54ED2">
              <w:rPr>
                <w:szCs w:val="22"/>
              </w:rPr>
              <w:t>.</w:t>
            </w:r>
            <w:r w:rsidR="00E70AA0">
              <w:rPr>
                <w:szCs w:val="22"/>
              </w:rPr>
              <w:t xml:space="preserve"> </w:t>
            </w:r>
            <w:r w:rsidRPr="00B54ED2">
              <w:rPr>
                <w:szCs w:val="22"/>
              </w:rPr>
              <w:t xml:space="preserve">For monitoring instructions – see Product Information, Section 4.2 </w:t>
            </w:r>
            <w:proofErr w:type="gramStart"/>
            <w:r w:rsidRPr="00B54ED2">
              <w:rPr>
                <w:szCs w:val="22"/>
              </w:rPr>
              <w:t>Dose</w:t>
            </w:r>
            <w:proofErr w:type="gramEnd"/>
            <w:r w:rsidRPr="00B54ED2">
              <w:rPr>
                <w:szCs w:val="22"/>
              </w:rPr>
              <w:t xml:space="preserve"> and method of administration.</w:t>
            </w:r>
          </w:p>
          <w:p w14:paraId="42798DE0" w14:textId="28EF936A" w:rsidR="00B54ED2" w:rsidRPr="00B54ED2" w:rsidRDefault="00B54ED2" w:rsidP="007452E8">
            <w:pPr>
              <w:rPr>
                <w:szCs w:val="22"/>
              </w:rPr>
            </w:pPr>
            <w:r>
              <w:rPr>
                <w:b/>
                <w:bCs/>
                <w:sz w:val="23"/>
                <w:szCs w:val="23"/>
              </w:rPr>
              <w:t xml:space="preserve">Acute </w:t>
            </w:r>
            <w:r w:rsidR="004249D6">
              <w:rPr>
                <w:b/>
                <w:bCs/>
                <w:sz w:val="23"/>
                <w:szCs w:val="23"/>
              </w:rPr>
              <w:t>g</w:t>
            </w:r>
            <w:r>
              <w:rPr>
                <w:b/>
                <w:bCs/>
                <w:sz w:val="23"/>
                <w:szCs w:val="23"/>
              </w:rPr>
              <w:t>raft-versus-host disease</w:t>
            </w:r>
            <w:r w:rsidR="003D5F2F">
              <w:rPr>
                <w:b/>
                <w:bCs/>
                <w:sz w:val="23"/>
                <w:szCs w:val="23"/>
              </w:rPr>
              <w:br/>
            </w:r>
            <w:r w:rsidRPr="00B54ED2">
              <w:rPr>
                <w:szCs w:val="22"/>
              </w:rPr>
              <w:t xml:space="preserve">The recommended starting dose of </w:t>
            </w:r>
            <w:proofErr w:type="spellStart"/>
            <w:r w:rsidRPr="00B54ED2">
              <w:rPr>
                <w:szCs w:val="22"/>
              </w:rPr>
              <w:t>Jakavi</w:t>
            </w:r>
            <w:proofErr w:type="spellEnd"/>
            <w:r w:rsidRPr="00B54ED2">
              <w:rPr>
                <w:szCs w:val="22"/>
              </w:rPr>
              <w:t xml:space="preserve"> in acute </w:t>
            </w:r>
            <w:r w:rsidR="00AB64C0">
              <w:rPr>
                <w:szCs w:val="22"/>
              </w:rPr>
              <w:t>g</w:t>
            </w:r>
            <w:r w:rsidRPr="00B54ED2">
              <w:rPr>
                <w:szCs w:val="22"/>
              </w:rPr>
              <w:t>raft-versus-host disease is 5 to</w:t>
            </w:r>
            <w:r w:rsidR="00AB64C0">
              <w:rPr>
                <w:szCs w:val="22"/>
              </w:rPr>
              <w:t xml:space="preserve"> </w:t>
            </w:r>
            <w:r w:rsidRPr="00B54ED2">
              <w:rPr>
                <w:szCs w:val="22"/>
              </w:rPr>
              <w:t>10 mg given orally twice daily with or without food.</w:t>
            </w:r>
          </w:p>
          <w:p w14:paraId="57D4C158" w14:textId="09F7175D" w:rsidR="00B54ED2" w:rsidRDefault="00B54ED2" w:rsidP="003D5F2F">
            <w:pPr>
              <w:pStyle w:val="Default"/>
              <w:rPr>
                <w:szCs w:val="22"/>
              </w:rPr>
            </w:pPr>
            <w:r>
              <w:rPr>
                <w:b/>
                <w:bCs/>
                <w:sz w:val="23"/>
                <w:szCs w:val="23"/>
              </w:rPr>
              <w:t xml:space="preserve">Chronic </w:t>
            </w:r>
            <w:r w:rsidR="004249D6">
              <w:rPr>
                <w:b/>
                <w:bCs/>
                <w:sz w:val="23"/>
                <w:szCs w:val="23"/>
              </w:rPr>
              <w:t>g</w:t>
            </w:r>
            <w:r>
              <w:rPr>
                <w:b/>
                <w:bCs/>
                <w:sz w:val="23"/>
                <w:szCs w:val="23"/>
              </w:rPr>
              <w:t>raft-versus-host diseas</w:t>
            </w:r>
            <w:r w:rsidR="003D5F2F">
              <w:rPr>
                <w:b/>
                <w:bCs/>
                <w:sz w:val="23"/>
                <w:szCs w:val="23"/>
              </w:rPr>
              <w:t>e</w:t>
            </w:r>
            <w:r w:rsidR="003D5F2F">
              <w:rPr>
                <w:b/>
                <w:bCs/>
                <w:sz w:val="23"/>
                <w:szCs w:val="23"/>
              </w:rPr>
              <w:br/>
            </w:r>
            <w:r w:rsidRPr="00B54ED2">
              <w:rPr>
                <w:szCs w:val="22"/>
              </w:rPr>
              <w:t xml:space="preserve">The recommended starting dose of </w:t>
            </w:r>
            <w:proofErr w:type="spellStart"/>
            <w:r w:rsidRPr="00B54ED2">
              <w:rPr>
                <w:szCs w:val="22"/>
              </w:rPr>
              <w:t>Jakavi</w:t>
            </w:r>
            <w:proofErr w:type="spellEnd"/>
            <w:r w:rsidRPr="00B54ED2">
              <w:rPr>
                <w:szCs w:val="22"/>
              </w:rPr>
              <w:t xml:space="preserve"> in chronic </w:t>
            </w:r>
            <w:r w:rsidR="00AB64C0">
              <w:rPr>
                <w:szCs w:val="22"/>
              </w:rPr>
              <w:t>g</w:t>
            </w:r>
            <w:r w:rsidRPr="00B54ED2">
              <w:rPr>
                <w:szCs w:val="22"/>
              </w:rPr>
              <w:t>raft-versus-host disease is 10 mg given orally twice daily with or without food</w:t>
            </w:r>
          </w:p>
          <w:p w14:paraId="281A4D81" w14:textId="4E5CD43F" w:rsidR="00B54ED2" w:rsidRDefault="00B54ED2" w:rsidP="00B54ED2">
            <w:pPr>
              <w:rPr>
                <w:sz w:val="23"/>
                <w:szCs w:val="23"/>
              </w:rPr>
            </w:pPr>
            <w:r>
              <w:rPr>
                <w:sz w:val="23"/>
                <w:szCs w:val="23"/>
              </w:rPr>
              <w:lastRenderedPageBreak/>
              <w:t xml:space="preserve">See </w:t>
            </w:r>
            <w:r w:rsidRPr="00B54ED2">
              <w:rPr>
                <w:szCs w:val="22"/>
              </w:rPr>
              <w:t>Section 4.2</w:t>
            </w:r>
            <w:r>
              <w:rPr>
                <w:szCs w:val="22"/>
              </w:rPr>
              <w:t xml:space="preserve"> D</w:t>
            </w:r>
            <w:r w:rsidRPr="00B54ED2">
              <w:rPr>
                <w:szCs w:val="22"/>
              </w:rPr>
              <w:t>ose and method of administration</w:t>
            </w:r>
            <w:r>
              <w:rPr>
                <w:szCs w:val="22"/>
              </w:rPr>
              <w:t xml:space="preserve"> </w:t>
            </w:r>
            <w:r>
              <w:rPr>
                <w:sz w:val="23"/>
                <w:szCs w:val="23"/>
              </w:rPr>
              <w:t>for d</w:t>
            </w:r>
            <w:r w:rsidRPr="00B54ED2">
              <w:rPr>
                <w:sz w:val="23"/>
                <w:szCs w:val="23"/>
              </w:rPr>
              <w:t>ose modifications</w:t>
            </w:r>
            <w:r>
              <w:rPr>
                <w:sz w:val="23"/>
                <w:szCs w:val="23"/>
              </w:rPr>
              <w:t xml:space="preserve"> instructions</w:t>
            </w:r>
            <w:r w:rsidR="00AB64C0">
              <w:rPr>
                <w:sz w:val="23"/>
                <w:szCs w:val="23"/>
              </w:rPr>
              <w:t xml:space="preserve"> of the Product Information for further details</w:t>
            </w:r>
            <w:r>
              <w:rPr>
                <w:sz w:val="23"/>
                <w:szCs w:val="23"/>
              </w:rPr>
              <w:t>.</w:t>
            </w:r>
          </w:p>
          <w:p w14:paraId="3D0B2D5C" w14:textId="4AB546A2" w:rsidR="00B54ED2" w:rsidRPr="00B54ED2" w:rsidRDefault="00B54ED2" w:rsidP="00B54ED2">
            <w:pPr>
              <w:rPr>
                <w:szCs w:val="22"/>
              </w:rPr>
            </w:pPr>
            <w:r w:rsidRPr="00B54ED2">
              <w:rPr>
                <w:sz w:val="23"/>
                <w:szCs w:val="23"/>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5E8DC6F3" w14:textId="59CD52B8" w:rsidR="00B54ED2" w:rsidRDefault="00B54ED2" w:rsidP="007452E8">
            <w:pPr>
              <w:rPr>
                <w:szCs w:val="22"/>
              </w:rPr>
            </w:pPr>
            <w:r>
              <w:rPr>
                <w:szCs w:val="22"/>
              </w:rPr>
              <w:t>C</w:t>
            </w:r>
          </w:p>
          <w:p w14:paraId="34EB339D" w14:textId="75BB5593" w:rsidR="00B54ED2" w:rsidRDefault="00B54ED2" w:rsidP="007452E8">
            <w:pPr>
              <w:rPr>
                <w:szCs w:val="22"/>
              </w:rPr>
            </w:pPr>
            <w:r w:rsidRPr="00B54ED2">
              <w:rPr>
                <w:szCs w:val="22"/>
              </w:rPr>
              <w:t xml:space="preserve">Drugs which, owing to their pharmacological effects, have </w:t>
            </w:r>
            <w:proofErr w:type="gramStart"/>
            <w:r w:rsidRPr="00B54ED2">
              <w:rPr>
                <w:szCs w:val="22"/>
              </w:rPr>
              <w:t>caused</w:t>
            </w:r>
            <w:proofErr w:type="gramEnd"/>
            <w:r w:rsidRPr="00B54ED2">
              <w:rPr>
                <w:szCs w:val="22"/>
              </w:rPr>
              <w:t xml:space="preserve"> or may be suspected of causing, harmful effects on the human </w:t>
            </w:r>
            <w:proofErr w:type="spellStart"/>
            <w:r w:rsidRPr="00B54ED2">
              <w:rPr>
                <w:szCs w:val="22"/>
              </w:rPr>
              <w:t>fetus</w:t>
            </w:r>
            <w:proofErr w:type="spellEnd"/>
            <w:r w:rsidRPr="00B54ED2">
              <w:rPr>
                <w:szCs w:val="22"/>
              </w:rPr>
              <w:t xml:space="preserve"> or neonate without causing malformations. These effects may be reversible. Accompanying texts should be consulted for further details.</w:t>
            </w:r>
          </w:p>
          <w:p w14:paraId="5E2AA3D6" w14:textId="7FF0414C" w:rsidR="00324B33" w:rsidRPr="00BD5DBD" w:rsidRDefault="00324B33" w:rsidP="00B54ED2">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34095494"/>
      <w:r>
        <w:t>Product background</w:t>
      </w:r>
      <w:bookmarkEnd w:id="11"/>
      <w:bookmarkEnd w:id="12"/>
      <w:bookmarkEnd w:id="13"/>
      <w:bookmarkEnd w:id="14"/>
    </w:p>
    <w:p w14:paraId="56B27CF2" w14:textId="5A4753E5" w:rsidR="00324B33" w:rsidRDefault="00324B33" w:rsidP="00324B33">
      <w:pPr>
        <w:rPr>
          <w:szCs w:val="22"/>
        </w:rPr>
      </w:pPr>
      <w:r w:rsidRPr="00BD5DBD">
        <w:rPr>
          <w:szCs w:val="22"/>
        </w:rPr>
        <w:t xml:space="preserve">This AusPAR describes the submission by </w:t>
      </w:r>
      <w:r w:rsidR="00B54ED2" w:rsidRPr="00B54ED2">
        <w:rPr>
          <w:szCs w:val="22"/>
        </w:rPr>
        <w:t xml:space="preserve">Novartis Pharmaceuticals Australia Pty Ltd </w:t>
      </w:r>
      <w:r w:rsidRPr="00BD5DBD">
        <w:rPr>
          <w:szCs w:val="22"/>
        </w:rPr>
        <w:t>(the sponsor) to register</w:t>
      </w:r>
      <w:r w:rsidR="00B54ED2">
        <w:rPr>
          <w:szCs w:val="22"/>
        </w:rPr>
        <w:t xml:space="preserve"> </w:t>
      </w:r>
      <w:proofErr w:type="spellStart"/>
      <w:r w:rsidR="00AB64C0">
        <w:rPr>
          <w:szCs w:val="22"/>
        </w:rPr>
        <w:t>Jakavi</w:t>
      </w:r>
      <w:proofErr w:type="spellEnd"/>
      <w:r w:rsidR="00AB64C0" w:rsidRPr="00B54ED2">
        <w:rPr>
          <w:szCs w:val="22"/>
        </w:rPr>
        <w:t xml:space="preserve"> </w:t>
      </w:r>
      <w:r w:rsidR="00AB64C0">
        <w:rPr>
          <w:szCs w:val="22"/>
        </w:rPr>
        <w:t>(</w:t>
      </w:r>
      <w:proofErr w:type="spellStart"/>
      <w:r w:rsidR="00B54ED2">
        <w:rPr>
          <w:szCs w:val="22"/>
        </w:rPr>
        <w:t>r</w:t>
      </w:r>
      <w:r w:rsidR="00B54ED2" w:rsidRPr="00B54ED2">
        <w:rPr>
          <w:szCs w:val="22"/>
        </w:rPr>
        <w:t>uxolitinib</w:t>
      </w:r>
      <w:proofErr w:type="spellEnd"/>
      <w:r w:rsidR="00B54ED2" w:rsidRPr="00B54ED2">
        <w:rPr>
          <w:szCs w:val="22"/>
        </w:rPr>
        <w:t xml:space="preserve"> phosphate</w:t>
      </w:r>
      <w:r w:rsidR="00AB64C0">
        <w:rPr>
          <w:szCs w:val="22"/>
        </w:rPr>
        <w:t>)</w:t>
      </w:r>
      <w:r w:rsidR="00B54ED2">
        <w:rPr>
          <w:szCs w:val="22"/>
        </w:rPr>
        <w:t xml:space="preserve"> 5 mg, 10 mg, 15 </w:t>
      </w:r>
      <w:proofErr w:type="gramStart"/>
      <w:r w:rsidR="00B54ED2">
        <w:rPr>
          <w:szCs w:val="22"/>
        </w:rPr>
        <w:t>mg</w:t>
      </w:r>
      <w:proofErr w:type="gramEnd"/>
      <w:r w:rsidR="00B54ED2">
        <w:rPr>
          <w:szCs w:val="22"/>
        </w:rPr>
        <w:t xml:space="preserve"> and 20 mg tablet</w:t>
      </w:r>
      <w:r w:rsidR="00AB64C0">
        <w:rPr>
          <w:szCs w:val="22"/>
        </w:rPr>
        <w:t>s in</w:t>
      </w:r>
      <w:r w:rsidR="00B54ED2">
        <w:rPr>
          <w:szCs w:val="22"/>
        </w:rPr>
        <w:t xml:space="preserve"> blister packs</w:t>
      </w:r>
      <w:r w:rsidRPr="00BD5DBD">
        <w:rPr>
          <w:szCs w:val="22"/>
        </w:rPr>
        <w:t xml:space="preserve"> for the following proposed </w:t>
      </w:r>
      <w:r w:rsidR="00B54ED2">
        <w:rPr>
          <w:szCs w:val="22"/>
        </w:rPr>
        <w:t>e</w:t>
      </w:r>
      <w:r w:rsidRPr="00BD5DBD">
        <w:rPr>
          <w:szCs w:val="22"/>
        </w:rPr>
        <w:t>xtension of indications:</w:t>
      </w:r>
      <w:r w:rsidR="00D63760" w:rsidRPr="00BD5DBD">
        <w:rPr>
          <w:rStyle w:val="FootnoteReference"/>
          <w:szCs w:val="22"/>
        </w:rPr>
        <w:footnoteReference w:id="1"/>
      </w:r>
    </w:p>
    <w:p w14:paraId="5E8BBD1E" w14:textId="54B5E023" w:rsidR="00B54ED2" w:rsidRPr="00B54ED2" w:rsidRDefault="00B54ED2" w:rsidP="00B54ED2">
      <w:pPr>
        <w:ind w:left="720"/>
        <w:rPr>
          <w:i/>
          <w:iCs/>
          <w:szCs w:val="22"/>
        </w:rPr>
      </w:pPr>
      <w:proofErr w:type="spellStart"/>
      <w:r w:rsidRPr="00B54ED2">
        <w:rPr>
          <w:i/>
          <w:iCs/>
          <w:szCs w:val="22"/>
        </w:rPr>
        <w:t>Jakavi</w:t>
      </w:r>
      <w:proofErr w:type="spellEnd"/>
      <w:r w:rsidRPr="00B54ED2">
        <w:rPr>
          <w:i/>
          <w:iCs/>
          <w:szCs w:val="22"/>
        </w:rPr>
        <w:t xml:space="preserve"> is indicated for the treatment of patients with Graft versus Host Disease (</w:t>
      </w:r>
      <w:r w:rsidR="00E76F8D">
        <w:rPr>
          <w:i/>
          <w:iCs/>
          <w:szCs w:val="22"/>
        </w:rPr>
        <w:t>GVHD</w:t>
      </w:r>
      <w:r w:rsidRPr="00B54ED2">
        <w:rPr>
          <w:i/>
          <w:iCs/>
          <w:szCs w:val="22"/>
        </w:rPr>
        <w:t>) aged 12</w:t>
      </w:r>
      <w:r>
        <w:rPr>
          <w:i/>
          <w:iCs/>
          <w:szCs w:val="22"/>
        </w:rPr>
        <w:t xml:space="preserve"> </w:t>
      </w:r>
      <w:r w:rsidRPr="00B54ED2">
        <w:rPr>
          <w:i/>
          <w:iCs/>
          <w:szCs w:val="22"/>
        </w:rPr>
        <w:t>years and older who have inadequate response to corticosteroids or other systemic therapies.</w:t>
      </w:r>
    </w:p>
    <w:p w14:paraId="0BFF45FC" w14:textId="79FC8701" w:rsidR="00B54ED2" w:rsidRPr="00A600BC" w:rsidRDefault="00B54ED2" w:rsidP="00B54ED2">
      <w:pPr>
        <w:rPr>
          <w:vertAlign w:val="superscript"/>
        </w:rPr>
      </w:pPr>
      <w:bookmarkStart w:id="15" w:name="_Toc314842485"/>
      <w:bookmarkStart w:id="16" w:name="_Toc247691504"/>
      <w:r>
        <w:t>Graft-versus-</w:t>
      </w:r>
      <w:r w:rsidR="00A27A36">
        <w:t>h</w:t>
      </w:r>
      <w:r>
        <w:t xml:space="preserve">ost </w:t>
      </w:r>
      <w:r w:rsidR="00A27A36">
        <w:t>d</w:t>
      </w:r>
      <w:r>
        <w:t>isease (GVHD) is a potentially serious complication of allogeneic stem-cell transplantation and reduced</w:t>
      </w:r>
      <w:r w:rsidR="00A27A36">
        <w:t xml:space="preserve"> i</w:t>
      </w:r>
      <w:r>
        <w:t>ntensity allogeneic stem cell transplantation. GVHD is an immunologically mediated disease. It occurs when donor</w:t>
      </w:r>
      <w:r w:rsidR="00A27A36">
        <w:t xml:space="preserve"> </w:t>
      </w:r>
      <w:r>
        <w:t>derived immune cells (the graft) recogni</w:t>
      </w:r>
      <w:r w:rsidR="00A27A36">
        <w:t>s</w:t>
      </w:r>
      <w:r>
        <w:t xml:space="preserve">e the transplant recipient (the host) cells, </w:t>
      </w:r>
      <w:proofErr w:type="gramStart"/>
      <w:r>
        <w:t>organs</w:t>
      </w:r>
      <w:proofErr w:type="gramEnd"/>
      <w:r>
        <w:t xml:space="preserve"> and tissues as non-self, thereby initiating an adverse immune reaction leading to an inflammatory cascade with resultant tissue damage, organ failure, or even death. GVHD is a multi-organ disorder and the major cause of transplant</w:t>
      </w:r>
      <w:r w:rsidR="00A27A36">
        <w:t xml:space="preserve"> </w:t>
      </w:r>
      <w:r>
        <w:t>related morbidity and mortality, affecting up to 50% of haematopoietic stem cell transplantation recipients and accounting for 14% to 16% of deaths post-allo</w:t>
      </w:r>
      <w:r w:rsidR="004249D6">
        <w:t>geneic</w:t>
      </w:r>
      <w:r>
        <w:t xml:space="preserve"> stem cell transplant among patients who received</w:t>
      </w:r>
      <w:r w:rsidR="004249D6">
        <w:t xml:space="preserve"> human leukocyte antigen </w:t>
      </w:r>
      <w:r w:rsidR="00AB64C0">
        <w:t xml:space="preserve">(HLA) </w:t>
      </w:r>
      <w:r>
        <w:t>matched sibling or unrelated donor transplants in 2016</w:t>
      </w:r>
      <w:r w:rsidR="004249D6">
        <w:t xml:space="preserve"> to 2</w:t>
      </w:r>
      <w:r>
        <w:t>017.</w:t>
      </w:r>
      <w:r w:rsidR="0036536A">
        <w:rPr>
          <w:rStyle w:val="FootnoteReference"/>
        </w:rPr>
        <w:footnoteReference w:id="2"/>
      </w:r>
      <w:r w:rsidR="0036536A">
        <w:rPr>
          <w:vertAlign w:val="superscript"/>
        </w:rPr>
        <w:t>,</w:t>
      </w:r>
      <w:r w:rsidR="0036536A">
        <w:rPr>
          <w:rStyle w:val="FootnoteReference"/>
        </w:rPr>
        <w:footnoteReference w:id="3"/>
      </w:r>
      <w:r w:rsidR="0036536A">
        <w:rPr>
          <w:vertAlign w:val="superscript"/>
        </w:rPr>
        <w:t>,</w:t>
      </w:r>
      <w:r w:rsidR="0036536A">
        <w:rPr>
          <w:rStyle w:val="FootnoteReference"/>
        </w:rPr>
        <w:footnoteReference w:id="4"/>
      </w:r>
    </w:p>
    <w:p w14:paraId="5B2C8CB4" w14:textId="4BD3AEE0" w:rsidR="00B54ED2" w:rsidRDefault="00E60409" w:rsidP="00B54ED2">
      <w:r w:rsidRPr="00E60409">
        <w:lastRenderedPageBreak/>
        <w:t>Graft-versus-host disease</w:t>
      </w:r>
      <w:r w:rsidR="00B54ED2">
        <w:t xml:space="preserve"> has been traditionally categorised into two main clinical forms, namely acute GVHD and chronic GVHD using a cut-off of 100 days post</w:t>
      </w:r>
      <w:r w:rsidR="0074360E">
        <w:noBreakHyphen/>
      </w:r>
      <w:r w:rsidR="00B54ED2">
        <w:t xml:space="preserve">transplant. However, the signs and symptoms of these two categories may occur outside this period or may occur, although infrequently, </w:t>
      </w:r>
      <w:r w:rsidR="0074360E">
        <w:t xml:space="preserve">simultaneously </w:t>
      </w:r>
      <w:r w:rsidR="00B54ED2">
        <w:t>at the same time in the same patient (</w:t>
      </w:r>
      <w:r w:rsidR="0074360E">
        <w:t xml:space="preserve">referred to as </w:t>
      </w:r>
      <w:r w:rsidR="00B54ED2">
        <w:t>overlap syndrome</w:t>
      </w:r>
      <w:r w:rsidR="0074360E">
        <w:t xml:space="preserve"> or overlap GVHD</w:t>
      </w:r>
      <w:r w:rsidR="00B54ED2">
        <w:t xml:space="preserve">), requiring a complex and comprehensive evaluation of clinical findings rather than a set </w:t>
      </w:r>
      <w:proofErr w:type="gramStart"/>
      <w:r w:rsidR="00B54ED2">
        <w:t>time period</w:t>
      </w:r>
      <w:proofErr w:type="gramEnd"/>
      <w:r w:rsidR="00B54ED2">
        <w:t xml:space="preserve"> to make an accurate diagnosis. In addition, there are no diagnostic biomarkers established, and the diagnosis is based on the clinical examinations. The diagnosis of </w:t>
      </w:r>
      <w:r w:rsidR="0074360E">
        <w:t xml:space="preserve">chronic </w:t>
      </w:r>
      <w:r w:rsidR="00B54ED2">
        <w:t>GVHD is made with the presence of diagnostic and distinctive clinical features of c</w:t>
      </w:r>
      <w:r w:rsidR="0074360E">
        <w:t xml:space="preserve">hronic </w:t>
      </w:r>
      <w:r w:rsidR="00B54ED2">
        <w:t>GVHD, and absence of features of a</w:t>
      </w:r>
      <w:r w:rsidR="0074360E">
        <w:t xml:space="preserve">cute </w:t>
      </w:r>
      <w:r w:rsidR="00B54ED2">
        <w:t>GVHD. Overlap syndrome has features of both acute and chronic GVHD.</w:t>
      </w:r>
      <w:r w:rsidR="00316F10">
        <w:rPr>
          <w:rStyle w:val="FootnoteReference"/>
        </w:rPr>
        <w:footnoteReference w:id="5"/>
      </w:r>
    </w:p>
    <w:p w14:paraId="571EC7C5" w14:textId="719820F8" w:rsidR="00B54ED2" w:rsidRDefault="00B54ED2" w:rsidP="00B54ED2">
      <w:r>
        <w:t>The clinical manifestations of a</w:t>
      </w:r>
      <w:r w:rsidR="0074360E">
        <w:t xml:space="preserve">cute </w:t>
      </w:r>
      <w:r>
        <w:t>GVHD present primarily in three organs: the skin, the liver, and the lower and upper gastrointestinal tract. Chronic GVHD involves not only the epithelial target tissues gastrointestinal tract, liver, skin, and lungs but also other organ systems including muscles, fascia, joints, genitalia, eyes, nails and potentially any organ.</w:t>
      </w:r>
    </w:p>
    <w:p w14:paraId="1E7E44D2" w14:textId="448CF0A2" w:rsidR="00E70AA0" w:rsidRDefault="00B54ED2" w:rsidP="00B54ED2">
      <w:r>
        <w:t xml:space="preserve">It had been observed that the clinical staging of GVHD varies greatly between transplant centres and is frequently not agreed upon by independent reviewers. Diagnostic and clinical staging guidelines for GVHD were developed by the </w:t>
      </w:r>
      <w:r w:rsidR="0030795E" w:rsidRPr="0030795E">
        <w:t>Mount Sinai Acute GvHD International Consortium</w:t>
      </w:r>
      <w:r w:rsidR="0030795E" w:rsidRPr="0030795E" w:rsidDel="0030795E">
        <w:t xml:space="preserve"> </w:t>
      </w:r>
      <w:r>
        <w:t>(MAGIC)</w:t>
      </w:r>
      <w:r w:rsidR="001A2086">
        <w:t>;</w:t>
      </w:r>
      <w:r w:rsidR="005A42D7">
        <w:rPr>
          <w:rStyle w:val="FootnoteReference"/>
        </w:rPr>
        <w:footnoteReference w:id="6"/>
      </w:r>
      <w:r w:rsidR="001A2086">
        <w:rPr>
          <w:rStyle w:val="FootnoteReference"/>
        </w:rPr>
        <w:footnoteReference w:id="7"/>
      </w:r>
      <w:r w:rsidR="001A2086">
        <w:t xml:space="preserve"> </w:t>
      </w:r>
      <w:r w:rsidR="005A2CEC" w:rsidRPr="005A2CEC">
        <w:t xml:space="preserve">a consortium of </w:t>
      </w:r>
      <w:r w:rsidR="005A2CEC">
        <w:t>bone marrow transplant cent</w:t>
      </w:r>
      <w:r w:rsidR="005A2CEC" w:rsidRPr="005A2CEC">
        <w:t>r</w:t>
      </w:r>
      <w:r w:rsidR="005A2CEC">
        <w:t>e</w:t>
      </w:r>
      <w:r w:rsidR="005A2CEC" w:rsidRPr="005A2CEC">
        <w:t xml:space="preserve">s in the </w:t>
      </w:r>
      <w:r w:rsidR="005A2CEC">
        <w:t>United States of America (</w:t>
      </w:r>
      <w:r w:rsidR="005A2CEC" w:rsidRPr="005A2CEC">
        <w:t>USA</w:t>
      </w:r>
      <w:r w:rsidR="005A2CEC">
        <w:t>)</w:t>
      </w:r>
      <w:r w:rsidR="005A2CEC" w:rsidRPr="005A2CEC">
        <w:t>, Europe and Asia that conducts clinical trials to prevent and treat acute GVHD.</w:t>
      </w:r>
    </w:p>
    <w:p w14:paraId="622BC850" w14:textId="640E8B87" w:rsidR="00B54ED2" w:rsidRDefault="00B54ED2" w:rsidP="00B54ED2">
      <w:r>
        <w:t>The challenges inherent in grading severity and assessing response to treatment of a</w:t>
      </w:r>
      <w:r w:rsidR="0074360E">
        <w:t>cute G</w:t>
      </w:r>
      <w:r>
        <w:t>VHD in the context of the complex and variable manifestations of the disease suggested the need for a more standardi</w:t>
      </w:r>
      <w:r w:rsidR="0074360E">
        <w:t>se</w:t>
      </w:r>
      <w:r>
        <w:t xml:space="preserve">d and clinically meaningful approach to clinical trial design. To that end severity grading from the MAGIC consortium and response assessment from the </w:t>
      </w:r>
      <w:r w:rsidR="0074360E">
        <w:t xml:space="preserve">American </w:t>
      </w:r>
      <w:r>
        <w:t xml:space="preserve">National Institutes of Health Consensus Development Project on </w:t>
      </w:r>
      <w:r w:rsidR="004249D6">
        <w:t>c</w:t>
      </w:r>
      <w:r>
        <w:t xml:space="preserve">riteria for </w:t>
      </w:r>
      <w:r w:rsidR="004249D6">
        <w:t>c</w:t>
      </w:r>
      <w:r>
        <w:t xml:space="preserve">linical </w:t>
      </w:r>
      <w:r w:rsidR="004249D6">
        <w:t>t</w:t>
      </w:r>
      <w:r>
        <w:t xml:space="preserve">rials in </w:t>
      </w:r>
      <w:r w:rsidR="004249D6">
        <w:t>c</w:t>
      </w:r>
      <w:r>
        <w:t xml:space="preserve">hronic </w:t>
      </w:r>
      <w:r w:rsidR="005A42D7">
        <w:t>GVHD</w:t>
      </w:r>
      <w:r>
        <w:t xml:space="preserve"> were developed for use in clinical trials.</w:t>
      </w:r>
      <w:r w:rsidR="00874C3E">
        <w:rPr>
          <w:rStyle w:val="FootnoteReference"/>
        </w:rPr>
        <w:footnoteReference w:id="8"/>
      </w:r>
    </w:p>
    <w:p w14:paraId="2BDE0A8E" w14:textId="77777777" w:rsidR="00B54ED2" w:rsidRDefault="00B54ED2" w:rsidP="00B54ED2">
      <w:pPr>
        <w:pStyle w:val="Heading4"/>
      </w:pPr>
      <w:bookmarkStart w:id="17" w:name="_Toc134095495"/>
      <w:r>
        <w:t>Current treatment options</w:t>
      </w:r>
      <w:bookmarkEnd w:id="17"/>
    </w:p>
    <w:p w14:paraId="0047A1DC" w14:textId="1D95EC3B" w:rsidR="00B54ED2" w:rsidRDefault="00B54ED2" w:rsidP="00B54ED2">
      <w:r w:rsidRPr="00112A56">
        <w:t xml:space="preserve">Treatment for </w:t>
      </w:r>
      <w:r w:rsidR="0074360E">
        <w:t>graft-versus-host disease (</w:t>
      </w:r>
      <w:r>
        <w:t>GVHD</w:t>
      </w:r>
      <w:r w:rsidR="0074360E">
        <w:t>)</w:t>
      </w:r>
      <w:r w:rsidRPr="00112A56">
        <w:t xml:space="preserve"> is based on the severity of the disease and the number of organs affected.</w:t>
      </w:r>
    </w:p>
    <w:p w14:paraId="2C318499" w14:textId="5207802A" w:rsidR="00860A8B" w:rsidRDefault="00860A8B" w:rsidP="00860A8B">
      <w:pPr>
        <w:pStyle w:val="Heading5"/>
      </w:pPr>
      <w:r>
        <w:t>Acute graft-versus-host disease</w:t>
      </w:r>
    </w:p>
    <w:p w14:paraId="729DDDF1" w14:textId="7BB84DF2" w:rsidR="00E70AA0" w:rsidRDefault="00B54ED2" w:rsidP="00B54ED2">
      <w:r>
        <w:t xml:space="preserve">Systemic corticosteroids remain the standard initial treatment of </w:t>
      </w:r>
      <w:r w:rsidR="00860A8B">
        <w:t>G</w:t>
      </w:r>
      <w:r>
        <w:t>rade II to IV a</w:t>
      </w:r>
      <w:r w:rsidR="0074360E">
        <w:t xml:space="preserve">cute </w:t>
      </w:r>
      <w:r>
        <w:t>GVHD and remain essential for controlling active disease as first line treatment in c</w:t>
      </w:r>
      <w:r w:rsidR="0074360E">
        <w:t xml:space="preserve">hronic </w:t>
      </w:r>
      <w:r>
        <w:t>GVHD, although high doses and long-term side effects prevent treatment being continued for extensive periods. In a</w:t>
      </w:r>
      <w:r w:rsidR="0074360E">
        <w:t xml:space="preserve">cute </w:t>
      </w:r>
      <w:r>
        <w:t xml:space="preserve">GVHD, approximately 50% of patients with </w:t>
      </w:r>
      <w:r w:rsidR="00860A8B">
        <w:t>G</w:t>
      </w:r>
      <w:r>
        <w:t>rade II to IV a</w:t>
      </w:r>
      <w:r w:rsidR="0074360E">
        <w:t xml:space="preserve">cute </w:t>
      </w:r>
      <w:r>
        <w:t xml:space="preserve">GVHD do not show an adequate response to corticosteroids and often become steroid resistant, refractory or fail to </w:t>
      </w:r>
      <w:r>
        <w:lastRenderedPageBreak/>
        <w:t>taper corticosteroids.</w:t>
      </w:r>
      <w:r w:rsidR="005A42D7">
        <w:rPr>
          <w:rStyle w:val="FootnoteReference"/>
        </w:rPr>
        <w:footnoteReference w:id="9"/>
      </w:r>
      <w:r w:rsidR="005A42D7">
        <w:rPr>
          <w:vertAlign w:val="superscript"/>
        </w:rPr>
        <w:t>,</w:t>
      </w:r>
      <w:r w:rsidR="005A42D7">
        <w:rPr>
          <w:rStyle w:val="FootnoteReference"/>
        </w:rPr>
        <w:footnoteReference w:id="10"/>
      </w:r>
      <w:r>
        <w:t xml:space="preserve"> The likelihood of response to treatment decreases with increasing disease severity. The long-term prognosis for patients with a</w:t>
      </w:r>
      <w:r w:rsidR="0074360E">
        <w:t xml:space="preserve">cute </w:t>
      </w:r>
      <w:r>
        <w:t xml:space="preserve">GVHD that failed treatment with steroids is very poor, with only one fourth of the patients surviving </w:t>
      </w:r>
      <w:r w:rsidR="00860A8B">
        <w:t>two</w:t>
      </w:r>
      <w:r>
        <w:t xml:space="preserve"> years.</w:t>
      </w:r>
      <w:r w:rsidR="00581A18">
        <w:rPr>
          <w:rStyle w:val="FootnoteReference"/>
        </w:rPr>
        <w:footnoteReference w:id="11"/>
      </w:r>
    </w:p>
    <w:p w14:paraId="7D8E2770" w14:textId="34187B2E" w:rsidR="00B54ED2" w:rsidRPr="00112A56" w:rsidRDefault="00B54ED2" w:rsidP="00B54ED2">
      <w:r>
        <w:t xml:space="preserve">Initial therapy for </w:t>
      </w:r>
      <w:r w:rsidR="00860A8B">
        <w:t>G</w:t>
      </w:r>
      <w:r>
        <w:t>rade II</w:t>
      </w:r>
      <w:r w:rsidR="00E60409">
        <w:t xml:space="preserve"> to </w:t>
      </w:r>
      <w:r>
        <w:t>IV a</w:t>
      </w:r>
      <w:r w:rsidR="0074360E">
        <w:t xml:space="preserve">cute </w:t>
      </w:r>
      <w:r>
        <w:t>GVHD consists of high-dose glucocorticoid steroids. Steroid treatment is effective in approximately half of the patients; those with more severe a</w:t>
      </w:r>
      <w:r w:rsidR="0074360E">
        <w:t xml:space="preserve">cute </w:t>
      </w:r>
      <w:r>
        <w:t xml:space="preserve">GVHD are less likely to respond. Treatment is usually started </w:t>
      </w:r>
      <w:r w:rsidR="0074360E">
        <w:t xml:space="preserve">by giving </w:t>
      </w:r>
      <w:r>
        <w:t>the equivalent of 1</w:t>
      </w:r>
      <w:r w:rsidR="00860A8B">
        <w:t xml:space="preserve"> to 2</w:t>
      </w:r>
      <w:r w:rsidR="0074360E">
        <w:t> </w:t>
      </w:r>
      <w:r>
        <w:t>mg/kg/day of prednisone</w:t>
      </w:r>
      <w:r w:rsidR="0074360E">
        <w:t xml:space="preserve"> which is</w:t>
      </w:r>
      <w:r>
        <w:t xml:space="preserve"> then tapered </w:t>
      </w:r>
      <w:r w:rsidR="0074360E">
        <w:t xml:space="preserve">downwards </w:t>
      </w:r>
      <w:r>
        <w:t>after a decrease in GVHD signs or symptoms.</w:t>
      </w:r>
      <w:bookmarkStart w:id="18" w:name="_Ref133824804"/>
      <w:r w:rsidR="00581A18">
        <w:rPr>
          <w:rStyle w:val="FootnoteReference"/>
        </w:rPr>
        <w:footnoteReference w:id="12"/>
      </w:r>
      <w:bookmarkEnd w:id="18"/>
      <w:r>
        <w:t xml:space="preserve"> The transplantation-related mortality rate is high in non-responders in the first </w:t>
      </w:r>
      <w:r w:rsidR="00860A8B">
        <w:t>five</w:t>
      </w:r>
      <w:r>
        <w:t xml:space="preserve"> days of steroid use. Several agents have been added to steroids in comparative </w:t>
      </w:r>
      <w:proofErr w:type="gramStart"/>
      <w:r>
        <w:t>studies</w:t>
      </w:r>
      <w:proofErr w:type="gramEnd"/>
      <w:r>
        <w:t xml:space="preserve"> but no evidence supports the use of these in combination for a</w:t>
      </w:r>
      <w:r w:rsidR="0074360E">
        <w:t xml:space="preserve">cute </w:t>
      </w:r>
      <w:r>
        <w:t>GVHD therapy. The best complete response rate was obtained with mycophenolate in combination with other agents (</w:t>
      </w:r>
      <w:r w:rsidR="00860A8B">
        <w:t xml:space="preserve">for example, </w:t>
      </w:r>
      <w:r>
        <w:t xml:space="preserve">etanercept) with </w:t>
      </w:r>
      <w:r w:rsidR="0074360E">
        <w:t>cortico</w:t>
      </w:r>
      <w:r>
        <w:t>steroids</w:t>
      </w:r>
      <w:r w:rsidR="0074360E">
        <w:t>.</w:t>
      </w:r>
      <w:r>
        <w:rPr>
          <w:rStyle w:val="FootnoteReference"/>
        </w:rPr>
        <w:footnoteReference w:id="13"/>
      </w:r>
    </w:p>
    <w:p w14:paraId="2DA97135" w14:textId="61E59427" w:rsidR="00860A8B" w:rsidRDefault="00860A8B" w:rsidP="00860A8B">
      <w:pPr>
        <w:pStyle w:val="Heading5"/>
      </w:pPr>
      <w:r w:rsidRPr="00860A8B">
        <w:t>Chronic</w:t>
      </w:r>
      <w:r>
        <w:rPr>
          <w:b w:val="0"/>
        </w:rPr>
        <w:t xml:space="preserve"> </w:t>
      </w:r>
      <w:r w:rsidRPr="00860A8B">
        <w:t>graft-versus-host disease</w:t>
      </w:r>
    </w:p>
    <w:p w14:paraId="348A3EEE" w14:textId="6FC622B0" w:rsidR="00E70AA0" w:rsidRDefault="00B54ED2" w:rsidP="00B54ED2">
      <w:r w:rsidRPr="003D3BFE">
        <w:t xml:space="preserve">Treatment of chronic </w:t>
      </w:r>
      <w:r>
        <w:t>GVHD</w:t>
      </w:r>
      <w:r w:rsidRPr="003D3BFE">
        <w:t xml:space="preserve"> is intended to produce a sustainable benefit by reducing symptom burden, controlling objective manifestations of disease activity, preventing damage and impairment, and improving overall survival without causing disproportionate harms related to the treatment itself. Early experience showed that in the absence of systemic treatment, chronic </w:t>
      </w:r>
      <w:r>
        <w:t>GVHD</w:t>
      </w:r>
      <w:r w:rsidRPr="003D3BFE">
        <w:t xml:space="preserve"> progresses inexorably to disability and death. Management of chronic </w:t>
      </w:r>
      <w:r>
        <w:t>GVHD</w:t>
      </w:r>
      <w:r w:rsidRPr="003D3BFE">
        <w:t xml:space="preserve"> has relied on corticosteroids as the mainstay of treatment for more than </w:t>
      </w:r>
      <w:r w:rsidR="00860A8B">
        <w:t>three</w:t>
      </w:r>
      <w:r w:rsidRPr="003D3BFE">
        <w:t xml:space="preserve"> decades, although treatment regimens vary. Systemic treatment typically begins with prednisone at 0.5 to 1 mg/kg per day, with or without </w:t>
      </w:r>
      <w:r w:rsidR="00FB01D2">
        <w:t>ciclosporin</w:t>
      </w:r>
      <w:r w:rsidRPr="003D3BFE">
        <w:t>, tacrolimus or sirolimus.</w:t>
      </w:r>
      <w:r w:rsidR="00581A18" w:rsidRPr="00A600BC">
        <w:rPr>
          <w:vertAlign w:val="superscript"/>
        </w:rPr>
        <w:fldChar w:fldCharType="begin"/>
      </w:r>
      <w:r w:rsidR="00581A18" w:rsidRPr="00A600BC">
        <w:rPr>
          <w:vertAlign w:val="superscript"/>
        </w:rPr>
        <w:instrText xml:space="preserve"> NOTEREF _Ref133824804 \h </w:instrText>
      </w:r>
      <w:r w:rsidR="00581A18">
        <w:rPr>
          <w:vertAlign w:val="superscript"/>
        </w:rPr>
        <w:instrText xml:space="preserve"> \* MERGEFORMAT </w:instrText>
      </w:r>
      <w:r w:rsidR="00581A18" w:rsidRPr="00A600BC">
        <w:rPr>
          <w:vertAlign w:val="superscript"/>
        </w:rPr>
      </w:r>
      <w:r w:rsidR="00581A18" w:rsidRPr="00A600BC">
        <w:rPr>
          <w:vertAlign w:val="superscript"/>
        </w:rPr>
        <w:fldChar w:fldCharType="separate"/>
      </w:r>
      <w:r w:rsidR="00337955">
        <w:rPr>
          <w:vertAlign w:val="superscript"/>
        </w:rPr>
        <w:t>12</w:t>
      </w:r>
      <w:r w:rsidR="00581A18" w:rsidRPr="00A600BC">
        <w:rPr>
          <w:vertAlign w:val="superscript"/>
        </w:rPr>
        <w:fldChar w:fldCharType="end"/>
      </w:r>
    </w:p>
    <w:p w14:paraId="3E56C38A" w14:textId="2C8A6B25" w:rsidR="00E70AA0" w:rsidRDefault="00B54ED2" w:rsidP="00B54ED2">
      <w:r>
        <w:t>In Australia there are no medicines with a specific indication for treatment of c</w:t>
      </w:r>
      <w:r w:rsidR="00FB01D2">
        <w:t xml:space="preserve">hronic </w:t>
      </w:r>
      <w:r>
        <w:t>GVHD. Tacrolimus</w:t>
      </w:r>
      <w:r w:rsidR="00564803">
        <w:t>;</w:t>
      </w:r>
      <w:r w:rsidR="00564803">
        <w:rPr>
          <w:rStyle w:val="FootnoteReference"/>
        </w:rPr>
        <w:footnoteReference w:id="14"/>
      </w:r>
      <w:r>
        <w:t xml:space="preserve"> is a recommended second-line treatment</w:t>
      </w:r>
      <w:r w:rsidR="00581A18">
        <w:t>;</w:t>
      </w:r>
      <w:r>
        <w:t xml:space="preserve"> however</w:t>
      </w:r>
      <w:r w:rsidR="00581A18">
        <w:t>,</w:t>
      </w:r>
      <w:r>
        <w:t xml:space="preserve"> it is indicated for use as an adjunct to liver, kidney, lung or heart allograft transplantation in adults and children. Its use in c</w:t>
      </w:r>
      <w:r w:rsidR="00FB01D2">
        <w:t xml:space="preserve">hronic </w:t>
      </w:r>
      <w:r>
        <w:t>GVHD is off-label.</w:t>
      </w:r>
    </w:p>
    <w:p w14:paraId="564041D6" w14:textId="322F89E6" w:rsidR="00B54ED2" w:rsidRDefault="00B54ED2" w:rsidP="00B54ED2">
      <w:r>
        <w:t>Historically, systemic treatment of c</w:t>
      </w:r>
      <w:r w:rsidR="00FB01D2">
        <w:t xml:space="preserve">hronic </w:t>
      </w:r>
      <w:r>
        <w:t xml:space="preserve">GVHD is discontinued in approximately 50% of patients within </w:t>
      </w:r>
      <w:r w:rsidR="00860A8B">
        <w:t>seven</w:t>
      </w:r>
      <w:r>
        <w:t xml:space="preserve"> years after starting systemic treatment. Approximately 10% of patients require continued systemic treatment for an indefinite period beyond </w:t>
      </w:r>
      <w:r w:rsidR="00860A8B">
        <w:t>seven</w:t>
      </w:r>
      <w:r>
        <w:t xml:space="preserve"> years, and the remaining 40% develop recurrent malignancy or die from non-relapse causes while continuing systemic treatment within </w:t>
      </w:r>
      <w:r w:rsidR="00860A8B">
        <w:t>seven</w:t>
      </w:r>
      <w:r>
        <w:t xml:space="preserve"> years after diagnosis.</w:t>
      </w:r>
      <w:r w:rsidR="002F78A1">
        <w:rPr>
          <w:rStyle w:val="FootnoteReference"/>
        </w:rPr>
        <w:footnoteReference w:id="15"/>
      </w:r>
      <w:r>
        <w:t xml:space="preserve"> Discontinuation of systemic treatment may be possible for some patients with far advanced chronic GVHD that has persisted despite the use of multiple immunosuppressive agents for many years. In these circumstances, the goals of treatment are to control symptoms and disease activity, to prevent further damage and impairment, whether from the disease itself or from the medications used for management, and to improve survival.</w:t>
      </w:r>
    </w:p>
    <w:p w14:paraId="7A2A8FC5" w14:textId="6603E8F1" w:rsidR="00B54ED2" w:rsidRDefault="00B54ED2" w:rsidP="00B54ED2">
      <w:r>
        <w:lastRenderedPageBreak/>
        <w:t xml:space="preserve">It is not known whether currently available immunosuppressive products shorten or lengthen the time to withdrawal of treatment. In either </w:t>
      </w:r>
      <w:r w:rsidR="00FB01D2">
        <w:t>scenario</w:t>
      </w:r>
      <w:r>
        <w:t>, they provide clinical benefit by controlling disease activity and preventing impairment until systemic treatment can be discontinued. In this context, new products for treatment of chronic GVHD could increase clinical benefit if they are more effective than currently available treatments without causing a disproportionate burden of side effects or if they are as effective as currently available treatment but cause a lesser burden of side effects</w:t>
      </w:r>
      <w:r w:rsidR="00FB01D2">
        <w:t>.</w:t>
      </w:r>
      <w:r>
        <w:rPr>
          <w:rStyle w:val="FootnoteReference"/>
        </w:rPr>
        <w:footnoteReference w:id="16"/>
      </w:r>
    </w:p>
    <w:p w14:paraId="5F9FC507" w14:textId="1F2DBB0B" w:rsidR="00324B33" w:rsidRDefault="00324B33" w:rsidP="005D6AB4">
      <w:pPr>
        <w:rPr>
          <w:szCs w:val="22"/>
        </w:rPr>
      </w:pPr>
      <w:r w:rsidRPr="00BD5DBD">
        <w:rPr>
          <w:szCs w:val="22"/>
        </w:rPr>
        <w:t xml:space="preserve">This evaluation was facilitated through </w:t>
      </w:r>
      <w:hyperlink r:id="rId19" w:history="1">
        <w:r w:rsidRPr="00BD5DBD">
          <w:rPr>
            <w:rStyle w:val="Hyperlink"/>
            <w:szCs w:val="22"/>
          </w:rPr>
          <w:t>Project Orbis</w:t>
        </w:r>
      </w:hyperlink>
      <w:r w:rsidRPr="00BD5DBD">
        <w:rPr>
          <w:szCs w:val="22"/>
        </w:rPr>
        <w:t xml:space="preserve">, an initiative of the United States </w:t>
      </w:r>
      <w:r w:rsidR="00564803">
        <w:rPr>
          <w:szCs w:val="22"/>
        </w:rPr>
        <w:t xml:space="preserve">(US) </w:t>
      </w:r>
      <w:r w:rsidRPr="00BD5DBD">
        <w:rPr>
          <w:szCs w:val="22"/>
        </w:rPr>
        <w:t xml:space="preserve">Food and Drug Administration </w:t>
      </w:r>
      <w:r w:rsidR="008C754C" w:rsidRPr="00BD5DBD">
        <w:rPr>
          <w:szCs w:val="22"/>
        </w:rPr>
        <w:t xml:space="preserve">(FDA) </w:t>
      </w:r>
      <w:r w:rsidRPr="00BD5DBD">
        <w:rPr>
          <w:szCs w:val="22"/>
        </w:rPr>
        <w:t xml:space="preserve">Oncology </w:t>
      </w:r>
      <w:proofErr w:type="spellStart"/>
      <w:r w:rsidRPr="00BD5DBD">
        <w:rPr>
          <w:szCs w:val="22"/>
        </w:rPr>
        <w:t>Center</w:t>
      </w:r>
      <w:proofErr w:type="spellEnd"/>
      <w:r w:rsidRPr="00BD5DBD">
        <w:rPr>
          <w:szCs w:val="22"/>
        </w:rPr>
        <w:t xml:space="preserve"> of Excellence. Under this project, the </w:t>
      </w:r>
      <w:r w:rsidR="005D6AB4">
        <w:rPr>
          <w:szCs w:val="22"/>
        </w:rPr>
        <w:t xml:space="preserve">US </w:t>
      </w:r>
      <w:r w:rsidRPr="00D4667F">
        <w:rPr>
          <w:szCs w:val="22"/>
        </w:rPr>
        <w:t>FDA, Health Canada,</w:t>
      </w:r>
      <w:r w:rsidR="005D6AB4" w:rsidRPr="00D4667F">
        <w:rPr>
          <w:szCs w:val="22"/>
        </w:rPr>
        <w:t xml:space="preserve"> </w:t>
      </w:r>
      <w:proofErr w:type="spellStart"/>
      <w:r w:rsidR="005D6AB4" w:rsidRPr="00D4667F">
        <w:rPr>
          <w:szCs w:val="22"/>
        </w:rPr>
        <w:t>Swissmedic</w:t>
      </w:r>
      <w:proofErr w:type="spellEnd"/>
      <w:r w:rsidR="005D6AB4" w:rsidRPr="00D4667F">
        <w:rPr>
          <w:szCs w:val="22"/>
        </w:rPr>
        <w:t xml:space="preserve"> (Switzerland), Medicines and Healthcare products Regulatory Agency (United Kingdom)</w:t>
      </w:r>
      <w:r w:rsidR="00564803">
        <w:rPr>
          <w:szCs w:val="22"/>
        </w:rPr>
        <w:t xml:space="preserve">, </w:t>
      </w:r>
      <w:r w:rsidR="005D6AB4" w:rsidRPr="00D4667F">
        <w:rPr>
          <w:szCs w:val="22"/>
        </w:rPr>
        <w:t xml:space="preserve">National Health Surveillance Agency (Brazil) </w:t>
      </w:r>
      <w:r w:rsidRPr="00BD5DBD">
        <w:rPr>
          <w:szCs w:val="22"/>
        </w:rPr>
        <w:t>and the TGA collaboratively reviewed the submission. This evaluation process provided a framework for process alignment and management of evaluation issues in real-time across jurisdictions. Each regulator made independent decisions regarding approval (market authorisation) of t</w:t>
      </w:r>
      <w:r w:rsidR="005D6AB4">
        <w:rPr>
          <w:szCs w:val="22"/>
        </w:rPr>
        <w:t>he submission</w:t>
      </w:r>
      <w:r w:rsidRPr="00BD5DBD">
        <w:rPr>
          <w:szCs w:val="22"/>
        </w:rPr>
        <w:t>.</w:t>
      </w:r>
    </w:p>
    <w:p w14:paraId="0345EB4F" w14:textId="509F4B39" w:rsidR="00C22884" w:rsidRPr="00BD5DBD" w:rsidRDefault="00C22884" w:rsidP="005D6AB4">
      <w:pPr>
        <w:rPr>
          <w:szCs w:val="22"/>
        </w:rPr>
      </w:pPr>
      <w:r w:rsidRPr="00C22884">
        <w:rPr>
          <w:szCs w:val="22"/>
        </w:rPr>
        <w:t xml:space="preserve">In the United States of America (USA), ruxolitinib is approved under the trade name of Jakafi. Jakafi was approved in the USA for the treatment of adolescents and adult patients with </w:t>
      </w:r>
      <w:r w:rsidR="00FB01D2">
        <w:rPr>
          <w:szCs w:val="22"/>
        </w:rPr>
        <w:t>s</w:t>
      </w:r>
      <w:r w:rsidRPr="00C22884">
        <w:rPr>
          <w:szCs w:val="22"/>
        </w:rPr>
        <w:t xml:space="preserve">teroid </w:t>
      </w:r>
      <w:r w:rsidR="00FB01D2">
        <w:rPr>
          <w:szCs w:val="22"/>
        </w:rPr>
        <w:t>r</w:t>
      </w:r>
      <w:r w:rsidRPr="00C22884">
        <w:rPr>
          <w:szCs w:val="22"/>
        </w:rPr>
        <w:t xml:space="preserve">efractory steroid resistant acute GVHD based on </w:t>
      </w:r>
      <w:r w:rsidR="00FB01D2">
        <w:rPr>
          <w:szCs w:val="22"/>
        </w:rPr>
        <w:t>a</w:t>
      </w:r>
      <w:r w:rsidRPr="00C22884">
        <w:rPr>
          <w:szCs w:val="22"/>
        </w:rPr>
        <w:t xml:space="preserve"> Phase II, open uncontrolled study, Study</w:t>
      </w:r>
      <w:r w:rsidR="00564803">
        <w:rPr>
          <w:szCs w:val="22"/>
        </w:rPr>
        <w:t> </w:t>
      </w:r>
      <w:r w:rsidRPr="00C22884">
        <w:rPr>
          <w:szCs w:val="22"/>
        </w:rPr>
        <w:t>18424</w:t>
      </w:r>
      <w:r w:rsidR="00FB01D2">
        <w:rPr>
          <w:szCs w:val="22"/>
        </w:rPr>
        <w:t>-</w:t>
      </w:r>
      <w:r w:rsidRPr="00C22884">
        <w:rPr>
          <w:szCs w:val="22"/>
        </w:rPr>
        <w:t>271 (</w:t>
      </w:r>
      <w:r w:rsidR="00FB01D2">
        <w:rPr>
          <w:szCs w:val="22"/>
        </w:rPr>
        <w:t xml:space="preserve">also known as the </w:t>
      </w:r>
      <w:r w:rsidRPr="00C22884">
        <w:rPr>
          <w:szCs w:val="22"/>
        </w:rPr>
        <w:t>REACH 1 trial) on 24 May 2019</w:t>
      </w:r>
      <w:r w:rsidR="00FB01D2">
        <w:rPr>
          <w:szCs w:val="22"/>
        </w:rPr>
        <w:t>.</w:t>
      </w:r>
      <w:r w:rsidR="00FB01D2">
        <w:rPr>
          <w:rStyle w:val="FootnoteReference"/>
          <w:szCs w:val="22"/>
        </w:rPr>
        <w:footnoteReference w:id="17"/>
      </w:r>
      <w:r w:rsidRPr="00C22884">
        <w:rPr>
          <w:szCs w:val="22"/>
        </w:rPr>
        <w:t xml:space="preserve"> </w:t>
      </w:r>
    </w:p>
    <w:p w14:paraId="6A69CBB1" w14:textId="5195922A" w:rsidR="00E70AA0" w:rsidRDefault="005D6AB4" w:rsidP="005D6AB4">
      <w:pPr>
        <w:rPr>
          <w:lang w:val="en-US"/>
        </w:rPr>
      </w:pPr>
      <w:r>
        <w:rPr>
          <w:lang w:val="en-US"/>
        </w:rPr>
        <w:t xml:space="preserve">The </w:t>
      </w:r>
      <w:r w:rsidRPr="00C25200">
        <w:rPr>
          <w:lang w:val="en-US"/>
        </w:rPr>
        <w:t>REACH</w:t>
      </w:r>
      <w:r>
        <w:rPr>
          <w:lang w:val="en-US"/>
        </w:rPr>
        <w:t xml:space="preserve"> </w:t>
      </w:r>
      <w:r w:rsidRPr="00C25200">
        <w:rPr>
          <w:lang w:val="en-US"/>
        </w:rPr>
        <w:t>3</w:t>
      </w:r>
      <w:r w:rsidR="00C22884">
        <w:rPr>
          <w:lang w:val="en-US"/>
        </w:rPr>
        <w:t xml:space="preserve"> trial</w:t>
      </w:r>
      <w:r w:rsidRPr="00C25200">
        <w:rPr>
          <w:lang w:val="en-US"/>
        </w:rPr>
        <w:t xml:space="preserve"> data </w:t>
      </w:r>
      <w:r>
        <w:rPr>
          <w:lang w:val="en-US"/>
        </w:rPr>
        <w:t xml:space="preserve">were submitted </w:t>
      </w:r>
      <w:r w:rsidRPr="00C25200">
        <w:rPr>
          <w:lang w:val="en-US"/>
        </w:rPr>
        <w:t xml:space="preserve">in a separate </w:t>
      </w:r>
      <w:r>
        <w:rPr>
          <w:lang w:val="en-US"/>
        </w:rPr>
        <w:t xml:space="preserve">supplemental New Drug Application </w:t>
      </w:r>
      <w:r w:rsidR="00C22884">
        <w:rPr>
          <w:lang w:val="en-US"/>
        </w:rPr>
        <w:t>to the US FDA</w:t>
      </w:r>
      <w:r>
        <w:rPr>
          <w:lang w:val="en-US"/>
        </w:rPr>
        <w:t xml:space="preserve">. The cGVHD indication was approved in </w:t>
      </w:r>
      <w:r w:rsidR="00564803">
        <w:rPr>
          <w:lang w:val="en-US"/>
        </w:rPr>
        <w:t xml:space="preserve">the USA in </w:t>
      </w:r>
      <w:r>
        <w:rPr>
          <w:lang w:val="en-US"/>
        </w:rPr>
        <w:t>September 202</w:t>
      </w:r>
      <w:r w:rsidR="00C22884">
        <w:rPr>
          <w:lang w:val="en-US"/>
        </w:rPr>
        <w:t>1.</w:t>
      </w:r>
    </w:p>
    <w:p w14:paraId="0D615854" w14:textId="77777777" w:rsidR="00324B33" w:rsidRPr="003F31A2" w:rsidRDefault="00324B33" w:rsidP="00324B33">
      <w:pPr>
        <w:pStyle w:val="Heading3"/>
      </w:pPr>
      <w:bookmarkStart w:id="19" w:name="_Toc103679291"/>
      <w:bookmarkStart w:id="20" w:name="_Toc134095496"/>
      <w:r>
        <w:t>Regulatory status</w:t>
      </w:r>
      <w:bookmarkEnd w:id="15"/>
      <w:bookmarkEnd w:id="16"/>
      <w:bookmarkEnd w:id="19"/>
      <w:bookmarkEnd w:id="20"/>
    </w:p>
    <w:p w14:paraId="22674F16" w14:textId="53541DB2" w:rsidR="00775BAA" w:rsidRDefault="00324B33" w:rsidP="00C22884">
      <w:pPr>
        <w:rPr>
          <w:szCs w:val="22"/>
        </w:rPr>
      </w:pPr>
      <w:r w:rsidRPr="00BD5DBD">
        <w:rPr>
          <w:szCs w:val="22"/>
        </w:rPr>
        <w:t xml:space="preserve">The product received initial registration on the </w:t>
      </w:r>
      <w:hyperlink r:id="rId20" w:history="1">
        <w:r w:rsidRPr="00BD5DBD">
          <w:rPr>
            <w:rStyle w:val="Hyperlink"/>
            <w:szCs w:val="22"/>
          </w:rPr>
          <w:t>Australian Register of Therapeutic Goods</w:t>
        </w:r>
      </w:hyperlink>
      <w:r w:rsidRPr="00BD5DBD">
        <w:rPr>
          <w:szCs w:val="22"/>
        </w:rPr>
        <w:t xml:space="preserve"> (</w:t>
      </w:r>
      <w:hyperlink r:id="rId21" w:history="1">
        <w:r w:rsidRPr="00BD5DBD">
          <w:rPr>
            <w:rStyle w:val="Hyperlink"/>
            <w:szCs w:val="22"/>
          </w:rPr>
          <w:t>ARTG</w:t>
        </w:r>
      </w:hyperlink>
      <w:r w:rsidRPr="00BD5DBD">
        <w:rPr>
          <w:szCs w:val="22"/>
        </w:rPr>
        <w:t>) on</w:t>
      </w:r>
      <w:r w:rsidR="005D6AB4">
        <w:rPr>
          <w:szCs w:val="22"/>
        </w:rPr>
        <w:t xml:space="preserve"> 3 July 2013</w:t>
      </w:r>
      <w:r w:rsidR="00775BAA">
        <w:rPr>
          <w:szCs w:val="22"/>
        </w:rPr>
        <w:t>;</w:t>
      </w:r>
      <w:r w:rsidR="0050371D">
        <w:rPr>
          <w:rStyle w:val="FootnoteReference"/>
          <w:szCs w:val="22"/>
        </w:rPr>
        <w:footnoteReference w:id="18"/>
      </w:r>
      <w:r w:rsidR="005D6AB4">
        <w:rPr>
          <w:szCs w:val="22"/>
        </w:rPr>
        <w:t xml:space="preserve"> </w:t>
      </w:r>
      <w:r w:rsidR="00775BAA">
        <w:rPr>
          <w:szCs w:val="22"/>
        </w:rPr>
        <w:t>for the following indications:</w:t>
      </w:r>
    </w:p>
    <w:p w14:paraId="73447EC1" w14:textId="017BF06D" w:rsidR="00775BAA" w:rsidRPr="00A600BC" w:rsidRDefault="00775BAA" w:rsidP="00A600BC">
      <w:pPr>
        <w:ind w:left="720"/>
        <w:rPr>
          <w:i/>
          <w:szCs w:val="22"/>
        </w:rPr>
      </w:pPr>
      <w:proofErr w:type="spellStart"/>
      <w:r w:rsidRPr="00A600BC">
        <w:rPr>
          <w:i/>
          <w:szCs w:val="22"/>
        </w:rPr>
        <w:t>Jakavi</w:t>
      </w:r>
      <w:proofErr w:type="spellEnd"/>
      <w:r w:rsidRPr="00A600BC">
        <w:rPr>
          <w:i/>
          <w:szCs w:val="22"/>
        </w:rPr>
        <w:t xml:space="preserve"> is indicated for the treatment of disease-related splenomegaly or symptoms in patients with primary </w:t>
      </w:r>
      <w:proofErr w:type="spellStart"/>
      <w:r w:rsidRPr="00A600BC">
        <w:rPr>
          <w:i/>
          <w:szCs w:val="22"/>
        </w:rPr>
        <w:t>myelobrosis</w:t>
      </w:r>
      <w:proofErr w:type="spellEnd"/>
      <w:r w:rsidRPr="00A600BC">
        <w:rPr>
          <w:i/>
          <w:szCs w:val="22"/>
        </w:rPr>
        <w:t>, post-</w:t>
      </w:r>
      <w:proofErr w:type="spellStart"/>
      <w:r w:rsidRPr="00A600BC">
        <w:rPr>
          <w:i/>
          <w:szCs w:val="22"/>
        </w:rPr>
        <w:t>polycythemia</w:t>
      </w:r>
      <w:proofErr w:type="spellEnd"/>
      <w:r w:rsidRPr="00A600BC">
        <w:rPr>
          <w:i/>
          <w:szCs w:val="22"/>
        </w:rPr>
        <w:t xml:space="preserve"> </w:t>
      </w:r>
      <w:proofErr w:type="spellStart"/>
      <w:r w:rsidRPr="00A600BC">
        <w:rPr>
          <w:i/>
          <w:szCs w:val="22"/>
        </w:rPr>
        <w:t>vero</w:t>
      </w:r>
      <w:proofErr w:type="spellEnd"/>
      <w:r w:rsidRPr="00A600BC">
        <w:rPr>
          <w:i/>
          <w:szCs w:val="22"/>
        </w:rPr>
        <w:t xml:space="preserve"> myelofibrosis or post-essential </w:t>
      </w:r>
      <w:proofErr w:type="spellStart"/>
      <w:r w:rsidRPr="00A600BC">
        <w:rPr>
          <w:i/>
          <w:szCs w:val="22"/>
        </w:rPr>
        <w:t>thrombocyth</w:t>
      </w:r>
      <w:r>
        <w:rPr>
          <w:i/>
          <w:szCs w:val="22"/>
        </w:rPr>
        <w:t>a</w:t>
      </w:r>
      <w:r w:rsidRPr="00A600BC">
        <w:rPr>
          <w:i/>
          <w:szCs w:val="22"/>
        </w:rPr>
        <w:t>emia</w:t>
      </w:r>
      <w:proofErr w:type="spellEnd"/>
      <w:r w:rsidRPr="00A600BC">
        <w:rPr>
          <w:i/>
          <w:szCs w:val="22"/>
        </w:rPr>
        <w:t xml:space="preserve"> myelofibrosis</w:t>
      </w:r>
    </w:p>
    <w:p w14:paraId="3B30FDF4" w14:textId="28035987" w:rsidR="005D6AB4" w:rsidRDefault="00775BAA" w:rsidP="00324B33">
      <w:pPr>
        <w:rPr>
          <w:szCs w:val="22"/>
        </w:rPr>
      </w:pPr>
      <w:r>
        <w:rPr>
          <w:szCs w:val="22"/>
        </w:rPr>
        <w:t xml:space="preserve">The approved </w:t>
      </w:r>
      <w:r w:rsidR="005D6AB4">
        <w:rPr>
          <w:szCs w:val="22"/>
        </w:rPr>
        <w:t xml:space="preserve">indications </w:t>
      </w:r>
      <w:r w:rsidR="00660925">
        <w:rPr>
          <w:szCs w:val="22"/>
        </w:rPr>
        <w:t>were</w:t>
      </w:r>
      <w:r>
        <w:rPr>
          <w:szCs w:val="22"/>
        </w:rPr>
        <w:t xml:space="preserve"> subsequently</w:t>
      </w:r>
      <w:r w:rsidR="00660925">
        <w:rPr>
          <w:szCs w:val="22"/>
        </w:rPr>
        <w:t xml:space="preserve"> </w:t>
      </w:r>
      <w:r w:rsidR="005D6AB4">
        <w:rPr>
          <w:szCs w:val="22"/>
        </w:rPr>
        <w:t>extended on 14 December 2015</w:t>
      </w:r>
      <w:r>
        <w:rPr>
          <w:szCs w:val="22"/>
        </w:rPr>
        <w:t>, and a</w:t>
      </w:r>
      <w:r w:rsidR="0050371D" w:rsidRPr="0050371D">
        <w:rPr>
          <w:szCs w:val="22"/>
        </w:rPr>
        <w:t>t the time t</w:t>
      </w:r>
      <w:r w:rsidR="00660925">
        <w:rPr>
          <w:szCs w:val="22"/>
        </w:rPr>
        <w:t xml:space="preserve">he TGA considered </w:t>
      </w:r>
      <w:r w:rsidR="0050371D" w:rsidRPr="0050371D">
        <w:rPr>
          <w:szCs w:val="22"/>
        </w:rPr>
        <w:t xml:space="preserve">this submission </w:t>
      </w:r>
      <w:r w:rsidR="0050371D">
        <w:rPr>
          <w:szCs w:val="22"/>
        </w:rPr>
        <w:t>the product</w:t>
      </w:r>
      <w:r w:rsidR="0050371D" w:rsidRPr="0050371D">
        <w:rPr>
          <w:szCs w:val="22"/>
        </w:rPr>
        <w:t xml:space="preserve"> was approved for the following indications:</w:t>
      </w:r>
    </w:p>
    <w:p w14:paraId="3B335FC0" w14:textId="77777777" w:rsidR="0050371D" w:rsidRPr="0050371D" w:rsidRDefault="0050371D" w:rsidP="0050371D">
      <w:pPr>
        <w:ind w:left="720"/>
        <w:rPr>
          <w:i/>
          <w:iCs/>
          <w:szCs w:val="22"/>
        </w:rPr>
      </w:pPr>
      <w:proofErr w:type="spellStart"/>
      <w:r w:rsidRPr="0050371D">
        <w:rPr>
          <w:i/>
          <w:iCs/>
          <w:szCs w:val="22"/>
        </w:rPr>
        <w:t>Jakavi</w:t>
      </w:r>
      <w:proofErr w:type="spellEnd"/>
      <w:r w:rsidRPr="0050371D">
        <w:rPr>
          <w:i/>
          <w:iCs/>
          <w:szCs w:val="22"/>
        </w:rPr>
        <w:t xml:space="preserve"> is indicated for the treatment of disease-related splenomegaly or symptoms in patients with primary myelofibrosis, post-</w:t>
      </w:r>
      <w:proofErr w:type="spellStart"/>
      <w:r w:rsidRPr="0050371D">
        <w:rPr>
          <w:i/>
          <w:iCs/>
          <w:szCs w:val="22"/>
        </w:rPr>
        <w:t>polycythemia</w:t>
      </w:r>
      <w:proofErr w:type="spellEnd"/>
      <w:r w:rsidRPr="0050371D">
        <w:rPr>
          <w:i/>
          <w:iCs/>
          <w:szCs w:val="22"/>
        </w:rPr>
        <w:t xml:space="preserve"> vera myelofibrosis or post-essential </w:t>
      </w:r>
      <w:proofErr w:type="spellStart"/>
      <w:r w:rsidRPr="0050371D">
        <w:rPr>
          <w:i/>
          <w:iCs/>
          <w:szCs w:val="22"/>
        </w:rPr>
        <w:t>thrombocythaemia</w:t>
      </w:r>
      <w:proofErr w:type="spellEnd"/>
      <w:r w:rsidRPr="0050371D">
        <w:rPr>
          <w:i/>
          <w:iCs/>
          <w:szCs w:val="22"/>
        </w:rPr>
        <w:t xml:space="preserve"> myelofibrosis.</w:t>
      </w:r>
    </w:p>
    <w:p w14:paraId="05A42C0F" w14:textId="0B4817E9" w:rsidR="0050371D" w:rsidRDefault="0050371D" w:rsidP="0050371D">
      <w:pPr>
        <w:ind w:left="720"/>
        <w:rPr>
          <w:szCs w:val="22"/>
        </w:rPr>
      </w:pPr>
      <w:proofErr w:type="spellStart"/>
      <w:r w:rsidRPr="0050371D">
        <w:rPr>
          <w:i/>
          <w:iCs/>
          <w:szCs w:val="22"/>
        </w:rPr>
        <w:t>Jakavi</w:t>
      </w:r>
      <w:proofErr w:type="spellEnd"/>
      <w:r w:rsidRPr="0050371D">
        <w:rPr>
          <w:i/>
          <w:iCs/>
          <w:szCs w:val="22"/>
        </w:rPr>
        <w:t xml:space="preserve"> is indicated for the treatment of adult patients with </w:t>
      </w:r>
      <w:proofErr w:type="spellStart"/>
      <w:r w:rsidRPr="0050371D">
        <w:rPr>
          <w:i/>
          <w:iCs/>
          <w:szCs w:val="22"/>
        </w:rPr>
        <w:t>polycythemia</w:t>
      </w:r>
      <w:proofErr w:type="spellEnd"/>
      <w:r w:rsidRPr="0050371D">
        <w:rPr>
          <w:i/>
          <w:iCs/>
          <w:szCs w:val="22"/>
        </w:rPr>
        <w:t xml:space="preserve"> vera who are resistant to or intolerant of hydroxyurea</w:t>
      </w:r>
      <w:r w:rsidRPr="0050371D">
        <w:rPr>
          <w:szCs w:val="22"/>
        </w:rPr>
        <w:t>.</w:t>
      </w:r>
    </w:p>
    <w:p w14:paraId="21639C30" w14:textId="5D042AA0" w:rsidR="00FB01D2" w:rsidRPr="00C22884" w:rsidRDefault="00775BAA" w:rsidP="00FB01D2">
      <w:pPr>
        <w:rPr>
          <w:szCs w:val="22"/>
        </w:rPr>
      </w:pPr>
      <w:r>
        <w:rPr>
          <w:szCs w:val="22"/>
        </w:rPr>
        <w:t>Related to the current submission</w:t>
      </w:r>
      <w:r w:rsidR="00FB01D2">
        <w:rPr>
          <w:szCs w:val="22"/>
        </w:rPr>
        <w:t xml:space="preserve">, </w:t>
      </w:r>
      <w:proofErr w:type="spellStart"/>
      <w:r w:rsidR="00FB01D2">
        <w:rPr>
          <w:szCs w:val="22"/>
        </w:rPr>
        <w:t>Jakavi</w:t>
      </w:r>
      <w:proofErr w:type="spellEnd"/>
      <w:r w:rsidR="00FB01D2">
        <w:rPr>
          <w:szCs w:val="22"/>
        </w:rPr>
        <w:t xml:space="preserve"> </w:t>
      </w:r>
      <w:r w:rsidR="00FB01D2" w:rsidRPr="00C22884">
        <w:rPr>
          <w:szCs w:val="22"/>
        </w:rPr>
        <w:t xml:space="preserve">received </w:t>
      </w:r>
      <w:hyperlink r:id="rId22" w:anchor="eligibility" w:history="1">
        <w:r w:rsidR="00FB01D2" w:rsidRPr="00D15D36">
          <w:rPr>
            <w:rStyle w:val="Hyperlink"/>
            <w:szCs w:val="22"/>
          </w:rPr>
          <w:t>orphan drug</w:t>
        </w:r>
      </w:hyperlink>
      <w:r w:rsidR="00FB01D2" w:rsidRPr="00C22884">
        <w:rPr>
          <w:szCs w:val="22"/>
        </w:rPr>
        <w:t xml:space="preserve"> designation on 21 December 2020 for the </w:t>
      </w:r>
      <w:r w:rsidR="00FB01D2">
        <w:rPr>
          <w:szCs w:val="22"/>
        </w:rPr>
        <w:t xml:space="preserve"> </w:t>
      </w:r>
      <w:r w:rsidR="00FB01D2" w:rsidRPr="00C22884">
        <w:rPr>
          <w:szCs w:val="22"/>
        </w:rPr>
        <w:t>following indication:</w:t>
      </w:r>
    </w:p>
    <w:p w14:paraId="67CA0DB9" w14:textId="768BDD94" w:rsidR="00FB01D2" w:rsidRDefault="00FB01D2" w:rsidP="00A600BC">
      <w:pPr>
        <w:ind w:firstLine="720"/>
        <w:rPr>
          <w:i/>
          <w:iCs/>
          <w:szCs w:val="22"/>
        </w:rPr>
      </w:pPr>
      <w:proofErr w:type="spellStart"/>
      <w:r w:rsidRPr="00C22884">
        <w:rPr>
          <w:i/>
          <w:iCs/>
          <w:szCs w:val="22"/>
        </w:rPr>
        <w:t>Jakavi</w:t>
      </w:r>
      <w:proofErr w:type="spellEnd"/>
      <w:r w:rsidRPr="00C22884">
        <w:rPr>
          <w:i/>
          <w:iCs/>
          <w:szCs w:val="22"/>
        </w:rPr>
        <w:t xml:space="preserve"> is indicated for the treatment of patients with Graft versus Host Disease (</w:t>
      </w:r>
      <w:r>
        <w:rPr>
          <w:i/>
          <w:iCs/>
          <w:szCs w:val="22"/>
        </w:rPr>
        <w:t>GVHD).</w:t>
      </w:r>
    </w:p>
    <w:p w14:paraId="6EC07A1D" w14:textId="03E42AB9" w:rsidR="00775BAA" w:rsidRDefault="00775BAA" w:rsidP="00A600BC">
      <w:r>
        <w:lastRenderedPageBreak/>
        <w:t xml:space="preserve">In addition, </w:t>
      </w:r>
      <w:proofErr w:type="spellStart"/>
      <w:r>
        <w:t>Jakavi</w:t>
      </w:r>
      <w:proofErr w:type="spellEnd"/>
      <w:r>
        <w:t xml:space="preserve"> was granted </w:t>
      </w:r>
      <w:hyperlink r:id="rId23" w:anchor="process" w:history="1">
        <w:r w:rsidRPr="00D15D36">
          <w:rPr>
            <w:rStyle w:val="Hyperlink"/>
          </w:rPr>
          <w:t>priority review</w:t>
        </w:r>
      </w:hyperlink>
      <w:r>
        <w:t xml:space="preserve"> st</w:t>
      </w:r>
      <w:r w:rsidR="00D15D36">
        <w:t>atus on the same date for the following indication:</w:t>
      </w:r>
    </w:p>
    <w:p w14:paraId="1F8EF093" w14:textId="04DDCC38" w:rsidR="00D15D36" w:rsidRPr="00A600BC" w:rsidRDefault="00D15D36">
      <w:pPr>
        <w:ind w:left="720"/>
        <w:rPr>
          <w:i/>
        </w:rPr>
      </w:pPr>
      <w:proofErr w:type="spellStart"/>
      <w:r w:rsidRPr="00A600BC">
        <w:rPr>
          <w:i/>
        </w:rPr>
        <w:t>Jakavi</w:t>
      </w:r>
      <w:proofErr w:type="spellEnd"/>
      <w:r w:rsidRPr="00A600BC">
        <w:rPr>
          <w:i/>
        </w:rPr>
        <w:t xml:space="preserve"> is indicated for the treatment of patients with Graf</w:t>
      </w:r>
      <w:r>
        <w:rPr>
          <w:i/>
        </w:rPr>
        <w:t>t versus Host Disease (GvHD) 12 </w:t>
      </w:r>
      <w:r w:rsidRPr="00A600BC">
        <w:rPr>
          <w:i/>
        </w:rPr>
        <w:t>years and older who have inadequate response to corticosteroids or other systemic therapies</w:t>
      </w:r>
      <w:r>
        <w:rPr>
          <w:i/>
        </w:rPr>
        <w:t>.</w:t>
      </w:r>
    </w:p>
    <w:p w14:paraId="7B15DA3D" w14:textId="54E64BC3" w:rsidR="00356056" w:rsidRDefault="00D15D36" w:rsidP="00324B33">
      <w:pPr>
        <w:rPr>
          <w:szCs w:val="22"/>
        </w:rPr>
      </w:pPr>
      <w:r>
        <w:rPr>
          <w:szCs w:val="22"/>
        </w:rPr>
        <w:t>In the United States of America (USA), s</w:t>
      </w:r>
      <w:r w:rsidR="00356056">
        <w:rPr>
          <w:szCs w:val="22"/>
        </w:rPr>
        <w:t>imilar submission</w:t>
      </w:r>
      <w:r w:rsidR="00775BAA">
        <w:rPr>
          <w:szCs w:val="22"/>
        </w:rPr>
        <w:t>s</w:t>
      </w:r>
      <w:r w:rsidR="00356056">
        <w:rPr>
          <w:szCs w:val="22"/>
        </w:rPr>
        <w:t xml:space="preserve"> </w:t>
      </w:r>
      <w:r>
        <w:rPr>
          <w:szCs w:val="22"/>
        </w:rPr>
        <w:t>to</w:t>
      </w:r>
      <w:r w:rsidR="00660925">
        <w:rPr>
          <w:szCs w:val="22"/>
        </w:rPr>
        <w:t xml:space="preserve"> exten</w:t>
      </w:r>
      <w:r>
        <w:rPr>
          <w:szCs w:val="22"/>
        </w:rPr>
        <w:t>d</w:t>
      </w:r>
      <w:r w:rsidR="00660925">
        <w:rPr>
          <w:szCs w:val="22"/>
        </w:rPr>
        <w:t xml:space="preserve"> of indications </w:t>
      </w:r>
      <w:r>
        <w:rPr>
          <w:szCs w:val="22"/>
        </w:rPr>
        <w:t xml:space="preserve">of ruxolitinib phosphate (under the US tradename Jakafi) were </w:t>
      </w:r>
      <w:r w:rsidR="00356056">
        <w:rPr>
          <w:szCs w:val="22"/>
        </w:rPr>
        <w:t>approved on 24 May 2019 and 22</w:t>
      </w:r>
      <w:r w:rsidR="00660925">
        <w:rPr>
          <w:szCs w:val="22"/>
        </w:rPr>
        <w:t> </w:t>
      </w:r>
      <w:r w:rsidR="00356056">
        <w:rPr>
          <w:szCs w:val="22"/>
        </w:rPr>
        <w:t>September 2021 for the following respective indications:</w:t>
      </w:r>
    </w:p>
    <w:p w14:paraId="019A3DBC" w14:textId="4360CF42" w:rsidR="00356056" w:rsidRPr="00356056" w:rsidRDefault="00356056" w:rsidP="00356056">
      <w:pPr>
        <w:ind w:left="720"/>
        <w:rPr>
          <w:i/>
          <w:iCs/>
          <w:szCs w:val="22"/>
        </w:rPr>
      </w:pPr>
      <w:r w:rsidRPr="00356056">
        <w:rPr>
          <w:i/>
          <w:iCs/>
          <w:szCs w:val="22"/>
        </w:rPr>
        <w:t>Jakafi is indicated for treatment of steroid-refractory acute graft-versus-host disease (</w:t>
      </w:r>
      <w:proofErr w:type="spellStart"/>
      <w:r w:rsidRPr="00356056">
        <w:rPr>
          <w:i/>
          <w:iCs/>
          <w:szCs w:val="22"/>
        </w:rPr>
        <w:t>a</w:t>
      </w:r>
      <w:r w:rsidR="00E76F8D">
        <w:rPr>
          <w:i/>
          <w:iCs/>
          <w:szCs w:val="22"/>
        </w:rPr>
        <w:t>GVHD</w:t>
      </w:r>
      <w:proofErr w:type="spellEnd"/>
      <w:r w:rsidRPr="00356056">
        <w:rPr>
          <w:i/>
          <w:iCs/>
          <w:szCs w:val="22"/>
        </w:rPr>
        <w:t>) in adult and paediatric patients 12 years and older.</w:t>
      </w:r>
    </w:p>
    <w:p w14:paraId="2332CC17" w14:textId="570A1A22" w:rsidR="00356056" w:rsidRDefault="00356056" w:rsidP="00356056">
      <w:pPr>
        <w:ind w:left="720"/>
        <w:rPr>
          <w:szCs w:val="22"/>
        </w:rPr>
      </w:pPr>
      <w:r w:rsidRPr="00356056">
        <w:rPr>
          <w:i/>
          <w:iCs/>
          <w:szCs w:val="22"/>
        </w:rPr>
        <w:t>Jakafi is indicated for treatment of chronic graft</w:t>
      </w:r>
      <w:r>
        <w:rPr>
          <w:i/>
          <w:iCs/>
          <w:szCs w:val="22"/>
        </w:rPr>
        <w:t xml:space="preserve"> </w:t>
      </w:r>
      <w:r w:rsidRPr="00356056">
        <w:rPr>
          <w:i/>
          <w:iCs/>
          <w:szCs w:val="22"/>
        </w:rPr>
        <w:t>versus- host disease (cGVHD) after failure of one or two lines of systemic therapy in adult and paediatric patients 12 years and older</w:t>
      </w:r>
      <w:r w:rsidRPr="00356056">
        <w:rPr>
          <w:szCs w:val="22"/>
        </w:rPr>
        <w:t>.</w:t>
      </w:r>
    </w:p>
    <w:p w14:paraId="715B7D2A" w14:textId="51701B5A" w:rsidR="00324B33" w:rsidRPr="00BD5DBD" w:rsidRDefault="00356056" w:rsidP="00356056">
      <w:pPr>
        <w:rPr>
          <w:szCs w:val="22"/>
        </w:rPr>
      </w:pPr>
      <w:r>
        <w:rPr>
          <w:szCs w:val="22"/>
        </w:rPr>
        <w:t>A</w:t>
      </w:r>
      <w:r w:rsidR="00324B33" w:rsidRPr="00BD5DBD">
        <w:rPr>
          <w:szCs w:val="22"/>
        </w:rPr>
        <w:t xml:space="preserve"> similar submission was under consideration</w:t>
      </w:r>
      <w:r w:rsidR="0050371D">
        <w:rPr>
          <w:szCs w:val="22"/>
        </w:rPr>
        <w:t xml:space="preserve"> in Canada (submitted 26 February 2021), European Union (3 February </w:t>
      </w:r>
      <w:r>
        <w:rPr>
          <w:szCs w:val="22"/>
        </w:rPr>
        <w:t>2021), Switzerland (submitted 16 February 2021), United Kingdom (19 February 2021) and Brazil (submitted 26 February 2022)</w:t>
      </w:r>
      <w:r w:rsidR="00324B33" w:rsidRPr="00BD5DBD">
        <w:rPr>
          <w:szCs w:val="22"/>
        </w:rPr>
        <w:t>.</w:t>
      </w:r>
    </w:p>
    <w:p w14:paraId="064CCADF" w14:textId="77777777" w:rsidR="00324B33" w:rsidRDefault="00324B33" w:rsidP="00324B33">
      <w:pPr>
        <w:pStyle w:val="Heading3"/>
      </w:pPr>
      <w:bookmarkStart w:id="21" w:name="_Toc103679292"/>
      <w:bookmarkStart w:id="22" w:name="_Toc134095497"/>
      <w:r>
        <w:t>Product Information</w:t>
      </w:r>
      <w:bookmarkEnd w:id="21"/>
      <w:bookmarkEnd w:id="22"/>
    </w:p>
    <w:p w14:paraId="4B0F7D57" w14:textId="20C9A790" w:rsidR="00324B33" w:rsidRPr="00BD5DBD" w:rsidRDefault="00324B33" w:rsidP="00324B33">
      <w:pPr>
        <w:rPr>
          <w:szCs w:val="22"/>
        </w:rPr>
      </w:pPr>
      <w:bookmarkStart w:id="23" w:name="_Toc504480011"/>
      <w:r w:rsidRPr="00BD5DBD">
        <w:rPr>
          <w:szCs w:val="22"/>
        </w:rPr>
        <w:t xml:space="preserve">The </w:t>
      </w:r>
      <w:hyperlink r:id="rId24" w:history="1">
        <w:r w:rsidRPr="00BD5DBD">
          <w:rPr>
            <w:rStyle w:val="Hyperlink"/>
            <w:szCs w:val="22"/>
          </w:rPr>
          <w:t>Product Information</w:t>
        </w:r>
      </w:hyperlink>
      <w:r w:rsidRPr="00BD5DBD">
        <w:rPr>
          <w:szCs w:val="22"/>
        </w:rPr>
        <w:t xml:space="preserve"> (</w:t>
      </w:r>
      <w:hyperlink r:id="rId25"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6"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7" w:history="1">
        <w:r w:rsidRPr="00BD5DBD">
          <w:rPr>
            <w:rStyle w:val="Hyperlink"/>
            <w:szCs w:val="22"/>
          </w:rPr>
          <w:t>PI/CMI search facility.</w:t>
        </w:r>
      </w:hyperlink>
    </w:p>
    <w:p w14:paraId="6D92589C" w14:textId="569B7FD6" w:rsidR="00324B33" w:rsidRDefault="00324B33" w:rsidP="00B245B8">
      <w:pPr>
        <w:pStyle w:val="Heading2"/>
        <w:pageBreakBefore/>
      </w:pPr>
      <w:bookmarkStart w:id="24" w:name="_Toc103679293"/>
      <w:bookmarkStart w:id="25" w:name="_Toc134095498"/>
      <w:r>
        <w:lastRenderedPageBreak/>
        <w:t>Registration timeline</w:t>
      </w:r>
      <w:bookmarkEnd w:id="23"/>
      <w:bookmarkEnd w:id="24"/>
      <w:bookmarkEnd w:id="25"/>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C4C6348" w14:textId="732E13C1" w:rsidR="00477C4E" w:rsidRPr="00BD5DBD" w:rsidRDefault="00477C4E" w:rsidP="00324B33">
      <w:pPr>
        <w:rPr>
          <w:szCs w:val="22"/>
        </w:rPr>
      </w:pPr>
      <w:r w:rsidRPr="00BD5DBD">
        <w:rPr>
          <w:szCs w:val="22"/>
        </w:rPr>
        <w:t>This submission was evaluated under the</w:t>
      </w:r>
      <w:r w:rsidR="00535DFE" w:rsidRPr="00BD5DBD">
        <w:rPr>
          <w:szCs w:val="22"/>
        </w:rPr>
        <w:t xml:space="preserve"> </w:t>
      </w:r>
      <w:hyperlink r:id="rId28" w:anchor="process" w:history="1">
        <w:r w:rsidR="00535DFE" w:rsidRPr="00BD5DBD">
          <w:rPr>
            <w:rStyle w:val="Hyperlink"/>
            <w:szCs w:val="22"/>
          </w:rPr>
          <w:t>priority registration process</w:t>
        </w:r>
      </w:hyperlink>
      <w:r w:rsidR="00535DFE" w:rsidRPr="00BD5DBD">
        <w:rPr>
          <w:szCs w:val="22"/>
        </w:rPr>
        <w:t>.</w:t>
      </w:r>
    </w:p>
    <w:p w14:paraId="44628C5F" w14:textId="14C5C9C1" w:rsidR="00324B33" w:rsidRPr="007E06B1" w:rsidRDefault="00324B33" w:rsidP="007E06B1">
      <w:pPr>
        <w:pStyle w:val="TableTitle"/>
      </w:pPr>
      <w:r w:rsidRPr="007E06B1">
        <w:t xml:space="preserve">Table </w:t>
      </w:r>
      <w:r w:rsidR="00F20AB1">
        <w:fldChar w:fldCharType="begin"/>
      </w:r>
      <w:r w:rsidR="00F20AB1">
        <w:instrText xml:space="preserve"> SEQ Table \* ARABIC </w:instrText>
      </w:r>
      <w:r w:rsidR="00F20AB1">
        <w:fldChar w:fldCharType="separate"/>
      </w:r>
      <w:r w:rsidR="00337955">
        <w:rPr>
          <w:noProof/>
        </w:rPr>
        <w:t>1</w:t>
      </w:r>
      <w:r w:rsidR="00F20AB1">
        <w:rPr>
          <w:noProof/>
        </w:rPr>
        <w:fldChar w:fldCharType="end"/>
      </w:r>
      <w:r w:rsidRPr="007E06B1">
        <w:t xml:space="preserve">: Timeline for Submission </w:t>
      </w:r>
      <w:r w:rsidR="00D4667F" w:rsidRPr="007E06B1">
        <w:t>PM-2021-00484-1-6</w:t>
      </w:r>
    </w:p>
    <w:tbl>
      <w:tblPr>
        <w:tblStyle w:val="TableTGAblue2023"/>
        <w:tblW w:w="8642" w:type="dxa"/>
        <w:tblLook w:val="04A0" w:firstRow="1" w:lastRow="0" w:firstColumn="1" w:lastColumn="0" w:noHBand="0" w:noVBand="1"/>
      </w:tblPr>
      <w:tblGrid>
        <w:gridCol w:w="5807"/>
        <w:gridCol w:w="2835"/>
      </w:tblGrid>
      <w:tr w:rsidR="007072A1" w:rsidRPr="00D01DDB" w14:paraId="7429FB08" w14:textId="77777777" w:rsidTr="00924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1353B63" w14:textId="77777777" w:rsidR="007072A1" w:rsidRPr="00D01DDB" w:rsidRDefault="007072A1" w:rsidP="007452E8">
            <w:pPr>
              <w:rPr>
                <w:szCs w:val="22"/>
              </w:rPr>
            </w:pPr>
            <w:r w:rsidRPr="00D01DDB">
              <w:rPr>
                <w:szCs w:val="22"/>
              </w:rPr>
              <w:t>Description</w:t>
            </w:r>
          </w:p>
        </w:tc>
        <w:tc>
          <w:tcPr>
            <w:tcW w:w="2835" w:type="dxa"/>
          </w:tcPr>
          <w:p w14:paraId="12341C2F" w14:textId="77777777" w:rsidR="007072A1" w:rsidRPr="00D01DDB" w:rsidRDefault="007072A1" w:rsidP="007452E8">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7072A1" w:rsidRPr="00D01DDB" w14:paraId="1E0EA4B5" w14:textId="77777777" w:rsidTr="009246B8">
        <w:tc>
          <w:tcPr>
            <w:cnfStyle w:val="001000000000" w:firstRow="0" w:lastRow="0" w:firstColumn="1" w:lastColumn="0" w:oddVBand="0" w:evenVBand="0" w:oddHBand="0" w:evenHBand="0" w:firstRowFirstColumn="0" w:firstRowLastColumn="0" w:lastRowFirstColumn="0" w:lastRowLastColumn="0"/>
            <w:tcW w:w="5807" w:type="dxa"/>
          </w:tcPr>
          <w:p w14:paraId="09905872" w14:textId="02D9B142" w:rsidR="007072A1" w:rsidRPr="00D01DDB" w:rsidRDefault="007072A1" w:rsidP="007452E8">
            <w:pPr>
              <w:rPr>
                <w:szCs w:val="22"/>
              </w:rPr>
            </w:pPr>
            <w:r w:rsidRPr="000822C5">
              <w:rPr>
                <w:iCs/>
                <w:color w:val="auto"/>
                <w:szCs w:val="22"/>
              </w:rPr>
              <w:t>Designation (</w:t>
            </w:r>
            <w:hyperlink r:id="rId29" w:anchor="eligibility" w:history="1">
              <w:r w:rsidR="007F50D3" w:rsidRPr="00D01DDB">
                <w:rPr>
                  <w:rStyle w:val="Hyperlink"/>
                  <w:iCs/>
                  <w:szCs w:val="22"/>
                </w:rPr>
                <w:t>Orphan</w:t>
              </w:r>
            </w:hyperlink>
            <w:r w:rsidRPr="00D01DDB">
              <w:rPr>
                <w:iCs/>
                <w:color w:val="007099"/>
                <w:szCs w:val="22"/>
              </w:rPr>
              <w:t>)</w:t>
            </w:r>
          </w:p>
        </w:tc>
        <w:tc>
          <w:tcPr>
            <w:tcW w:w="2835" w:type="dxa"/>
          </w:tcPr>
          <w:p w14:paraId="019DCEAE" w14:textId="3CC504AE" w:rsidR="007072A1" w:rsidRPr="00D01DDB" w:rsidRDefault="000822C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21 December 2020</w:t>
            </w:r>
          </w:p>
        </w:tc>
      </w:tr>
      <w:tr w:rsidR="007072A1" w:rsidRPr="00D01DDB" w14:paraId="0D1CC924" w14:textId="77777777" w:rsidTr="009246B8">
        <w:tc>
          <w:tcPr>
            <w:cnfStyle w:val="001000000000" w:firstRow="0" w:lastRow="0" w:firstColumn="1" w:lastColumn="0" w:oddVBand="0" w:evenVBand="0" w:oddHBand="0" w:evenHBand="0" w:firstRowFirstColumn="0" w:firstRowLastColumn="0" w:lastRowFirstColumn="0" w:lastRowLastColumn="0"/>
            <w:tcW w:w="5807" w:type="dxa"/>
          </w:tcPr>
          <w:p w14:paraId="5DBF8D15" w14:textId="77777777" w:rsidR="007072A1" w:rsidRPr="00D01DDB" w:rsidRDefault="007072A1" w:rsidP="007452E8">
            <w:pPr>
              <w:rPr>
                <w:szCs w:val="22"/>
              </w:rPr>
            </w:pPr>
            <w:r w:rsidRPr="00D01DDB">
              <w:rPr>
                <w:szCs w:val="22"/>
              </w:rPr>
              <w:t>Submission dossier accepted and first round evaluation commenced</w:t>
            </w:r>
          </w:p>
        </w:tc>
        <w:tc>
          <w:tcPr>
            <w:tcW w:w="2835" w:type="dxa"/>
          </w:tcPr>
          <w:p w14:paraId="1894520F" w14:textId="17B3703E" w:rsidR="007072A1" w:rsidRPr="00D01DDB" w:rsidRDefault="000822C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22 March 2021</w:t>
            </w:r>
          </w:p>
        </w:tc>
      </w:tr>
      <w:tr w:rsidR="007072A1" w:rsidRPr="00D01DDB" w14:paraId="1C772CA1" w14:textId="77777777" w:rsidTr="009246B8">
        <w:tc>
          <w:tcPr>
            <w:cnfStyle w:val="001000000000" w:firstRow="0" w:lastRow="0" w:firstColumn="1" w:lastColumn="0" w:oddVBand="0" w:evenVBand="0" w:oddHBand="0" w:evenHBand="0" w:firstRowFirstColumn="0" w:firstRowLastColumn="0" w:lastRowFirstColumn="0" w:lastRowLastColumn="0"/>
            <w:tcW w:w="5807" w:type="dxa"/>
          </w:tcPr>
          <w:p w14:paraId="5EA0BE18" w14:textId="77777777" w:rsidR="007072A1" w:rsidRPr="00D01DDB" w:rsidRDefault="007072A1" w:rsidP="007452E8">
            <w:pPr>
              <w:rPr>
                <w:szCs w:val="22"/>
              </w:rPr>
            </w:pPr>
            <w:r w:rsidRPr="00D01DDB">
              <w:rPr>
                <w:szCs w:val="22"/>
              </w:rPr>
              <w:t>Second round evaluation completed</w:t>
            </w:r>
          </w:p>
        </w:tc>
        <w:tc>
          <w:tcPr>
            <w:tcW w:w="2835" w:type="dxa"/>
          </w:tcPr>
          <w:p w14:paraId="57A97EED" w14:textId="2282A543" w:rsidR="007072A1" w:rsidRPr="00D01DDB" w:rsidRDefault="000822C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29 September 2021</w:t>
            </w:r>
          </w:p>
        </w:tc>
      </w:tr>
      <w:tr w:rsidR="007072A1" w:rsidRPr="00D01DDB" w14:paraId="55F8C6CF" w14:textId="77777777" w:rsidTr="009246B8">
        <w:tc>
          <w:tcPr>
            <w:cnfStyle w:val="001000000000" w:firstRow="0" w:lastRow="0" w:firstColumn="1" w:lastColumn="0" w:oddVBand="0" w:evenVBand="0" w:oddHBand="0" w:evenHBand="0" w:firstRowFirstColumn="0" w:firstRowLastColumn="0" w:lastRowFirstColumn="0" w:lastRowLastColumn="0"/>
            <w:tcW w:w="5807" w:type="dxa"/>
          </w:tcPr>
          <w:p w14:paraId="22F7F0DC" w14:textId="1A5A562A" w:rsidR="007072A1" w:rsidRPr="00D01DDB" w:rsidRDefault="007072A1" w:rsidP="007452E8">
            <w:pPr>
              <w:rPr>
                <w:szCs w:val="22"/>
              </w:rPr>
            </w:pPr>
            <w:r w:rsidRPr="00D01DDB">
              <w:rPr>
                <w:szCs w:val="22"/>
              </w:rPr>
              <w:t>Delegate’s Overall benefit-risk assessmen</w:t>
            </w:r>
            <w:r w:rsidRPr="000822C5">
              <w:rPr>
                <w:color w:val="auto"/>
                <w:szCs w:val="22"/>
              </w:rPr>
              <w:t>t and request for Advisory Committee advice</w:t>
            </w:r>
          </w:p>
        </w:tc>
        <w:tc>
          <w:tcPr>
            <w:tcW w:w="2835" w:type="dxa"/>
          </w:tcPr>
          <w:p w14:paraId="1CDFEFA1" w14:textId="4A622AA3" w:rsidR="007072A1" w:rsidRPr="00D01DDB" w:rsidRDefault="000822C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 November 2021</w:t>
            </w:r>
          </w:p>
        </w:tc>
      </w:tr>
      <w:tr w:rsidR="007072A1" w:rsidRPr="00D01DDB" w14:paraId="71BF9C99" w14:textId="77777777" w:rsidTr="009246B8">
        <w:tc>
          <w:tcPr>
            <w:cnfStyle w:val="001000000000" w:firstRow="0" w:lastRow="0" w:firstColumn="1" w:lastColumn="0" w:oddVBand="0" w:evenVBand="0" w:oddHBand="0" w:evenHBand="0" w:firstRowFirstColumn="0" w:firstRowLastColumn="0" w:lastRowFirstColumn="0" w:lastRowLastColumn="0"/>
            <w:tcW w:w="5807" w:type="dxa"/>
          </w:tcPr>
          <w:p w14:paraId="43EFCC70" w14:textId="77777777" w:rsidR="007072A1" w:rsidRPr="00D01DDB" w:rsidRDefault="007072A1" w:rsidP="007452E8">
            <w:pPr>
              <w:rPr>
                <w:szCs w:val="22"/>
              </w:rPr>
            </w:pPr>
            <w:r w:rsidRPr="00D01DDB">
              <w:rPr>
                <w:szCs w:val="22"/>
              </w:rPr>
              <w:t>Sponsor’s pre-Advisory Committee response</w:t>
            </w:r>
          </w:p>
        </w:tc>
        <w:tc>
          <w:tcPr>
            <w:tcW w:w="2835" w:type="dxa"/>
          </w:tcPr>
          <w:p w14:paraId="6182CB56" w14:textId="21F55FEB" w:rsidR="007072A1" w:rsidRPr="00D01DDB" w:rsidRDefault="000822C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w:t>
            </w:r>
            <w:r w:rsidR="006A3253">
              <w:rPr>
                <w:szCs w:val="22"/>
              </w:rPr>
              <w:t>6</w:t>
            </w:r>
            <w:r>
              <w:rPr>
                <w:szCs w:val="22"/>
              </w:rPr>
              <w:t xml:space="preserve"> November 2021</w:t>
            </w:r>
          </w:p>
        </w:tc>
      </w:tr>
      <w:tr w:rsidR="007072A1" w:rsidRPr="00D01DDB" w14:paraId="008A0804" w14:textId="77777777" w:rsidTr="009246B8">
        <w:tc>
          <w:tcPr>
            <w:cnfStyle w:val="001000000000" w:firstRow="0" w:lastRow="0" w:firstColumn="1" w:lastColumn="0" w:oddVBand="0" w:evenVBand="0" w:oddHBand="0" w:evenHBand="0" w:firstRowFirstColumn="0" w:firstRowLastColumn="0" w:lastRowFirstColumn="0" w:lastRowLastColumn="0"/>
            <w:tcW w:w="5807" w:type="dxa"/>
          </w:tcPr>
          <w:p w14:paraId="5EE78B2C" w14:textId="77777777" w:rsidR="007072A1" w:rsidRPr="00D01DDB" w:rsidRDefault="007072A1" w:rsidP="007452E8">
            <w:pPr>
              <w:rPr>
                <w:szCs w:val="22"/>
              </w:rPr>
            </w:pPr>
            <w:r w:rsidRPr="00D01DDB">
              <w:rPr>
                <w:szCs w:val="22"/>
              </w:rPr>
              <w:t>Advisory Committee meeting</w:t>
            </w:r>
          </w:p>
        </w:tc>
        <w:tc>
          <w:tcPr>
            <w:tcW w:w="2835" w:type="dxa"/>
          </w:tcPr>
          <w:p w14:paraId="73D2FEE8" w14:textId="5D6D794F" w:rsidR="007072A1" w:rsidRPr="00D01DDB" w:rsidRDefault="006A3253"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3</w:t>
            </w:r>
            <w:r w:rsidR="000822C5">
              <w:rPr>
                <w:szCs w:val="22"/>
              </w:rPr>
              <w:t xml:space="preserve"> December 2021</w:t>
            </w:r>
          </w:p>
        </w:tc>
      </w:tr>
      <w:tr w:rsidR="007072A1" w:rsidRPr="00D01DDB" w14:paraId="14FAD894" w14:textId="77777777" w:rsidTr="009246B8">
        <w:tc>
          <w:tcPr>
            <w:cnfStyle w:val="001000000000" w:firstRow="0" w:lastRow="0" w:firstColumn="1" w:lastColumn="0" w:oddVBand="0" w:evenVBand="0" w:oddHBand="0" w:evenHBand="0" w:firstRowFirstColumn="0" w:firstRowLastColumn="0" w:lastRowFirstColumn="0" w:lastRowLastColumn="0"/>
            <w:tcW w:w="5807" w:type="dxa"/>
          </w:tcPr>
          <w:p w14:paraId="4A622D23" w14:textId="77777777" w:rsidR="007072A1" w:rsidRPr="00D01DDB" w:rsidRDefault="007072A1" w:rsidP="007452E8">
            <w:pPr>
              <w:rPr>
                <w:szCs w:val="22"/>
              </w:rPr>
            </w:pPr>
            <w:r w:rsidRPr="00D01DDB">
              <w:rPr>
                <w:szCs w:val="22"/>
              </w:rPr>
              <w:t>Registration decision (Outcome)</w:t>
            </w:r>
          </w:p>
        </w:tc>
        <w:tc>
          <w:tcPr>
            <w:tcW w:w="2835" w:type="dxa"/>
          </w:tcPr>
          <w:p w14:paraId="336A6D96" w14:textId="2208186B" w:rsidR="007072A1" w:rsidRPr="00D01DDB" w:rsidRDefault="000822C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27 January 2022</w:t>
            </w:r>
          </w:p>
        </w:tc>
      </w:tr>
      <w:tr w:rsidR="007072A1" w:rsidRPr="00D01DDB" w14:paraId="4FFA7E18" w14:textId="77777777" w:rsidTr="009246B8">
        <w:tc>
          <w:tcPr>
            <w:cnfStyle w:val="001000000000" w:firstRow="0" w:lastRow="0" w:firstColumn="1" w:lastColumn="0" w:oddVBand="0" w:evenVBand="0" w:oddHBand="0" w:evenHBand="0" w:firstRowFirstColumn="0" w:firstRowLastColumn="0" w:lastRowFirstColumn="0" w:lastRowLastColumn="0"/>
            <w:tcW w:w="5807" w:type="dxa"/>
          </w:tcPr>
          <w:p w14:paraId="76536B5F" w14:textId="77777777" w:rsidR="007072A1" w:rsidRPr="00D01DDB" w:rsidRDefault="007072A1" w:rsidP="007452E8">
            <w:pPr>
              <w:rPr>
                <w:szCs w:val="22"/>
              </w:rPr>
            </w:pPr>
            <w:r w:rsidRPr="00D01DDB">
              <w:rPr>
                <w:szCs w:val="22"/>
              </w:rPr>
              <w:t>Completion of administrative activities and registration on the ARTG</w:t>
            </w:r>
          </w:p>
        </w:tc>
        <w:tc>
          <w:tcPr>
            <w:tcW w:w="2835" w:type="dxa"/>
          </w:tcPr>
          <w:p w14:paraId="794B11E5" w14:textId="285C49FE" w:rsidR="007072A1" w:rsidRPr="00D01DDB" w:rsidRDefault="000822C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28 January 2022</w:t>
            </w:r>
          </w:p>
        </w:tc>
      </w:tr>
      <w:tr w:rsidR="007072A1" w:rsidRPr="00D01DDB" w14:paraId="6324C4A7" w14:textId="77777777" w:rsidTr="009246B8">
        <w:tc>
          <w:tcPr>
            <w:cnfStyle w:val="001000000000" w:firstRow="0" w:lastRow="0" w:firstColumn="1" w:lastColumn="0" w:oddVBand="0" w:evenVBand="0" w:oddHBand="0" w:evenHBand="0" w:firstRowFirstColumn="0" w:firstRowLastColumn="0" w:lastRowFirstColumn="0" w:lastRowLastColumn="0"/>
            <w:tcW w:w="5807" w:type="dxa"/>
          </w:tcPr>
          <w:p w14:paraId="57C43AF4" w14:textId="77777777" w:rsidR="007072A1" w:rsidRPr="00D01DDB" w:rsidRDefault="007072A1" w:rsidP="007452E8">
            <w:pPr>
              <w:rPr>
                <w:szCs w:val="22"/>
              </w:rPr>
            </w:pPr>
            <w:r w:rsidRPr="00D01DDB">
              <w:rPr>
                <w:szCs w:val="22"/>
              </w:rPr>
              <w:t>Number of working days from submission dossier acceptance to registration decision*</w:t>
            </w:r>
          </w:p>
        </w:tc>
        <w:tc>
          <w:tcPr>
            <w:tcW w:w="2835" w:type="dxa"/>
          </w:tcPr>
          <w:p w14:paraId="1E16937C" w14:textId="613BADF2" w:rsidR="007072A1" w:rsidRPr="00D01DDB" w:rsidRDefault="000822C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144</w:t>
            </w:r>
          </w:p>
        </w:tc>
      </w:tr>
    </w:tbl>
    <w:p w14:paraId="4909D74A" w14:textId="71D76268" w:rsidR="00C22214" w:rsidRDefault="00C22214" w:rsidP="00C22214">
      <w:pPr>
        <w:pStyle w:val="TableDescription"/>
      </w:pPr>
      <w:r>
        <w:t>*Target timeframe for priority submissions is 150 working days from acceptance for evaluation to the decision.</w:t>
      </w:r>
    </w:p>
    <w:p w14:paraId="220925F1" w14:textId="77777777" w:rsidR="00C22214" w:rsidRPr="00792A32" w:rsidRDefault="00C22214" w:rsidP="00C22214">
      <w:pPr>
        <w:pStyle w:val="Heading2"/>
      </w:pPr>
      <w:bookmarkStart w:id="26" w:name="_Toc196046504"/>
      <w:bookmarkStart w:id="27" w:name="_Toc247691527"/>
      <w:bookmarkStart w:id="28" w:name="_Toc314842510"/>
      <w:bookmarkStart w:id="29" w:name="_Toc103679294"/>
      <w:bookmarkStart w:id="30" w:name="_Toc134095499"/>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6"/>
      <w:bookmarkEnd w:id="27"/>
      <w:bookmarkEnd w:id="28"/>
      <w:bookmarkEnd w:id="29"/>
      <w:bookmarkEnd w:id="30"/>
    </w:p>
    <w:p w14:paraId="5F5FAA14" w14:textId="76DB155C" w:rsidR="00C22214" w:rsidRDefault="00C22214" w:rsidP="00C22214">
      <w:pPr>
        <w:rPr>
          <w:szCs w:val="22"/>
        </w:rPr>
      </w:pPr>
      <w:bookmarkStart w:id="31" w:name="_Toc247691528"/>
      <w:bookmarkStart w:id="32" w:name="_Toc314842511"/>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77777777" w:rsidR="00C22214" w:rsidRDefault="00C22214" w:rsidP="00C22214">
      <w:pPr>
        <w:pStyle w:val="Heading3"/>
      </w:pPr>
      <w:bookmarkStart w:id="33" w:name="_Toc103679295"/>
      <w:bookmarkStart w:id="34" w:name="_Toc134095500"/>
      <w:r>
        <w:t>Quality</w:t>
      </w:r>
      <w:bookmarkEnd w:id="31"/>
      <w:bookmarkEnd w:id="32"/>
      <w:bookmarkEnd w:id="33"/>
      <w:bookmarkEnd w:id="34"/>
    </w:p>
    <w:p w14:paraId="4DFDA6F1" w14:textId="77777777" w:rsidR="00E70AA0" w:rsidRDefault="000822C5" w:rsidP="00637F0E">
      <w:pPr>
        <w:rPr>
          <w:szCs w:val="22"/>
        </w:rPr>
      </w:pPr>
      <w:r>
        <w:rPr>
          <w:szCs w:val="22"/>
        </w:rPr>
        <w:t xml:space="preserve">There </w:t>
      </w:r>
      <w:r w:rsidR="00637F0E" w:rsidRPr="00BD5DBD">
        <w:rPr>
          <w:szCs w:val="22"/>
        </w:rPr>
        <w:t>are no proposed changes to the quality of the currently approved product in Australia.</w:t>
      </w:r>
      <w:r w:rsidR="00C816C6" w:rsidRPr="00BD5DBD">
        <w:rPr>
          <w:szCs w:val="22"/>
        </w:rPr>
        <w:t xml:space="preserve"> The quality of the currently approved product is suitable for the proposed changes in this submission.</w:t>
      </w:r>
      <w:r w:rsidR="00637F0E" w:rsidRPr="00BD5DBD">
        <w:rPr>
          <w:szCs w:val="22"/>
        </w:rPr>
        <w:t xml:space="preserve"> A full quality evaluation was conducted at the time this product received initial registration</w:t>
      </w:r>
    </w:p>
    <w:p w14:paraId="2BE90AAE" w14:textId="3B3A7DEC" w:rsidR="00C22214" w:rsidRDefault="00C22214" w:rsidP="00C22214">
      <w:pPr>
        <w:pStyle w:val="Heading3"/>
      </w:pPr>
      <w:bookmarkStart w:id="35" w:name="_Toc314842512"/>
      <w:bookmarkStart w:id="36" w:name="_Toc103679296"/>
      <w:bookmarkStart w:id="37" w:name="_Toc134095501"/>
      <w:r>
        <w:t>Nonclinical</w:t>
      </w:r>
      <w:bookmarkEnd w:id="35"/>
      <w:bookmarkEnd w:id="36"/>
      <w:bookmarkEnd w:id="37"/>
    </w:p>
    <w:p w14:paraId="62C6C912" w14:textId="14D54A87" w:rsidR="000822C5" w:rsidRDefault="000822C5" w:rsidP="000822C5">
      <w:bookmarkStart w:id="38" w:name="_Toc247691530"/>
      <w:bookmarkStart w:id="39" w:name="_Toc314842513"/>
      <w:bookmarkStart w:id="40" w:name="_Toc103679297"/>
      <w:r w:rsidRPr="00BF1DC0">
        <w:t>T</w:t>
      </w:r>
      <w:r>
        <w:t>here were no non</w:t>
      </w:r>
      <w:r w:rsidR="00A600BC">
        <w:t>-</w:t>
      </w:r>
      <w:r>
        <w:t xml:space="preserve">clinical objections to the </w:t>
      </w:r>
      <w:r w:rsidR="00D15D36">
        <w:t xml:space="preserve">proposed </w:t>
      </w:r>
      <w:r>
        <w:t xml:space="preserve">extension of indications for </w:t>
      </w:r>
      <w:proofErr w:type="spellStart"/>
      <w:r>
        <w:t>Jakavi</w:t>
      </w:r>
      <w:proofErr w:type="spellEnd"/>
      <w:r>
        <w:t xml:space="preserve"> to include </w:t>
      </w:r>
      <w:r w:rsidR="00D15D36">
        <w:t>the treatment of graft-versus-host disease (</w:t>
      </w:r>
      <w:r>
        <w:t>GVHD</w:t>
      </w:r>
      <w:r w:rsidR="00D15D36">
        <w:t>)</w:t>
      </w:r>
      <w:r>
        <w:t>.</w:t>
      </w:r>
    </w:p>
    <w:p w14:paraId="1B925000" w14:textId="5598D7DC" w:rsidR="00E70AA0" w:rsidRDefault="000822C5" w:rsidP="000822C5">
      <w:pPr>
        <w:pStyle w:val="Default"/>
        <w:spacing w:after="212"/>
        <w:rPr>
          <w:sz w:val="22"/>
          <w:szCs w:val="22"/>
        </w:rPr>
      </w:pPr>
      <w:r>
        <w:rPr>
          <w:sz w:val="22"/>
          <w:szCs w:val="22"/>
        </w:rPr>
        <w:t xml:space="preserve">In support of the new indication, the </w:t>
      </w:r>
      <w:r w:rsidR="00E76F8D">
        <w:rPr>
          <w:sz w:val="22"/>
          <w:szCs w:val="22"/>
        </w:rPr>
        <w:t>s</w:t>
      </w:r>
      <w:r>
        <w:rPr>
          <w:sz w:val="22"/>
          <w:szCs w:val="22"/>
        </w:rPr>
        <w:t xml:space="preserve">ponsor submitted two </w:t>
      </w:r>
      <w:r>
        <w:rPr>
          <w:i/>
          <w:iCs/>
          <w:sz w:val="22"/>
          <w:szCs w:val="22"/>
        </w:rPr>
        <w:t xml:space="preserve">in vivo </w:t>
      </w:r>
      <w:r>
        <w:rPr>
          <w:sz w:val="22"/>
          <w:szCs w:val="22"/>
        </w:rPr>
        <w:t>pharmacology studies that used mouse models of G</w:t>
      </w:r>
      <w:r w:rsidR="00E76F8D">
        <w:rPr>
          <w:sz w:val="22"/>
          <w:szCs w:val="22"/>
        </w:rPr>
        <w:t>V</w:t>
      </w:r>
      <w:r>
        <w:rPr>
          <w:sz w:val="22"/>
          <w:szCs w:val="22"/>
        </w:rPr>
        <w:t>HD to demonstrate efficacy of the</w:t>
      </w:r>
      <w:r w:rsidR="00E76F8D">
        <w:rPr>
          <w:sz w:val="22"/>
          <w:szCs w:val="22"/>
        </w:rPr>
        <w:t xml:space="preserve"> Janus kinase</w:t>
      </w:r>
      <w:r w:rsidR="00210A7C">
        <w:rPr>
          <w:sz w:val="22"/>
          <w:szCs w:val="22"/>
        </w:rPr>
        <w:t xml:space="preserve">s (JAK) </w:t>
      </w:r>
      <w:r w:rsidR="00E76F8D">
        <w:rPr>
          <w:sz w:val="22"/>
          <w:szCs w:val="22"/>
        </w:rPr>
        <w:t>JAK1</w:t>
      </w:r>
      <w:r w:rsidR="00210A7C">
        <w:rPr>
          <w:sz w:val="22"/>
          <w:szCs w:val="22"/>
        </w:rPr>
        <w:t xml:space="preserve"> and </w:t>
      </w:r>
      <w:r>
        <w:rPr>
          <w:sz w:val="22"/>
          <w:szCs w:val="22"/>
        </w:rPr>
        <w:t xml:space="preserve">JAK2 </w:t>
      </w:r>
      <w:r>
        <w:rPr>
          <w:sz w:val="22"/>
          <w:szCs w:val="22"/>
        </w:rPr>
        <w:lastRenderedPageBreak/>
        <w:t>inhibito</w:t>
      </w:r>
      <w:r w:rsidR="00E76F8D">
        <w:rPr>
          <w:sz w:val="22"/>
          <w:szCs w:val="22"/>
        </w:rPr>
        <w:t xml:space="preserve">r </w:t>
      </w:r>
      <w:r>
        <w:rPr>
          <w:sz w:val="22"/>
          <w:szCs w:val="22"/>
        </w:rPr>
        <w:t>ruxolitinib against G</w:t>
      </w:r>
      <w:r w:rsidR="00E76F8D">
        <w:rPr>
          <w:sz w:val="22"/>
          <w:szCs w:val="22"/>
        </w:rPr>
        <w:t>V</w:t>
      </w:r>
      <w:r>
        <w:rPr>
          <w:sz w:val="22"/>
          <w:szCs w:val="22"/>
        </w:rPr>
        <w:t>HD</w:t>
      </w:r>
      <w:r w:rsidR="00E76F8D">
        <w:rPr>
          <w:sz w:val="22"/>
          <w:szCs w:val="22"/>
        </w:rPr>
        <w:t xml:space="preserve"> </w:t>
      </w:r>
      <w:r>
        <w:rPr>
          <w:sz w:val="22"/>
          <w:szCs w:val="22"/>
        </w:rPr>
        <w:t>related pathology, which is associated with high levels of circulating cytokines that signal through JAK enzymes.</w:t>
      </w:r>
    </w:p>
    <w:p w14:paraId="71EFC29B" w14:textId="5D72F513" w:rsidR="00D15D36" w:rsidRDefault="00D15D36" w:rsidP="000822C5">
      <w:pPr>
        <w:pStyle w:val="Default"/>
        <w:spacing w:after="212"/>
        <w:rPr>
          <w:sz w:val="22"/>
          <w:szCs w:val="22"/>
        </w:rPr>
      </w:pPr>
      <w:r>
        <w:rPr>
          <w:sz w:val="22"/>
          <w:szCs w:val="22"/>
        </w:rPr>
        <w:t xml:space="preserve">In summary, the TGA’s nonclinical evaluation of </w:t>
      </w:r>
      <w:proofErr w:type="spellStart"/>
      <w:r>
        <w:rPr>
          <w:sz w:val="22"/>
          <w:szCs w:val="22"/>
        </w:rPr>
        <w:t>Jakavi</w:t>
      </w:r>
      <w:proofErr w:type="spellEnd"/>
      <w:r>
        <w:rPr>
          <w:sz w:val="22"/>
          <w:szCs w:val="22"/>
        </w:rPr>
        <w:t xml:space="preserve"> noted the following: </w:t>
      </w:r>
    </w:p>
    <w:p w14:paraId="4D469E96" w14:textId="77777777" w:rsidR="00D15D36" w:rsidRDefault="000822C5">
      <w:pPr>
        <w:pStyle w:val="ListBullet"/>
      </w:pPr>
      <w:r>
        <w:t xml:space="preserve">In both acute and chronic </w:t>
      </w:r>
      <w:r w:rsidR="00E76F8D">
        <w:t>GVHD</w:t>
      </w:r>
      <w:r>
        <w:t xml:space="preserve"> mouse models, ruxolitinib (60 mg/kg given orally twice daily) prevented body weight loss, reduced </w:t>
      </w:r>
      <w:r w:rsidR="00E76F8D">
        <w:t>GVHD</w:t>
      </w:r>
      <w:r>
        <w:t xml:space="preserve"> severity scores and improved survival. Effects of ruxolitinib were seen when it was given prophylactically (prior to </w:t>
      </w:r>
      <w:r w:rsidR="00E76F8D">
        <w:t>GVHD</w:t>
      </w:r>
      <w:r>
        <w:t xml:space="preserve"> onset) and therapeutically (during active disease). Switching to ruxolitinib in </w:t>
      </w:r>
      <w:r w:rsidR="00E76F8D">
        <w:t>GVHD</w:t>
      </w:r>
      <w:r>
        <w:t xml:space="preserve"> mice that were refractory to prednisolone also reduced disease severity and increased mouse survival. Ruxolitinib was also shown to improve skin integrity and reduce lung inflammation.</w:t>
      </w:r>
    </w:p>
    <w:p w14:paraId="2F470E13" w14:textId="639E0350" w:rsidR="00E70AA0" w:rsidRDefault="000822C5">
      <w:pPr>
        <w:pStyle w:val="ListBullet"/>
      </w:pPr>
      <w:r>
        <w:t>Overall, the submitted pharmacology studies adequately support the new indication.</w:t>
      </w:r>
    </w:p>
    <w:p w14:paraId="4205826A" w14:textId="06AA1C0D" w:rsidR="00E70AA0" w:rsidRDefault="000822C5" w:rsidP="00E76F8D">
      <w:pPr>
        <w:pStyle w:val="ListBullet"/>
      </w:pPr>
      <w:r>
        <w:t>Data previously evaluated by the TGA (which included juvenile rat toxicity studies) did not identify any clinically relevant toxicities that raise safety concerns about extending the use of ruxolitinib in paediatric</w:t>
      </w:r>
      <w:r w:rsidR="00E76F8D">
        <w:t xml:space="preserve"> and </w:t>
      </w:r>
      <w:r>
        <w:t>adolescent patient populations aged 12 years and over.</w:t>
      </w:r>
    </w:p>
    <w:p w14:paraId="30FC15B1" w14:textId="3FF1FF96" w:rsidR="00E70AA0" w:rsidRDefault="00D15D36" w:rsidP="00E76F8D">
      <w:pPr>
        <w:pStyle w:val="ListBullet"/>
      </w:pPr>
      <w:r>
        <w:t>The p</w:t>
      </w:r>
      <w:r w:rsidR="000822C5">
        <w:t>roposed updates to statements in the draft Product Information in relation to mechanism of action are acceptable.</w:t>
      </w:r>
    </w:p>
    <w:p w14:paraId="35B580A5" w14:textId="450020EE" w:rsidR="00C22214" w:rsidRDefault="00C22214" w:rsidP="008804CF">
      <w:pPr>
        <w:pStyle w:val="Heading3"/>
      </w:pPr>
      <w:bookmarkStart w:id="41" w:name="_Toc134095502"/>
      <w:r>
        <w:t>Clinical</w:t>
      </w:r>
      <w:bookmarkEnd w:id="38"/>
      <w:bookmarkEnd w:id="39"/>
      <w:bookmarkEnd w:id="40"/>
      <w:bookmarkEnd w:id="41"/>
    </w:p>
    <w:p w14:paraId="32B0DEDA" w14:textId="77777777" w:rsidR="00C22214" w:rsidRPr="00433318" w:rsidRDefault="00C22214" w:rsidP="00433318">
      <w:pPr>
        <w:pStyle w:val="Heading4"/>
      </w:pPr>
      <w:bookmarkStart w:id="42" w:name="_Toc98931928"/>
      <w:bookmarkStart w:id="43" w:name="_Toc134095503"/>
      <w:r>
        <w:t>Summary of clinical studies</w:t>
      </w:r>
      <w:bookmarkEnd w:id="42"/>
      <w:bookmarkEnd w:id="43"/>
    </w:p>
    <w:p w14:paraId="096A3DA8" w14:textId="2FF0C333" w:rsidR="00E70AA0" w:rsidRDefault="00C22214" w:rsidP="00C22214">
      <w:pPr>
        <w:rPr>
          <w:szCs w:val="22"/>
        </w:rPr>
      </w:pPr>
      <w:r w:rsidRPr="00BD5DBD">
        <w:rPr>
          <w:szCs w:val="22"/>
        </w:rPr>
        <w:t xml:space="preserve">The clinical dossier </w:t>
      </w:r>
      <w:r w:rsidR="0086599A">
        <w:rPr>
          <w:szCs w:val="22"/>
        </w:rPr>
        <w:t xml:space="preserve">mainly </w:t>
      </w:r>
      <w:r w:rsidRPr="00BD5DBD">
        <w:rPr>
          <w:szCs w:val="22"/>
        </w:rPr>
        <w:t>consisted of</w:t>
      </w:r>
      <w:r w:rsidR="00D15D36">
        <w:rPr>
          <w:szCs w:val="22"/>
        </w:rPr>
        <w:t xml:space="preserve"> the following</w:t>
      </w:r>
      <w:r w:rsidR="007357B9" w:rsidRPr="00BD5DBD">
        <w:rPr>
          <w:szCs w:val="22"/>
        </w:rPr>
        <w:t>:</w:t>
      </w:r>
    </w:p>
    <w:p w14:paraId="41D27810" w14:textId="3D49237A" w:rsidR="0086599A" w:rsidRDefault="00E76F8D" w:rsidP="00C22214">
      <w:pPr>
        <w:pStyle w:val="ListBullet"/>
        <w:rPr>
          <w:szCs w:val="22"/>
        </w:rPr>
      </w:pPr>
      <w:r>
        <w:rPr>
          <w:szCs w:val="22"/>
        </w:rPr>
        <w:t xml:space="preserve">Study </w:t>
      </w:r>
      <w:r w:rsidRPr="00E76F8D">
        <w:rPr>
          <w:szCs w:val="22"/>
        </w:rPr>
        <w:t>CINC424C2301 (REACH 2</w:t>
      </w:r>
      <w:r w:rsidR="0086599A">
        <w:rPr>
          <w:szCs w:val="22"/>
        </w:rPr>
        <w:t xml:space="preserve"> trial) – A pivotal Phase III randomised study in patients with acute GVHD.</w:t>
      </w:r>
    </w:p>
    <w:p w14:paraId="6B56CB17" w14:textId="18B63112" w:rsidR="00C22214" w:rsidRDefault="0086599A" w:rsidP="00C22214">
      <w:pPr>
        <w:pStyle w:val="ListBullet"/>
        <w:rPr>
          <w:szCs w:val="22"/>
        </w:rPr>
      </w:pPr>
      <w:r>
        <w:rPr>
          <w:szCs w:val="22"/>
        </w:rPr>
        <w:t xml:space="preserve">Study </w:t>
      </w:r>
      <w:r w:rsidRPr="0086599A">
        <w:rPr>
          <w:szCs w:val="22"/>
        </w:rPr>
        <w:t>CINC424D2301 (REACH 3</w:t>
      </w:r>
      <w:r>
        <w:rPr>
          <w:szCs w:val="22"/>
        </w:rPr>
        <w:t xml:space="preserve"> trial)</w:t>
      </w:r>
      <w:r w:rsidR="00C22214" w:rsidRPr="00BD5DBD">
        <w:rPr>
          <w:szCs w:val="22"/>
        </w:rPr>
        <w:t xml:space="preserve"> </w:t>
      </w:r>
      <w:r>
        <w:rPr>
          <w:szCs w:val="22"/>
        </w:rPr>
        <w:t>– A pivotal Phase III randomised study in patients with chronic GVHD.</w:t>
      </w:r>
    </w:p>
    <w:p w14:paraId="6AE8D685" w14:textId="59F17692" w:rsidR="0086599A" w:rsidRPr="00BD5DBD" w:rsidRDefault="0086599A" w:rsidP="00C22214">
      <w:pPr>
        <w:pStyle w:val="ListBullet"/>
        <w:rPr>
          <w:szCs w:val="22"/>
        </w:rPr>
      </w:pPr>
      <w:r>
        <w:rPr>
          <w:szCs w:val="22"/>
        </w:rPr>
        <w:t xml:space="preserve">Study </w:t>
      </w:r>
      <w:r w:rsidRPr="0086599A">
        <w:rPr>
          <w:szCs w:val="22"/>
        </w:rPr>
        <w:t>18424-271 (REACH 1</w:t>
      </w:r>
      <w:r>
        <w:rPr>
          <w:szCs w:val="22"/>
        </w:rPr>
        <w:t xml:space="preserve"> trial) – A supportive Phase II study in patients with acute GVHD.</w:t>
      </w:r>
    </w:p>
    <w:p w14:paraId="6C64DF9B" w14:textId="77777777" w:rsidR="00E70AA0" w:rsidRDefault="000822C5" w:rsidP="00B54147">
      <w:pPr>
        <w:pStyle w:val="Heading4"/>
      </w:pPr>
      <w:bookmarkStart w:id="44" w:name="_Toc134095504"/>
      <w:bookmarkStart w:id="45" w:name="_Toc314842514"/>
      <w:r>
        <w:t>Pharmacology</w:t>
      </w:r>
      <w:bookmarkEnd w:id="44"/>
    </w:p>
    <w:p w14:paraId="63326012" w14:textId="61312BB4" w:rsidR="000822C5" w:rsidRDefault="000822C5" w:rsidP="000822C5">
      <w:r>
        <w:t xml:space="preserve">The clinical pharmacology of ruxolitinib </w:t>
      </w:r>
      <w:r w:rsidR="00ED7500">
        <w:t xml:space="preserve">phosphate </w:t>
      </w:r>
      <w:r>
        <w:t xml:space="preserve">has been characterised in past submissions. This submission included a summary of the observed exposure data from </w:t>
      </w:r>
      <w:r w:rsidR="0086599A">
        <w:t xml:space="preserve">Study </w:t>
      </w:r>
      <w:r>
        <w:t xml:space="preserve">CINC424C2301 </w:t>
      </w:r>
      <w:r w:rsidR="00ED7500">
        <w:t xml:space="preserve">(the REACH 2 trial) </w:t>
      </w:r>
      <w:r>
        <w:t xml:space="preserve">and </w:t>
      </w:r>
      <w:r w:rsidR="0086599A">
        <w:t xml:space="preserve">Study </w:t>
      </w:r>
      <w:r>
        <w:t>CINC424D2301</w:t>
      </w:r>
      <w:r w:rsidR="00ED7500">
        <w:t xml:space="preserve"> (the REACH 3 trial)</w:t>
      </w:r>
      <w:r>
        <w:t xml:space="preserve">. It also included a population </w:t>
      </w:r>
      <w:r w:rsidR="0086599A">
        <w:t>pharmacokinetic</w:t>
      </w:r>
      <w:r>
        <w:t xml:space="preserve"> </w:t>
      </w:r>
      <w:r w:rsidR="0086599A">
        <w:t xml:space="preserve">(PK) </w:t>
      </w:r>
      <w:r>
        <w:t xml:space="preserve">analysis and exposure-response analyses (clinical endpoints and safety) for the GVHD indication and a discussion on the applicability of this knowledge to support the proposed dose of 10 mg </w:t>
      </w:r>
      <w:r w:rsidR="0086599A">
        <w:t>twice a day</w:t>
      </w:r>
      <w:r>
        <w:t xml:space="preserve"> in adolescents and adults with GVHD.</w:t>
      </w:r>
    </w:p>
    <w:p w14:paraId="5F39BC8A" w14:textId="00F527CC" w:rsidR="000822C5" w:rsidRDefault="0086599A" w:rsidP="000822C5">
      <w:r w:rsidRPr="0086599A">
        <w:t xml:space="preserve">Study 18424-271 </w:t>
      </w:r>
      <w:r w:rsidR="000822C5">
        <w:t>was submitted at the beginning of the evaluation process as supportive data for the a</w:t>
      </w:r>
      <w:r w:rsidR="00ED7500">
        <w:t xml:space="preserve">cute </w:t>
      </w:r>
      <w:r w:rsidR="000822C5">
        <w:t>GVHD indication.</w:t>
      </w:r>
    </w:p>
    <w:p w14:paraId="4923C5B8" w14:textId="0816F939" w:rsidR="00E70AA0" w:rsidRDefault="000822C5" w:rsidP="00B54147">
      <w:pPr>
        <w:pStyle w:val="Heading5"/>
      </w:pPr>
      <w:r>
        <w:t xml:space="preserve">Pharmacokinetics </w:t>
      </w:r>
    </w:p>
    <w:p w14:paraId="5346F533" w14:textId="41E6EA12" w:rsidR="000822C5" w:rsidRDefault="000822C5" w:rsidP="000822C5">
      <w:r>
        <w:t xml:space="preserve">No specific clinical pharmacology studies were </w:t>
      </w:r>
      <w:r w:rsidR="00ED7500">
        <w:t>submitted</w:t>
      </w:r>
      <w:r>
        <w:t xml:space="preserve">. Ruxolitinib pharmacokinetics was characterised in patients with GVHD. In addition, exposure-efficacy and exposure-safety analyses were performed to supplement the efficacy and safety results and further provide justification of the proposed dose of 10 mg </w:t>
      </w:r>
      <w:r w:rsidR="0086599A">
        <w:t>twice a day</w:t>
      </w:r>
      <w:r>
        <w:t xml:space="preserve"> for patients with GVHD. Dose reductions and temporary interruptions of treatment may be needed in </w:t>
      </w:r>
      <w:r w:rsidR="00E76F8D">
        <w:t>GVHD</w:t>
      </w:r>
      <w:r>
        <w:t xml:space="preserve"> patients with thrombocytopenia, neutropenia, or elevated total bilirubin after standard supportive therapy </w:t>
      </w:r>
      <w:r>
        <w:lastRenderedPageBreak/>
        <w:t xml:space="preserve">including growth-factors, anti-infective </w:t>
      </w:r>
      <w:proofErr w:type="gramStart"/>
      <w:r>
        <w:t>therapies</w:t>
      </w:r>
      <w:proofErr w:type="gramEnd"/>
      <w:r>
        <w:t xml:space="preserve"> and transfusions. The sponsor recommended one dose level reduction (</w:t>
      </w:r>
      <w:r w:rsidR="00ED7500">
        <w:t xml:space="preserve">from </w:t>
      </w:r>
      <w:r>
        <w:t>10 mg twice</w:t>
      </w:r>
      <w:r w:rsidR="0086599A">
        <w:t xml:space="preserve"> a day</w:t>
      </w:r>
      <w:r>
        <w:t xml:space="preserve"> to 5 mg twice</w:t>
      </w:r>
      <w:r w:rsidR="0086599A">
        <w:t xml:space="preserve"> a day</w:t>
      </w:r>
      <w:r w:rsidR="00ED7500">
        <w:t>,</w:t>
      </w:r>
      <w:r w:rsidR="0086599A">
        <w:t xml:space="preserve"> </w:t>
      </w:r>
      <w:r>
        <w:t xml:space="preserve">or </w:t>
      </w:r>
      <w:r w:rsidR="00ED7500">
        <w:t xml:space="preserve">from </w:t>
      </w:r>
      <w:r>
        <w:t xml:space="preserve">5 mg twice </w:t>
      </w:r>
      <w:r w:rsidR="0086599A">
        <w:t>a day</w:t>
      </w:r>
      <w:r>
        <w:t xml:space="preserve"> to 5 mg once </w:t>
      </w:r>
      <w:r w:rsidR="0086599A">
        <w:t>a day</w:t>
      </w:r>
      <w:r>
        <w:t xml:space="preserve">). In patients who are unable to tolerate ruxolitinib at a dose of 5 mg once </w:t>
      </w:r>
      <w:r w:rsidR="0086599A">
        <w:t>a day</w:t>
      </w:r>
      <w:r>
        <w:t xml:space="preserve">, treatment should be interrupted. </w:t>
      </w:r>
      <w:r w:rsidR="0086599A">
        <w:t>Pharmacokinetic</w:t>
      </w:r>
      <w:r>
        <w:t xml:space="preserve"> parameters from the sampled </w:t>
      </w:r>
      <w:r w:rsidR="0086599A">
        <w:t>pharmacokinetic</w:t>
      </w:r>
      <w:r>
        <w:t xml:space="preserve"> subjects in </w:t>
      </w:r>
      <w:r w:rsidR="0086599A" w:rsidRPr="0086599A">
        <w:t xml:space="preserve">Study CINC424C2301 </w:t>
      </w:r>
      <w:r>
        <w:t>and</w:t>
      </w:r>
      <w:r w:rsidR="0086599A">
        <w:t xml:space="preserve"> </w:t>
      </w:r>
      <w:r w:rsidR="0086599A" w:rsidRPr="0086599A">
        <w:t xml:space="preserve">Study CINC424D2301 </w:t>
      </w:r>
      <w:r>
        <w:t xml:space="preserve">are </w:t>
      </w:r>
      <w:r w:rsidR="00ED7500">
        <w:t xml:space="preserve">given </w:t>
      </w:r>
      <w:r>
        <w:t xml:space="preserve">below. The starting dose of ruxolitinib in </w:t>
      </w:r>
      <w:r w:rsidR="0086599A" w:rsidRPr="0086599A">
        <w:t xml:space="preserve">Study 18424-271 </w:t>
      </w:r>
      <w:r>
        <w:t xml:space="preserve">was 5 mg </w:t>
      </w:r>
      <w:r w:rsidR="0086599A">
        <w:t>twice a day</w:t>
      </w:r>
      <w:r>
        <w:t xml:space="preserve"> and it could be increased to 10 mg </w:t>
      </w:r>
      <w:r w:rsidR="0086599A">
        <w:t>twice a day</w:t>
      </w:r>
      <w:r>
        <w:t xml:space="preserve"> if haematologic parameters were stable and no treatment-related toxicity was observed after the first </w:t>
      </w:r>
      <w:r w:rsidR="0086599A">
        <w:t>three</w:t>
      </w:r>
      <w:r>
        <w:t xml:space="preserve"> days of treatment.</w:t>
      </w:r>
    </w:p>
    <w:p w14:paraId="32A3C20A" w14:textId="6F3FF480" w:rsidR="00E70AA0" w:rsidRDefault="00E70AA0" w:rsidP="00E70AA0">
      <w:pPr>
        <w:pStyle w:val="TableTitle"/>
      </w:pPr>
      <w:r>
        <w:t xml:space="preserve">Table </w:t>
      </w:r>
      <w:r w:rsidR="00F20AB1">
        <w:fldChar w:fldCharType="begin"/>
      </w:r>
      <w:r w:rsidR="00F20AB1">
        <w:instrText xml:space="preserve"> SEQ Table \* ARABIC </w:instrText>
      </w:r>
      <w:r w:rsidR="00F20AB1">
        <w:fldChar w:fldCharType="separate"/>
      </w:r>
      <w:r w:rsidR="00337955">
        <w:rPr>
          <w:noProof/>
        </w:rPr>
        <w:t>2</w:t>
      </w:r>
      <w:r w:rsidR="00F20AB1">
        <w:rPr>
          <w:noProof/>
        </w:rPr>
        <w:fldChar w:fldCharType="end"/>
      </w:r>
      <w:r w:rsidR="002D144E">
        <w:t>:</w:t>
      </w:r>
      <w:r>
        <w:t xml:space="preserve"> Comparison of </w:t>
      </w:r>
      <w:r w:rsidR="0086599A">
        <w:t>pharmacokinetic</w:t>
      </w:r>
      <w:r>
        <w:t xml:space="preserve"> parameters in patients with acute and chronic GVHD given ruxolitinib 10 mg </w:t>
      </w:r>
      <w:r w:rsidR="0086599A">
        <w:t>twice a day</w:t>
      </w:r>
      <w:r>
        <w:t xml:space="preserve"> after single and repeat dosing</w:t>
      </w:r>
    </w:p>
    <w:p w14:paraId="7E51065F" w14:textId="58A18B79" w:rsidR="00E60409" w:rsidRDefault="00E60409" w:rsidP="00E70AA0">
      <w:pPr>
        <w:pStyle w:val="TableTitle"/>
      </w:pPr>
      <w:r>
        <w:rPr>
          <w:noProof/>
          <w:lang w:val="en-GB" w:eastAsia="en-GB"/>
        </w:rPr>
        <w:drawing>
          <wp:inline distT="0" distB="0" distL="0" distR="0" wp14:anchorId="48708732" wp14:editId="05E53B6A">
            <wp:extent cx="5759450" cy="1607185"/>
            <wp:effectExtent l="0" t="0" r="0" b="0"/>
            <wp:docPr id="26" name="Picture 26" descr="Table 2: Comparison of pharmacokinetic parameters in patients with acute and chronic GVHD given ruxolitinib 10 mg twice a day after single and repeat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2: Comparison of pharmacokinetic parameters in patients with acute and chronic GVHD given ruxolitinib 10 mg twice a day after single and repeat dosing"/>
                    <pic:cNvPicPr/>
                  </pic:nvPicPr>
                  <pic:blipFill>
                    <a:blip r:embed="rId30"/>
                    <a:stretch>
                      <a:fillRect/>
                    </a:stretch>
                  </pic:blipFill>
                  <pic:spPr>
                    <a:xfrm>
                      <a:off x="0" y="0"/>
                      <a:ext cx="5759450" cy="1607185"/>
                    </a:xfrm>
                    <a:prstGeom prst="rect">
                      <a:avLst/>
                    </a:prstGeom>
                  </pic:spPr>
                </pic:pic>
              </a:graphicData>
            </a:graphic>
          </wp:inline>
        </w:drawing>
      </w:r>
    </w:p>
    <w:p w14:paraId="402675C2" w14:textId="732AA359" w:rsidR="00D119F5" w:rsidRDefault="00D119F5" w:rsidP="00D119F5">
      <w:pPr>
        <w:pStyle w:val="TableDescription"/>
      </w:pPr>
      <w:r>
        <w:t>Notes: PK after repeated doses was done on Day 7 in Study C2301 and Day 15 in Study D2301</w:t>
      </w:r>
    </w:p>
    <w:p w14:paraId="45C97F5F" w14:textId="411D0A2A" w:rsidR="00D119F5" w:rsidRDefault="00D119F5" w:rsidP="00D119F5">
      <w:pPr>
        <w:pStyle w:val="TableDescription"/>
      </w:pPr>
      <w:r>
        <w:t>* </w:t>
      </w:r>
      <w:proofErr w:type="spellStart"/>
      <w:r>
        <w:t>Tmax</w:t>
      </w:r>
      <w:proofErr w:type="spellEnd"/>
      <w:r>
        <w:t xml:space="preserve"> presented in the table are the Median (Min – Max)</w:t>
      </w:r>
    </w:p>
    <w:p w14:paraId="121BBA4A" w14:textId="77780C98" w:rsidR="00D119F5" w:rsidRDefault="00D119F5" w:rsidP="00D119F5">
      <w:pPr>
        <w:pStyle w:val="TableDescription"/>
      </w:pPr>
      <w:r>
        <w:t xml:space="preserve">** Predicted from </w:t>
      </w:r>
      <w:proofErr w:type="spellStart"/>
      <w:r>
        <w:t>PopPK</w:t>
      </w:r>
      <w:proofErr w:type="spellEnd"/>
      <w:r>
        <w:t xml:space="preserve"> modelling</w:t>
      </w:r>
    </w:p>
    <w:p w14:paraId="538821D9" w14:textId="3E8D28DD" w:rsidR="00D119F5" w:rsidRDefault="00D119F5" w:rsidP="00D119F5">
      <w:pPr>
        <w:pStyle w:val="TableDescription"/>
      </w:pPr>
      <w:r>
        <w:t xml:space="preserve">Abbreviations: Cmax = maximum plasma concentration, </w:t>
      </w:r>
      <w:proofErr w:type="spellStart"/>
      <w:r>
        <w:t>Tmax</w:t>
      </w:r>
      <w:proofErr w:type="spellEnd"/>
      <w:r>
        <w:t xml:space="preserve"> = time to maximum plasma concentration, AUCinf = area under the plasma concentration versus time curve to infinity; AUC0-12 = area under the plasma concentration versus time curve to twelve hours, CL/F = apparent clearance, Geo-mean = geometric mean</w:t>
      </w:r>
    </w:p>
    <w:p w14:paraId="755220AC" w14:textId="3ABD4214" w:rsidR="00B37501" w:rsidRDefault="00B37501" w:rsidP="00B54147">
      <w:pPr>
        <w:pStyle w:val="Heading5"/>
      </w:pPr>
      <w:r>
        <w:t xml:space="preserve">Population </w:t>
      </w:r>
      <w:r w:rsidR="00D119F5">
        <w:t>pharmacokinetic</w:t>
      </w:r>
      <w:r>
        <w:t xml:space="preserve"> data</w:t>
      </w:r>
    </w:p>
    <w:p w14:paraId="6ABC4EEF" w14:textId="2FDA73FB" w:rsidR="00B37501" w:rsidRDefault="00B37501" w:rsidP="00B37501">
      <w:r>
        <w:t>P</w:t>
      </w:r>
      <w:r w:rsidR="00D119F5">
        <w:t>harmacokinetic</w:t>
      </w:r>
      <w:r>
        <w:t xml:space="preserve"> data were derived from </w:t>
      </w:r>
      <w:r w:rsidR="00D119F5">
        <w:t>population pharmacokinetic (</w:t>
      </w:r>
      <w:proofErr w:type="spellStart"/>
      <w:r w:rsidR="00D119F5">
        <w:t>p</w:t>
      </w:r>
      <w:r>
        <w:t>opPK</w:t>
      </w:r>
      <w:proofErr w:type="spellEnd"/>
      <w:r w:rsidR="00D119F5">
        <w:t>)</w:t>
      </w:r>
      <w:r>
        <w:t xml:space="preserve"> analyses of the pooled</w:t>
      </w:r>
      <w:r w:rsidR="00D119F5">
        <w:t xml:space="preserve"> data from </w:t>
      </w:r>
      <w:r w:rsidR="00D119F5" w:rsidRPr="00D119F5">
        <w:t>Study CINC424C2301</w:t>
      </w:r>
      <w:r w:rsidR="00D119F5">
        <w:t xml:space="preserve">, </w:t>
      </w:r>
      <w:r w:rsidR="00D119F5" w:rsidRPr="00D119F5">
        <w:t>Study CINC424D2301</w:t>
      </w:r>
      <w:r w:rsidR="00D119F5">
        <w:t xml:space="preserve"> and </w:t>
      </w:r>
      <w:r w:rsidR="00D119F5" w:rsidRPr="00D119F5">
        <w:t>Study 18424-271</w:t>
      </w:r>
      <w:r w:rsidR="00955307">
        <w:t xml:space="preserve">. </w:t>
      </w:r>
      <w:r>
        <w:t xml:space="preserve">Predictors of ruxolitinib </w:t>
      </w:r>
      <w:r w:rsidR="00955307">
        <w:t>pharmacokinetics</w:t>
      </w:r>
      <w:r>
        <w:t xml:space="preserve"> included</w:t>
      </w:r>
      <w:r w:rsidR="00955307">
        <w:t xml:space="preserve"> gastro-intestinal</w:t>
      </w:r>
      <w:r>
        <w:t xml:space="preserve"> involvement on </w:t>
      </w:r>
      <w:r w:rsidR="00955307">
        <w:t>absorption rate constant (</w:t>
      </w:r>
      <w:r>
        <w:t>K</w:t>
      </w:r>
      <w:r w:rsidRPr="00A600BC">
        <w:rPr>
          <w:vertAlign w:val="subscript"/>
        </w:rPr>
        <w:t>a</w:t>
      </w:r>
      <w:r w:rsidR="00955307">
        <w:t>)</w:t>
      </w:r>
      <w:r>
        <w:t xml:space="preserve"> and</w:t>
      </w:r>
      <w:r w:rsidR="00955307">
        <w:t xml:space="preserve"> apparent peripheral volume</w:t>
      </w:r>
      <w:r>
        <w:t xml:space="preserve"> </w:t>
      </w:r>
      <w:r w:rsidR="00955307">
        <w:t>(</w:t>
      </w:r>
      <w:proofErr w:type="spellStart"/>
      <w:r>
        <w:t>Vp</w:t>
      </w:r>
      <w:proofErr w:type="spellEnd"/>
      <w:r>
        <w:t>/F</w:t>
      </w:r>
      <w:r w:rsidR="00955307">
        <w:t>)</w:t>
      </w:r>
      <w:r>
        <w:t xml:space="preserve"> as well as </w:t>
      </w:r>
      <w:r w:rsidR="00955307">
        <w:t xml:space="preserve">body surface area (BSA) </w:t>
      </w:r>
      <w:r>
        <w:t>on</w:t>
      </w:r>
      <w:r w:rsidR="00955307">
        <w:t xml:space="preserve"> apparent central volume (</w:t>
      </w:r>
      <w:proofErr w:type="spellStart"/>
      <w:r>
        <w:t>Vc</w:t>
      </w:r>
      <w:proofErr w:type="spellEnd"/>
      <w:r>
        <w:t>/F</w:t>
      </w:r>
      <w:r w:rsidR="00955307">
        <w:t>)</w:t>
      </w:r>
      <w:r>
        <w:t xml:space="preserve"> and </w:t>
      </w:r>
      <w:r w:rsidR="00955307">
        <w:t>apparent oral clearance (</w:t>
      </w:r>
      <w:r>
        <w:t>CL/F</w:t>
      </w:r>
      <w:r w:rsidR="00955307">
        <w:t>)</w:t>
      </w:r>
      <w:r>
        <w:t xml:space="preserve">. Although there was a positive relationship between BSA and both </w:t>
      </w:r>
      <w:proofErr w:type="spellStart"/>
      <w:r>
        <w:t>Vc</w:t>
      </w:r>
      <w:proofErr w:type="spellEnd"/>
      <w:r>
        <w:t>/F and CL/F, the magnitude of increase in concentration is limited even at the maximum 90th percentile for lower and higher BSA values, suggesting that exposure is comparable between patients with low BSA such as adolescents and adults and no clinically relevant differences are expected.</w:t>
      </w:r>
    </w:p>
    <w:p w14:paraId="3BB5BD77" w14:textId="47D3C978" w:rsidR="00B37501" w:rsidRDefault="00B37501" w:rsidP="00B37501">
      <w:r>
        <w:t>P</w:t>
      </w:r>
      <w:r w:rsidR="00955307">
        <w:t>harmacokinetic</w:t>
      </w:r>
      <w:r>
        <w:t xml:space="preserve"> parameters from patients with </w:t>
      </w:r>
      <w:r w:rsidR="00955307">
        <w:t>‘</w:t>
      </w:r>
      <w:r>
        <w:t xml:space="preserve">extensive </w:t>
      </w:r>
      <w:r w:rsidR="00955307">
        <w:t>pharmacokinetic’</w:t>
      </w:r>
      <w:r>
        <w:t xml:space="preserve"> sampling were available from 17 adult patients and </w:t>
      </w:r>
      <w:r w:rsidR="00955307">
        <w:t>three</w:t>
      </w:r>
      <w:r>
        <w:t xml:space="preserve"> adolescent patients who received a dose of 10 mg ruxolitinib twice </w:t>
      </w:r>
      <w:r w:rsidR="00955307">
        <w:t>a day</w:t>
      </w:r>
      <w:r>
        <w:t>. After a single dose of 10 mg ruxolitinib, mean plasma concentrations increased rapidly reaching the peak concentration at approximately 0.5</w:t>
      </w:r>
      <w:r w:rsidR="00955307">
        <w:t xml:space="preserve"> to </w:t>
      </w:r>
      <w:r>
        <w:t>1 h</w:t>
      </w:r>
      <w:r w:rsidR="00955307">
        <w:t>our</w:t>
      </w:r>
      <w:r>
        <w:t xml:space="preserve"> followed by rapid distribution and elimination phases. On Cycle 1 Day 1, the geometric mean peak plasma concentration (C</w:t>
      </w:r>
      <w:r w:rsidRPr="00A600BC">
        <w:rPr>
          <w:vertAlign w:val="subscript"/>
        </w:rPr>
        <w:t>max</w:t>
      </w:r>
      <w:r>
        <w:t>) was 167 (</w:t>
      </w:r>
      <w:r w:rsidR="00955307">
        <w:t>coefficient of variation (CV)</w:t>
      </w:r>
      <w:r>
        <w:t xml:space="preserve"> 39.3%) ng/mL; </w:t>
      </w:r>
      <w:r w:rsidR="00955307">
        <w:t>AUC</w:t>
      </w:r>
      <w:r w:rsidR="00955307" w:rsidRPr="00955307">
        <w:rPr>
          <w:vertAlign w:val="subscript"/>
        </w:rPr>
        <w:t>inf</w:t>
      </w:r>
      <w:r w:rsidR="00955307">
        <w:t xml:space="preserve"> </w:t>
      </w:r>
      <w:r>
        <w:t xml:space="preserve">and </w:t>
      </w:r>
      <w:proofErr w:type="spellStart"/>
      <w:r>
        <w:t>AUC</w:t>
      </w:r>
      <w:r w:rsidRPr="00955307">
        <w:rPr>
          <w:vertAlign w:val="subscript"/>
        </w:rPr>
        <w:t>last</w:t>
      </w:r>
      <w:proofErr w:type="spellEnd"/>
      <w:r w:rsidRPr="00955307">
        <w:rPr>
          <w:vertAlign w:val="subscript"/>
        </w:rPr>
        <w:t xml:space="preserve"> </w:t>
      </w:r>
      <w:r>
        <w:t xml:space="preserve">were 642 (CV 32.7%) </w:t>
      </w:r>
      <w:proofErr w:type="spellStart"/>
      <w:r>
        <w:t>ng</w:t>
      </w:r>
      <w:r w:rsidR="00955307">
        <w:t>.</w:t>
      </w:r>
      <w:r>
        <w:t>h</w:t>
      </w:r>
      <w:proofErr w:type="spellEnd"/>
      <w:r>
        <w:t>/mL and</w:t>
      </w:r>
      <w:r w:rsidR="00955307">
        <w:t xml:space="preserve"> </w:t>
      </w:r>
      <w:r>
        <w:t>636 (CV 40.8%)</w:t>
      </w:r>
      <w:r w:rsidR="00955307">
        <w:t xml:space="preserve"> </w:t>
      </w:r>
      <w:proofErr w:type="spellStart"/>
      <w:r>
        <w:t>ng</w:t>
      </w:r>
      <w:r w:rsidR="00955307">
        <w:t>.</w:t>
      </w:r>
      <w:r>
        <w:t>h</w:t>
      </w:r>
      <w:proofErr w:type="spellEnd"/>
      <w:r>
        <w:t xml:space="preserve">/mL respectively. After multiple dosing at Day 15, the ruxolitinib </w:t>
      </w:r>
      <w:r w:rsidR="00955307">
        <w:t>pharmacokinetic</w:t>
      </w:r>
      <w:r>
        <w:t xml:space="preserve"> profile was </w:t>
      </w:r>
      <w:proofErr w:type="gramStart"/>
      <w:r>
        <w:t>similar to</w:t>
      </w:r>
      <w:proofErr w:type="gramEnd"/>
      <w:r>
        <w:t xml:space="preserve"> that at Day 1. A slightly higher peak plasma concentration level was observed in the Day 15 profile however large variability was noted. Oral plasma clearance at steady-state (</w:t>
      </w:r>
      <w:proofErr w:type="spellStart"/>
      <w:r>
        <w:t>CL</w:t>
      </w:r>
      <w:r w:rsidRPr="00A600BC">
        <w:rPr>
          <w:vertAlign w:val="subscript"/>
        </w:rPr>
        <w:t>ss</w:t>
      </w:r>
      <w:proofErr w:type="spellEnd"/>
      <w:r>
        <w:t xml:space="preserve">/F) of </w:t>
      </w:r>
      <w:proofErr w:type="spellStart"/>
      <w:r>
        <w:t>ruxolitinib</w:t>
      </w:r>
      <w:proofErr w:type="spellEnd"/>
      <w:r>
        <w:t xml:space="preserve"> after oral dosing at 10</w:t>
      </w:r>
      <w:r w:rsidR="00955307">
        <w:t> </w:t>
      </w:r>
      <w:r>
        <w:t xml:space="preserve">mg twice </w:t>
      </w:r>
      <w:r w:rsidR="00955307">
        <w:t>a day</w:t>
      </w:r>
      <w:r>
        <w:t xml:space="preserve"> was estimated at 15.2 L/h, which was comparable to the CL/F obtained from AUC</w:t>
      </w:r>
      <w:r w:rsidRPr="00955307">
        <w:rPr>
          <w:vertAlign w:val="subscript"/>
        </w:rPr>
        <w:t xml:space="preserve">inf </w:t>
      </w:r>
      <w:r>
        <w:t xml:space="preserve">after a single 10 mg oral dose on Day 1. This suggested that clearance is not expected to </w:t>
      </w:r>
      <w:r>
        <w:lastRenderedPageBreak/>
        <w:t>change with time. Similarly, the geometric mean</w:t>
      </w:r>
      <w:r w:rsidR="00955307">
        <w:t xml:space="preserve"> half-life (t</w:t>
      </w:r>
      <w:r w:rsidRPr="00955307">
        <w:rPr>
          <w:vertAlign w:val="subscript"/>
        </w:rPr>
        <w:t>½</w:t>
      </w:r>
      <w:r w:rsidR="00955307">
        <w:t xml:space="preserve">) </w:t>
      </w:r>
      <w:r>
        <w:t>appeared to be independent of time and ranged from 2.3 h to 2.4 h.</w:t>
      </w:r>
    </w:p>
    <w:p w14:paraId="4632408B" w14:textId="1BD0B259" w:rsidR="00B37501" w:rsidRDefault="00B37501" w:rsidP="00B37501">
      <w:r>
        <w:t xml:space="preserve">Although there was a positive relationship between BSA and both </w:t>
      </w:r>
      <w:proofErr w:type="spellStart"/>
      <w:r>
        <w:t>Vc</w:t>
      </w:r>
      <w:proofErr w:type="spellEnd"/>
      <w:r>
        <w:t xml:space="preserve">/F and CL/F, no clinically relevant differences in exposure are expected in patients with low BSA such as adolescents supporting the use of the same dose (10 mg </w:t>
      </w:r>
      <w:r w:rsidR="00955307">
        <w:t>twice a day</w:t>
      </w:r>
      <w:r>
        <w:t>) in adolescents and adults with c</w:t>
      </w:r>
      <w:r w:rsidR="00ED7500">
        <w:t xml:space="preserve">hronic </w:t>
      </w:r>
      <w:r>
        <w:t xml:space="preserve">GVHD. The effect of race on the </w:t>
      </w:r>
      <w:r w:rsidR="00955307">
        <w:t>pharmacokinetics</w:t>
      </w:r>
      <w:r>
        <w:t xml:space="preserve"> of ruxolitinib in patients with GVHD did not have a significant impact on any parameter of the </w:t>
      </w:r>
      <w:r w:rsidR="00955307">
        <w:t>p</w:t>
      </w:r>
      <w:r>
        <w:t>opulation</w:t>
      </w:r>
      <w:r w:rsidR="00955307">
        <w:t xml:space="preserve"> pharmacokinetic </w:t>
      </w:r>
      <w:r>
        <w:t>model.</w:t>
      </w:r>
    </w:p>
    <w:p w14:paraId="40F3A60B" w14:textId="5653DA0C" w:rsidR="00E70AA0" w:rsidRDefault="00B37501" w:rsidP="00B37501">
      <w:r>
        <w:t xml:space="preserve">The effects of hepatic and renal impairment on the </w:t>
      </w:r>
      <w:proofErr w:type="spellStart"/>
      <w:r w:rsidR="00955307">
        <w:t>pharmcokinetics</w:t>
      </w:r>
      <w:proofErr w:type="spellEnd"/>
      <w:r>
        <w:t xml:space="preserve"> of </w:t>
      </w:r>
      <w:proofErr w:type="spellStart"/>
      <w:r>
        <w:t>ruxolitinib</w:t>
      </w:r>
      <w:proofErr w:type="spellEnd"/>
      <w:r>
        <w:t xml:space="preserve"> in patients with GVHD were investigated as covariates but did not have a significant impact on any parameter, however there were few patients with severe hepatic or renal impairment in the studies.</w:t>
      </w:r>
    </w:p>
    <w:p w14:paraId="20E645EC" w14:textId="17B94D1B" w:rsidR="00B37501" w:rsidRDefault="00B37501" w:rsidP="00B37501">
      <w:r>
        <w:t>The indication of chronic GVHD rather than acute GVHD had an impact on K</w:t>
      </w:r>
      <w:r w:rsidRPr="00A600BC">
        <w:rPr>
          <w:vertAlign w:val="subscript"/>
        </w:rPr>
        <w:t>a</w:t>
      </w:r>
      <w:r>
        <w:t xml:space="preserve">, </w:t>
      </w:r>
      <w:proofErr w:type="spellStart"/>
      <w:r>
        <w:t>Vc</w:t>
      </w:r>
      <w:proofErr w:type="spellEnd"/>
      <w:r>
        <w:t>/F and C</w:t>
      </w:r>
      <w:r w:rsidR="00955307">
        <w:t>L</w:t>
      </w:r>
      <w:r>
        <w:t>/F. With log</w:t>
      </w:r>
      <w:r w:rsidR="00ED7500">
        <w:t xml:space="preserve"> </w:t>
      </w:r>
      <w:r>
        <w:t>K</w:t>
      </w:r>
      <w:r w:rsidRPr="00A600BC">
        <w:rPr>
          <w:vertAlign w:val="subscript"/>
        </w:rPr>
        <w:t>a</w:t>
      </w:r>
      <w:r>
        <w:t xml:space="preserve"> increased by 0.636</w:t>
      </w:r>
      <w:r w:rsidR="00955307">
        <w:t xml:space="preserve"> </w:t>
      </w:r>
      <w:r>
        <w:t>h</w:t>
      </w:r>
      <w:r w:rsidRPr="00955307">
        <w:rPr>
          <w:vertAlign w:val="superscript"/>
        </w:rPr>
        <w:t>-1</w:t>
      </w:r>
      <w:r>
        <w:t xml:space="preserve"> (89% increase compared to a</w:t>
      </w:r>
      <w:r w:rsidR="00ED7500">
        <w:t xml:space="preserve">cute </w:t>
      </w:r>
      <w:r>
        <w:t>GVHD), log</w:t>
      </w:r>
      <w:r w:rsidR="00ED7500">
        <w:t xml:space="preserve"> </w:t>
      </w:r>
      <w:proofErr w:type="spellStart"/>
      <w:r>
        <w:t>Vc</w:t>
      </w:r>
      <w:proofErr w:type="spellEnd"/>
      <w:r>
        <w:t>/F decreased by 0.103</w:t>
      </w:r>
      <w:r w:rsidR="00955307">
        <w:t xml:space="preserve"> </w:t>
      </w:r>
      <w:r>
        <w:t>L (</w:t>
      </w:r>
      <w:r w:rsidR="00ED7500">
        <w:t xml:space="preserve">a </w:t>
      </w:r>
      <w:r>
        <w:t>10% reduction compared to a</w:t>
      </w:r>
      <w:r w:rsidR="00ED7500">
        <w:t xml:space="preserve">cute </w:t>
      </w:r>
      <w:r>
        <w:t>GVHD) and log</w:t>
      </w:r>
      <w:r w:rsidR="00ED7500">
        <w:t xml:space="preserve"> </w:t>
      </w:r>
      <w:r>
        <w:t>C</w:t>
      </w:r>
      <w:r w:rsidR="00955307">
        <w:t>L</w:t>
      </w:r>
      <w:r>
        <w:t>/F decreased by 0.286L/h (25% reduction compared to a</w:t>
      </w:r>
      <w:r w:rsidR="00ED7500">
        <w:t xml:space="preserve">cute </w:t>
      </w:r>
      <w:r>
        <w:t xml:space="preserve">GVHD). </w:t>
      </w:r>
      <w:proofErr w:type="gramStart"/>
      <w:r>
        <w:t>All of</w:t>
      </w:r>
      <w:proofErr w:type="gramEnd"/>
      <w:r>
        <w:t xml:space="preserve"> these elements together indicate a higher expected exposure in c</w:t>
      </w:r>
      <w:r w:rsidR="00ED7500">
        <w:t xml:space="preserve">hronic </w:t>
      </w:r>
      <w:r>
        <w:t>GVHD patients, compared to a</w:t>
      </w:r>
      <w:r w:rsidR="00ED7500">
        <w:t xml:space="preserve">cute </w:t>
      </w:r>
      <w:r>
        <w:t>GVHD patients (increased absorption, reduced volume and clearance).</w:t>
      </w:r>
    </w:p>
    <w:p w14:paraId="515A1A16" w14:textId="14F846BE" w:rsidR="00E70AA0" w:rsidRDefault="00B37501" w:rsidP="00B37501">
      <w:r>
        <w:t>A higher C</w:t>
      </w:r>
      <w:r w:rsidRPr="00955307">
        <w:rPr>
          <w:vertAlign w:val="subscript"/>
        </w:rPr>
        <w:t xml:space="preserve">max </w:t>
      </w:r>
      <w:r>
        <w:t>is expected in patients with c</w:t>
      </w:r>
      <w:r w:rsidR="00ED7500">
        <w:t xml:space="preserve">hronic </w:t>
      </w:r>
      <w:r>
        <w:t>GVHD compared to a</w:t>
      </w:r>
      <w:r w:rsidR="00ED7500">
        <w:t xml:space="preserve">cute </w:t>
      </w:r>
      <w:r>
        <w:t xml:space="preserve">GVHD due to increased absorption, reduced </w:t>
      </w:r>
      <w:proofErr w:type="gramStart"/>
      <w:r>
        <w:t>volume</w:t>
      </w:r>
      <w:proofErr w:type="gramEnd"/>
      <w:r>
        <w:t xml:space="preserve"> and clearance. The sponsor considered these differences modest. No other demographic, disease-related and treatment related covariates have a significant impact on </w:t>
      </w:r>
      <w:r w:rsidR="00955307">
        <w:t>pharmacokinetic</w:t>
      </w:r>
      <w:r>
        <w:t xml:space="preserve"> parameters.</w:t>
      </w:r>
    </w:p>
    <w:p w14:paraId="0CEDC9A1" w14:textId="535285C7" w:rsidR="00B37501" w:rsidRDefault="00C31F54" w:rsidP="00B37501">
      <w:r>
        <w:t>Data on d</w:t>
      </w:r>
      <w:r w:rsidR="00BD4CC5">
        <w:t xml:space="preserve">rug-drug interactions </w:t>
      </w:r>
      <w:r>
        <w:t>were submitted including relationships with cytochrome P450 (CYP) enzymes.</w:t>
      </w:r>
      <w:r>
        <w:rPr>
          <w:rStyle w:val="FootnoteReference"/>
        </w:rPr>
        <w:footnoteReference w:id="19"/>
      </w:r>
      <w:r>
        <w:t xml:space="preserve"> </w:t>
      </w:r>
      <w:r w:rsidR="00B37501">
        <w:t>The effect of moderate</w:t>
      </w:r>
      <w:r w:rsidR="00955307">
        <w:t xml:space="preserve"> and</w:t>
      </w:r>
      <w:r w:rsidR="00E5592F">
        <w:t>/or</w:t>
      </w:r>
      <w:r w:rsidR="00955307">
        <w:t xml:space="preserve"> </w:t>
      </w:r>
      <w:r w:rsidR="00B37501">
        <w:t xml:space="preserve">potent CYP3A4 inhibitors on the </w:t>
      </w:r>
      <w:r w:rsidR="00E5592F">
        <w:t xml:space="preserve">pharmacokinetics </w:t>
      </w:r>
      <w:r w:rsidR="00B37501">
        <w:t xml:space="preserve">of ruxolitinib in patients with GVHD was not found to have a significant impact on any parameter in the </w:t>
      </w:r>
      <w:proofErr w:type="spellStart"/>
      <w:r w:rsidR="00B37501">
        <w:t>popPK</w:t>
      </w:r>
      <w:proofErr w:type="spellEnd"/>
      <w:r w:rsidR="00B37501">
        <w:t xml:space="preserve"> model. To supplement the </w:t>
      </w:r>
      <w:proofErr w:type="spellStart"/>
      <w:r w:rsidR="00B37501">
        <w:t>popPK</w:t>
      </w:r>
      <w:proofErr w:type="spellEnd"/>
      <w:r w:rsidR="00B37501">
        <w:t xml:space="preserve"> analysis, an empirical statistical analysis was performed to compare observed pre-dose concentrations that were impacted by a moderate and/or potent CYP3A4 inhibitor. After considering the actual dose administered, a 49 to 56% increase in pre-dose concentrations was observed in patients with GVHD receiving a moderate and/or potent CYP3A4 inhibitor.</w:t>
      </w:r>
    </w:p>
    <w:p w14:paraId="195CE10F" w14:textId="1F98CF09" w:rsidR="00B37501" w:rsidRDefault="004249D6" w:rsidP="00B37501">
      <w:r w:rsidRPr="00E5592F">
        <w:t xml:space="preserve">Allogeneic </w:t>
      </w:r>
      <w:r w:rsidR="00E5592F" w:rsidRPr="00E5592F">
        <w:t>stem cell transplantation</w:t>
      </w:r>
      <w:r w:rsidR="00E5592F">
        <w:t xml:space="preserve"> </w:t>
      </w:r>
      <w:r w:rsidR="00B37501">
        <w:t>patients are routinely treated with concurrent calcineurin inhibitors and azole prophylaxis which can inhibit the metabolism (</w:t>
      </w:r>
      <w:r w:rsidR="00B37501" w:rsidRPr="00A600BC">
        <w:rPr>
          <w:iCs/>
        </w:rPr>
        <w:t>via</w:t>
      </w:r>
      <w:r w:rsidR="00B37501">
        <w:t xml:space="preserve"> CYP3A4) of ruxolitinib, potentially increasing its exposure. Most patients (78%) with acute or chronic GVHD have received at least one moderate or potent CYP3A4 inhibitor within </w:t>
      </w:r>
      <w:r w:rsidR="00E5592F">
        <w:t>four</w:t>
      </w:r>
      <w:r w:rsidR="00B37501">
        <w:t xml:space="preserve"> days of a </w:t>
      </w:r>
      <w:r w:rsidR="00E5592F">
        <w:t xml:space="preserve">pharmacokinetic </w:t>
      </w:r>
      <w:r w:rsidR="00B37501">
        <w:t>sample and maintained a dose of</w:t>
      </w:r>
      <w:r w:rsidR="00E70AA0">
        <w:t xml:space="preserve"> </w:t>
      </w:r>
      <w:r w:rsidR="00B37501">
        <w:t xml:space="preserve">10 mg </w:t>
      </w:r>
      <w:r w:rsidR="00E5592F">
        <w:t>twice a day</w:t>
      </w:r>
      <w:r w:rsidR="00B37501">
        <w:t xml:space="preserve"> for ruxolitinib. Although co-administration of moderate and/or potent CYP3A4 inhibitors increased the pre-dose concentrations of ruxolitinib, the increase observed was within the expected variability of the data.</w:t>
      </w:r>
    </w:p>
    <w:p w14:paraId="20C9146F" w14:textId="5CAB187A" w:rsidR="00E70AA0" w:rsidRDefault="00B37501" w:rsidP="00B37501">
      <w:r>
        <w:t xml:space="preserve">Fluconazole is a dual </w:t>
      </w:r>
      <w:r w:rsidR="00C31F54">
        <w:t>CYP</w:t>
      </w:r>
      <w:r w:rsidR="00E5592F">
        <w:t xml:space="preserve">2C9 </w:t>
      </w:r>
      <w:r>
        <w:t xml:space="preserve">and CYP3A4 inhibitor. The median observed exposure in patients who received fluconazole was around </w:t>
      </w:r>
      <w:r w:rsidR="00E5592F">
        <w:t xml:space="preserve">two </w:t>
      </w:r>
      <w:r>
        <w:t xml:space="preserve">times higher than those who did not. The upper 90th </w:t>
      </w:r>
      <w:r>
        <w:lastRenderedPageBreak/>
        <w:t>percentile suggested maximum concentrations of 400 ng/</w:t>
      </w:r>
      <w:proofErr w:type="spellStart"/>
      <w:r>
        <w:t>mL.</w:t>
      </w:r>
      <w:proofErr w:type="spellEnd"/>
      <w:r>
        <w:t xml:space="preserve"> An empirical statistical analysis was performed to compare observed pre-dose concentrations that were impacted by fluconazole. After considering the administered dose, a 78% increase in pre-dose concentrations was observed in patients receiving fluconazole. The sponsor has proposed a dose reduction to 5</w:t>
      </w:r>
      <w:r w:rsidR="00C31F54">
        <w:t> </w:t>
      </w:r>
      <w:r>
        <w:t xml:space="preserve">mg </w:t>
      </w:r>
      <w:r w:rsidR="00E5592F">
        <w:t>twice a day</w:t>
      </w:r>
      <w:r>
        <w:t xml:space="preserve"> for patients taking concomitant fluconazole. </w:t>
      </w:r>
      <w:r w:rsidR="00E5592F">
        <w:t xml:space="preserve">The US </w:t>
      </w:r>
      <w:r>
        <w:t xml:space="preserve">FDA has proposed a dose reduction to 5 mg </w:t>
      </w:r>
      <w:r w:rsidR="00E5592F">
        <w:t>twice a day</w:t>
      </w:r>
      <w:r>
        <w:t xml:space="preserve"> for patients taking up to 200 mg fluconazole and that higher doses </w:t>
      </w:r>
      <w:r w:rsidR="00C31F54">
        <w:t xml:space="preserve">of fluconazole </w:t>
      </w:r>
      <w:r>
        <w:t>are not recommended in conjunction with ruxolitinib.</w:t>
      </w:r>
    </w:p>
    <w:p w14:paraId="33A86251" w14:textId="23344C1E" w:rsidR="00B37501" w:rsidRDefault="00B37501" w:rsidP="00B37501">
      <w:r>
        <w:t xml:space="preserve">In a dedicated renal impairment study in patients with various degrees of renal impairment including </w:t>
      </w:r>
      <w:r w:rsidR="00E5592F">
        <w:t>end stage renal disease</w:t>
      </w:r>
      <w:r>
        <w:t xml:space="preserve"> requiring dialysis, the relative difference in </w:t>
      </w:r>
      <w:r w:rsidR="00C31F54">
        <w:t>exposures by</w:t>
      </w:r>
      <w:r>
        <w:t xml:space="preserve"> C</w:t>
      </w:r>
      <w:r w:rsidRPr="00E5592F">
        <w:rPr>
          <w:vertAlign w:val="subscript"/>
        </w:rPr>
        <w:t>max</w:t>
      </w:r>
      <w:r>
        <w:t xml:space="preserve"> and AUC</w:t>
      </w:r>
      <w:r w:rsidRPr="00E5592F">
        <w:rPr>
          <w:vertAlign w:val="subscript"/>
        </w:rPr>
        <w:t>0</w:t>
      </w:r>
      <w:r w:rsidR="00E5592F" w:rsidRPr="00E5592F">
        <w:rPr>
          <w:vertAlign w:val="subscript"/>
        </w:rPr>
        <w:noBreakHyphen/>
        <w:t>inf</w:t>
      </w:r>
      <w:r w:rsidR="00E5592F">
        <w:t xml:space="preserve"> </w:t>
      </w:r>
      <w:r>
        <w:t xml:space="preserve">of ruxolitinib in all degrees of renal impairment versus patients with normal renal function were </w:t>
      </w:r>
      <w:r w:rsidR="00E5592F">
        <w:t>less than</w:t>
      </w:r>
      <w:r>
        <w:t xml:space="preserve"> 25%. However, the total AUC of ruxolitinib and its active metabolites increased by 1.3,</w:t>
      </w:r>
      <w:r w:rsidR="00E5592F">
        <w:t xml:space="preserve"> </w:t>
      </w:r>
      <w:r>
        <w:t xml:space="preserve">1.5, and 1.9-fold in subjects with mild, moderate, and severe renal impairment, respectively, compared to subjects with normal renal function </w:t>
      </w:r>
      <w:r w:rsidR="00E5592F">
        <w:t xml:space="preserve">creatinine clearance </w:t>
      </w:r>
      <w:r>
        <w:t>(≥</w:t>
      </w:r>
      <w:r w:rsidR="00E5592F">
        <w:t> </w:t>
      </w:r>
      <w:r>
        <w:t>90</w:t>
      </w:r>
      <w:r w:rsidR="00E5592F">
        <w:t> </w:t>
      </w:r>
      <w:r>
        <w:t xml:space="preserve">mL/min). Also, the total AUC of ruxolitinib and its active metabolites increased by 1.6-fold in subjects with </w:t>
      </w:r>
      <w:r w:rsidR="00E5592F">
        <w:t>end stage renal disease</w:t>
      </w:r>
      <w:r>
        <w:t xml:space="preserve"> after dialysis compared to that in subjects with normal renal function.</w:t>
      </w:r>
    </w:p>
    <w:p w14:paraId="6CF9606F" w14:textId="0BD07009" w:rsidR="00E70AA0" w:rsidRDefault="00B37501" w:rsidP="00B37501">
      <w:r>
        <w:t>In a hepatic impairment study, the mean AUC for ruxolitinib was increased by 87%, 28% and 65%, respectively, in patients with mild (Child-Pugh A), moderate (Child-Pugh B) and severe (Child-Pugh C)</w:t>
      </w:r>
      <w:r w:rsidR="00E5592F">
        <w:rPr>
          <w:rStyle w:val="FootnoteReference"/>
        </w:rPr>
        <w:footnoteReference w:id="20"/>
      </w:r>
      <w:r>
        <w:t xml:space="preserve"> hepatic impairment compared to patients with normal hepatic function. Given the higher AUC increase in patients with mild hepatic impairment compared to patients with moderate or severe hepatic impairment, the results from this study based on Child-Pugh </w:t>
      </w:r>
      <w:r w:rsidR="00C31F54">
        <w:t xml:space="preserve">scoring </w:t>
      </w:r>
      <w:r>
        <w:t xml:space="preserve">should be interpreted with caution. Population </w:t>
      </w:r>
      <w:r w:rsidR="00E5592F">
        <w:t>pharmacokinetic</w:t>
      </w:r>
      <w:r>
        <w:t xml:space="preserve"> analysis using pooled data from patients in </w:t>
      </w:r>
      <w:r w:rsidR="00210A7C" w:rsidRPr="00210A7C">
        <w:t>Study CINC424C2301, Study CINC424D2301 and Study 18424-271</w:t>
      </w:r>
      <w:r w:rsidR="00210A7C">
        <w:t xml:space="preserve"> </w:t>
      </w:r>
      <w:r>
        <w:t>showed that there was no significant difference in the apparent clearance of ruxolitinib in GVHD patients with various mild, moderate, or severe hepatic impairment by NCI criteria</w:t>
      </w:r>
      <w:r w:rsidR="00AF4DD7">
        <w:t>;</w:t>
      </w:r>
      <w:r w:rsidR="00AF4DD7">
        <w:rPr>
          <w:rStyle w:val="FootnoteReference"/>
        </w:rPr>
        <w:footnoteReference w:id="21"/>
      </w:r>
      <w:r>
        <w:t xml:space="preserve"> compared to patients with normal hepatic function.</w:t>
      </w:r>
    </w:p>
    <w:p w14:paraId="152B5491" w14:textId="08E92C82" w:rsidR="00B37501" w:rsidRDefault="00B37501" w:rsidP="000822C5">
      <w:r>
        <w:t xml:space="preserve">No clinically relevant effect on ruxolitinib </w:t>
      </w:r>
      <w:r w:rsidR="00210A7C">
        <w:t>pharmacokinetics</w:t>
      </w:r>
      <w:r>
        <w:t xml:space="preserve"> was observed based on Score 1 or 2 liver involvement c</w:t>
      </w:r>
      <w:r w:rsidR="005137B9">
        <w:t xml:space="preserve">hronic </w:t>
      </w:r>
      <w:r>
        <w:t xml:space="preserve">GVHD. Only </w:t>
      </w:r>
      <w:r w:rsidR="00210A7C">
        <w:t>two</w:t>
      </w:r>
      <w:r>
        <w:t xml:space="preserve"> patients with Score 3 liver involvement c</w:t>
      </w:r>
      <w:r w:rsidR="005137B9">
        <w:t xml:space="preserve">hronic </w:t>
      </w:r>
      <w:r>
        <w:t xml:space="preserve">GVHD were enrolled in </w:t>
      </w:r>
      <w:r w:rsidR="00210A7C" w:rsidRPr="00210A7C">
        <w:t>Study CINC424D2301</w:t>
      </w:r>
      <w:r>
        <w:t>. The effect of Score 3 liver involvement c</w:t>
      </w:r>
      <w:r w:rsidR="005137B9">
        <w:t xml:space="preserve">hronic </w:t>
      </w:r>
      <w:r>
        <w:t xml:space="preserve">GVHD on the </w:t>
      </w:r>
      <w:r w:rsidR="00210A7C">
        <w:t>pharmacokinetics</w:t>
      </w:r>
      <w:r>
        <w:t xml:space="preserve"> of ruxolitinib is unknown.</w:t>
      </w:r>
    </w:p>
    <w:p w14:paraId="2E030825" w14:textId="40F41E05" w:rsidR="00B37501" w:rsidRDefault="00B37501" w:rsidP="00B54147">
      <w:pPr>
        <w:pStyle w:val="Heading5"/>
      </w:pPr>
      <w:r>
        <w:t>Pharmacodynamics</w:t>
      </w:r>
    </w:p>
    <w:p w14:paraId="2C5DB471" w14:textId="497B87B9" w:rsidR="00B37501" w:rsidRDefault="00B37501" w:rsidP="00B37501">
      <w:r>
        <w:t xml:space="preserve">No clinical </w:t>
      </w:r>
      <w:r w:rsidR="00210A7C">
        <w:t>pharmacodynamic</w:t>
      </w:r>
      <w:r>
        <w:t xml:space="preserve"> data were included in the submission. Ruxolitinib is an inhibitor of the Janus </w:t>
      </w:r>
      <w:r w:rsidR="00120B1D">
        <w:t>k</w:t>
      </w:r>
      <w:r>
        <w:t>inases (JAKs) JAK1 and JAK2.</w:t>
      </w:r>
    </w:p>
    <w:p w14:paraId="03FB755D" w14:textId="77777777" w:rsidR="00B37501" w:rsidRDefault="00B37501" w:rsidP="00B54147">
      <w:pPr>
        <w:pStyle w:val="Heading4"/>
      </w:pPr>
      <w:bookmarkStart w:id="46" w:name="_Toc134095505"/>
      <w:r w:rsidRPr="00B37501">
        <w:t>Efficacy</w:t>
      </w:r>
      <w:bookmarkEnd w:id="46"/>
    </w:p>
    <w:p w14:paraId="60D21161" w14:textId="319B1DBE" w:rsidR="00B37501" w:rsidRDefault="00B37501" w:rsidP="00B37501">
      <w:pPr>
        <w:pStyle w:val="Heading5"/>
      </w:pPr>
      <w:r>
        <w:t xml:space="preserve">Acute </w:t>
      </w:r>
      <w:r w:rsidR="00210A7C">
        <w:t>g</w:t>
      </w:r>
      <w:r>
        <w:t>raft-versus-</w:t>
      </w:r>
      <w:r w:rsidR="00210A7C">
        <w:t>h</w:t>
      </w:r>
      <w:r>
        <w:t xml:space="preserve">ost </w:t>
      </w:r>
      <w:r w:rsidR="00210A7C">
        <w:t>d</w:t>
      </w:r>
      <w:r>
        <w:t xml:space="preserve">isease </w:t>
      </w:r>
    </w:p>
    <w:p w14:paraId="1D604E93" w14:textId="77777777" w:rsidR="005137B9" w:rsidRDefault="00B37501" w:rsidP="00B37501">
      <w:r>
        <w:t>Two efficacy and safety studies were submitted.</w:t>
      </w:r>
    </w:p>
    <w:p w14:paraId="26F942A7" w14:textId="2D02310D" w:rsidR="00E70AA0" w:rsidRDefault="00B37501" w:rsidP="00B37501">
      <w:r>
        <w:lastRenderedPageBreak/>
        <w:t xml:space="preserve">Study 18424-271 was submitted as a supportive study however, given the differences in perspective between the sponsor and the </w:t>
      </w:r>
      <w:r w:rsidR="005137B9">
        <w:t xml:space="preserve">different Project ORBIS </w:t>
      </w:r>
      <w:r>
        <w:t xml:space="preserve">partners regarding the collection and analysis of efficacy data in </w:t>
      </w:r>
      <w:r w:rsidR="00210A7C" w:rsidRPr="00210A7C">
        <w:t>Study CINC424C2301</w:t>
      </w:r>
      <w:r>
        <w:t xml:space="preserve"> </w:t>
      </w:r>
      <w:r w:rsidR="005137B9">
        <w:t>(the R</w:t>
      </w:r>
      <w:r w:rsidR="00A600BC">
        <w:t>EACH</w:t>
      </w:r>
      <w:r w:rsidR="005137B9">
        <w:t xml:space="preserve"> 2 trial), therefore </w:t>
      </w:r>
      <w:r w:rsidR="00210A7C" w:rsidRPr="00210A7C">
        <w:t xml:space="preserve">Study 18424-271 </w:t>
      </w:r>
      <w:r>
        <w:t xml:space="preserve">will be considered as </w:t>
      </w:r>
      <w:r w:rsidR="005137B9">
        <w:t xml:space="preserve">the </w:t>
      </w:r>
      <w:r>
        <w:t>pivotal</w:t>
      </w:r>
      <w:r w:rsidR="005137B9">
        <w:t xml:space="preserve"> study</w:t>
      </w:r>
      <w:r>
        <w:t xml:space="preserve"> for this indication.</w:t>
      </w:r>
    </w:p>
    <w:p w14:paraId="7307B09D" w14:textId="330CAD3D" w:rsidR="00E70AA0" w:rsidRDefault="00B37501" w:rsidP="00B37501">
      <w:pPr>
        <w:pStyle w:val="Heading6"/>
      </w:pPr>
      <w:bookmarkStart w:id="47" w:name="_Hlk130803972"/>
      <w:r>
        <w:t xml:space="preserve">Study 18424-271 </w:t>
      </w:r>
      <w:r w:rsidR="00214FD5">
        <w:t>(REACH 1 trial)</w:t>
      </w:r>
    </w:p>
    <w:bookmarkEnd w:id="47"/>
    <w:p w14:paraId="2FAC245D" w14:textId="51874229" w:rsidR="00E70AA0" w:rsidRDefault="00B37501" w:rsidP="00B37501">
      <w:pPr>
        <w:pStyle w:val="Heading7"/>
      </w:pPr>
      <w:r w:rsidRPr="00B37501">
        <w:t xml:space="preserve">Study design, objectives, </w:t>
      </w:r>
      <w:proofErr w:type="gramStart"/>
      <w:r w:rsidRPr="00B37501">
        <w:t>locations</w:t>
      </w:r>
      <w:proofErr w:type="gramEnd"/>
      <w:r w:rsidRPr="00B37501">
        <w:t xml:space="preserve"> and dates</w:t>
      </w:r>
    </w:p>
    <w:p w14:paraId="0D2A81DD" w14:textId="36259D79" w:rsidR="005137B9" w:rsidRDefault="00CE76BA" w:rsidP="00B37501">
      <w:r w:rsidRPr="00CE76BA">
        <w:t xml:space="preserve">Study 18424-271 </w:t>
      </w:r>
      <w:r w:rsidR="00214FD5">
        <w:t xml:space="preserve">(also known as the REACH 1 trial) </w:t>
      </w:r>
      <w:r w:rsidR="00B37501" w:rsidRPr="00B37501">
        <w:t>was a single arm Phase II study of ruxolitinib in combination with corticosteroids for the treatment of steroid-refractory a</w:t>
      </w:r>
      <w:r w:rsidR="005137B9">
        <w:t xml:space="preserve">cute </w:t>
      </w:r>
      <w:r w:rsidR="00B37501" w:rsidRPr="00B37501">
        <w:t>GVHD.</w:t>
      </w:r>
    </w:p>
    <w:p w14:paraId="5DF62903" w14:textId="48208CE6" w:rsidR="00751CBC" w:rsidRDefault="00B37501" w:rsidP="00B37501">
      <w:r w:rsidRPr="00B37501">
        <w:t>It was conducted by the co</w:t>
      </w:r>
      <w:r w:rsidR="00CE76BA">
        <w:noBreakHyphen/>
      </w:r>
      <w:r w:rsidRPr="00B37501">
        <w:t xml:space="preserve">development partner </w:t>
      </w:r>
      <w:r w:rsidR="00751CBC">
        <w:t>(</w:t>
      </w:r>
      <w:r w:rsidRPr="00B37501">
        <w:t>Incyte</w:t>
      </w:r>
      <w:r w:rsidR="00751CBC">
        <w:t xml:space="preserve"> Corporation)</w:t>
      </w:r>
      <w:r w:rsidRPr="00B37501">
        <w:t xml:space="preserve"> at 26 centres in the USA during the study period 27 December</w:t>
      </w:r>
      <w:r w:rsidR="00CE76BA">
        <w:t> </w:t>
      </w:r>
      <w:r w:rsidRPr="00B37501">
        <w:t>2016 to 5 June 2019.</w:t>
      </w:r>
    </w:p>
    <w:p w14:paraId="6EFDC661" w14:textId="23CA30D8" w:rsidR="00B37501" w:rsidRDefault="00B37501" w:rsidP="00B37501">
      <w:r w:rsidRPr="00B37501">
        <w:t>The primary objective was to assess the efficacy of ruxolitinib in combination with corticosteroids in subjects with Grades II to IV steroid-refractory a</w:t>
      </w:r>
      <w:r w:rsidR="00751CBC">
        <w:t xml:space="preserve">cute </w:t>
      </w:r>
      <w:r w:rsidRPr="00B37501">
        <w:t>GVHD. Assessment of additional response and longer-term efficacy outcomes in the study population was a secondary objective.</w:t>
      </w:r>
    </w:p>
    <w:p w14:paraId="49E5E92C" w14:textId="7EC47346" w:rsidR="00E70AA0" w:rsidRDefault="00B37501" w:rsidP="00B37501">
      <w:pPr>
        <w:pStyle w:val="Heading7"/>
      </w:pPr>
      <w:r>
        <w:t>Inclusion and exclusion criteria</w:t>
      </w:r>
    </w:p>
    <w:p w14:paraId="189DD9C4" w14:textId="0770CE84" w:rsidR="00C10C16" w:rsidRPr="00C10C16" w:rsidRDefault="00C10C16" w:rsidP="00C10C16">
      <w:r>
        <w:t>The inclusion criteria were:</w:t>
      </w:r>
    </w:p>
    <w:p w14:paraId="2016F08D" w14:textId="38ADB421" w:rsidR="00751CBC" w:rsidRDefault="00CE76BA" w:rsidP="00CE76BA">
      <w:pPr>
        <w:pStyle w:val="ListBullet"/>
      </w:pPr>
      <w:r w:rsidRPr="00CE76BA">
        <w:t>M</w:t>
      </w:r>
      <w:r w:rsidR="00B37501" w:rsidRPr="00CE76BA">
        <w:t>ale or female</w:t>
      </w:r>
      <w:r w:rsidR="00751CBC">
        <w:t xml:space="preserve"> participants</w:t>
      </w:r>
      <w:r w:rsidR="00B37501" w:rsidRPr="00CE76BA">
        <w:t xml:space="preserve"> aged 12 years or older who had undergone first </w:t>
      </w:r>
      <w:r w:rsidR="004249D6" w:rsidRPr="00CE76BA">
        <w:t xml:space="preserve">allogeneic </w:t>
      </w:r>
      <w:r w:rsidR="00A27A36" w:rsidRPr="00CE76BA">
        <w:t xml:space="preserve">haematopoietic stem cell transplantation </w:t>
      </w:r>
      <w:r w:rsidR="00B37501" w:rsidRPr="00CE76BA">
        <w:t>from any donor source using bone marrow, peripheral blood stem cells or cord blood for haematologic malignancies.</w:t>
      </w:r>
    </w:p>
    <w:p w14:paraId="70658D79" w14:textId="7AE42D34" w:rsidR="00E70AA0" w:rsidRPr="00CE76BA" w:rsidRDefault="00B37501" w:rsidP="00A600BC">
      <w:pPr>
        <w:pStyle w:val="ListBullet"/>
        <w:numPr>
          <w:ilvl w:val="0"/>
          <w:numId w:val="0"/>
        </w:numPr>
        <w:ind w:left="360"/>
      </w:pPr>
      <w:r w:rsidRPr="00CE76BA">
        <w:t>Recipients of nonmyeloablative and myeloablative transplants were eligible.</w:t>
      </w:r>
    </w:p>
    <w:p w14:paraId="01A08129" w14:textId="16C959A8" w:rsidR="00B37501" w:rsidRDefault="00B37501" w:rsidP="00CE76BA">
      <w:pPr>
        <w:pStyle w:val="ListBullet"/>
      </w:pPr>
      <w:r w:rsidRPr="00CE76BA">
        <w:t>Diagnosis of Grades II to IV a</w:t>
      </w:r>
      <w:r w:rsidR="00751CBC">
        <w:t xml:space="preserve">cute </w:t>
      </w:r>
      <w:r w:rsidRPr="00CE76BA">
        <w:t xml:space="preserve">GVHD was </w:t>
      </w:r>
      <w:r w:rsidR="00CE76BA" w:rsidRPr="00CE76BA">
        <w:t xml:space="preserve">in accordance with </w:t>
      </w:r>
      <w:r w:rsidRPr="00CE76BA">
        <w:t xml:space="preserve">Mount Sinai Acute </w:t>
      </w:r>
      <w:r w:rsidR="00E76F8D" w:rsidRPr="00CE76BA">
        <w:t>GVHD</w:t>
      </w:r>
      <w:r w:rsidRPr="00CE76BA">
        <w:t xml:space="preserve"> International Consortium (MAGIC) criteria for a</w:t>
      </w:r>
      <w:r w:rsidR="00751CBC">
        <w:t xml:space="preserve">cute </w:t>
      </w:r>
      <w:r w:rsidRPr="00CE76BA">
        <w:t>GVHD guidelines</w:t>
      </w:r>
      <w:r w:rsidR="00C10C16">
        <w:t xml:space="preserve"> (</w:t>
      </w:r>
      <w:r w:rsidR="00751CBC">
        <w:t xml:space="preserve">see </w:t>
      </w:r>
      <w:r w:rsidR="00C10C16">
        <w:fldChar w:fldCharType="begin"/>
      </w:r>
      <w:r w:rsidR="00C10C16">
        <w:instrText xml:space="preserve"> REF _Ref130804709 \h </w:instrText>
      </w:r>
      <w:r w:rsidR="00C10C16">
        <w:fldChar w:fldCharType="separate"/>
      </w:r>
      <w:r w:rsidR="00337955">
        <w:t xml:space="preserve">Table </w:t>
      </w:r>
      <w:r w:rsidR="00337955">
        <w:rPr>
          <w:noProof/>
        </w:rPr>
        <w:t>3</w:t>
      </w:r>
      <w:r w:rsidR="00C10C16">
        <w:fldChar w:fldCharType="end"/>
      </w:r>
      <w:r w:rsidR="00C10C16">
        <w:t>)</w:t>
      </w:r>
      <w:r w:rsidRPr="00CE76BA">
        <w:t>.</w:t>
      </w:r>
      <w:bookmarkStart w:id="48" w:name="_Ref133410670"/>
      <w:r w:rsidR="00751CBC">
        <w:rPr>
          <w:rStyle w:val="FootnoteReference"/>
        </w:rPr>
        <w:footnoteReference w:id="22"/>
      </w:r>
      <w:bookmarkEnd w:id="48"/>
      <w:r w:rsidRPr="00CE76BA">
        <w:t xml:space="preserve"> Biopsies were to be obtained to pathologically confirm a</w:t>
      </w:r>
      <w:r w:rsidR="00751CBC">
        <w:t xml:space="preserve">cute </w:t>
      </w:r>
      <w:r w:rsidRPr="00CE76BA">
        <w:t>GVHD. In cases where a biopsy was negative or unable to be obtained or was clinically contraindicated clinical suspicion of a</w:t>
      </w:r>
      <w:r w:rsidR="00751CBC">
        <w:t xml:space="preserve">cute </w:t>
      </w:r>
      <w:r w:rsidRPr="00CE76BA">
        <w:t>GVHD by the treating</w:t>
      </w:r>
      <w:r>
        <w:t xml:space="preserve"> physician was considered sufficient provided that alternative diagnoses of drug effects or infection were adequately excluded.</w:t>
      </w:r>
    </w:p>
    <w:p w14:paraId="7E8E194C" w14:textId="77777777" w:rsidR="00E70AA0" w:rsidRDefault="00B37501" w:rsidP="00874C3E">
      <w:pPr>
        <w:pStyle w:val="ListBullet"/>
      </w:pPr>
      <w:r>
        <w:t>The steroid-refractory aspects of the inclusion criteria required any of the following:</w:t>
      </w:r>
    </w:p>
    <w:p w14:paraId="23159506" w14:textId="1EA70E37" w:rsidR="00B37501" w:rsidRDefault="00751CBC" w:rsidP="00874C3E">
      <w:pPr>
        <w:pStyle w:val="ListBullet2"/>
      </w:pPr>
      <w:r>
        <w:t>P</w:t>
      </w:r>
      <w:r w:rsidR="00B37501">
        <w:t>rogressive GVHD (</w:t>
      </w:r>
      <w:r w:rsidR="00C10C16">
        <w:t>that is</w:t>
      </w:r>
      <w:r w:rsidR="00B37501">
        <w:t xml:space="preserve">, increase in stage in any organ system or any new organ involvement) after </w:t>
      </w:r>
      <w:r w:rsidR="00C10C16">
        <w:t>three</w:t>
      </w:r>
      <w:r w:rsidR="00B37501">
        <w:t xml:space="preserve"> days of primary treatment with methylprednisolone ≥</w:t>
      </w:r>
      <w:r w:rsidR="00C10C16">
        <w:t> </w:t>
      </w:r>
      <w:r w:rsidR="00B37501">
        <w:t>2</w:t>
      </w:r>
      <w:r w:rsidR="00C10C16">
        <w:t> </w:t>
      </w:r>
      <w:r w:rsidR="00B37501">
        <w:t>mg/kg per day (or equivalent).</w:t>
      </w:r>
    </w:p>
    <w:p w14:paraId="0E02DBB4" w14:textId="51D473CF" w:rsidR="00B37501" w:rsidRDefault="00B37501" w:rsidP="00874C3E">
      <w:pPr>
        <w:pStyle w:val="ListBullet2"/>
      </w:pPr>
      <w:r>
        <w:t>Subjects with GVHD that has not improved (</w:t>
      </w:r>
      <w:r w:rsidR="00C10C16">
        <w:t>that is,</w:t>
      </w:r>
      <w:r>
        <w:t xml:space="preserve"> decrease in stage in at least </w:t>
      </w:r>
      <w:r w:rsidR="00C10C16">
        <w:t>one</w:t>
      </w:r>
      <w:r>
        <w:t xml:space="preserve"> involved organ system) after </w:t>
      </w:r>
      <w:r w:rsidR="00C10C16">
        <w:t>seven</w:t>
      </w:r>
      <w:r>
        <w:t xml:space="preserve"> days of primary treatment with methylprednisolone ≥ 2 mg/kg per day (or equivalent).</w:t>
      </w:r>
    </w:p>
    <w:p w14:paraId="1EB337AC" w14:textId="24EDAAFA" w:rsidR="00B37501" w:rsidRDefault="00B37501" w:rsidP="00874C3E">
      <w:pPr>
        <w:pStyle w:val="ListBullet2"/>
      </w:pPr>
      <w:r>
        <w:t>Subjects who previously began corticosteroid therapy at a lower dose (≥</w:t>
      </w:r>
      <w:r w:rsidR="00C10C16">
        <w:t xml:space="preserve"> </w:t>
      </w:r>
      <w:r>
        <w:t>1 mg/kg methylprednisolone) for treatment of skin GVHD or skin GVHD accompanied by upper GI GVHD</w:t>
      </w:r>
      <w:r w:rsidR="00C10C16">
        <w:t xml:space="preserve"> </w:t>
      </w:r>
      <w:r>
        <w:t>but develop new GVHD in another organ system.</w:t>
      </w:r>
    </w:p>
    <w:p w14:paraId="5C6B8C90" w14:textId="3B5A04F6" w:rsidR="00B37501" w:rsidRDefault="00B37501" w:rsidP="00874C3E">
      <w:pPr>
        <w:pStyle w:val="ListBullet2"/>
      </w:pPr>
      <w:r>
        <w:t>Subjects who cannot tolerate a corticosteroid taper, that is, begin</w:t>
      </w:r>
      <w:r w:rsidR="00751CBC">
        <w:t>ning</w:t>
      </w:r>
      <w:r>
        <w:t xml:space="preserve"> corticosteroids at 2.0</w:t>
      </w:r>
      <w:r w:rsidR="00C10C16">
        <w:t> </w:t>
      </w:r>
      <w:r>
        <w:t>mg/kg per day, demonstrate response, but progress before a 50% decrease from the initial starting dose of corticosteroids is achieved.</w:t>
      </w:r>
    </w:p>
    <w:p w14:paraId="3467CF06" w14:textId="0EA69EC1" w:rsidR="00B37501" w:rsidRDefault="00B37501" w:rsidP="00874C3E">
      <w:pPr>
        <w:pStyle w:val="ListBullet"/>
      </w:pPr>
      <w:r>
        <w:lastRenderedPageBreak/>
        <w:t xml:space="preserve">Evidence of myeloid engraftment </w:t>
      </w:r>
      <w:r w:rsidR="00C10C16">
        <w:t xml:space="preserve">for example, </w:t>
      </w:r>
      <w:r w:rsidR="00751CBC">
        <w:t xml:space="preserve">an </w:t>
      </w:r>
      <w:r w:rsidR="00C10C16" w:rsidRPr="00C10C16">
        <w:t>absolute neutrophil count</w:t>
      </w:r>
      <w:r w:rsidR="00C10C16">
        <w:t xml:space="preserve"> (</w:t>
      </w:r>
      <w:r>
        <w:t>ANC</w:t>
      </w:r>
      <w:r w:rsidR="00C10C16">
        <w:t>)</w:t>
      </w:r>
      <w:r>
        <w:t xml:space="preserve"> ≥</w:t>
      </w:r>
      <w:r w:rsidR="00751CBC">
        <w:t> </w:t>
      </w:r>
      <w:r>
        <w:t>0.5</w:t>
      </w:r>
      <w:r w:rsidR="00751CBC">
        <w:t> x </w:t>
      </w:r>
      <w:r>
        <w:t>10</w:t>
      </w:r>
      <w:r w:rsidRPr="00A600BC">
        <w:rPr>
          <w:vertAlign w:val="superscript"/>
        </w:rPr>
        <w:t>9</w:t>
      </w:r>
      <w:r>
        <w:t xml:space="preserve"> /L for </w:t>
      </w:r>
      <w:r w:rsidR="00C10C16">
        <w:t>three</w:t>
      </w:r>
      <w:r>
        <w:t xml:space="preserve"> consecutive days if ablative therapy was previously used. Use of growth factor supplementation was allowed.</w:t>
      </w:r>
    </w:p>
    <w:p w14:paraId="78184730" w14:textId="7BEC4C4B" w:rsidR="00C10C16" w:rsidRDefault="00C10C16" w:rsidP="00C10C16">
      <w:pPr>
        <w:pStyle w:val="TableTitle"/>
      </w:pPr>
      <w:bookmarkStart w:id="49" w:name="_Ref130804709"/>
      <w:r>
        <w:t xml:space="preserve">Table </w:t>
      </w:r>
      <w:r w:rsidR="00F20AB1">
        <w:fldChar w:fldCharType="begin"/>
      </w:r>
      <w:r w:rsidR="00F20AB1">
        <w:instrText xml:space="preserve"> SEQ Table \* ARABIC </w:instrText>
      </w:r>
      <w:r w:rsidR="00F20AB1">
        <w:fldChar w:fldCharType="separate"/>
      </w:r>
      <w:r w:rsidR="00337955">
        <w:rPr>
          <w:noProof/>
        </w:rPr>
        <w:t>3</w:t>
      </w:r>
      <w:r w:rsidR="00F20AB1">
        <w:rPr>
          <w:noProof/>
        </w:rPr>
        <w:fldChar w:fldCharType="end"/>
      </w:r>
      <w:bookmarkEnd w:id="49"/>
      <w:r>
        <w:t xml:space="preserve">: </w:t>
      </w:r>
      <w:r w:rsidR="00751CBC">
        <w:t>Harris et al. (2016); MAGIC Guidelines for a</w:t>
      </w:r>
      <w:r>
        <w:t xml:space="preserve">cute </w:t>
      </w:r>
      <w:r w:rsidR="00751CBC">
        <w:t>graft-versus-host disease</w:t>
      </w:r>
      <w:r>
        <w:t xml:space="preserve"> </w:t>
      </w:r>
      <w:r w:rsidR="00751CBC">
        <w:t>s</w:t>
      </w:r>
      <w:r>
        <w:t xml:space="preserve">taging and </w:t>
      </w:r>
      <w:r w:rsidR="00751CBC">
        <w:t>g</w:t>
      </w:r>
      <w:r>
        <w:t xml:space="preserve">rading </w:t>
      </w:r>
    </w:p>
    <w:p w14:paraId="5A23EDD1" w14:textId="33333734" w:rsidR="009D4DF3" w:rsidRDefault="009D4DF3" w:rsidP="00C10C16">
      <w:pPr>
        <w:pStyle w:val="TableTitle"/>
      </w:pPr>
      <w:r>
        <w:rPr>
          <w:noProof/>
          <w:lang w:val="en-GB" w:eastAsia="en-GB"/>
        </w:rPr>
        <w:drawing>
          <wp:inline distT="0" distB="0" distL="0" distR="0" wp14:anchorId="75931EA0" wp14:editId="7398C2C7">
            <wp:extent cx="5772150" cy="2907713"/>
            <wp:effectExtent l="0" t="0" r="0" b="6985"/>
            <wp:docPr id="27" name="Picture 27" descr="This table shows acute GVHD staging and grading based on the MAGIC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table shows acute GVHD staging and grading based on the MAGIC guidelines."/>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772245" cy="2907761"/>
                    </a:xfrm>
                    <a:prstGeom prst="rect">
                      <a:avLst/>
                    </a:prstGeom>
                  </pic:spPr>
                </pic:pic>
              </a:graphicData>
            </a:graphic>
          </wp:inline>
        </w:drawing>
      </w:r>
    </w:p>
    <w:p w14:paraId="3791EFAB" w14:textId="544DEFFB" w:rsidR="00751CBC" w:rsidRDefault="00751CBC" w:rsidP="009D4DF3">
      <w:pPr>
        <w:pStyle w:val="TableDescription"/>
      </w:pPr>
      <w:r>
        <w:t>Abbreviations: BSA = body surface area; GI = gastrointestinal; GVHD = graft versus host disease.</w:t>
      </w:r>
    </w:p>
    <w:p w14:paraId="4ED9892D" w14:textId="75D6413E" w:rsidR="009D4DF3" w:rsidRPr="009D4DF3" w:rsidRDefault="009D4DF3" w:rsidP="009D4DF3">
      <w:pPr>
        <w:pStyle w:val="TableDescription"/>
      </w:pPr>
      <w:r w:rsidRPr="009D4DF3">
        <w:t>Overall clinical grade (based on most severe target organ involvement)</w:t>
      </w:r>
    </w:p>
    <w:p w14:paraId="51EAAED7" w14:textId="19FE275D" w:rsidR="009D4DF3" w:rsidRPr="009D4DF3" w:rsidRDefault="009D4DF3" w:rsidP="009D4DF3">
      <w:pPr>
        <w:pStyle w:val="TableDescription"/>
      </w:pPr>
      <w:r w:rsidRPr="009D4DF3">
        <w:t xml:space="preserve">Grade 0: No Stage 1 </w:t>
      </w:r>
      <w:r w:rsidR="00751CBC">
        <w:t>to</w:t>
      </w:r>
      <w:r w:rsidRPr="009D4DF3">
        <w:t xml:space="preserve"> 4 of any organs</w:t>
      </w:r>
    </w:p>
    <w:p w14:paraId="0963B083" w14:textId="4638EB2F" w:rsidR="009D4DF3" w:rsidRPr="009D4DF3" w:rsidRDefault="009D4DF3" w:rsidP="009D4DF3">
      <w:pPr>
        <w:pStyle w:val="TableDescription"/>
      </w:pPr>
      <w:r w:rsidRPr="009D4DF3">
        <w:t xml:space="preserve">Grade 1: Stage 1 </w:t>
      </w:r>
      <w:r w:rsidR="00751CBC">
        <w:t>to</w:t>
      </w:r>
      <w:r w:rsidRPr="009D4DF3">
        <w:t xml:space="preserve"> 2 skin without liver, upper gastro-intestinal, or lower gastro-intestinal involvement).</w:t>
      </w:r>
    </w:p>
    <w:p w14:paraId="7B2BC740" w14:textId="0D380EC3" w:rsidR="009D4DF3" w:rsidRPr="009D4DF3" w:rsidRDefault="009D4DF3" w:rsidP="009D4DF3">
      <w:pPr>
        <w:pStyle w:val="TableDescription"/>
      </w:pPr>
      <w:r w:rsidRPr="009D4DF3">
        <w:t>Grade II: Stage 3 rash and/or Stage 1 liver and/or Stage 1 upper gastro-intestinal and/or Stage 1 lower gastro-intestinal.</w:t>
      </w:r>
    </w:p>
    <w:p w14:paraId="3A9B120D" w14:textId="001664D5" w:rsidR="009D4DF3" w:rsidRPr="009D4DF3" w:rsidRDefault="009D4DF3" w:rsidP="009D4DF3">
      <w:pPr>
        <w:pStyle w:val="TableDescription"/>
      </w:pPr>
      <w:r w:rsidRPr="009D4DF3">
        <w:t xml:space="preserve">Grade III: Stage 2 </w:t>
      </w:r>
      <w:r w:rsidR="00751CBC">
        <w:t xml:space="preserve">to </w:t>
      </w:r>
      <w:r w:rsidRPr="009D4DF3">
        <w:t xml:space="preserve">3 liver and/or Stage 2 </w:t>
      </w:r>
      <w:r w:rsidR="00751CBC">
        <w:t>to</w:t>
      </w:r>
      <w:r w:rsidRPr="009D4DF3">
        <w:t xml:space="preserve"> 3 lower gastro-intestinal, with Stage 0 </w:t>
      </w:r>
      <w:r w:rsidR="00751CBC">
        <w:t>to</w:t>
      </w:r>
      <w:r w:rsidRPr="009D4DF3">
        <w:t xml:space="preserve"> 3 skin and/or Stage 0 </w:t>
      </w:r>
      <w:r w:rsidR="00751CBC">
        <w:t>to</w:t>
      </w:r>
      <w:r w:rsidRPr="009D4DF3">
        <w:t xml:space="preserve"> 1 upper gastro-intestinal.</w:t>
      </w:r>
    </w:p>
    <w:p w14:paraId="4754968C" w14:textId="7626FEEA" w:rsidR="009D4DF3" w:rsidRPr="009D4DF3" w:rsidRDefault="009D4DF3" w:rsidP="009D4DF3">
      <w:pPr>
        <w:pStyle w:val="TableDescription"/>
      </w:pPr>
      <w:r w:rsidRPr="009D4DF3">
        <w:t xml:space="preserve">Grave IV: Stage 4 skin, liver, or gastro-intestinal involvement, with Stage 0 </w:t>
      </w:r>
      <w:r w:rsidR="00751CBC">
        <w:t>to</w:t>
      </w:r>
      <w:r w:rsidRPr="009D4DF3">
        <w:t xml:space="preserve"> 1 upper gastro-intestinal</w:t>
      </w:r>
    </w:p>
    <w:p w14:paraId="45C9861C" w14:textId="51B32B0B" w:rsidR="00C10C16" w:rsidRDefault="00751CBC" w:rsidP="00A600BC">
      <w:pPr>
        <w:pStyle w:val="TableDescription"/>
      </w:pPr>
      <w:r>
        <w:t xml:space="preserve">Reproduced from: </w:t>
      </w:r>
      <w:r w:rsidRPr="009677D4">
        <w:t>Harris AC, You</w:t>
      </w:r>
      <w:r w:rsidRPr="00A600BC">
        <w:t xml:space="preserve">ng R, Devine S, et al. International, </w:t>
      </w:r>
      <w:proofErr w:type="spellStart"/>
      <w:r w:rsidRPr="00A600BC">
        <w:t>Multicenter</w:t>
      </w:r>
      <w:proofErr w:type="spellEnd"/>
      <w:r w:rsidRPr="00A600BC">
        <w:t xml:space="preserve"> Standardization of Acute Graft-versus-Host Disease Clinical Data Collection: A Report from the Mount Sinai Acute GVHD International Consortium. Biol Blood Marrow Transplant. 2016;22(1):4-10.</w:t>
      </w:r>
    </w:p>
    <w:p w14:paraId="5A40CEA3" w14:textId="77777777" w:rsidR="00751CBC" w:rsidRPr="009677D4" w:rsidRDefault="00751CBC" w:rsidP="00A600BC">
      <w:pPr>
        <w:pStyle w:val="TableDescription"/>
      </w:pPr>
    </w:p>
    <w:p w14:paraId="1ACAEF83" w14:textId="77777777" w:rsidR="00C10C16" w:rsidRDefault="00B37501" w:rsidP="00B37501">
      <w:r w:rsidRPr="00B37501">
        <w:t xml:space="preserve">The major exclusion criteria were: </w:t>
      </w:r>
    </w:p>
    <w:p w14:paraId="3C8EC952" w14:textId="771B8348" w:rsidR="00C10C16" w:rsidRDefault="00C10C16" w:rsidP="00C10C16">
      <w:pPr>
        <w:pStyle w:val="ListBullet"/>
      </w:pPr>
      <w:r>
        <w:t>More than one</w:t>
      </w:r>
      <w:r w:rsidR="00B37501" w:rsidRPr="00B37501">
        <w:t xml:space="preserve"> </w:t>
      </w:r>
      <w:r w:rsidR="004249D6" w:rsidRPr="004249D6">
        <w:t xml:space="preserve">allogeneic </w:t>
      </w:r>
      <w:r w:rsidR="00A27A36" w:rsidRPr="00A27A36">
        <w:t>haematopoietic stem cell transplantation</w:t>
      </w:r>
    </w:p>
    <w:p w14:paraId="6EB19416" w14:textId="63273113" w:rsidR="00C10C16" w:rsidRDefault="00C10C16" w:rsidP="00C10C16">
      <w:pPr>
        <w:pStyle w:val="ListBullet"/>
      </w:pPr>
      <w:r>
        <w:t>More than one</w:t>
      </w:r>
      <w:r w:rsidR="00B37501" w:rsidRPr="00B37501">
        <w:t xml:space="preserve"> systemic treatment in addition to corticosteroids for a</w:t>
      </w:r>
      <w:r w:rsidR="00024FD4">
        <w:t xml:space="preserve">cute </w:t>
      </w:r>
      <w:r w:rsidR="00B37501" w:rsidRPr="00B37501">
        <w:t>GVHD</w:t>
      </w:r>
    </w:p>
    <w:p w14:paraId="63FBF62C" w14:textId="6C7B3999" w:rsidR="00C10C16" w:rsidRDefault="00C10C16" w:rsidP="00C10C16">
      <w:pPr>
        <w:pStyle w:val="ListBullet"/>
      </w:pPr>
      <w:r>
        <w:t>P</w:t>
      </w:r>
      <w:r w:rsidR="00B37501" w:rsidRPr="00B37501">
        <w:t>resence of GVHD overlap syndrome</w:t>
      </w:r>
    </w:p>
    <w:p w14:paraId="16A586A1" w14:textId="3FAE5236" w:rsidR="00C10C16" w:rsidRDefault="00C10C16" w:rsidP="00C10C16">
      <w:pPr>
        <w:pStyle w:val="ListBullet"/>
      </w:pPr>
      <w:r>
        <w:t>S</w:t>
      </w:r>
      <w:r w:rsidR="00B37501" w:rsidRPr="00B37501">
        <w:t>plenectomy</w:t>
      </w:r>
    </w:p>
    <w:p w14:paraId="54A2C65C" w14:textId="77777777" w:rsidR="00C10C16" w:rsidRDefault="00C10C16" w:rsidP="00C10C16">
      <w:pPr>
        <w:pStyle w:val="ListBullet"/>
      </w:pPr>
      <w:r>
        <w:t>U</w:t>
      </w:r>
      <w:r w:rsidR="00B37501" w:rsidRPr="00B37501">
        <w:t>ncontrolled infection</w:t>
      </w:r>
    </w:p>
    <w:p w14:paraId="64CFE3E8" w14:textId="0AB0132C" w:rsidR="00B37501" w:rsidRPr="00C96FAD" w:rsidRDefault="00C10C16" w:rsidP="00C10C16">
      <w:pPr>
        <w:pStyle w:val="ListBullet"/>
      </w:pPr>
      <w:r w:rsidRPr="00C96FAD">
        <w:t>S</w:t>
      </w:r>
      <w:r w:rsidR="00B37501" w:rsidRPr="00C96FAD">
        <w:t>evere organ dysfunction unrelated to a</w:t>
      </w:r>
      <w:r w:rsidR="00024FD4">
        <w:t xml:space="preserve">cute </w:t>
      </w:r>
      <w:r w:rsidR="00B37501" w:rsidRPr="00C96FAD">
        <w:t>GVHD</w:t>
      </w:r>
      <w:r w:rsidR="00024FD4">
        <w:t>.</w:t>
      </w:r>
    </w:p>
    <w:p w14:paraId="7BDDED8C" w14:textId="0A0F0F23" w:rsidR="00E70AA0" w:rsidRDefault="00B37501" w:rsidP="00B37501">
      <w:pPr>
        <w:pStyle w:val="Heading7"/>
      </w:pPr>
      <w:r w:rsidRPr="00C96FAD">
        <w:t>Study treatments</w:t>
      </w:r>
    </w:p>
    <w:p w14:paraId="6A42C0AE" w14:textId="1A6EE916" w:rsidR="00B37501" w:rsidRDefault="00B37501" w:rsidP="00B37501">
      <w:r>
        <w:t xml:space="preserve">All subjects initially received ruxolitinib 5 mg </w:t>
      </w:r>
      <w:r w:rsidR="00C10C16">
        <w:t>twice a day</w:t>
      </w:r>
      <w:r>
        <w:t xml:space="preserve">. If haematologic parameters were stable and no treatment-related toxicity was observed after the first </w:t>
      </w:r>
      <w:r w:rsidR="00C10C16">
        <w:t>three</w:t>
      </w:r>
      <w:r>
        <w:t xml:space="preserve"> days of treatment, the </w:t>
      </w:r>
      <w:r>
        <w:lastRenderedPageBreak/>
        <w:t xml:space="preserve">dose could be increased to 10 mg </w:t>
      </w:r>
      <w:r w:rsidR="00C10C16">
        <w:t>twice a day</w:t>
      </w:r>
      <w:r>
        <w:t>. Stable h</w:t>
      </w:r>
      <w:r w:rsidR="00024FD4">
        <w:t>a</w:t>
      </w:r>
      <w:r>
        <w:t>ematologic parameters were defined as the absence of a ≥ 50% decrease in platelet counts and/or ANC relative to Day 1.</w:t>
      </w:r>
      <w:r w:rsidR="00C10C16">
        <w:t xml:space="preserve"> </w:t>
      </w:r>
      <w:r>
        <w:t>Subjects also received prednisone 2.5 mg/kg per day orally or methylprednisolone 2.0 mg/kg per day</w:t>
      </w:r>
      <w:r w:rsidR="00C10C16">
        <w:t xml:space="preserve"> intravenously</w:t>
      </w:r>
      <w:r>
        <w:t xml:space="preserve"> (or a previously prescribed corticosteroid dose) on Day 1, and corticosteroids were tapered as appropriate.</w:t>
      </w:r>
    </w:p>
    <w:p w14:paraId="6B3DF9E0" w14:textId="77777777" w:rsidR="00E70AA0" w:rsidRDefault="00B37501" w:rsidP="00B37501">
      <w:r>
        <w:t xml:space="preserve">Subjects could remain on study treatment until they tapered </w:t>
      </w:r>
      <w:proofErr w:type="gramStart"/>
      <w:r>
        <w:t>off of</w:t>
      </w:r>
      <w:proofErr w:type="gramEnd"/>
      <w:r>
        <w:t xml:space="preserve"> ruxolitinib, or until treatment failure (no response or requiring additional systemic therapy for GVHD progression), progression of underlying malignancy, unacceptable toxicity, withdrawal from therapy by the participant, physician decision, or death. Continued use of anti-infective medications, GVHD prophylaxis medications (including calcineurin inhibitors), transfusion support, and topical steroid therapy was permitted.</w:t>
      </w:r>
    </w:p>
    <w:p w14:paraId="387D9B62" w14:textId="510E5869" w:rsidR="00B37501" w:rsidRDefault="00B37501" w:rsidP="00B37501">
      <w:r>
        <w:t xml:space="preserve">All 71 participants (100.0%) received at least </w:t>
      </w:r>
      <w:r w:rsidR="00C10C16">
        <w:t>one</w:t>
      </w:r>
      <w:r>
        <w:t xml:space="preserve"> dose of ruxolitinib. A total of 42 participants (59.2%) received ruxolitinib for more than 28 days, and 18 participants (25.4%) received ruxolitinib for more than 180 days. The median duration of ruxolitinib treatment was 46.0 days (range: 4</w:t>
      </w:r>
      <w:r w:rsidR="00C10C16">
        <w:t xml:space="preserve"> to </w:t>
      </w:r>
      <w:r>
        <w:t>811 days), and the median average reported daily dose was 10.21 mg/day (range:</w:t>
      </w:r>
      <w:r w:rsidR="00024FD4">
        <w:t> </w:t>
      </w:r>
      <w:r>
        <w:t>5.1</w:t>
      </w:r>
      <w:r w:rsidR="00C10C16">
        <w:t xml:space="preserve"> to </w:t>
      </w:r>
      <w:r>
        <w:t>19.7 mg/day).</w:t>
      </w:r>
    </w:p>
    <w:p w14:paraId="5220EA10" w14:textId="068942DF" w:rsidR="00B37501" w:rsidRDefault="00B37501" w:rsidP="00B37501">
      <w:r>
        <w:t xml:space="preserve">On Day 1, 69 participants (97.2%) were receiving ruxolitinib 5 mg </w:t>
      </w:r>
      <w:r w:rsidR="00C10C16">
        <w:t>twice a day</w:t>
      </w:r>
      <w:r>
        <w:t xml:space="preserve">, and </w:t>
      </w:r>
      <w:r w:rsidR="00C10C16">
        <w:t>two</w:t>
      </w:r>
      <w:r>
        <w:t xml:space="preserve"> participants (2.8%) were receiving ruxolitinib 5 mg </w:t>
      </w:r>
      <w:r w:rsidR="00C10C16">
        <w:t>four times a day</w:t>
      </w:r>
      <w:r>
        <w:t>. By Day 7, more than half of the participants who were still receiving ruxolitinib (35</w:t>
      </w:r>
      <w:r w:rsidR="00024FD4">
        <w:t xml:space="preserve"> of </w:t>
      </w:r>
      <w:r>
        <w:t xml:space="preserve">67 participants, 52.2%) had their ruxolitinib dose increased to 10 mg </w:t>
      </w:r>
      <w:r w:rsidR="00C10C16">
        <w:t>twice a day</w:t>
      </w:r>
      <w:r>
        <w:t xml:space="preserve"> per the </w:t>
      </w:r>
      <w:r w:rsidR="00C10C16">
        <w:t>p</w:t>
      </w:r>
      <w:r>
        <w:t xml:space="preserve">rotocol. The remaining participants still receiving ruxolitinib were receiving 5 mg </w:t>
      </w:r>
      <w:r w:rsidR="00C10C16">
        <w:t>twice a day</w:t>
      </w:r>
      <w:r>
        <w:t xml:space="preserve"> (28</w:t>
      </w:r>
      <w:r w:rsidR="00024FD4">
        <w:t xml:space="preserve"> of </w:t>
      </w:r>
      <w:r>
        <w:t xml:space="preserve">67 participants, 41.8%) or an alternate dose regimen (5 mg </w:t>
      </w:r>
      <w:r w:rsidR="00C10C16">
        <w:t>four times a day</w:t>
      </w:r>
      <w:r>
        <w:t xml:space="preserve">, 10 mg </w:t>
      </w:r>
      <w:r w:rsidR="00C908B0">
        <w:t>four times a day</w:t>
      </w:r>
      <w:r>
        <w:t xml:space="preserve">, or 15 mg </w:t>
      </w:r>
      <w:r w:rsidR="00C10C16">
        <w:t>once a day</w:t>
      </w:r>
      <w:r>
        <w:t>; 4</w:t>
      </w:r>
      <w:r w:rsidR="00024FD4">
        <w:t> of </w:t>
      </w:r>
      <w:r>
        <w:t xml:space="preserve">67 participants, 6.0%) on Day 7. From Day 28 through Day 180, </w:t>
      </w:r>
      <w:proofErr w:type="gramStart"/>
      <w:r>
        <w:t>the majority of</w:t>
      </w:r>
      <w:proofErr w:type="gramEnd"/>
      <w:r>
        <w:t xml:space="preserve"> participants who were still receiving ruxolitinib treatment were receiving 5 mg </w:t>
      </w:r>
      <w:r w:rsidR="00C908B0">
        <w:t>twice a day</w:t>
      </w:r>
      <w:r>
        <w:t xml:space="preserve"> or 10 mg </w:t>
      </w:r>
      <w:r w:rsidR="00C908B0">
        <w:t>twice a day</w:t>
      </w:r>
      <w:r>
        <w:t>. At Day 28, nearly half of the participants who were still receiving ruxolitinib (20</w:t>
      </w:r>
      <w:r w:rsidR="00024FD4">
        <w:t xml:space="preserve"> of </w:t>
      </w:r>
      <w:r>
        <w:t xml:space="preserve">43; 46.5%) were receiving 10 mg </w:t>
      </w:r>
      <w:r w:rsidR="00C908B0">
        <w:t>twice a day</w:t>
      </w:r>
      <w:r>
        <w:t>, and nearly one</w:t>
      </w:r>
      <w:r w:rsidR="00C908B0">
        <w:t xml:space="preserve"> </w:t>
      </w:r>
      <w:r>
        <w:t>third of participants (13</w:t>
      </w:r>
      <w:r w:rsidR="00024FD4">
        <w:t xml:space="preserve"> of </w:t>
      </w:r>
      <w:r>
        <w:t>43; 30.2%) were receiving 5 mg</w:t>
      </w:r>
      <w:r w:rsidR="00C908B0">
        <w:t xml:space="preserve"> twice a day</w:t>
      </w:r>
      <w:r>
        <w:t>. One participant (2.3%) was receiving 15 mg daily on Day 28, and the remaining participants (9</w:t>
      </w:r>
      <w:r w:rsidR="00024FD4">
        <w:t xml:space="preserve"> of </w:t>
      </w:r>
      <w:r>
        <w:t>43; 20.9%) were receiving 5 mg</w:t>
      </w:r>
      <w:r w:rsidR="00C908B0">
        <w:t xml:space="preserve"> four times a day</w:t>
      </w:r>
      <w:r>
        <w:t xml:space="preserve"> or less.</w:t>
      </w:r>
    </w:p>
    <w:p w14:paraId="05973AAB" w14:textId="5AD729DF" w:rsidR="00B37501" w:rsidRDefault="00B37501" w:rsidP="00B37501">
      <w:r w:rsidRPr="00B37501">
        <w:t xml:space="preserve">If a subject achieved </w:t>
      </w:r>
      <w:r w:rsidR="00C908B0">
        <w:t>complete response (</w:t>
      </w:r>
      <w:r w:rsidRPr="00B37501">
        <w:t>CR</w:t>
      </w:r>
      <w:r w:rsidR="00C908B0">
        <w:t>)</w:t>
      </w:r>
      <w:r w:rsidRPr="00B37501">
        <w:t xml:space="preserve"> or </w:t>
      </w:r>
      <w:r w:rsidR="00C908B0">
        <w:t>very good partial response (</w:t>
      </w:r>
      <w:r w:rsidRPr="00B37501">
        <w:t>VGPR</w:t>
      </w:r>
      <w:r w:rsidR="00C908B0">
        <w:t>)</w:t>
      </w:r>
      <w:r w:rsidRPr="00B37501">
        <w:t xml:space="preserve"> at Day 180, investigators could begin to taper the dose of ruxolitinib by </w:t>
      </w:r>
      <w:r w:rsidR="00C908B0">
        <w:t>one</w:t>
      </w:r>
      <w:r w:rsidRPr="00B37501">
        <w:t xml:space="preserve"> dose level provided corticosteroids had been discontinued for at least </w:t>
      </w:r>
      <w:r w:rsidR="00024FD4">
        <w:t>eight</w:t>
      </w:r>
      <w:r w:rsidRPr="00B37501">
        <w:t xml:space="preserve"> weeks following institutional guidelines. Subjects still receiving calcineurin inhibitors or other agents for GVHD prophylaxis could continue to do so at the treating investigator's discretion. In addition, subjects must not be experiencing any Grade 2 or higher haematologic toxicity related to ruxolitinib or symptoms of an active infection. Subsequent reductions to the dose of ruxolitinib could be made after an additional 56 days had elapsed provided the </w:t>
      </w:r>
      <w:proofErr w:type="gramStart"/>
      <w:r w:rsidRPr="00B37501">
        <w:t>aforementioned requirements</w:t>
      </w:r>
      <w:proofErr w:type="gramEnd"/>
      <w:r w:rsidRPr="00B37501">
        <w:t xml:space="preserve"> are still being met.</w:t>
      </w:r>
    </w:p>
    <w:p w14:paraId="24AABDC6" w14:textId="31E1BE4B" w:rsidR="00B37501" w:rsidRDefault="00B37501" w:rsidP="00B37501">
      <w:pPr>
        <w:pStyle w:val="Heading7"/>
      </w:pPr>
      <w:bookmarkStart w:id="50" w:name="_Ref133411753"/>
      <w:r>
        <w:t>Efficacy variables and outcomes</w:t>
      </w:r>
      <w:bookmarkEnd w:id="50"/>
    </w:p>
    <w:p w14:paraId="7553B2E9" w14:textId="32353D18" w:rsidR="00B37501" w:rsidRDefault="00B37501" w:rsidP="00B37501">
      <w:r>
        <w:t xml:space="preserve">Efficacy measures were assessed by the </w:t>
      </w:r>
      <w:r w:rsidR="00C908B0">
        <w:t>i</w:t>
      </w:r>
      <w:r>
        <w:t>nvestigator only.</w:t>
      </w:r>
      <w:r w:rsidR="00E70AA0">
        <w:t xml:space="preserve"> </w:t>
      </w:r>
      <w:r>
        <w:t xml:space="preserve">GVHD response assessments were made with respect to changes in the organ stage relative to Day 1. The primary efficacy endpoint was the </w:t>
      </w:r>
      <w:r w:rsidR="00C908B0">
        <w:t>o</w:t>
      </w:r>
      <w:r>
        <w:t xml:space="preserve">verall </w:t>
      </w:r>
      <w:r w:rsidR="00C908B0">
        <w:t>r</w:t>
      </w:r>
      <w:r>
        <w:t xml:space="preserve">esponse </w:t>
      </w:r>
      <w:r w:rsidR="00C908B0">
        <w:t>r</w:t>
      </w:r>
      <w:r>
        <w:t>ate (ORR) at Day 28, defined as the proportion of participants demonstrating a complete response, very good partial response, or partial response (PR). The definitions for these criteria are listed below.</w:t>
      </w:r>
    </w:p>
    <w:p w14:paraId="621D2EF8" w14:textId="5409BFE9" w:rsidR="00B37501" w:rsidRDefault="00B37501" w:rsidP="00B37501">
      <w:pPr>
        <w:pStyle w:val="ListBullet"/>
      </w:pPr>
      <w:r>
        <w:t>Complete response (CR): a score of 0 for the GVHD grading in all evaluable organs. For a response to be scored as CR at Day 28 or later, the participant must still be in CR on that day and have had no intervening additional therapy for an earlier progression, mixed response, or no response.</w:t>
      </w:r>
    </w:p>
    <w:p w14:paraId="149FBCB5" w14:textId="2C83FAF3" w:rsidR="00B37501" w:rsidRDefault="00B37501" w:rsidP="00B37501">
      <w:pPr>
        <w:pStyle w:val="ListBullet"/>
      </w:pPr>
      <w:r>
        <w:t>Very good partial response (VGPR):</w:t>
      </w:r>
    </w:p>
    <w:p w14:paraId="4F1732B6" w14:textId="6B1B9FA8" w:rsidR="00B37501" w:rsidRDefault="00B37501" w:rsidP="00B37501">
      <w:pPr>
        <w:pStyle w:val="ListBullet2"/>
      </w:pPr>
      <w:r>
        <w:lastRenderedPageBreak/>
        <w:t xml:space="preserve">Skin: No rash, or residual erythematous rash involving </w:t>
      </w:r>
      <w:r w:rsidR="00C908B0">
        <w:t>less than</w:t>
      </w:r>
      <w:r>
        <w:t xml:space="preserve"> 25% of the body surface, without bullae (residual faint erythema and hyperpigmentation do not count).</w:t>
      </w:r>
    </w:p>
    <w:p w14:paraId="48014A7B" w14:textId="32ED167E" w:rsidR="00B37501" w:rsidRDefault="00B37501" w:rsidP="00B37501">
      <w:pPr>
        <w:pStyle w:val="ListBullet2"/>
      </w:pPr>
      <w:r>
        <w:t xml:space="preserve">Liver: Total serum bilirubin concentration </w:t>
      </w:r>
      <w:r w:rsidR="00C908B0">
        <w:t>less than</w:t>
      </w:r>
      <w:r>
        <w:t xml:space="preserve"> 2 mg/dL or </w:t>
      </w:r>
      <w:r w:rsidR="00C908B0">
        <w:t>less than</w:t>
      </w:r>
      <w:r>
        <w:t xml:space="preserve"> 25% of baseline at enrolment.</w:t>
      </w:r>
    </w:p>
    <w:p w14:paraId="678ABC08" w14:textId="77777777" w:rsidR="00B37501" w:rsidRDefault="00B37501" w:rsidP="00B37501">
      <w:pPr>
        <w:pStyle w:val="ListBullet2"/>
      </w:pPr>
      <w:r>
        <w:t>Gut: tolerating food or enteral feeding; predominantly formed stools; no overt gastrointestinal bleeding or abdominal cramping; no more than occasional nausea or vomiting.</w:t>
      </w:r>
    </w:p>
    <w:p w14:paraId="4D296479" w14:textId="2CB92C42" w:rsidR="00B37501" w:rsidRDefault="00B37501" w:rsidP="00B37501">
      <w:pPr>
        <w:pStyle w:val="ListBullet"/>
      </w:pPr>
      <w:r>
        <w:t xml:space="preserve">Partial response (PR): improvement in </w:t>
      </w:r>
      <w:r w:rsidR="00C908B0">
        <w:t>one</w:t>
      </w:r>
      <w:r>
        <w:t xml:space="preserve"> </w:t>
      </w:r>
      <w:r w:rsidR="00C908B0">
        <w:t>s</w:t>
      </w:r>
      <w:r>
        <w:t xml:space="preserve">tage in </w:t>
      </w:r>
      <w:r w:rsidR="00C908B0">
        <w:t>one</w:t>
      </w:r>
      <w:r>
        <w:t xml:space="preserve"> or more organs involved with GVHD symptoms without progression in others. For a response to be scored as PR at Day 28 or later, the participant must still be in PR on that day and have had no intervening additional therapy for an earlier progression, </w:t>
      </w:r>
      <w:r w:rsidR="00C908B0">
        <w:t>mixes response</w:t>
      </w:r>
      <w:r>
        <w:t xml:space="preserve">, or </w:t>
      </w:r>
      <w:r w:rsidR="00C908B0">
        <w:t>no response</w:t>
      </w:r>
      <w:r>
        <w:t>.</w:t>
      </w:r>
    </w:p>
    <w:p w14:paraId="480046CE" w14:textId="22CE1A33" w:rsidR="00B37501" w:rsidRDefault="00B37501" w:rsidP="00B37501">
      <w:pPr>
        <w:pStyle w:val="ListBullet"/>
      </w:pPr>
      <w:r>
        <w:t xml:space="preserve">Mixed response: improvement in </w:t>
      </w:r>
      <w:r w:rsidR="00C908B0">
        <w:t>one</w:t>
      </w:r>
      <w:r>
        <w:t xml:space="preserve"> or more organs with deterioration in another organ manifesting symptoms of GVHD or development of symptoms of GVHD in a new organ.</w:t>
      </w:r>
    </w:p>
    <w:p w14:paraId="4DA9264D" w14:textId="1F58A8AA" w:rsidR="00B37501" w:rsidRDefault="00B37501" w:rsidP="00B37501">
      <w:pPr>
        <w:pStyle w:val="ListBullet"/>
      </w:pPr>
      <w:r>
        <w:t xml:space="preserve">Progression of disease (PD): deterioration in at least </w:t>
      </w:r>
      <w:r w:rsidR="00C908B0">
        <w:t>one</w:t>
      </w:r>
      <w:r>
        <w:t xml:space="preserve"> organ without any improvement in others.</w:t>
      </w:r>
    </w:p>
    <w:p w14:paraId="7CF72249" w14:textId="6B8E8C40" w:rsidR="00B37501" w:rsidRPr="00660925" w:rsidRDefault="00B37501" w:rsidP="00B37501">
      <w:pPr>
        <w:pStyle w:val="ListBullet"/>
      </w:pPr>
      <w:r w:rsidRPr="00660925">
        <w:t>No response: absence of any improvement or progression as defined. Subjects receiving secondary therapy (including need to re-escalate steroid dose to greater than the Day 1 dose) will be classified as non</w:t>
      </w:r>
      <w:r w:rsidR="00C908B0">
        <w:t>-</w:t>
      </w:r>
      <w:r w:rsidRPr="00660925">
        <w:t>responders.</w:t>
      </w:r>
    </w:p>
    <w:p w14:paraId="5CA9E6F2" w14:textId="32592350" w:rsidR="00B37501" w:rsidRDefault="00B37501" w:rsidP="00B37501">
      <w:r w:rsidRPr="00B37501">
        <w:t>The key secondary endpoint was the six-month duration of response (DOR), defined as the time from first response until GVHD progression or death. DOR will be assessed when all subjects complete the Day 180 visit.</w:t>
      </w:r>
    </w:p>
    <w:p w14:paraId="20AC843D" w14:textId="7A0BBD23" w:rsidR="00B37501" w:rsidRDefault="00B37501" w:rsidP="00B37501">
      <w:r w:rsidRPr="00B37501">
        <w:t>Additional secondary endpoints were analysed as follows:</w:t>
      </w:r>
    </w:p>
    <w:p w14:paraId="06C2F131" w14:textId="0B6E2715" w:rsidR="00B37501" w:rsidRDefault="00024FD4" w:rsidP="00B37501">
      <w:pPr>
        <w:pStyle w:val="ListBullet"/>
      </w:pPr>
      <w:r>
        <w:t>Overall response rate (ORR)</w:t>
      </w:r>
      <w:r w:rsidR="00B37501">
        <w:t xml:space="preserve">, defined as the proportion of subjects demonstrating a CR, VGPR, or PR </w:t>
      </w:r>
      <w:r>
        <w:t xml:space="preserve">response </w:t>
      </w:r>
      <w:r w:rsidR="00B37501">
        <w:t>at Days 14, 56, and 100. Summary statistics and applicable 95% CI will be provided.</w:t>
      </w:r>
    </w:p>
    <w:p w14:paraId="28201F02" w14:textId="26B0237D" w:rsidR="00B37501" w:rsidRDefault="00B37501" w:rsidP="00B37501">
      <w:pPr>
        <w:pStyle w:val="ListBullet"/>
      </w:pPr>
      <w:r>
        <w:t xml:space="preserve">Three-month </w:t>
      </w:r>
      <w:r w:rsidR="00024FD4">
        <w:t>duration of response (</w:t>
      </w:r>
      <w:r>
        <w:t>DOR</w:t>
      </w:r>
      <w:r w:rsidR="00024FD4">
        <w:t>)</w:t>
      </w:r>
      <w:r>
        <w:t>, defined as the time from first response until GVHD progression or death when all subjects complete the Day 84 visit.</w:t>
      </w:r>
    </w:p>
    <w:p w14:paraId="1095988F" w14:textId="228FF292" w:rsidR="00B37501" w:rsidRDefault="00B37501" w:rsidP="00B37501">
      <w:pPr>
        <w:pStyle w:val="ListBullet"/>
      </w:pPr>
      <w:r>
        <w:t>N</w:t>
      </w:r>
      <w:r w:rsidR="00C908B0">
        <w:t>on-relapse mortality</w:t>
      </w:r>
      <w:r>
        <w:t>, defined as the proportion of subjects who died due to causes other than malignancy relapse at Months 6, 9, 12, and 24. Cumulative incidence rates will be provided. Summary statistics and applicable 95% CI will be provided.</w:t>
      </w:r>
    </w:p>
    <w:p w14:paraId="59928F18" w14:textId="751CD656" w:rsidR="00B37501" w:rsidRDefault="00B37501" w:rsidP="00B37501">
      <w:pPr>
        <w:pStyle w:val="ListBullet"/>
      </w:pPr>
      <w:r>
        <w:t>Relapse rate, defined as the proportion of subjects whose underlying malignancy relapses. The cumulative incidence rate and summary statistics will be provided.</w:t>
      </w:r>
    </w:p>
    <w:p w14:paraId="1C0BC96D" w14:textId="4F2A8C1D" w:rsidR="00B37501" w:rsidRDefault="00B37501" w:rsidP="00B37501">
      <w:pPr>
        <w:pStyle w:val="ListBullet"/>
      </w:pPr>
      <w:r>
        <w:t>Relapse-related mortality rate, defined as the proportion of subjects whose malignancy relapses and has a fatal outcome. The cumulative incidence rate and summary statistics will be provided.</w:t>
      </w:r>
    </w:p>
    <w:p w14:paraId="64A3F80E" w14:textId="14E9B32B" w:rsidR="00B37501" w:rsidRPr="00660925" w:rsidRDefault="00C908B0" w:rsidP="00B37501">
      <w:pPr>
        <w:pStyle w:val="ListBullet"/>
      </w:pPr>
      <w:r>
        <w:t>F</w:t>
      </w:r>
      <w:r w:rsidRPr="00C908B0">
        <w:t xml:space="preserve">ailure free survival </w:t>
      </w:r>
      <w:r>
        <w:t>(</w:t>
      </w:r>
      <w:r w:rsidR="00B37501">
        <w:t>FFS</w:t>
      </w:r>
      <w:r>
        <w:t>)</w:t>
      </w:r>
      <w:r w:rsidR="00B37501">
        <w:t xml:space="preserve">, defined as the proportion of subjects who are still alive, have not relapsed, have not required additional therapy for acute GVHD, and have not demonstrated signs or symptoms of </w:t>
      </w:r>
      <w:r w:rsidR="00B37501" w:rsidRPr="00660925">
        <w:t>chronic GVHD, at Month 6.</w:t>
      </w:r>
    </w:p>
    <w:p w14:paraId="2F63E9CB" w14:textId="0DA3E456" w:rsidR="00B37501" w:rsidRPr="00660925" w:rsidRDefault="00B37501" w:rsidP="00B37501">
      <w:pPr>
        <w:pStyle w:val="ListBullet"/>
      </w:pPr>
      <w:r w:rsidRPr="00660925">
        <w:t>Overall survival, defined as the time from study enrolment to death due to any cause.</w:t>
      </w:r>
    </w:p>
    <w:p w14:paraId="637B7CC6" w14:textId="0CA0435B" w:rsidR="00B37501" w:rsidRDefault="00B37501" w:rsidP="00B37501">
      <w:r w:rsidRPr="00B37501">
        <w:t xml:space="preserve">Acute GVHD grading was performed by the investigator weekly for the first </w:t>
      </w:r>
      <w:r w:rsidR="00C908B0">
        <w:t>eight</w:t>
      </w:r>
      <w:r w:rsidRPr="00B37501">
        <w:t xml:space="preserve"> weeks after enrolment, then every 28 days thereafter. GVHD staging and grading was to occur on Days 100, 180, and 365 and at the</w:t>
      </w:r>
      <w:r w:rsidR="00C908B0">
        <w:t xml:space="preserve"> end of treatment</w:t>
      </w:r>
      <w:r w:rsidRPr="00B37501">
        <w:t xml:space="preserve"> visit. Data for quantification of a</w:t>
      </w:r>
      <w:r w:rsidR="00024FD4">
        <w:t xml:space="preserve">cute </w:t>
      </w:r>
      <w:r w:rsidRPr="00B37501">
        <w:t xml:space="preserve">GVHD symptoms (extent of skin rash, total bilirubin level, volume of diarrhoea) was to be reported using MAGIC </w:t>
      </w:r>
      <w:r w:rsidRPr="00B37501">
        <w:lastRenderedPageBreak/>
        <w:t>guidelines</w:t>
      </w:r>
      <w:r w:rsidR="00752B40">
        <w:t>;</w:t>
      </w:r>
      <w:r w:rsidR="00752B40" w:rsidRPr="00A600BC">
        <w:rPr>
          <w:vertAlign w:val="superscript"/>
        </w:rPr>
        <w:fldChar w:fldCharType="begin"/>
      </w:r>
      <w:r w:rsidR="00752B40" w:rsidRPr="00A600BC">
        <w:rPr>
          <w:vertAlign w:val="superscript"/>
        </w:rPr>
        <w:instrText xml:space="preserve"> NOTEREF _Ref133410670 \h </w:instrText>
      </w:r>
      <w:r w:rsidR="00752B40">
        <w:rPr>
          <w:vertAlign w:val="superscript"/>
        </w:rPr>
        <w:instrText xml:space="preserve"> \* MERGEFORMAT </w:instrText>
      </w:r>
      <w:r w:rsidR="00752B40" w:rsidRPr="00A600BC">
        <w:rPr>
          <w:vertAlign w:val="superscript"/>
        </w:rPr>
      </w:r>
      <w:r w:rsidR="00752B40" w:rsidRPr="00A600BC">
        <w:rPr>
          <w:vertAlign w:val="superscript"/>
        </w:rPr>
        <w:fldChar w:fldCharType="separate"/>
      </w:r>
      <w:r w:rsidR="00337955">
        <w:rPr>
          <w:vertAlign w:val="superscript"/>
        </w:rPr>
        <w:t>22</w:t>
      </w:r>
      <w:r w:rsidR="00752B40" w:rsidRPr="00A600BC">
        <w:rPr>
          <w:vertAlign w:val="superscript"/>
        </w:rPr>
        <w:fldChar w:fldCharType="end"/>
      </w:r>
      <w:r w:rsidRPr="00B37501">
        <w:t xml:space="preserve"> with response assessed as per the </w:t>
      </w:r>
      <w:proofErr w:type="spellStart"/>
      <w:r w:rsidRPr="00B37501">
        <w:t>Center</w:t>
      </w:r>
      <w:proofErr w:type="spellEnd"/>
      <w:r w:rsidRPr="00B37501">
        <w:t xml:space="preserve"> for International Blood and Marrow Transplant Research (CIBMTR)</w:t>
      </w:r>
      <w:bookmarkStart w:id="51" w:name="_Ref130814041"/>
      <w:r w:rsidR="000F3773">
        <w:rPr>
          <w:rStyle w:val="FootnoteReference"/>
        </w:rPr>
        <w:footnoteReference w:id="23"/>
      </w:r>
      <w:bookmarkEnd w:id="51"/>
      <w:r w:rsidRPr="00B37501">
        <w:t xml:space="preserve"> modifications to the IBMTR response index.</w:t>
      </w:r>
      <w:r w:rsidR="00752B40" w:rsidRPr="00A23943">
        <w:rPr>
          <w:rStyle w:val="FootnoteReference"/>
        </w:rPr>
        <w:footnoteReference w:id="24"/>
      </w:r>
      <w:r w:rsidR="00A23943" w:rsidRPr="00A600BC">
        <w:rPr>
          <w:vertAlign w:val="superscript"/>
        </w:rPr>
        <w:t>,</w:t>
      </w:r>
      <w:r w:rsidR="00752B40" w:rsidRPr="00A23943">
        <w:rPr>
          <w:rStyle w:val="FootnoteReference"/>
        </w:rPr>
        <w:footnoteReference w:id="25"/>
      </w:r>
    </w:p>
    <w:p w14:paraId="1F241BF6" w14:textId="77777777" w:rsidR="00E70AA0" w:rsidRDefault="00B37501" w:rsidP="00B37501">
      <w:pPr>
        <w:pStyle w:val="Heading7"/>
      </w:pPr>
      <w:r>
        <w:t>Sample size and statistical methods:</w:t>
      </w:r>
    </w:p>
    <w:p w14:paraId="132F93C0" w14:textId="6B1C0F05" w:rsidR="00B37501" w:rsidRDefault="00B37501" w:rsidP="00B37501">
      <w:r>
        <w:t xml:space="preserve">Approximately 70 subjects are planned for the final analysis of the primary endpoint of </w:t>
      </w:r>
      <w:r w:rsidR="008E2E11">
        <w:t>overall response rate</w:t>
      </w:r>
      <w:r>
        <w:t xml:space="preserve">. A second-line treatment demonstrating a true </w:t>
      </w:r>
      <w:r w:rsidR="008E2E11">
        <w:t xml:space="preserve">overall response rate </w:t>
      </w:r>
      <w:r>
        <w:t>of 60% would be considered clinically meaningful. With the assumed true rate of 60%, a sample size of 70</w:t>
      </w:r>
      <w:r w:rsidR="00A23943">
        <w:t> </w:t>
      </w:r>
      <w:r>
        <w:t xml:space="preserve">subjects would provide </w:t>
      </w:r>
      <w:r w:rsidR="000F3773">
        <w:t>more than</w:t>
      </w:r>
      <w:r>
        <w:t xml:space="preserve"> 90% probability to have a 95% CI with lower limit of ≥</w:t>
      </w:r>
      <w:r w:rsidR="00A23943">
        <w:t> </w:t>
      </w:r>
      <w:r>
        <w:t>40%.</w:t>
      </w:r>
    </w:p>
    <w:p w14:paraId="2343F0B6" w14:textId="77777777" w:rsidR="00B37501" w:rsidRDefault="00B37501" w:rsidP="00B37501">
      <w:r>
        <w:t>An interim analysis was to be conducted once 35 subjects completed the Day 28 visit. In this interim analysis, only futility was to be assessed, and the trial terminated if the lower boundary was crossed.</w:t>
      </w:r>
    </w:p>
    <w:p w14:paraId="0076464B" w14:textId="6D4639E5" w:rsidR="00B37501" w:rsidRDefault="00B37501" w:rsidP="00B37501">
      <w:r>
        <w:t xml:space="preserve">A group sequential design method for </w:t>
      </w:r>
      <w:r w:rsidR="000F3773">
        <w:t>one</w:t>
      </w:r>
      <w:r>
        <w:t xml:space="preserve"> sample binary outcome data was used to calculate the lower boundary of futility. The spending function of HSD</w:t>
      </w:r>
      <w:r w:rsidR="000F3773">
        <w:t xml:space="preserve"> </w:t>
      </w:r>
      <w:r>
        <w:t xml:space="preserve">(-4) was used. For </w:t>
      </w:r>
      <w:r w:rsidR="00A23943">
        <w:t>the null hypothesis,</w:t>
      </w:r>
      <w:r>
        <w:t xml:space="preserve"> p = 0.4</w:t>
      </w:r>
      <w:r w:rsidR="00A23943">
        <w:t xml:space="preserve">; and for the alternative hypothesis, </w:t>
      </w:r>
      <w:r>
        <w:t>p = 0.6</w:t>
      </w:r>
      <w:r w:rsidR="00A23943">
        <w:t>;</w:t>
      </w:r>
      <w:r>
        <w:t xml:space="preserve"> and a 1-sided binomial test with alpha of 0.025, if 15 </w:t>
      </w:r>
      <w:r w:rsidR="000F3773">
        <w:t xml:space="preserve">or less </w:t>
      </w:r>
      <w:r>
        <w:t>subjects respond at the time of the interim analysis, the study would be terminated. This would provide 70.03% probability for the response rate of 40% at the interim analysis.</w:t>
      </w:r>
    </w:p>
    <w:p w14:paraId="54736C5C" w14:textId="235AF9C6" w:rsidR="00B37501" w:rsidRDefault="00B37501" w:rsidP="00B37501">
      <w:r>
        <w:t xml:space="preserve">If 37 </w:t>
      </w:r>
      <w:r w:rsidR="000F3773">
        <w:t xml:space="preserve">or more </w:t>
      </w:r>
      <w:r>
        <w:t>subjects responded at the time of final analysis, the study outcome was to be considered positive. These assumptions provided 89.88% power for the response rate of 60% in the final analysis with Type I error of 0.0189.</w:t>
      </w:r>
    </w:p>
    <w:p w14:paraId="3BD7C943" w14:textId="6FA54860" w:rsidR="00B37501" w:rsidRDefault="00B37501" w:rsidP="00B37501">
      <w:r>
        <w:t>No formal statistical tests were performed.</w:t>
      </w:r>
    </w:p>
    <w:p w14:paraId="1C0A75FA" w14:textId="3A27F6BC" w:rsidR="00B37501" w:rsidRDefault="00F07FE0" w:rsidP="00B37501">
      <w:pPr>
        <w:pStyle w:val="Heading7"/>
      </w:pPr>
      <w:r>
        <w:t>Subject d</w:t>
      </w:r>
      <w:r w:rsidR="00B37501">
        <w:t>isposition</w:t>
      </w:r>
      <w:r>
        <w:t xml:space="preserve"> and baseline characteristics</w:t>
      </w:r>
    </w:p>
    <w:p w14:paraId="585CACCB" w14:textId="42425DA4" w:rsidR="00B37501" w:rsidRDefault="00B37501" w:rsidP="00B37501">
      <w:r>
        <w:t>There were 71 subjects enrolled and 68 subjects (95.8%) discontinued study treatment, with 24</w:t>
      </w:r>
      <w:r w:rsidR="000F3773">
        <w:t> </w:t>
      </w:r>
      <w:r>
        <w:t xml:space="preserve">subjects (33.8%) discontinuing on or before </w:t>
      </w:r>
      <w:proofErr w:type="spellStart"/>
      <w:r>
        <w:t>Day</w:t>
      </w:r>
      <w:proofErr w:type="spellEnd"/>
      <w:r>
        <w:t xml:space="preserve"> 28. </w:t>
      </w:r>
      <w:r w:rsidR="00A23943">
        <w:t>‘</w:t>
      </w:r>
      <w:r>
        <w:t>Adverse event</w:t>
      </w:r>
      <w:r w:rsidR="00A23943">
        <w:t>’</w:t>
      </w:r>
      <w:r>
        <w:t xml:space="preserve"> and </w:t>
      </w:r>
      <w:r w:rsidR="00A23943">
        <w:t>‘</w:t>
      </w:r>
      <w:r>
        <w:t>physician decision</w:t>
      </w:r>
      <w:r w:rsidR="00A23943">
        <w:t>’</w:t>
      </w:r>
      <w:r>
        <w:t xml:space="preserve"> were the most frequently reported reasons for discontinuation on or before </w:t>
      </w:r>
      <w:proofErr w:type="spellStart"/>
      <w:r>
        <w:t>Day</w:t>
      </w:r>
      <w:proofErr w:type="spellEnd"/>
      <w:r>
        <w:t xml:space="preserve"> 28 (8 and 10</w:t>
      </w:r>
      <w:r w:rsidR="00A23943">
        <w:t> </w:t>
      </w:r>
      <w:r>
        <w:t xml:space="preserve">participants </w:t>
      </w:r>
      <w:r w:rsidR="00A23943">
        <w:t>(</w:t>
      </w:r>
      <w:r>
        <w:t>11.3% and 14.1%</w:t>
      </w:r>
      <w:r w:rsidR="00A23943">
        <w:t>)</w:t>
      </w:r>
      <w:r>
        <w:t>, respectively) and at the end of the study (20 and 23</w:t>
      </w:r>
      <w:r w:rsidR="00A23943">
        <w:t> </w:t>
      </w:r>
      <w:r>
        <w:t xml:space="preserve">participants </w:t>
      </w:r>
      <w:r w:rsidR="00A23943">
        <w:t>(</w:t>
      </w:r>
      <w:r>
        <w:t>28.2% and 32.4%</w:t>
      </w:r>
      <w:r w:rsidR="00A23943">
        <w:t>)</w:t>
      </w:r>
      <w:r>
        <w:t xml:space="preserve">, respectively). Of the 23 participants who discontinued ruxolitinib treatment due to physician decision, </w:t>
      </w:r>
      <w:r w:rsidR="000F3773">
        <w:t>six</w:t>
      </w:r>
      <w:r>
        <w:t xml:space="preserve"> participants discontinued because of clinical improvement including 4 participants in</w:t>
      </w:r>
      <w:r w:rsidR="000F3773">
        <w:t xml:space="preserve"> complete response</w:t>
      </w:r>
      <w:r>
        <w:t xml:space="preserve">, </w:t>
      </w:r>
      <w:r w:rsidR="000F3773">
        <w:t>one</w:t>
      </w:r>
      <w:r>
        <w:t xml:space="preserve"> participant with </w:t>
      </w:r>
      <w:r w:rsidR="000F3773">
        <w:t>very good partial response</w:t>
      </w:r>
      <w:r>
        <w:t xml:space="preserve">, and </w:t>
      </w:r>
      <w:r w:rsidR="000F3773">
        <w:t>one</w:t>
      </w:r>
      <w:r>
        <w:t xml:space="preserve"> participant with </w:t>
      </w:r>
      <w:r w:rsidR="000F3773">
        <w:t>mixed response</w:t>
      </w:r>
      <w:r>
        <w:t>. At the time of the data cut</w:t>
      </w:r>
      <w:r w:rsidR="000F3773">
        <w:t>-</w:t>
      </w:r>
      <w:r>
        <w:t xml:space="preserve">off on </w:t>
      </w:r>
      <w:r w:rsidR="000F3773">
        <w:t>5 </w:t>
      </w:r>
      <w:r>
        <w:t>J</w:t>
      </w:r>
      <w:r w:rsidR="000F3773">
        <w:t>une</w:t>
      </w:r>
      <w:r>
        <w:t xml:space="preserve"> 2019, 24 participants (33.8%) remained in the study.</w:t>
      </w:r>
    </w:p>
    <w:p w14:paraId="32D676FF" w14:textId="42C42B69" w:rsidR="00B37501" w:rsidRDefault="000F3773" w:rsidP="00B37501">
      <w:r>
        <w:t>The m</w:t>
      </w:r>
      <w:r w:rsidR="00B37501">
        <w:t>edian age was 58 years, with 13 (18.3%) subjects aged</w:t>
      </w:r>
      <w:r>
        <w:t xml:space="preserve"> </w:t>
      </w:r>
      <w:r w:rsidR="00B37501">
        <w:t>65 years</w:t>
      </w:r>
      <w:r>
        <w:t xml:space="preserve"> or greater</w:t>
      </w:r>
      <w:r w:rsidR="00B37501">
        <w:t xml:space="preserve">; 49.3% were male; 38% had an ECOG </w:t>
      </w:r>
      <w:r w:rsidR="00A23943">
        <w:t xml:space="preserve">performance </w:t>
      </w:r>
      <w:r w:rsidR="00B37501">
        <w:t xml:space="preserve">score of 0 or 1 and 51.1% had an </w:t>
      </w:r>
      <w:r>
        <w:t xml:space="preserve">Eastern Cooperative Oncology Score </w:t>
      </w:r>
      <w:r w:rsidR="00B37501">
        <w:t>of 2 or 3.</w:t>
      </w:r>
      <w:r w:rsidR="00A23943">
        <w:rPr>
          <w:rStyle w:val="FootnoteReference"/>
        </w:rPr>
        <w:footnoteReference w:id="26"/>
      </w:r>
      <w:r w:rsidR="00B37501">
        <w:t xml:space="preserve"> At baseline, </w:t>
      </w:r>
      <w:proofErr w:type="spellStart"/>
      <w:r w:rsidR="00B37501">
        <w:t>aGVHD</w:t>
      </w:r>
      <w:proofErr w:type="spellEnd"/>
      <w:r w:rsidR="00B37501">
        <w:t xml:space="preserve"> was Grade </w:t>
      </w:r>
      <w:r w:rsidR="00E60409">
        <w:t>II</w:t>
      </w:r>
      <w:r w:rsidR="00B37501">
        <w:t xml:space="preserve"> in 31%, Grade </w:t>
      </w:r>
      <w:r w:rsidR="00E60409">
        <w:t xml:space="preserve">III </w:t>
      </w:r>
      <w:r w:rsidR="00B37501">
        <w:t xml:space="preserve">in 46.5%, and </w:t>
      </w:r>
      <w:r w:rsidR="00B37501">
        <w:lastRenderedPageBreak/>
        <w:t xml:space="preserve">Grade </w:t>
      </w:r>
      <w:r w:rsidR="00E60409">
        <w:t>IV</w:t>
      </w:r>
      <w:r w:rsidR="00B37501">
        <w:t xml:space="preserve"> in 22.5%. The median duration of prior corticosteroid exposure at </w:t>
      </w:r>
      <w:r>
        <w:t>B</w:t>
      </w:r>
      <w:r w:rsidR="00B37501">
        <w:t xml:space="preserve">aseline was 16 days (range: 3 </w:t>
      </w:r>
      <w:r>
        <w:t xml:space="preserve">to </w:t>
      </w:r>
      <w:r w:rsidR="00B37501">
        <w:t>285 days).</w:t>
      </w:r>
    </w:p>
    <w:p w14:paraId="1C2C4139" w14:textId="0071600A" w:rsidR="00E70AA0" w:rsidRDefault="00B37501" w:rsidP="00B37501">
      <w:r>
        <w:t>All subjects took at least one medication prior to enrolment. The most frequently prescribed prior medication was tacrolimus (59 subjects, 83.1%). Other prior medications prescribed to</w:t>
      </w:r>
      <w:r w:rsidR="000F3773">
        <w:t xml:space="preserve"> greater than</w:t>
      </w:r>
      <w:r w:rsidR="00E70AA0">
        <w:t xml:space="preserve"> </w:t>
      </w:r>
      <w:r>
        <w:t>60% of participants within 30 days before study enrolment included: acyclovir (57</w:t>
      </w:r>
      <w:r w:rsidR="000F3773">
        <w:t> </w:t>
      </w:r>
      <w:r>
        <w:t xml:space="preserve">subjects, 80.3%); </w:t>
      </w:r>
      <w:proofErr w:type="spellStart"/>
      <w:r>
        <w:t>ursodeoxycholic</w:t>
      </w:r>
      <w:proofErr w:type="spellEnd"/>
      <w:r>
        <w:t xml:space="preserve"> acid (46 subjects, 64.8%); and ondansetron (45 subjects, 63.4%). All 71 subjects had received prior prophylaxis for GVHD, </w:t>
      </w:r>
      <w:proofErr w:type="gramStart"/>
      <w:r>
        <w:t>including;</w:t>
      </w:r>
      <w:proofErr w:type="gramEnd"/>
      <w:r>
        <w:t xml:space="preserve"> calcineurin inhibitors (69 subjects, 97.2%); folic acid analogues (16 participants, 22.5%); and selective Immuno-suppressants (51 subjects, 71.8%).</w:t>
      </w:r>
    </w:p>
    <w:p w14:paraId="65BDC916" w14:textId="62BBCFAE" w:rsidR="00E70AA0" w:rsidRDefault="00B37501" w:rsidP="00B37501">
      <w:r>
        <w:t>The most frequently prescribed concomitant medication was tacrolimus (60 subjects, 84.5%). Other concomitant medications prescribed to</w:t>
      </w:r>
      <w:r w:rsidR="000F3773">
        <w:t xml:space="preserve"> more than </w:t>
      </w:r>
      <w:r>
        <w:t>60% of subjects included: acyclovir (55</w:t>
      </w:r>
      <w:r w:rsidR="00A23943">
        <w:t> </w:t>
      </w:r>
      <w:r>
        <w:t xml:space="preserve">subjects, 77.5%); paracetamol (52 subjects, 73.2%), pantoprazole and potassium chloride (47 subjects, 66.2%); </w:t>
      </w:r>
      <w:proofErr w:type="spellStart"/>
      <w:r>
        <w:t>ursodeoxycholic</w:t>
      </w:r>
      <w:proofErr w:type="spellEnd"/>
      <w:r>
        <w:t xml:space="preserve"> acid (46 subjects, 64.8%); diphenhydramine and ondansetron (44 subjects each, 62.0%).</w:t>
      </w:r>
    </w:p>
    <w:p w14:paraId="6F78AD55" w14:textId="7C37EA3D" w:rsidR="00B37501" w:rsidRDefault="00B37501" w:rsidP="00B37501">
      <w:r>
        <w:t>The dose of concomitant corticosteroid was adjusted during the study. The mean initial corticosteroid dose on Day 1 (or Day 2 if the Day 1 dose was missing) was 157.25 mg/day (range: 50.0</w:t>
      </w:r>
      <w:r w:rsidR="000F3773">
        <w:t xml:space="preserve"> to </w:t>
      </w:r>
      <w:r>
        <w:t>300.0 mg/day). The mean average corticosteroid dose (</w:t>
      </w:r>
      <w:r w:rsidR="000F3773">
        <w:t>that is,</w:t>
      </w:r>
      <w:r>
        <w:t xml:space="preserve"> the mean of each participant's weekly average dose) decreased to 62.25 mg/day for the week ending on Day 28 for participants who were still receiving ruxolitinib. The mean average corticosteroid doses continued to decrease by approximately 50% at each subsequent timepoint (Days 56, 100, and 180) to 8.57 mg/day by the week ending on Day 180.</w:t>
      </w:r>
    </w:p>
    <w:p w14:paraId="776A3836" w14:textId="2F0A6B86" w:rsidR="00B37501" w:rsidRDefault="00B37501" w:rsidP="00B37501">
      <w:r>
        <w:t>Over time, the proportion of participants who were still receiving ruxolitinib and who had at least a 50% decrease in corticosteroid dose relative to the Day 1 or Day 2 dose increased from 23.2% on Day 14 (13</w:t>
      </w:r>
      <w:r w:rsidR="00A23943">
        <w:t xml:space="preserve"> of </w:t>
      </w:r>
      <w:r>
        <w:t>56 participants) to 55.8% (24</w:t>
      </w:r>
      <w:r w:rsidR="00A23943">
        <w:t xml:space="preserve"> of </w:t>
      </w:r>
      <w:r>
        <w:t>43 participants) on Day 28, 96.3% (26</w:t>
      </w:r>
      <w:r w:rsidR="00A23943">
        <w:t xml:space="preserve"> of </w:t>
      </w:r>
      <w:r>
        <w:t>27 participants) on Day 56, and 100.0% (15</w:t>
      </w:r>
      <w:r w:rsidR="00A23943">
        <w:t xml:space="preserve"> of </w:t>
      </w:r>
      <w:r>
        <w:t>15 participants) on Day 100. By Day 180, all 7 participants (100.0%) who were still receiving both ruxolitinib and corticosteroids had at least a 75% decrease in corticosteroid dose relative to the Day 1 (or Day 2) dose.</w:t>
      </w:r>
    </w:p>
    <w:p w14:paraId="378B033D" w14:textId="51A1700D" w:rsidR="00B37501" w:rsidRDefault="00B37501" w:rsidP="00B37501">
      <w:pPr>
        <w:pStyle w:val="Heading7"/>
      </w:pPr>
      <w:r>
        <w:t>Efficacy results</w:t>
      </w:r>
    </w:p>
    <w:p w14:paraId="6B07FD52" w14:textId="4A932749" w:rsidR="00B37501" w:rsidRDefault="000F3773" w:rsidP="00B37501">
      <w:r>
        <w:t>Forty</w:t>
      </w:r>
      <w:r w:rsidR="00B37501">
        <w:t xml:space="preserve"> subjects (56.3% </w:t>
      </w:r>
      <w:r w:rsidR="00A23943">
        <w:t>(</w:t>
      </w:r>
      <w:r w:rsidR="00B37501">
        <w:t>95% CI: 44.0, 68.1</w:t>
      </w:r>
      <w:r w:rsidR="00A23943">
        <w:t>)</w:t>
      </w:r>
      <w:r w:rsidR="00B37501">
        <w:t>) demonstrated a response at Day 28, including 19</w:t>
      </w:r>
      <w:r>
        <w:t> </w:t>
      </w:r>
      <w:r w:rsidR="00B37501">
        <w:t xml:space="preserve">subjects (26.8%) who achieved a </w:t>
      </w:r>
      <w:r>
        <w:t>complete response</w:t>
      </w:r>
      <w:r w:rsidR="00B37501">
        <w:t xml:space="preserve"> and </w:t>
      </w:r>
      <w:r>
        <w:t>six</w:t>
      </w:r>
      <w:r w:rsidR="00B37501">
        <w:t xml:space="preserve"> who achieved a </w:t>
      </w:r>
      <w:r>
        <w:t>very good partial response</w:t>
      </w:r>
      <w:r w:rsidR="00B37501">
        <w:t xml:space="preserve"> (8.5%). Thus, the study achieved the predetermined threshold for a positive study outcome (lower limit of the 95% CI for Day 28 </w:t>
      </w:r>
      <w:r>
        <w:t>overall response rate</w:t>
      </w:r>
      <w:r w:rsidR="00B37501">
        <w:t xml:space="preserve"> ≥ 40%).</w:t>
      </w:r>
    </w:p>
    <w:p w14:paraId="2C8E1B8A" w14:textId="0510D273" w:rsidR="00B37501" w:rsidRDefault="00B37501" w:rsidP="00B37501">
      <w:r>
        <w:t>For the 54 participants (76.1%) who had a response (</w:t>
      </w:r>
      <w:r w:rsidR="00A23943">
        <w:t>complete response (</w:t>
      </w:r>
      <w:r>
        <w:t>CR</w:t>
      </w:r>
      <w:r w:rsidR="00A23943">
        <w:t>)</w:t>
      </w:r>
      <w:r>
        <w:t>,</w:t>
      </w:r>
      <w:r w:rsidR="00A23943">
        <w:t xml:space="preserve"> very good partial response</w:t>
      </w:r>
      <w:r>
        <w:t xml:space="preserve"> </w:t>
      </w:r>
      <w:r w:rsidR="00A23943">
        <w:t>(</w:t>
      </w:r>
      <w:r>
        <w:t>VGPR</w:t>
      </w:r>
      <w:r w:rsidR="00A23943">
        <w:t>)</w:t>
      </w:r>
      <w:r>
        <w:t xml:space="preserve">, or </w:t>
      </w:r>
      <w:r w:rsidR="00A23943">
        <w:t>partial response (</w:t>
      </w:r>
      <w:r>
        <w:t>PR</w:t>
      </w:r>
      <w:r w:rsidR="00A23943">
        <w:t>)</w:t>
      </w:r>
      <w:r>
        <w:t>) at any timepoint, the median time to first response was 8 days (range: 6</w:t>
      </w:r>
      <w:r w:rsidR="000F3773">
        <w:t xml:space="preserve"> to </w:t>
      </w:r>
      <w:r>
        <w:t>49 days)</w:t>
      </w:r>
      <w:r w:rsidR="00A23943">
        <w:t xml:space="preserve"> (see </w:t>
      </w:r>
      <w:r w:rsidR="00A23943" w:rsidRPr="0016413C">
        <w:rPr>
          <w:i/>
        </w:rPr>
        <w:fldChar w:fldCharType="begin"/>
      </w:r>
      <w:r w:rsidR="00A23943" w:rsidRPr="0016413C">
        <w:rPr>
          <w:i/>
        </w:rPr>
        <w:instrText xml:space="preserve"> REF _Ref133411753 \h </w:instrText>
      </w:r>
      <w:r w:rsidR="00A23943">
        <w:rPr>
          <w:i/>
        </w:rPr>
        <w:instrText xml:space="preserve"> \* MERGEFORMAT </w:instrText>
      </w:r>
      <w:r w:rsidR="00A23943" w:rsidRPr="0016413C">
        <w:rPr>
          <w:i/>
        </w:rPr>
      </w:r>
      <w:r w:rsidR="00A23943" w:rsidRPr="0016413C">
        <w:rPr>
          <w:i/>
        </w:rPr>
        <w:fldChar w:fldCharType="separate"/>
      </w:r>
      <w:r w:rsidR="00337955" w:rsidRPr="00337955">
        <w:rPr>
          <w:i/>
        </w:rPr>
        <w:t>Efficacy variables and outcomes</w:t>
      </w:r>
      <w:r w:rsidR="00A23943" w:rsidRPr="0016413C">
        <w:rPr>
          <w:i/>
        </w:rPr>
        <w:fldChar w:fldCharType="end"/>
      </w:r>
      <w:r w:rsidR="00A23943">
        <w:t xml:space="preserve"> for response definitions)</w:t>
      </w:r>
      <w:r>
        <w:t>. Forty-four participants (62.0%) achieved their first response before Day 14, and all participants who responded had a response before Day 56.</w:t>
      </w:r>
    </w:p>
    <w:p w14:paraId="62C35493" w14:textId="0A570672" w:rsidR="00B37501" w:rsidRDefault="00B37501" w:rsidP="00B37501">
      <w:r>
        <w:t>The key secondary endpoint was the six-month duration of response, defined as the time from first response until GVHD progression or death. Of the 40 subjects who were Day 28 responders,</w:t>
      </w:r>
      <w:r w:rsidR="00E70AA0">
        <w:t xml:space="preserve"> </w:t>
      </w:r>
      <w:r>
        <w:t>the median duration of response was 669 days (95%</w:t>
      </w:r>
      <w:r w:rsidR="00C96FAD">
        <w:t xml:space="preserve"> </w:t>
      </w:r>
      <w:r>
        <w:t>CI</w:t>
      </w:r>
      <w:r w:rsidR="00C57DFD">
        <w:t>:</w:t>
      </w:r>
      <w:r>
        <w:t xml:space="preserve"> 159.0, </w:t>
      </w:r>
      <w:r w:rsidR="000F3773">
        <w:t>not evaluable</w:t>
      </w:r>
      <w:r>
        <w:t>). For the 54</w:t>
      </w:r>
      <w:r w:rsidR="00547591">
        <w:t xml:space="preserve"> of </w:t>
      </w:r>
      <w:r>
        <w:t xml:space="preserve">71 (76.1%) subjects who responded at any time during the study the median duration of response </w:t>
      </w:r>
      <w:r w:rsidR="00547591">
        <w:t xml:space="preserve">(DOR) </w:t>
      </w:r>
      <w:r>
        <w:t>was 345 days (95%</w:t>
      </w:r>
      <w:r w:rsidR="00C96FAD">
        <w:t xml:space="preserve"> </w:t>
      </w:r>
      <w:r>
        <w:t>CI</w:t>
      </w:r>
      <w:r w:rsidR="00C57DFD">
        <w:t>:</w:t>
      </w:r>
      <w:r>
        <w:t xml:space="preserve"> 154.0, </w:t>
      </w:r>
      <w:r w:rsidR="00C57DFD">
        <w:t>not evaluable</w:t>
      </w:r>
      <w:r>
        <w:t xml:space="preserve">). The </w:t>
      </w:r>
      <w:r w:rsidR="00C57DFD">
        <w:t>three</w:t>
      </w:r>
      <w:r>
        <w:t xml:space="preserve"> and </w:t>
      </w:r>
      <w:r w:rsidR="00C57DFD">
        <w:t xml:space="preserve">six </w:t>
      </w:r>
      <w:r>
        <w:t xml:space="preserve">month event-free </w:t>
      </w:r>
      <w:r>
        <w:lastRenderedPageBreak/>
        <w:t>probabilities for DOR based on a response at Day 28, 84.5% (95% CI: 68.7, 92.7) and 68.2% (95% CI: 49.6, 81.2), respectively. Three</w:t>
      </w:r>
      <w:r w:rsidR="00C57DFD">
        <w:t xml:space="preserve"> a</w:t>
      </w:r>
      <w:r>
        <w:t xml:space="preserve">nd </w:t>
      </w:r>
      <w:r w:rsidR="00C57DFD">
        <w:t xml:space="preserve">six </w:t>
      </w:r>
      <w:r>
        <w:t>month event-free probabilities for DOR based on a response at any timepoint were 75.6% (95% CI: 61.0, 85.4) and 62.1% (45.8, 74.8), respectively.</w:t>
      </w:r>
    </w:p>
    <w:p w14:paraId="46600C63" w14:textId="745B54A0" w:rsidR="00B37501" w:rsidRDefault="00B37501" w:rsidP="00B37501">
      <w:r>
        <w:t>Of the subjects who continued to receive both ruxolitinib and corticosteroids, more than half (55.8%) had decreased their corticosteroid dose by 50%</w:t>
      </w:r>
      <w:r w:rsidR="00C57DFD">
        <w:t xml:space="preserve"> or </w:t>
      </w:r>
      <w:r w:rsidR="00547591">
        <w:t>more</w:t>
      </w:r>
      <w:r>
        <w:t xml:space="preserve"> at Day 28 relative to the initial corticosteroid dose. The proportions of participants who had tapered off corticosteroids were 34.8% (8</w:t>
      </w:r>
      <w:r w:rsidR="00547591">
        <w:t xml:space="preserve"> of </w:t>
      </w:r>
      <w:r>
        <w:t>23 participants) at Day 100 and 61.1% (11</w:t>
      </w:r>
      <w:r w:rsidR="00547591">
        <w:t xml:space="preserve"> of </w:t>
      </w:r>
      <w:r>
        <w:t>18 participants) at Day 180.</w:t>
      </w:r>
    </w:p>
    <w:p w14:paraId="0DB088D9" w14:textId="77777777" w:rsidR="00B37501" w:rsidRDefault="00B37501" w:rsidP="00B37501">
      <w:pPr>
        <w:pStyle w:val="Heading7"/>
      </w:pPr>
      <w:r>
        <w:t>Supplementary analyses</w:t>
      </w:r>
    </w:p>
    <w:p w14:paraId="048F0FCB" w14:textId="16A83BD1" w:rsidR="00B37501" w:rsidRDefault="00C57DFD" w:rsidP="00B37501">
      <w:r>
        <w:t>An</w:t>
      </w:r>
      <w:r w:rsidR="00B37501">
        <w:t xml:space="preserve"> independent </w:t>
      </w:r>
      <w:r w:rsidR="005305D7">
        <w:t xml:space="preserve">regulatory </w:t>
      </w:r>
      <w:r w:rsidR="00B37501">
        <w:t xml:space="preserve">analysis of </w:t>
      </w:r>
      <w:r w:rsidRPr="00C57DFD">
        <w:t>Study 18424-271</w:t>
      </w:r>
      <w:r>
        <w:t xml:space="preserve"> was conducted</w:t>
      </w:r>
      <w:r w:rsidR="005305D7">
        <w:t>.</w:t>
      </w:r>
    </w:p>
    <w:p w14:paraId="022560BB" w14:textId="3B08FE2F" w:rsidR="00547591" w:rsidRDefault="00B37501" w:rsidP="00B37501">
      <w:r w:rsidRPr="00B37501">
        <w:t xml:space="preserve">Results were reported for subjects who had failed steroids only and for subjects who had failed steroids </w:t>
      </w:r>
      <w:r w:rsidR="00C57DFD">
        <w:t>with and without</w:t>
      </w:r>
      <w:r w:rsidRPr="00B37501">
        <w:t xml:space="preserve"> other treatments. Of the 71 patients enrolled in the study, 13 did not receive </w:t>
      </w:r>
      <w:r w:rsidR="00547591">
        <w:t>corticosteroids at a minimum of</w:t>
      </w:r>
      <w:r w:rsidR="00E70AA0">
        <w:t xml:space="preserve"> </w:t>
      </w:r>
      <w:r w:rsidRPr="00B37501">
        <w:t>2 mg/kg (</w:t>
      </w:r>
      <w:r w:rsidR="00C57DFD">
        <w:t>±</w:t>
      </w:r>
      <w:r w:rsidRPr="00B37501">
        <w:t xml:space="preserve"> 10%) prior to study entry. These patients are not considered </w:t>
      </w:r>
      <w:r w:rsidR="00C57DFD">
        <w:t xml:space="preserve">to </w:t>
      </w:r>
      <w:r w:rsidRPr="00B37501">
        <w:t xml:space="preserve">have been treated with an adequate dose of steroids and are </w:t>
      </w:r>
      <w:r>
        <w:t>exclude</w:t>
      </w:r>
      <w:r w:rsidRPr="00B37501">
        <w:t>d from the</w:t>
      </w:r>
      <w:r w:rsidR="00C57DFD">
        <w:t xml:space="preserve"> </w:t>
      </w:r>
      <w:r w:rsidRPr="00B37501">
        <w:t xml:space="preserve">analysis. </w:t>
      </w:r>
      <w:r w:rsidR="00C57DFD">
        <w:t>Forty-nine</w:t>
      </w:r>
      <w:r w:rsidRPr="00B37501">
        <w:t xml:space="preserve"> subjects were evaluated as having failed steroid treatment, 10</w:t>
      </w:r>
      <w:r w:rsidR="00547591">
        <w:t> </w:t>
      </w:r>
      <w:r w:rsidRPr="00B37501">
        <w:t>subjects were excluded because they did not meet the criteria of steroid refractory based on suboptimal dosing or duration of corticosteroid treatment, and 12 were excluded because of additional prior lines of therapy (</w:t>
      </w:r>
      <w:r w:rsidR="003C21C6">
        <w:t>that is</w:t>
      </w:r>
      <w:r w:rsidRPr="00B37501">
        <w:t>, were not refractory to steroids alone).</w:t>
      </w:r>
    </w:p>
    <w:p w14:paraId="34731008" w14:textId="630C1748" w:rsidR="00B37501" w:rsidRDefault="00B37501" w:rsidP="00B37501">
      <w:r w:rsidRPr="00B37501">
        <w:t>The following analyses were performed for this population:</w:t>
      </w:r>
    </w:p>
    <w:p w14:paraId="062AFB2F" w14:textId="7214CF56" w:rsidR="00B37501" w:rsidRDefault="00B37501" w:rsidP="00B37501">
      <w:pPr>
        <w:pStyle w:val="ListBullet"/>
      </w:pPr>
      <w:r>
        <w:t>Prior anti-GVHD therapy</w:t>
      </w:r>
    </w:p>
    <w:p w14:paraId="39F2EFA6" w14:textId="6584C79E" w:rsidR="00B37501" w:rsidRDefault="00B37501" w:rsidP="00B37501">
      <w:pPr>
        <w:pStyle w:val="ListBullet"/>
      </w:pPr>
      <w:r>
        <w:t xml:space="preserve">Day 28 </w:t>
      </w:r>
      <w:r w:rsidR="00C57DFD">
        <w:t>overall response</w:t>
      </w:r>
    </w:p>
    <w:p w14:paraId="37E08846" w14:textId="18EDC6D2" w:rsidR="00B37501" w:rsidRDefault="00B37501" w:rsidP="00B37501">
      <w:pPr>
        <w:pStyle w:val="ListBullet"/>
      </w:pPr>
      <w:r>
        <w:t>D</w:t>
      </w:r>
      <w:r w:rsidR="00C57DFD">
        <w:t>uration of response</w:t>
      </w:r>
      <w:r>
        <w:t>, calculated from Day 28 response to progression, new a</w:t>
      </w:r>
      <w:r w:rsidR="00547591">
        <w:t xml:space="preserve">cute </w:t>
      </w:r>
      <w:r>
        <w:t xml:space="preserve">GVHD therapy, or death (with progression being defined as worsening by </w:t>
      </w:r>
      <w:r w:rsidR="00C57DFD">
        <w:t>one</w:t>
      </w:r>
      <w:r>
        <w:t xml:space="preserve"> stage in any organ without improvement in other organs in comparison to prior response assessment)</w:t>
      </w:r>
    </w:p>
    <w:p w14:paraId="3BD8BE85" w14:textId="2C021515" w:rsidR="00B37501" w:rsidRDefault="00C57DFD" w:rsidP="00B37501">
      <w:pPr>
        <w:pStyle w:val="ListBullet"/>
      </w:pPr>
      <w:r>
        <w:t>Duration of response</w:t>
      </w:r>
      <w:r w:rsidR="00B37501">
        <w:t>, calculated as the time from Day 28 response to increase in corticosteroid from baseline, start of new a</w:t>
      </w:r>
      <w:r w:rsidR="00547591">
        <w:t xml:space="preserve">cute </w:t>
      </w:r>
      <w:r w:rsidR="00B37501">
        <w:t>GVHD therapy, or death</w:t>
      </w:r>
    </w:p>
    <w:p w14:paraId="0511CD09" w14:textId="5BA3C28C" w:rsidR="00B37501" w:rsidRDefault="00C57DFD" w:rsidP="00B37501">
      <w:pPr>
        <w:pStyle w:val="ListBullet"/>
      </w:pPr>
      <w:r>
        <w:t>Overall response rate</w:t>
      </w:r>
      <w:r w:rsidR="00B37501">
        <w:t xml:space="preserve"> by baseline a</w:t>
      </w:r>
      <w:r w:rsidR="00547591">
        <w:t xml:space="preserve">cute </w:t>
      </w:r>
      <w:r w:rsidR="00B37501">
        <w:t>GVHD grade</w:t>
      </w:r>
    </w:p>
    <w:p w14:paraId="4EA24DF5" w14:textId="02290F60" w:rsidR="00B37501" w:rsidRDefault="00B37501" w:rsidP="00B37501">
      <w:pPr>
        <w:pStyle w:val="ListBullet"/>
      </w:pPr>
      <w:r>
        <w:t>Corticosteroid use during ruxolitinib treatment</w:t>
      </w:r>
    </w:p>
    <w:p w14:paraId="0542ACBF" w14:textId="61E60690" w:rsidR="00B37501" w:rsidRDefault="00B37501" w:rsidP="00B37501">
      <w:r>
        <w:t xml:space="preserve">All 49 participants in the steroid refractory evaluable population had received prior systemic therapy with corticosteroids, including methylprednisolone (81.6%), methylprednisolone sodium succinate (10.2%), and prednisone (51.0%), for the treatment of GVHD. The median duration of prior corticosteroid exposure was 15.0 days, and the median average daily dose of corticosteroids at the start of study treatment was 160 mg/day. In addition to prior corticosteroid treatment, 26.5% of participants had received calcineurin inhibitors (predominantly tacrolimus </w:t>
      </w:r>
      <w:r w:rsidR="003C21C6">
        <w:t>(</w:t>
      </w:r>
      <w:r>
        <w:t>22.4%</w:t>
      </w:r>
      <w:r w:rsidR="003C21C6">
        <w:t>)</w:t>
      </w:r>
      <w:r>
        <w:t xml:space="preserve">, with or without methotrexate). For </w:t>
      </w:r>
      <w:proofErr w:type="gramStart"/>
      <w:r>
        <w:t>the majority of</w:t>
      </w:r>
      <w:proofErr w:type="gramEnd"/>
      <w:r>
        <w:t xml:space="preserve"> participants, the best response to the most recent prior a</w:t>
      </w:r>
      <w:r w:rsidR="00547591">
        <w:t xml:space="preserve">cute </w:t>
      </w:r>
      <w:r>
        <w:t xml:space="preserve">GVHD therapy was either </w:t>
      </w:r>
      <w:r w:rsidR="00C57DFD">
        <w:t>progress of disease</w:t>
      </w:r>
      <w:r>
        <w:t xml:space="preserve"> (40.8%) or </w:t>
      </w:r>
      <w:r w:rsidR="00C57DFD">
        <w:t>no response</w:t>
      </w:r>
      <w:r>
        <w:t xml:space="preserve"> (22.4%). The most common reasons for discontinuation of the most recent prior a</w:t>
      </w:r>
      <w:r w:rsidR="00547591">
        <w:t xml:space="preserve">cute </w:t>
      </w:r>
      <w:r>
        <w:t xml:space="preserve">GVHD therapy were </w:t>
      </w:r>
      <w:r w:rsidR="00C57DFD">
        <w:t>progression of disease</w:t>
      </w:r>
      <w:r>
        <w:t xml:space="preserve"> and lack of efficacy (26.5% each). At the time of data cut</w:t>
      </w:r>
      <w:r w:rsidR="00C57DFD">
        <w:t>-</w:t>
      </w:r>
      <w:r>
        <w:t xml:space="preserve">off date of </w:t>
      </w:r>
      <w:r w:rsidR="00C57DFD">
        <w:t xml:space="preserve">2 </w:t>
      </w:r>
      <w:r>
        <w:t>April 2018, 11 patients (19.0%) remained in the study, 30 patients died during the study (12 due to GVHD progression).</w:t>
      </w:r>
    </w:p>
    <w:p w14:paraId="69E9D54E" w14:textId="5096A13F" w:rsidR="00B37501" w:rsidRDefault="00B37501" w:rsidP="00B37501">
      <w:r>
        <w:t>Use of additional post</w:t>
      </w:r>
      <w:r w:rsidR="00547591">
        <w:t>-</w:t>
      </w:r>
      <w:r>
        <w:t xml:space="preserve">study treatments were reported for 18 (37%) </w:t>
      </w:r>
      <w:r w:rsidR="00547591">
        <w:t>patients</w:t>
      </w:r>
      <w:r>
        <w:t>. These included extracorporeal photopheresis in 12</w:t>
      </w:r>
      <w:r w:rsidR="00547591">
        <w:t xml:space="preserve"> patients</w:t>
      </w:r>
      <w:r>
        <w:t xml:space="preserve">, etanercept in </w:t>
      </w:r>
      <w:r w:rsidR="00C57DFD">
        <w:t>three</w:t>
      </w:r>
      <w:r>
        <w:t xml:space="preserve">, infliximab in </w:t>
      </w:r>
      <w:r w:rsidR="00C57DFD">
        <w:t>three</w:t>
      </w:r>
      <w:r>
        <w:t xml:space="preserve">, vedolizumab in </w:t>
      </w:r>
      <w:r w:rsidR="00C57DFD">
        <w:t>three</w:t>
      </w:r>
      <w:r>
        <w:t xml:space="preserve">, </w:t>
      </w:r>
      <w:proofErr w:type="spellStart"/>
      <w:r>
        <w:t>antithymocyte</w:t>
      </w:r>
      <w:proofErr w:type="spellEnd"/>
      <w:r>
        <w:t xml:space="preserve"> globulin (ATG) in </w:t>
      </w:r>
      <w:r w:rsidR="00C57DFD">
        <w:t>two</w:t>
      </w:r>
      <w:r>
        <w:t xml:space="preserve">, </w:t>
      </w:r>
      <w:proofErr w:type="spellStart"/>
      <w:r>
        <w:t>basiliximab</w:t>
      </w:r>
      <w:proofErr w:type="spellEnd"/>
      <w:r>
        <w:t xml:space="preserve"> in </w:t>
      </w:r>
      <w:r w:rsidR="00C57DFD">
        <w:t>two</w:t>
      </w:r>
      <w:r>
        <w:t xml:space="preserve">, mycophenolate mofetil in </w:t>
      </w:r>
      <w:r w:rsidR="00C57DFD">
        <w:t>two</w:t>
      </w:r>
      <w:r>
        <w:t xml:space="preserve">, sirolimus in </w:t>
      </w:r>
      <w:r w:rsidR="00C57DFD">
        <w:t>one</w:t>
      </w:r>
      <w:r>
        <w:t xml:space="preserve"> and tacrolimus in </w:t>
      </w:r>
      <w:r w:rsidR="00C57DFD">
        <w:t>one</w:t>
      </w:r>
      <w:r w:rsidR="00547591">
        <w:t xml:space="preserve"> patient</w:t>
      </w:r>
      <w:r>
        <w:t>.</w:t>
      </w:r>
    </w:p>
    <w:p w14:paraId="67BF59BE" w14:textId="6E626DB1" w:rsidR="00B37501" w:rsidRDefault="00B37501" w:rsidP="00B37501">
      <w:r>
        <w:lastRenderedPageBreak/>
        <w:t xml:space="preserve">The </w:t>
      </w:r>
      <w:r w:rsidR="00C57DFD">
        <w:t>overall response rate</w:t>
      </w:r>
      <w:r>
        <w:t xml:space="preserve"> at Day 28 for the 49 participants in the evaluable population was generally </w:t>
      </w:r>
      <w:proofErr w:type="gramStart"/>
      <w:r>
        <w:t>similar to</w:t>
      </w:r>
      <w:proofErr w:type="gramEnd"/>
      <w:r>
        <w:t xml:space="preserve"> that for the</w:t>
      </w:r>
      <w:r w:rsidR="00C57DFD">
        <w:t xml:space="preserve"> i</w:t>
      </w:r>
      <w:r>
        <w:t xml:space="preserve">nvestigator’s efficacy evaluable population and when the additional 8 patients who were refractory to steroids </w:t>
      </w:r>
      <w:r w:rsidR="00C57DFD">
        <w:t>with or without</w:t>
      </w:r>
      <w:r>
        <w:t xml:space="preserve"> other treatments were considered. </w:t>
      </w:r>
      <w:r w:rsidR="00C57DFD">
        <w:t xml:space="preserve">Overall response rate </w:t>
      </w:r>
      <w:r>
        <w:t>results for both sub-populations are tabulated below.</w:t>
      </w:r>
    </w:p>
    <w:p w14:paraId="1F665F42" w14:textId="2C45AE1B" w:rsidR="00E70AA0" w:rsidRDefault="00E70AA0" w:rsidP="00E70AA0">
      <w:pPr>
        <w:pStyle w:val="TableTitle"/>
      </w:pPr>
      <w:r>
        <w:t xml:space="preserve">Table </w:t>
      </w:r>
      <w:r w:rsidR="00F20AB1">
        <w:fldChar w:fldCharType="begin"/>
      </w:r>
      <w:r w:rsidR="00F20AB1">
        <w:instrText xml:space="preserve"> SEQ Table \* ARABIC </w:instrText>
      </w:r>
      <w:r w:rsidR="00F20AB1">
        <w:fldChar w:fldCharType="separate"/>
      </w:r>
      <w:r w:rsidR="00337955">
        <w:rPr>
          <w:noProof/>
        </w:rPr>
        <w:t>4</w:t>
      </w:r>
      <w:r w:rsidR="00F20AB1">
        <w:rPr>
          <w:noProof/>
        </w:rPr>
        <w:fldChar w:fldCharType="end"/>
      </w:r>
      <w:r w:rsidR="00543841">
        <w:t xml:space="preserve">: </w:t>
      </w:r>
      <w:r w:rsidR="00547591">
        <w:t xml:space="preserve">Study 18424-271 (supplementary </w:t>
      </w:r>
      <w:r w:rsidR="005305D7">
        <w:t xml:space="preserve">regulatory </w:t>
      </w:r>
      <w:r w:rsidR="00547591">
        <w:t xml:space="preserve">analysis) </w:t>
      </w:r>
      <w:r w:rsidR="00543841">
        <w:t xml:space="preserve">Overall response rate for two </w:t>
      </w:r>
      <w:proofErr w:type="gramStart"/>
      <w:r w:rsidR="00543841">
        <w:t>sub</w:t>
      </w:r>
      <w:proofErr w:type="gramEnd"/>
      <w:r w:rsidR="00547591">
        <w:noBreakHyphen/>
      </w:r>
      <w:r w:rsidR="00543841">
        <w:t>populations</w:t>
      </w:r>
    </w:p>
    <w:p w14:paraId="209B1A62" w14:textId="6D3EE491" w:rsidR="00543841" w:rsidRDefault="00543841" w:rsidP="00AD173A">
      <w:r>
        <w:rPr>
          <w:noProof/>
          <w:lang w:val="en-GB" w:eastAsia="en-GB"/>
        </w:rPr>
        <w:drawing>
          <wp:inline distT="0" distB="0" distL="0" distR="0" wp14:anchorId="1DBF5641" wp14:editId="380FC8A7">
            <wp:extent cx="5759450" cy="2395855"/>
            <wp:effectExtent l="0" t="0" r="0" b="4445"/>
            <wp:docPr id="28" name="Picture 28" descr="This table shows the overall response rate for the two sub-populations, those that had failed steroids with or without other therapy and those that had failed steroids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table shows the overall response rate for the two sub-populations, those that had failed steroids with or without other therapy and those that had failed steroids alone."/>
                    <pic:cNvPicPr/>
                  </pic:nvPicPr>
                  <pic:blipFill>
                    <a:blip r:embed="rId33"/>
                    <a:stretch>
                      <a:fillRect/>
                    </a:stretch>
                  </pic:blipFill>
                  <pic:spPr>
                    <a:xfrm>
                      <a:off x="0" y="0"/>
                      <a:ext cx="5759450" cy="2395855"/>
                    </a:xfrm>
                    <a:prstGeom prst="rect">
                      <a:avLst/>
                    </a:prstGeom>
                  </pic:spPr>
                </pic:pic>
              </a:graphicData>
            </a:graphic>
          </wp:inline>
        </w:drawing>
      </w:r>
    </w:p>
    <w:p w14:paraId="3E8B3EE6" w14:textId="1217675D" w:rsidR="00547591" w:rsidRDefault="00547591" w:rsidP="00543841">
      <w:pPr>
        <w:pStyle w:val="TableDescription"/>
      </w:pPr>
      <w:r>
        <w:t>Abbreviations: CI = confidence intervals; CR = complete response; ORR = overall response rate; PR = partial response; VGPR = very good partial response.</w:t>
      </w:r>
    </w:p>
    <w:p w14:paraId="26E51E86" w14:textId="2B67492E" w:rsidR="00666818" w:rsidRPr="0016413C" w:rsidRDefault="00666818" w:rsidP="00543841">
      <w:pPr>
        <w:pStyle w:val="TableDescription"/>
      </w:pPr>
      <w:r>
        <w:t xml:space="preserve">See </w:t>
      </w:r>
      <w:r w:rsidRPr="00F33982">
        <w:rPr>
          <w:i/>
        </w:rPr>
        <w:fldChar w:fldCharType="begin"/>
      </w:r>
      <w:r w:rsidRPr="00F33982">
        <w:rPr>
          <w:i/>
        </w:rPr>
        <w:instrText xml:space="preserve"> REF _Ref133411753 \h </w:instrText>
      </w:r>
      <w:r>
        <w:rPr>
          <w:i/>
        </w:rPr>
        <w:instrText xml:space="preserve"> \* MERGEFORMAT </w:instrText>
      </w:r>
      <w:r w:rsidRPr="00F33982">
        <w:rPr>
          <w:i/>
        </w:rPr>
      </w:r>
      <w:r w:rsidRPr="00F33982">
        <w:rPr>
          <w:i/>
        </w:rPr>
        <w:fldChar w:fldCharType="separate"/>
      </w:r>
      <w:r w:rsidR="00337955" w:rsidRPr="00337955">
        <w:rPr>
          <w:i/>
        </w:rPr>
        <w:t>Efficacy variables and outcomes</w:t>
      </w:r>
      <w:r w:rsidRPr="00F33982">
        <w:rPr>
          <w:i/>
        </w:rPr>
        <w:fldChar w:fldCharType="end"/>
      </w:r>
      <w:r>
        <w:t xml:space="preserve"> for response definitions.</w:t>
      </w:r>
    </w:p>
    <w:p w14:paraId="20D371CF" w14:textId="75905EA1" w:rsidR="00543841" w:rsidRPr="00543841" w:rsidRDefault="00543841" w:rsidP="00543841">
      <w:pPr>
        <w:pStyle w:val="TableDescription"/>
      </w:pPr>
      <w:r w:rsidRPr="00543841">
        <w:rPr>
          <w:vertAlign w:val="superscript"/>
        </w:rPr>
        <w:t>a</w:t>
      </w:r>
      <w:r w:rsidRPr="00543841">
        <w:t xml:space="preserve"> Patients who had a complete response, very good partial response or partial response at Day 28 response assessment or other response assessments within ± 2 days of Day 28, on or before the start of new anti-GVHD therapy (if applicable).</w:t>
      </w:r>
    </w:p>
    <w:p w14:paraId="0924DF5C" w14:textId="58A315C2" w:rsidR="00B37501" w:rsidRDefault="00543841" w:rsidP="00543841">
      <w:pPr>
        <w:pStyle w:val="TableDescription"/>
      </w:pPr>
      <w:r w:rsidRPr="00543841">
        <w:rPr>
          <w:vertAlign w:val="superscript"/>
        </w:rPr>
        <w:t>b</w:t>
      </w:r>
      <w:r w:rsidRPr="00543841">
        <w:t xml:space="preserve"> Patients with missing assessment were considered non-respon</w:t>
      </w:r>
      <w:r>
        <w:t>d</w:t>
      </w:r>
      <w:r w:rsidRPr="00543841">
        <w:t>ers.</w:t>
      </w:r>
      <w:r>
        <w:br/>
      </w:r>
    </w:p>
    <w:p w14:paraId="17FF3B63" w14:textId="550FF688" w:rsidR="00B37501" w:rsidRDefault="00B37501" w:rsidP="00B37501">
      <w:r>
        <w:t xml:space="preserve">The predetermined threshold for a positive outcome (lower limit of the 95% CI for Day 28 </w:t>
      </w:r>
      <w:r w:rsidR="00C57DFD">
        <w:t>overall response</w:t>
      </w:r>
      <w:r>
        <w:t xml:space="preserve"> ≥ 40%) was also achieved in in both these populations.</w:t>
      </w:r>
    </w:p>
    <w:p w14:paraId="4D1531DC" w14:textId="615B513A" w:rsidR="00E70AA0" w:rsidRDefault="00B37501" w:rsidP="00B37501">
      <w:r>
        <w:t>For the steroid only refractory population, when evaluated by baseline a</w:t>
      </w:r>
      <w:r w:rsidR="00666818">
        <w:t xml:space="preserve">cute </w:t>
      </w:r>
      <w:r>
        <w:t xml:space="preserve">GVHD grade, the Day 28 </w:t>
      </w:r>
      <w:r w:rsidR="00C57DFD">
        <w:t>overall response</w:t>
      </w:r>
      <w:r>
        <w:t xml:space="preserve"> was 100.0% (13 of 13 participants) for Grade II, 40.7% (11 of 27 participants) for Grade III, and 44.4% (4 of 9 participants) for Grade IV, compared with 57.1% for all grades combined.</w:t>
      </w:r>
    </w:p>
    <w:p w14:paraId="5879956A" w14:textId="5C2B130F" w:rsidR="00B37501" w:rsidRDefault="00B37501" w:rsidP="00B37501">
      <w:r>
        <w:t xml:space="preserve">For the 28 participants in the </w:t>
      </w:r>
      <w:r w:rsidR="00C57DFD">
        <w:t>evaluator’</w:t>
      </w:r>
      <w:r>
        <w:t xml:space="preserve">s steroid refractory evaluable population who had a response at Day 28, the median </w:t>
      </w:r>
      <w:r w:rsidR="00C57DFD">
        <w:t>duration of response</w:t>
      </w:r>
      <w:r>
        <w:t>, calculated from Day 28 response to progression, new a</w:t>
      </w:r>
      <w:r w:rsidR="00666818">
        <w:t xml:space="preserve">cute </w:t>
      </w:r>
      <w:r>
        <w:t xml:space="preserve">GVHD therapy, or death (with progression being defined as worsening by </w:t>
      </w:r>
      <w:r w:rsidR="00C57DFD">
        <w:t>one</w:t>
      </w:r>
      <w:r>
        <w:t xml:space="preserve"> stage in any organ without improvement in other organs in comparison to prior response assessment) was 16.0 days (95% CI: 9.0, 83.0). The median </w:t>
      </w:r>
      <w:r w:rsidR="00C57DFD">
        <w:t>duration of response</w:t>
      </w:r>
      <w:r>
        <w:t xml:space="preserve"> when defined as increase in corticosteroid</w:t>
      </w:r>
      <w:r w:rsidR="00666818">
        <w:t xml:space="preserve"> dose</w:t>
      </w:r>
      <w:r>
        <w:t xml:space="preserve"> from </w:t>
      </w:r>
      <w:r w:rsidR="00666818">
        <w:t>B</w:t>
      </w:r>
      <w:r>
        <w:t>aseline, start of new a</w:t>
      </w:r>
      <w:r w:rsidR="00666818">
        <w:t xml:space="preserve">cute </w:t>
      </w:r>
      <w:r>
        <w:t>GVHD therapy, or death for the Day 28 responders, was 173.0 days (95% CI:77.0, 304.0) from the Day 28 response.</w:t>
      </w:r>
    </w:p>
    <w:p w14:paraId="01D36E72" w14:textId="216B5E45" w:rsidR="00E70AA0" w:rsidRDefault="00B37501" w:rsidP="00B37501">
      <w:r>
        <w:t xml:space="preserve">There were </w:t>
      </w:r>
      <w:r w:rsidR="00C57DFD">
        <w:t>nine</w:t>
      </w:r>
      <w:r>
        <w:t xml:space="preserve"> patients who had failed </w:t>
      </w:r>
      <w:r w:rsidR="00666818">
        <w:t xml:space="preserve">with corticosteroids, </w:t>
      </w:r>
      <w:r w:rsidR="00C57DFD">
        <w:t>with or without</w:t>
      </w:r>
      <w:r>
        <w:t xml:space="preserve"> other treatments, </w:t>
      </w:r>
      <w:r w:rsidR="00666818">
        <w:t xml:space="preserve">with </w:t>
      </w:r>
      <w:r w:rsidR="00C57DFD">
        <w:t>five</w:t>
      </w:r>
      <w:r>
        <w:t xml:space="preserve"> of these </w:t>
      </w:r>
      <w:r w:rsidR="00666818">
        <w:t xml:space="preserve">being </w:t>
      </w:r>
      <w:r>
        <w:t xml:space="preserve">responders. The median duration of response, using the </w:t>
      </w:r>
      <w:r w:rsidR="00C57DFD">
        <w:t>evaluator’</w:t>
      </w:r>
      <w:r>
        <w:t>s primary definition of</w:t>
      </w:r>
      <w:r w:rsidR="00C57DFD">
        <w:t xml:space="preserve"> duration of response that is,</w:t>
      </w:r>
      <w:r>
        <w:t xml:space="preserve"> time from Day 28 response to progression, new a</w:t>
      </w:r>
      <w:r w:rsidR="00845B97">
        <w:t xml:space="preserve">cute </w:t>
      </w:r>
      <w:r>
        <w:t xml:space="preserve">GVHD therapy, or death, was 22 days (95% CI: 15, 132). Six of the </w:t>
      </w:r>
      <w:r w:rsidR="00C57DFD">
        <w:t>nine</w:t>
      </w:r>
      <w:r>
        <w:t xml:space="preserve"> patients (49.0%) in the failed </w:t>
      </w:r>
      <w:r w:rsidR="00C57DFD">
        <w:t>two</w:t>
      </w:r>
      <w:r>
        <w:t xml:space="preserve"> or more therapies population died. The median overall survival is 49 days (95%</w:t>
      </w:r>
      <w:r w:rsidR="005305D7">
        <w:t> </w:t>
      </w:r>
      <w:r>
        <w:t xml:space="preserve">CI: 9, </w:t>
      </w:r>
      <w:r w:rsidR="00C57DFD">
        <w:t>not evaluable</w:t>
      </w:r>
      <w:r>
        <w:t xml:space="preserve">). All reported deaths were non-relapse mortality. The cumulative incidence rate of the </w:t>
      </w:r>
      <w:proofErr w:type="spellStart"/>
      <w:r w:rsidR="00C57DFD">
        <w:t>non relapse</w:t>
      </w:r>
      <w:proofErr w:type="spellEnd"/>
      <w:r w:rsidR="00C57DFD">
        <w:t xml:space="preserve"> mortality</w:t>
      </w:r>
      <w:r>
        <w:t xml:space="preserve"> at</w:t>
      </w:r>
      <w:r w:rsidR="00616059">
        <w:t xml:space="preserve"> </w:t>
      </w:r>
      <w:r w:rsidR="00C57DFD">
        <w:t>six</w:t>
      </w:r>
      <w:r>
        <w:t xml:space="preserve">, </w:t>
      </w:r>
      <w:r w:rsidR="00C57DFD">
        <w:t>nine</w:t>
      </w:r>
      <w:r>
        <w:t xml:space="preserve">, and </w:t>
      </w:r>
      <w:r w:rsidR="00C57DFD">
        <w:t>twelve</w:t>
      </w:r>
      <w:r>
        <w:t xml:space="preserve"> </w:t>
      </w:r>
      <w:r w:rsidR="00616059">
        <w:t xml:space="preserve">months </w:t>
      </w:r>
      <w:r>
        <w:t>were 55.6% (95%</w:t>
      </w:r>
      <w:r w:rsidR="005305D7">
        <w:t> </w:t>
      </w:r>
      <w:r>
        <w:t>CI:</w:t>
      </w:r>
      <w:r w:rsidR="005305D7">
        <w:t> </w:t>
      </w:r>
      <w:r>
        <w:t>21.2, 86.3), 66.7% (95% CI: 29.9, 92.5), and 66.7% (95% CI: 29.9, 92.5), respectively.</w:t>
      </w:r>
    </w:p>
    <w:p w14:paraId="0B3423E1" w14:textId="23C58BC3" w:rsidR="00B37501" w:rsidRDefault="00B37501" w:rsidP="00B37501">
      <w:r>
        <w:lastRenderedPageBreak/>
        <w:t>Additionally, as this is the first application for a treatment of a</w:t>
      </w:r>
      <w:r w:rsidR="005305D7">
        <w:t xml:space="preserve">cute </w:t>
      </w:r>
      <w:r>
        <w:t>GVHD using the efficacy endpoint of Day</w:t>
      </w:r>
      <w:r w:rsidR="00616059">
        <w:t xml:space="preserve"> </w:t>
      </w:r>
      <w:r>
        <w:t xml:space="preserve">28 </w:t>
      </w:r>
      <w:r w:rsidR="00616059">
        <w:t>overall response rate</w:t>
      </w:r>
      <w:r>
        <w:t>, an assessment of actual outcome by response was performed to see whether Day</w:t>
      </w:r>
      <w:r w:rsidR="00616059">
        <w:t xml:space="preserve"> </w:t>
      </w:r>
      <w:r>
        <w:t xml:space="preserve">28 </w:t>
      </w:r>
      <w:r w:rsidR="00616059">
        <w:t>overall response rate</w:t>
      </w:r>
      <w:r>
        <w:t xml:space="preserve"> as defined is associated with longer-term benefit. For the 49 patients who failed steroids alone, the 6</w:t>
      </w:r>
      <w:r w:rsidR="00616059">
        <w:t xml:space="preserve"> </w:t>
      </w:r>
      <w:r>
        <w:t xml:space="preserve">month </w:t>
      </w:r>
      <w:r w:rsidR="00616059">
        <w:t>overall survival</w:t>
      </w:r>
      <w:r>
        <w:t xml:space="preserve"> was greater in those with Day</w:t>
      </w:r>
      <w:r w:rsidR="00616059">
        <w:t xml:space="preserve"> </w:t>
      </w:r>
      <w:r>
        <w:t xml:space="preserve">28 </w:t>
      </w:r>
      <w:r w:rsidR="00616059">
        <w:t>overall response rate</w:t>
      </w:r>
      <w:r>
        <w:t xml:space="preserve"> than in those who did not respond (71% v</w:t>
      </w:r>
      <w:r w:rsidR="00616059">
        <w:t xml:space="preserve">ersus </w:t>
      </w:r>
      <w:r>
        <w:t>24%).</w:t>
      </w:r>
    </w:p>
    <w:p w14:paraId="70FBCBB5" w14:textId="103B7B8F" w:rsidR="0029641F" w:rsidRDefault="0029641F" w:rsidP="00377993">
      <w:pPr>
        <w:pStyle w:val="Heading5"/>
      </w:pPr>
      <w:r>
        <w:t xml:space="preserve">Chronic </w:t>
      </w:r>
      <w:r w:rsidR="00616059">
        <w:t>g</w:t>
      </w:r>
      <w:r>
        <w:t>raft-versus-</w:t>
      </w:r>
      <w:r w:rsidR="00616059">
        <w:t>h</w:t>
      </w:r>
      <w:r>
        <w:t xml:space="preserve">ost </w:t>
      </w:r>
      <w:r w:rsidR="00616059">
        <w:t>d</w:t>
      </w:r>
      <w:r>
        <w:t>isease</w:t>
      </w:r>
    </w:p>
    <w:p w14:paraId="7B74B0A7" w14:textId="2F0C3B68" w:rsidR="00E70AA0" w:rsidRDefault="0029641F" w:rsidP="0029641F">
      <w:pPr>
        <w:pStyle w:val="Heading6"/>
      </w:pPr>
      <w:r>
        <w:t>Study CINC424D2301</w:t>
      </w:r>
      <w:r w:rsidR="00AB36FA">
        <w:t xml:space="preserve"> (REACH 3 trial)</w:t>
      </w:r>
    </w:p>
    <w:p w14:paraId="0014CA7C" w14:textId="2C2133B8" w:rsidR="00E70AA0" w:rsidRDefault="00AB36FA" w:rsidP="0029641F">
      <w:r>
        <w:t>Study CINC424D2301 (also known as the REACH 3 trial);</w:t>
      </w:r>
      <w:r>
        <w:rPr>
          <w:rStyle w:val="FootnoteReference"/>
        </w:rPr>
        <w:footnoteReference w:id="27"/>
      </w:r>
      <w:r>
        <w:t xml:space="preserve"> is </w:t>
      </w:r>
      <w:r w:rsidR="0029641F">
        <w:t xml:space="preserve">a Phase III randomised open-label multi-centre study of ruxolitinib </w:t>
      </w:r>
      <w:r w:rsidR="00616059">
        <w:t>versus</w:t>
      </w:r>
      <w:r w:rsidR="0029641F">
        <w:t xml:space="preserve"> best available therapy in patients with corticosteroid-refractory chronic graft </w:t>
      </w:r>
      <w:r w:rsidR="00616059">
        <w:t>versus</w:t>
      </w:r>
      <w:r w:rsidR="0029641F">
        <w:t xml:space="preserve"> host disease after allogeneic stem cell transplantation. This is an international </w:t>
      </w:r>
      <w:r w:rsidR="005305D7">
        <w:t>study that</w:t>
      </w:r>
      <w:r w:rsidR="0029641F">
        <w:t xml:space="preserve"> include</w:t>
      </w:r>
      <w:r>
        <w:t>s</w:t>
      </w:r>
      <w:r w:rsidR="0029641F">
        <w:t xml:space="preserve"> centres in Australia.</w:t>
      </w:r>
    </w:p>
    <w:p w14:paraId="22A56AAE" w14:textId="77777777" w:rsidR="005305D7" w:rsidRDefault="0029641F" w:rsidP="0016413C">
      <w:pPr>
        <w:pStyle w:val="Heading7"/>
      </w:pPr>
      <w:r>
        <w:t xml:space="preserve">Study design, objectives, </w:t>
      </w:r>
      <w:proofErr w:type="gramStart"/>
      <w:r>
        <w:t>locations</w:t>
      </w:r>
      <w:proofErr w:type="gramEnd"/>
      <w:r>
        <w:t xml:space="preserve"> and dates</w:t>
      </w:r>
    </w:p>
    <w:p w14:paraId="4BDBC9A3" w14:textId="3839DE07" w:rsidR="0029641F" w:rsidRDefault="0029641F" w:rsidP="0029641F">
      <w:r>
        <w:t>The first patient visit was on 29</w:t>
      </w:r>
      <w:r w:rsidR="002D5047">
        <w:t xml:space="preserve"> </w:t>
      </w:r>
      <w:r>
        <w:t>Jun</w:t>
      </w:r>
      <w:r w:rsidR="002D5047">
        <w:t xml:space="preserve">e </w:t>
      </w:r>
      <w:r>
        <w:t>2017 and the data cut-off date for this submission was 8</w:t>
      </w:r>
      <w:r w:rsidR="005305D7">
        <w:t> </w:t>
      </w:r>
      <w:r>
        <w:t>May</w:t>
      </w:r>
      <w:r w:rsidR="002D5047">
        <w:t xml:space="preserve"> </w:t>
      </w:r>
      <w:r>
        <w:t xml:space="preserve">2020 (data cut-off date for the primary analysis). The study is ongoing. The final analysis will occur when all patients have completed 39 cycles or discontinued from the study or died. The final </w:t>
      </w:r>
      <w:r w:rsidR="005305D7">
        <w:t>c</w:t>
      </w:r>
      <w:r>
        <w:t xml:space="preserve">linical </w:t>
      </w:r>
      <w:r w:rsidR="005305D7">
        <w:t>s</w:t>
      </w:r>
      <w:r>
        <w:t xml:space="preserve">tudy </w:t>
      </w:r>
      <w:r w:rsidR="005305D7">
        <w:t>r</w:t>
      </w:r>
      <w:r>
        <w:t xml:space="preserve">eport (CSR) is expected in 2023. The </w:t>
      </w:r>
      <w:r w:rsidR="002D5047">
        <w:t>e</w:t>
      </w:r>
      <w:r>
        <w:t xml:space="preserve">nd of </w:t>
      </w:r>
      <w:r w:rsidR="002D5047">
        <w:t>t</w:t>
      </w:r>
      <w:r>
        <w:t xml:space="preserve">reatment visit is to occur when the patient permanently discontinues study treatment and enters the </w:t>
      </w:r>
      <w:r w:rsidR="002D5047">
        <w:t>l</w:t>
      </w:r>
      <w:r>
        <w:t xml:space="preserve">ong-term survival follow-up, or completes the randomised treatment period (ruxolitinib arm, or </w:t>
      </w:r>
      <w:r w:rsidR="002D5047">
        <w:t>b</w:t>
      </w:r>
      <w:r>
        <w:t xml:space="preserve">est </w:t>
      </w:r>
      <w:r w:rsidR="002D5047">
        <w:t>a</w:t>
      </w:r>
      <w:r>
        <w:t xml:space="preserve">vailable </w:t>
      </w:r>
      <w:r w:rsidR="002D5047">
        <w:t>t</w:t>
      </w:r>
      <w:r>
        <w:t xml:space="preserve">reatment </w:t>
      </w:r>
      <w:r w:rsidR="002D5047">
        <w:t>(</w:t>
      </w:r>
      <w:r>
        <w:t>BAT</w:t>
      </w:r>
      <w:r w:rsidR="002D5047">
        <w:t xml:space="preserve">) </w:t>
      </w:r>
      <w:r>
        <w:t>patients not crossing over) or the crossover period (BAT arm only). Patients were stratified by severity of c</w:t>
      </w:r>
      <w:r w:rsidR="00AB36FA">
        <w:t xml:space="preserve">hronic </w:t>
      </w:r>
      <w:r>
        <w:t xml:space="preserve">GVHD at the time of randomisation based on cGVHD severity per 2014 </w:t>
      </w:r>
      <w:r w:rsidR="007E06B1" w:rsidRPr="007E06B1">
        <w:t xml:space="preserve">National Institutes of Health </w:t>
      </w:r>
      <w:r w:rsidR="007E06B1">
        <w:t>(</w:t>
      </w:r>
      <w:r w:rsidR="00AB36FA">
        <w:t>USA)</w:t>
      </w:r>
      <w:r>
        <w:t xml:space="preserve"> consensus criteria shown below.</w:t>
      </w:r>
      <w:r w:rsidR="005305D7">
        <w:rPr>
          <w:rStyle w:val="FootnoteReference"/>
        </w:rPr>
        <w:footnoteReference w:id="28"/>
      </w:r>
    </w:p>
    <w:p w14:paraId="39155BFB" w14:textId="6118F112" w:rsidR="00AB36FA" w:rsidRDefault="0029641F" w:rsidP="00B245B8">
      <w:pPr>
        <w:pStyle w:val="TableTitle"/>
        <w:pageBreakBefore/>
      </w:pPr>
      <w:r>
        <w:lastRenderedPageBreak/>
        <w:t xml:space="preserve">Table </w:t>
      </w:r>
      <w:r w:rsidR="00F20AB1">
        <w:fldChar w:fldCharType="begin"/>
      </w:r>
      <w:r w:rsidR="00F20AB1">
        <w:instrText xml:space="preserve"> SEQ Table \* ARABIC </w:instrText>
      </w:r>
      <w:r w:rsidR="00F20AB1">
        <w:fldChar w:fldCharType="separate"/>
      </w:r>
      <w:r w:rsidR="00337955">
        <w:rPr>
          <w:noProof/>
        </w:rPr>
        <w:t>5</w:t>
      </w:r>
      <w:r w:rsidR="00F20AB1">
        <w:rPr>
          <w:noProof/>
        </w:rPr>
        <w:fldChar w:fldCharType="end"/>
      </w:r>
      <w:r w:rsidR="002D144E">
        <w:rPr>
          <w:noProof/>
        </w:rPr>
        <w:t>:</w:t>
      </w:r>
      <w:r>
        <w:t xml:space="preserve"> </w:t>
      </w:r>
      <w:r w:rsidR="007E06B1" w:rsidRPr="007E06B1">
        <w:t>National Institutes of Health</w:t>
      </w:r>
      <w:r w:rsidR="00AB36FA">
        <w:t xml:space="preserve"> (2014) Consensus criteria for</w:t>
      </w:r>
      <w:r>
        <w:t xml:space="preserve"> </w:t>
      </w:r>
      <w:r w:rsidR="00AB36FA">
        <w:t>g</w:t>
      </w:r>
      <w:r>
        <w:t xml:space="preserve">lobal Severity of </w:t>
      </w:r>
      <w:r w:rsidR="00AB36FA">
        <w:t>chronic graft versus host disease</w:t>
      </w:r>
    </w:p>
    <w:tbl>
      <w:tblPr>
        <w:tblStyle w:val="TableTGAblue2023"/>
        <w:tblW w:w="8642" w:type="dxa"/>
        <w:tblLook w:val="04A0" w:firstRow="1" w:lastRow="0" w:firstColumn="1" w:lastColumn="0" w:noHBand="0" w:noVBand="1"/>
      </w:tblPr>
      <w:tblGrid>
        <w:gridCol w:w="8642"/>
      </w:tblGrid>
      <w:tr w:rsidR="00A12FF7" w:rsidRPr="00D01DDB" w14:paraId="23A2E698" w14:textId="77777777" w:rsidTr="00A12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0B609F6C" w14:textId="680D9486" w:rsidR="00A12FF7" w:rsidRPr="00D01DDB" w:rsidRDefault="00A12FF7" w:rsidP="00FE6FB4">
            <w:pPr>
              <w:rPr>
                <w:szCs w:val="22"/>
              </w:rPr>
            </w:pPr>
            <w:r w:rsidRPr="00A12FF7">
              <w:rPr>
                <w:szCs w:val="22"/>
              </w:rPr>
              <w:t>Mild chronic GVHD</w:t>
            </w:r>
          </w:p>
        </w:tc>
      </w:tr>
      <w:tr w:rsidR="00A12FF7" w:rsidRPr="00D01DDB" w14:paraId="23C61F8F" w14:textId="77777777" w:rsidTr="00A12FF7">
        <w:tc>
          <w:tcPr>
            <w:cnfStyle w:val="001000000000" w:firstRow="0" w:lastRow="0" w:firstColumn="1" w:lastColumn="0" w:oddVBand="0" w:evenVBand="0" w:oddHBand="0" w:evenHBand="0" w:firstRowFirstColumn="0" w:firstRowLastColumn="0" w:lastRowFirstColumn="0" w:lastRowLastColumn="0"/>
            <w:tcW w:w="8642" w:type="dxa"/>
          </w:tcPr>
          <w:p w14:paraId="3B750EEA" w14:textId="22B7B712" w:rsidR="00A12FF7" w:rsidRPr="00D01DDB" w:rsidRDefault="00A12FF7" w:rsidP="00FE6FB4">
            <w:pPr>
              <w:rPr>
                <w:szCs w:val="22"/>
              </w:rPr>
            </w:pPr>
            <w:r w:rsidRPr="00A12FF7">
              <w:rPr>
                <w:iCs/>
                <w:color w:val="auto"/>
                <w:szCs w:val="22"/>
              </w:rPr>
              <w:t>1 or 2 Organs involved with no more than score 1 plus Lung score 0</w:t>
            </w:r>
          </w:p>
        </w:tc>
      </w:tr>
      <w:tr w:rsidR="00A12FF7" w:rsidRPr="00D01DDB" w14:paraId="6F3B6B07" w14:textId="77777777" w:rsidTr="001C4E66">
        <w:tc>
          <w:tcPr>
            <w:cnfStyle w:val="001000000000" w:firstRow="0" w:lastRow="0" w:firstColumn="1" w:lastColumn="0" w:oddVBand="0" w:evenVBand="0" w:oddHBand="0" w:evenHBand="0" w:firstRowFirstColumn="0" w:firstRowLastColumn="0" w:lastRowFirstColumn="0" w:lastRowLastColumn="0"/>
            <w:tcW w:w="8642" w:type="dxa"/>
            <w:shd w:val="clear" w:color="auto" w:fill="DEEAF6" w:themeFill="accent5" w:themeFillTint="33"/>
          </w:tcPr>
          <w:p w14:paraId="02B577E9" w14:textId="69962265" w:rsidR="00A12FF7" w:rsidRPr="00B245B8" w:rsidRDefault="00B245B8" w:rsidP="001C4E66">
            <w:pPr>
              <w:keepNext/>
              <w:rPr>
                <w:b/>
                <w:color w:val="263287"/>
                <w:szCs w:val="22"/>
              </w:rPr>
            </w:pPr>
            <w:r w:rsidRPr="00B245B8">
              <w:rPr>
                <w:b/>
                <w:color w:val="263287"/>
                <w:szCs w:val="22"/>
              </w:rPr>
              <w:t>Moderate chronic GVHD</w:t>
            </w:r>
          </w:p>
        </w:tc>
      </w:tr>
      <w:tr w:rsidR="00A12FF7" w:rsidRPr="00D01DDB" w14:paraId="3CA5E8B5" w14:textId="77777777" w:rsidTr="00A12FF7">
        <w:tc>
          <w:tcPr>
            <w:cnfStyle w:val="001000000000" w:firstRow="0" w:lastRow="0" w:firstColumn="1" w:lastColumn="0" w:oddVBand="0" w:evenVBand="0" w:oddHBand="0" w:evenHBand="0" w:firstRowFirstColumn="0" w:firstRowLastColumn="0" w:lastRowFirstColumn="0" w:lastRowLastColumn="0"/>
            <w:tcW w:w="8642" w:type="dxa"/>
          </w:tcPr>
          <w:p w14:paraId="2AA76BB3" w14:textId="77777777" w:rsidR="00B245B8" w:rsidRPr="00B245B8" w:rsidRDefault="00B245B8" w:rsidP="00B245B8">
            <w:pPr>
              <w:rPr>
                <w:szCs w:val="22"/>
              </w:rPr>
            </w:pPr>
            <w:r w:rsidRPr="00B245B8">
              <w:rPr>
                <w:szCs w:val="22"/>
              </w:rPr>
              <w:t xml:space="preserve">3 or more organs involved with no more than score 1 </w:t>
            </w:r>
          </w:p>
          <w:p w14:paraId="73DB8771" w14:textId="77777777" w:rsidR="00B245B8" w:rsidRPr="00B245B8" w:rsidRDefault="00B245B8" w:rsidP="00B245B8">
            <w:pPr>
              <w:rPr>
                <w:szCs w:val="22"/>
              </w:rPr>
            </w:pPr>
            <w:r w:rsidRPr="00B245B8">
              <w:rPr>
                <w:szCs w:val="22"/>
              </w:rPr>
              <w:t>OR</w:t>
            </w:r>
          </w:p>
          <w:p w14:paraId="47E7FCF3" w14:textId="77777777" w:rsidR="00B245B8" w:rsidRPr="00B245B8" w:rsidRDefault="00B245B8" w:rsidP="00B245B8">
            <w:pPr>
              <w:rPr>
                <w:szCs w:val="22"/>
              </w:rPr>
            </w:pPr>
            <w:r w:rsidRPr="00B245B8">
              <w:rPr>
                <w:szCs w:val="22"/>
              </w:rPr>
              <w:t xml:space="preserve">At least 1 organ (not lung) with a score of 2 </w:t>
            </w:r>
          </w:p>
          <w:p w14:paraId="29DFDCB5" w14:textId="77777777" w:rsidR="00B245B8" w:rsidRPr="00B245B8" w:rsidRDefault="00B245B8" w:rsidP="00B245B8">
            <w:pPr>
              <w:rPr>
                <w:szCs w:val="22"/>
              </w:rPr>
            </w:pPr>
            <w:r w:rsidRPr="00B245B8">
              <w:rPr>
                <w:szCs w:val="22"/>
              </w:rPr>
              <w:t>OR</w:t>
            </w:r>
          </w:p>
          <w:p w14:paraId="5585E571" w14:textId="0C22CAD9" w:rsidR="00A12FF7" w:rsidRPr="00D01DDB" w:rsidRDefault="00B245B8" w:rsidP="00B245B8">
            <w:pPr>
              <w:rPr>
                <w:szCs w:val="22"/>
              </w:rPr>
            </w:pPr>
            <w:r w:rsidRPr="00B245B8">
              <w:rPr>
                <w:szCs w:val="22"/>
              </w:rPr>
              <w:t>Lung score 1</w:t>
            </w:r>
          </w:p>
        </w:tc>
      </w:tr>
      <w:tr w:rsidR="00A12FF7" w:rsidRPr="00D01DDB" w14:paraId="17D342EF" w14:textId="77777777" w:rsidTr="001C4E66">
        <w:tc>
          <w:tcPr>
            <w:cnfStyle w:val="001000000000" w:firstRow="0" w:lastRow="0" w:firstColumn="1" w:lastColumn="0" w:oddVBand="0" w:evenVBand="0" w:oddHBand="0" w:evenHBand="0" w:firstRowFirstColumn="0" w:firstRowLastColumn="0" w:lastRowFirstColumn="0" w:lastRowLastColumn="0"/>
            <w:tcW w:w="8642" w:type="dxa"/>
            <w:shd w:val="clear" w:color="auto" w:fill="DEEAF6" w:themeFill="accent5" w:themeFillTint="33"/>
          </w:tcPr>
          <w:p w14:paraId="43DD3574" w14:textId="778366B2" w:rsidR="00A12FF7" w:rsidRPr="00B245B8" w:rsidRDefault="00B245B8" w:rsidP="00B245B8">
            <w:pPr>
              <w:keepNext/>
              <w:rPr>
                <w:b/>
                <w:color w:val="263287"/>
                <w:szCs w:val="22"/>
              </w:rPr>
            </w:pPr>
            <w:r w:rsidRPr="00B245B8">
              <w:rPr>
                <w:b/>
                <w:color w:val="263287"/>
                <w:szCs w:val="22"/>
              </w:rPr>
              <w:t>Severe chronic GVHD</w:t>
            </w:r>
          </w:p>
        </w:tc>
      </w:tr>
      <w:tr w:rsidR="00A12FF7" w:rsidRPr="00D01DDB" w14:paraId="09F6F7E2" w14:textId="77777777" w:rsidTr="00A12FF7">
        <w:tc>
          <w:tcPr>
            <w:cnfStyle w:val="001000000000" w:firstRow="0" w:lastRow="0" w:firstColumn="1" w:lastColumn="0" w:oddVBand="0" w:evenVBand="0" w:oddHBand="0" w:evenHBand="0" w:firstRowFirstColumn="0" w:firstRowLastColumn="0" w:lastRowFirstColumn="0" w:lastRowLastColumn="0"/>
            <w:tcW w:w="8642" w:type="dxa"/>
          </w:tcPr>
          <w:p w14:paraId="0327019F" w14:textId="77777777" w:rsidR="00B245B8" w:rsidRPr="00B245B8" w:rsidRDefault="00B245B8" w:rsidP="00B245B8">
            <w:pPr>
              <w:rPr>
                <w:szCs w:val="22"/>
              </w:rPr>
            </w:pPr>
            <w:r w:rsidRPr="00B245B8">
              <w:rPr>
                <w:szCs w:val="22"/>
              </w:rPr>
              <w:t>At least 1 organ with a score of 3</w:t>
            </w:r>
          </w:p>
          <w:p w14:paraId="0A75F04E" w14:textId="77777777" w:rsidR="00B245B8" w:rsidRPr="00B245B8" w:rsidRDefault="00B245B8" w:rsidP="00B245B8">
            <w:pPr>
              <w:rPr>
                <w:szCs w:val="22"/>
              </w:rPr>
            </w:pPr>
            <w:r w:rsidRPr="00B245B8">
              <w:rPr>
                <w:szCs w:val="22"/>
              </w:rPr>
              <w:t>OR</w:t>
            </w:r>
          </w:p>
          <w:p w14:paraId="69909503" w14:textId="77777777" w:rsidR="00B245B8" w:rsidRPr="00B245B8" w:rsidRDefault="00B245B8" w:rsidP="00B245B8">
            <w:pPr>
              <w:rPr>
                <w:szCs w:val="22"/>
              </w:rPr>
            </w:pPr>
            <w:r w:rsidRPr="00B245B8">
              <w:rPr>
                <w:szCs w:val="22"/>
              </w:rPr>
              <w:t>Lung score of 2 or 3</w:t>
            </w:r>
          </w:p>
          <w:p w14:paraId="6AB17928" w14:textId="77777777" w:rsidR="00B245B8" w:rsidRPr="00B245B8" w:rsidRDefault="00B245B8" w:rsidP="00B245B8">
            <w:pPr>
              <w:rPr>
                <w:szCs w:val="22"/>
              </w:rPr>
            </w:pPr>
            <w:r w:rsidRPr="00B245B8">
              <w:rPr>
                <w:szCs w:val="22"/>
              </w:rPr>
              <w:t>Key points:</w:t>
            </w:r>
          </w:p>
          <w:p w14:paraId="3581E5B9" w14:textId="77777777" w:rsidR="00B245B8" w:rsidRPr="00B245B8" w:rsidRDefault="00B245B8" w:rsidP="00B245B8">
            <w:pPr>
              <w:rPr>
                <w:szCs w:val="22"/>
              </w:rPr>
            </w:pPr>
            <w:r w:rsidRPr="00B245B8">
              <w:rPr>
                <w:szCs w:val="22"/>
              </w:rPr>
              <w:t>In skin: higher of the 2 scores to be used for calculating global severity.</w:t>
            </w:r>
          </w:p>
          <w:p w14:paraId="5356BD27" w14:textId="77777777" w:rsidR="00B245B8" w:rsidRPr="00B245B8" w:rsidRDefault="00B245B8" w:rsidP="00B245B8">
            <w:pPr>
              <w:rPr>
                <w:szCs w:val="22"/>
              </w:rPr>
            </w:pPr>
            <w:r w:rsidRPr="00B245B8">
              <w:rPr>
                <w:szCs w:val="22"/>
              </w:rPr>
              <w:t>In lung: FEV</w:t>
            </w:r>
            <w:r w:rsidRPr="00B245B8">
              <w:rPr>
                <w:szCs w:val="22"/>
                <w:vertAlign w:val="subscript"/>
              </w:rPr>
              <w:t>1</w:t>
            </w:r>
            <w:r w:rsidRPr="00B245B8">
              <w:rPr>
                <w:szCs w:val="22"/>
              </w:rPr>
              <w:t xml:space="preserve"> is used instead of clinical score for calculating global severity</w:t>
            </w:r>
          </w:p>
          <w:p w14:paraId="41A35DEE" w14:textId="77777777" w:rsidR="00B245B8" w:rsidRPr="00B245B8" w:rsidRDefault="00B245B8" w:rsidP="00B245B8">
            <w:pPr>
              <w:rPr>
                <w:szCs w:val="22"/>
              </w:rPr>
            </w:pPr>
            <w:r w:rsidRPr="00B245B8">
              <w:rPr>
                <w:szCs w:val="22"/>
              </w:rPr>
              <w:t>If the entire abnormality in an organ is noted to be unequivocally explained by a non-GVHD documented cause, that organ is not included for calculation of the global severity.</w:t>
            </w:r>
          </w:p>
          <w:p w14:paraId="1EBB82B9" w14:textId="3357485B" w:rsidR="00A12FF7" w:rsidRPr="00D01DDB" w:rsidRDefault="00B245B8" w:rsidP="00B245B8">
            <w:pPr>
              <w:rPr>
                <w:szCs w:val="22"/>
              </w:rPr>
            </w:pPr>
            <w:r w:rsidRPr="00B245B8">
              <w:rPr>
                <w:szCs w:val="22"/>
              </w:rPr>
              <w:t>If the abnormality in an organ is attributed to multifactorial causes (GVHD plus other causes) the scored organ will be used for calculation of the global severity regardless of the contributing causes (no down grading of organ severity score).</w:t>
            </w:r>
          </w:p>
        </w:tc>
      </w:tr>
    </w:tbl>
    <w:p w14:paraId="25413F56" w14:textId="0EF12397" w:rsidR="00AB36FA" w:rsidRPr="009677D4" w:rsidRDefault="00AB36FA" w:rsidP="0016413C">
      <w:pPr>
        <w:pStyle w:val="TableDescription"/>
      </w:pPr>
      <w:r>
        <w:t>FEV</w:t>
      </w:r>
      <w:r>
        <w:rPr>
          <w:vertAlign w:val="subscript"/>
        </w:rPr>
        <w:t xml:space="preserve">1 </w:t>
      </w:r>
      <w:r>
        <w:t>refers to the one-second forced expiratory volume on lung function testing.</w:t>
      </w:r>
    </w:p>
    <w:p w14:paraId="51757913" w14:textId="69A855AE" w:rsidR="00AB36FA" w:rsidRDefault="00AB36FA" w:rsidP="0016413C">
      <w:pPr>
        <w:pStyle w:val="TableDescription"/>
      </w:pPr>
      <w:r>
        <w:t xml:space="preserve">Reproduced from: </w:t>
      </w:r>
      <w:proofErr w:type="spellStart"/>
      <w:r w:rsidRPr="00AB36FA">
        <w:t>Jagasia</w:t>
      </w:r>
      <w:proofErr w:type="spellEnd"/>
      <w:r w:rsidRPr="00AB36FA">
        <w:t xml:space="preserve"> MH, </w:t>
      </w:r>
      <w:proofErr w:type="spellStart"/>
      <w:r w:rsidRPr="00AB36FA">
        <w:t>Greinix</w:t>
      </w:r>
      <w:proofErr w:type="spellEnd"/>
      <w:r w:rsidRPr="00AB36FA">
        <w:t xml:space="preserve"> HT, Arora M, </w:t>
      </w:r>
      <w:proofErr w:type="gramStart"/>
      <w:r w:rsidRPr="00AB36FA">
        <w:t>et al..</w:t>
      </w:r>
      <w:proofErr w:type="gramEnd"/>
      <w:r w:rsidRPr="00AB36FA">
        <w:t xml:space="preserve"> National Institutes of Health Consensus Development Project on Criteria for Clinical Trials in Chronic Graft-versus-Host Disease: I. The 2014 Diagnosis and Staging Working Group Report. Biol Blood Marrow Transplant. 2015;21(3):389-401.</w:t>
      </w:r>
    </w:p>
    <w:p w14:paraId="3E13915A" w14:textId="77777777" w:rsidR="00AB36FA" w:rsidRDefault="00AB36FA" w:rsidP="0016413C">
      <w:pPr>
        <w:pStyle w:val="TableDescription"/>
      </w:pPr>
    </w:p>
    <w:p w14:paraId="15DD6DE9" w14:textId="0E7C4BD2" w:rsidR="0029641F" w:rsidRDefault="0029641F" w:rsidP="006B1E70">
      <w:r>
        <w:t>Approximately 324 patients were planned to be randomised in a 1:1 ratio to one of the two treatment arms, ruxolitinib or BAT. The study design is outlined below with each cycle comprised of 4 weeks (28 days).</w:t>
      </w:r>
    </w:p>
    <w:p w14:paraId="663DF631" w14:textId="6521D655" w:rsidR="0029641F" w:rsidRDefault="00E70AA0" w:rsidP="00E70AA0">
      <w:pPr>
        <w:pStyle w:val="TableTitle"/>
      </w:pPr>
      <w:r>
        <w:lastRenderedPageBreak/>
        <w:t xml:space="preserve">Figure </w:t>
      </w:r>
      <w:r w:rsidR="00F20AB1">
        <w:fldChar w:fldCharType="begin"/>
      </w:r>
      <w:r w:rsidR="00F20AB1">
        <w:instrText xml:space="preserve"> SEQ Figure \* ARABIC </w:instrText>
      </w:r>
      <w:r w:rsidR="00F20AB1">
        <w:fldChar w:fldCharType="separate"/>
      </w:r>
      <w:r w:rsidR="00337955">
        <w:rPr>
          <w:noProof/>
        </w:rPr>
        <w:t>1</w:t>
      </w:r>
      <w:r w:rsidR="00F20AB1">
        <w:rPr>
          <w:noProof/>
        </w:rPr>
        <w:fldChar w:fldCharType="end"/>
      </w:r>
      <w:r w:rsidR="002D5047">
        <w:t xml:space="preserve">: </w:t>
      </w:r>
      <w:r w:rsidR="002D5047" w:rsidRPr="002D5047">
        <w:t>Study CINC424D2301</w:t>
      </w:r>
      <w:r w:rsidRPr="002D5047">
        <w:t xml:space="preserve"> </w:t>
      </w:r>
      <w:r w:rsidR="00387B15">
        <w:t xml:space="preserve">(REACH 3 trial) </w:t>
      </w:r>
      <w:r w:rsidRPr="002D5047">
        <w:t>Study design</w:t>
      </w:r>
    </w:p>
    <w:p w14:paraId="33D9DC29" w14:textId="2B4C65E7" w:rsidR="006B1E70" w:rsidRDefault="006B1E70" w:rsidP="00E70AA0">
      <w:pPr>
        <w:pStyle w:val="TableTitle"/>
      </w:pPr>
      <w:r>
        <w:rPr>
          <w:noProof/>
          <w:lang w:val="en-GB" w:eastAsia="en-GB"/>
        </w:rPr>
        <w:drawing>
          <wp:inline distT="0" distB="0" distL="0" distR="0" wp14:anchorId="2D2096A8" wp14:editId="0EAA608B">
            <wp:extent cx="4985468" cy="4029049"/>
            <wp:effectExtent l="0" t="0" r="5715" b="0"/>
            <wp:docPr id="29" name="Picture 29" descr="This figure shows the study design for Study CINC424D2301.  Patients were screened from 28 days to one day before the start of the study.  On Study Day 1, the patients were randomised into two arm: ruxolitinib or best other treatment.  The treatment period was from Cycle 1 Day 2 to Cycle 6 Day 28.  The extension period, which included an option cross-over to ruxolitinib after Cycle 6, went from Cycle 7 to Cycle 29, or to long-term survival follow-up.  The safety follow-up period was from end of treatment plus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figure shows the study design for Study CINC424D2301.  Patients were screened from 28 days to one day before the start of the study.  On Study Day 1, the patients were randomised into two arm: ruxolitinib or best other treatment.  The treatment period was from Cycle 1 Day 2 to Cycle 6 Day 28.  The extension period, which included an option cross-over to ruxolitinib after Cycle 6, went from Cycle 7 to Cycle 29, or to long-term survival follow-up.  The safety follow-up period was from end of treatment plus 30 days."/>
                    <pic:cNvPicPr/>
                  </pic:nvPicPr>
                  <pic:blipFill>
                    <a:blip r:embed="rId34"/>
                    <a:stretch>
                      <a:fillRect/>
                    </a:stretch>
                  </pic:blipFill>
                  <pic:spPr>
                    <a:xfrm>
                      <a:off x="0" y="0"/>
                      <a:ext cx="4997172" cy="4038507"/>
                    </a:xfrm>
                    <a:prstGeom prst="rect">
                      <a:avLst/>
                    </a:prstGeom>
                  </pic:spPr>
                </pic:pic>
              </a:graphicData>
            </a:graphic>
          </wp:inline>
        </w:drawing>
      </w:r>
    </w:p>
    <w:p w14:paraId="2CEE0BD6" w14:textId="42A1BAA9" w:rsidR="00387B15" w:rsidRDefault="00387B15" w:rsidP="0016413C">
      <w:pPr>
        <w:pStyle w:val="TableDescription"/>
      </w:pPr>
      <w:r>
        <w:t xml:space="preserve">Abbreviations: BAT = best available therapy; </w:t>
      </w:r>
      <w:proofErr w:type="spellStart"/>
      <w:r>
        <w:t>cGvHD</w:t>
      </w:r>
      <w:proofErr w:type="spellEnd"/>
      <w:r>
        <w:t xml:space="preserve"> = chronic graft versus host disease; EOT = end of treatment; ICF = informed consent form.</w:t>
      </w:r>
    </w:p>
    <w:p w14:paraId="5182CDB2" w14:textId="1C3F57F0" w:rsidR="00387B15" w:rsidRDefault="00387B15" w:rsidP="0016413C">
      <w:pPr>
        <w:pStyle w:val="TableDescription"/>
      </w:pPr>
      <w:r>
        <w:t xml:space="preserve">Note: </w:t>
      </w:r>
      <w:proofErr w:type="spellStart"/>
      <w:r>
        <w:t>CxDx</w:t>
      </w:r>
      <w:proofErr w:type="spellEnd"/>
      <w:r>
        <w:t xml:space="preserve"> refers to Cycle number and Day number; for example C1D1 refers to Cycle 1 Day 1.</w:t>
      </w:r>
    </w:p>
    <w:p w14:paraId="451D4D15" w14:textId="77777777" w:rsidR="00387B15" w:rsidRDefault="00387B15" w:rsidP="0016413C">
      <w:pPr>
        <w:pStyle w:val="TableDescription"/>
      </w:pPr>
    </w:p>
    <w:p w14:paraId="3BA53134" w14:textId="79EBE13A" w:rsidR="00E70AA0" w:rsidRDefault="0029641F" w:rsidP="0029641F">
      <w:pPr>
        <w:pStyle w:val="Heading7"/>
      </w:pPr>
      <w:r>
        <w:t xml:space="preserve">Primary </w:t>
      </w:r>
      <w:r w:rsidR="00154F23">
        <w:t>o</w:t>
      </w:r>
      <w:r>
        <w:t>bjective</w:t>
      </w:r>
    </w:p>
    <w:p w14:paraId="4B066666" w14:textId="2EACCB7F" w:rsidR="0029641F" w:rsidRDefault="00154F23" w:rsidP="0029641F">
      <w:r>
        <w:t>The primary objective is to c</w:t>
      </w:r>
      <w:r w:rsidR="0029641F">
        <w:t xml:space="preserve">ompare the efficacy of ruxolitinib </w:t>
      </w:r>
      <w:r w:rsidR="00616059">
        <w:t>versus</w:t>
      </w:r>
      <w:r w:rsidR="0029641F">
        <w:t xml:space="preserve"> </w:t>
      </w:r>
      <w:r w:rsidR="002D5047">
        <w:t>i</w:t>
      </w:r>
      <w:r w:rsidR="0029641F">
        <w:t xml:space="preserve">nvestigator’s choice </w:t>
      </w:r>
      <w:r w:rsidR="002D5047">
        <w:t>b</w:t>
      </w:r>
      <w:r w:rsidR="0029641F">
        <w:t xml:space="preserve">est </w:t>
      </w:r>
      <w:r w:rsidR="002D5047">
        <w:t>a</w:t>
      </w:r>
      <w:r w:rsidR="0029641F">
        <w:t xml:space="preserve">vailable </w:t>
      </w:r>
      <w:r w:rsidR="002D5047">
        <w:t>t</w:t>
      </w:r>
      <w:r w:rsidR="0029641F">
        <w:t>herapy in patients with moderate or severe</w:t>
      </w:r>
      <w:r w:rsidR="002D5047">
        <w:t xml:space="preserve"> steroid-refractory</w:t>
      </w:r>
      <w:r w:rsidR="0029641F">
        <w:t xml:space="preserve"> c</w:t>
      </w:r>
      <w:r w:rsidR="00387B15">
        <w:t xml:space="preserve">hronic </w:t>
      </w:r>
      <w:r w:rsidR="0029641F">
        <w:t xml:space="preserve">GVHD assessed by </w:t>
      </w:r>
      <w:r w:rsidR="002D5047">
        <w:t>o</w:t>
      </w:r>
      <w:r w:rsidR="0029641F">
        <w:t xml:space="preserve">verall </w:t>
      </w:r>
      <w:r w:rsidR="002D5047">
        <w:t>r</w:t>
      </w:r>
      <w:r w:rsidR="0029641F">
        <w:t xml:space="preserve">esponse </w:t>
      </w:r>
      <w:r w:rsidR="002D5047">
        <w:t>r</w:t>
      </w:r>
      <w:r w:rsidR="0029641F">
        <w:t>ate (ORR) at the Cycle 7 Day 1 visit.</w:t>
      </w:r>
    </w:p>
    <w:p w14:paraId="6A9585D9" w14:textId="5AD78999" w:rsidR="00154F23" w:rsidRDefault="0029641F" w:rsidP="0029641F">
      <w:pPr>
        <w:pStyle w:val="Heading7"/>
      </w:pPr>
      <w:r>
        <w:t xml:space="preserve">Key </w:t>
      </w:r>
      <w:r w:rsidR="00154F23">
        <w:t>s</w:t>
      </w:r>
      <w:r>
        <w:t xml:space="preserve">econdary </w:t>
      </w:r>
      <w:r w:rsidR="00154F23">
        <w:t>o</w:t>
      </w:r>
      <w:r>
        <w:t>bjectives</w:t>
      </w:r>
    </w:p>
    <w:p w14:paraId="5B8A7CF9" w14:textId="19C69F28" w:rsidR="00E70AA0" w:rsidRDefault="00154F23" w:rsidP="0016413C">
      <w:r>
        <w:t>The key secondary objectives are to:</w:t>
      </w:r>
    </w:p>
    <w:p w14:paraId="13920838" w14:textId="73D47C92" w:rsidR="00E70AA0" w:rsidRDefault="00154F23" w:rsidP="0029641F">
      <w:pPr>
        <w:pStyle w:val="ListBullet"/>
      </w:pPr>
      <w:r>
        <w:t>c</w:t>
      </w:r>
      <w:r w:rsidR="0029641F">
        <w:t>ompare the rate of failure free survival</w:t>
      </w:r>
      <w:r>
        <w:t>; and</w:t>
      </w:r>
    </w:p>
    <w:p w14:paraId="3A11DE7A" w14:textId="39BBF256" w:rsidR="00E70AA0" w:rsidRDefault="00154F23" w:rsidP="0029641F">
      <w:pPr>
        <w:pStyle w:val="ListBullet"/>
      </w:pPr>
      <w:r>
        <w:t>c</w:t>
      </w:r>
      <w:r w:rsidR="0029641F">
        <w:t>ompare change in modified Lee Symptom Score</w:t>
      </w:r>
      <w:r>
        <w:t>.</w:t>
      </w:r>
      <w:r w:rsidR="005406F3">
        <w:rPr>
          <w:rStyle w:val="FootnoteReference"/>
        </w:rPr>
        <w:footnoteReference w:id="29"/>
      </w:r>
      <w:r w:rsidR="005406F3">
        <w:rPr>
          <w:vertAlign w:val="superscript"/>
        </w:rPr>
        <w:t>,</w:t>
      </w:r>
      <w:r>
        <w:rPr>
          <w:rStyle w:val="FootnoteReference"/>
        </w:rPr>
        <w:footnoteReference w:id="30"/>
      </w:r>
      <w:r>
        <w:rPr>
          <w:vertAlign w:val="superscript"/>
        </w:rPr>
        <w:t>,</w:t>
      </w:r>
      <w:bookmarkStart w:id="52" w:name="_Ref133494590"/>
      <w:r>
        <w:rPr>
          <w:rStyle w:val="FootnoteReference"/>
        </w:rPr>
        <w:footnoteReference w:id="31"/>
      </w:r>
      <w:bookmarkEnd w:id="52"/>
    </w:p>
    <w:p w14:paraId="187553E2" w14:textId="3C00355A" w:rsidR="0029641F" w:rsidRDefault="002D5047" w:rsidP="0029641F">
      <w:r>
        <w:lastRenderedPageBreak/>
        <w:t>Failure free survival</w:t>
      </w:r>
      <w:r w:rsidR="0029641F">
        <w:t xml:space="preserve"> will be used as the first key secondary endpoint for all regions</w:t>
      </w:r>
      <w:r w:rsidR="005406F3">
        <w:t xml:space="preserve"> (rest of world)</w:t>
      </w:r>
      <w:r w:rsidR="0029641F">
        <w:t xml:space="preserve"> except the US</w:t>
      </w:r>
      <w:r w:rsidR="001C77CC">
        <w:t>A</w:t>
      </w:r>
      <w:r w:rsidR="0029641F">
        <w:t>. The modified Lee symptom score</w:t>
      </w:r>
      <w:bookmarkStart w:id="53" w:name="_Ref130813428"/>
      <w:r w:rsidR="00154F23">
        <w:t>;</w:t>
      </w:r>
      <w:bookmarkEnd w:id="53"/>
      <w:r w:rsidR="0029641F">
        <w:t xml:space="preserve"> will be used as the first key secondary endpoint for the US</w:t>
      </w:r>
      <w:r w:rsidR="005406F3">
        <w:t>A</w:t>
      </w:r>
      <w:r w:rsidR="0029641F">
        <w:t>.</w:t>
      </w:r>
    </w:p>
    <w:p w14:paraId="19A30477" w14:textId="29A7811E" w:rsidR="005406F3" w:rsidRDefault="0029641F" w:rsidP="0029641F">
      <w:pPr>
        <w:pStyle w:val="Heading7"/>
      </w:pPr>
      <w:r>
        <w:t xml:space="preserve">Other </w:t>
      </w:r>
      <w:r w:rsidR="005406F3">
        <w:t>s</w:t>
      </w:r>
      <w:r>
        <w:t xml:space="preserve">econdary </w:t>
      </w:r>
      <w:r w:rsidR="005406F3">
        <w:t>o</w:t>
      </w:r>
      <w:r>
        <w:t>bjectives</w:t>
      </w:r>
    </w:p>
    <w:p w14:paraId="7F1C6168" w14:textId="1A112328" w:rsidR="00E70AA0" w:rsidRDefault="005406F3" w:rsidP="0016413C">
      <w:r>
        <w:t xml:space="preserve">Other secondary objectives </w:t>
      </w:r>
      <w:proofErr w:type="gramStart"/>
      <w:r>
        <w:t>include;</w:t>
      </w:r>
      <w:proofErr w:type="gramEnd"/>
      <w:r>
        <w:t xml:space="preserve"> to:</w:t>
      </w:r>
    </w:p>
    <w:p w14:paraId="549D4804" w14:textId="094A7EA2" w:rsidR="00E70AA0" w:rsidRDefault="0029641F" w:rsidP="0029641F">
      <w:pPr>
        <w:pStyle w:val="ListBullet"/>
      </w:pPr>
      <w:r>
        <w:t>Assess best overall response (BOR)</w:t>
      </w:r>
    </w:p>
    <w:p w14:paraId="4DFDFBD2" w14:textId="21484091" w:rsidR="0029641F" w:rsidRDefault="0029641F" w:rsidP="0029641F">
      <w:pPr>
        <w:pStyle w:val="ListBullet"/>
      </w:pPr>
      <w:r>
        <w:t xml:space="preserve">Estimate </w:t>
      </w:r>
      <w:r w:rsidR="00455E21">
        <w:t>overall response rate</w:t>
      </w:r>
      <w:r>
        <w:t xml:space="preserve"> at end of Cycle 3</w:t>
      </w:r>
    </w:p>
    <w:p w14:paraId="32C0E8C8" w14:textId="0E69083B" w:rsidR="00E70AA0" w:rsidRDefault="0029641F" w:rsidP="0029641F">
      <w:pPr>
        <w:pStyle w:val="ListBullet"/>
      </w:pPr>
      <w:r>
        <w:t xml:space="preserve">Assess duration of </w:t>
      </w:r>
      <w:r w:rsidR="00455E21">
        <w:t>r</w:t>
      </w:r>
      <w:r>
        <w:t>esponse</w:t>
      </w:r>
    </w:p>
    <w:p w14:paraId="31A98B09" w14:textId="4A62A877" w:rsidR="00E70AA0" w:rsidRDefault="0029641F" w:rsidP="0029641F">
      <w:pPr>
        <w:pStyle w:val="ListBullet"/>
      </w:pPr>
      <w:r>
        <w:t xml:space="preserve">Assess </w:t>
      </w:r>
      <w:r w:rsidR="00455E21">
        <w:t>o</w:t>
      </w:r>
      <w:r>
        <w:t xml:space="preserve">verall </w:t>
      </w:r>
      <w:r w:rsidR="00455E21">
        <w:t>s</w:t>
      </w:r>
      <w:r>
        <w:t xml:space="preserve">urvival </w:t>
      </w:r>
    </w:p>
    <w:p w14:paraId="65C2D94C" w14:textId="2515094E" w:rsidR="00E70AA0" w:rsidRDefault="0029641F" w:rsidP="0029641F">
      <w:pPr>
        <w:pStyle w:val="ListBullet"/>
      </w:pPr>
      <w:r>
        <w:t xml:space="preserve">Assess </w:t>
      </w:r>
      <w:r w:rsidR="00455E21">
        <w:t>n</w:t>
      </w:r>
      <w:r>
        <w:t>on</w:t>
      </w:r>
      <w:r w:rsidR="00455E21">
        <w:t>-r</w:t>
      </w:r>
      <w:r>
        <w:t xml:space="preserve">elapse </w:t>
      </w:r>
      <w:r w:rsidR="00455E21">
        <w:t>m</w:t>
      </w:r>
      <w:r>
        <w:t>ortality</w:t>
      </w:r>
    </w:p>
    <w:p w14:paraId="33A45205" w14:textId="05BF1B1C" w:rsidR="00E70AA0" w:rsidRDefault="0029641F" w:rsidP="0029641F">
      <w:pPr>
        <w:pStyle w:val="ListBullet"/>
      </w:pPr>
      <w:r>
        <w:t>Assess proportion of patients with ≥</w:t>
      </w:r>
      <w:r w:rsidR="00455E21">
        <w:t xml:space="preserve"> </w:t>
      </w:r>
      <w:r>
        <w:t xml:space="preserve">50% reduction in daily corticosteroid dose at </w:t>
      </w:r>
      <w:r w:rsidR="00455E21">
        <w:t>Cycle 7 Day 1</w:t>
      </w:r>
    </w:p>
    <w:p w14:paraId="7B58985C" w14:textId="67A51DCA" w:rsidR="00E70AA0" w:rsidRDefault="0029641F" w:rsidP="0029641F">
      <w:pPr>
        <w:pStyle w:val="ListBullet"/>
      </w:pPr>
      <w:r>
        <w:t>Assess proportion of patients successfully tapered off all corticosteroids at C</w:t>
      </w:r>
      <w:r w:rsidR="00455E21">
        <w:t xml:space="preserve">ycle </w:t>
      </w:r>
      <w:r>
        <w:t>7</w:t>
      </w:r>
      <w:r w:rsidR="00455E21">
        <w:t xml:space="preserve"> </w:t>
      </w:r>
      <w:r>
        <w:t>D</w:t>
      </w:r>
      <w:r w:rsidR="00455E21">
        <w:t xml:space="preserve">ay </w:t>
      </w:r>
      <w:r>
        <w:t>1</w:t>
      </w:r>
    </w:p>
    <w:p w14:paraId="1535779E" w14:textId="4474B662" w:rsidR="00E70AA0" w:rsidRDefault="0029641F" w:rsidP="0029641F">
      <w:pPr>
        <w:pStyle w:val="ListBullet"/>
      </w:pPr>
      <w:r>
        <w:t>Assess cumulative incidence of Malignancy Relapse/Recurrence (MR)</w:t>
      </w:r>
    </w:p>
    <w:p w14:paraId="48DEF680" w14:textId="17D166DE" w:rsidR="00E70AA0" w:rsidRDefault="0029641F" w:rsidP="0029641F">
      <w:pPr>
        <w:pStyle w:val="ListBullet"/>
      </w:pPr>
      <w:r>
        <w:t xml:space="preserve">Evaluate changes in </w:t>
      </w:r>
      <w:r w:rsidR="00455E21" w:rsidRPr="00455E21">
        <w:t xml:space="preserve">Functional Assessment of Cancer Therapy - Bone Marrow Transplantation </w:t>
      </w:r>
      <w:r>
        <w:t xml:space="preserve">and </w:t>
      </w:r>
      <w:proofErr w:type="spellStart"/>
      <w:r w:rsidR="00455E21" w:rsidRPr="00455E21">
        <w:t>EuroQol</w:t>
      </w:r>
      <w:proofErr w:type="spellEnd"/>
      <w:r w:rsidR="00455E21">
        <w:t xml:space="preserve"> </w:t>
      </w:r>
      <w:r>
        <w:t>EQ-5D</w:t>
      </w:r>
      <w:r w:rsidR="00455E21">
        <w:t xml:space="preserve"> questionnaire</w:t>
      </w:r>
    </w:p>
    <w:p w14:paraId="1438022B" w14:textId="6E6F465C" w:rsidR="00E70AA0" w:rsidRDefault="0029641F" w:rsidP="0029641F">
      <w:pPr>
        <w:pStyle w:val="ListBullet"/>
      </w:pPr>
      <w:r>
        <w:t xml:space="preserve">Assess </w:t>
      </w:r>
      <w:r w:rsidR="00455E21">
        <w:t>p</w:t>
      </w:r>
      <w:r>
        <w:t>harmacokinetics of ruxolitinib in patients</w:t>
      </w:r>
    </w:p>
    <w:p w14:paraId="006C6E75" w14:textId="10F3A2DD" w:rsidR="00E70AA0" w:rsidRDefault="0029641F" w:rsidP="0029641F">
      <w:pPr>
        <w:pStyle w:val="ListBullet"/>
      </w:pPr>
      <w:r>
        <w:t xml:space="preserve">Evaluate the safety of ruxolitinib and </w:t>
      </w:r>
      <w:r w:rsidR="00455E21">
        <w:t>b</w:t>
      </w:r>
      <w:r>
        <w:t xml:space="preserve">est </w:t>
      </w:r>
      <w:r w:rsidR="00455E21">
        <w:t>a</w:t>
      </w:r>
      <w:r>
        <w:t xml:space="preserve">vailable </w:t>
      </w:r>
      <w:r w:rsidR="00455E21">
        <w:t>t</w:t>
      </w:r>
      <w:r>
        <w:t>herapy</w:t>
      </w:r>
    </w:p>
    <w:p w14:paraId="665BA1CE" w14:textId="1E7E8568" w:rsidR="0029641F" w:rsidRDefault="0029641F" w:rsidP="0029641F">
      <w:pPr>
        <w:pStyle w:val="ListBullet"/>
      </w:pPr>
      <w:r>
        <w:t>Assess medical resource utili</w:t>
      </w:r>
      <w:r w:rsidR="00865473">
        <w:t>s</w:t>
      </w:r>
      <w:r>
        <w:t>ation.</w:t>
      </w:r>
    </w:p>
    <w:p w14:paraId="63E3F767" w14:textId="5764072C" w:rsidR="00E70AA0" w:rsidRDefault="0029641F" w:rsidP="0029641F">
      <w:pPr>
        <w:pStyle w:val="Heading7"/>
      </w:pPr>
      <w:r>
        <w:t>Inclusion and exclusion criteria</w:t>
      </w:r>
    </w:p>
    <w:p w14:paraId="3FF57DC8" w14:textId="77777777" w:rsidR="00F07FE0" w:rsidRDefault="0029641F" w:rsidP="0029641F">
      <w:r>
        <w:t>Eligible patients were ≥ 12 years old with moderate or severe c</w:t>
      </w:r>
      <w:r w:rsidR="005406F3">
        <w:t xml:space="preserve">hronic </w:t>
      </w:r>
      <w:r>
        <w:t>GVHD as defined by NIH Consensus Criteria</w:t>
      </w:r>
      <w:bookmarkStart w:id="54" w:name="_Ref130813334"/>
      <w:r w:rsidR="00455E21">
        <w:rPr>
          <w:rStyle w:val="FootnoteReference"/>
        </w:rPr>
        <w:footnoteReference w:id="32"/>
      </w:r>
      <w:bookmarkEnd w:id="54"/>
      <w:r>
        <w:t xml:space="preserve"> requiring additional therapy after failure of corticosteroid therapy and no more than one additional salvage treatment.</w:t>
      </w:r>
    </w:p>
    <w:p w14:paraId="337431C4" w14:textId="393F63FC" w:rsidR="0029641F" w:rsidRDefault="0029641F" w:rsidP="0029641F">
      <w:r>
        <w:t>Patients were excluded if they had an absolute neutrophil count &lt; 1 Gi/L and platelet count &lt;</w:t>
      </w:r>
      <w:r w:rsidR="00F07FE0">
        <w:t> </w:t>
      </w:r>
      <w:r>
        <w:t>25</w:t>
      </w:r>
      <w:r w:rsidR="00F07FE0">
        <w:t> </w:t>
      </w:r>
      <w:r>
        <w:t>Gi/L, estimated creatinine clearance &lt;</w:t>
      </w:r>
      <w:r w:rsidR="005406F3">
        <w:t> </w:t>
      </w:r>
      <w:r>
        <w:t>30</w:t>
      </w:r>
      <w:r w:rsidR="00455E21">
        <w:t> </w:t>
      </w:r>
      <w:r>
        <w:t>m</w:t>
      </w:r>
      <w:r w:rsidR="00455E21">
        <w:t>L</w:t>
      </w:r>
      <w:r>
        <w:t>/min, progressive onset c</w:t>
      </w:r>
      <w:r w:rsidR="005406F3">
        <w:t xml:space="preserve">hronic </w:t>
      </w:r>
      <w:r>
        <w:t>GVHD, oxygen saturation &lt;</w:t>
      </w:r>
      <w:r w:rsidR="00455E21">
        <w:t xml:space="preserve"> </w:t>
      </w:r>
      <w:r>
        <w:t>90%, total bilirubin &gt;</w:t>
      </w:r>
      <w:r w:rsidR="005406F3">
        <w:t> </w:t>
      </w:r>
      <w:r>
        <w:t>2</w:t>
      </w:r>
      <w:r w:rsidR="005406F3">
        <w:t> </w:t>
      </w:r>
      <w:r>
        <w:t xml:space="preserve">mg/dL, or </w:t>
      </w:r>
      <w:r w:rsidR="005406F3">
        <w:t>diarrhoea</w:t>
      </w:r>
      <w:r>
        <w:t xml:space="preserve"> due to GVHD.</w:t>
      </w:r>
      <w:r w:rsidR="00455E21">
        <w:t xml:space="preserve"> </w:t>
      </w:r>
    </w:p>
    <w:p w14:paraId="180926A7" w14:textId="0EB361AE" w:rsidR="00455E21" w:rsidRDefault="0029641F" w:rsidP="00455E21">
      <w:pPr>
        <w:pStyle w:val="Heading7"/>
      </w:pPr>
      <w:r>
        <w:t>Study treatments</w:t>
      </w:r>
    </w:p>
    <w:p w14:paraId="0BA5E839" w14:textId="3566CEFE" w:rsidR="0029641F" w:rsidRDefault="0029641F" w:rsidP="0029641F">
      <w:r>
        <w:t xml:space="preserve">The ruxolitinib dose was 10 mg </w:t>
      </w:r>
      <w:r w:rsidR="00455E21">
        <w:t>twice a day</w:t>
      </w:r>
      <w:r>
        <w:t>. This dose was based on published studies of off</w:t>
      </w:r>
      <w:r w:rsidR="00455E21">
        <w:noBreakHyphen/>
      </w:r>
      <w:r>
        <w:t>label use of ruxolitinib in c</w:t>
      </w:r>
      <w:r w:rsidR="005406F3">
        <w:t xml:space="preserve">hronic </w:t>
      </w:r>
      <w:r>
        <w:t xml:space="preserve">GVHD. Treatments permitted as </w:t>
      </w:r>
      <w:r w:rsidR="005406F3">
        <w:t xml:space="preserve">best available treatment </w:t>
      </w:r>
      <w:r>
        <w:t>included: extracorporeal photopheresis</w:t>
      </w:r>
      <w:r w:rsidR="00455E21">
        <w:t xml:space="preserve">, </w:t>
      </w:r>
      <w:r>
        <w:t>low-dose methotrexate</w:t>
      </w:r>
      <w:r w:rsidR="00455E21">
        <w:t>,</w:t>
      </w:r>
      <w:r>
        <w:t xml:space="preserve"> mycophenolate mofetil</w:t>
      </w:r>
      <w:r w:rsidR="00455E21">
        <w:t>,</w:t>
      </w:r>
      <w:r>
        <w:t xml:space="preserve"> everolimus</w:t>
      </w:r>
      <w:r w:rsidR="00455E21">
        <w:t>,</w:t>
      </w:r>
      <w:r>
        <w:t xml:space="preserve"> sirolimus</w:t>
      </w:r>
      <w:r w:rsidR="00455E21">
        <w:t>,</w:t>
      </w:r>
      <w:r>
        <w:t xml:space="preserve"> infliximab</w:t>
      </w:r>
      <w:r w:rsidR="00455E21">
        <w:t xml:space="preserve">, </w:t>
      </w:r>
      <w:r>
        <w:t>rituximab</w:t>
      </w:r>
      <w:r w:rsidR="00455E21">
        <w:t xml:space="preserve">, </w:t>
      </w:r>
      <w:proofErr w:type="spellStart"/>
      <w:r>
        <w:t>pentostatin</w:t>
      </w:r>
      <w:proofErr w:type="spellEnd"/>
      <w:r w:rsidR="00455E21">
        <w:t xml:space="preserve">, </w:t>
      </w:r>
      <w:r>
        <w:t xml:space="preserve">imatinib or ibrutinib. The </w:t>
      </w:r>
      <w:r w:rsidR="00CE6FFF">
        <w:t>i</w:t>
      </w:r>
      <w:r>
        <w:t xml:space="preserve">nvestigator could select any of these </w:t>
      </w:r>
      <w:r w:rsidR="00F07FE0">
        <w:t xml:space="preserve">as choice of best available treatment </w:t>
      </w:r>
      <w:r>
        <w:t xml:space="preserve">before randomisation. Each patient will be treated and/or followed for a total of </w:t>
      </w:r>
      <w:r w:rsidR="00CE6FFF">
        <w:t>three </w:t>
      </w:r>
      <w:r>
        <w:t xml:space="preserve">years (39 cycles/156 weeks). Patients randomised to </w:t>
      </w:r>
      <w:r w:rsidR="00F07FE0">
        <w:t xml:space="preserve">best available treatment </w:t>
      </w:r>
      <w:r>
        <w:t xml:space="preserve">who did not achieve a </w:t>
      </w:r>
      <w:r w:rsidR="00CE6FFF">
        <w:t>complete response</w:t>
      </w:r>
      <w:r>
        <w:t xml:space="preserve"> or </w:t>
      </w:r>
      <w:r w:rsidR="00CE6FFF">
        <w:t>partial response</w:t>
      </w:r>
      <w:r>
        <w:t xml:space="preserve"> or lost their response thereafter or became intolerant to </w:t>
      </w:r>
      <w:r w:rsidR="00F07FE0">
        <w:t xml:space="preserve">best available treatment </w:t>
      </w:r>
      <w:r>
        <w:t xml:space="preserve">were allowed to crossover to ruxolitinib at or after the start of Cycle 7, after assessments for the primary endpoint. </w:t>
      </w:r>
      <w:r w:rsidR="00F07FE0">
        <w:t xml:space="preserve">Best available treatment </w:t>
      </w:r>
      <w:r>
        <w:t xml:space="preserve">patients who achieved a </w:t>
      </w:r>
      <w:r w:rsidR="00CE6FFF">
        <w:t>complete response</w:t>
      </w:r>
      <w:r>
        <w:t xml:space="preserve"> or </w:t>
      </w:r>
      <w:r w:rsidR="00CE6FFF">
        <w:lastRenderedPageBreak/>
        <w:t xml:space="preserve">partial response </w:t>
      </w:r>
      <w:r>
        <w:t>on Cycle</w:t>
      </w:r>
      <w:r w:rsidR="00CE6FFF">
        <w:t> </w:t>
      </w:r>
      <w:r>
        <w:t>7 Day 1 were not allowed to crossover to ruxolitinib until disease progression, mixed response, or occurrence of a toxicity to</w:t>
      </w:r>
      <w:r w:rsidR="00F07FE0">
        <w:t xml:space="preserve"> best available treatment</w:t>
      </w:r>
      <w:r>
        <w:t>.</w:t>
      </w:r>
    </w:p>
    <w:p w14:paraId="3BE3318E" w14:textId="441FADE8" w:rsidR="0029641F" w:rsidRDefault="0029641F" w:rsidP="0029641F">
      <w:r>
        <w:t>Calcineurin inhibitors and systemic corticosteroids could be taken by the patient as per institutional guidelines. Supportive care such as anti-infectives and immuni</w:t>
      </w:r>
      <w:r w:rsidR="005406F3">
        <w:t>s</w:t>
      </w:r>
      <w:r>
        <w:t>ations could be used as prophylactic therapies.</w:t>
      </w:r>
    </w:p>
    <w:p w14:paraId="2C825E87" w14:textId="6772BA72" w:rsidR="00E70AA0" w:rsidRDefault="0029641F" w:rsidP="0029641F">
      <w:pPr>
        <w:pStyle w:val="Heading7"/>
      </w:pPr>
      <w:bookmarkStart w:id="55" w:name="_Ref133493797"/>
      <w:r>
        <w:t>Efficacy endpoints</w:t>
      </w:r>
      <w:bookmarkEnd w:id="55"/>
    </w:p>
    <w:p w14:paraId="317CD254" w14:textId="4DD396AB" w:rsidR="00E70AA0" w:rsidRDefault="0029641F" w:rsidP="00F07FE0">
      <w:r>
        <w:t>The primary efficacy endpoint was overall response rate, defined as the proportion of patients with complete response or partial response, at Cycle 7 Day 1 according to NIH consensus criteria.</w:t>
      </w:r>
      <w:r w:rsidR="00CE6FFF">
        <w:fldChar w:fldCharType="begin"/>
      </w:r>
      <w:r w:rsidR="00CE6FFF">
        <w:instrText xml:space="preserve"> NOTEREF _Ref130813334 \f \h </w:instrText>
      </w:r>
      <w:r w:rsidR="00CE6FFF">
        <w:fldChar w:fldCharType="separate"/>
      </w:r>
      <w:r w:rsidR="00337955" w:rsidRPr="00337955">
        <w:rPr>
          <w:rStyle w:val="FootnoteReference"/>
        </w:rPr>
        <w:t>32</w:t>
      </w:r>
      <w:r w:rsidR="00CE6FFF">
        <w:fldChar w:fldCharType="end"/>
      </w:r>
    </w:p>
    <w:p w14:paraId="514525FB" w14:textId="43B241FB" w:rsidR="005406F3" w:rsidRDefault="005406F3" w:rsidP="00F07FE0">
      <w:r>
        <w:t>Responses were defined as follows:</w:t>
      </w:r>
    </w:p>
    <w:p w14:paraId="6881D80F" w14:textId="0B5982E6" w:rsidR="00E70AA0" w:rsidRDefault="005406F3">
      <w:pPr>
        <w:pStyle w:val="ListBullet"/>
      </w:pPr>
      <w:r>
        <w:t>A c</w:t>
      </w:r>
      <w:r w:rsidR="0029641F">
        <w:t xml:space="preserve">omplete </w:t>
      </w:r>
      <w:r>
        <w:t>r</w:t>
      </w:r>
      <w:r w:rsidR="0029641F">
        <w:t>esponse</w:t>
      </w:r>
      <w:r>
        <w:t xml:space="preserve"> (CR)</w:t>
      </w:r>
      <w:r w:rsidR="0029641F">
        <w:t xml:space="preserve"> was defined as complete resolution of all signs and symptoms of c</w:t>
      </w:r>
      <w:r>
        <w:t xml:space="preserve">hronic </w:t>
      </w:r>
      <w:r w:rsidR="0029641F">
        <w:t>GVHD in all evaluable organs without initiation or addition of new systemic therapy.</w:t>
      </w:r>
    </w:p>
    <w:p w14:paraId="2FC54C46" w14:textId="777D7974" w:rsidR="0029641F" w:rsidRDefault="005406F3">
      <w:pPr>
        <w:pStyle w:val="ListBullet"/>
      </w:pPr>
      <w:r>
        <w:t>A p</w:t>
      </w:r>
      <w:r w:rsidR="0029641F">
        <w:t xml:space="preserve">artial </w:t>
      </w:r>
      <w:r>
        <w:t>r</w:t>
      </w:r>
      <w:r w:rsidR="0029641F">
        <w:t xml:space="preserve">esponse </w:t>
      </w:r>
      <w:r>
        <w:t xml:space="preserve">(PR) </w:t>
      </w:r>
      <w:r w:rsidR="0029641F">
        <w:t>was defined as an improvement in at least one organ (</w:t>
      </w:r>
      <w:r w:rsidR="00CE6FFF">
        <w:t>for example,</w:t>
      </w:r>
      <w:r w:rsidR="0029641F">
        <w:t xml:space="preserve"> improvement of </w:t>
      </w:r>
      <w:r w:rsidR="00CE6FFF">
        <w:t>one</w:t>
      </w:r>
      <w:r w:rsidR="0029641F">
        <w:t xml:space="preserve"> or more points on a </w:t>
      </w:r>
      <w:proofErr w:type="gramStart"/>
      <w:r w:rsidR="0029641F">
        <w:t>4 to 7</w:t>
      </w:r>
      <w:r w:rsidR="00CE6FFF">
        <w:t xml:space="preserve"> </w:t>
      </w:r>
      <w:r w:rsidR="0029641F">
        <w:t>point</w:t>
      </w:r>
      <w:proofErr w:type="gramEnd"/>
      <w:r w:rsidR="0029641F">
        <w:t xml:space="preserve"> scale, or an improvement of</w:t>
      </w:r>
      <w:r w:rsidR="00CE6FFF">
        <w:t xml:space="preserve"> two </w:t>
      </w:r>
      <w:r w:rsidR="0029641F">
        <w:t>or more points on a 10 to 12</w:t>
      </w:r>
      <w:r w:rsidR="00CE6FFF">
        <w:t xml:space="preserve"> </w:t>
      </w:r>
      <w:r w:rsidR="0029641F">
        <w:t>point scale) without progression in other organs or sites, initiation or addition of new systemic therapy.</w:t>
      </w:r>
    </w:p>
    <w:p w14:paraId="41E7FC35" w14:textId="77777777" w:rsidR="00E70AA0" w:rsidRDefault="0029641F" w:rsidP="0016413C">
      <w:r>
        <w:t>Lack of response was defined as unchanged, mixed response, or progression.</w:t>
      </w:r>
    </w:p>
    <w:p w14:paraId="0F8F49CA" w14:textId="3627C325" w:rsidR="00E70AA0" w:rsidRDefault="0029641F" w:rsidP="0029641F">
      <w:r>
        <w:t xml:space="preserve">The key secondary endpoints were </w:t>
      </w:r>
      <w:r w:rsidR="005406F3">
        <w:t>f</w:t>
      </w:r>
      <w:r>
        <w:t xml:space="preserve">ailure </w:t>
      </w:r>
      <w:r w:rsidR="005406F3">
        <w:t>f</w:t>
      </w:r>
      <w:r>
        <w:t xml:space="preserve">ree </w:t>
      </w:r>
      <w:r w:rsidR="005406F3">
        <w:t>s</w:t>
      </w:r>
      <w:r>
        <w:t>urvival and the modified Lee Symptom Scale (</w:t>
      </w:r>
      <w:proofErr w:type="spellStart"/>
      <w:r>
        <w:t>mLSS</w:t>
      </w:r>
      <w:proofErr w:type="spellEnd"/>
      <w:r>
        <w:t>).</w:t>
      </w:r>
      <w:r w:rsidR="00337955">
        <w:fldChar w:fldCharType="begin"/>
      </w:r>
      <w:r w:rsidR="00337955">
        <w:instrText xml:space="preserve"> NOTEREF _Ref133494590 \h </w:instrText>
      </w:r>
      <w:r w:rsidR="00F20AB1">
        <w:fldChar w:fldCharType="separate"/>
      </w:r>
      <w:r w:rsidR="00337955">
        <w:fldChar w:fldCharType="end"/>
      </w:r>
      <w:r w:rsidR="00337955">
        <w:fldChar w:fldCharType="begin"/>
      </w:r>
      <w:r w:rsidR="00337955">
        <w:instrText xml:space="preserve"> NOTEREF _Ref133494590 \f \h </w:instrText>
      </w:r>
      <w:r w:rsidR="00337955">
        <w:fldChar w:fldCharType="separate"/>
      </w:r>
      <w:r w:rsidR="00337955" w:rsidRPr="00337955">
        <w:rPr>
          <w:rStyle w:val="FootnoteReference"/>
        </w:rPr>
        <w:t>31</w:t>
      </w:r>
      <w:r w:rsidR="00337955">
        <w:fldChar w:fldCharType="end"/>
      </w:r>
      <w:r w:rsidR="00F20AB1">
        <w:fldChar w:fldCharType="begin"/>
      </w:r>
      <w:r w:rsidR="00F20AB1">
        <w:instrText xml:space="preserve"> NOTEREF _Ref130813428 \f \h </w:instrText>
      </w:r>
      <w:r w:rsidR="00F20AB1">
        <w:fldChar w:fldCharType="separate"/>
      </w:r>
      <w:r w:rsidR="00F20AB1">
        <w:fldChar w:fldCharType="end"/>
      </w:r>
    </w:p>
    <w:p w14:paraId="55AE082D" w14:textId="463BD70A" w:rsidR="00E70AA0" w:rsidRDefault="0029641F" w:rsidP="0029641F">
      <w:pPr>
        <w:pStyle w:val="ListBullet"/>
      </w:pPr>
      <w:r>
        <w:t>F</w:t>
      </w:r>
      <w:r w:rsidR="00CE6FFF">
        <w:t>ailure free survival</w:t>
      </w:r>
      <w:r>
        <w:t xml:space="preserve"> is a composite time to event endpoint incorporating</w:t>
      </w:r>
      <w:r w:rsidR="00E70AA0">
        <w:t xml:space="preserve"> </w:t>
      </w:r>
      <w:r>
        <w:t>relapse or recurrence of underlying disease or death due of underlying disease, and non-relapse mortality, and the addition or initiation of another systemic therapy for c</w:t>
      </w:r>
      <w:r w:rsidR="00F07FE0">
        <w:t xml:space="preserve">hronic </w:t>
      </w:r>
      <w:r>
        <w:t>GVHD.</w:t>
      </w:r>
    </w:p>
    <w:p w14:paraId="58440650" w14:textId="43F91629" w:rsidR="0029641F" w:rsidRDefault="0029641F" w:rsidP="0029641F">
      <w:pPr>
        <w:pStyle w:val="ListBullet"/>
      </w:pPr>
      <w:r>
        <w:t xml:space="preserve">For the secondary endpoint analysis of </w:t>
      </w:r>
      <w:proofErr w:type="spellStart"/>
      <w:r>
        <w:t>mLSS</w:t>
      </w:r>
      <w:proofErr w:type="spellEnd"/>
      <w:r w:rsidR="00F07FE0">
        <w:t xml:space="preserve"> scores,</w:t>
      </w:r>
      <w:r>
        <w:t xml:space="preserve"> a reduction of </w:t>
      </w:r>
      <w:r w:rsidR="00CE6FFF">
        <w:t>seven</w:t>
      </w:r>
      <w:r>
        <w:t xml:space="preserve"> or more points of the total symptom score of the </w:t>
      </w:r>
      <w:proofErr w:type="spellStart"/>
      <w:r>
        <w:t>mLSS</w:t>
      </w:r>
      <w:proofErr w:type="spellEnd"/>
      <w:r>
        <w:t xml:space="preserve"> at Cycle 7 Day 1 relative to baseline was considered a response.</w:t>
      </w:r>
    </w:p>
    <w:p w14:paraId="067BEC1C" w14:textId="77777777" w:rsidR="0029641F" w:rsidRDefault="0029641F" w:rsidP="0029641F">
      <w:r>
        <w:t>Other secondary endpoints included:</w:t>
      </w:r>
    </w:p>
    <w:p w14:paraId="11E45368" w14:textId="7CA68E4F" w:rsidR="00E70AA0" w:rsidRDefault="0029641F" w:rsidP="0029641F">
      <w:pPr>
        <w:pStyle w:val="ListBullet"/>
      </w:pPr>
      <w:r>
        <w:t xml:space="preserve">Best </w:t>
      </w:r>
      <w:r w:rsidR="00CE6FFF">
        <w:t>o</w:t>
      </w:r>
      <w:r>
        <w:t xml:space="preserve">verall </w:t>
      </w:r>
      <w:r w:rsidR="00CE6FFF">
        <w:t>r</w:t>
      </w:r>
      <w:r>
        <w:t>esponse (BOR) defined as the proportion of patients who achieved overall response (</w:t>
      </w:r>
      <w:r w:rsidR="00CE6FFF">
        <w:t>complete response</w:t>
      </w:r>
      <w:r>
        <w:t xml:space="preserve"> or </w:t>
      </w:r>
      <w:r w:rsidR="00CE6FFF">
        <w:t>partial response</w:t>
      </w:r>
      <w:r>
        <w:t>) at any time point up to and including Cycle 7 Day 1 and before the start of additional systemic therapy for c</w:t>
      </w:r>
      <w:r w:rsidR="00F07FE0">
        <w:t xml:space="preserve">hronic </w:t>
      </w:r>
      <w:r>
        <w:t>GVHD was also a secondary endpoint.</w:t>
      </w:r>
    </w:p>
    <w:p w14:paraId="0B45F7A2" w14:textId="61143E3F" w:rsidR="0029641F" w:rsidRDefault="0029641F" w:rsidP="0029641F">
      <w:pPr>
        <w:pStyle w:val="ListBullet"/>
      </w:pPr>
      <w:r>
        <w:t xml:space="preserve">Duration of </w:t>
      </w:r>
      <w:r w:rsidR="00CE6FFF">
        <w:t>r</w:t>
      </w:r>
      <w:r>
        <w:t>esponse (DOR) was determined only for responders and was defined as the time from first response until c</w:t>
      </w:r>
      <w:r w:rsidR="00F07FE0">
        <w:t xml:space="preserve">hronic </w:t>
      </w:r>
      <w:r>
        <w:t>GVHD progression, death, or the date of change/addition of systemic therapies for c</w:t>
      </w:r>
      <w:r w:rsidR="00F07FE0">
        <w:t xml:space="preserve">hronic </w:t>
      </w:r>
      <w:r>
        <w:t>GVHD.</w:t>
      </w:r>
    </w:p>
    <w:p w14:paraId="4652B38B" w14:textId="378C43BC" w:rsidR="00F07FE0" w:rsidRDefault="00F07FE0" w:rsidP="0029641F">
      <w:r>
        <w:t xml:space="preserve">Chronic </w:t>
      </w:r>
      <w:r w:rsidR="0029641F" w:rsidRPr="0029641F">
        <w:t xml:space="preserve">GVHD </w:t>
      </w:r>
      <w:r w:rsidR="00CE6FFF">
        <w:t>r</w:t>
      </w:r>
      <w:r w:rsidR="0029641F" w:rsidRPr="0029641F">
        <w:t xml:space="preserve">ecurrence was defined as the return of </w:t>
      </w:r>
      <w:r>
        <w:t xml:space="preserve">chronic </w:t>
      </w:r>
      <w:r w:rsidR="0029641F" w:rsidRPr="0029641F">
        <w:t xml:space="preserve">GVHD disease after tapering off study treatment due to response. Following completion of a taper of systemic therapy, if worsening of </w:t>
      </w:r>
      <w:r>
        <w:t xml:space="preserve">chronic </w:t>
      </w:r>
      <w:r w:rsidR="0029641F" w:rsidRPr="0029641F">
        <w:t xml:space="preserve">GVHD symptoms occur, the patient was allowed to resume treatment for </w:t>
      </w:r>
      <w:r>
        <w:t xml:space="preserve">chronic </w:t>
      </w:r>
      <w:r w:rsidR="0029641F" w:rsidRPr="0029641F">
        <w:t xml:space="preserve">GVHD as per local institutional practice. </w:t>
      </w:r>
      <w:r>
        <w:t>The r</w:t>
      </w:r>
      <w:r w:rsidR="0029641F" w:rsidRPr="0029641F">
        <w:t>e-start</w:t>
      </w:r>
      <w:r>
        <w:t>ing</w:t>
      </w:r>
      <w:r w:rsidR="0029641F" w:rsidRPr="0029641F">
        <w:t xml:space="preserve"> of treatment for </w:t>
      </w:r>
      <w:r>
        <w:t xml:space="preserve">chronic </w:t>
      </w:r>
      <w:r w:rsidR="0029641F" w:rsidRPr="0029641F">
        <w:t>GVHD was handled in the same way as addition or initiation of new systemic treatment.</w:t>
      </w:r>
    </w:p>
    <w:p w14:paraId="7BB13525" w14:textId="1B0F48D5" w:rsidR="0029641F" w:rsidRDefault="0029641F" w:rsidP="0029641F">
      <w:r w:rsidRPr="0029641F">
        <w:t>A patient was not considered a responder at Cycle 7 Day</w:t>
      </w:r>
      <w:r w:rsidR="00CE6FFF">
        <w:t> </w:t>
      </w:r>
      <w:r w:rsidRPr="0029641F">
        <w:t>1 if any of the following events occurred prior to the Cycle 7 Day 1 visit:</w:t>
      </w:r>
    </w:p>
    <w:p w14:paraId="1EEE2512" w14:textId="3469DC6F" w:rsidR="0029641F" w:rsidRDefault="0029641F" w:rsidP="0029641F">
      <w:pPr>
        <w:pStyle w:val="ListBullet"/>
      </w:pPr>
      <w:r>
        <w:t xml:space="preserve">Missing </w:t>
      </w:r>
      <w:r w:rsidR="00F07FE0">
        <w:t xml:space="preserve">chronic </w:t>
      </w:r>
      <w:r>
        <w:t>GVHD assessment at Cycle 7 Day 1</w:t>
      </w:r>
    </w:p>
    <w:p w14:paraId="3110EE52" w14:textId="0446E799" w:rsidR="0029641F" w:rsidRDefault="0029641F" w:rsidP="0029641F">
      <w:pPr>
        <w:pStyle w:val="ListBullet"/>
      </w:pPr>
      <w:r>
        <w:t xml:space="preserve">No </w:t>
      </w:r>
      <w:r w:rsidR="00CE6FFF">
        <w:t>complete response</w:t>
      </w:r>
      <w:r>
        <w:t xml:space="preserve"> or </w:t>
      </w:r>
      <w:r w:rsidR="00CE6FFF">
        <w:t>partial response</w:t>
      </w:r>
      <w:r>
        <w:t xml:space="preserve"> at Cycle 7 Day 1</w:t>
      </w:r>
    </w:p>
    <w:p w14:paraId="3BA0010C" w14:textId="5C3A6BFC" w:rsidR="0029641F" w:rsidRDefault="0029641F" w:rsidP="0029641F">
      <w:pPr>
        <w:pStyle w:val="ListBullet"/>
      </w:pPr>
      <w:r>
        <w:t xml:space="preserve">Addition or start of new systemic therapy for </w:t>
      </w:r>
      <w:r w:rsidR="00F07FE0">
        <w:t xml:space="preserve">chronic </w:t>
      </w:r>
      <w:r>
        <w:t>GVHD prior to the current assessments</w:t>
      </w:r>
    </w:p>
    <w:p w14:paraId="34C1C2FD" w14:textId="2F2F9460" w:rsidR="00E70AA0" w:rsidRDefault="0029641F" w:rsidP="0029641F">
      <w:pPr>
        <w:pStyle w:val="Heading7"/>
      </w:pPr>
      <w:r>
        <w:lastRenderedPageBreak/>
        <w:t>Statistical methods</w:t>
      </w:r>
    </w:p>
    <w:p w14:paraId="4BF08F75" w14:textId="7F608456" w:rsidR="0029641F" w:rsidRDefault="0029641F" w:rsidP="0029641F">
      <w:r>
        <w:t>The primary analysis comprised analyses of the primary, key secondary endpoints, secondary and some exploratory objectives in all patients who completed the Cycle 7 Day 1 visit or who discontinued from study participation earlier.</w:t>
      </w:r>
    </w:p>
    <w:p w14:paraId="3D12B2F9" w14:textId="5BF6259B" w:rsidR="00E70AA0" w:rsidRDefault="0029641F" w:rsidP="0029641F">
      <w:r>
        <w:t xml:space="preserve">An interim analysis based on 196 patients (60.5% of the targeted 324 patients), who completed Cycle 7 Day 1 visit or discontinued earlier, was performed and the results were provided to the Data Monitoring Committee in October 2019. The </w:t>
      </w:r>
      <w:r w:rsidR="00CE6FFF">
        <w:t xml:space="preserve">committee </w:t>
      </w:r>
      <w:r>
        <w:t>recommended to proceed the study with primary analysis for all 329 randomised patients who completed Cycle 7 Day 1 visit or discontinued earlier (data cut-off on 8</w:t>
      </w:r>
      <w:r w:rsidR="00CE6FFF">
        <w:t xml:space="preserve"> </w:t>
      </w:r>
      <w:r>
        <w:t>May</w:t>
      </w:r>
      <w:r w:rsidR="00CE6FFF">
        <w:t xml:space="preserve"> </w:t>
      </w:r>
      <w:r>
        <w:t>2020).</w:t>
      </w:r>
    </w:p>
    <w:p w14:paraId="1733197C" w14:textId="7C59443C" w:rsidR="0029641F" w:rsidRDefault="0029641F" w:rsidP="0029641F">
      <w:r>
        <w:t>Statistical tests of the primary and the two key secondary endpoints at the interim analysis and the primary analysis were performed according to an overall hierarchical testing procedure in a two-look group sequential study design to hold the overall one-sided family-wise error rate of alpha</w:t>
      </w:r>
      <w:r w:rsidR="00CE6FFF">
        <w:t xml:space="preserve"> </w:t>
      </w:r>
      <w:r>
        <w:t>=</w:t>
      </w:r>
      <w:r w:rsidR="00CE6FFF">
        <w:t xml:space="preserve"> </w:t>
      </w:r>
      <w:r>
        <w:t>0.025. The significance boundary at the interim analysis based on the alpha-spending function was alpha</w:t>
      </w:r>
      <w:r w:rsidR="00CE6FFF">
        <w:t xml:space="preserve"> </w:t>
      </w:r>
      <w:r>
        <w:t>=</w:t>
      </w:r>
      <w:r w:rsidR="00CE6FFF">
        <w:t xml:space="preserve"> </w:t>
      </w:r>
      <w:r>
        <w:t>0.01176 and was used for all three endpoints. Hypotheses that were not rejected at the interim analysis were retested at the primary analysis by using the remaining alpha (=</w:t>
      </w:r>
      <w:r w:rsidR="00CE6FFF">
        <w:t xml:space="preserve"> </w:t>
      </w:r>
      <w:r>
        <w:t>0.01858) according to the group sequential methodology.</w:t>
      </w:r>
    </w:p>
    <w:p w14:paraId="079BAB42" w14:textId="21626A82" w:rsidR="00F07FE0" w:rsidRDefault="00F07FE0" w:rsidP="0016413C">
      <w:pPr>
        <w:pStyle w:val="Heading7"/>
      </w:pPr>
      <w:r>
        <w:t>Subject disposition and baseline characteristics</w:t>
      </w:r>
    </w:p>
    <w:p w14:paraId="6C7DA17E" w14:textId="02C79605" w:rsidR="0029641F" w:rsidRDefault="0029641F" w:rsidP="0029641F">
      <w:pPr>
        <w:pStyle w:val="TableTitle"/>
      </w:pPr>
      <w:r>
        <w:t xml:space="preserve">Table </w:t>
      </w:r>
      <w:r w:rsidR="00F20AB1">
        <w:fldChar w:fldCharType="begin"/>
      </w:r>
      <w:r w:rsidR="00F20AB1">
        <w:instrText xml:space="preserve"> SEQ Table \* ARABIC </w:instrText>
      </w:r>
      <w:r w:rsidR="00F20AB1">
        <w:fldChar w:fldCharType="separate"/>
      </w:r>
      <w:r w:rsidR="00337955">
        <w:rPr>
          <w:noProof/>
        </w:rPr>
        <w:t>6</w:t>
      </w:r>
      <w:r w:rsidR="00F20AB1">
        <w:rPr>
          <w:noProof/>
        </w:rPr>
        <w:fldChar w:fldCharType="end"/>
      </w:r>
      <w:r w:rsidR="00CE6FFF">
        <w:rPr>
          <w:noProof/>
        </w:rPr>
        <w:t xml:space="preserve">: </w:t>
      </w:r>
      <w:r w:rsidR="00CE6FFF" w:rsidRPr="00CE6FFF">
        <w:rPr>
          <w:noProof/>
        </w:rPr>
        <w:t>Study CINC424D2301</w:t>
      </w:r>
      <w:r w:rsidR="007E06B1">
        <w:rPr>
          <w:noProof/>
        </w:rPr>
        <w:t xml:space="preserve"> </w:t>
      </w:r>
      <w:r w:rsidR="00F07FE0">
        <w:rPr>
          <w:noProof/>
        </w:rPr>
        <w:t xml:space="preserve">(REACH 3 trial) </w:t>
      </w:r>
      <w:r w:rsidR="007E06B1">
        <w:rPr>
          <w:noProof/>
        </w:rPr>
        <w:t xml:space="preserve">Subject </w:t>
      </w:r>
      <w:r w:rsidR="00F07FE0" w:rsidRPr="00CE6FFF">
        <w:t>disposition</w:t>
      </w:r>
    </w:p>
    <w:p w14:paraId="41185628" w14:textId="605A9F6A" w:rsidR="001C77CC" w:rsidRDefault="001C77CC" w:rsidP="0029641F">
      <w:pPr>
        <w:pStyle w:val="TableTitle"/>
        <w:rPr>
          <w:i/>
          <w:iCs/>
        </w:rPr>
      </w:pPr>
      <w:r>
        <w:rPr>
          <w:noProof/>
          <w:lang w:val="en-GB" w:eastAsia="en-GB"/>
        </w:rPr>
        <w:drawing>
          <wp:inline distT="0" distB="0" distL="0" distR="0" wp14:anchorId="0FA28BDD" wp14:editId="4E50B906">
            <wp:extent cx="5581650" cy="3314700"/>
            <wp:effectExtent l="0" t="0" r="0" b="0"/>
            <wp:docPr id="1" name="Picture 1" descr="This table shows the disposition of subjects for Study CINC424D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table shows the disposition of subjects for Study CINC424D2301"/>
                    <pic:cNvPicPr/>
                  </pic:nvPicPr>
                  <pic:blipFill>
                    <a:blip r:embed="rId35"/>
                    <a:stretch>
                      <a:fillRect/>
                    </a:stretch>
                  </pic:blipFill>
                  <pic:spPr>
                    <a:xfrm>
                      <a:off x="0" y="0"/>
                      <a:ext cx="5581650" cy="3314700"/>
                    </a:xfrm>
                    <a:prstGeom prst="rect">
                      <a:avLst/>
                    </a:prstGeom>
                  </pic:spPr>
                </pic:pic>
              </a:graphicData>
            </a:graphic>
          </wp:inline>
        </w:drawing>
      </w:r>
    </w:p>
    <w:p w14:paraId="3F05CB07" w14:textId="09A78DE4" w:rsidR="00F07FE0" w:rsidRPr="0016413C" w:rsidRDefault="00F07FE0" w:rsidP="001C77CC">
      <w:pPr>
        <w:pStyle w:val="TableDescription"/>
      </w:pPr>
      <w:r>
        <w:t xml:space="preserve">Abbreviations: BAT = best available treatment; </w:t>
      </w:r>
      <w:proofErr w:type="spellStart"/>
      <w:r>
        <w:t>Rux</w:t>
      </w:r>
      <w:proofErr w:type="spellEnd"/>
      <w:r>
        <w:t xml:space="preserve"> = </w:t>
      </w:r>
      <w:proofErr w:type="spellStart"/>
      <w:r>
        <w:t>ruxolitinib</w:t>
      </w:r>
      <w:proofErr w:type="spellEnd"/>
      <w:r>
        <w:t>.</w:t>
      </w:r>
    </w:p>
    <w:p w14:paraId="6ED6F12D" w14:textId="62179D98" w:rsidR="001C77CC" w:rsidRDefault="001C77CC" w:rsidP="001C77CC">
      <w:pPr>
        <w:pStyle w:val="TableDescription"/>
      </w:pPr>
      <w:r w:rsidRPr="001C77CC">
        <w:rPr>
          <w:vertAlign w:val="superscript"/>
        </w:rPr>
        <w:t>1</w:t>
      </w:r>
      <w:r>
        <w:t xml:space="preserve"> Ongoing at the time of the data cut-off date 8 May 2020</w:t>
      </w:r>
    </w:p>
    <w:p w14:paraId="679449B4" w14:textId="0E84DBC7" w:rsidR="001C77CC" w:rsidRDefault="001C77CC" w:rsidP="001C77CC">
      <w:pPr>
        <w:pStyle w:val="TableDescription"/>
      </w:pPr>
      <w:r w:rsidRPr="001C77CC">
        <w:rPr>
          <w:vertAlign w:val="superscript"/>
        </w:rPr>
        <w:t>2</w:t>
      </w:r>
      <w:r>
        <w:t xml:space="preserve"> Survival follow-up: followed approximately every three months by telephone call for survival and reporting of new cGVHD therapies until 39 cycles completed</w:t>
      </w:r>
      <w:r>
        <w:br/>
      </w:r>
    </w:p>
    <w:p w14:paraId="458ED9FE" w14:textId="77777777" w:rsidR="00F23D31" w:rsidRDefault="0029641F" w:rsidP="0029641F">
      <w:r>
        <w:t>The median age in the overall population was 49.0 years (range</w:t>
      </w:r>
      <w:r w:rsidR="001C77CC">
        <w:t>:</w:t>
      </w:r>
      <w:r>
        <w:t xml:space="preserve"> 12.0 to 76.0). The proportion of male and female patients was 61.1% and 38.9%, respectively. Most patients were </w:t>
      </w:r>
      <w:r w:rsidR="001C77CC">
        <w:t>W</w:t>
      </w:r>
      <w:r>
        <w:t>hite (75.4%). Twelve (3.6%) patients whose age was between 12 to</w:t>
      </w:r>
      <w:r w:rsidR="001C77CC">
        <w:t xml:space="preserve"> less than </w:t>
      </w:r>
      <w:r>
        <w:t xml:space="preserve">18 years at </w:t>
      </w:r>
      <w:r w:rsidR="001C77CC">
        <w:t>B</w:t>
      </w:r>
      <w:r>
        <w:t>aseline were included in the adolescent population.</w:t>
      </w:r>
    </w:p>
    <w:p w14:paraId="0458DAA9" w14:textId="2C7C529A" w:rsidR="00F23D31" w:rsidRDefault="0029641F" w:rsidP="0029641F">
      <w:proofErr w:type="gramStart"/>
      <w:r>
        <w:t>The majority of</w:t>
      </w:r>
      <w:proofErr w:type="gramEnd"/>
      <w:r>
        <w:t xml:space="preserve"> enrolled patients had malignant underlying disease including myeloid diseases (73.3% in </w:t>
      </w:r>
      <w:r w:rsidR="001C77CC">
        <w:t xml:space="preserve">the </w:t>
      </w:r>
      <w:r>
        <w:t xml:space="preserve">ruxolitinib arm, and 74.4% in </w:t>
      </w:r>
      <w:r w:rsidR="001C77CC">
        <w:t xml:space="preserve">the </w:t>
      </w:r>
      <w:r w:rsidR="00F23D31">
        <w:t xml:space="preserve">‘best available treatment’ </w:t>
      </w:r>
      <w:r>
        <w:t xml:space="preserve">arm). The </w:t>
      </w:r>
      <w:r>
        <w:lastRenderedPageBreak/>
        <w:t xml:space="preserve">predominant underlying malignant diseases (in the ruxolitinib arm and in the </w:t>
      </w:r>
      <w:r w:rsidR="00F23D31">
        <w:t xml:space="preserve">‘best available treatment’ </w:t>
      </w:r>
      <w:r>
        <w:t xml:space="preserve">arm) were </w:t>
      </w:r>
      <w:r w:rsidR="00F23D31">
        <w:t>a</w:t>
      </w:r>
      <w:r>
        <w:t xml:space="preserve">cute </w:t>
      </w:r>
      <w:r w:rsidR="00F23D31">
        <w:t>m</w:t>
      </w:r>
      <w:r>
        <w:t xml:space="preserve">yeloid </w:t>
      </w:r>
      <w:r w:rsidR="00F23D31">
        <w:t>l</w:t>
      </w:r>
      <w:r>
        <w:t xml:space="preserve">eukaemia (35.8% and 37.2%), </w:t>
      </w:r>
      <w:r w:rsidR="00F23D31">
        <w:t>a</w:t>
      </w:r>
      <w:r>
        <w:t xml:space="preserve">cute </w:t>
      </w:r>
      <w:r w:rsidR="00F23D31">
        <w:t>l</w:t>
      </w:r>
      <w:r w:rsidRPr="002E2BEE">
        <w:t>ymphoblastic leuk</w:t>
      </w:r>
      <w:r>
        <w:t>a</w:t>
      </w:r>
      <w:r w:rsidRPr="002E2BEE">
        <w:t>emia</w:t>
      </w:r>
      <w:r>
        <w:t xml:space="preserve"> (17.6% and 14.0%) and </w:t>
      </w:r>
      <w:r w:rsidR="00F23D31">
        <w:t>m</w:t>
      </w:r>
      <w:r w:rsidRPr="002E2BEE">
        <w:t>yelodysplastic syndromes</w:t>
      </w:r>
      <w:r>
        <w:t xml:space="preserve"> (14.5% and 12.2%). A small proportion of patients had non-malignant underlying disease.</w:t>
      </w:r>
    </w:p>
    <w:p w14:paraId="0272ABB0" w14:textId="624E6719" w:rsidR="0029641F" w:rsidRDefault="0029641F" w:rsidP="0029641F">
      <w:r>
        <w:t xml:space="preserve">Across all randomised patients, the proportions of patients with </w:t>
      </w:r>
      <w:proofErr w:type="spellStart"/>
      <w:r w:rsidRPr="002E2BEE">
        <w:t>Center</w:t>
      </w:r>
      <w:proofErr w:type="spellEnd"/>
      <w:r w:rsidRPr="002E2BEE">
        <w:t xml:space="preserve"> for International Blood and Marrow Transplant Registry (CIBMTR)</w:t>
      </w:r>
      <w:r w:rsidR="001C77CC">
        <w:fldChar w:fldCharType="begin"/>
      </w:r>
      <w:r w:rsidR="001C77CC">
        <w:instrText xml:space="preserve"> NOTEREF _Ref130814041 \f \h </w:instrText>
      </w:r>
      <w:r w:rsidR="001C77CC">
        <w:fldChar w:fldCharType="separate"/>
      </w:r>
      <w:r w:rsidR="00337955" w:rsidRPr="00337955">
        <w:rPr>
          <w:rStyle w:val="FootnoteReference"/>
        </w:rPr>
        <w:t>23</w:t>
      </w:r>
      <w:r w:rsidR="001C77CC">
        <w:fldChar w:fldCharType="end"/>
      </w:r>
      <w:r>
        <w:t xml:space="preserve"> risk category to predict mortality in c</w:t>
      </w:r>
      <w:r w:rsidR="00F23D31">
        <w:t xml:space="preserve">hronic </w:t>
      </w:r>
      <w:r>
        <w:t xml:space="preserve">GVHD were 26.7% at low, 27.4% at intermediate, 24.6% at high, and 21.0% with unknown. 67 (41%) of patients randomised to ruxolitinib and 63 (38%) patients randomised to </w:t>
      </w:r>
      <w:r w:rsidR="00F23D31">
        <w:t xml:space="preserve">best available treatment </w:t>
      </w:r>
      <w:r w:rsidRPr="00754B57">
        <w:t xml:space="preserve">had </w:t>
      </w:r>
      <w:r w:rsidR="001C77CC">
        <w:t xml:space="preserve">four or more </w:t>
      </w:r>
      <w:r w:rsidRPr="00754B57">
        <w:t>organs involved</w:t>
      </w:r>
      <w:r>
        <w:t>.</w:t>
      </w:r>
    </w:p>
    <w:p w14:paraId="04312BC0" w14:textId="72AD8D30" w:rsidR="0029641F" w:rsidRDefault="0029641F" w:rsidP="0029641F">
      <w:r>
        <w:t>The median time from initial c</w:t>
      </w:r>
      <w:r w:rsidR="00F23D31">
        <w:t xml:space="preserve">hronic </w:t>
      </w:r>
      <w:r>
        <w:t xml:space="preserve">GVHD to </w:t>
      </w:r>
      <w:r w:rsidR="001C77CC">
        <w:t>s</w:t>
      </w:r>
      <w:r>
        <w:t>teroid-refractory c</w:t>
      </w:r>
      <w:r w:rsidR="00F23D31">
        <w:t xml:space="preserve">hronic </w:t>
      </w:r>
      <w:r>
        <w:t xml:space="preserve">GVHD was 111.00 days (range: 2.0 to 2009.0 days) and was similar in patients between the two arms. The most common reason for </w:t>
      </w:r>
      <w:r w:rsidR="00F23D31">
        <w:t xml:space="preserve">steroid-refractory chronic </w:t>
      </w:r>
      <w:r>
        <w:t xml:space="preserve">GVHD was lack of response or disease progression after administration of prednisone (or equivalent) ≥ 1 mg/kg/day for at least </w:t>
      </w:r>
      <w:r w:rsidR="001C77CC">
        <w:t>one</w:t>
      </w:r>
      <w:r>
        <w:t xml:space="preserve"> week (37.6% in the ruxolitinib arm and 44.5% in the </w:t>
      </w:r>
      <w:r w:rsidR="00F23D31">
        <w:t xml:space="preserve">‘best available treatment’ </w:t>
      </w:r>
      <w:r>
        <w:t>arm). Steroid dependent patients (defined as increase prednisolone dose to &gt;</w:t>
      </w:r>
      <w:r w:rsidR="00F23D31">
        <w:t xml:space="preserve"> </w:t>
      </w:r>
      <w:r>
        <w:t xml:space="preserve">0.25 mg/kg/day after two unsuccessful attempts to taper the dose) were 28.6% of the population. The most frequently used prior systemic therapy was steroid alone (42.4% in the ruxolitinib arm and 49.4% in the </w:t>
      </w:r>
      <w:r w:rsidR="00F23D31">
        <w:t xml:space="preserve">‘best available treatment’ </w:t>
      </w:r>
      <w:r>
        <w:t xml:space="preserve">arm). A comparable proportion of patients in both treatment arms had prior systemic therapy with steroids </w:t>
      </w:r>
      <w:r w:rsidR="001C77CC">
        <w:t>with</w:t>
      </w:r>
      <w:r>
        <w:t xml:space="preserve"> calcineurin inhibitors.</w:t>
      </w:r>
    </w:p>
    <w:p w14:paraId="5BC3C201" w14:textId="3D52D353" w:rsidR="00F23D31" w:rsidRPr="009677D4" w:rsidRDefault="0029641F" w:rsidP="00DC52AE">
      <w:r>
        <w:t xml:space="preserve">At study entry all 329 (100%) patients met </w:t>
      </w:r>
      <w:r w:rsidR="00F23D31">
        <w:t xml:space="preserve">steroid-refractory chronic </w:t>
      </w:r>
      <w:r>
        <w:t xml:space="preserve">GVHD criteria. There were 41.2% </w:t>
      </w:r>
      <w:r w:rsidR="00616059">
        <w:t>versus</w:t>
      </w:r>
      <w:r>
        <w:t xml:space="preserve"> 44.5% of patients with moderate and 58.8% </w:t>
      </w:r>
      <w:r w:rsidR="00616059">
        <w:t>versus</w:t>
      </w:r>
      <w:r>
        <w:t xml:space="preserve"> 54.9% of patients with severe </w:t>
      </w:r>
      <w:r w:rsidR="00F23D31">
        <w:t xml:space="preserve">steroid-refractory chronic </w:t>
      </w:r>
      <w:r>
        <w:t xml:space="preserve">GVHD in the ruxolitinib and the </w:t>
      </w:r>
      <w:r w:rsidR="00F23D31">
        <w:t xml:space="preserve">‘best available treatment’ </w:t>
      </w:r>
      <w:r>
        <w:t xml:space="preserve">arms, respectively. One patient with mild </w:t>
      </w:r>
      <w:r w:rsidR="00F23D31">
        <w:t xml:space="preserve">steroid-refractory chronic </w:t>
      </w:r>
      <w:r>
        <w:t xml:space="preserve">GVHD at study entry was randomised into the </w:t>
      </w:r>
      <w:r w:rsidR="00F23D31">
        <w:t xml:space="preserve">‘best available treatment’ </w:t>
      </w:r>
      <w:r>
        <w:t>arm.</w:t>
      </w:r>
    </w:p>
    <w:p w14:paraId="0203D6B4" w14:textId="2D9516D9" w:rsidR="0029641F" w:rsidRDefault="0029641F" w:rsidP="009677D4">
      <w:r>
        <w:t xml:space="preserve">Among the 329 patients randomised, 33.9% of patients in ruxolitinib arm and 31.1% of patients in </w:t>
      </w:r>
      <w:r w:rsidR="00F23D31">
        <w:t xml:space="preserve">‘best available treatment’ </w:t>
      </w:r>
      <w:r>
        <w:t>arm received prior prophylaxis treatment for c</w:t>
      </w:r>
      <w:r w:rsidR="00F23D31">
        <w:t xml:space="preserve">hronic </w:t>
      </w:r>
      <w:r>
        <w:t xml:space="preserve">GVHD. Calcineurin inhibitors were the most frequently (24.0%) reported prophylactic therapy for </w:t>
      </w:r>
      <w:r w:rsidR="00F23D31">
        <w:t xml:space="preserve">chronic </w:t>
      </w:r>
      <w:r>
        <w:t>GVHD in both arms (23.6% and 24.4%, respectively), including c</w:t>
      </w:r>
      <w:r w:rsidR="00F23D31">
        <w:t>i</w:t>
      </w:r>
      <w:r>
        <w:t>closporin (14.5% and 17.1%) and tacrolimus (9.1% and 7.9%). Use of glucocorticoids in the prophylactic treatment for c</w:t>
      </w:r>
      <w:r w:rsidR="00F23D31">
        <w:t xml:space="preserve">hronic </w:t>
      </w:r>
      <w:r>
        <w:t>GVHD was reported in 10.0% of all patients, including prednisone (6.1% and 3.7%) and prednisolone (4.8% and 3.0%).</w:t>
      </w:r>
    </w:p>
    <w:p w14:paraId="68506DB6" w14:textId="34CB35D7" w:rsidR="0029641F" w:rsidRDefault="0029641F" w:rsidP="0029641F">
      <w:r>
        <w:t>Concomitant medications on treatment (starting on or after the start of study treatment and no more than 30 days after end of treatment</w:t>
      </w:r>
      <w:r w:rsidR="001C77CC">
        <w:t>)</w:t>
      </w:r>
      <w:r>
        <w:t xml:space="preserve"> were taken by 100% and 99.4% of patients in the ruxolitinib and the </w:t>
      </w:r>
      <w:r w:rsidR="00F23D31">
        <w:t xml:space="preserve">‘best available treatment’ </w:t>
      </w:r>
      <w:r>
        <w:t xml:space="preserve">arms, respectively. Calcineurin inhibitors were taken in 27.3% patients in the ruxolitinib arm and in 19.0% patients in the </w:t>
      </w:r>
      <w:r w:rsidR="00F23D31">
        <w:t xml:space="preserve">‘best available treatment’ </w:t>
      </w:r>
      <w:r>
        <w:t>arm. C</w:t>
      </w:r>
      <w:r w:rsidR="00F23D31">
        <w:t>i</w:t>
      </w:r>
      <w:r>
        <w:t xml:space="preserve">closporin (17.6% and 12.0% in respective arms) and tacrolimus (10.9% and 8.2% in respective arms) were the commonly used </w:t>
      </w:r>
      <w:r w:rsidR="001C77CC">
        <w:t xml:space="preserve">calcineurin inhibitor </w:t>
      </w:r>
      <w:r>
        <w:t xml:space="preserve">medications by </w:t>
      </w:r>
      <w:r w:rsidR="001C77CC">
        <w:t>partial response patients</w:t>
      </w:r>
      <w:r>
        <w:t>.</w:t>
      </w:r>
      <w:r w:rsidR="00E70AA0">
        <w:t xml:space="preserve"> </w:t>
      </w:r>
      <w:r>
        <w:t xml:space="preserve">The overall profile of other concomitant medications was similar between the two treatment arms. The most frequent concomitant medications also included agents for treatment of infections, </w:t>
      </w:r>
      <w:r w:rsidR="001C77CC">
        <w:t xml:space="preserve">gastro-intestinal </w:t>
      </w:r>
      <w:r>
        <w:t>symptoms (</w:t>
      </w:r>
      <w:r w:rsidR="001C77CC">
        <w:t>for example,</w:t>
      </w:r>
      <w:r>
        <w:t xml:space="preserve"> bile acid preparations), and sedation (</w:t>
      </w:r>
      <w:r w:rsidR="001C77CC">
        <w:t>for example,</w:t>
      </w:r>
      <w:r>
        <w:t xml:space="preserve"> benzodiazepine derivatives).</w:t>
      </w:r>
    </w:p>
    <w:p w14:paraId="150EBD16" w14:textId="51AFD65A" w:rsidR="0029641F" w:rsidRDefault="0029641F" w:rsidP="0029641F">
      <w:pPr>
        <w:pStyle w:val="Heading7"/>
      </w:pPr>
      <w:r>
        <w:t>Efficacy results</w:t>
      </w:r>
    </w:p>
    <w:p w14:paraId="61BF205F" w14:textId="1A06EC9A" w:rsidR="00F23D31" w:rsidRDefault="00F23D31" w:rsidP="0016413C">
      <w:r>
        <w:t>The primary objective was to compare the efficacy of ruxolitinib versus investigator’s choice best available therapy in patients with moderate or severe steroid-refractory chronic GVHD assessed by overall response rate (ORR) at the Cycle 7 Day 1 visit.</w:t>
      </w:r>
    </w:p>
    <w:p w14:paraId="16AF80E0" w14:textId="650BBC4C" w:rsidR="00F23D31" w:rsidRPr="009677D4" w:rsidRDefault="00F23D31" w:rsidP="0016413C">
      <w:r>
        <w:t>The results for the full analysis set population are shown in Table 7, below.</w:t>
      </w:r>
    </w:p>
    <w:p w14:paraId="0B21BD7B" w14:textId="0BA6ADA1" w:rsidR="00E70AA0" w:rsidRDefault="00E70AA0" w:rsidP="00E70AA0">
      <w:pPr>
        <w:pStyle w:val="TableTitle"/>
      </w:pPr>
      <w:r>
        <w:lastRenderedPageBreak/>
        <w:t xml:space="preserve">Table </w:t>
      </w:r>
      <w:r w:rsidR="00F20AB1">
        <w:fldChar w:fldCharType="begin"/>
      </w:r>
      <w:r w:rsidR="00F20AB1">
        <w:instrText xml:space="preserve"> SEQ Table \* ARABIC </w:instrText>
      </w:r>
      <w:r w:rsidR="00F20AB1">
        <w:fldChar w:fldCharType="separate"/>
      </w:r>
      <w:r w:rsidR="00337955">
        <w:rPr>
          <w:noProof/>
        </w:rPr>
        <w:t>7</w:t>
      </w:r>
      <w:r w:rsidR="00F20AB1">
        <w:rPr>
          <w:noProof/>
        </w:rPr>
        <w:fldChar w:fldCharType="end"/>
      </w:r>
      <w:r w:rsidR="001046E1">
        <w:t xml:space="preserve">: </w:t>
      </w:r>
      <w:r w:rsidR="001046E1" w:rsidRPr="001046E1">
        <w:t>Study CINC424D2301</w:t>
      </w:r>
      <w:r>
        <w:t xml:space="preserve"> </w:t>
      </w:r>
      <w:r w:rsidR="00F23D31">
        <w:t>(REACH 3 trial) O</w:t>
      </w:r>
      <w:r w:rsidRPr="00E70AA0">
        <w:t xml:space="preserve">verall response rate at </w:t>
      </w:r>
      <w:r w:rsidR="00656CC7">
        <w:t xml:space="preserve">the </w:t>
      </w:r>
      <w:r w:rsidRPr="00E70AA0">
        <w:t>Cycle 7 Day 1</w:t>
      </w:r>
      <w:r w:rsidR="00656CC7">
        <w:t xml:space="preserve"> visit</w:t>
      </w:r>
      <w:r w:rsidRPr="00E70AA0">
        <w:t xml:space="preserve"> (</w:t>
      </w:r>
      <w:r w:rsidR="00656CC7">
        <w:t>f</w:t>
      </w:r>
      <w:r w:rsidRPr="00E70AA0">
        <w:t>ull analysis set</w:t>
      </w:r>
      <w:r w:rsidR="00656CC7">
        <w:t>;</w:t>
      </w:r>
      <w:r w:rsidRPr="00E70AA0">
        <w:t xml:space="preserve"> </w:t>
      </w:r>
      <w:r w:rsidR="00656CC7">
        <w:t>p</w:t>
      </w:r>
      <w:r w:rsidRPr="00E70AA0">
        <w:t>rimary analysis)</w:t>
      </w:r>
    </w:p>
    <w:p w14:paraId="38EBACDB" w14:textId="65BEE718" w:rsidR="007E06B1" w:rsidRDefault="007E06B1" w:rsidP="00B245B8">
      <w:r>
        <w:rPr>
          <w:noProof/>
          <w:lang w:val="en-GB" w:eastAsia="en-GB"/>
        </w:rPr>
        <w:drawing>
          <wp:inline distT="0" distB="0" distL="0" distR="0" wp14:anchorId="7BDC7AB2" wp14:editId="32F5D4D9">
            <wp:extent cx="5759450" cy="3328670"/>
            <wp:effectExtent l="0" t="0" r="0" b="5080"/>
            <wp:docPr id="2" name="Picture 2" descr="Table 7: Study CINC424D2301 (REACH 3 trial) Overall response rate at the Cycle 7 Day 1 visit (full analysis set;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7: Study CINC424D2301 (REACH 3 trial) Overall response rate at the Cycle 7 Day 1 visit (full analysis set; primary analysis)"/>
                    <pic:cNvPicPr/>
                  </pic:nvPicPr>
                  <pic:blipFill>
                    <a:blip r:embed="rId36"/>
                    <a:stretch>
                      <a:fillRect/>
                    </a:stretch>
                  </pic:blipFill>
                  <pic:spPr>
                    <a:xfrm>
                      <a:off x="0" y="0"/>
                      <a:ext cx="5759450" cy="3328670"/>
                    </a:xfrm>
                    <a:prstGeom prst="rect">
                      <a:avLst/>
                    </a:prstGeom>
                  </pic:spPr>
                </pic:pic>
              </a:graphicData>
            </a:graphic>
          </wp:inline>
        </w:drawing>
      </w:r>
    </w:p>
    <w:p w14:paraId="67B46E1D" w14:textId="7E11F6C5" w:rsidR="00656CC7" w:rsidRDefault="00656CC7" w:rsidP="0016413C">
      <w:pPr>
        <w:pStyle w:val="TableDescription"/>
      </w:pPr>
      <w:r>
        <w:t xml:space="preserve">Abbreviations: BAT = best available treatment; </w:t>
      </w:r>
      <w:proofErr w:type="spellStart"/>
      <w:r>
        <w:t>Rux</w:t>
      </w:r>
      <w:proofErr w:type="spellEnd"/>
      <w:r>
        <w:t xml:space="preserve"> = </w:t>
      </w:r>
      <w:proofErr w:type="spellStart"/>
      <w:r>
        <w:t>ruxolitinib</w:t>
      </w:r>
      <w:proofErr w:type="spellEnd"/>
      <w:r>
        <w:t>.</w:t>
      </w:r>
    </w:p>
    <w:p w14:paraId="1234D1DD" w14:textId="77777777" w:rsidR="00656CC7" w:rsidRDefault="00656CC7" w:rsidP="0016413C">
      <w:pPr>
        <w:pStyle w:val="TableDescription"/>
      </w:pPr>
    </w:p>
    <w:p w14:paraId="3FC025F7" w14:textId="79130EAD" w:rsidR="0029641F" w:rsidRDefault="0029641F" w:rsidP="0029641F">
      <w:r w:rsidRPr="0029641F">
        <w:t xml:space="preserve">Subgroup analyses compared the odds ratios (ruxolitinib treatment </w:t>
      </w:r>
      <w:r w:rsidR="001046E1">
        <w:t>versus</w:t>
      </w:r>
      <w:r w:rsidRPr="0029641F">
        <w:t xml:space="preserve"> </w:t>
      </w:r>
      <w:r w:rsidR="00656CC7">
        <w:t>best available treatment</w:t>
      </w:r>
      <w:r w:rsidRPr="0029641F">
        <w:t xml:space="preserve">) of </w:t>
      </w:r>
      <w:r w:rsidR="001046E1">
        <w:t>overall response rate</w:t>
      </w:r>
      <w:r w:rsidRPr="0029641F">
        <w:t xml:space="preserve"> in patients by demographics, underlying </w:t>
      </w:r>
      <w:proofErr w:type="gramStart"/>
      <w:r w:rsidRPr="0029641F">
        <w:t>diseases</w:t>
      </w:r>
      <w:proofErr w:type="gramEnd"/>
      <w:r w:rsidRPr="0029641F">
        <w:t xml:space="preserve"> and medication history</w:t>
      </w:r>
      <w:r w:rsidR="00656CC7">
        <w:t>, as shown in Figure 2, below</w:t>
      </w:r>
      <w:r w:rsidRPr="0029641F">
        <w:t>.</w:t>
      </w:r>
    </w:p>
    <w:p w14:paraId="315995BE" w14:textId="37E3A63B" w:rsidR="00E70AA0" w:rsidRDefault="00E70AA0" w:rsidP="00E70AA0">
      <w:pPr>
        <w:pStyle w:val="TableTitle"/>
      </w:pPr>
      <w:bookmarkStart w:id="56" w:name="_Ref130816871"/>
      <w:r>
        <w:lastRenderedPageBreak/>
        <w:t xml:space="preserve">Figure </w:t>
      </w:r>
      <w:r w:rsidR="00F20AB1">
        <w:fldChar w:fldCharType="begin"/>
      </w:r>
      <w:r w:rsidR="00F20AB1">
        <w:instrText xml:space="preserve"> SEQ Figure \* ARABIC </w:instrText>
      </w:r>
      <w:r w:rsidR="00F20AB1">
        <w:fldChar w:fldCharType="separate"/>
      </w:r>
      <w:r w:rsidR="00337955">
        <w:rPr>
          <w:noProof/>
        </w:rPr>
        <w:t>2</w:t>
      </w:r>
      <w:r w:rsidR="00F20AB1">
        <w:rPr>
          <w:noProof/>
        </w:rPr>
        <w:fldChar w:fldCharType="end"/>
      </w:r>
      <w:bookmarkEnd w:id="56"/>
      <w:r w:rsidR="001046E1">
        <w:t>:</w:t>
      </w:r>
      <w:r w:rsidR="001046E1" w:rsidRPr="001046E1">
        <w:t xml:space="preserve"> Study CINC424D2301</w:t>
      </w:r>
      <w:r w:rsidRPr="00E70AA0">
        <w:t xml:space="preserve"> </w:t>
      </w:r>
      <w:r w:rsidR="00656CC7">
        <w:t xml:space="preserve">(REACH 3 trial) </w:t>
      </w:r>
      <w:r w:rsidRPr="00E70AA0">
        <w:t>Forest plot of odds ratio with 95%</w:t>
      </w:r>
      <w:r w:rsidR="00656CC7">
        <w:t> </w:t>
      </w:r>
      <w:r w:rsidRPr="00E70AA0">
        <w:t>confidence interval</w:t>
      </w:r>
      <w:r w:rsidR="00656CC7">
        <w:t>s</w:t>
      </w:r>
      <w:r w:rsidRPr="00E70AA0">
        <w:t xml:space="preserve"> for </w:t>
      </w:r>
      <w:r w:rsidR="001046E1">
        <w:t>overall response rate</w:t>
      </w:r>
      <w:r w:rsidRPr="00E70AA0">
        <w:t xml:space="preserve"> at Cycle 7 Day 1 </w:t>
      </w:r>
      <w:r w:rsidR="00656CC7">
        <w:t xml:space="preserve">visit </w:t>
      </w:r>
      <w:r w:rsidRPr="00E70AA0">
        <w:t xml:space="preserve">from </w:t>
      </w:r>
      <w:r w:rsidR="00656CC7">
        <w:t xml:space="preserve">the </w:t>
      </w:r>
      <w:r w:rsidRPr="00E70AA0">
        <w:t>subgroup analysis (</w:t>
      </w:r>
      <w:r w:rsidR="00656CC7">
        <w:t>f</w:t>
      </w:r>
      <w:r w:rsidRPr="00E70AA0">
        <w:t>ull analysis set</w:t>
      </w:r>
      <w:r w:rsidR="00656CC7">
        <w:t>; p</w:t>
      </w:r>
      <w:r w:rsidRPr="00E70AA0">
        <w:t>rimary analysis)</w:t>
      </w:r>
    </w:p>
    <w:p w14:paraId="6C9386A6" w14:textId="22C42DCD" w:rsidR="0029641F" w:rsidRDefault="00C82E9C" w:rsidP="0029641F">
      <w:r>
        <w:rPr>
          <w:noProof/>
          <w:lang w:val="en-GB" w:eastAsia="en-GB"/>
        </w:rPr>
        <w:drawing>
          <wp:inline distT="0" distB="0" distL="0" distR="0" wp14:anchorId="5B1DC8C5" wp14:editId="3DBCC998">
            <wp:extent cx="5759450" cy="6171565"/>
            <wp:effectExtent l="0" t="0" r="0" b="635"/>
            <wp:docPr id="30" name="Picture 30" descr="This figure shows Forest plot of odds ratio with 95% confidence interval for overall response rate at Cycle 7 Day 1 from subgroup analysis for the full analysis set for  Study CINC424D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shows Forest plot of odds ratio with 95% confidence interval for overall response rate at Cycle 7 Day 1 from subgroup analysis for the full analysis set for  Study CINC424D2301."/>
                    <pic:cNvPicPr/>
                  </pic:nvPicPr>
                  <pic:blipFill>
                    <a:blip r:embed="rId37"/>
                    <a:stretch>
                      <a:fillRect/>
                    </a:stretch>
                  </pic:blipFill>
                  <pic:spPr>
                    <a:xfrm>
                      <a:off x="0" y="0"/>
                      <a:ext cx="5759450" cy="6171565"/>
                    </a:xfrm>
                    <a:prstGeom prst="rect">
                      <a:avLst/>
                    </a:prstGeom>
                  </pic:spPr>
                </pic:pic>
              </a:graphicData>
            </a:graphic>
          </wp:inline>
        </w:drawing>
      </w:r>
    </w:p>
    <w:p w14:paraId="024D5B3B" w14:textId="207C9136" w:rsidR="00656CC7" w:rsidRDefault="00656CC7" w:rsidP="00C82E9C">
      <w:pPr>
        <w:pStyle w:val="TableDescription"/>
      </w:pPr>
      <w:r>
        <w:t xml:space="preserve">Abbreviations: BAT = best available treatment; CI = confidence interval; SR = steroid refractory; </w:t>
      </w:r>
      <w:proofErr w:type="spellStart"/>
      <w:r>
        <w:t>Rux</w:t>
      </w:r>
      <w:proofErr w:type="spellEnd"/>
      <w:r>
        <w:t> = </w:t>
      </w:r>
      <w:proofErr w:type="spellStart"/>
      <w:r>
        <w:t>ruxolitinib</w:t>
      </w:r>
      <w:proofErr w:type="spellEnd"/>
      <w:r>
        <w:t>.</w:t>
      </w:r>
    </w:p>
    <w:p w14:paraId="5522F9D5" w14:textId="6669C23C" w:rsidR="00C82E9C" w:rsidRDefault="00C82E9C" w:rsidP="00C82E9C">
      <w:pPr>
        <w:pStyle w:val="TableDescription"/>
      </w:pPr>
      <w:r>
        <w:t>Notes: X-axis values are represented in natural log scale. Dotted lines show no effect point.</w:t>
      </w:r>
    </w:p>
    <w:p w14:paraId="39D750B2" w14:textId="1545863F" w:rsidR="00C82E9C" w:rsidRDefault="00C82E9C" w:rsidP="00C82E9C">
      <w:pPr>
        <w:pStyle w:val="TableDescription"/>
      </w:pPr>
      <w:r>
        <w:t>The area of the box indicates the weight of the sub-group, measured by the size of subpopulation.</w:t>
      </w:r>
    </w:p>
    <w:p w14:paraId="143FA139" w14:textId="170C22A4" w:rsidR="00C82E9C" w:rsidRDefault="00C82E9C" w:rsidP="00C82E9C">
      <w:pPr>
        <w:pStyle w:val="TableDescription"/>
      </w:pPr>
      <w:r>
        <w:t>Criteria for SR-</w:t>
      </w:r>
      <w:proofErr w:type="spellStart"/>
      <w:r>
        <w:t>cGvHD</w:t>
      </w:r>
      <w:proofErr w:type="spellEnd"/>
      <w:r>
        <w:t>:</w:t>
      </w:r>
    </w:p>
    <w:p w14:paraId="7E165CEB" w14:textId="702AACE8" w:rsidR="00C82E9C" w:rsidRDefault="00C82E9C" w:rsidP="00C82E9C">
      <w:pPr>
        <w:pStyle w:val="TableDescription"/>
      </w:pPr>
      <w:r>
        <w:t>A. Lack of response or disease progression after administration of minimum prednisone 1 mg/kg/day for at least 1 week.</w:t>
      </w:r>
    </w:p>
    <w:p w14:paraId="087C53DE" w14:textId="7576D02D" w:rsidR="00C82E9C" w:rsidRDefault="00C82E9C" w:rsidP="00C82E9C">
      <w:pPr>
        <w:pStyle w:val="TableDescription"/>
      </w:pPr>
      <w:r>
        <w:t>B. Disease persistence without improvement despite continued treatment with prednisone at &gt;0.5 mg/kg/day or 1 mg/kg/every other day for at least 4 week</w:t>
      </w:r>
    </w:p>
    <w:p w14:paraId="7EBD872C" w14:textId="5B3685FB" w:rsidR="00C82E9C" w:rsidRDefault="00C82E9C" w:rsidP="00C82E9C">
      <w:pPr>
        <w:pStyle w:val="TableDescription"/>
      </w:pPr>
      <w:r>
        <w:t>C. Increase prednisone dose to &gt;0.25 mg/kg/day after two unsuccessful attempts to taper the dose.</w:t>
      </w:r>
      <w:r>
        <w:br/>
      </w:r>
    </w:p>
    <w:p w14:paraId="1B459A18" w14:textId="0DE48B90" w:rsidR="0029641F" w:rsidRDefault="0029641F" w:rsidP="00C82E9C">
      <w:r w:rsidRPr="0029641F">
        <w:lastRenderedPageBreak/>
        <w:t xml:space="preserve">From the above analyses, </w:t>
      </w:r>
      <w:r w:rsidR="00656CC7">
        <w:t xml:space="preserve">those </w:t>
      </w:r>
      <w:r w:rsidRPr="0029641F">
        <w:t xml:space="preserve">patients taking more therapies at </w:t>
      </w:r>
      <w:r w:rsidR="001046E1">
        <w:t>B</w:t>
      </w:r>
      <w:r w:rsidRPr="0029641F">
        <w:t xml:space="preserve">aseline </w:t>
      </w:r>
      <w:r w:rsidR="00656CC7">
        <w:t>(</w:t>
      </w:r>
      <w:r w:rsidRPr="0029641F">
        <w:t xml:space="preserve">suggesting </w:t>
      </w:r>
      <w:r w:rsidR="00656CC7">
        <w:t xml:space="preserve">having </w:t>
      </w:r>
      <w:r w:rsidRPr="0029641F">
        <w:t>more difficult to control disease</w:t>
      </w:r>
      <w:r w:rsidR="00656CC7">
        <w:t>)</w:t>
      </w:r>
      <w:r w:rsidRPr="0029641F">
        <w:t xml:space="preserve"> had a lower response rate with ruxolitinib than with </w:t>
      </w:r>
      <w:r w:rsidR="00656CC7">
        <w:t>best available treatment</w:t>
      </w:r>
      <w:r w:rsidRPr="0029641F">
        <w:t xml:space="preserve">, though there were few of these patients and the </w:t>
      </w:r>
      <w:r w:rsidR="001046E1">
        <w:t>confidence interval</w:t>
      </w:r>
      <w:r w:rsidRPr="0029641F">
        <w:t xml:space="preserve"> was wide. Similarly, patients in the Asian region did better on </w:t>
      </w:r>
      <w:r w:rsidR="00656CC7">
        <w:t xml:space="preserve">best available treatment </w:t>
      </w:r>
      <w:r w:rsidRPr="0029641F">
        <w:t>than ruxolitinib. Patient age also appears to be a factor in the relative benefit of ruxolitinib</w:t>
      </w:r>
      <w:r w:rsidR="00E70AA0">
        <w:t xml:space="preserve"> </w:t>
      </w:r>
      <w:r w:rsidRPr="0029641F">
        <w:t xml:space="preserve">compared with </w:t>
      </w:r>
      <w:r w:rsidR="00656CC7">
        <w:t xml:space="preserve">best available treatment </w:t>
      </w:r>
      <w:r w:rsidRPr="0029641F">
        <w:t xml:space="preserve">in that adolescent patients had higher odds ratios for </w:t>
      </w:r>
      <w:r w:rsidR="001046E1">
        <w:t>overall response rate</w:t>
      </w:r>
      <w:r w:rsidRPr="0029641F">
        <w:t xml:space="preserve"> than those </w:t>
      </w:r>
      <w:r w:rsidR="001046E1">
        <w:t xml:space="preserve">older than </w:t>
      </w:r>
      <w:r w:rsidRPr="0029641F">
        <w:t xml:space="preserve">65 years, though both groups had odds ratios </w:t>
      </w:r>
      <w:r w:rsidR="001046E1">
        <w:t>greater than one</w:t>
      </w:r>
      <w:r w:rsidRPr="0029641F">
        <w:t>. These were exploratory analyses.</w:t>
      </w:r>
    </w:p>
    <w:p w14:paraId="59F84F23" w14:textId="393B80DF" w:rsidR="00656CC7" w:rsidRDefault="00656CC7" w:rsidP="00656CC7">
      <w:r>
        <w:t>A key secondary objective was to compare the rate of failure free survival (shown in Figure 3, below).</w:t>
      </w:r>
    </w:p>
    <w:p w14:paraId="2D695185" w14:textId="10604E21" w:rsidR="00E70AA0" w:rsidRDefault="00E70AA0" w:rsidP="00E70AA0">
      <w:pPr>
        <w:pStyle w:val="TableTitle"/>
      </w:pPr>
      <w:r>
        <w:t xml:space="preserve">Figure </w:t>
      </w:r>
      <w:r w:rsidR="00F20AB1">
        <w:fldChar w:fldCharType="begin"/>
      </w:r>
      <w:r w:rsidR="00F20AB1">
        <w:instrText xml:space="preserve"> S</w:instrText>
      </w:r>
      <w:r w:rsidR="00F20AB1">
        <w:instrText xml:space="preserve">EQ Figure \* ARABIC </w:instrText>
      </w:r>
      <w:r w:rsidR="00F20AB1">
        <w:fldChar w:fldCharType="separate"/>
      </w:r>
      <w:r w:rsidR="00337955">
        <w:rPr>
          <w:noProof/>
        </w:rPr>
        <w:t>3</w:t>
      </w:r>
      <w:r w:rsidR="00F20AB1">
        <w:rPr>
          <w:noProof/>
        </w:rPr>
        <w:fldChar w:fldCharType="end"/>
      </w:r>
      <w:r w:rsidR="001046E1">
        <w:t xml:space="preserve">: </w:t>
      </w:r>
      <w:r w:rsidR="001046E1" w:rsidRPr="001046E1">
        <w:t>Study CINC424D2301</w:t>
      </w:r>
      <w:r>
        <w:t xml:space="preserve"> </w:t>
      </w:r>
      <w:r w:rsidR="00656CC7">
        <w:t xml:space="preserve">(REACH 3 trial) </w:t>
      </w:r>
      <w:r w:rsidRPr="00E70AA0">
        <w:t>Kaplan-Meier estimate of failure free survival (</w:t>
      </w:r>
      <w:r w:rsidR="00656CC7">
        <w:t>f</w:t>
      </w:r>
      <w:r w:rsidRPr="00E70AA0">
        <w:t>ull analysis set</w:t>
      </w:r>
      <w:r w:rsidR="00656CC7">
        <w:t>; p</w:t>
      </w:r>
      <w:r w:rsidRPr="00E70AA0">
        <w:t xml:space="preserve">rimary analysis) </w:t>
      </w:r>
    </w:p>
    <w:p w14:paraId="1140623A" w14:textId="098C8996" w:rsidR="00C82E9C" w:rsidRDefault="00C82E9C" w:rsidP="00E70AA0">
      <w:pPr>
        <w:pStyle w:val="TableTitle"/>
      </w:pPr>
      <w:r>
        <w:rPr>
          <w:noProof/>
          <w:lang w:val="en-GB" w:eastAsia="en-GB"/>
        </w:rPr>
        <w:drawing>
          <wp:inline distT="0" distB="0" distL="0" distR="0" wp14:anchorId="1987310A" wp14:editId="4ED910C9">
            <wp:extent cx="5759450" cy="3265805"/>
            <wp:effectExtent l="0" t="0" r="0" b="0"/>
            <wp:docPr id="31" name="Picture 31" descr="This figure shows Kaplan-Meier estimate of failure free survival for the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figure shows Kaplan-Meier estimate of failure free survival for the full analysis set. "/>
                    <pic:cNvPicPr/>
                  </pic:nvPicPr>
                  <pic:blipFill>
                    <a:blip r:embed="rId38"/>
                    <a:stretch>
                      <a:fillRect/>
                    </a:stretch>
                  </pic:blipFill>
                  <pic:spPr>
                    <a:xfrm>
                      <a:off x="0" y="0"/>
                      <a:ext cx="5759450" cy="3265805"/>
                    </a:xfrm>
                    <a:prstGeom prst="rect">
                      <a:avLst/>
                    </a:prstGeom>
                  </pic:spPr>
                </pic:pic>
              </a:graphicData>
            </a:graphic>
          </wp:inline>
        </w:drawing>
      </w:r>
    </w:p>
    <w:p w14:paraId="6F86F729" w14:textId="5EBBFE28" w:rsidR="005C34F0" w:rsidRDefault="005C34F0" w:rsidP="0016413C">
      <w:pPr>
        <w:pStyle w:val="TableDescription"/>
      </w:pPr>
      <w:r>
        <w:t xml:space="preserve">Abbreviations: BAT = best available treatment; BID = twice daily; CI = confidence interval; FFS = failure-free survival; </w:t>
      </w:r>
      <w:proofErr w:type="spellStart"/>
      <w:r>
        <w:t>Rux</w:t>
      </w:r>
      <w:proofErr w:type="spellEnd"/>
      <w:r>
        <w:t xml:space="preserve"> = </w:t>
      </w:r>
      <w:proofErr w:type="spellStart"/>
      <w:r>
        <w:t>ruxolitinib</w:t>
      </w:r>
      <w:proofErr w:type="spellEnd"/>
      <w:r>
        <w:t>.</w:t>
      </w:r>
    </w:p>
    <w:p w14:paraId="28B9340E" w14:textId="77777777" w:rsidR="005C34F0" w:rsidRDefault="005C34F0" w:rsidP="0016413C">
      <w:pPr>
        <w:pStyle w:val="TableDescription"/>
      </w:pPr>
    </w:p>
    <w:p w14:paraId="15C40125" w14:textId="7FC8EB80" w:rsidR="0029641F" w:rsidRDefault="0029641F" w:rsidP="0029641F">
      <w:r>
        <w:t>The second key efficacy endpoint of the rate of responders as per improvement 7</w:t>
      </w:r>
      <w:r w:rsidR="001046E1">
        <w:t xml:space="preserve"> or more</w:t>
      </w:r>
      <w:r>
        <w:t xml:space="preserve"> points of total symptom score (</w:t>
      </w:r>
      <w:r w:rsidR="00FA5EE4">
        <w:t>What is useful/important is things like: what studies are in progress, and when the TGA can expect updates; and things like patient registries. Also thinks like PACS and DHCP letter and patient education within Australia.</w:t>
      </w:r>
      <w:r>
        <w:t xml:space="preserve">) of the </w:t>
      </w:r>
      <w:proofErr w:type="spellStart"/>
      <w:r>
        <w:t>mLSS</w:t>
      </w:r>
      <w:proofErr w:type="spellEnd"/>
      <w:r>
        <w:t xml:space="preserve"> from baseline to C</w:t>
      </w:r>
      <w:r w:rsidR="001046E1">
        <w:t xml:space="preserve">ycle </w:t>
      </w:r>
      <w:r>
        <w:t>7</w:t>
      </w:r>
      <w:r w:rsidR="001046E1">
        <w:t xml:space="preserve"> </w:t>
      </w:r>
      <w:r>
        <w:t>D</w:t>
      </w:r>
      <w:r w:rsidR="001046E1">
        <w:t xml:space="preserve">ay </w:t>
      </w:r>
      <w:r>
        <w:t xml:space="preserve">1 showed a statistically significant difference between the two treatment arms in the primary analysis, with a responder rate of 24.2% (95% CI: 17.9, 31.5) in the ruxolitinib arm and 11.0% (95% CI: 6.6, 16.8) in the </w:t>
      </w:r>
      <w:r w:rsidR="005C34F0">
        <w:t xml:space="preserve">‘best available treatment’ </w:t>
      </w:r>
      <w:r>
        <w:t>arm at Cycle 7 Day 1. The odds ratio (ruxolitinib/</w:t>
      </w:r>
      <w:r w:rsidR="005C34F0">
        <w:t>best available treatment</w:t>
      </w:r>
      <w:r>
        <w:t xml:space="preserve">) was 2.62 (95% CI: 1.42, 4.82) with the stratified </w:t>
      </w:r>
      <w:r w:rsidR="001046E1" w:rsidRPr="001046E1">
        <w:t>Cochran</w:t>
      </w:r>
      <w:r w:rsidR="001046E1">
        <w:t>-</w:t>
      </w:r>
      <w:r w:rsidR="001046E1" w:rsidRPr="001046E1">
        <w:t>Mantel</w:t>
      </w:r>
      <w:r w:rsidR="001046E1">
        <w:t>-</w:t>
      </w:r>
      <w:r w:rsidR="001046E1" w:rsidRPr="001046E1">
        <w:t>Haenszel</w:t>
      </w:r>
      <w:r w:rsidR="001046E1">
        <w:t xml:space="preserve"> </w:t>
      </w:r>
      <w:r>
        <w:t>test</w:t>
      </w:r>
      <w:r w:rsidR="005C34F0">
        <w:t>;</w:t>
      </w:r>
      <w:r w:rsidR="001046E1">
        <w:rPr>
          <w:rStyle w:val="FootnoteReference"/>
        </w:rPr>
        <w:footnoteReference w:id="33"/>
      </w:r>
      <w:r>
        <w:t xml:space="preserve"> p</w:t>
      </w:r>
      <w:r w:rsidR="005C34F0">
        <w:t> </w:t>
      </w:r>
      <w:r>
        <w:t>=</w:t>
      </w:r>
      <w:r w:rsidR="005C34F0">
        <w:t> </w:t>
      </w:r>
      <w:r>
        <w:t>0.0011.</w:t>
      </w:r>
    </w:p>
    <w:p w14:paraId="7C97056F" w14:textId="66BE7E26" w:rsidR="00E70AA0" w:rsidRDefault="0029641F" w:rsidP="0029641F">
      <w:r>
        <w:t>Best overall response up to Cycle 7 Day 1 was higher in the ruxolitinib arm (76.4%</w:t>
      </w:r>
      <w:r w:rsidR="00C96FAD">
        <w:t>, 95% CI</w:t>
      </w:r>
      <w:r>
        <w:t xml:space="preserve">: 69.1, 82.6) than in the </w:t>
      </w:r>
      <w:r w:rsidR="0012745F">
        <w:t xml:space="preserve">‘best available treatment’ </w:t>
      </w:r>
      <w:r>
        <w:t>arm (60.4%</w:t>
      </w:r>
      <w:r w:rsidR="00C96FAD">
        <w:t>, 95% CI</w:t>
      </w:r>
      <w:r>
        <w:t xml:space="preserve">: 52.4, 67.9). There was a statistically significant difference between the ruxolitinib and </w:t>
      </w:r>
      <w:r w:rsidR="005C34F0">
        <w:t xml:space="preserve">best available treatment </w:t>
      </w:r>
      <w:r>
        <w:t xml:space="preserve">(stratified </w:t>
      </w:r>
      <w:r w:rsidR="001046E1" w:rsidRPr="001046E1">
        <w:t xml:space="preserve">Cochran-Mantel-Haenszel </w:t>
      </w:r>
      <w:r>
        <w:t>test p=0.0011, one-sided) with the odds ratio 2.17 (95%</w:t>
      </w:r>
      <w:r w:rsidR="0012745F">
        <w:t> </w:t>
      </w:r>
      <w:r>
        <w:t>CI:</w:t>
      </w:r>
      <w:r w:rsidR="0012745F">
        <w:t> </w:t>
      </w:r>
      <w:r>
        <w:t xml:space="preserve">1.34, 3.52) for response in ruxolitinib arm compared to </w:t>
      </w:r>
      <w:r w:rsidR="0012745F">
        <w:t xml:space="preserve">‘best available treatment’ </w:t>
      </w:r>
      <w:r>
        <w:t xml:space="preserve">arm. </w:t>
      </w:r>
      <w:r>
        <w:lastRenderedPageBreak/>
        <w:t xml:space="preserve">The primary </w:t>
      </w:r>
      <w:r w:rsidR="001046E1">
        <w:t xml:space="preserve">overall survival </w:t>
      </w:r>
      <w:r>
        <w:t>analysis was performed with 31 deaths in the ruxolitinib arm and 27</w:t>
      </w:r>
      <w:r w:rsidR="0012745F">
        <w:t> </w:t>
      </w:r>
      <w:r>
        <w:t xml:space="preserve">deaths in the </w:t>
      </w:r>
      <w:r w:rsidR="0012745F">
        <w:t xml:space="preserve">‘best available treatment’ </w:t>
      </w:r>
      <w:r>
        <w:t xml:space="preserve">arm based on Cycle 7 Day 1 data. No difference was observed in the risk of death between the ruxolitinib </w:t>
      </w:r>
      <w:proofErr w:type="gramStart"/>
      <w:r>
        <w:t>arm</w:t>
      </w:r>
      <w:proofErr w:type="gramEnd"/>
      <w:r>
        <w:t xml:space="preserve"> and the BAT arm as evidenced by a </w:t>
      </w:r>
      <w:r w:rsidR="001046E1">
        <w:t>hazard ratio</w:t>
      </w:r>
      <w:r>
        <w:t xml:space="preserve"> = 1.086 (95% CI: 0.648, 1.820), and was not statistically significant (log-rank p</w:t>
      </w:r>
      <w:r w:rsidR="001046E1">
        <w:noBreakHyphen/>
      </w:r>
      <w:r>
        <w:t xml:space="preserve">value: 0.3764) between the two arms. The median </w:t>
      </w:r>
      <w:r w:rsidR="001046E1">
        <w:t>overall survival</w:t>
      </w:r>
      <w:r>
        <w:t xml:space="preserve"> estimated by Kaplan-Meier was not reached at time of the analysis in either treatment arm.</w:t>
      </w:r>
    </w:p>
    <w:p w14:paraId="0669E6B3" w14:textId="636B2369" w:rsidR="00E70AA0" w:rsidRDefault="0029641F" w:rsidP="00E70AA0">
      <w:bookmarkStart w:id="57" w:name="_Hlk85112797"/>
      <w:r>
        <w:t xml:space="preserve">Duration of response was evaluated in patients who achieved a </w:t>
      </w:r>
      <w:r w:rsidR="001046E1">
        <w:t>comp</w:t>
      </w:r>
      <w:r w:rsidR="005C34F0">
        <w:t>l</w:t>
      </w:r>
      <w:r w:rsidR="001046E1">
        <w:t xml:space="preserve">ete response </w:t>
      </w:r>
      <w:r w:rsidR="005C34F0">
        <w:t xml:space="preserve">(CR) </w:t>
      </w:r>
      <w:r>
        <w:t xml:space="preserve">or </w:t>
      </w:r>
      <w:r w:rsidR="001046E1">
        <w:t>partial response</w:t>
      </w:r>
      <w:r>
        <w:t xml:space="preserve"> </w:t>
      </w:r>
      <w:r w:rsidR="005C34F0">
        <w:t xml:space="preserve">(PR) </w:t>
      </w:r>
      <w:r>
        <w:t>at or before Cycle 7</w:t>
      </w:r>
      <w:r w:rsidR="00E70AA0">
        <w:t xml:space="preserve"> </w:t>
      </w:r>
      <w:r>
        <w:t>Day 1</w:t>
      </w:r>
      <w:r w:rsidR="005C34F0">
        <w:t xml:space="preserve"> as their best overall response (see </w:t>
      </w:r>
      <w:r w:rsidR="005C34F0" w:rsidRPr="0016413C">
        <w:rPr>
          <w:i/>
        </w:rPr>
        <w:fldChar w:fldCharType="begin"/>
      </w:r>
      <w:r w:rsidR="005C34F0" w:rsidRPr="0016413C">
        <w:rPr>
          <w:i/>
        </w:rPr>
        <w:instrText xml:space="preserve"> REF _Ref133493797 \h </w:instrText>
      </w:r>
      <w:r w:rsidR="005C34F0">
        <w:rPr>
          <w:i/>
        </w:rPr>
        <w:instrText xml:space="preserve"> \* MERGEFORMAT </w:instrText>
      </w:r>
      <w:r w:rsidR="005C34F0" w:rsidRPr="0016413C">
        <w:rPr>
          <w:i/>
        </w:rPr>
      </w:r>
      <w:r w:rsidR="005C34F0" w:rsidRPr="0016413C">
        <w:rPr>
          <w:i/>
        </w:rPr>
        <w:fldChar w:fldCharType="separate"/>
      </w:r>
      <w:r w:rsidR="00337955" w:rsidRPr="00337955">
        <w:rPr>
          <w:i/>
        </w:rPr>
        <w:t>Efficacy endpoints</w:t>
      </w:r>
      <w:r w:rsidR="005C34F0" w:rsidRPr="0016413C">
        <w:rPr>
          <w:i/>
        </w:rPr>
        <w:fldChar w:fldCharType="end"/>
      </w:r>
      <w:r w:rsidR="0012745F">
        <w:t xml:space="preserve"> </w:t>
      </w:r>
      <w:r w:rsidR="005C34F0">
        <w:t xml:space="preserve">for definitions of </w:t>
      </w:r>
      <w:r w:rsidR="0012745F">
        <w:t>response).</w:t>
      </w:r>
      <w:r>
        <w:t xml:space="preserve"> D</w:t>
      </w:r>
      <w:r w:rsidR="001046E1">
        <w:t xml:space="preserve">uration of response </w:t>
      </w:r>
      <w:r>
        <w:t xml:space="preserve">was defined as </w:t>
      </w:r>
      <w:r w:rsidR="001046E1">
        <w:t>‘</w:t>
      </w:r>
      <w:r>
        <w:t>time from first response until c</w:t>
      </w:r>
      <w:r w:rsidR="005C34F0">
        <w:t xml:space="preserve">hronic </w:t>
      </w:r>
      <w:r>
        <w:t>GVHD progression, death, or</w:t>
      </w:r>
      <w:r w:rsidR="00E70AA0">
        <w:t xml:space="preserve"> </w:t>
      </w:r>
      <w:r>
        <w:t>systemic therapies for c</w:t>
      </w:r>
      <w:r w:rsidR="005C34F0">
        <w:t xml:space="preserve">hronic </w:t>
      </w:r>
      <w:r>
        <w:t>GVHD</w:t>
      </w:r>
      <w:r w:rsidR="001046E1">
        <w:t>’</w:t>
      </w:r>
      <w:r>
        <w:t xml:space="preserve">. Median duration of response was not reached in ruxolitinib arm and was 6.2 months (95% CI: 4.7 to 13.3) in the </w:t>
      </w:r>
      <w:r w:rsidR="005C34F0">
        <w:t xml:space="preserve">‘best available treatment’ </w:t>
      </w:r>
      <w:r>
        <w:t xml:space="preserve">arm. The estimated probability of maintaining </w:t>
      </w:r>
      <w:r w:rsidR="005C34F0">
        <w:t xml:space="preserve">best overall response </w:t>
      </w:r>
      <w:r>
        <w:t>with 95% CIs was higher in the ruxolitinib arm (76.58%</w:t>
      </w:r>
      <w:r w:rsidR="00C96FAD">
        <w:t>, 95% CI</w:t>
      </w:r>
      <w:r>
        <w:t xml:space="preserve">: 67.87, 88.22) compared to the </w:t>
      </w:r>
      <w:r w:rsidR="005C34F0">
        <w:t xml:space="preserve">‘best available treatment’ </w:t>
      </w:r>
      <w:r>
        <w:t>arm (52.11%</w:t>
      </w:r>
      <w:r w:rsidR="001046E1">
        <w:t>,</w:t>
      </w:r>
      <w:r>
        <w:t xml:space="preserve"> 95% CI: 41.78, 61.45) at 6 months. Similar trends in probability were observed at 12 months (64.48%, 95%</w:t>
      </w:r>
      <w:r w:rsidR="001046E1">
        <w:t xml:space="preserve"> </w:t>
      </w:r>
      <w:r>
        <w:t xml:space="preserve">CI: 58.94, 76.26 </w:t>
      </w:r>
      <w:r w:rsidR="001046E1">
        <w:t>versus</w:t>
      </w:r>
      <w:r>
        <w:t xml:space="preserve"> 40.33%, 95%</w:t>
      </w:r>
      <w:r w:rsidR="00C96FAD">
        <w:t xml:space="preserve"> </w:t>
      </w:r>
      <w:r>
        <w:t>CI: 30.28, 50.15), and 18 months (63.50%, 95%</w:t>
      </w:r>
      <w:r w:rsidR="001046E1">
        <w:t xml:space="preserve"> </w:t>
      </w:r>
      <w:r>
        <w:t xml:space="preserve">CI: 52.82, 72.38 </w:t>
      </w:r>
      <w:r w:rsidR="001046E1">
        <w:t>versus</w:t>
      </w:r>
      <w:r>
        <w:t xml:space="preserve"> 36.66%, 95%</w:t>
      </w:r>
      <w:r w:rsidR="001046E1">
        <w:t xml:space="preserve"> </w:t>
      </w:r>
      <w:r>
        <w:t>CI: 26.47, 46.88).</w:t>
      </w:r>
      <w:bookmarkEnd w:id="57"/>
    </w:p>
    <w:p w14:paraId="52C6094E" w14:textId="4E369310" w:rsidR="005C34F0" w:rsidRDefault="005C34F0" w:rsidP="00E70AA0">
      <w:r>
        <w:t>Analysis of results for duration of response in the full analysis set population is shown in Figure 4, below.</w:t>
      </w:r>
    </w:p>
    <w:p w14:paraId="620A7C41" w14:textId="5D4924C8" w:rsidR="00E70AA0" w:rsidRDefault="00E70AA0" w:rsidP="00E70AA0">
      <w:pPr>
        <w:pStyle w:val="TableTitle"/>
      </w:pPr>
      <w:bookmarkStart w:id="58" w:name="_Ref130815241"/>
      <w:r>
        <w:t xml:space="preserve">Figure </w:t>
      </w:r>
      <w:r w:rsidR="00F20AB1">
        <w:fldChar w:fldCharType="begin"/>
      </w:r>
      <w:r w:rsidR="00F20AB1">
        <w:instrText xml:space="preserve"> SEQ Figure \* ARABIC </w:instrText>
      </w:r>
      <w:r w:rsidR="00F20AB1">
        <w:fldChar w:fldCharType="separate"/>
      </w:r>
      <w:r w:rsidR="00337955">
        <w:rPr>
          <w:noProof/>
        </w:rPr>
        <w:t>4</w:t>
      </w:r>
      <w:r w:rsidR="00F20AB1">
        <w:rPr>
          <w:noProof/>
        </w:rPr>
        <w:fldChar w:fldCharType="end"/>
      </w:r>
      <w:bookmarkEnd w:id="58"/>
      <w:r w:rsidR="005C34F0">
        <w:rPr>
          <w:noProof/>
        </w:rPr>
        <w:t>:</w:t>
      </w:r>
      <w:r>
        <w:t xml:space="preserve"> </w:t>
      </w:r>
      <w:r w:rsidR="001046E1" w:rsidRPr="001046E1">
        <w:t xml:space="preserve">Study CINC424D2301 </w:t>
      </w:r>
      <w:r w:rsidR="005C34F0">
        <w:t xml:space="preserve">(REACH 3 trial) </w:t>
      </w:r>
      <w:r w:rsidR="00C82E9C" w:rsidRPr="00C82E9C">
        <w:t xml:space="preserve">Kaplan-Meier curve of duration of </w:t>
      </w:r>
      <w:r w:rsidR="00C82E9C">
        <w:t>r</w:t>
      </w:r>
      <w:r w:rsidRPr="00E70AA0">
        <w:t>esponse</w:t>
      </w:r>
      <w:r w:rsidR="00C82E9C">
        <w:t xml:space="preserve"> (</w:t>
      </w:r>
      <w:r w:rsidR="005C34F0">
        <w:t>f</w:t>
      </w:r>
      <w:r w:rsidR="00C82E9C">
        <w:t>ull analysis set)</w:t>
      </w:r>
    </w:p>
    <w:p w14:paraId="4665E262" w14:textId="5ED57D65" w:rsidR="00C82E9C" w:rsidRDefault="00C82E9C" w:rsidP="007E06B1">
      <w:r>
        <w:rPr>
          <w:noProof/>
          <w:lang w:val="en-GB" w:eastAsia="en-GB"/>
        </w:rPr>
        <w:drawing>
          <wp:inline distT="0" distB="0" distL="0" distR="0" wp14:anchorId="575250E6" wp14:editId="282B4FC3">
            <wp:extent cx="5759450" cy="4472940"/>
            <wp:effectExtent l="0" t="0" r="0" b="3810"/>
            <wp:docPr id="33" name="Picture 33" descr="This figure shows Kaplan-Meier curve of duration of respons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figure shows Kaplan-Meier curve of duration of response (Full analysis set)."/>
                    <pic:cNvPicPr/>
                  </pic:nvPicPr>
                  <pic:blipFill>
                    <a:blip r:embed="rId39"/>
                    <a:stretch>
                      <a:fillRect/>
                    </a:stretch>
                  </pic:blipFill>
                  <pic:spPr>
                    <a:xfrm>
                      <a:off x="0" y="0"/>
                      <a:ext cx="5759450" cy="4472940"/>
                    </a:xfrm>
                    <a:prstGeom prst="rect">
                      <a:avLst/>
                    </a:prstGeom>
                  </pic:spPr>
                </pic:pic>
              </a:graphicData>
            </a:graphic>
          </wp:inline>
        </w:drawing>
      </w:r>
    </w:p>
    <w:p w14:paraId="7E6D395F" w14:textId="26BDB2ED" w:rsidR="005C34F0" w:rsidRDefault="005C34F0" w:rsidP="005C34F0">
      <w:pPr>
        <w:pStyle w:val="TableDescription"/>
      </w:pPr>
      <w:r>
        <w:t>Abbreviations: BAT = best available treatment; BID = twice daily; BOR = best overall response; CI = confidence interval; CR = complete response; NE = not evaluable;</w:t>
      </w:r>
      <w:r w:rsidR="0012745F">
        <w:t xml:space="preserve"> PR = partial res</w:t>
      </w:r>
      <w:r>
        <w:t>p</w:t>
      </w:r>
      <w:r w:rsidR="0012745F">
        <w:t>on</w:t>
      </w:r>
      <w:r>
        <w:t xml:space="preserve">se; </w:t>
      </w:r>
      <w:proofErr w:type="spellStart"/>
      <w:r>
        <w:t>Rux</w:t>
      </w:r>
      <w:proofErr w:type="spellEnd"/>
      <w:r>
        <w:t xml:space="preserve"> = </w:t>
      </w:r>
      <w:proofErr w:type="spellStart"/>
      <w:r>
        <w:t>ruxolitinib</w:t>
      </w:r>
      <w:proofErr w:type="spellEnd"/>
      <w:r>
        <w:t>.</w:t>
      </w:r>
    </w:p>
    <w:p w14:paraId="72FF09E3" w14:textId="77777777" w:rsidR="0029641F" w:rsidRDefault="0029641F" w:rsidP="0029641F">
      <w:pPr>
        <w:pStyle w:val="Heading7"/>
      </w:pPr>
      <w:r>
        <w:lastRenderedPageBreak/>
        <w:t>Supplementary analysis</w:t>
      </w:r>
    </w:p>
    <w:p w14:paraId="1E3B7176" w14:textId="7D4C85A6" w:rsidR="0029641F" w:rsidRDefault="0029641F" w:rsidP="0029641F">
      <w:r>
        <w:t xml:space="preserve">As in the </w:t>
      </w:r>
      <w:r w:rsidR="001046E1" w:rsidRPr="001046E1">
        <w:t>Study 18424-271</w:t>
      </w:r>
      <w:r>
        <w:t xml:space="preserve">, </w:t>
      </w:r>
      <w:r w:rsidR="0012745F">
        <w:t>regulatory analyses</w:t>
      </w:r>
      <w:r>
        <w:t xml:space="preserve"> </w:t>
      </w:r>
      <w:r w:rsidR="0012745F">
        <w:t xml:space="preserve">used </w:t>
      </w:r>
      <w:r>
        <w:t>alternative definitions and endpoints where they considered the amendments to be better suited to identifying efficacy in c</w:t>
      </w:r>
      <w:r w:rsidR="0012745F">
        <w:t xml:space="preserve">hronic </w:t>
      </w:r>
      <w:r>
        <w:t>GVHD. The table below summarises the similarities and difference in efficacy endpoints.</w:t>
      </w:r>
    </w:p>
    <w:p w14:paraId="6D91AF03" w14:textId="3EE79239" w:rsidR="00E70AA0" w:rsidRDefault="00E70AA0" w:rsidP="00E70AA0">
      <w:pPr>
        <w:pStyle w:val="TableTitle"/>
      </w:pPr>
      <w:r>
        <w:t xml:space="preserve">Table </w:t>
      </w:r>
      <w:r w:rsidR="00F20AB1">
        <w:fldChar w:fldCharType="begin"/>
      </w:r>
      <w:r w:rsidR="00F20AB1">
        <w:instrText xml:space="preserve"> SEQ Table \* ARABIC </w:instrText>
      </w:r>
      <w:r w:rsidR="00F20AB1">
        <w:fldChar w:fldCharType="separate"/>
      </w:r>
      <w:r w:rsidR="00337955">
        <w:rPr>
          <w:noProof/>
        </w:rPr>
        <w:t>8</w:t>
      </w:r>
      <w:r w:rsidR="00F20AB1">
        <w:rPr>
          <w:noProof/>
        </w:rPr>
        <w:fldChar w:fldCharType="end"/>
      </w:r>
      <w:r w:rsidR="00DC27C5">
        <w:t xml:space="preserve">: </w:t>
      </w:r>
      <w:r w:rsidRPr="00E70AA0">
        <w:t xml:space="preserve">Comparison of </w:t>
      </w:r>
      <w:r w:rsidR="0012745F">
        <w:t>(sponsor’s) Study CINC424D2301 definitions</w:t>
      </w:r>
      <w:r w:rsidR="0012745F" w:rsidRPr="00E70AA0">
        <w:t xml:space="preserve"> </w:t>
      </w:r>
      <w:r w:rsidR="001046E1">
        <w:t>versus</w:t>
      </w:r>
      <w:r w:rsidRPr="00E70AA0">
        <w:t xml:space="preserve"> </w:t>
      </w:r>
      <w:r w:rsidR="0012745F">
        <w:t>definitions used in supplementary regulatory analyses for</w:t>
      </w:r>
      <w:r w:rsidRPr="00E70AA0">
        <w:t xml:space="preserve"> the </w:t>
      </w:r>
      <w:r w:rsidR="00DC27C5">
        <w:t>p</w:t>
      </w:r>
      <w:r w:rsidRPr="00E70AA0">
        <w:t xml:space="preserve">rimary and </w:t>
      </w:r>
      <w:r w:rsidR="00DC27C5">
        <w:t>k</w:t>
      </w:r>
      <w:r w:rsidRPr="00E70AA0">
        <w:t xml:space="preserve">ey </w:t>
      </w:r>
      <w:r w:rsidR="00DC27C5">
        <w:t>s</w:t>
      </w:r>
      <w:r w:rsidRPr="00E70AA0">
        <w:t xml:space="preserve">econdary </w:t>
      </w:r>
      <w:r w:rsidR="00DC27C5">
        <w:t>e</w:t>
      </w:r>
      <w:r w:rsidRPr="00E70AA0">
        <w:t xml:space="preserve">ndpoints </w:t>
      </w:r>
    </w:p>
    <w:tbl>
      <w:tblPr>
        <w:tblStyle w:val="TableTGAblue2023"/>
        <w:tblW w:w="0" w:type="auto"/>
        <w:tblLook w:val="04A0" w:firstRow="1" w:lastRow="0" w:firstColumn="1" w:lastColumn="0" w:noHBand="0" w:noVBand="1"/>
      </w:tblPr>
      <w:tblGrid>
        <w:gridCol w:w="3020"/>
        <w:gridCol w:w="3020"/>
        <w:gridCol w:w="3020"/>
      </w:tblGrid>
      <w:tr w:rsidR="00E60409" w14:paraId="63D704C4" w14:textId="77777777" w:rsidTr="00E60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3731479" w14:textId="77777777" w:rsidR="00E60409" w:rsidRDefault="00E60409" w:rsidP="00E60409">
            <w:pPr>
              <w:pStyle w:val="TableTitle"/>
            </w:pPr>
          </w:p>
        </w:tc>
        <w:tc>
          <w:tcPr>
            <w:tcW w:w="3020" w:type="dxa"/>
          </w:tcPr>
          <w:p w14:paraId="10E52ABF" w14:textId="40BFCDC8" w:rsidR="00E60409" w:rsidRDefault="00E60409" w:rsidP="00E60409">
            <w:pPr>
              <w:pStyle w:val="TableTitle"/>
              <w:cnfStyle w:val="100000000000" w:firstRow="1" w:lastRow="0" w:firstColumn="0" w:lastColumn="0" w:oddVBand="0" w:evenVBand="0" w:oddHBand="0" w:evenHBand="0" w:firstRowFirstColumn="0" w:firstRowLastColumn="0" w:lastRowFirstColumn="0" w:lastRowLastColumn="0"/>
            </w:pPr>
            <w:r w:rsidRPr="00C96FAD">
              <w:rPr>
                <w:b/>
                <w:bCs/>
              </w:rPr>
              <w:t>Sponsor</w:t>
            </w:r>
          </w:p>
        </w:tc>
        <w:tc>
          <w:tcPr>
            <w:tcW w:w="3020" w:type="dxa"/>
          </w:tcPr>
          <w:p w14:paraId="42A58B1F" w14:textId="19465577" w:rsidR="00E60409" w:rsidRDefault="00E60409" w:rsidP="00E60409">
            <w:pPr>
              <w:pStyle w:val="TableTitle"/>
              <w:cnfStyle w:val="100000000000" w:firstRow="1" w:lastRow="0" w:firstColumn="0" w:lastColumn="0" w:oddVBand="0" w:evenVBand="0" w:oddHBand="0" w:evenHBand="0" w:firstRowFirstColumn="0" w:firstRowLastColumn="0" w:lastRowFirstColumn="0" w:lastRowLastColumn="0"/>
            </w:pPr>
            <w:r w:rsidRPr="00C96FAD">
              <w:rPr>
                <w:b/>
                <w:bCs/>
              </w:rPr>
              <w:t>Reviewer</w:t>
            </w:r>
          </w:p>
        </w:tc>
      </w:tr>
      <w:tr w:rsidR="00E60409" w:rsidRPr="00E60409" w14:paraId="314117C4" w14:textId="77777777" w:rsidTr="00E60409">
        <w:tc>
          <w:tcPr>
            <w:cnfStyle w:val="001000000000" w:firstRow="0" w:lastRow="0" w:firstColumn="1" w:lastColumn="0" w:oddVBand="0" w:evenVBand="0" w:oddHBand="0" w:evenHBand="0" w:firstRowFirstColumn="0" w:firstRowLastColumn="0" w:lastRowFirstColumn="0" w:lastRowLastColumn="0"/>
            <w:tcW w:w="3020" w:type="dxa"/>
          </w:tcPr>
          <w:p w14:paraId="4ADED19B" w14:textId="3A49679C" w:rsidR="00E60409" w:rsidRPr="001A0385" w:rsidRDefault="00E60409" w:rsidP="00E60409">
            <w:pPr>
              <w:pStyle w:val="TableTitle"/>
            </w:pPr>
            <w:r w:rsidRPr="001A0385">
              <w:t>Analysis set</w:t>
            </w:r>
          </w:p>
        </w:tc>
        <w:tc>
          <w:tcPr>
            <w:tcW w:w="3020" w:type="dxa"/>
          </w:tcPr>
          <w:p w14:paraId="611C118E" w14:textId="4A1B0D8C" w:rsidR="00E60409" w:rsidRPr="00E60409" w:rsidRDefault="00E60409" w:rsidP="00E60409">
            <w:pPr>
              <w:cnfStyle w:val="000000000000" w:firstRow="0" w:lastRow="0" w:firstColumn="0" w:lastColumn="0" w:oddVBand="0" w:evenVBand="0" w:oddHBand="0" w:evenHBand="0" w:firstRowFirstColumn="0" w:firstRowLastColumn="0" w:lastRowFirstColumn="0" w:lastRowLastColumn="0"/>
              <w:rPr>
                <w:bCs/>
              </w:rPr>
            </w:pPr>
            <w:r w:rsidRPr="00E60409">
              <w:rPr>
                <w:bCs/>
              </w:rPr>
              <w:t>All patients who were randomised</w:t>
            </w:r>
            <w:r>
              <w:rPr>
                <w:bCs/>
              </w:rPr>
              <w:t xml:space="preserve"> </w:t>
            </w:r>
            <w:r w:rsidRPr="00E60409">
              <w:rPr>
                <w:bCs/>
              </w:rPr>
              <w:t>to study treatments</w:t>
            </w:r>
          </w:p>
        </w:tc>
        <w:tc>
          <w:tcPr>
            <w:tcW w:w="3020" w:type="dxa"/>
          </w:tcPr>
          <w:p w14:paraId="0CDA6428" w14:textId="603DDDED" w:rsidR="00E60409" w:rsidRPr="00E60409" w:rsidRDefault="00E60409" w:rsidP="00E60409">
            <w:pPr>
              <w:cnfStyle w:val="000000000000" w:firstRow="0" w:lastRow="0" w:firstColumn="0" w:lastColumn="0" w:oddVBand="0" w:evenVBand="0" w:oddHBand="0" w:evenHBand="0" w:firstRowFirstColumn="0" w:firstRowLastColumn="0" w:lastRowFirstColumn="0" w:lastRowLastColumn="0"/>
              <w:rPr>
                <w:bCs/>
              </w:rPr>
            </w:pPr>
            <w:r w:rsidRPr="00E60409">
              <w:rPr>
                <w:bCs/>
              </w:rPr>
              <w:t>All patients who were randomised</w:t>
            </w:r>
            <w:r>
              <w:rPr>
                <w:bCs/>
              </w:rPr>
              <w:t xml:space="preserve"> </w:t>
            </w:r>
            <w:r w:rsidRPr="00E60409">
              <w:rPr>
                <w:bCs/>
              </w:rPr>
              <w:t>to study treatments</w:t>
            </w:r>
          </w:p>
        </w:tc>
      </w:tr>
      <w:tr w:rsidR="00E60409" w:rsidRPr="00E60409" w14:paraId="13FC66C9" w14:textId="77777777" w:rsidTr="00E60409">
        <w:tc>
          <w:tcPr>
            <w:cnfStyle w:val="001000000000" w:firstRow="0" w:lastRow="0" w:firstColumn="1" w:lastColumn="0" w:oddVBand="0" w:evenVBand="0" w:oddHBand="0" w:evenHBand="0" w:firstRowFirstColumn="0" w:firstRowLastColumn="0" w:lastRowFirstColumn="0" w:lastRowLastColumn="0"/>
            <w:tcW w:w="3020" w:type="dxa"/>
          </w:tcPr>
          <w:p w14:paraId="29398DC0" w14:textId="1FCA6C31" w:rsidR="00E60409" w:rsidRPr="001A0385" w:rsidRDefault="00E60409" w:rsidP="00E60409">
            <w:pPr>
              <w:pStyle w:val="TableTitle"/>
            </w:pPr>
            <w:r w:rsidRPr="001A0385">
              <w:t>Primary endpoint</w:t>
            </w:r>
          </w:p>
        </w:tc>
        <w:tc>
          <w:tcPr>
            <w:tcW w:w="3020" w:type="dxa"/>
          </w:tcPr>
          <w:p w14:paraId="1FFFC689" w14:textId="28C50028" w:rsidR="00E60409" w:rsidRPr="00E60409" w:rsidRDefault="0012745F"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Pr>
                <w:b w:val="0"/>
                <w:bCs/>
              </w:rPr>
              <w:t>Overall response rate</w:t>
            </w:r>
            <w:r w:rsidRPr="00E60409">
              <w:rPr>
                <w:b w:val="0"/>
                <w:bCs/>
              </w:rPr>
              <w:t xml:space="preserve"> </w:t>
            </w:r>
            <w:r w:rsidR="00E60409" w:rsidRPr="00E60409">
              <w:rPr>
                <w:b w:val="0"/>
                <w:bCs/>
              </w:rPr>
              <w:t xml:space="preserve">at Cycle 7 Day 1 </w:t>
            </w:r>
            <w:r w:rsidR="00201DF4">
              <w:rPr>
                <w:b w:val="0"/>
                <w:bCs/>
              </w:rPr>
              <w:t>visit</w:t>
            </w:r>
          </w:p>
        </w:tc>
        <w:tc>
          <w:tcPr>
            <w:tcW w:w="3020" w:type="dxa"/>
          </w:tcPr>
          <w:p w14:paraId="327029B2" w14:textId="28A3CEEE" w:rsidR="00E60409" w:rsidRPr="00E60409" w:rsidRDefault="0012745F"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Pr>
                <w:b w:val="0"/>
                <w:bCs/>
              </w:rPr>
              <w:t>Overall response rate</w:t>
            </w:r>
            <w:r w:rsidRPr="00E60409">
              <w:rPr>
                <w:b w:val="0"/>
                <w:bCs/>
              </w:rPr>
              <w:t xml:space="preserve"> </w:t>
            </w:r>
            <w:r w:rsidR="00E60409" w:rsidRPr="00E60409">
              <w:rPr>
                <w:b w:val="0"/>
                <w:bCs/>
              </w:rPr>
              <w:t xml:space="preserve">at any time up to and including Cycle 7 Day 1 </w:t>
            </w:r>
            <w:r w:rsidR="00201DF4">
              <w:rPr>
                <w:b w:val="0"/>
                <w:bCs/>
              </w:rPr>
              <w:t>visit</w:t>
            </w:r>
          </w:p>
        </w:tc>
      </w:tr>
      <w:tr w:rsidR="00E60409" w:rsidRPr="00E60409" w14:paraId="27B3F9D8" w14:textId="77777777" w:rsidTr="00E60409">
        <w:tc>
          <w:tcPr>
            <w:cnfStyle w:val="001000000000" w:firstRow="0" w:lastRow="0" w:firstColumn="1" w:lastColumn="0" w:oddVBand="0" w:evenVBand="0" w:oddHBand="0" w:evenHBand="0" w:firstRowFirstColumn="0" w:firstRowLastColumn="0" w:lastRowFirstColumn="0" w:lastRowLastColumn="0"/>
            <w:tcW w:w="3020" w:type="dxa"/>
          </w:tcPr>
          <w:p w14:paraId="54FFEDAF" w14:textId="082AD4EC" w:rsidR="00E60409" w:rsidRPr="001A0385" w:rsidRDefault="00E60409" w:rsidP="00E60409">
            <w:pPr>
              <w:pStyle w:val="TableTitle"/>
            </w:pPr>
            <w:r w:rsidRPr="001A0385">
              <w:t>Adjudication</w:t>
            </w:r>
          </w:p>
        </w:tc>
        <w:tc>
          <w:tcPr>
            <w:tcW w:w="3020" w:type="dxa"/>
          </w:tcPr>
          <w:p w14:paraId="794E230B" w14:textId="2F46567B" w:rsidR="00E60409" w:rsidRPr="00E60409" w:rsidRDefault="00E60409"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sidRPr="00E60409">
              <w:rPr>
                <w:b w:val="0"/>
                <w:bCs/>
              </w:rPr>
              <w:t xml:space="preserve">By </w:t>
            </w:r>
            <w:r w:rsidR="0012745F">
              <w:rPr>
                <w:b w:val="0"/>
                <w:bCs/>
              </w:rPr>
              <w:t>i</w:t>
            </w:r>
            <w:r w:rsidRPr="00E60409">
              <w:rPr>
                <w:b w:val="0"/>
                <w:bCs/>
              </w:rPr>
              <w:t>nvestigator</w:t>
            </w:r>
          </w:p>
        </w:tc>
        <w:tc>
          <w:tcPr>
            <w:tcW w:w="3020" w:type="dxa"/>
          </w:tcPr>
          <w:p w14:paraId="45A36058" w14:textId="3870743E" w:rsidR="00E60409" w:rsidRPr="00E60409" w:rsidRDefault="00E60409" w:rsidP="009677D4">
            <w:pPr>
              <w:cnfStyle w:val="000000000000" w:firstRow="0" w:lastRow="0" w:firstColumn="0" w:lastColumn="0" w:oddVBand="0" w:evenVBand="0" w:oddHBand="0" w:evenHBand="0" w:firstRowFirstColumn="0" w:firstRowLastColumn="0" w:lastRowFirstColumn="0" w:lastRowLastColumn="0"/>
              <w:rPr>
                <w:bCs/>
              </w:rPr>
            </w:pPr>
            <w:r w:rsidRPr="00E60409">
              <w:rPr>
                <w:bCs/>
              </w:rPr>
              <w:t>Algorithmic with manual adjudication for</w:t>
            </w:r>
            <w:r>
              <w:rPr>
                <w:bCs/>
              </w:rPr>
              <w:t xml:space="preserve"> </w:t>
            </w:r>
            <w:r w:rsidRPr="00E60409">
              <w:rPr>
                <w:bCs/>
              </w:rPr>
              <w:t xml:space="preserve">discrepancies with the </w:t>
            </w:r>
            <w:r w:rsidR="0012745F">
              <w:rPr>
                <w:bCs/>
              </w:rPr>
              <w:t>sponsor’s</w:t>
            </w:r>
            <w:r w:rsidR="0012745F" w:rsidRPr="00E60409">
              <w:rPr>
                <w:bCs/>
              </w:rPr>
              <w:t xml:space="preserve"> </w:t>
            </w:r>
            <w:r w:rsidRPr="00E60409">
              <w:rPr>
                <w:bCs/>
              </w:rPr>
              <w:t>results</w:t>
            </w:r>
          </w:p>
        </w:tc>
      </w:tr>
      <w:tr w:rsidR="00E60409" w:rsidRPr="00E60409" w14:paraId="011C82AA" w14:textId="77777777" w:rsidTr="00E60409">
        <w:tc>
          <w:tcPr>
            <w:cnfStyle w:val="001000000000" w:firstRow="0" w:lastRow="0" w:firstColumn="1" w:lastColumn="0" w:oddVBand="0" w:evenVBand="0" w:oddHBand="0" w:evenHBand="0" w:firstRowFirstColumn="0" w:firstRowLastColumn="0" w:lastRowFirstColumn="0" w:lastRowLastColumn="0"/>
            <w:tcW w:w="3020" w:type="dxa"/>
          </w:tcPr>
          <w:p w14:paraId="3E84A032" w14:textId="4D2833E8" w:rsidR="00E60409" w:rsidRPr="001A0385" w:rsidRDefault="00E60409" w:rsidP="009677D4">
            <w:pPr>
              <w:pStyle w:val="TableTitle"/>
            </w:pPr>
            <w:r w:rsidRPr="001A0385">
              <w:t xml:space="preserve">Definition of </w:t>
            </w:r>
            <w:r w:rsidR="0012745F">
              <w:t>overall response rate</w:t>
            </w:r>
          </w:p>
        </w:tc>
        <w:tc>
          <w:tcPr>
            <w:tcW w:w="3020" w:type="dxa"/>
          </w:tcPr>
          <w:p w14:paraId="01027802" w14:textId="656978E7" w:rsidR="00E60409" w:rsidRPr="00E60409" w:rsidRDefault="00E60409"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sidRPr="00E60409">
              <w:rPr>
                <w:b w:val="0"/>
                <w:bCs/>
              </w:rPr>
              <w:t>2014 NIH consensus criteria based on organ response criteria</w:t>
            </w:r>
            <w:r w:rsidR="0012745F">
              <w:rPr>
                <w:b w:val="0"/>
                <w:bCs/>
              </w:rPr>
              <w:t>;</w:t>
            </w:r>
            <w:r w:rsidR="0012745F" w:rsidRPr="0016413C">
              <w:rPr>
                <w:b w:val="0"/>
                <w:bCs/>
                <w:vertAlign w:val="superscript"/>
              </w:rPr>
              <w:fldChar w:fldCharType="begin"/>
            </w:r>
            <w:r w:rsidR="0012745F" w:rsidRPr="0016413C">
              <w:rPr>
                <w:b w:val="0"/>
                <w:bCs/>
                <w:vertAlign w:val="superscript"/>
              </w:rPr>
              <w:instrText xml:space="preserve"> NOTEREF _Ref130813334 \h </w:instrText>
            </w:r>
            <w:r w:rsidR="0012745F">
              <w:rPr>
                <w:b w:val="0"/>
                <w:bCs/>
                <w:vertAlign w:val="superscript"/>
              </w:rPr>
              <w:instrText xml:space="preserve"> \* MERGEFORMAT </w:instrText>
            </w:r>
            <w:r w:rsidR="0012745F" w:rsidRPr="0016413C">
              <w:rPr>
                <w:b w:val="0"/>
                <w:bCs/>
                <w:vertAlign w:val="superscript"/>
              </w:rPr>
            </w:r>
            <w:r w:rsidR="0012745F" w:rsidRPr="0016413C">
              <w:rPr>
                <w:b w:val="0"/>
                <w:bCs/>
                <w:vertAlign w:val="superscript"/>
              </w:rPr>
              <w:fldChar w:fldCharType="separate"/>
            </w:r>
            <w:r w:rsidR="00337955">
              <w:rPr>
                <w:b w:val="0"/>
                <w:bCs/>
                <w:vertAlign w:val="superscript"/>
              </w:rPr>
              <w:t>32</w:t>
            </w:r>
            <w:r w:rsidR="0012745F" w:rsidRPr="0016413C">
              <w:rPr>
                <w:b w:val="0"/>
                <w:bCs/>
                <w:vertAlign w:val="superscript"/>
              </w:rPr>
              <w:fldChar w:fldCharType="end"/>
            </w:r>
          </w:p>
        </w:tc>
        <w:tc>
          <w:tcPr>
            <w:tcW w:w="3020" w:type="dxa"/>
          </w:tcPr>
          <w:p w14:paraId="56C29009" w14:textId="0FC39142" w:rsidR="00E60409" w:rsidRPr="00E60409" w:rsidRDefault="00E60409"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sidRPr="00E60409">
              <w:rPr>
                <w:b w:val="0"/>
                <w:bCs/>
              </w:rPr>
              <w:t>2014 NIH consensus criteria based on organ response criteria</w:t>
            </w:r>
            <w:r w:rsidR="0012745F">
              <w:rPr>
                <w:b w:val="0"/>
                <w:bCs/>
              </w:rPr>
              <w:t>;</w:t>
            </w:r>
            <w:r w:rsidR="0012745F" w:rsidRPr="0016413C">
              <w:rPr>
                <w:b w:val="0"/>
                <w:bCs/>
                <w:vertAlign w:val="superscript"/>
              </w:rPr>
              <w:fldChar w:fldCharType="begin"/>
            </w:r>
            <w:r w:rsidR="0012745F" w:rsidRPr="0016413C">
              <w:rPr>
                <w:b w:val="0"/>
                <w:bCs/>
                <w:vertAlign w:val="superscript"/>
              </w:rPr>
              <w:instrText xml:space="preserve"> NOTEREF _Ref130813334 \h </w:instrText>
            </w:r>
            <w:r w:rsidR="0012745F">
              <w:rPr>
                <w:b w:val="0"/>
                <w:bCs/>
                <w:vertAlign w:val="superscript"/>
              </w:rPr>
              <w:instrText xml:space="preserve"> \* MERGEFORMAT </w:instrText>
            </w:r>
            <w:r w:rsidR="0012745F" w:rsidRPr="0016413C">
              <w:rPr>
                <w:b w:val="0"/>
                <w:bCs/>
                <w:vertAlign w:val="superscript"/>
              </w:rPr>
            </w:r>
            <w:r w:rsidR="0012745F" w:rsidRPr="0016413C">
              <w:rPr>
                <w:b w:val="0"/>
                <w:bCs/>
                <w:vertAlign w:val="superscript"/>
              </w:rPr>
              <w:fldChar w:fldCharType="separate"/>
            </w:r>
            <w:r w:rsidR="00337955">
              <w:rPr>
                <w:b w:val="0"/>
                <w:bCs/>
                <w:vertAlign w:val="superscript"/>
              </w:rPr>
              <w:t>32</w:t>
            </w:r>
            <w:r w:rsidR="0012745F" w:rsidRPr="0016413C">
              <w:rPr>
                <w:b w:val="0"/>
                <w:bCs/>
                <w:vertAlign w:val="superscript"/>
              </w:rPr>
              <w:fldChar w:fldCharType="end"/>
            </w:r>
          </w:p>
        </w:tc>
      </w:tr>
      <w:tr w:rsidR="00E60409" w:rsidRPr="00E60409" w14:paraId="656A4B94" w14:textId="77777777" w:rsidTr="00E60409">
        <w:tc>
          <w:tcPr>
            <w:cnfStyle w:val="001000000000" w:firstRow="0" w:lastRow="0" w:firstColumn="1" w:lastColumn="0" w:oddVBand="0" w:evenVBand="0" w:oddHBand="0" w:evenHBand="0" w:firstRowFirstColumn="0" w:firstRowLastColumn="0" w:lastRowFirstColumn="0" w:lastRowLastColumn="0"/>
            <w:tcW w:w="3020" w:type="dxa"/>
          </w:tcPr>
          <w:p w14:paraId="3DCD6716" w14:textId="1A5C2CC4" w:rsidR="00E60409" w:rsidRPr="001A0385" w:rsidRDefault="00E60409" w:rsidP="009677D4">
            <w:pPr>
              <w:pStyle w:val="TableTitle"/>
            </w:pPr>
            <w:r w:rsidRPr="001A0385">
              <w:t xml:space="preserve">Definition of </w:t>
            </w:r>
            <w:r w:rsidR="0012745F">
              <w:t>duration of response</w:t>
            </w:r>
          </w:p>
        </w:tc>
        <w:tc>
          <w:tcPr>
            <w:tcW w:w="3020" w:type="dxa"/>
          </w:tcPr>
          <w:p w14:paraId="0BF87ABB" w14:textId="11891967" w:rsidR="00E60409" w:rsidRPr="00E60409" w:rsidRDefault="00E60409" w:rsidP="00E60409">
            <w:pPr>
              <w:cnfStyle w:val="000000000000" w:firstRow="0" w:lastRow="0" w:firstColumn="0" w:lastColumn="0" w:oddVBand="0" w:evenVBand="0" w:oddHBand="0" w:evenHBand="0" w:firstRowFirstColumn="0" w:firstRowLastColumn="0" w:lastRowFirstColumn="0" w:lastRowLastColumn="0"/>
              <w:rPr>
                <w:bCs/>
              </w:rPr>
            </w:pPr>
            <w:r w:rsidRPr="00E60409">
              <w:rPr>
                <w:bCs/>
              </w:rPr>
              <w:t>Time from first response until</w:t>
            </w:r>
            <w:r>
              <w:rPr>
                <w:bCs/>
              </w:rPr>
              <w:t xml:space="preserve"> </w:t>
            </w:r>
            <w:r w:rsidRPr="00E60409">
              <w:rPr>
                <w:bCs/>
              </w:rPr>
              <w:t>c</w:t>
            </w:r>
            <w:r w:rsidR="0012745F">
              <w:rPr>
                <w:bCs/>
              </w:rPr>
              <w:t xml:space="preserve">hronic </w:t>
            </w:r>
            <w:r w:rsidRPr="00E60409">
              <w:rPr>
                <w:bCs/>
              </w:rPr>
              <w:t>GVHD progression, death, or</w:t>
            </w:r>
            <w:r>
              <w:rPr>
                <w:bCs/>
              </w:rPr>
              <w:t xml:space="preserve"> </w:t>
            </w:r>
            <w:r w:rsidRPr="00E60409">
              <w:rPr>
                <w:bCs/>
              </w:rPr>
              <w:t>systemic therapies for c</w:t>
            </w:r>
            <w:r w:rsidR="0012745F">
              <w:rPr>
                <w:bCs/>
              </w:rPr>
              <w:t xml:space="preserve">hronic </w:t>
            </w:r>
            <w:r w:rsidRPr="00E60409">
              <w:rPr>
                <w:bCs/>
              </w:rPr>
              <w:t>GVHD</w:t>
            </w:r>
          </w:p>
        </w:tc>
        <w:tc>
          <w:tcPr>
            <w:tcW w:w="3020" w:type="dxa"/>
          </w:tcPr>
          <w:p w14:paraId="56891EAA" w14:textId="733CEED2" w:rsidR="00E60409" w:rsidRPr="00E60409" w:rsidRDefault="00E60409"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sidRPr="00E60409">
              <w:rPr>
                <w:b w:val="0"/>
                <w:bCs/>
              </w:rPr>
              <w:t>Time from first response until organ progression, death, or new systemic therapy</w:t>
            </w:r>
          </w:p>
        </w:tc>
      </w:tr>
      <w:tr w:rsidR="00E60409" w:rsidRPr="00E60409" w14:paraId="37A3CC2B" w14:textId="77777777" w:rsidTr="00E60409">
        <w:tc>
          <w:tcPr>
            <w:cnfStyle w:val="001000000000" w:firstRow="0" w:lastRow="0" w:firstColumn="1" w:lastColumn="0" w:oddVBand="0" w:evenVBand="0" w:oddHBand="0" w:evenHBand="0" w:firstRowFirstColumn="0" w:firstRowLastColumn="0" w:lastRowFirstColumn="0" w:lastRowLastColumn="0"/>
            <w:tcW w:w="3020" w:type="dxa"/>
          </w:tcPr>
          <w:p w14:paraId="39E25537" w14:textId="03A2EBCC" w:rsidR="00E60409" w:rsidRPr="001A0385" w:rsidRDefault="00E60409" w:rsidP="00E60409">
            <w:pPr>
              <w:pStyle w:val="TableTitle"/>
            </w:pPr>
            <w:r w:rsidRPr="001A0385">
              <w:t>Alternative measure of durability</w:t>
            </w:r>
          </w:p>
        </w:tc>
        <w:tc>
          <w:tcPr>
            <w:tcW w:w="3020" w:type="dxa"/>
          </w:tcPr>
          <w:p w14:paraId="3AEC00C3" w14:textId="5D2E1ABE" w:rsidR="00E60409" w:rsidRPr="00E60409" w:rsidRDefault="0012745F"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Pr>
                <w:b w:val="0"/>
                <w:bCs/>
              </w:rPr>
              <w:t>N</w:t>
            </w:r>
            <w:r w:rsidR="00E60409" w:rsidRPr="00E60409">
              <w:rPr>
                <w:b w:val="0"/>
                <w:bCs/>
              </w:rPr>
              <w:t>one</w:t>
            </w:r>
          </w:p>
        </w:tc>
        <w:tc>
          <w:tcPr>
            <w:tcW w:w="3020" w:type="dxa"/>
          </w:tcPr>
          <w:p w14:paraId="0AE61442" w14:textId="5EF2CF9C" w:rsidR="00E60409" w:rsidRPr="00E60409" w:rsidRDefault="00E60409"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sidRPr="00E60409">
              <w:rPr>
                <w:b w:val="0"/>
                <w:bCs/>
              </w:rPr>
              <w:t>Time from first response until death or new systemic therapy</w:t>
            </w:r>
          </w:p>
        </w:tc>
      </w:tr>
      <w:tr w:rsidR="00E60409" w:rsidRPr="00E60409" w14:paraId="3ABA8520" w14:textId="77777777" w:rsidTr="00E60409">
        <w:tc>
          <w:tcPr>
            <w:cnfStyle w:val="001000000000" w:firstRow="0" w:lastRow="0" w:firstColumn="1" w:lastColumn="0" w:oddVBand="0" w:evenVBand="0" w:oddHBand="0" w:evenHBand="0" w:firstRowFirstColumn="0" w:firstRowLastColumn="0" w:lastRowFirstColumn="0" w:lastRowLastColumn="0"/>
            <w:tcW w:w="3020" w:type="dxa"/>
          </w:tcPr>
          <w:p w14:paraId="21DC5D32" w14:textId="414AE5CD" w:rsidR="00E60409" w:rsidRPr="001A0385" w:rsidRDefault="00E60409" w:rsidP="0016413C">
            <w:r w:rsidRPr="001A0385">
              <w:rPr>
                <w:b/>
              </w:rPr>
              <w:t xml:space="preserve">Definition of </w:t>
            </w:r>
            <w:r w:rsidR="0012745F">
              <w:rPr>
                <w:b/>
              </w:rPr>
              <w:t xml:space="preserve">patient reported outcome </w:t>
            </w:r>
            <w:r w:rsidR="00201DF4">
              <w:t>(</w:t>
            </w:r>
            <w:r w:rsidRPr="001A0385">
              <w:t>response using c</w:t>
            </w:r>
            <w:r w:rsidR="00201DF4">
              <w:t xml:space="preserve">hronic </w:t>
            </w:r>
            <w:r w:rsidRPr="001A0385">
              <w:t xml:space="preserve">GVHD </w:t>
            </w:r>
            <w:r w:rsidR="00201DF4">
              <w:t>total symptom score of modified Lee Symptom Scale);</w:t>
            </w:r>
            <w:r w:rsidR="00201DF4" w:rsidRPr="0016413C">
              <w:rPr>
                <w:vertAlign w:val="superscript"/>
              </w:rPr>
              <w:fldChar w:fldCharType="begin"/>
            </w:r>
            <w:r w:rsidR="00201DF4" w:rsidRPr="0016413C">
              <w:rPr>
                <w:rFonts w:eastAsiaTheme="minorHAnsi" w:cstheme="minorBidi"/>
                <w:szCs w:val="20"/>
                <w:vertAlign w:val="superscript"/>
              </w:rPr>
              <w:instrText xml:space="preserve"> NOTEREF _Ref133494590 \h </w:instrText>
            </w:r>
            <w:r w:rsidR="00201DF4">
              <w:rPr>
                <w:vertAlign w:val="superscript"/>
              </w:rPr>
              <w:instrText xml:space="preserve"> \* MERGEFORMAT </w:instrText>
            </w:r>
            <w:r w:rsidR="00201DF4" w:rsidRPr="0016413C">
              <w:rPr>
                <w:vertAlign w:val="superscript"/>
              </w:rPr>
            </w:r>
            <w:r w:rsidR="00201DF4" w:rsidRPr="0016413C">
              <w:rPr>
                <w:vertAlign w:val="superscript"/>
              </w:rPr>
              <w:fldChar w:fldCharType="separate"/>
            </w:r>
            <w:r w:rsidR="00337955">
              <w:rPr>
                <w:rFonts w:eastAsiaTheme="minorHAnsi" w:cstheme="minorBidi"/>
                <w:szCs w:val="20"/>
                <w:vertAlign w:val="superscript"/>
              </w:rPr>
              <w:t>31</w:t>
            </w:r>
            <w:r w:rsidR="00201DF4" w:rsidRPr="0016413C">
              <w:rPr>
                <w:vertAlign w:val="superscript"/>
              </w:rPr>
              <w:fldChar w:fldCharType="end"/>
            </w:r>
          </w:p>
        </w:tc>
        <w:tc>
          <w:tcPr>
            <w:tcW w:w="3020" w:type="dxa"/>
          </w:tcPr>
          <w:p w14:paraId="1DF01D42" w14:textId="634F554D" w:rsidR="00E60409" w:rsidRPr="00E60409" w:rsidRDefault="0012745F" w:rsidP="00E60409">
            <w:pPr>
              <w:cnfStyle w:val="000000000000" w:firstRow="0" w:lastRow="0" w:firstColumn="0" w:lastColumn="0" w:oddVBand="0" w:evenVBand="0" w:oddHBand="0" w:evenHBand="0" w:firstRowFirstColumn="0" w:firstRowLastColumn="0" w:lastRowFirstColumn="0" w:lastRowLastColumn="0"/>
              <w:rPr>
                <w:bCs/>
              </w:rPr>
            </w:pPr>
            <w:r>
              <w:rPr>
                <w:bCs/>
              </w:rPr>
              <w:t xml:space="preserve">At least </w:t>
            </w:r>
            <w:r w:rsidR="00E60409" w:rsidRPr="00E60409">
              <w:rPr>
                <w:bCs/>
              </w:rPr>
              <w:t>7</w:t>
            </w:r>
            <w:r>
              <w:rPr>
                <w:bCs/>
              </w:rPr>
              <w:t xml:space="preserve"> p</w:t>
            </w:r>
            <w:r w:rsidR="00E60409" w:rsidRPr="00E60409">
              <w:rPr>
                <w:bCs/>
              </w:rPr>
              <w:t xml:space="preserve">oint reduction from </w:t>
            </w:r>
            <w:r>
              <w:rPr>
                <w:bCs/>
              </w:rPr>
              <w:t>B</w:t>
            </w:r>
            <w:r w:rsidR="00E60409" w:rsidRPr="00E60409">
              <w:rPr>
                <w:bCs/>
              </w:rPr>
              <w:t>aseline at</w:t>
            </w:r>
            <w:r w:rsidR="00E60409">
              <w:rPr>
                <w:bCs/>
              </w:rPr>
              <w:t xml:space="preserve"> </w:t>
            </w:r>
            <w:r w:rsidR="00E60409" w:rsidRPr="00E60409">
              <w:rPr>
                <w:bCs/>
              </w:rPr>
              <w:t>Cycle 7 Day</w:t>
            </w:r>
            <w:r>
              <w:rPr>
                <w:bCs/>
              </w:rPr>
              <w:t> </w:t>
            </w:r>
            <w:r w:rsidR="00E60409" w:rsidRPr="00E60409">
              <w:rPr>
                <w:bCs/>
              </w:rPr>
              <w:t xml:space="preserve">1 </w:t>
            </w:r>
            <w:r>
              <w:rPr>
                <w:bCs/>
              </w:rPr>
              <w:t>visit</w:t>
            </w:r>
          </w:p>
        </w:tc>
        <w:tc>
          <w:tcPr>
            <w:tcW w:w="3020" w:type="dxa"/>
          </w:tcPr>
          <w:p w14:paraId="1F9F3B81" w14:textId="23C2B31D" w:rsidR="00E60409" w:rsidRPr="00E60409" w:rsidRDefault="0012745F"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Pr>
                <w:b w:val="0"/>
                <w:bCs/>
              </w:rPr>
              <w:t xml:space="preserve">At least </w:t>
            </w:r>
            <w:r w:rsidR="00E60409" w:rsidRPr="00E60409">
              <w:rPr>
                <w:b w:val="0"/>
                <w:bCs/>
              </w:rPr>
              <w:t>7</w:t>
            </w:r>
            <w:r>
              <w:rPr>
                <w:b w:val="0"/>
                <w:bCs/>
              </w:rPr>
              <w:t xml:space="preserve"> p</w:t>
            </w:r>
            <w:r w:rsidR="00E60409" w:rsidRPr="00E60409">
              <w:rPr>
                <w:b w:val="0"/>
                <w:bCs/>
              </w:rPr>
              <w:t xml:space="preserve">oint reduction from </w:t>
            </w:r>
            <w:r>
              <w:rPr>
                <w:b w:val="0"/>
                <w:bCs/>
              </w:rPr>
              <w:t>B</w:t>
            </w:r>
            <w:r w:rsidR="00E60409" w:rsidRPr="00E60409">
              <w:rPr>
                <w:b w:val="0"/>
                <w:bCs/>
              </w:rPr>
              <w:t>aseline at any time up to and including Cycle 7 Day</w:t>
            </w:r>
            <w:r>
              <w:rPr>
                <w:b w:val="0"/>
                <w:bCs/>
              </w:rPr>
              <w:t> </w:t>
            </w:r>
            <w:r w:rsidR="00E60409" w:rsidRPr="00E60409">
              <w:rPr>
                <w:b w:val="0"/>
                <w:bCs/>
              </w:rPr>
              <w:t>1</w:t>
            </w:r>
            <w:r>
              <w:rPr>
                <w:b w:val="0"/>
                <w:bCs/>
              </w:rPr>
              <w:t xml:space="preserve"> visit</w:t>
            </w:r>
            <w:r w:rsidR="00E60409" w:rsidRPr="00E60409">
              <w:rPr>
                <w:b w:val="0"/>
                <w:bCs/>
              </w:rPr>
              <w:t xml:space="preserve"> </w:t>
            </w:r>
          </w:p>
        </w:tc>
      </w:tr>
      <w:tr w:rsidR="00E60409" w:rsidRPr="00E60409" w14:paraId="321A8449" w14:textId="77777777" w:rsidTr="00E60409">
        <w:tc>
          <w:tcPr>
            <w:cnfStyle w:val="001000000000" w:firstRow="0" w:lastRow="0" w:firstColumn="1" w:lastColumn="0" w:oddVBand="0" w:evenVBand="0" w:oddHBand="0" w:evenHBand="0" w:firstRowFirstColumn="0" w:firstRowLastColumn="0" w:lastRowFirstColumn="0" w:lastRowLastColumn="0"/>
            <w:tcW w:w="3020" w:type="dxa"/>
          </w:tcPr>
          <w:p w14:paraId="1A8E899F" w14:textId="7F5E169B" w:rsidR="00E60409" w:rsidRPr="001A0385" w:rsidRDefault="00E60409" w:rsidP="009677D4">
            <w:pPr>
              <w:pStyle w:val="TableTitle"/>
            </w:pPr>
            <w:r w:rsidRPr="001A0385">
              <w:t xml:space="preserve">Definition of </w:t>
            </w:r>
            <w:r w:rsidR="00201DF4">
              <w:t>failure free survival</w:t>
            </w:r>
          </w:p>
        </w:tc>
        <w:tc>
          <w:tcPr>
            <w:tcW w:w="3020" w:type="dxa"/>
          </w:tcPr>
          <w:p w14:paraId="69426B68" w14:textId="252168DF" w:rsidR="00E60409" w:rsidRPr="00E60409" w:rsidRDefault="00E60409"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sidRPr="00E60409">
              <w:rPr>
                <w:b w:val="0"/>
                <w:bCs/>
              </w:rPr>
              <w:t xml:space="preserve">Time from randomisation to relapse or recurrence of underlying disease or death due to underlying disease, </w:t>
            </w:r>
            <w:proofErr w:type="spellStart"/>
            <w:r w:rsidRPr="00E60409">
              <w:rPr>
                <w:b w:val="0"/>
                <w:bCs/>
              </w:rPr>
              <w:t>nonrelapse</w:t>
            </w:r>
            <w:proofErr w:type="spellEnd"/>
            <w:r w:rsidRPr="00E60409">
              <w:rPr>
                <w:b w:val="0"/>
                <w:bCs/>
              </w:rPr>
              <w:t xml:space="preserve"> mortality, or addition or initiation of another systemic therapy for c</w:t>
            </w:r>
            <w:r w:rsidR="00201DF4">
              <w:rPr>
                <w:b w:val="0"/>
                <w:bCs/>
              </w:rPr>
              <w:t xml:space="preserve">hronic </w:t>
            </w:r>
            <w:r w:rsidRPr="00E60409">
              <w:rPr>
                <w:b w:val="0"/>
                <w:bCs/>
              </w:rPr>
              <w:t>GVHD</w:t>
            </w:r>
          </w:p>
        </w:tc>
        <w:tc>
          <w:tcPr>
            <w:tcW w:w="3020" w:type="dxa"/>
          </w:tcPr>
          <w:p w14:paraId="341F5C09" w14:textId="031ADCE8" w:rsidR="00E60409" w:rsidRPr="00E60409" w:rsidRDefault="00E60409" w:rsidP="00E60409">
            <w:pPr>
              <w:pStyle w:val="TableTitle"/>
              <w:cnfStyle w:val="000000000000" w:firstRow="0" w:lastRow="0" w:firstColumn="0" w:lastColumn="0" w:oddVBand="0" w:evenVBand="0" w:oddHBand="0" w:evenHBand="0" w:firstRowFirstColumn="0" w:firstRowLastColumn="0" w:lastRowFirstColumn="0" w:lastRowLastColumn="0"/>
              <w:rPr>
                <w:b w:val="0"/>
                <w:bCs/>
              </w:rPr>
            </w:pPr>
            <w:r w:rsidRPr="00E60409">
              <w:rPr>
                <w:b w:val="0"/>
                <w:bCs/>
              </w:rPr>
              <w:t>Not an acceptable regulatory endpoint for the proposed indication of c</w:t>
            </w:r>
            <w:r w:rsidR="00201DF4">
              <w:rPr>
                <w:b w:val="0"/>
                <w:bCs/>
              </w:rPr>
              <w:t xml:space="preserve">hronic </w:t>
            </w:r>
            <w:r w:rsidRPr="00E60409">
              <w:rPr>
                <w:b w:val="0"/>
                <w:bCs/>
              </w:rPr>
              <w:t>GVHD</w:t>
            </w:r>
          </w:p>
        </w:tc>
      </w:tr>
    </w:tbl>
    <w:p w14:paraId="38B7455A" w14:textId="08C28A08" w:rsidR="00E70AA0" w:rsidRDefault="00E60409" w:rsidP="0029641F">
      <w:r>
        <w:br/>
      </w:r>
      <w:r w:rsidR="0029641F">
        <w:t xml:space="preserve">The major differences </w:t>
      </w:r>
      <w:r w:rsidR="00201DF4">
        <w:t>concerned</w:t>
      </w:r>
      <w:r w:rsidR="0029641F">
        <w:t xml:space="preserve"> when </w:t>
      </w:r>
      <w:r w:rsidR="00DC27C5">
        <w:t xml:space="preserve">overall survival </w:t>
      </w:r>
      <w:r w:rsidR="0029641F">
        <w:t>was assessed</w:t>
      </w:r>
      <w:r w:rsidR="00201DF4">
        <w:t>,</w:t>
      </w:r>
      <w:r w:rsidR="0029641F">
        <w:t xml:space="preserve"> and how</w:t>
      </w:r>
      <w:r w:rsidR="00201DF4">
        <w:t xml:space="preserve"> the</w:t>
      </w:r>
      <w:r w:rsidR="0029641F">
        <w:t xml:space="preserve"> durability of response was assessed. The </w:t>
      </w:r>
      <w:r w:rsidR="00201DF4">
        <w:t>supplementary regulatory analysis reported</w:t>
      </w:r>
      <w:r w:rsidR="0029641F">
        <w:t xml:space="preserve"> that an assessment at the arbitrary time point of the C</w:t>
      </w:r>
      <w:r w:rsidR="00DC27C5">
        <w:t xml:space="preserve">ycle </w:t>
      </w:r>
      <w:r w:rsidR="0029641F">
        <w:t>7</w:t>
      </w:r>
      <w:r w:rsidR="00DC27C5">
        <w:t xml:space="preserve"> </w:t>
      </w:r>
      <w:r w:rsidR="0029641F">
        <w:t>D</w:t>
      </w:r>
      <w:r w:rsidR="00DC27C5">
        <w:t xml:space="preserve">ay </w:t>
      </w:r>
      <w:r w:rsidR="0029641F">
        <w:t xml:space="preserve">1 visit has not been determined to be meaningful of </w:t>
      </w:r>
      <w:r w:rsidR="0029641F">
        <w:lastRenderedPageBreak/>
        <w:t xml:space="preserve">any benefit. Instead, </w:t>
      </w:r>
      <w:r w:rsidR="00201DF4">
        <w:t xml:space="preserve">the supplementary regulatory analysis </w:t>
      </w:r>
      <w:r w:rsidR="0029641F">
        <w:t xml:space="preserve">considered a </w:t>
      </w:r>
      <w:r w:rsidR="00DC27C5">
        <w:t>complete response</w:t>
      </w:r>
      <w:r w:rsidR="0029641F">
        <w:t xml:space="preserve"> or </w:t>
      </w:r>
      <w:r w:rsidR="00DC27C5">
        <w:t xml:space="preserve">partial response </w:t>
      </w:r>
      <w:r w:rsidR="0029641F">
        <w:t xml:space="preserve">by </w:t>
      </w:r>
      <w:r w:rsidR="00DC27C5">
        <w:t>Cycle 7 Day 1</w:t>
      </w:r>
      <w:r w:rsidR="0029641F">
        <w:t xml:space="preserve"> </w:t>
      </w:r>
      <w:r w:rsidR="00201DF4">
        <w:t xml:space="preserve">visit </w:t>
      </w:r>
      <w:r w:rsidR="0029641F">
        <w:t xml:space="preserve">rather than at the </w:t>
      </w:r>
      <w:r w:rsidR="00DC27C5">
        <w:t xml:space="preserve">Cycle 7 Day 1 </w:t>
      </w:r>
      <w:r w:rsidR="0029641F">
        <w:t xml:space="preserve">visit to be representative of a clinically meaningful response. The </w:t>
      </w:r>
      <w:r w:rsidR="00201DF4">
        <w:t xml:space="preserve">supplementary analysis </w:t>
      </w:r>
      <w:r w:rsidR="0029641F">
        <w:t>considered that the 6</w:t>
      </w:r>
      <w:r w:rsidR="00DC27C5">
        <w:t xml:space="preserve"> </w:t>
      </w:r>
      <w:r w:rsidR="0029641F">
        <w:t xml:space="preserve">month window (up to </w:t>
      </w:r>
      <w:r w:rsidR="00DC27C5">
        <w:t>Cycle 7 Day 1</w:t>
      </w:r>
      <w:r w:rsidR="0029641F">
        <w:t>) allows sufficient time for development of a response without continuing a treatment that poses risks without efficacy. Furthermore, the</w:t>
      </w:r>
      <w:r w:rsidR="00DC27C5">
        <w:t xml:space="preserve"> overall response</w:t>
      </w:r>
      <w:r w:rsidR="0029641F">
        <w:t xml:space="preserve"> results should be supported by the improvement in </w:t>
      </w:r>
      <w:proofErr w:type="spellStart"/>
      <w:r w:rsidR="0029641F">
        <w:t>mL</w:t>
      </w:r>
      <w:r w:rsidR="00201DF4">
        <w:t>S</w:t>
      </w:r>
      <w:r w:rsidR="0029641F">
        <w:t>S</w:t>
      </w:r>
      <w:proofErr w:type="spellEnd"/>
      <w:r w:rsidR="0029641F">
        <w:t xml:space="preserve"> score through </w:t>
      </w:r>
      <w:r w:rsidR="00DC27C5">
        <w:t xml:space="preserve">Cycle 7 Day 1 </w:t>
      </w:r>
      <w:r w:rsidR="0029641F">
        <w:t>instead of c</w:t>
      </w:r>
      <w:r w:rsidR="00201DF4">
        <w:t xml:space="preserve">hronic </w:t>
      </w:r>
      <w:r w:rsidR="0029641F">
        <w:t>GVHD</w:t>
      </w:r>
      <w:r w:rsidR="00865473">
        <w:t xml:space="preserve"> total symptom score </w:t>
      </w:r>
      <w:r w:rsidR="0029641F">
        <w:t xml:space="preserve">at </w:t>
      </w:r>
      <w:r w:rsidR="00DC27C5">
        <w:t>Cycle 7 Day 1</w:t>
      </w:r>
      <w:r w:rsidR="0029641F">
        <w:t>.</w:t>
      </w:r>
    </w:p>
    <w:p w14:paraId="2CCE4A22" w14:textId="4F4A4DA4" w:rsidR="00E70AA0" w:rsidRDefault="0029641F" w:rsidP="0029641F">
      <w:r>
        <w:t>The primary durability of response measure in the study was</w:t>
      </w:r>
      <w:r w:rsidR="00DC27C5">
        <w:t xml:space="preserve"> failure free survival</w:t>
      </w:r>
      <w:r>
        <w:t xml:space="preserve"> (a key secondary endpoint). </w:t>
      </w:r>
      <w:r w:rsidR="00201DF4">
        <w:t xml:space="preserve">The definition of </w:t>
      </w:r>
      <w:r>
        <w:t>primary measure of durability</w:t>
      </w:r>
      <w:r w:rsidR="00201DF4">
        <w:t xml:space="preserve"> </w:t>
      </w:r>
      <w:r w:rsidR="00865473">
        <w:t>from</w:t>
      </w:r>
      <w:r w:rsidR="00201DF4">
        <w:t xml:space="preserve"> the supplementary regulatory analysis</w:t>
      </w:r>
      <w:r>
        <w:t xml:space="preserve">, </w:t>
      </w:r>
      <w:r w:rsidR="00201DF4">
        <w:t>(</w:t>
      </w:r>
      <w:r w:rsidR="00DC27C5">
        <w:t>that is,</w:t>
      </w:r>
      <w:r>
        <w:t xml:space="preserve"> the first </w:t>
      </w:r>
      <w:r w:rsidR="00DC27C5">
        <w:t xml:space="preserve">duration of response </w:t>
      </w:r>
      <w:r>
        <w:t>definition in the above table</w:t>
      </w:r>
      <w:r w:rsidR="00201DF4">
        <w:t>)</w:t>
      </w:r>
      <w:r>
        <w:t xml:space="preserve"> considers any progression in any organ after the </w:t>
      </w:r>
      <w:r w:rsidR="00DC27C5">
        <w:t>overall response rate</w:t>
      </w:r>
      <w:r>
        <w:t xml:space="preserve"> has been determined to be loss of response.</w:t>
      </w:r>
      <w:r w:rsidR="00E70AA0">
        <w:t xml:space="preserve"> </w:t>
      </w:r>
      <w:r>
        <w:t>Th</w:t>
      </w:r>
      <w:r w:rsidR="00865473">
        <w:t xml:space="preserve">is </w:t>
      </w:r>
      <w:r>
        <w:t xml:space="preserve">primary measure of durability does not allow for a progression in one organ while responses in other organs are improved. </w:t>
      </w:r>
      <w:r w:rsidR="00865473">
        <w:t>Study CINC424D2301</w:t>
      </w:r>
      <w:r w:rsidR="00865473" w:rsidDel="00865473">
        <w:t xml:space="preserve"> </w:t>
      </w:r>
      <w:r>
        <w:t xml:space="preserve">also included a </w:t>
      </w:r>
      <w:r w:rsidR="00DC27C5">
        <w:t>duration of response</w:t>
      </w:r>
      <w:r>
        <w:t xml:space="preserve"> assessment, as shown in </w:t>
      </w:r>
      <w:r w:rsidR="00DC27C5">
        <w:fldChar w:fldCharType="begin"/>
      </w:r>
      <w:r w:rsidR="00DC27C5">
        <w:instrText xml:space="preserve"> REF _Ref130815241 \h </w:instrText>
      </w:r>
      <w:r w:rsidR="00DC27C5">
        <w:fldChar w:fldCharType="separate"/>
      </w:r>
      <w:r w:rsidR="00337955">
        <w:t xml:space="preserve">Figure </w:t>
      </w:r>
      <w:r w:rsidR="00337955">
        <w:rPr>
          <w:noProof/>
        </w:rPr>
        <w:t>4</w:t>
      </w:r>
      <w:r w:rsidR="00DC27C5">
        <w:fldChar w:fldCharType="end"/>
      </w:r>
      <w:r w:rsidR="00DC27C5">
        <w:t xml:space="preserve"> </w:t>
      </w:r>
      <w:r>
        <w:t xml:space="preserve">above, however the definition of that </w:t>
      </w:r>
      <w:r w:rsidR="00DC27C5">
        <w:t>duration of response</w:t>
      </w:r>
      <w:r>
        <w:t xml:space="preserve"> differed from the </w:t>
      </w:r>
      <w:r w:rsidR="00865473">
        <w:t>definition used in the supplementary regulatory analysis</w:t>
      </w:r>
      <w:r>
        <w:t xml:space="preserve"> and from the alternative measure of durability </w:t>
      </w:r>
      <w:r w:rsidR="00865473">
        <w:t xml:space="preserve">in this analysis, </w:t>
      </w:r>
      <w:r>
        <w:t>as shown in the above table.</w:t>
      </w:r>
    </w:p>
    <w:p w14:paraId="3A8432D7" w14:textId="1A6418B3" w:rsidR="0029641F" w:rsidRDefault="0029641F" w:rsidP="0029641F">
      <w:r>
        <w:t xml:space="preserve">Using </w:t>
      </w:r>
      <w:r w:rsidR="00865473">
        <w:t>the supplementary analysis</w:t>
      </w:r>
      <w:r>
        <w:t xml:space="preserve">-adjudicated responses, the </w:t>
      </w:r>
      <w:r w:rsidR="00DC27C5">
        <w:t>overall response rate</w:t>
      </w:r>
      <w:r>
        <w:t xml:space="preserve"> by </w:t>
      </w:r>
      <w:r w:rsidR="00DC27C5">
        <w:t>Cycle 7 Day 1</w:t>
      </w:r>
      <w:r>
        <w:t xml:space="preserve"> was 70% (95% CI: 63%, 77%) in the ruxolitinib arm and 57% (95% CI: 49%, 65%) in the </w:t>
      </w:r>
      <w:r w:rsidR="00865473">
        <w:t xml:space="preserve">‘best available treatment’ </w:t>
      </w:r>
      <w:r>
        <w:t>arm with a risk difference of 13% (95% CI: 2.6%, 23.1%). Since the analysis of this endpoint was not alpha</w:t>
      </w:r>
      <w:r w:rsidR="00DC27C5">
        <w:noBreakHyphen/>
      </w:r>
      <w:r>
        <w:t xml:space="preserve">controlled, no p-value is displayed. The responses in the ruxolitinib arm were considered durable, with a median duration of response of 4.2 months (primary </w:t>
      </w:r>
      <w:r w:rsidR="00DC27C5">
        <w:t>duration of response</w:t>
      </w:r>
      <w:r>
        <w:t xml:space="preserve"> definition) and median time to new therapy or death of 25 months (2.1 months and 5.6 months, respectively, in the </w:t>
      </w:r>
      <w:r w:rsidR="00865473">
        <w:t xml:space="preserve">‘best available treatment’ </w:t>
      </w:r>
      <w:r>
        <w:t xml:space="preserve">arm). Since the randomised population included few patients failing two lines of therapy, additional information regarding efficacy in this subgroup was pursued in the crossover population. Of the 61 patients who failed </w:t>
      </w:r>
      <w:r w:rsidR="00865473">
        <w:t xml:space="preserve">best available treatment </w:t>
      </w:r>
      <w:r>
        <w:t xml:space="preserve">and additionally one line of therapy prior to </w:t>
      </w:r>
      <w:r w:rsidR="00865473">
        <w:t xml:space="preserve">best available treatment </w:t>
      </w:r>
      <w:r>
        <w:t xml:space="preserve">(failed two lines of therapy in total) and then crossed over to ruxolitinib, </w:t>
      </w:r>
      <w:r w:rsidR="00DC27C5">
        <w:t>overall response</w:t>
      </w:r>
      <w:r>
        <w:t xml:space="preserve"> by </w:t>
      </w:r>
      <w:r w:rsidR="00DC27C5">
        <w:t>Cycle 7 Day 1</w:t>
      </w:r>
      <w:r>
        <w:t xml:space="preserve"> was achieved by 39 (ORR 64%</w:t>
      </w:r>
      <w:r w:rsidR="00C96FAD">
        <w:t>, 95% CI</w:t>
      </w:r>
      <w:r>
        <w:t>: 51%, 76%). Thus, the results in totality appear to apply to patients failing one or two lines of therapy.</w:t>
      </w:r>
    </w:p>
    <w:p w14:paraId="08C99E49" w14:textId="20C75306" w:rsidR="0029641F" w:rsidRDefault="0029641F" w:rsidP="0029641F">
      <w:r>
        <w:t xml:space="preserve">In </w:t>
      </w:r>
      <w:r w:rsidR="00865473">
        <w:t>the</w:t>
      </w:r>
      <w:r>
        <w:t xml:space="preserve"> supplemental </w:t>
      </w:r>
      <w:r w:rsidR="00865473">
        <w:t xml:space="preserve">regulatory </w:t>
      </w:r>
      <w:r>
        <w:t xml:space="preserve">analysis, a </w:t>
      </w:r>
      <w:r w:rsidR="00DC27C5">
        <w:t>greater than</w:t>
      </w:r>
      <w:r>
        <w:t xml:space="preserve"> 7</w:t>
      </w:r>
      <w:r w:rsidR="00DC27C5">
        <w:t xml:space="preserve"> </w:t>
      </w:r>
      <w:r>
        <w:t>point reduction in c</w:t>
      </w:r>
      <w:r w:rsidR="00865473">
        <w:t xml:space="preserve">hronic </w:t>
      </w:r>
      <w:r>
        <w:t xml:space="preserve">GVHD </w:t>
      </w:r>
      <w:r w:rsidR="00865473">
        <w:t>total symptom score</w:t>
      </w:r>
      <w:r>
        <w:t xml:space="preserve"> by </w:t>
      </w:r>
      <w:r w:rsidR="00865473">
        <w:t xml:space="preserve">the </w:t>
      </w:r>
      <w:r w:rsidR="00DC27C5">
        <w:t xml:space="preserve">Cycle 7 Day 1 </w:t>
      </w:r>
      <w:r w:rsidR="00865473">
        <w:t xml:space="preserve">visit </w:t>
      </w:r>
      <w:r>
        <w:t xml:space="preserve">was observed for 40.0% of patients in the ruxolitinib arm and 28.7% in the </w:t>
      </w:r>
      <w:r w:rsidR="00865473">
        <w:t xml:space="preserve">‘best available treatment’ </w:t>
      </w:r>
      <w:r>
        <w:t xml:space="preserve">arm, for a difference in proportions of 11.3% with a lower 95% CI of 1.1%. However, patient-reported outcomes may be biased by patients’ knowledge of treatment assignment, and this potential bias cannot be excluded or estimated reliably in an open-label trial. As such, the </w:t>
      </w:r>
      <w:r w:rsidR="00865473">
        <w:t xml:space="preserve">supplemental analysis </w:t>
      </w:r>
      <w:r>
        <w:t>acknowledge</w:t>
      </w:r>
      <w:r w:rsidR="00865473">
        <w:t>s</w:t>
      </w:r>
      <w:r>
        <w:t xml:space="preserve"> that the observed c</w:t>
      </w:r>
      <w:r w:rsidR="00865473">
        <w:t xml:space="preserve">hronic </w:t>
      </w:r>
      <w:r>
        <w:t xml:space="preserve">GVHD </w:t>
      </w:r>
      <w:r w:rsidR="00865473">
        <w:t xml:space="preserve">total symptom score </w:t>
      </w:r>
      <w:r>
        <w:t xml:space="preserve">results from </w:t>
      </w:r>
      <w:r w:rsidR="00DC27C5" w:rsidRPr="00DC27C5">
        <w:t>Study CINC424D2301</w:t>
      </w:r>
      <w:r w:rsidR="00DC27C5">
        <w:t xml:space="preserve"> </w:t>
      </w:r>
      <w:r>
        <w:t>may be an overestimate due to the open-label nature of the trial. Additionally, th</w:t>
      </w:r>
      <w:r w:rsidR="00865473">
        <w:t>is</w:t>
      </w:r>
      <w:r>
        <w:t xml:space="preserve"> analysis differed from that planned and is therefore </w:t>
      </w:r>
      <w:r w:rsidR="00865473">
        <w:t xml:space="preserve">considered </w:t>
      </w:r>
      <w:r>
        <w:t>exploratory.</w:t>
      </w:r>
    </w:p>
    <w:p w14:paraId="174A2EF7" w14:textId="77777777" w:rsidR="006B7C39" w:rsidRDefault="006B7C39" w:rsidP="00377993">
      <w:pPr>
        <w:pStyle w:val="Heading4"/>
      </w:pPr>
      <w:bookmarkStart w:id="59" w:name="_Toc134095506"/>
      <w:r>
        <w:t>Safety</w:t>
      </w:r>
      <w:bookmarkEnd w:id="59"/>
    </w:p>
    <w:p w14:paraId="497B805B" w14:textId="2DC0E1FC" w:rsidR="00E70AA0" w:rsidRDefault="006B7C39" w:rsidP="006B7C39">
      <w:r>
        <w:t xml:space="preserve">The major known adverse effects associated with </w:t>
      </w:r>
      <w:proofErr w:type="spellStart"/>
      <w:r>
        <w:t>ruxolitinib</w:t>
      </w:r>
      <w:proofErr w:type="spellEnd"/>
      <w:r>
        <w:t xml:space="preserve"> are </w:t>
      </w:r>
      <w:proofErr w:type="spellStart"/>
      <w:r>
        <w:t>cytopaenias</w:t>
      </w:r>
      <w:proofErr w:type="spellEnd"/>
      <w:r>
        <w:t xml:space="preserve">, infections including </w:t>
      </w:r>
      <w:r w:rsidR="00865473">
        <w:t>p</w:t>
      </w:r>
      <w:r>
        <w:t xml:space="preserve">rogressive </w:t>
      </w:r>
      <w:r w:rsidR="00865473">
        <w:t>m</w:t>
      </w:r>
      <w:r>
        <w:t xml:space="preserve">ultifocal </w:t>
      </w:r>
      <w:r w:rsidR="00865473">
        <w:t>l</w:t>
      </w:r>
      <w:r>
        <w:t>eukoencephalopathy, non-melanoma skin cancer, lipid enzyme abnormalities and symptom exacerbation after discontinuation.</w:t>
      </w:r>
    </w:p>
    <w:p w14:paraId="7105E623" w14:textId="4ED98C7E" w:rsidR="006B7C39" w:rsidRDefault="006B7C39" w:rsidP="006B7C39">
      <w:r>
        <w:t xml:space="preserve">A summary of the safety data from the Phase III registration </w:t>
      </w:r>
      <w:r w:rsidR="00DC27C5">
        <w:t>S</w:t>
      </w:r>
      <w:r>
        <w:t>tudies CINC424C2301</w:t>
      </w:r>
      <w:r w:rsidR="00DC27C5">
        <w:t xml:space="preserve"> </w:t>
      </w:r>
      <w:r>
        <w:t xml:space="preserve">and </w:t>
      </w:r>
      <w:r w:rsidR="00DC27C5">
        <w:t>Study</w:t>
      </w:r>
      <w:r w:rsidR="00865473">
        <w:t> </w:t>
      </w:r>
      <w:r>
        <w:t xml:space="preserve">CINC424D2301 and from </w:t>
      </w:r>
      <w:r w:rsidR="00DC27C5">
        <w:t>S</w:t>
      </w:r>
      <w:r>
        <w:t>tudy 18424-271 were not pooled, due to substantial differences between the studies</w:t>
      </w:r>
      <w:r w:rsidR="00865473">
        <w:t xml:space="preserve">, including differences in </w:t>
      </w:r>
      <w:r>
        <w:t xml:space="preserve">study populations and designs, duration of treatment exposure and frequency, </w:t>
      </w:r>
      <w:proofErr w:type="gramStart"/>
      <w:r>
        <w:t>severity</w:t>
      </w:r>
      <w:proofErr w:type="gramEnd"/>
      <w:r>
        <w:t xml:space="preserve"> and seriousness of adverse events. In addition, the duration of ruxolitinib treatment exposure was longer in </w:t>
      </w:r>
      <w:r w:rsidR="00865473">
        <w:t xml:space="preserve">subjects with </w:t>
      </w:r>
      <w:r>
        <w:t xml:space="preserve">chronic </w:t>
      </w:r>
      <w:r w:rsidR="00E76F8D">
        <w:lastRenderedPageBreak/>
        <w:t>GVHD</w:t>
      </w:r>
      <w:r>
        <w:t xml:space="preserve"> (median exposure of 41.4 weeks in </w:t>
      </w:r>
      <w:r w:rsidR="00DC27C5" w:rsidRPr="00DC27C5">
        <w:t>Study CINC424D2301</w:t>
      </w:r>
      <w:r w:rsidR="00865473">
        <w:t>)</w:t>
      </w:r>
      <w:r w:rsidR="00DC27C5" w:rsidRPr="00DC27C5">
        <w:t xml:space="preserve"> </w:t>
      </w:r>
      <w:r>
        <w:t xml:space="preserve">compared to acute </w:t>
      </w:r>
      <w:r w:rsidR="00E76F8D">
        <w:t>GVHD</w:t>
      </w:r>
      <w:r>
        <w:t xml:space="preserve"> (median exposure of 8.9 weeks in </w:t>
      </w:r>
      <w:r w:rsidR="00DC27C5" w:rsidRPr="00DC27C5">
        <w:t>Stud</w:t>
      </w:r>
      <w:r w:rsidR="00DC27C5">
        <w:t xml:space="preserve">y </w:t>
      </w:r>
      <w:r w:rsidR="00DC27C5" w:rsidRPr="00DC27C5">
        <w:t xml:space="preserve">CINC424C2301 </w:t>
      </w:r>
      <w:r>
        <w:t xml:space="preserve">2, 6.6 weeks in </w:t>
      </w:r>
      <w:r w:rsidR="00DC27C5" w:rsidRPr="00DC27C5">
        <w:t>Study 18424-271</w:t>
      </w:r>
      <w:r>
        <w:t>).</w:t>
      </w:r>
    </w:p>
    <w:p w14:paraId="08544835" w14:textId="77777777" w:rsidR="006B7C39" w:rsidRDefault="006B7C39" w:rsidP="0016413C">
      <w:pPr>
        <w:pStyle w:val="Heading5"/>
      </w:pPr>
      <w:r>
        <w:t>Exposure</w:t>
      </w:r>
    </w:p>
    <w:p w14:paraId="2462D7D2" w14:textId="0D4575AB" w:rsidR="006B7C39" w:rsidRDefault="00FF7B22" w:rsidP="006B7C39">
      <w:r>
        <w:t>On 16 November 2011 the USA was the first country globally to approve r</w:t>
      </w:r>
      <w:r w:rsidR="006B7C39">
        <w:t>uxolitinib</w:t>
      </w:r>
      <w:r>
        <w:t xml:space="preserve">, indicated </w:t>
      </w:r>
      <w:r w:rsidR="006B7C39">
        <w:t xml:space="preserve">for </w:t>
      </w:r>
      <w:r>
        <w:t xml:space="preserve">the </w:t>
      </w:r>
      <w:r w:rsidR="006B7C39">
        <w:t>treatment of myelofibrosis</w:t>
      </w:r>
      <w:r>
        <w:t xml:space="preserve">. </w:t>
      </w:r>
      <w:r w:rsidR="006B7C39">
        <w:t>The estimated cumulative post-marketing exposure until the end of reporting period of recent</w:t>
      </w:r>
      <w:r w:rsidR="00120B1D">
        <w:t xml:space="preserve"> </w:t>
      </w:r>
      <w:r>
        <w:t>p</w:t>
      </w:r>
      <w:r w:rsidR="00120B1D">
        <w:t>eriodic safety update report (</w:t>
      </w:r>
      <w:r w:rsidR="006B7C39">
        <w:t>PSUR</w:t>
      </w:r>
      <w:r w:rsidR="00120B1D">
        <w:t>)</w:t>
      </w:r>
      <w:r w:rsidR="006B7C39">
        <w:t xml:space="preserve"> (with data cut</w:t>
      </w:r>
      <w:r w:rsidR="00DC27C5">
        <w:t>-</w:t>
      </w:r>
      <w:r w:rsidR="006B7C39">
        <w:t>off of 22</w:t>
      </w:r>
      <w:r>
        <w:t> </w:t>
      </w:r>
      <w:r w:rsidR="006B7C39">
        <w:t>Feb</w:t>
      </w:r>
      <w:r>
        <w:t>ruary</w:t>
      </w:r>
      <w:r w:rsidR="00DC27C5">
        <w:t xml:space="preserve"> </w:t>
      </w:r>
      <w:r w:rsidR="006B7C39">
        <w:t xml:space="preserve">2020) was estimated to be 152,580 </w:t>
      </w:r>
      <w:r w:rsidR="00DC27C5">
        <w:t>p</w:t>
      </w:r>
      <w:r w:rsidR="006B7C39">
        <w:t>atient treatment years.</w:t>
      </w:r>
    </w:p>
    <w:p w14:paraId="745F9BD2" w14:textId="59AA2EC2" w:rsidR="00DC27C5" w:rsidRDefault="00DC27C5" w:rsidP="009677D4">
      <w:pPr>
        <w:pStyle w:val="Heading6"/>
      </w:pPr>
      <w:r>
        <w:t>Acute</w:t>
      </w:r>
      <w:r w:rsidRPr="00DC27C5">
        <w:t xml:space="preserve"> graft-versus-host disease</w:t>
      </w:r>
    </w:p>
    <w:p w14:paraId="7EFE6076" w14:textId="2059D0D7" w:rsidR="006B7C39" w:rsidRDefault="006B7C39" w:rsidP="006B7C39">
      <w:r>
        <w:t xml:space="preserve">In Study </w:t>
      </w:r>
      <w:r w:rsidR="00783BF6" w:rsidRPr="00783BF6">
        <w:t>CINC424C230</w:t>
      </w:r>
      <w:r w:rsidR="00783BF6">
        <w:t>1</w:t>
      </w:r>
      <w:r>
        <w:t>, at the time of data cut-off (6</w:t>
      </w:r>
      <w:r w:rsidR="00783BF6">
        <w:t xml:space="preserve"> </w:t>
      </w:r>
      <w:r>
        <w:t>Jan</w:t>
      </w:r>
      <w:r w:rsidR="00783BF6">
        <w:t xml:space="preserve">uary </w:t>
      </w:r>
      <w:r>
        <w:t>2020), the total exposure to ruxolitinib was 51.8 patient years (the median exposure to ruxolitinib was 8.9 weeks, range: 0.3</w:t>
      </w:r>
      <w:r w:rsidR="00783BF6">
        <w:t> </w:t>
      </w:r>
      <w:r>
        <w:t xml:space="preserve">to 66.1). Duration of exposure to </w:t>
      </w:r>
      <w:r w:rsidR="00FF7B22">
        <w:t xml:space="preserve">best available treatment </w:t>
      </w:r>
      <w:r>
        <w:t xml:space="preserve">varied widely. The overall exposure of </w:t>
      </w:r>
      <w:r w:rsidR="00FF7B22">
        <w:t xml:space="preserve">best available treatment </w:t>
      </w:r>
      <w:r>
        <w:t xml:space="preserve">(total exposure of </w:t>
      </w:r>
      <w:r w:rsidR="00FF7B22">
        <w:t xml:space="preserve">best available treatment </w:t>
      </w:r>
      <w:r>
        <w:t>options used in the randomi</w:t>
      </w:r>
      <w:r w:rsidR="00FF7B22">
        <w:t>s</w:t>
      </w:r>
      <w:r>
        <w:t xml:space="preserve">ed treatment period) was 19.0 patient years (the median exposure to </w:t>
      </w:r>
      <w:r w:rsidR="00FF7B22">
        <w:t xml:space="preserve">best available treatment </w:t>
      </w:r>
      <w:r>
        <w:t>was 29</w:t>
      </w:r>
      <w:r w:rsidR="00FF7B22">
        <w:t> </w:t>
      </w:r>
      <w:r>
        <w:t xml:space="preserve">days; range: 1.0 to 188.0). The </w:t>
      </w:r>
      <w:r w:rsidR="00FF7B22">
        <w:t xml:space="preserve">best available treatment </w:t>
      </w:r>
      <w:r>
        <w:t>administered</w:t>
      </w:r>
      <w:r w:rsidR="00FF7B22">
        <w:t xml:space="preserve"> for</w:t>
      </w:r>
      <w:r>
        <w:t xml:space="preserve"> the longest </w:t>
      </w:r>
      <w:r w:rsidR="00FF7B22">
        <w:t xml:space="preserve">duration of time </w:t>
      </w:r>
      <w:r>
        <w:t>was everolimus (median exposure: 133.5 days; range: 103.0 to 164.0), followed by extracorporeal photopheresis (median exposure: 47.5 days; range: 2.0 to 173.0). The total exposure to</w:t>
      </w:r>
      <w:r w:rsidR="00783BF6" w:rsidRPr="00783BF6">
        <w:t xml:space="preserve"> extracorporeal photopheresis </w:t>
      </w:r>
      <w:r>
        <w:t>was 7.3 patient years.</w:t>
      </w:r>
    </w:p>
    <w:p w14:paraId="7FC79283" w14:textId="7594CC22" w:rsidR="006B7C39" w:rsidRDefault="006B7C39" w:rsidP="006B7C39">
      <w:r>
        <w:t xml:space="preserve">In Study </w:t>
      </w:r>
      <w:r w:rsidR="00FF7B22">
        <w:t>18424-</w:t>
      </w:r>
      <w:r>
        <w:t>271 (</w:t>
      </w:r>
      <w:r w:rsidR="00FF7B22">
        <w:t xml:space="preserve">the </w:t>
      </w:r>
      <w:r>
        <w:t>REACH 1</w:t>
      </w:r>
      <w:r w:rsidR="00FF7B22">
        <w:t xml:space="preserve"> trial</w:t>
      </w:r>
      <w:r>
        <w:t>), the total exposure to ruxolitinib was 25.6 patient-years (the median exposure to ruxolitinib was 6.6 weeks, range: 0.6 to 115.9).</w:t>
      </w:r>
    </w:p>
    <w:p w14:paraId="6F0F4BDA" w14:textId="77777777" w:rsidR="00783BF6" w:rsidRDefault="00783BF6" w:rsidP="009677D4">
      <w:pPr>
        <w:pStyle w:val="Heading6"/>
      </w:pPr>
      <w:r w:rsidRPr="00783BF6">
        <w:t>Chronic graft-versus-host disease</w:t>
      </w:r>
    </w:p>
    <w:p w14:paraId="07B5B334" w14:textId="35866D2E" w:rsidR="006B7C39" w:rsidRDefault="006B7C39" w:rsidP="006B7C39">
      <w:r>
        <w:t xml:space="preserve">In Study </w:t>
      </w:r>
      <w:r w:rsidR="00783BF6" w:rsidRPr="00783BF6">
        <w:t>CINC424D2301</w:t>
      </w:r>
      <w:r>
        <w:t>, the total exposure to ruxolitinib at the time of data cut-off (8</w:t>
      </w:r>
      <w:r w:rsidR="00783BF6">
        <w:t> </w:t>
      </w:r>
      <w:r>
        <w:t>May</w:t>
      </w:r>
      <w:r w:rsidR="00783BF6">
        <w:t> </w:t>
      </w:r>
      <w:r>
        <w:t>2020), was 195.1 patient</w:t>
      </w:r>
      <w:r w:rsidR="00783BF6">
        <w:t xml:space="preserve"> </w:t>
      </w:r>
      <w:r>
        <w:t>years in patients with c</w:t>
      </w:r>
      <w:r w:rsidR="00FF7B22">
        <w:t xml:space="preserve">hronic </w:t>
      </w:r>
      <w:r>
        <w:t>GVHD (the median duration of exposure to ruxolitinib was 41.4 weeks</w:t>
      </w:r>
      <w:r w:rsidR="00783BF6">
        <w:t xml:space="preserve">; </w:t>
      </w:r>
      <w:r>
        <w:t>range</w:t>
      </w:r>
      <w:r w:rsidR="00783BF6">
        <w:t>:</w:t>
      </w:r>
      <w:r>
        <w:t xml:space="preserve"> 0.7 to 127.3). The duration of exposure to various regimen</w:t>
      </w:r>
      <w:r w:rsidR="00FF7B22">
        <w:t>s</w:t>
      </w:r>
      <w:r>
        <w:t xml:space="preserve"> of </w:t>
      </w:r>
      <w:r w:rsidR="00FF7B22">
        <w:t xml:space="preserve">best available treatment </w:t>
      </w:r>
      <w:r>
        <w:t xml:space="preserve">varied widely. The overall exposure to </w:t>
      </w:r>
      <w:r w:rsidR="00FF7B22">
        <w:t xml:space="preserve">best available treatment </w:t>
      </w:r>
      <w:r>
        <w:t>was 24.1 weeks (range: 0.6 to 108.4) (total exposure of BAT options used in the randomi</w:t>
      </w:r>
      <w:r w:rsidR="00FF7B22">
        <w:t>s</w:t>
      </w:r>
      <w:r>
        <w:t xml:space="preserve">ed treatment period). The </w:t>
      </w:r>
      <w:r w:rsidR="00EB4ECF">
        <w:t xml:space="preserve">best available treatment </w:t>
      </w:r>
      <w:r>
        <w:t xml:space="preserve">administered the longest was </w:t>
      </w:r>
      <w:r w:rsidR="00783BF6" w:rsidRPr="00783BF6">
        <w:t>extracorporeal photopheresis</w:t>
      </w:r>
      <w:r>
        <w:t xml:space="preserve"> (median of 24.8 weeks; range: 1.4 to 100.4) followed by mycophenolate mofetil (MMF) (median of 24.1 weeks; range: 2.1 to 108.4). The total exposure to </w:t>
      </w:r>
      <w:r w:rsidR="00783BF6" w:rsidRPr="00783BF6">
        <w:t>extracorporeal photopheresis</w:t>
      </w:r>
      <w:r>
        <w:t xml:space="preserve"> was 432.7 patient years.</w:t>
      </w:r>
    </w:p>
    <w:p w14:paraId="3FCAF66B" w14:textId="5955C8EF" w:rsidR="00E70AA0" w:rsidRDefault="006B7C39" w:rsidP="0016413C">
      <w:pPr>
        <w:pStyle w:val="Heading5"/>
      </w:pPr>
      <w:r w:rsidRPr="006B7C39">
        <w:t>Adverse events</w:t>
      </w:r>
    </w:p>
    <w:p w14:paraId="431C1E24" w14:textId="5331AD80" w:rsidR="006B7C39" w:rsidRDefault="006B7C39" w:rsidP="006B7C39">
      <w:proofErr w:type="gramStart"/>
      <w:r w:rsidRPr="006B7C39">
        <w:t>In order to</w:t>
      </w:r>
      <w:proofErr w:type="gramEnd"/>
      <w:r w:rsidRPr="006B7C39">
        <w:t xml:space="preserve"> account for differences in exposure duration of the treatment arms, incidence rates of </w:t>
      </w:r>
      <w:r w:rsidR="00783BF6">
        <w:t>adverse events (AE)</w:t>
      </w:r>
      <w:r w:rsidRPr="006B7C39">
        <w:t xml:space="preserve">, </w:t>
      </w:r>
      <w:r w:rsidR="00783BF6">
        <w:t>s</w:t>
      </w:r>
      <w:r w:rsidRPr="006B7C39">
        <w:t xml:space="preserve">erious </w:t>
      </w:r>
      <w:r w:rsidR="00783BF6">
        <w:t>a</w:t>
      </w:r>
      <w:r w:rsidRPr="006B7C39">
        <w:t xml:space="preserve">dverse </w:t>
      </w:r>
      <w:r w:rsidR="00783BF6">
        <w:t>e</w:t>
      </w:r>
      <w:r w:rsidRPr="006B7C39">
        <w:t xml:space="preserve">vents (SAE) and </w:t>
      </w:r>
      <w:r w:rsidR="00783BF6">
        <w:t>a</w:t>
      </w:r>
      <w:r w:rsidRPr="006B7C39">
        <w:t xml:space="preserve">dverse events of </w:t>
      </w:r>
      <w:r w:rsidR="00783BF6">
        <w:t>s</w:t>
      </w:r>
      <w:r w:rsidRPr="006B7C39">
        <w:t xml:space="preserve">pecial </w:t>
      </w:r>
      <w:r w:rsidR="00783BF6">
        <w:t>i</w:t>
      </w:r>
      <w:r w:rsidRPr="006B7C39">
        <w:t>nterest (AESI) are adjusted for duration of treatment exposure in patient-years.</w:t>
      </w:r>
    </w:p>
    <w:p w14:paraId="33D9DAD2" w14:textId="5D9C402F" w:rsidR="00EB4ECF" w:rsidRDefault="00EB4ECF" w:rsidP="0016413C">
      <w:pPr>
        <w:pStyle w:val="Heading6"/>
      </w:pPr>
      <w:r>
        <w:lastRenderedPageBreak/>
        <w:t>Overview</w:t>
      </w:r>
    </w:p>
    <w:p w14:paraId="3BB0B3AC" w14:textId="70BE914B" w:rsidR="003D5F2F" w:rsidRDefault="003D5F2F" w:rsidP="003D5F2F">
      <w:pPr>
        <w:pStyle w:val="TableTitle"/>
      </w:pPr>
      <w:r>
        <w:t xml:space="preserve">Table </w:t>
      </w:r>
      <w:r w:rsidR="00F20AB1">
        <w:fldChar w:fldCharType="begin"/>
      </w:r>
      <w:r w:rsidR="00F20AB1">
        <w:instrText xml:space="preserve"> SEQ Table \*</w:instrText>
      </w:r>
      <w:r w:rsidR="00F20AB1">
        <w:instrText xml:space="preserve"> ARABIC </w:instrText>
      </w:r>
      <w:r w:rsidR="00F20AB1">
        <w:fldChar w:fldCharType="separate"/>
      </w:r>
      <w:r w:rsidR="00337955">
        <w:rPr>
          <w:noProof/>
        </w:rPr>
        <w:t>9</w:t>
      </w:r>
      <w:r w:rsidR="00F20AB1">
        <w:rPr>
          <w:noProof/>
        </w:rPr>
        <w:fldChar w:fldCharType="end"/>
      </w:r>
      <w:r w:rsidR="00783BF6">
        <w:t>:</w:t>
      </w:r>
      <w:r>
        <w:t xml:space="preserve"> </w:t>
      </w:r>
      <w:r w:rsidRPr="003D5F2F">
        <w:t>Overview of adverse events in</w:t>
      </w:r>
      <w:r w:rsidR="00EB4ECF">
        <w:t xml:space="preserve"> ruxolitinib-treated</w:t>
      </w:r>
      <w:r w:rsidRPr="003D5F2F">
        <w:t xml:space="preserve"> </w:t>
      </w:r>
      <w:r w:rsidR="00EB4ECF">
        <w:t xml:space="preserve">patients with </w:t>
      </w:r>
      <w:r w:rsidRPr="003D5F2F">
        <w:t xml:space="preserve">acute and chronic </w:t>
      </w:r>
      <w:r w:rsidR="00E76F8D">
        <w:t>GVHD</w:t>
      </w:r>
      <w:r w:rsidRPr="003D5F2F">
        <w:t xml:space="preserve"> (</w:t>
      </w:r>
      <w:r w:rsidR="00FF7B22">
        <w:t>s</w:t>
      </w:r>
      <w:r w:rsidRPr="003D5F2F">
        <w:t>afety set)</w:t>
      </w:r>
    </w:p>
    <w:p w14:paraId="7EABF4E9" w14:textId="331688E0" w:rsidR="001A0385" w:rsidRDefault="001A0385" w:rsidP="002D144E">
      <w:r>
        <w:rPr>
          <w:noProof/>
          <w:lang w:val="en-GB" w:eastAsia="en-GB"/>
        </w:rPr>
        <w:drawing>
          <wp:inline distT="0" distB="0" distL="0" distR="0" wp14:anchorId="598CC943" wp14:editId="06B2A4F9">
            <wp:extent cx="5759450" cy="2647950"/>
            <wp:effectExtent l="0" t="0" r="0" b="0"/>
            <wp:docPr id="34" name="Picture 34" descr="This table is an overview of adverse events in acute and chronic GVH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table is an overview of adverse events in acute and chronic GVHD (Safety set)"/>
                    <pic:cNvPicPr/>
                  </pic:nvPicPr>
                  <pic:blipFill>
                    <a:blip r:embed="rId40"/>
                    <a:stretch>
                      <a:fillRect/>
                    </a:stretch>
                  </pic:blipFill>
                  <pic:spPr>
                    <a:xfrm>
                      <a:off x="0" y="0"/>
                      <a:ext cx="5759450" cy="2647950"/>
                    </a:xfrm>
                    <a:prstGeom prst="rect">
                      <a:avLst/>
                    </a:prstGeom>
                  </pic:spPr>
                </pic:pic>
              </a:graphicData>
            </a:graphic>
          </wp:inline>
        </w:drawing>
      </w:r>
    </w:p>
    <w:p w14:paraId="028DBC4A" w14:textId="3C1B2F22" w:rsidR="00FF7B22" w:rsidRDefault="00FF7B22" w:rsidP="0016413C">
      <w:pPr>
        <w:pStyle w:val="TableDescription"/>
      </w:pPr>
      <w:r>
        <w:t>Ab</w:t>
      </w:r>
      <w:r w:rsidR="00EB4ECF">
        <w:t>breviations: AE = adverse event</w:t>
      </w:r>
      <w:r>
        <w:t xml:space="preserve">; </w:t>
      </w:r>
      <w:r w:rsidR="00EB4ECF">
        <w:t xml:space="preserve">SAE = serious adverse event; </w:t>
      </w:r>
      <w:proofErr w:type="spellStart"/>
      <w:r w:rsidR="00EB4ECF">
        <w:t>Rux</w:t>
      </w:r>
      <w:proofErr w:type="spellEnd"/>
      <w:r w:rsidR="00EB4ECF">
        <w:t xml:space="preserve"> = </w:t>
      </w:r>
      <w:proofErr w:type="spellStart"/>
      <w:r w:rsidR="00EB4ECF">
        <w:t>ruxolitinib</w:t>
      </w:r>
      <w:proofErr w:type="spellEnd"/>
      <w:r w:rsidR="00EB4ECF">
        <w:t xml:space="preserve">. </w:t>
      </w:r>
    </w:p>
    <w:p w14:paraId="784E2AA6" w14:textId="24D064A8" w:rsidR="006B7C39" w:rsidRDefault="006B7C39" w:rsidP="006B7C39"/>
    <w:p w14:paraId="69B2528D" w14:textId="2B14BFF3" w:rsidR="00EB4ECF" w:rsidRDefault="00EB4ECF" w:rsidP="0016413C">
      <w:pPr>
        <w:pStyle w:val="Heading6"/>
      </w:pPr>
      <w:r>
        <w:t>Acute graft-versus-host disease</w:t>
      </w:r>
    </w:p>
    <w:p w14:paraId="3A9C3BCE" w14:textId="10C84268" w:rsidR="003D5F2F" w:rsidRDefault="003D5F2F" w:rsidP="003D5F2F">
      <w:pPr>
        <w:pStyle w:val="TableTitle"/>
      </w:pPr>
      <w:r>
        <w:t xml:space="preserve">Table </w:t>
      </w:r>
      <w:r w:rsidR="00F20AB1">
        <w:fldChar w:fldCharType="begin"/>
      </w:r>
      <w:r w:rsidR="00F20AB1">
        <w:instrText xml:space="preserve"> SEQ Table \* ARA</w:instrText>
      </w:r>
      <w:r w:rsidR="00F20AB1">
        <w:instrText xml:space="preserve">BIC </w:instrText>
      </w:r>
      <w:r w:rsidR="00F20AB1">
        <w:fldChar w:fldCharType="separate"/>
      </w:r>
      <w:r w:rsidR="00337955">
        <w:rPr>
          <w:noProof/>
        </w:rPr>
        <w:t>10</w:t>
      </w:r>
      <w:r w:rsidR="00F20AB1">
        <w:rPr>
          <w:noProof/>
        </w:rPr>
        <w:fldChar w:fldCharType="end"/>
      </w:r>
      <w:r w:rsidR="00783BF6">
        <w:t xml:space="preserve">: </w:t>
      </w:r>
      <w:r w:rsidRPr="003D5F2F">
        <w:t xml:space="preserve">Adverse events by System Organ Class </w:t>
      </w:r>
      <w:r w:rsidR="00EB4ECF">
        <w:t xml:space="preserve">in ruxolitinib-treated patients with </w:t>
      </w:r>
      <w:r w:rsidRPr="003D5F2F">
        <w:t>a</w:t>
      </w:r>
      <w:r w:rsidR="00EB4ECF">
        <w:t>cute </w:t>
      </w:r>
      <w:r w:rsidRPr="003D5F2F">
        <w:t>GVHD</w:t>
      </w:r>
    </w:p>
    <w:p w14:paraId="5B730BC8" w14:textId="2D23EFBE" w:rsidR="001A0385" w:rsidRDefault="001A0385" w:rsidP="007E06B1">
      <w:r>
        <w:rPr>
          <w:noProof/>
          <w:lang w:val="en-GB" w:eastAsia="en-GB"/>
        </w:rPr>
        <w:drawing>
          <wp:inline distT="0" distB="0" distL="0" distR="0" wp14:anchorId="56B1172D" wp14:editId="5A296F93">
            <wp:extent cx="5759450" cy="4210050"/>
            <wp:effectExtent l="0" t="0" r="0" b="0"/>
            <wp:docPr id="42" name="Picture 42" descr="This table shows adverse events by System Organ Class for aGV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table shows adverse events by System Organ Class for aGVHD"/>
                    <pic:cNvPicPr/>
                  </pic:nvPicPr>
                  <pic:blipFill>
                    <a:blip r:embed="rId41"/>
                    <a:stretch>
                      <a:fillRect/>
                    </a:stretch>
                  </pic:blipFill>
                  <pic:spPr>
                    <a:xfrm>
                      <a:off x="0" y="0"/>
                      <a:ext cx="5759450" cy="4210050"/>
                    </a:xfrm>
                    <a:prstGeom prst="rect">
                      <a:avLst/>
                    </a:prstGeom>
                  </pic:spPr>
                </pic:pic>
              </a:graphicData>
            </a:graphic>
          </wp:inline>
        </w:drawing>
      </w:r>
    </w:p>
    <w:p w14:paraId="5012E9EB" w14:textId="65ED6AD2" w:rsidR="007E06B1" w:rsidRDefault="003D5F2F" w:rsidP="007E06B1">
      <w:pPr>
        <w:pStyle w:val="TableTitle"/>
      </w:pPr>
      <w:r>
        <w:lastRenderedPageBreak/>
        <w:t xml:space="preserve">Table </w:t>
      </w:r>
      <w:r w:rsidR="00F20AB1">
        <w:fldChar w:fldCharType="begin"/>
      </w:r>
      <w:r w:rsidR="00F20AB1">
        <w:instrText xml:space="preserve"> SEQ Table \* ARABIC </w:instrText>
      </w:r>
      <w:r w:rsidR="00F20AB1">
        <w:fldChar w:fldCharType="separate"/>
      </w:r>
      <w:r w:rsidR="00337955">
        <w:rPr>
          <w:noProof/>
        </w:rPr>
        <w:t>11</w:t>
      </w:r>
      <w:r w:rsidR="00F20AB1">
        <w:rPr>
          <w:noProof/>
        </w:rPr>
        <w:fldChar w:fldCharType="end"/>
      </w:r>
      <w:r w:rsidR="00783BF6">
        <w:t>:</w:t>
      </w:r>
      <w:r w:rsidR="001A0385">
        <w:t xml:space="preserve"> </w:t>
      </w:r>
      <w:r w:rsidRPr="003D5F2F">
        <w:t xml:space="preserve">Adverse events by </w:t>
      </w:r>
      <w:r w:rsidR="00EB4ECF">
        <w:t>P</w:t>
      </w:r>
      <w:r w:rsidRPr="003D5F2F">
        <w:t xml:space="preserve">referred </w:t>
      </w:r>
      <w:r w:rsidR="00EB4ECF">
        <w:t>T</w:t>
      </w:r>
      <w:r w:rsidRPr="003D5F2F">
        <w:t xml:space="preserve">erm in </w:t>
      </w:r>
      <w:r w:rsidR="00EB4ECF">
        <w:t xml:space="preserve">ruxolitinib-treated patients with </w:t>
      </w:r>
      <w:r w:rsidRPr="003D5F2F">
        <w:t>a</w:t>
      </w:r>
      <w:r w:rsidR="00EB4ECF">
        <w:t>cute </w:t>
      </w:r>
      <w:r w:rsidRPr="003D5F2F">
        <w:t>GVHD (</w:t>
      </w:r>
      <w:r w:rsidR="00EB4ECF">
        <w:t xml:space="preserve">adverse events </w:t>
      </w:r>
      <w:r w:rsidRPr="003D5F2F">
        <w:t>occurring in ≥ 10% of patients</w:t>
      </w:r>
      <w:r w:rsidR="001A0385">
        <w:t>)</w:t>
      </w:r>
    </w:p>
    <w:p w14:paraId="209D4361" w14:textId="5E21F6BD" w:rsidR="001A0385" w:rsidRDefault="001A0385" w:rsidP="007E06B1">
      <w:r>
        <w:rPr>
          <w:noProof/>
          <w:lang w:val="en-GB" w:eastAsia="en-GB"/>
        </w:rPr>
        <w:drawing>
          <wp:inline distT="0" distB="0" distL="0" distR="0" wp14:anchorId="15732D82" wp14:editId="2D9AF690">
            <wp:extent cx="5705475" cy="4556203"/>
            <wp:effectExtent l="0" t="0" r="0" b="0"/>
            <wp:docPr id="35" name="Picture 35" descr="This table shows Adverse events by preferred term in aGVHD (occurring in ≥ 10% of patients) for Study CINC424C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table shows Adverse events by preferred term in aGVHD (occurring in ≥ 10% of patients) for Study CINC424C2301"/>
                    <pic:cNvPicPr/>
                  </pic:nvPicPr>
                  <pic:blipFill>
                    <a:blip r:embed="rId42"/>
                    <a:stretch>
                      <a:fillRect/>
                    </a:stretch>
                  </pic:blipFill>
                  <pic:spPr>
                    <a:xfrm>
                      <a:off x="0" y="0"/>
                      <a:ext cx="5715776" cy="4564429"/>
                    </a:xfrm>
                    <a:prstGeom prst="rect">
                      <a:avLst/>
                    </a:prstGeom>
                  </pic:spPr>
                </pic:pic>
              </a:graphicData>
            </a:graphic>
          </wp:inline>
        </w:drawing>
      </w:r>
    </w:p>
    <w:p w14:paraId="5B82A094" w14:textId="246617DD" w:rsidR="00555D2B" w:rsidRDefault="00555D2B" w:rsidP="007E06B1">
      <w:r>
        <w:br w:type="page"/>
      </w:r>
    </w:p>
    <w:p w14:paraId="4D409E08" w14:textId="022E2F76" w:rsidR="006B7C39" w:rsidRDefault="00555D2B" w:rsidP="0016413C">
      <w:pPr>
        <w:pStyle w:val="Heading6"/>
      </w:pPr>
      <w:r>
        <w:lastRenderedPageBreak/>
        <w:t>Chronic graft-versus-host disease</w:t>
      </w:r>
    </w:p>
    <w:p w14:paraId="3993C2F6" w14:textId="538419C2" w:rsidR="006B7C39" w:rsidRDefault="006B7C39" w:rsidP="003D5F2F">
      <w:pPr>
        <w:pStyle w:val="TableTitle"/>
      </w:pPr>
      <w:r>
        <w:t xml:space="preserve">Table </w:t>
      </w:r>
      <w:r w:rsidR="00F20AB1">
        <w:fldChar w:fldCharType="begin"/>
      </w:r>
      <w:r w:rsidR="00F20AB1">
        <w:instrText xml:space="preserve"> SEQ Table \* ARABIC </w:instrText>
      </w:r>
      <w:r w:rsidR="00F20AB1">
        <w:fldChar w:fldCharType="separate"/>
      </w:r>
      <w:r w:rsidR="00337955">
        <w:rPr>
          <w:noProof/>
        </w:rPr>
        <w:t>12</w:t>
      </w:r>
      <w:r w:rsidR="00F20AB1">
        <w:rPr>
          <w:noProof/>
        </w:rPr>
        <w:fldChar w:fldCharType="end"/>
      </w:r>
      <w:r w:rsidR="001A0385">
        <w:rPr>
          <w:noProof/>
        </w:rPr>
        <w:t>:</w:t>
      </w:r>
      <w:r>
        <w:t xml:space="preserve"> </w:t>
      </w:r>
      <w:r w:rsidR="001A0385" w:rsidRPr="001A0385">
        <w:t>Study CINC424D2301</w:t>
      </w:r>
      <w:r w:rsidR="001A0385">
        <w:t xml:space="preserve"> </w:t>
      </w:r>
      <w:r w:rsidR="00EB4ECF">
        <w:t xml:space="preserve">(REACH 3 trial) </w:t>
      </w:r>
      <w:r>
        <w:t xml:space="preserve">Adverse events by System Organ Class </w:t>
      </w:r>
      <w:r w:rsidR="00EB4ECF">
        <w:t xml:space="preserve">in ruxolitinib-treated patients with </w:t>
      </w:r>
      <w:r>
        <w:t>c</w:t>
      </w:r>
      <w:r w:rsidR="00EB4ECF">
        <w:t xml:space="preserve">hronic </w:t>
      </w:r>
      <w:r>
        <w:t xml:space="preserve">GVHD </w:t>
      </w:r>
    </w:p>
    <w:p w14:paraId="38542519" w14:textId="3907F5A3" w:rsidR="001A0385" w:rsidRDefault="001A0385" w:rsidP="002D144E">
      <w:r>
        <w:rPr>
          <w:noProof/>
          <w:lang w:val="en-GB" w:eastAsia="en-GB"/>
        </w:rPr>
        <w:drawing>
          <wp:inline distT="0" distB="0" distL="0" distR="0" wp14:anchorId="01673613" wp14:editId="39B55FCA">
            <wp:extent cx="5759450" cy="4743450"/>
            <wp:effectExtent l="0" t="0" r="0" b="0"/>
            <wp:docPr id="36" name="Picture 36" descr="This table shows Adverse events by System Organ Class cGVHD for Study CINC424D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table shows Adverse events by System Organ Class cGVHD for Study CINC424D2301"/>
                    <pic:cNvPicPr/>
                  </pic:nvPicPr>
                  <pic:blipFill>
                    <a:blip r:embed="rId43"/>
                    <a:stretch>
                      <a:fillRect/>
                    </a:stretch>
                  </pic:blipFill>
                  <pic:spPr>
                    <a:xfrm>
                      <a:off x="0" y="0"/>
                      <a:ext cx="5759450" cy="4743450"/>
                    </a:xfrm>
                    <a:prstGeom prst="rect">
                      <a:avLst/>
                    </a:prstGeom>
                  </pic:spPr>
                </pic:pic>
              </a:graphicData>
            </a:graphic>
          </wp:inline>
        </w:drawing>
      </w:r>
    </w:p>
    <w:p w14:paraId="2BD73AB6" w14:textId="1F0FB1DF" w:rsidR="002D144E" w:rsidRDefault="006B7C39" w:rsidP="002D144E">
      <w:pPr>
        <w:pStyle w:val="TableTitle"/>
      </w:pPr>
      <w:r>
        <w:lastRenderedPageBreak/>
        <w:t xml:space="preserve">Table </w:t>
      </w:r>
      <w:r w:rsidR="00F20AB1">
        <w:fldChar w:fldCharType="begin"/>
      </w:r>
      <w:r w:rsidR="00F20AB1">
        <w:instrText xml:space="preserve"> SEQ Table \* ARABIC </w:instrText>
      </w:r>
      <w:r w:rsidR="00F20AB1">
        <w:fldChar w:fldCharType="separate"/>
      </w:r>
      <w:r w:rsidR="00337955">
        <w:rPr>
          <w:noProof/>
        </w:rPr>
        <w:t>13</w:t>
      </w:r>
      <w:r w:rsidR="00F20AB1">
        <w:rPr>
          <w:noProof/>
        </w:rPr>
        <w:fldChar w:fldCharType="end"/>
      </w:r>
      <w:r w:rsidR="001A0385">
        <w:rPr>
          <w:noProof/>
        </w:rPr>
        <w:t>:</w:t>
      </w:r>
      <w:r w:rsidRPr="001964AA">
        <w:t xml:space="preserve"> </w:t>
      </w:r>
      <w:r w:rsidR="001A0385" w:rsidRPr="001A0385">
        <w:t>Study CINC424D2301</w:t>
      </w:r>
      <w:r w:rsidR="002D144E">
        <w:t xml:space="preserve"> </w:t>
      </w:r>
      <w:r w:rsidR="00EB4ECF">
        <w:t xml:space="preserve">(REACH 3 trial) </w:t>
      </w:r>
      <w:r>
        <w:t xml:space="preserve">Adverse events by </w:t>
      </w:r>
      <w:r w:rsidR="00EB4ECF">
        <w:t>P</w:t>
      </w:r>
      <w:r>
        <w:t xml:space="preserve">referred </w:t>
      </w:r>
      <w:r w:rsidR="00EB4ECF">
        <w:t>T</w:t>
      </w:r>
      <w:r>
        <w:t xml:space="preserve">erm in </w:t>
      </w:r>
      <w:r w:rsidR="00EB4ECF">
        <w:t xml:space="preserve">ruxolitinib-treated patients with </w:t>
      </w:r>
      <w:r>
        <w:t xml:space="preserve">chronic </w:t>
      </w:r>
      <w:r w:rsidR="00E76F8D">
        <w:t>GVHD</w:t>
      </w:r>
      <w:r>
        <w:t xml:space="preserve"> (</w:t>
      </w:r>
      <w:r w:rsidR="00EB4ECF">
        <w:t xml:space="preserve">adverse events </w:t>
      </w:r>
      <w:r>
        <w:t>occurring in ≥ 10% of patients)</w:t>
      </w:r>
    </w:p>
    <w:p w14:paraId="30BB55AF" w14:textId="1696A226" w:rsidR="001A0385" w:rsidRDefault="001A0385" w:rsidP="002D144E">
      <w:r>
        <w:rPr>
          <w:noProof/>
          <w:lang w:val="en-GB" w:eastAsia="en-GB"/>
        </w:rPr>
        <w:drawing>
          <wp:inline distT="0" distB="0" distL="0" distR="0" wp14:anchorId="79074CB4" wp14:editId="4A7AC499">
            <wp:extent cx="5759450" cy="4203065"/>
            <wp:effectExtent l="0" t="0" r="0" b="6985"/>
            <wp:docPr id="37" name="Picture 37" descr="This table shows Adverse events by preferred term in chronic GVHD (occurring in ≥ 10% of patients) for Study CINC424D23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table shows Adverse events by preferred term in chronic GVHD (occurring in ≥ 10% of patients) for Study CINC424D2301 "/>
                    <pic:cNvPicPr/>
                  </pic:nvPicPr>
                  <pic:blipFill>
                    <a:blip r:embed="rId44"/>
                    <a:stretch>
                      <a:fillRect/>
                    </a:stretch>
                  </pic:blipFill>
                  <pic:spPr>
                    <a:xfrm>
                      <a:off x="0" y="0"/>
                      <a:ext cx="5759450" cy="4203065"/>
                    </a:xfrm>
                    <a:prstGeom prst="rect">
                      <a:avLst/>
                    </a:prstGeom>
                  </pic:spPr>
                </pic:pic>
              </a:graphicData>
            </a:graphic>
          </wp:inline>
        </w:drawing>
      </w:r>
    </w:p>
    <w:p w14:paraId="2B02CD1C" w14:textId="5B02AAC0" w:rsidR="00E70AA0" w:rsidRDefault="006B7C39" w:rsidP="0016413C">
      <w:pPr>
        <w:pStyle w:val="Heading5"/>
      </w:pPr>
      <w:r>
        <w:t>Deaths</w:t>
      </w:r>
    </w:p>
    <w:p w14:paraId="6920DFDF" w14:textId="77777777" w:rsidR="00555D2B" w:rsidRDefault="00555D2B" w:rsidP="00555D2B">
      <w:pPr>
        <w:pStyle w:val="Heading6"/>
      </w:pPr>
      <w:r>
        <w:t>Acute graft-versus-host disease</w:t>
      </w:r>
    </w:p>
    <w:p w14:paraId="68E5942A" w14:textId="17629130" w:rsidR="00B26EF0" w:rsidRDefault="006B7C39" w:rsidP="006B7C39">
      <w:r>
        <w:t xml:space="preserve">In </w:t>
      </w:r>
      <w:r w:rsidR="00783BF6" w:rsidRPr="00783BF6">
        <w:t>Study CINC424C2301</w:t>
      </w:r>
      <w:r>
        <w:t xml:space="preserve">, up to data cut-off, there were a total of 168 deaths, 82 (53.9%) deaths in the ruxolitinib arm and 86 (57.3%) deaths in the </w:t>
      </w:r>
      <w:r w:rsidR="00B26EF0">
        <w:t xml:space="preserve">‘best available treatment’ </w:t>
      </w:r>
      <w:r>
        <w:t>arm. Deaths due to a</w:t>
      </w:r>
      <w:r w:rsidR="00B26EF0">
        <w:t xml:space="preserve">cute </w:t>
      </w:r>
      <w:r>
        <w:t xml:space="preserve">GVHD occurred in 37 (24.3%) patients in the ruxolitinib arm and 38 (25.3%) patients in the </w:t>
      </w:r>
      <w:r w:rsidR="00B26EF0">
        <w:t xml:space="preserve">‘best available treatment’ </w:t>
      </w:r>
      <w:r>
        <w:t xml:space="preserve">arm. In the ruxolitinib arm, the other frequent causes of death were sepsis and multiple organ dysfunction syndrome (3.3% each), underlying haematological disease progression (2.6%) and septic shock (2.0%). In the </w:t>
      </w:r>
      <w:r w:rsidR="00B26EF0">
        <w:t xml:space="preserve">‘best available treatment’ </w:t>
      </w:r>
      <w:r>
        <w:t>arm, the other frequent causes of death were sepsis and respiratory failure (2.7% each), multiple organ dysfunction syndrome and septic shock (2.0%</w:t>
      </w:r>
      <w:r w:rsidR="00783BF6">
        <w:t> </w:t>
      </w:r>
      <w:r>
        <w:t>each)</w:t>
      </w:r>
      <w:r w:rsidR="00B26EF0">
        <w:t>.</w:t>
      </w:r>
    </w:p>
    <w:p w14:paraId="4521F04E" w14:textId="3B68A3AC" w:rsidR="006B7C39" w:rsidRDefault="006B7C39" w:rsidP="006B7C39">
      <w:r>
        <w:t xml:space="preserve">In </w:t>
      </w:r>
      <w:r w:rsidR="00783BF6" w:rsidRPr="00783BF6">
        <w:t>Study 18424-271</w:t>
      </w:r>
      <w:r>
        <w:t>, a total of 30 deaths (42.3%) occurred in the study, of which 10 (14.1%) were due to the study indication and 20 (28.2%) were due to other causes. Frequent other causes were respiratory failure (</w:t>
      </w:r>
      <w:r w:rsidR="00783BF6">
        <w:t>three</w:t>
      </w:r>
      <w:r>
        <w:t xml:space="preserve"> deaths)</w:t>
      </w:r>
      <w:r w:rsidR="00783BF6">
        <w:t>,</w:t>
      </w:r>
      <w:r>
        <w:t xml:space="preserve"> sepsis (</w:t>
      </w:r>
      <w:r w:rsidR="00783BF6">
        <w:t>two</w:t>
      </w:r>
      <w:r>
        <w:t xml:space="preserve"> deaths), multiple organ dysfunction syndrome (</w:t>
      </w:r>
      <w:r w:rsidR="00783BF6">
        <w:t>two</w:t>
      </w:r>
      <w:r>
        <w:t xml:space="preserve"> deaths), and pneumonia (</w:t>
      </w:r>
      <w:r w:rsidR="00783BF6">
        <w:t>two</w:t>
      </w:r>
      <w:r>
        <w:t xml:space="preserve"> deaths). Of note, for this study, no primary reason for death was collected.</w:t>
      </w:r>
    </w:p>
    <w:p w14:paraId="291BF7C6" w14:textId="5D95E22C" w:rsidR="00B26EF0" w:rsidRPr="009677D4" w:rsidRDefault="00B26EF0" w:rsidP="00DC52AE">
      <w:pPr>
        <w:pStyle w:val="Heading6"/>
      </w:pPr>
      <w:r>
        <w:t>Chronic graft-versus-host disease</w:t>
      </w:r>
    </w:p>
    <w:p w14:paraId="15BBCE54" w14:textId="788FF730" w:rsidR="006B7C39" w:rsidRDefault="006B7C39" w:rsidP="006B7C39">
      <w:r w:rsidRPr="006B7C39">
        <w:t xml:space="preserve">In </w:t>
      </w:r>
      <w:r w:rsidR="00783BF6" w:rsidRPr="00783BF6">
        <w:t>Study CINC424D2301</w:t>
      </w:r>
      <w:r w:rsidR="00783BF6">
        <w:t xml:space="preserve">, </w:t>
      </w:r>
      <w:r w:rsidRPr="006B7C39">
        <w:t xml:space="preserve">a total of 58 deaths occurred of which 31 (18.8%) were in the ruxolitinib arm and 27 (16.5%) were in the </w:t>
      </w:r>
      <w:r w:rsidR="00B26EF0">
        <w:t xml:space="preserve">‘best available treatment’ </w:t>
      </w:r>
      <w:r w:rsidRPr="006B7C39">
        <w:t xml:space="preserve">arm. The primary causes of deaths (in the ruxolitinib arm </w:t>
      </w:r>
      <w:r w:rsidR="001046E1">
        <w:t>versus</w:t>
      </w:r>
      <w:r w:rsidRPr="006B7C39">
        <w:t xml:space="preserve"> in the </w:t>
      </w:r>
      <w:r w:rsidR="00B26EF0">
        <w:t xml:space="preserve">‘best available treatment’ </w:t>
      </w:r>
      <w:r w:rsidRPr="006B7C39">
        <w:t>arm) were study indication (including c</w:t>
      </w:r>
      <w:r w:rsidR="00B26EF0">
        <w:t xml:space="preserve">hronic </w:t>
      </w:r>
      <w:r w:rsidRPr="006B7C39">
        <w:t>GVHD and/or complications attributed to treatment for c</w:t>
      </w:r>
      <w:r w:rsidR="00B26EF0">
        <w:t xml:space="preserve">hronic </w:t>
      </w:r>
      <w:r w:rsidRPr="006B7C39">
        <w:lastRenderedPageBreak/>
        <w:t xml:space="preserve">GVHD) (22, 13.3% </w:t>
      </w:r>
      <w:r w:rsidR="001046E1">
        <w:t>versus</w:t>
      </w:r>
      <w:r w:rsidRPr="006B7C39">
        <w:t xml:space="preserve"> 13, 7.9%) and infections (2, 1.2%</w:t>
      </w:r>
      <w:r w:rsidR="00783BF6">
        <w:t xml:space="preserve"> </w:t>
      </w:r>
      <w:r w:rsidR="001046E1">
        <w:t>versus</w:t>
      </w:r>
      <w:r w:rsidRPr="006B7C39">
        <w:t xml:space="preserve"> 6, 3.7%). Study indication was a broad definition that included complications of the disease that the investigator attributed to c</w:t>
      </w:r>
      <w:r w:rsidR="00B26EF0">
        <w:t xml:space="preserve">hronic </w:t>
      </w:r>
      <w:r w:rsidRPr="006B7C39">
        <w:t>GVHD itself or to its treatments.</w:t>
      </w:r>
    </w:p>
    <w:p w14:paraId="407042D3" w14:textId="128D2091" w:rsidR="00E70AA0" w:rsidRDefault="006B7C39" w:rsidP="0016413C">
      <w:pPr>
        <w:pStyle w:val="Heading5"/>
      </w:pPr>
      <w:r>
        <w:t xml:space="preserve">Adverse </w:t>
      </w:r>
      <w:r w:rsidR="00B26EF0">
        <w:t xml:space="preserve">events </w:t>
      </w:r>
      <w:r>
        <w:t xml:space="preserve">of </w:t>
      </w:r>
      <w:r w:rsidR="00B26EF0">
        <w:t>s</w:t>
      </w:r>
      <w:r>
        <w:t xml:space="preserve">pecial </w:t>
      </w:r>
      <w:r w:rsidR="00B26EF0">
        <w:t>i</w:t>
      </w:r>
      <w:r>
        <w:t>nterest</w:t>
      </w:r>
    </w:p>
    <w:p w14:paraId="27E62F74" w14:textId="2B5ADFCA" w:rsidR="00E70AA0" w:rsidRDefault="00B26EF0" w:rsidP="006B7C39">
      <w:r>
        <w:t>Tables 14 and 15</w:t>
      </w:r>
      <w:r w:rsidR="006B7C39">
        <w:t xml:space="preserve"> </w:t>
      </w:r>
      <w:r>
        <w:t>(</w:t>
      </w:r>
      <w:r w:rsidR="006B7C39">
        <w:t>below</w:t>
      </w:r>
      <w:r>
        <w:t>)</w:t>
      </w:r>
      <w:r w:rsidR="006B7C39">
        <w:t xml:space="preserve"> show the incidence and grades of adverse reactions of special interest, including those known to be associated with ruxolitinib in the GVHD studies.</w:t>
      </w:r>
      <w:r w:rsidR="00E70AA0">
        <w:t xml:space="preserve"> </w:t>
      </w:r>
      <w:r w:rsidR="006B7C39">
        <w:t xml:space="preserve">It does not include a comparison of incidence with the </w:t>
      </w:r>
      <w:r>
        <w:t xml:space="preserve">best available treatment </w:t>
      </w:r>
      <w:r w:rsidR="006B7C39">
        <w:t>regimens given for acute and chronic GVHD in the Phase</w:t>
      </w:r>
      <w:r w:rsidR="00783BF6">
        <w:t> III</w:t>
      </w:r>
      <w:r w:rsidR="006B7C39">
        <w:t xml:space="preserve"> studies (</w:t>
      </w:r>
      <w:r w:rsidR="00783BF6" w:rsidRPr="00783BF6">
        <w:t>Study CINC424C2301</w:t>
      </w:r>
      <w:r w:rsidR="006B7C39">
        <w:t xml:space="preserve">and </w:t>
      </w:r>
      <w:r w:rsidR="00783BF6" w:rsidRPr="00783BF6">
        <w:t>Study CINC424D2301</w:t>
      </w:r>
      <w:r w:rsidR="006B7C39">
        <w:t>). Another JAK inhibitor has been associated with an increase in thromboembolic disorders.</w:t>
      </w:r>
      <w:r w:rsidR="00E70AA0">
        <w:t xml:space="preserve"> </w:t>
      </w:r>
      <w:r w:rsidR="006B7C39">
        <w:t>That association was not apparent from</w:t>
      </w:r>
      <w:r w:rsidR="00783BF6">
        <w:t xml:space="preserve"> </w:t>
      </w:r>
      <w:r w:rsidR="00783BF6" w:rsidRPr="00783BF6">
        <w:t>Study CINC424C2301and Study CINC424D2301</w:t>
      </w:r>
      <w:r w:rsidR="00783BF6">
        <w:t xml:space="preserve"> </w:t>
      </w:r>
      <w:r w:rsidR="006B7C39">
        <w:t xml:space="preserve">in that no relative increase in the incidence of thromboembolic disorders in comparison with </w:t>
      </w:r>
      <w:r>
        <w:t xml:space="preserve">best available treatment </w:t>
      </w:r>
      <w:r w:rsidR="006B7C39">
        <w:t>was observed.</w:t>
      </w:r>
    </w:p>
    <w:p w14:paraId="5E9A7CE1" w14:textId="77777777" w:rsidR="002D144E" w:rsidRDefault="006B7C39" w:rsidP="002D144E">
      <w:r>
        <w:t>Another JAK inhibitor is associated with an increase in the incidence of secondary malignancies. Given the population in the GVHD studies have had allogenic H</w:t>
      </w:r>
      <w:r w:rsidR="00783BF6">
        <w:t>S</w:t>
      </w:r>
      <w:r>
        <w:t>CT prior to receipt of ruxolitinib prior immunosuppressant treatments would confound any assessment of the association in this population.</w:t>
      </w:r>
    </w:p>
    <w:p w14:paraId="1CD8F452" w14:textId="4C769634" w:rsidR="006B7C39" w:rsidRDefault="006B7C39" w:rsidP="002D144E">
      <w:pPr>
        <w:pStyle w:val="TableTitle"/>
      </w:pPr>
      <w:r>
        <w:lastRenderedPageBreak/>
        <w:t xml:space="preserve">Table </w:t>
      </w:r>
      <w:r w:rsidR="00F20AB1">
        <w:fldChar w:fldCharType="begin"/>
      </w:r>
      <w:r w:rsidR="00F20AB1">
        <w:instrText xml:space="preserve"> SEQ Table \* ARABIC </w:instrText>
      </w:r>
      <w:r w:rsidR="00F20AB1">
        <w:fldChar w:fldCharType="separate"/>
      </w:r>
      <w:r w:rsidR="00337955">
        <w:rPr>
          <w:noProof/>
        </w:rPr>
        <w:t>14</w:t>
      </w:r>
      <w:r w:rsidR="00F20AB1">
        <w:rPr>
          <w:noProof/>
        </w:rPr>
        <w:fldChar w:fldCharType="end"/>
      </w:r>
      <w:r w:rsidR="002D144E">
        <w:rPr>
          <w:noProof/>
        </w:rPr>
        <w:t>:</w:t>
      </w:r>
      <w:r w:rsidR="003D5F2F">
        <w:rPr>
          <w:noProof/>
        </w:rPr>
        <w:t xml:space="preserve"> </w:t>
      </w:r>
      <w:r>
        <w:t xml:space="preserve">Overview of adverse events of special interest in acute and chronic </w:t>
      </w:r>
      <w:r w:rsidR="00E76F8D">
        <w:t>GVHD</w:t>
      </w:r>
      <w:r>
        <w:t xml:space="preserve"> studies</w:t>
      </w:r>
    </w:p>
    <w:p w14:paraId="1691160A" w14:textId="0FD64DAE" w:rsidR="001A0385" w:rsidRDefault="001A0385" w:rsidP="002D144E">
      <w:r>
        <w:rPr>
          <w:noProof/>
          <w:lang w:val="en-GB" w:eastAsia="en-GB"/>
        </w:rPr>
        <w:drawing>
          <wp:inline distT="0" distB="0" distL="0" distR="0" wp14:anchorId="2B6EBC04" wp14:editId="3BACEC26">
            <wp:extent cx="5759450" cy="7018020"/>
            <wp:effectExtent l="0" t="0" r="0" b="0"/>
            <wp:docPr id="38" name="Picture 38" descr="This table shows an overview of adverse events of special interest in acute and chronic GVH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table shows an overview of adverse events of special interest in acute and chronic GVHD studies."/>
                    <pic:cNvPicPr/>
                  </pic:nvPicPr>
                  <pic:blipFill>
                    <a:blip r:embed="rId45"/>
                    <a:stretch>
                      <a:fillRect/>
                    </a:stretch>
                  </pic:blipFill>
                  <pic:spPr>
                    <a:xfrm>
                      <a:off x="0" y="0"/>
                      <a:ext cx="5759450" cy="7018020"/>
                    </a:xfrm>
                    <a:prstGeom prst="rect">
                      <a:avLst/>
                    </a:prstGeom>
                  </pic:spPr>
                </pic:pic>
              </a:graphicData>
            </a:graphic>
          </wp:inline>
        </w:drawing>
      </w:r>
    </w:p>
    <w:p w14:paraId="60C75BCA" w14:textId="31513E62" w:rsidR="006B7C39" w:rsidRDefault="006B7C39" w:rsidP="006B7C39">
      <w:r w:rsidRPr="006B7C39">
        <w:t xml:space="preserve">A comparison of events of special interest with </w:t>
      </w:r>
      <w:r w:rsidR="00783BF6">
        <w:t>b</w:t>
      </w:r>
      <w:r w:rsidRPr="006B7C39">
        <w:t xml:space="preserve">est </w:t>
      </w:r>
      <w:r w:rsidR="00783BF6">
        <w:t>a</w:t>
      </w:r>
      <w:r w:rsidRPr="006B7C39">
        <w:t xml:space="preserve">vailable </w:t>
      </w:r>
      <w:r w:rsidR="00783BF6">
        <w:t>tr</w:t>
      </w:r>
      <w:r w:rsidRPr="006B7C39">
        <w:t xml:space="preserve">eatment in </w:t>
      </w:r>
      <w:r w:rsidR="00783BF6" w:rsidRPr="00783BF6">
        <w:t xml:space="preserve">Study CINC424D2301 </w:t>
      </w:r>
      <w:r w:rsidRPr="006B7C39">
        <w:t>is shown in the table below.</w:t>
      </w:r>
      <w:r w:rsidR="00E70AA0">
        <w:t xml:space="preserve"> </w:t>
      </w:r>
      <w:r w:rsidRPr="006B7C39">
        <w:t xml:space="preserve">Ruxolitinib was associated with higher incidences of anaemia, thrombocytopenia, leukopenia, transaminase elevations and lipid abnormalities than the </w:t>
      </w:r>
      <w:r w:rsidR="00B26EF0">
        <w:t xml:space="preserve">best available treatment </w:t>
      </w:r>
      <w:r w:rsidRPr="006B7C39">
        <w:t>given in that study. These adverse reactions are known to be associated with ruxolitinib.</w:t>
      </w:r>
      <w:r w:rsidR="00E70AA0">
        <w:t xml:space="preserve"> </w:t>
      </w:r>
      <w:r w:rsidRPr="006B7C39">
        <w:t xml:space="preserve">While there was no clear increase in haemorrhagic events this is likely to be due to effective management of the thrombocytopenia within the clinical trial. Regular monitoring and dose adjustment is required for management of </w:t>
      </w:r>
      <w:proofErr w:type="spellStart"/>
      <w:proofErr w:type="gramStart"/>
      <w:r w:rsidRPr="006B7C39">
        <w:t>cytopaenias</w:t>
      </w:r>
      <w:proofErr w:type="spellEnd"/>
      <w:proofErr w:type="gramEnd"/>
      <w:r w:rsidRPr="006B7C39">
        <w:t xml:space="preserve"> and these are already in the </w:t>
      </w:r>
      <w:r w:rsidR="00783BF6">
        <w:t xml:space="preserve">Product Information </w:t>
      </w:r>
      <w:r w:rsidRPr="006B7C39">
        <w:t xml:space="preserve">and adjustments for GVHD dose regimens have been proposed to be added to the </w:t>
      </w:r>
      <w:r w:rsidR="00783BF6">
        <w:lastRenderedPageBreak/>
        <w:t>Product Information</w:t>
      </w:r>
      <w:r w:rsidRPr="006B7C39">
        <w:t xml:space="preserve">. Dose adjustments for other Grade 3 </w:t>
      </w:r>
      <w:r w:rsidR="00783BF6">
        <w:t xml:space="preserve">or higher </w:t>
      </w:r>
      <w:r w:rsidRPr="006B7C39">
        <w:t>adverse reactions including elevated bilirubin have also been proposed for GVHD indications.</w:t>
      </w:r>
    </w:p>
    <w:p w14:paraId="4B58091A" w14:textId="684890EC" w:rsidR="006B7C39" w:rsidRDefault="003D5F2F" w:rsidP="003D5F2F">
      <w:pPr>
        <w:pStyle w:val="TableTitle"/>
      </w:pPr>
      <w:r>
        <w:t xml:space="preserve">Table </w:t>
      </w:r>
      <w:r w:rsidR="00F20AB1">
        <w:fldChar w:fldCharType="begin"/>
      </w:r>
      <w:r w:rsidR="00F20AB1">
        <w:instrText xml:space="preserve"> SEQ Table \* ARABIC </w:instrText>
      </w:r>
      <w:r w:rsidR="00F20AB1">
        <w:fldChar w:fldCharType="separate"/>
      </w:r>
      <w:r w:rsidR="00337955">
        <w:rPr>
          <w:noProof/>
        </w:rPr>
        <w:t>15</w:t>
      </w:r>
      <w:r w:rsidR="00F20AB1">
        <w:rPr>
          <w:noProof/>
        </w:rPr>
        <w:fldChar w:fldCharType="end"/>
      </w:r>
      <w:r w:rsidR="00783BF6">
        <w:t>:</w:t>
      </w:r>
      <w:r w:rsidR="006B7C39" w:rsidRPr="006B7C39">
        <w:t xml:space="preserve"> </w:t>
      </w:r>
      <w:r w:rsidR="002D144E" w:rsidRPr="002D144E">
        <w:t>Study CINC424D2301</w:t>
      </w:r>
      <w:r w:rsidR="002D144E">
        <w:t xml:space="preserve"> o</w:t>
      </w:r>
      <w:r w:rsidR="006B7C39" w:rsidRPr="006B7C39">
        <w:t xml:space="preserve">verview of adverse events of special interest for the Main treatment period (Safety set) </w:t>
      </w:r>
    </w:p>
    <w:p w14:paraId="6CAFF0CC" w14:textId="00906F84" w:rsidR="001A0385" w:rsidRDefault="001A0385" w:rsidP="002D144E">
      <w:r>
        <w:rPr>
          <w:noProof/>
          <w:lang w:val="en-GB" w:eastAsia="en-GB"/>
        </w:rPr>
        <w:drawing>
          <wp:inline distT="0" distB="0" distL="0" distR="0" wp14:anchorId="4012C477" wp14:editId="34B0070B">
            <wp:extent cx="5759450" cy="6279515"/>
            <wp:effectExtent l="0" t="0" r="0" b="6985"/>
            <wp:docPr id="39" name="Picture 39" descr="This table shows an overview of adverse events of special interest for the Main treatment period (Safety set) for Study CINC424D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table shows an overview of adverse events of special interest for the Main treatment period (Safety set) for Study CINC424D2301"/>
                    <pic:cNvPicPr/>
                  </pic:nvPicPr>
                  <pic:blipFill>
                    <a:blip r:embed="rId46"/>
                    <a:stretch>
                      <a:fillRect/>
                    </a:stretch>
                  </pic:blipFill>
                  <pic:spPr>
                    <a:xfrm>
                      <a:off x="0" y="0"/>
                      <a:ext cx="5759450" cy="6279515"/>
                    </a:xfrm>
                    <a:prstGeom prst="rect">
                      <a:avLst/>
                    </a:prstGeom>
                  </pic:spPr>
                </pic:pic>
              </a:graphicData>
            </a:graphic>
          </wp:inline>
        </w:drawing>
      </w:r>
    </w:p>
    <w:p w14:paraId="2858B006" w14:textId="77777777" w:rsidR="00C22214" w:rsidRDefault="00C22214" w:rsidP="00C22214">
      <w:pPr>
        <w:pStyle w:val="Heading3"/>
        <w:rPr>
          <w:lang w:eastAsia="en-AU"/>
        </w:rPr>
      </w:pPr>
      <w:bookmarkStart w:id="60" w:name="_Toc103679298"/>
      <w:bookmarkStart w:id="61" w:name="_Toc134095507"/>
      <w:r>
        <w:rPr>
          <w:lang w:eastAsia="en-AU"/>
        </w:rPr>
        <w:t>Risk management plan</w:t>
      </w:r>
      <w:bookmarkEnd w:id="45"/>
      <w:bookmarkEnd w:id="60"/>
      <w:bookmarkEnd w:id="61"/>
    </w:p>
    <w:p w14:paraId="57AC2AFB" w14:textId="14D2FC69" w:rsidR="00133143" w:rsidRDefault="006B7C39" w:rsidP="00C22214">
      <w:pPr>
        <w:rPr>
          <w:szCs w:val="22"/>
        </w:rPr>
      </w:pPr>
      <w:bookmarkStart w:id="62" w:name="_Toc247691531"/>
      <w:bookmarkStart w:id="63" w:name="_Toc314842515"/>
      <w:r w:rsidRPr="006B7C39">
        <w:rPr>
          <w:szCs w:val="22"/>
        </w:rPr>
        <w:t>The most recently evaluated EU</w:t>
      </w:r>
      <w:r w:rsidR="00120B1D">
        <w:rPr>
          <w:szCs w:val="22"/>
        </w:rPr>
        <w:t>-</w:t>
      </w:r>
      <w:r w:rsidRPr="006B7C39">
        <w:rPr>
          <w:szCs w:val="22"/>
        </w:rPr>
        <w:t>R</w:t>
      </w:r>
      <w:r w:rsidR="00120B1D">
        <w:rPr>
          <w:szCs w:val="22"/>
        </w:rPr>
        <w:t>isk Management Plan (R</w:t>
      </w:r>
      <w:r w:rsidRPr="006B7C39">
        <w:rPr>
          <w:szCs w:val="22"/>
        </w:rPr>
        <w:t>MP</w:t>
      </w:r>
      <w:r w:rsidR="00120B1D">
        <w:rPr>
          <w:szCs w:val="22"/>
        </w:rPr>
        <w:t>)</w:t>
      </w:r>
      <w:r w:rsidRPr="006B7C39">
        <w:rPr>
          <w:szCs w:val="22"/>
        </w:rPr>
        <w:t xml:space="preserve"> was version 11.1 (date 19</w:t>
      </w:r>
      <w:r w:rsidR="00B26EF0">
        <w:rPr>
          <w:szCs w:val="22"/>
        </w:rPr>
        <w:t> </w:t>
      </w:r>
      <w:r w:rsidRPr="006B7C39">
        <w:rPr>
          <w:szCs w:val="22"/>
        </w:rPr>
        <w:t xml:space="preserve">December 2019; </w:t>
      </w:r>
      <w:r w:rsidR="00783BF6">
        <w:rPr>
          <w:szCs w:val="22"/>
        </w:rPr>
        <w:t>data lock point</w:t>
      </w:r>
      <w:r w:rsidRPr="006B7C39">
        <w:rPr>
          <w:szCs w:val="22"/>
        </w:rPr>
        <w:t xml:space="preserve"> 20 June 2018) and </w:t>
      </w:r>
      <w:r w:rsidR="00783BF6">
        <w:rPr>
          <w:szCs w:val="22"/>
        </w:rPr>
        <w:t>Australia Specific Annex</w:t>
      </w:r>
      <w:r w:rsidRPr="006B7C39">
        <w:rPr>
          <w:szCs w:val="22"/>
        </w:rPr>
        <w:t xml:space="preserve"> version</w:t>
      </w:r>
      <w:r w:rsidR="00783BF6">
        <w:rPr>
          <w:szCs w:val="22"/>
        </w:rPr>
        <w:t xml:space="preserve"> (ASA)</w:t>
      </w:r>
      <w:r w:rsidRPr="006B7C39">
        <w:rPr>
          <w:szCs w:val="22"/>
        </w:rPr>
        <w:t xml:space="preserve"> 7.0 (date 29 April 2020). In support of the extended indications, the sponsor has submitted EU-RMP version 13.0 (date 9 January 2021;</w:t>
      </w:r>
      <w:r w:rsidR="00783BF6">
        <w:rPr>
          <w:szCs w:val="22"/>
        </w:rPr>
        <w:t xml:space="preserve"> data lock point</w:t>
      </w:r>
      <w:r w:rsidRPr="006B7C39">
        <w:rPr>
          <w:szCs w:val="22"/>
        </w:rPr>
        <w:t xml:space="preserve"> </w:t>
      </w:r>
      <w:r w:rsidR="00E76F8D">
        <w:rPr>
          <w:szCs w:val="22"/>
        </w:rPr>
        <w:t>GVHD</w:t>
      </w:r>
      <w:r w:rsidRPr="006B7C39">
        <w:rPr>
          <w:szCs w:val="22"/>
        </w:rPr>
        <w:t xml:space="preserve"> 9 May 2020) and ASA version 8.0 (date 11 February 2021). </w:t>
      </w:r>
    </w:p>
    <w:p w14:paraId="1B3243DA" w14:textId="6C536DE7" w:rsidR="006B7C39" w:rsidRDefault="006B7C39" w:rsidP="00C22214">
      <w:pPr>
        <w:rPr>
          <w:szCs w:val="22"/>
        </w:rPr>
      </w:pPr>
      <w:r w:rsidRPr="006B7C39">
        <w:rPr>
          <w:szCs w:val="22"/>
        </w:rPr>
        <w:lastRenderedPageBreak/>
        <w:t xml:space="preserve">The sponsor’s proposed summary of safety concerns and their associated risk monitoring and mitigation strategies are outlined </w:t>
      </w:r>
      <w:r w:rsidR="00133143">
        <w:rPr>
          <w:szCs w:val="22"/>
        </w:rPr>
        <w:t xml:space="preserve">in </w:t>
      </w:r>
      <w:r w:rsidR="00133143" w:rsidRPr="00133143">
        <w:rPr>
          <w:szCs w:val="22"/>
        </w:rPr>
        <w:t>Table 16</w:t>
      </w:r>
      <w:r w:rsidRPr="006B7C39">
        <w:rPr>
          <w:szCs w:val="22"/>
        </w:rPr>
        <w:t>.</w:t>
      </w:r>
    </w:p>
    <w:p w14:paraId="39F3CD1D" w14:textId="02F9C6F7" w:rsidR="0072003B" w:rsidRPr="00BD5DBD" w:rsidRDefault="0072003B" w:rsidP="00C22214">
      <w:pPr>
        <w:rPr>
          <w:szCs w:val="22"/>
        </w:rPr>
      </w:pPr>
      <w:r w:rsidRPr="00BD5DBD">
        <w:rPr>
          <w:szCs w:val="22"/>
        </w:rPr>
        <w:t>The TGA</w:t>
      </w:r>
      <w:r w:rsidR="00C07551" w:rsidRPr="00BD5DBD">
        <w:rPr>
          <w:szCs w:val="22"/>
        </w:rPr>
        <w:t xml:space="preserve"> may</w:t>
      </w:r>
      <w:r w:rsidRPr="00BD5DBD">
        <w:rPr>
          <w:szCs w:val="22"/>
        </w:rPr>
        <w:t xml:space="preserve"> request an updated RMP at any stage of a product's life-cycle, during both the pre-approval and post-approval phases.</w:t>
      </w:r>
    </w:p>
    <w:p w14:paraId="1845B354" w14:textId="7EF67FFA" w:rsidR="00E70AA0" w:rsidRDefault="00C22214" w:rsidP="00C22214">
      <w:pPr>
        <w:pStyle w:val="TableTitle"/>
      </w:pPr>
      <w:bookmarkStart w:id="64" w:name="_Ref97629131"/>
      <w:r>
        <w:t xml:space="preserve">Table </w:t>
      </w:r>
      <w:r w:rsidR="00F20AB1">
        <w:fldChar w:fldCharType="begin"/>
      </w:r>
      <w:r w:rsidR="00F20AB1">
        <w:instrText xml:space="preserve"> SEQ Table \* A</w:instrText>
      </w:r>
      <w:r w:rsidR="00F20AB1">
        <w:instrText xml:space="preserve">RABIC </w:instrText>
      </w:r>
      <w:r w:rsidR="00F20AB1">
        <w:fldChar w:fldCharType="separate"/>
      </w:r>
      <w:r w:rsidR="00337955">
        <w:rPr>
          <w:noProof/>
        </w:rPr>
        <w:t>16</w:t>
      </w:r>
      <w:r w:rsidR="00F20AB1">
        <w:rPr>
          <w:noProof/>
        </w:rPr>
        <w:fldChar w:fldCharType="end"/>
      </w:r>
      <w:bookmarkEnd w:id="64"/>
      <w:r>
        <w:t>: Summary of safety concerns</w:t>
      </w:r>
    </w:p>
    <w:tbl>
      <w:tblPr>
        <w:tblStyle w:val="TableTGAblue2023"/>
        <w:tblW w:w="0" w:type="auto"/>
        <w:tblLayout w:type="fixed"/>
        <w:tblLook w:val="04A0" w:firstRow="1" w:lastRow="0" w:firstColumn="1" w:lastColumn="0" w:noHBand="0" w:noVBand="1"/>
      </w:tblPr>
      <w:tblGrid>
        <w:gridCol w:w="1340"/>
        <w:gridCol w:w="3475"/>
        <w:gridCol w:w="1025"/>
        <w:gridCol w:w="1170"/>
        <w:gridCol w:w="900"/>
        <w:gridCol w:w="1140"/>
      </w:tblGrid>
      <w:tr w:rsidR="00196F3D" w14:paraId="4AA231BB" w14:textId="77777777" w:rsidTr="00533452">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815" w:type="dxa"/>
            <w:gridSpan w:val="2"/>
            <w:vMerge w:val="restart"/>
          </w:tcPr>
          <w:p w14:paraId="3F242FCC" w14:textId="49EE3147" w:rsidR="00196F3D" w:rsidRPr="00A600BC" w:rsidRDefault="00196F3D" w:rsidP="0016413C">
            <w:r w:rsidRPr="009677D4">
              <w:t>Summary of safety concerns</w:t>
            </w:r>
          </w:p>
        </w:tc>
        <w:tc>
          <w:tcPr>
            <w:tcW w:w="2195" w:type="dxa"/>
            <w:gridSpan w:val="2"/>
          </w:tcPr>
          <w:p w14:paraId="46374A7C" w14:textId="0D75B9D1" w:rsidR="00196F3D" w:rsidRPr="00337955" w:rsidRDefault="00196F3D" w:rsidP="0016413C">
            <w:pPr>
              <w:cnfStyle w:val="100000000000" w:firstRow="1" w:lastRow="0" w:firstColumn="0" w:lastColumn="0" w:oddVBand="0" w:evenVBand="0" w:oddHBand="0" w:evenHBand="0" w:firstRowFirstColumn="0" w:firstRowLastColumn="0" w:lastRowFirstColumn="0" w:lastRowLastColumn="0"/>
              <w:rPr>
                <w:bCs/>
                <w:sz w:val="20"/>
              </w:rPr>
            </w:pPr>
            <w:r w:rsidRPr="00337955">
              <w:rPr>
                <w:rFonts w:cstheme="minorBidi"/>
                <w:bCs/>
                <w:sz w:val="20"/>
                <w:szCs w:val="20"/>
              </w:rPr>
              <w:t>Pharmacovigilance</w:t>
            </w:r>
          </w:p>
        </w:tc>
        <w:tc>
          <w:tcPr>
            <w:tcW w:w="2040" w:type="dxa"/>
            <w:gridSpan w:val="2"/>
          </w:tcPr>
          <w:p w14:paraId="496BE0F7" w14:textId="34634667" w:rsidR="00196F3D" w:rsidRPr="00337955" w:rsidRDefault="00196F3D" w:rsidP="0016413C">
            <w:pPr>
              <w:cnfStyle w:val="100000000000" w:firstRow="1" w:lastRow="0" w:firstColumn="0" w:lastColumn="0" w:oddVBand="0" w:evenVBand="0" w:oddHBand="0" w:evenHBand="0" w:firstRowFirstColumn="0" w:firstRowLastColumn="0" w:lastRowFirstColumn="0" w:lastRowLastColumn="0"/>
              <w:rPr>
                <w:bCs/>
                <w:sz w:val="20"/>
              </w:rPr>
            </w:pPr>
            <w:r w:rsidRPr="00337955">
              <w:rPr>
                <w:rFonts w:cstheme="minorBidi"/>
                <w:bCs/>
                <w:sz w:val="20"/>
                <w:szCs w:val="20"/>
              </w:rPr>
              <w:t>Risk minimisation</w:t>
            </w:r>
          </w:p>
        </w:tc>
      </w:tr>
      <w:tr w:rsidR="00196F3D" w14:paraId="682B2EEF" w14:textId="77777777" w:rsidTr="00533452">
        <w:tc>
          <w:tcPr>
            <w:cnfStyle w:val="001000000000" w:firstRow="0" w:lastRow="0" w:firstColumn="1" w:lastColumn="0" w:oddVBand="0" w:evenVBand="0" w:oddHBand="0" w:evenHBand="0" w:firstRowFirstColumn="0" w:firstRowLastColumn="0" w:lastRowFirstColumn="0" w:lastRowLastColumn="0"/>
            <w:tcW w:w="4815" w:type="dxa"/>
            <w:gridSpan w:val="2"/>
            <w:vMerge/>
          </w:tcPr>
          <w:p w14:paraId="712453C7" w14:textId="77777777" w:rsidR="00196F3D" w:rsidRDefault="00196F3D" w:rsidP="00C22214">
            <w:pPr>
              <w:pStyle w:val="TableTitle"/>
            </w:pPr>
          </w:p>
        </w:tc>
        <w:tc>
          <w:tcPr>
            <w:tcW w:w="1025" w:type="dxa"/>
          </w:tcPr>
          <w:p w14:paraId="19AEFF6B" w14:textId="468C597F" w:rsidR="00196F3D" w:rsidRPr="0016413C"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rPr>
                <w:sz w:val="18"/>
              </w:rPr>
            </w:pPr>
            <w:r w:rsidRPr="0016413C">
              <w:rPr>
                <w:sz w:val="18"/>
              </w:rPr>
              <w:t>Routine</w:t>
            </w:r>
          </w:p>
        </w:tc>
        <w:tc>
          <w:tcPr>
            <w:tcW w:w="1170" w:type="dxa"/>
          </w:tcPr>
          <w:p w14:paraId="698964BD" w14:textId="40A1B78E" w:rsidR="00196F3D" w:rsidRPr="0016413C"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rPr>
                <w:sz w:val="18"/>
              </w:rPr>
            </w:pPr>
            <w:r w:rsidRPr="0016413C">
              <w:rPr>
                <w:sz w:val="18"/>
              </w:rPr>
              <w:t>Additional</w:t>
            </w:r>
          </w:p>
        </w:tc>
        <w:tc>
          <w:tcPr>
            <w:tcW w:w="900" w:type="dxa"/>
          </w:tcPr>
          <w:p w14:paraId="56EAA1B1" w14:textId="2EE17361" w:rsidR="00196F3D" w:rsidRPr="0016413C"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rPr>
                <w:sz w:val="18"/>
              </w:rPr>
            </w:pPr>
            <w:r w:rsidRPr="0016413C">
              <w:rPr>
                <w:sz w:val="18"/>
              </w:rPr>
              <w:t>Routine</w:t>
            </w:r>
          </w:p>
        </w:tc>
        <w:tc>
          <w:tcPr>
            <w:tcW w:w="1140" w:type="dxa"/>
          </w:tcPr>
          <w:p w14:paraId="0249E6E2" w14:textId="1A047C49" w:rsidR="00196F3D" w:rsidRPr="0016413C"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rPr>
                <w:sz w:val="18"/>
              </w:rPr>
            </w:pPr>
            <w:r w:rsidRPr="0016413C">
              <w:rPr>
                <w:sz w:val="18"/>
              </w:rPr>
              <w:t>Additional</w:t>
            </w:r>
          </w:p>
        </w:tc>
      </w:tr>
      <w:tr w:rsidR="00196F3D" w14:paraId="20682623" w14:textId="77777777" w:rsidTr="00533452">
        <w:tc>
          <w:tcPr>
            <w:cnfStyle w:val="001000000000" w:firstRow="0" w:lastRow="0" w:firstColumn="1" w:lastColumn="0" w:oddVBand="0" w:evenVBand="0" w:oddHBand="0" w:evenHBand="0" w:firstRowFirstColumn="0" w:firstRowLastColumn="0" w:lastRowFirstColumn="0" w:lastRowLastColumn="0"/>
            <w:tcW w:w="1340" w:type="dxa"/>
          </w:tcPr>
          <w:p w14:paraId="5BB487ED" w14:textId="1B507163" w:rsidR="00196F3D" w:rsidRPr="0016413C" w:rsidRDefault="00196F3D" w:rsidP="0016413C">
            <w:pPr>
              <w:pStyle w:val="TableTitle"/>
              <w:ind w:left="0"/>
              <w:rPr>
                <w:sz w:val="20"/>
              </w:rPr>
            </w:pPr>
            <w:r w:rsidRPr="0016413C">
              <w:rPr>
                <w:sz w:val="20"/>
              </w:rPr>
              <w:t>Important identified risks</w:t>
            </w:r>
          </w:p>
        </w:tc>
        <w:tc>
          <w:tcPr>
            <w:tcW w:w="3475" w:type="dxa"/>
          </w:tcPr>
          <w:p w14:paraId="37CF7EAB" w14:textId="427B7307" w:rsidR="00196F3D" w:rsidRPr="0016413C" w:rsidRDefault="00196F3D" w:rsidP="0016413C">
            <w:pPr>
              <w:pStyle w:val="TableTitle"/>
              <w:ind w:left="0"/>
              <w:cnfStyle w:val="000000000000" w:firstRow="0" w:lastRow="0" w:firstColumn="0" w:lastColumn="0" w:oddVBand="0" w:evenVBand="0" w:oddHBand="0" w:evenHBand="0" w:firstRowFirstColumn="0" w:firstRowLastColumn="0" w:lastRowFirstColumn="0" w:lastRowLastColumn="0"/>
              <w:rPr>
                <w:b w:val="0"/>
                <w:sz w:val="20"/>
              </w:rPr>
            </w:pPr>
            <w:r w:rsidRPr="0016413C">
              <w:rPr>
                <w:b w:val="0"/>
                <w:sz w:val="20"/>
              </w:rPr>
              <w:t>Infections</w:t>
            </w:r>
          </w:p>
        </w:tc>
        <w:tc>
          <w:tcPr>
            <w:tcW w:w="1025" w:type="dxa"/>
          </w:tcPr>
          <w:p w14:paraId="2E3B2B5B" w14:textId="0EB06426" w:rsidR="00196F3D" w:rsidRPr="0016413C"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rPr>
                <w:b w:val="0"/>
              </w:rPr>
            </w:pPr>
            <w:r w:rsidRPr="0081132B">
              <w:rPr>
                <w:rFonts w:ascii="Segoe UI Symbol" w:hAnsi="Segoe UI Symbol" w:cs="Segoe UI Symbol"/>
                <w:b w:val="0"/>
                <w:color w:val="202122"/>
                <w:sz w:val="21"/>
                <w:szCs w:val="21"/>
                <w:shd w:val="clear" w:color="auto" w:fill="FFFFFF"/>
              </w:rPr>
              <w:t>✓</w:t>
            </w:r>
          </w:p>
        </w:tc>
        <w:tc>
          <w:tcPr>
            <w:tcW w:w="1170" w:type="dxa"/>
          </w:tcPr>
          <w:p w14:paraId="2EFB159B"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7178A316" w14:textId="70092A3C"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40" w:type="dxa"/>
          </w:tcPr>
          <w:p w14:paraId="3C1583A5"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r>
      <w:tr w:rsidR="00196F3D" w14:paraId="70575394" w14:textId="77777777" w:rsidTr="00533452">
        <w:tc>
          <w:tcPr>
            <w:cnfStyle w:val="001000000000" w:firstRow="0" w:lastRow="0" w:firstColumn="1" w:lastColumn="0" w:oddVBand="0" w:evenVBand="0" w:oddHBand="0" w:evenHBand="0" w:firstRowFirstColumn="0" w:firstRowLastColumn="0" w:lastRowFirstColumn="0" w:lastRowLastColumn="0"/>
            <w:tcW w:w="1340" w:type="dxa"/>
            <w:vMerge w:val="restart"/>
          </w:tcPr>
          <w:p w14:paraId="64AEC4BD" w14:textId="76525D2E" w:rsidR="00196F3D" w:rsidRDefault="00196F3D" w:rsidP="0016413C">
            <w:pPr>
              <w:pStyle w:val="TableTitle"/>
              <w:ind w:left="0"/>
            </w:pPr>
            <w:r w:rsidRPr="0016413C">
              <w:rPr>
                <w:sz w:val="20"/>
              </w:rPr>
              <w:t>Important potential risks</w:t>
            </w:r>
          </w:p>
        </w:tc>
        <w:tc>
          <w:tcPr>
            <w:tcW w:w="3475" w:type="dxa"/>
          </w:tcPr>
          <w:p w14:paraId="1FBE72DC" w14:textId="5C821DB6" w:rsidR="00196F3D" w:rsidRPr="0016413C" w:rsidRDefault="00196F3D" w:rsidP="0016413C">
            <w:pPr>
              <w:pStyle w:val="TableTitle"/>
              <w:ind w:left="0"/>
              <w:cnfStyle w:val="000000000000" w:firstRow="0" w:lastRow="0" w:firstColumn="0" w:lastColumn="0" w:oddVBand="0" w:evenVBand="0" w:oddHBand="0" w:evenHBand="0" w:firstRowFirstColumn="0" w:firstRowLastColumn="0" w:lastRowFirstColumn="0" w:lastRowLastColumn="0"/>
              <w:rPr>
                <w:b w:val="0"/>
                <w:sz w:val="20"/>
              </w:rPr>
            </w:pPr>
            <w:r>
              <w:rPr>
                <w:b w:val="0"/>
                <w:sz w:val="20"/>
              </w:rPr>
              <w:t>Progressive multifocal leukoencephalopathy</w:t>
            </w:r>
          </w:p>
        </w:tc>
        <w:tc>
          <w:tcPr>
            <w:tcW w:w="1025" w:type="dxa"/>
          </w:tcPr>
          <w:p w14:paraId="6849207C" w14:textId="32369525"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70" w:type="dxa"/>
          </w:tcPr>
          <w:p w14:paraId="58702896"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61D1DFC7" w14:textId="064AE8A1"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40" w:type="dxa"/>
          </w:tcPr>
          <w:p w14:paraId="4B82B49A"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r>
      <w:tr w:rsidR="00196F3D" w14:paraId="1AC53E6D" w14:textId="77777777" w:rsidTr="00533452">
        <w:tc>
          <w:tcPr>
            <w:cnfStyle w:val="001000000000" w:firstRow="0" w:lastRow="0" w:firstColumn="1" w:lastColumn="0" w:oddVBand="0" w:evenVBand="0" w:oddHBand="0" w:evenHBand="0" w:firstRowFirstColumn="0" w:firstRowLastColumn="0" w:lastRowFirstColumn="0" w:lastRowLastColumn="0"/>
            <w:tcW w:w="1340" w:type="dxa"/>
            <w:vMerge/>
          </w:tcPr>
          <w:p w14:paraId="46B9B729" w14:textId="77777777" w:rsidR="00196F3D" w:rsidRDefault="00196F3D" w:rsidP="0016413C">
            <w:pPr>
              <w:pStyle w:val="TableTitle"/>
            </w:pPr>
          </w:p>
        </w:tc>
        <w:tc>
          <w:tcPr>
            <w:tcW w:w="3475" w:type="dxa"/>
          </w:tcPr>
          <w:p w14:paraId="5DB48AF7" w14:textId="79C51710" w:rsidR="00196F3D" w:rsidRPr="0016413C" w:rsidRDefault="00196F3D" w:rsidP="0016413C">
            <w:pPr>
              <w:pStyle w:val="TableTitle"/>
              <w:ind w:left="0"/>
              <w:cnfStyle w:val="000000000000" w:firstRow="0" w:lastRow="0" w:firstColumn="0" w:lastColumn="0" w:oddVBand="0" w:evenVBand="0" w:oddHBand="0" w:evenHBand="0" w:firstRowFirstColumn="0" w:firstRowLastColumn="0" w:lastRowFirstColumn="0" w:lastRowLastColumn="0"/>
              <w:rPr>
                <w:b w:val="0"/>
                <w:sz w:val="20"/>
              </w:rPr>
            </w:pPr>
            <w:r>
              <w:rPr>
                <w:b w:val="0"/>
                <w:sz w:val="20"/>
              </w:rPr>
              <w:t xml:space="preserve">Developmental </w:t>
            </w:r>
            <w:r w:rsidR="00C43D61">
              <w:rPr>
                <w:b w:val="0"/>
                <w:sz w:val="20"/>
              </w:rPr>
              <w:t>toxicity</w:t>
            </w:r>
          </w:p>
        </w:tc>
        <w:tc>
          <w:tcPr>
            <w:tcW w:w="1025" w:type="dxa"/>
          </w:tcPr>
          <w:p w14:paraId="72441539" w14:textId="30B6BBD7"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70" w:type="dxa"/>
          </w:tcPr>
          <w:p w14:paraId="38EF1056"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46528AFC" w14:textId="3FF03120"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40" w:type="dxa"/>
          </w:tcPr>
          <w:p w14:paraId="67AAB3EB"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r>
      <w:tr w:rsidR="00196F3D" w14:paraId="28CE529F" w14:textId="77777777" w:rsidTr="00533452">
        <w:tc>
          <w:tcPr>
            <w:cnfStyle w:val="001000000000" w:firstRow="0" w:lastRow="0" w:firstColumn="1" w:lastColumn="0" w:oddVBand="0" w:evenVBand="0" w:oddHBand="0" w:evenHBand="0" w:firstRowFirstColumn="0" w:firstRowLastColumn="0" w:lastRowFirstColumn="0" w:lastRowLastColumn="0"/>
            <w:tcW w:w="1340" w:type="dxa"/>
            <w:vMerge/>
          </w:tcPr>
          <w:p w14:paraId="1BF89F56" w14:textId="77777777" w:rsidR="00196F3D" w:rsidRDefault="00196F3D" w:rsidP="0016413C">
            <w:pPr>
              <w:pStyle w:val="TableTitle"/>
            </w:pPr>
          </w:p>
        </w:tc>
        <w:tc>
          <w:tcPr>
            <w:tcW w:w="3475" w:type="dxa"/>
          </w:tcPr>
          <w:p w14:paraId="2C056183" w14:textId="62409FEE" w:rsidR="00196F3D" w:rsidRPr="0016413C" w:rsidRDefault="00196F3D" w:rsidP="0016413C">
            <w:pPr>
              <w:pStyle w:val="TableTitle"/>
              <w:ind w:left="0"/>
              <w:cnfStyle w:val="000000000000" w:firstRow="0" w:lastRow="0" w:firstColumn="0" w:lastColumn="0" w:oddVBand="0" w:evenVBand="0" w:oddHBand="0" w:evenHBand="0" w:firstRowFirstColumn="0" w:firstRowLastColumn="0" w:lastRowFirstColumn="0" w:lastRowLastColumn="0"/>
              <w:rPr>
                <w:b w:val="0"/>
                <w:sz w:val="20"/>
              </w:rPr>
            </w:pPr>
            <w:r>
              <w:rPr>
                <w:b w:val="0"/>
                <w:sz w:val="20"/>
              </w:rPr>
              <w:t>Non-melanoma skin cancer (including basal, squamous and Merkel cell carcinoma)</w:t>
            </w:r>
          </w:p>
        </w:tc>
        <w:tc>
          <w:tcPr>
            <w:tcW w:w="1025" w:type="dxa"/>
          </w:tcPr>
          <w:p w14:paraId="657AAC10" w14:textId="49C18C40"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70" w:type="dxa"/>
          </w:tcPr>
          <w:p w14:paraId="2E27DAF9"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4A085148" w14:textId="630E9259"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40" w:type="dxa"/>
          </w:tcPr>
          <w:p w14:paraId="3C23144B"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r>
      <w:tr w:rsidR="00196F3D" w14:paraId="6693B072" w14:textId="77777777" w:rsidTr="00533452">
        <w:tc>
          <w:tcPr>
            <w:cnfStyle w:val="001000000000" w:firstRow="0" w:lastRow="0" w:firstColumn="1" w:lastColumn="0" w:oddVBand="0" w:evenVBand="0" w:oddHBand="0" w:evenHBand="0" w:firstRowFirstColumn="0" w:firstRowLastColumn="0" w:lastRowFirstColumn="0" w:lastRowLastColumn="0"/>
            <w:tcW w:w="1340" w:type="dxa"/>
            <w:vMerge w:val="restart"/>
          </w:tcPr>
          <w:p w14:paraId="4FC0B259" w14:textId="71FD76AF" w:rsidR="00196F3D" w:rsidRDefault="00196F3D" w:rsidP="0016413C">
            <w:pPr>
              <w:pStyle w:val="TableTitle"/>
              <w:ind w:left="0"/>
            </w:pPr>
            <w:r w:rsidRPr="0016413C">
              <w:rPr>
                <w:sz w:val="20"/>
              </w:rPr>
              <w:t>Missing information</w:t>
            </w:r>
          </w:p>
        </w:tc>
        <w:tc>
          <w:tcPr>
            <w:tcW w:w="3475" w:type="dxa"/>
          </w:tcPr>
          <w:p w14:paraId="2E86EF3A" w14:textId="448F72F3" w:rsidR="00196F3D" w:rsidRPr="009677D4" w:rsidRDefault="00196F3D" w:rsidP="0016413C">
            <w:pPr>
              <w:pStyle w:val="TableTitle"/>
              <w:ind w:left="0"/>
              <w:cnfStyle w:val="000000000000" w:firstRow="0" w:lastRow="0" w:firstColumn="0" w:lastColumn="0" w:oddVBand="0" w:evenVBand="0" w:oddHBand="0" w:evenHBand="0" w:firstRowFirstColumn="0" w:firstRowLastColumn="0" w:lastRowFirstColumn="0" w:lastRowLastColumn="0"/>
              <w:rPr>
                <w:b w:val="0"/>
                <w:sz w:val="20"/>
              </w:rPr>
            </w:pPr>
            <w:r>
              <w:rPr>
                <w:b w:val="0"/>
                <w:sz w:val="20"/>
              </w:rPr>
              <w:t>Safety in patients with a platelet count below 100000/mm</w:t>
            </w:r>
            <w:r>
              <w:rPr>
                <w:b w:val="0"/>
                <w:sz w:val="20"/>
                <w:vertAlign w:val="superscript"/>
              </w:rPr>
              <w:t xml:space="preserve">3 </w:t>
            </w:r>
            <w:r>
              <w:rPr>
                <w:b w:val="0"/>
                <w:sz w:val="20"/>
              </w:rPr>
              <w:t>at Baseline (</w:t>
            </w:r>
            <w:r w:rsidR="00C43D61">
              <w:rPr>
                <w:b w:val="0"/>
                <w:sz w:val="20"/>
              </w:rPr>
              <w:t>myelofibrosis</w:t>
            </w:r>
            <w:r>
              <w:rPr>
                <w:b w:val="0"/>
                <w:sz w:val="20"/>
              </w:rPr>
              <w:t xml:space="preserve"> patient population)</w:t>
            </w:r>
          </w:p>
        </w:tc>
        <w:tc>
          <w:tcPr>
            <w:tcW w:w="1025" w:type="dxa"/>
          </w:tcPr>
          <w:p w14:paraId="09945752" w14:textId="2004D5F3"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70" w:type="dxa"/>
          </w:tcPr>
          <w:p w14:paraId="1AE690B3"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1A49E771" w14:textId="14074060"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40" w:type="dxa"/>
          </w:tcPr>
          <w:p w14:paraId="2040874F"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r>
      <w:tr w:rsidR="00196F3D" w14:paraId="5E091972" w14:textId="77777777" w:rsidTr="00533452">
        <w:tc>
          <w:tcPr>
            <w:cnfStyle w:val="001000000000" w:firstRow="0" w:lastRow="0" w:firstColumn="1" w:lastColumn="0" w:oddVBand="0" w:evenVBand="0" w:oddHBand="0" w:evenHBand="0" w:firstRowFirstColumn="0" w:firstRowLastColumn="0" w:lastRowFirstColumn="0" w:lastRowLastColumn="0"/>
            <w:tcW w:w="1340" w:type="dxa"/>
            <w:vMerge/>
          </w:tcPr>
          <w:p w14:paraId="2F0D9CDA" w14:textId="77777777" w:rsidR="00196F3D" w:rsidRDefault="00196F3D" w:rsidP="00C22214">
            <w:pPr>
              <w:pStyle w:val="TableTitle"/>
            </w:pPr>
          </w:p>
        </w:tc>
        <w:tc>
          <w:tcPr>
            <w:tcW w:w="3475" w:type="dxa"/>
          </w:tcPr>
          <w:p w14:paraId="38472B57" w14:textId="382F9232" w:rsidR="00196F3D" w:rsidRDefault="00196F3D" w:rsidP="0016413C">
            <w:pPr>
              <w:pStyle w:val="TableTitle"/>
              <w:ind w:left="0"/>
              <w:cnfStyle w:val="000000000000" w:firstRow="0" w:lastRow="0" w:firstColumn="0" w:lastColumn="0" w:oddVBand="0" w:evenVBand="0" w:oddHBand="0" w:evenHBand="0" w:firstRowFirstColumn="0" w:firstRowLastColumn="0" w:lastRowFirstColumn="0" w:lastRowLastColumn="0"/>
              <w:rPr>
                <w:b w:val="0"/>
                <w:sz w:val="20"/>
              </w:rPr>
            </w:pPr>
            <w:r>
              <w:rPr>
                <w:b w:val="0"/>
                <w:sz w:val="20"/>
              </w:rPr>
              <w:t>Long-term safety data, including secondary malignancies</w:t>
            </w:r>
          </w:p>
        </w:tc>
        <w:tc>
          <w:tcPr>
            <w:tcW w:w="1025" w:type="dxa"/>
          </w:tcPr>
          <w:p w14:paraId="1D5681C6" w14:textId="03E408A1"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70" w:type="dxa"/>
          </w:tcPr>
          <w:p w14:paraId="1ABD4241"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69A3695D" w14:textId="236A95A6"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40" w:type="dxa"/>
          </w:tcPr>
          <w:p w14:paraId="3D0E0601"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r>
      <w:tr w:rsidR="00196F3D" w14:paraId="2021349F" w14:textId="77777777" w:rsidTr="00533452">
        <w:tc>
          <w:tcPr>
            <w:cnfStyle w:val="001000000000" w:firstRow="0" w:lastRow="0" w:firstColumn="1" w:lastColumn="0" w:oddVBand="0" w:evenVBand="0" w:oddHBand="0" w:evenHBand="0" w:firstRowFirstColumn="0" w:firstRowLastColumn="0" w:lastRowFirstColumn="0" w:lastRowLastColumn="0"/>
            <w:tcW w:w="1340" w:type="dxa"/>
            <w:vMerge/>
          </w:tcPr>
          <w:p w14:paraId="2E4134BA" w14:textId="77777777" w:rsidR="00196F3D" w:rsidRDefault="00196F3D" w:rsidP="00C22214">
            <w:pPr>
              <w:pStyle w:val="TableTitle"/>
            </w:pPr>
          </w:p>
        </w:tc>
        <w:tc>
          <w:tcPr>
            <w:tcW w:w="3475" w:type="dxa"/>
          </w:tcPr>
          <w:p w14:paraId="16908C54" w14:textId="313914F9" w:rsidR="00196F3D" w:rsidRDefault="00196F3D" w:rsidP="0016413C">
            <w:pPr>
              <w:pStyle w:val="TableTitle"/>
              <w:ind w:left="0"/>
              <w:cnfStyle w:val="000000000000" w:firstRow="0" w:lastRow="0" w:firstColumn="0" w:lastColumn="0" w:oddVBand="0" w:evenVBand="0" w:oddHBand="0" w:evenHBand="0" w:firstRowFirstColumn="0" w:firstRowLastColumn="0" w:lastRowFirstColumn="0" w:lastRowLastColumn="0"/>
              <w:rPr>
                <w:b w:val="0"/>
                <w:sz w:val="20"/>
              </w:rPr>
            </w:pPr>
            <w:r>
              <w:rPr>
                <w:b w:val="0"/>
                <w:sz w:val="20"/>
              </w:rPr>
              <w:t>Safety in paediatric patients (GvHD only)</w:t>
            </w:r>
          </w:p>
        </w:tc>
        <w:tc>
          <w:tcPr>
            <w:tcW w:w="1025" w:type="dxa"/>
          </w:tcPr>
          <w:p w14:paraId="4264344E" w14:textId="32A263D8"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70" w:type="dxa"/>
          </w:tcPr>
          <w:p w14:paraId="19375A3F"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7B8DE86B" w14:textId="30EC91D3" w:rsidR="00196F3D" w:rsidRDefault="00B81C51"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r w:rsidRPr="0081132B">
              <w:rPr>
                <w:rFonts w:ascii="Segoe UI Symbol" w:hAnsi="Segoe UI Symbol" w:cs="Segoe UI Symbol"/>
                <w:b w:val="0"/>
                <w:color w:val="202122"/>
                <w:sz w:val="21"/>
                <w:szCs w:val="21"/>
                <w:shd w:val="clear" w:color="auto" w:fill="FFFFFF"/>
              </w:rPr>
              <w:t>✓</w:t>
            </w:r>
          </w:p>
        </w:tc>
        <w:tc>
          <w:tcPr>
            <w:tcW w:w="1140" w:type="dxa"/>
          </w:tcPr>
          <w:p w14:paraId="0E1A404B" w14:textId="77777777" w:rsidR="00196F3D" w:rsidRDefault="00196F3D" w:rsidP="0016413C">
            <w:pPr>
              <w:pStyle w:val="TableTitle"/>
              <w:ind w:left="0"/>
              <w:jc w:val="center"/>
              <w:cnfStyle w:val="000000000000" w:firstRow="0" w:lastRow="0" w:firstColumn="0" w:lastColumn="0" w:oddVBand="0" w:evenVBand="0" w:oddHBand="0" w:evenHBand="0" w:firstRowFirstColumn="0" w:firstRowLastColumn="0" w:lastRowFirstColumn="0" w:lastRowLastColumn="0"/>
            </w:pPr>
          </w:p>
        </w:tc>
      </w:tr>
    </w:tbl>
    <w:p w14:paraId="14C55F40" w14:textId="77777777" w:rsidR="00740D5E" w:rsidRDefault="00740D5E" w:rsidP="0016413C"/>
    <w:p w14:paraId="33CD494D" w14:textId="6EDBBA12" w:rsidR="00531F78" w:rsidRPr="00A600BC" w:rsidRDefault="00531F78" w:rsidP="0016413C">
      <w:r w:rsidRPr="00A600BC">
        <w:t xml:space="preserve">Routine pharmacovigilance activities have been proposed for all safety concerns. </w:t>
      </w:r>
    </w:p>
    <w:p w14:paraId="4EBFD33B" w14:textId="19E5B3C2" w:rsidR="00531F78" w:rsidRDefault="00531F78" w:rsidP="0016413C">
      <w:r w:rsidRPr="00A600BC">
        <w:t>The sponsor has proposed routine risk minimisation measures only. Routine risk minimisation measures are considered adequate to manage the risks identified in the summary</w:t>
      </w:r>
      <w:r w:rsidR="00740D5E" w:rsidRPr="00A600BC">
        <w:t xml:space="preserve"> of safety concerns.</w:t>
      </w:r>
    </w:p>
    <w:p w14:paraId="55B05DFA" w14:textId="3D83C6C0" w:rsidR="00482CF3" w:rsidRDefault="00482CF3" w:rsidP="003D5F2F">
      <w:bookmarkStart w:id="65" w:name="_Toc103679299"/>
      <w:r>
        <w:t>A</w:t>
      </w:r>
      <w:r w:rsidR="00740D5E">
        <w:t>ny new or outstanding</w:t>
      </w:r>
      <w:r>
        <w:t xml:space="preserve"> recommendations were </w:t>
      </w:r>
      <w:r w:rsidR="00133143">
        <w:t xml:space="preserve">satisfactorily </w:t>
      </w:r>
      <w:r>
        <w:t>resolved</w:t>
      </w:r>
      <w:r w:rsidR="00133143">
        <w:t xml:space="preserve"> </w:t>
      </w:r>
      <w:r>
        <w:t>and wording for conditions of registration was provided to the Delegate</w:t>
      </w:r>
      <w:r w:rsidR="00740D5E">
        <w:t xml:space="preserve"> prior to approval</w:t>
      </w:r>
      <w:r>
        <w:t>.</w:t>
      </w:r>
    </w:p>
    <w:p w14:paraId="74A4F87F" w14:textId="6D2924D6" w:rsidR="00C22214" w:rsidRDefault="00C22214" w:rsidP="00C22214">
      <w:pPr>
        <w:pStyle w:val="Heading3"/>
      </w:pPr>
      <w:bookmarkStart w:id="66" w:name="_Toc134095508"/>
      <w:r>
        <w:t>Risk-benefit analysis</w:t>
      </w:r>
      <w:bookmarkEnd w:id="62"/>
      <w:bookmarkEnd w:id="63"/>
      <w:bookmarkEnd w:id="65"/>
      <w:bookmarkEnd w:id="66"/>
    </w:p>
    <w:p w14:paraId="77DE2655" w14:textId="77777777" w:rsidR="00C22214" w:rsidRDefault="00C22214" w:rsidP="00C22214">
      <w:pPr>
        <w:pStyle w:val="Heading4"/>
      </w:pPr>
      <w:bookmarkStart w:id="67" w:name="_Toc98931932"/>
      <w:bookmarkStart w:id="68" w:name="_Toc134095509"/>
      <w:r>
        <w:t>Delegate’s considerations</w:t>
      </w:r>
      <w:bookmarkEnd w:id="67"/>
      <w:bookmarkEnd w:id="68"/>
    </w:p>
    <w:p w14:paraId="0D0008AA" w14:textId="05B0B76C" w:rsidR="00E70AA0" w:rsidRDefault="006B7C39" w:rsidP="006B7C39">
      <w:pPr>
        <w:rPr>
          <w:iCs/>
        </w:rPr>
      </w:pPr>
      <w:r>
        <w:rPr>
          <w:iCs/>
        </w:rPr>
        <w:t>A</w:t>
      </w:r>
      <w:r w:rsidRPr="00CF084D">
        <w:rPr>
          <w:iCs/>
        </w:rPr>
        <w:t xml:space="preserve">cute and chronic </w:t>
      </w:r>
      <w:r w:rsidR="000F437E">
        <w:rPr>
          <w:iCs/>
        </w:rPr>
        <w:t>graft-versus-host disease (</w:t>
      </w:r>
      <w:r w:rsidR="00E76F8D">
        <w:rPr>
          <w:iCs/>
        </w:rPr>
        <w:t>GVHD</w:t>
      </w:r>
      <w:r w:rsidR="000F437E">
        <w:rPr>
          <w:iCs/>
        </w:rPr>
        <w:t>)</w:t>
      </w:r>
      <w:r>
        <w:rPr>
          <w:iCs/>
        </w:rPr>
        <w:t xml:space="preserve"> are different conditions and should not </w:t>
      </w:r>
      <w:r w:rsidRPr="00CF084D">
        <w:rPr>
          <w:iCs/>
        </w:rPr>
        <w:t>be</w:t>
      </w:r>
      <w:r>
        <w:rPr>
          <w:iCs/>
        </w:rPr>
        <w:t xml:space="preserve"> combined in a single indication. Separate clinical trials were required to investigate these conditions because the patient population, clinical presentations and methods of diagnosis and assessment are different for the two conditions. Combining them in a single indication is not acceptable.</w:t>
      </w:r>
    </w:p>
    <w:p w14:paraId="53A206B6" w14:textId="350E48C0" w:rsidR="00E70AA0" w:rsidRDefault="006B7C39" w:rsidP="006B7C39">
      <w:pPr>
        <w:rPr>
          <w:iCs/>
        </w:rPr>
      </w:pPr>
      <w:r>
        <w:rPr>
          <w:iCs/>
        </w:rPr>
        <w:t>I</w:t>
      </w:r>
      <w:r w:rsidRPr="00210F27">
        <w:rPr>
          <w:iCs/>
        </w:rPr>
        <w:t>n Australia there are no registered treatments for a</w:t>
      </w:r>
      <w:r w:rsidR="000F437E">
        <w:rPr>
          <w:iCs/>
        </w:rPr>
        <w:t xml:space="preserve">cute </w:t>
      </w:r>
      <w:r w:rsidRPr="00210F27">
        <w:rPr>
          <w:iCs/>
        </w:rPr>
        <w:t>GVHD</w:t>
      </w:r>
      <w:r>
        <w:rPr>
          <w:iCs/>
        </w:rPr>
        <w:t xml:space="preserve"> or c</w:t>
      </w:r>
      <w:r w:rsidR="000F437E">
        <w:rPr>
          <w:iCs/>
        </w:rPr>
        <w:t xml:space="preserve">hronic </w:t>
      </w:r>
      <w:r>
        <w:rPr>
          <w:iCs/>
        </w:rPr>
        <w:t xml:space="preserve">GVHD. </w:t>
      </w:r>
      <w:r w:rsidR="000F437E">
        <w:rPr>
          <w:iCs/>
        </w:rPr>
        <w:t>Corticos</w:t>
      </w:r>
      <w:r>
        <w:rPr>
          <w:iCs/>
        </w:rPr>
        <w:t>teroids are the mainstay of treatment for both conditions. The proposed indication requires that patients with GVHD have an</w:t>
      </w:r>
      <w:r w:rsidRPr="00210F27">
        <w:rPr>
          <w:iCs/>
        </w:rPr>
        <w:t xml:space="preserve"> inadequate response to corticosteroids </w:t>
      </w:r>
      <w:r w:rsidRPr="00572E1B">
        <w:rPr>
          <w:iCs/>
        </w:rPr>
        <w:t>or</w:t>
      </w:r>
      <w:r w:rsidRPr="00210F27">
        <w:rPr>
          <w:iCs/>
        </w:rPr>
        <w:t xml:space="preserve"> other systemic therapies.</w:t>
      </w:r>
      <w:r>
        <w:rPr>
          <w:iCs/>
        </w:rPr>
        <w:t xml:space="preserve"> Given there are no other approved systemic therapies </w:t>
      </w:r>
      <w:r w:rsidR="00482CF3">
        <w:rPr>
          <w:iCs/>
        </w:rPr>
        <w:t>the Delegate</w:t>
      </w:r>
      <w:r>
        <w:rPr>
          <w:iCs/>
        </w:rPr>
        <w:t xml:space="preserve"> consider</w:t>
      </w:r>
      <w:r w:rsidR="00482CF3">
        <w:rPr>
          <w:iCs/>
        </w:rPr>
        <w:t>s</w:t>
      </w:r>
      <w:r>
        <w:rPr>
          <w:iCs/>
        </w:rPr>
        <w:t xml:space="preserve"> that, after </w:t>
      </w:r>
      <w:r>
        <w:rPr>
          <w:iCs/>
        </w:rPr>
        <w:lastRenderedPageBreak/>
        <w:t>separation into indications for a</w:t>
      </w:r>
      <w:r w:rsidR="000F437E">
        <w:rPr>
          <w:iCs/>
        </w:rPr>
        <w:t xml:space="preserve">cute </w:t>
      </w:r>
      <w:r>
        <w:rPr>
          <w:iCs/>
        </w:rPr>
        <w:t>GVHD and c</w:t>
      </w:r>
      <w:r w:rsidR="000F437E">
        <w:rPr>
          <w:iCs/>
        </w:rPr>
        <w:t xml:space="preserve">hronic </w:t>
      </w:r>
      <w:r>
        <w:rPr>
          <w:iCs/>
        </w:rPr>
        <w:t>GVHD, indications should specify an inadequate response to steroids only.</w:t>
      </w:r>
    </w:p>
    <w:p w14:paraId="216B310B" w14:textId="223C26F7" w:rsidR="006B7C39" w:rsidRDefault="006B7C39" w:rsidP="006B7C39">
      <w:pPr>
        <w:rPr>
          <w:iCs/>
        </w:rPr>
      </w:pPr>
      <w:r>
        <w:rPr>
          <w:iCs/>
        </w:rPr>
        <w:t xml:space="preserve">Extensive </w:t>
      </w:r>
      <w:r w:rsidR="00482CF3">
        <w:rPr>
          <w:iCs/>
        </w:rPr>
        <w:t>pharmacokinetic</w:t>
      </w:r>
      <w:r>
        <w:rPr>
          <w:iCs/>
        </w:rPr>
        <w:t xml:space="preserve"> sampling for modelling was obtained from only </w:t>
      </w:r>
      <w:r w:rsidR="00482CF3">
        <w:rPr>
          <w:iCs/>
        </w:rPr>
        <w:t>three</w:t>
      </w:r>
      <w:r>
        <w:rPr>
          <w:iCs/>
        </w:rPr>
        <w:t xml:space="preserve"> adolescents however it is proposed to include patients aged from 12 years in the indication. Given both a</w:t>
      </w:r>
      <w:r w:rsidR="000F437E">
        <w:rPr>
          <w:iCs/>
        </w:rPr>
        <w:t>cute </w:t>
      </w:r>
      <w:r>
        <w:rPr>
          <w:iCs/>
        </w:rPr>
        <w:t>GVHD and c</w:t>
      </w:r>
      <w:r w:rsidR="000F437E">
        <w:rPr>
          <w:iCs/>
        </w:rPr>
        <w:t xml:space="preserve">hronic </w:t>
      </w:r>
      <w:r>
        <w:rPr>
          <w:iCs/>
        </w:rPr>
        <w:t>GVHD are rare diseases</w:t>
      </w:r>
      <w:r w:rsidR="000F437E">
        <w:rPr>
          <w:iCs/>
        </w:rPr>
        <w:t>,</w:t>
      </w:r>
      <w:r>
        <w:rPr>
          <w:iCs/>
        </w:rPr>
        <w:t xml:space="preserve"> the physiology of adolescents is </w:t>
      </w:r>
      <w:proofErr w:type="gramStart"/>
      <w:r>
        <w:rPr>
          <w:iCs/>
        </w:rPr>
        <w:t>similar to</w:t>
      </w:r>
      <w:proofErr w:type="gramEnd"/>
      <w:r>
        <w:rPr>
          <w:iCs/>
        </w:rPr>
        <w:t xml:space="preserve"> that of adults</w:t>
      </w:r>
      <w:r w:rsidR="000F437E">
        <w:rPr>
          <w:iCs/>
        </w:rPr>
        <w:t>,</w:t>
      </w:r>
      <w:r>
        <w:rPr>
          <w:iCs/>
        </w:rPr>
        <w:t xml:space="preserve"> and that the</w:t>
      </w:r>
      <w:r w:rsidR="00482CF3">
        <w:rPr>
          <w:iCs/>
        </w:rPr>
        <w:t xml:space="preserve"> pharmacokinetic</w:t>
      </w:r>
      <w:r>
        <w:rPr>
          <w:iCs/>
        </w:rPr>
        <w:t xml:space="preserve"> modelling did not identify </w:t>
      </w:r>
      <w:r w:rsidRPr="00CF084D">
        <w:rPr>
          <w:iCs/>
        </w:rPr>
        <w:t>clinically relevant differences in ruxolitinib pharmacokinetics with regard to age, race, sex, or weight</w:t>
      </w:r>
      <w:r>
        <w:rPr>
          <w:iCs/>
        </w:rPr>
        <w:t xml:space="preserve">, </w:t>
      </w:r>
      <w:r w:rsidR="00482CF3">
        <w:rPr>
          <w:iCs/>
        </w:rPr>
        <w:t>the Delegate</w:t>
      </w:r>
      <w:r>
        <w:rPr>
          <w:iCs/>
        </w:rPr>
        <w:t xml:space="preserve"> consider</w:t>
      </w:r>
      <w:r w:rsidR="00482CF3">
        <w:rPr>
          <w:iCs/>
        </w:rPr>
        <w:t>s</w:t>
      </w:r>
      <w:r>
        <w:rPr>
          <w:iCs/>
        </w:rPr>
        <w:t xml:space="preserve"> that it is appropriate to include patients aged from 12 years in the revised indications</w:t>
      </w:r>
      <w:r w:rsidRPr="00CF084D">
        <w:rPr>
          <w:iCs/>
        </w:rPr>
        <w:t>.</w:t>
      </w:r>
      <w:r>
        <w:rPr>
          <w:iCs/>
        </w:rPr>
        <w:t xml:space="preserve"> In an exploratory analysis, adolescents with c</w:t>
      </w:r>
      <w:r w:rsidR="000F437E">
        <w:rPr>
          <w:iCs/>
        </w:rPr>
        <w:t xml:space="preserve">hronic </w:t>
      </w:r>
      <w:r>
        <w:rPr>
          <w:iCs/>
        </w:rPr>
        <w:t xml:space="preserve">GVHD tended to do better with ruxolitinib than with </w:t>
      </w:r>
      <w:r w:rsidR="000F437E">
        <w:rPr>
          <w:iCs/>
        </w:rPr>
        <w:t xml:space="preserve">best available treatment </w:t>
      </w:r>
      <w:r>
        <w:rPr>
          <w:iCs/>
        </w:rPr>
        <w:t xml:space="preserve">(see </w:t>
      </w:r>
      <w:r w:rsidR="00482CF3">
        <w:rPr>
          <w:iCs/>
        </w:rPr>
        <w:fldChar w:fldCharType="begin"/>
      </w:r>
      <w:r w:rsidR="00482CF3">
        <w:rPr>
          <w:iCs/>
        </w:rPr>
        <w:instrText xml:space="preserve"> REF _Ref130816871 \h </w:instrText>
      </w:r>
      <w:r w:rsidR="00482CF3">
        <w:rPr>
          <w:iCs/>
        </w:rPr>
      </w:r>
      <w:r w:rsidR="00482CF3">
        <w:rPr>
          <w:iCs/>
        </w:rPr>
        <w:fldChar w:fldCharType="separate"/>
      </w:r>
      <w:r w:rsidR="00337955">
        <w:t xml:space="preserve">Figure </w:t>
      </w:r>
      <w:r w:rsidR="00337955">
        <w:rPr>
          <w:noProof/>
        </w:rPr>
        <w:t>2</w:t>
      </w:r>
      <w:r w:rsidR="00482CF3">
        <w:rPr>
          <w:iCs/>
        </w:rPr>
        <w:fldChar w:fldCharType="end"/>
      </w:r>
      <w:r>
        <w:rPr>
          <w:iCs/>
        </w:rPr>
        <w:t>).</w:t>
      </w:r>
    </w:p>
    <w:p w14:paraId="32AFA2E6" w14:textId="766B1742" w:rsidR="00E70AA0" w:rsidRDefault="006B7C39" w:rsidP="006B7C39">
      <w:pPr>
        <w:rPr>
          <w:iCs/>
        </w:rPr>
      </w:pPr>
      <w:r w:rsidRPr="006B7C39">
        <w:rPr>
          <w:iCs/>
        </w:rPr>
        <w:t>For both the a</w:t>
      </w:r>
      <w:r w:rsidR="000F437E">
        <w:rPr>
          <w:iCs/>
        </w:rPr>
        <w:t xml:space="preserve">cute </w:t>
      </w:r>
      <w:r w:rsidRPr="006B7C39">
        <w:rPr>
          <w:iCs/>
        </w:rPr>
        <w:t>GVHD and c</w:t>
      </w:r>
      <w:r w:rsidR="000F437E">
        <w:rPr>
          <w:iCs/>
        </w:rPr>
        <w:t xml:space="preserve">hronic </w:t>
      </w:r>
      <w:r w:rsidRPr="006B7C39">
        <w:rPr>
          <w:iCs/>
        </w:rPr>
        <w:t xml:space="preserve">GVHD development program the </w:t>
      </w:r>
      <w:r w:rsidR="00482CF3">
        <w:rPr>
          <w:iCs/>
        </w:rPr>
        <w:t>evaluators</w:t>
      </w:r>
      <w:r w:rsidRPr="006B7C39">
        <w:rPr>
          <w:iCs/>
        </w:rPr>
        <w:t xml:space="preserve"> and the </w:t>
      </w:r>
      <w:r w:rsidR="000439F1">
        <w:rPr>
          <w:iCs/>
        </w:rPr>
        <w:t>s</w:t>
      </w:r>
      <w:r w:rsidRPr="006B7C39">
        <w:rPr>
          <w:iCs/>
        </w:rPr>
        <w:t>ponsor disagreed on the most appropriate methods to assess efficacy. This has resulted in separate analyses being conducted for the accepted studies.</w:t>
      </w:r>
    </w:p>
    <w:p w14:paraId="292F2AE3" w14:textId="77777777" w:rsidR="005944BB" w:rsidRDefault="005944BB" w:rsidP="005944BB">
      <w:pPr>
        <w:pStyle w:val="Heading5"/>
      </w:pPr>
      <w:r>
        <w:t>Acute</w:t>
      </w:r>
      <w:r w:rsidRPr="005944BB">
        <w:t xml:space="preserve"> graft-versus-host disease</w:t>
      </w:r>
    </w:p>
    <w:p w14:paraId="527FB9A5" w14:textId="26C26CE0" w:rsidR="00E70AA0" w:rsidRDefault="006B7C39" w:rsidP="006B7C39">
      <w:pPr>
        <w:rPr>
          <w:iCs/>
        </w:rPr>
      </w:pPr>
      <w:r w:rsidRPr="006B7C39">
        <w:rPr>
          <w:iCs/>
        </w:rPr>
        <w:t xml:space="preserve">The differences in approach to the analysis of efficacy in </w:t>
      </w:r>
      <w:r w:rsidR="000439F1">
        <w:rPr>
          <w:iCs/>
        </w:rPr>
        <w:t>S</w:t>
      </w:r>
      <w:r w:rsidR="000439F1" w:rsidRPr="000439F1">
        <w:rPr>
          <w:iCs/>
        </w:rPr>
        <w:t xml:space="preserve">tudy 18424-271 </w:t>
      </w:r>
      <w:r w:rsidR="00740D5E">
        <w:rPr>
          <w:iCs/>
        </w:rPr>
        <w:t xml:space="preserve">(the REACH 1 trial) </w:t>
      </w:r>
      <w:r w:rsidRPr="006B7C39">
        <w:rPr>
          <w:iCs/>
        </w:rPr>
        <w:t>were primarily patient eligibility, the assessment of</w:t>
      </w:r>
      <w:r w:rsidR="000439F1">
        <w:rPr>
          <w:iCs/>
        </w:rPr>
        <w:t xml:space="preserve"> duration of response</w:t>
      </w:r>
      <w:r w:rsidRPr="006B7C39">
        <w:rPr>
          <w:iCs/>
        </w:rPr>
        <w:t xml:space="preserve"> and the endpoints used to determine how </w:t>
      </w:r>
      <w:r w:rsidR="000439F1">
        <w:rPr>
          <w:iCs/>
        </w:rPr>
        <w:t xml:space="preserve">duration of response </w:t>
      </w:r>
      <w:r w:rsidRPr="006B7C39">
        <w:rPr>
          <w:iCs/>
        </w:rPr>
        <w:t xml:space="preserve">would be measured. </w:t>
      </w:r>
      <w:r w:rsidR="000F437E">
        <w:rPr>
          <w:iCs/>
        </w:rPr>
        <w:t>A supplementary regulatory</w:t>
      </w:r>
      <w:r w:rsidR="000439F1">
        <w:rPr>
          <w:iCs/>
        </w:rPr>
        <w:t xml:space="preserve"> </w:t>
      </w:r>
      <w:r w:rsidRPr="006B7C39">
        <w:rPr>
          <w:iCs/>
        </w:rPr>
        <w:t>analysis excluded 22</w:t>
      </w:r>
      <w:r w:rsidR="000439F1">
        <w:rPr>
          <w:iCs/>
        </w:rPr>
        <w:t> </w:t>
      </w:r>
      <w:r w:rsidRPr="006B7C39">
        <w:rPr>
          <w:iCs/>
        </w:rPr>
        <w:t xml:space="preserve">(31%) patients due to insufficient prior corticosteroid or insufficient response to prior corticosteroid and other treatments. The </w:t>
      </w:r>
      <w:r w:rsidR="000439F1">
        <w:rPr>
          <w:iCs/>
        </w:rPr>
        <w:t>overall response</w:t>
      </w:r>
      <w:r w:rsidRPr="006B7C39">
        <w:rPr>
          <w:iCs/>
        </w:rPr>
        <w:t xml:space="preserve"> in the subgroup of patients selected for the </w:t>
      </w:r>
      <w:r w:rsidR="000439F1">
        <w:rPr>
          <w:iCs/>
        </w:rPr>
        <w:t>evaluator’s</w:t>
      </w:r>
      <w:r w:rsidRPr="006B7C39">
        <w:rPr>
          <w:iCs/>
        </w:rPr>
        <w:t xml:space="preserve"> analysis had similar </w:t>
      </w:r>
      <w:r w:rsidR="000439F1">
        <w:rPr>
          <w:iCs/>
        </w:rPr>
        <w:t xml:space="preserve">overall response rate </w:t>
      </w:r>
      <w:r w:rsidRPr="006B7C39">
        <w:rPr>
          <w:iCs/>
        </w:rPr>
        <w:t xml:space="preserve">results to the patients in the </w:t>
      </w:r>
      <w:proofErr w:type="gramStart"/>
      <w:r w:rsidRPr="006B7C39">
        <w:rPr>
          <w:iCs/>
        </w:rPr>
        <w:t>study as a whole</w:t>
      </w:r>
      <w:proofErr w:type="gramEnd"/>
      <w:r w:rsidRPr="006B7C39">
        <w:rPr>
          <w:iCs/>
        </w:rPr>
        <w:t>.</w:t>
      </w:r>
      <w:r w:rsidR="00E70AA0">
        <w:rPr>
          <w:iCs/>
        </w:rPr>
        <w:t xml:space="preserve"> </w:t>
      </w:r>
      <w:r w:rsidRPr="006B7C39">
        <w:rPr>
          <w:iCs/>
        </w:rPr>
        <w:t>This is reassuring and suggests ruxolitinib will have similar efficacy in patients who have had an insufficient response to corticosteroids and other treatments to that of patients with only steroid resistance.</w:t>
      </w:r>
    </w:p>
    <w:p w14:paraId="1CFCBBDE" w14:textId="3DBFCFC4" w:rsidR="006B7C39" w:rsidRPr="006B7C39" w:rsidRDefault="006B7C39" w:rsidP="006B7C39">
      <w:pPr>
        <w:rPr>
          <w:iCs/>
        </w:rPr>
      </w:pPr>
      <w:r w:rsidRPr="006B7C39">
        <w:rPr>
          <w:iCs/>
        </w:rPr>
        <w:t>The key secondary endpoint was the six-month duration of response, defined as the time from first response until GVHD progression or death. Of the 40</w:t>
      </w:r>
      <w:r w:rsidR="000F437E">
        <w:rPr>
          <w:iCs/>
        </w:rPr>
        <w:t xml:space="preserve"> of </w:t>
      </w:r>
      <w:r w:rsidRPr="006B7C39">
        <w:rPr>
          <w:iCs/>
        </w:rPr>
        <w:t>71 (56.3%) subjects who were Day</w:t>
      </w:r>
      <w:r w:rsidR="000F437E">
        <w:rPr>
          <w:iCs/>
        </w:rPr>
        <w:t> </w:t>
      </w:r>
      <w:r w:rsidRPr="006B7C39">
        <w:rPr>
          <w:iCs/>
        </w:rPr>
        <w:t>28 responders, 15</w:t>
      </w:r>
      <w:r w:rsidR="000F437E">
        <w:rPr>
          <w:iCs/>
        </w:rPr>
        <w:t xml:space="preserve"> of </w:t>
      </w:r>
      <w:r w:rsidRPr="006B7C39">
        <w:rPr>
          <w:iCs/>
        </w:rPr>
        <w:t>40 of these were in response at 6 months.</w:t>
      </w:r>
      <w:r w:rsidR="00E70AA0">
        <w:rPr>
          <w:iCs/>
        </w:rPr>
        <w:t xml:space="preserve"> </w:t>
      </w:r>
      <w:r w:rsidRPr="006B7C39">
        <w:rPr>
          <w:iCs/>
        </w:rPr>
        <w:t>The median</w:t>
      </w:r>
      <w:r w:rsidR="000439F1">
        <w:rPr>
          <w:iCs/>
        </w:rPr>
        <w:t xml:space="preserve"> duration of response</w:t>
      </w:r>
      <w:r w:rsidRPr="006B7C39">
        <w:rPr>
          <w:iCs/>
        </w:rPr>
        <w:t xml:space="preserve"> for that population was 669.0 days (95% CI: 159.0, </w:t>
      </w:r>
      <w:r w:rsidR="000439F1">
        <w:rPr>
          <w:iCs/>
        </w:rPr>
        <w:t>not evaluable</w:t>
      </w:r>
      <w:r w:rsidRPr="006B7C39">
        <w:rPr>
          <w:iCs/>
        </w:rPr>
        <w:t>) with a median follow-up time of 195.0 days (range: 7</w:t>
      </w:r>
      <w:r w:rsidR="000439F1">
        <w:rPr>
          <w:iCs/>
        </w:rPr>
        <w:t xml:space="preserve"> to </w:t>
      </w:r>
      <w:r w:rsidRPr="006B7C39">
        <w:rPr>
          <w:iCs/>
        </w:rPr>
        <w:t>805 days). The 3 and 6</w:t>
      </w:r>
      <w:r w:rsidR="000439F1">
        <w:rPr>
          <w:iCs/>
        </w:rPr>
        <w:t xml:space="preserve"> </w:t>
      </w:r>
      <w:r w:rsidRPr="006B7C39">
        <w:rPr>
          <w:iCs/>
        </w:rPr>
        <w:t>month event-free probabilities for</w:t>
      </w:r>
      <w:r w:rsidR="000439F1">
        <w:rPr>
          <w:iCs/>
        </w:rPr>
        <w:t xml:space="preserve"> duration of response</w:t>
      </w:r>
      <w:r w:rsidRPr="006B7C39">
        <w:rPr>
          <w:iCs/>
        </w:rPr>
        <w:t xml:space="preserve"> based on a response at Day 28, were 84.5% (95% CI: 68.7, 92.7) and 68.2% (95% CI: 49.6, 81.2), respectively, and were numerically greater for Day 28 responders than those reported for participants who responded at any time. Three</w:t>
      </w:r>
      <w:r w:rsidR="000439F1">
        <w:rPr>
          <w:iCs/>
        </w:rPr>
        <w:t xml:space="preserve"> </w:t>
      </w:r>
      <w:r w:rsidRPr="006B7C39">
        <w:rPr>
          <w:iCs/>
        </w:rPr>
        <w:t xml:space="preserve">month and </w:t>
      </w:r>
      <w:r w:rsidR="000439F1">
        <w:rPr>
          <w:iCs/>
        </w:rPr>
        <w:t>six-month</w:t>
      </w:r>
      <w:r w:rsidRPr="006B7C39">
        <w:rPr>
          <w:iCs/>
        </w:rPr>
        <w:t xml:space="preserve"> event-free probabilities for </w:t>
      </w:r>
      <w:r w:rsidR="000439F1">
        <w:rPr>
          <w:iCs/>
        </w:rPr>
        <w:t>duration of response</w:t>
      </w:r>
      <w:r w:rsidRPr="006B7C39">
        <w:rPr>
          <w:iCs/>
        </w:rPr>
        <w:t xml:space="preserve"> based on a response at any timepoint were 75.6% (95%</w:t>
      </w:r>
      <w:r w:rsidR="000439F1">
        <w:rPr>
          <w:iCs/>
        </w:rPr>
        <w:t> </w:t>
      </w:r>
      <w:r w:rsidRPr="006B7C39">
        <w:rPr>
          <w:iCs/>
        </w:rPr>
        <w:t>CI: 61.0, 85.4) and 62.1% (</w:t>
      </w:r>
      <w:r w:rsidR="000439F1">
        <w:rPr>
          <w:iCs/>
        </w:rPr>
        <w:t xml:space="preserve">95% CI: </w:t>
      </w:r>
      <w:r w:rsidRPr="006B7C39">
        <w:rPr>
          <w:iCs/>
        </w:rPr>
        <w:t>45.8, 74.8), respectively.</w:t>
      </w:r>
    </w:p>
    <w:p w14:paraId="26BFED6C" w14:textId="396A221B" w:rsidR="006B7C39" w:rsidRPr="006B7C39" w:rsidRDefault="006B7C39" w:rsidP="006B7C39">
      <w:pPr>
        <w:rPr>
          <w:iCs/>
        </w:rPr>
      </w:pPr>
      <w:r w:rsidRPr="006B7C39">
        <w:rPr>
          <w:iCs/>
        </w:rPr>
        <w:t xml:space="preserve">For the 28 participants in the steroid refractory evaluable population </w:t>
      </w:r>
      <w:r w:rsidR="00FA5EE4">
        <w:rPr>
          <w:iCs/>
        </w:rPr>
        <w:t xml:space="preserve">(as defined in the supplementary regulatory analysis) </w:t>
      </w:r>
      <w:r w:rsidRPr="006B7C39">
        <w:rPr>
          <w:iCs/>
        </w:rPr>
        <w:t xml:space="preserve">who had a response at Day 28, the median </w:t>
      </w:r>
      <w:r w:rsidR="000439F1">
        <w:rPr>
          <w:iCs/>
        </w:rPr>
        <w:t>duration of response</w:t>
      </w:r>
      <w:r w:rsidRPr="006B7C39">
        <w:rPr>
          <w:iCs/>
        </w:rPr>
        <w:t>, calculated from Day 28 response to progression, new a</w:t>
      </w:r>
      <w:r w:rsidR="000F437E">
        <w:rPr>
          <w:iCs/>
        </w:rPr>
        <w:t xml:space="preserve">cute </w:t>
      </w:r>
      <w:r w:rsidRPr="006B7C39">
        <w:rPr>
          <w:iCs/>
        </w:rPr>
        <w:t xml:space="preserve">GVHD therapy, or death (with progression being defined as worsening by </w:t>
      </w:r>
      <w:r w:rsidR="000439F1">
        <w:rPr>
          <w:iCs/>
        </w:rPr>
        <w:t>one</w:t>
      </w:r>
      <w:r w:rsidRPr="006B7C39">
        <w:rPr>
          <w:iCs/>
        </w:rPr>
        <w:t xml:space="preserve"> stage in any organ without improvement in other organs in comparison to prior response assessment) was 16.0 days (95% CI: 9.0, 83.0). This difference in definition of</w:t>
      </w:r>
      <w:r w:rsidR="00E70AA0">
        <w:rPr>
          <w:iCs/>
        </w:rPr>
        <w:t xml:space="preserve"> </w:t>
      </w:r>
      <w:r w:rsidR="000439F1">
        <w:rPr>
          <w:iCs/>
        </w:rPr>
        <w:t>duration of response</w:t>
      </w:r>
      <w:r w:rsidRPr="006B7C39">
        <w:rPr>
          <w:iCs/>
        </w:rPr>
        <w:t xml:space="preserve"> has allowed for very large differences in </w:t>
      </w:r>
      <w:r w:rsidR="000439F1">
        <w:rPr>
          <w:iCs/>
        </w:rPr>
        <w:t xml:space="preserve">duration of response </w:t>
      </w:r>
      <w:r w:rsidRPr="006B7C39">
        <w:rPr>
          <w:iCs/>
        </w:rPr>
        <w:t xml:space="preserve">reported in the </w:t>
      </w:r>
      <w:r w:rsidR="000439F1">
        <w:rPr>
          <w:iCs/>
        </w:rPr>
        <w:t>clinical study report</w:t>
      </w:r>
      <w:r w:rsidRPr="006B7C39">
        <w:rPr>
          <w:iCs/>
        </w:rPr>
        <w:t xml:space="preserve"> and </w:t>
      </w:r>
      <w:r w:rsidR="00214FD5">
        <w:rPr>
          <w:iCs/>
        </w:rPr>
        <w:t>in the supplemental analysis</w:t>
      </w:r>
      <w:r w:rsidRPr="006B7C39">
        <w:rPr>
          <w:iCs/>
        </w:rPr>
        <w:t xml:space="preserve">. The difference in the primary definition of </w:t>
      </w:r>
      <w:r w:rsidR="000439F1">
        <w:rPr>
          <w:iCs/>
        </w:rPr>
        <w:t xml:space="preserve">duration of response </w:t>
      </w:r>
      <w:r w:rsidRPr="006B7C39">
        <w:rPr>
          <w:iCs/>
        </w:rPr>
        <w:t xml:space="preserve">between the </w:t>
      </w:r>
      <w:r w:rsidR="000439F1">
        <w:rPr>
          <w:iCs/>
        </w:rPr>
        <w:t>clinical study report</w:t>
      </w:r>
      <w:r w:rsidRPr="006B7C39">
        <w:rPr>
          <w:iCs/>
        </w:rPr>
        <w:t xml:space="preserve"> and th</w:t>
      </w:r>
      <w:r w:rsidR="000F437E">
        <w:rPr>
          <w:iCs/>
        </w:rPr>
        <w:t>at used in the supplemental analysis</w:t>
      </w:r>
      <w:r w:rsidRPr="006B7C39">
        <w:rPr>
          <w:iCs/>
        </w:rPr>
        <w:t xml:space="preserve"> was due to the method of determination of </w:t>
      </w:r>
      <w:r w:rsidR="000439F1">
        <w:rPr>
          <w:iCs/>
        </w:rPr>
        <w:t>p</w:t>
      </w:r>
      <w:r w:rsidRPr="006B7C39">
        <w:rPr>
          <w:iCs/>
        </w:rPr>
        <w:t xml:space="preserve">rogressive </w:t>
      </w:r>
      <w:r w:rsidR="000439F1">
        <w:rPr>
          <w:iCs/>
        </w:rPr>
        <w:t>d</w:t>
      </w:r>
      <w:r w:rsidRPr="006B7C39">
        <w:rPr>
          <w:iCs/>
        </w:rPr>
        <w:t xml:space="preserve">isease and the timepoint from which assessment of </w:t>
      </w:r>
      <w:r w:rsidR="000439F1">
        <w:rPr>
          <w:iCs/>
        </w:rPr>
        <w:t xml:space="preserve">duration of response </w:t>
      </w:r>
      <w:r w:rsidRPr="006B7C39">
        <w:rPr>
          <w:iCs/>
        </w:rPr>
        <w:t>commenced.</w:t>
      </w:r>
    </w:p>
    <w:p w14:paraId="2344408E" w14:textId="7121CBAE" w:rsidR="00E70AA0" w:rsidRDefault="006B7C39" w:rsidP="006B7C39">
      <w:pPr>
        <w:rPr>
          <w:iCs/>
        </w:rPr>
      </w:pPr>
      <w:r w:rsidRPr="006B7C39">
        <w:rPr>
          <w:iCs/>
        </w:rPr>
        <w:t>P</w:t>
      </w:r>
      <w:r w:rsidR="000439F1">
        <w:rPr>
          <w:iCs/>
        </w:rPr>
        <w:t>rogressive disease</w:t>
      </w:r>
      <w:r w:rsidRPr="006B7C39">
        <w:rPr>
          <w:iCs/>
        </w:rPr>
        <w:t xml:space="preserve"> was defined as a deterioration in at least </w:t>
      </w:r>
      <w:r w:rsidR="000439F1">
        <w:rPr>
          <w:iCs/>
        </w:rPr>
        <w:t>one</w:t>
      </w:r>
      <w:r w:rsidRPr="006B7C39">
        <w:rPr>
          <w:iCs/>
        </w:rPr>
        <w:t xml:space="preserve"> organ without any improvement in others. In the </w:t>
      </w:r>
      <w:r w:rsidR="000439F1">
        <w:rPr>
          <w:iCs/>
        </w:rPr>
        <w:t>clinical study report, progressive disease</w:t>
      </w:r>
      <w:r w:rsidRPr="006B7C39">
        <w:rPr>
          <w:iCs/>
        </w:rPr>
        <w:t xml:space="preserve"> was calculated from </w:t>
      </w:r>
      <w:r w:rsidR="000439F1">
        <w:rPr>
          <w:iCs/>
        </w:rPr>
        <w:t>B</w:t>
      </w:r>
      <w:r w:rsidRPr="006B7C39">
        <w:rPr>
          <w:iCs/>
        </w:rPr>
        <w:t>aseline whereas the</w:t>
      </w:r>
      <w:r w:rsidR="000439F1">
        <w:rPr>
          <w:iCs/>
        </w:rPr>
        <w:t xml:space="preserve"> evaluators</w:t>
      </w:r>
      <w:r w:rsidRPr="006B7C39">
        <w:rPr>
          <w:iCs/>
        </w:rPr>
        <w:t xml:space="preserve"> calculated it from the prior response assessment. The </w:t>
      </w:r>
      <w:r w:rsidR="000439F1">
        <w:rPr>
          <w:iCs/>
        </w:rPr>
        <w:t>s</w:t>
      </w:r>
      <w:r w:rsidRPr="006B7C39">
        <w:rPr>
          <w:iCs/>
        </w:rPr>
        <w:t xml:space="preserve">ponsor </w:t>
      </w:r>
      <w:r w:rsidRPr="006B7C39">
        <w:rPr>
          <w:iCs/>
        </w:rPr>
        <w:lastRenderedPageBreak/>
        <w:t xml:space="preserve">has noted that </w:t>
      </w:r>
      <w:r w:rsidR="000439F1">
        <w:rPr>
          <w:iCs/>
        </w:rPr>
        <w:t xml:space="preserve">progressive disease </w:t>
      </w:r>
      <w:r w:rsidRPr="006B7C39">
        <w:rPr>
          <w:iCs/>
        </w:rPr>
        <w:t xml:space="preserve">measurement is complex in both acute and chronic </w:t>
      </w:r>
      <w:r w:rsidR="00E76F8D">
        <w:rPr>
          <w:iCs/>
        </w:rPr>
        <w:t>GVHD</w:t>
      </w:r>
      <w:r w:rsidRPr="006B7C39">
        <w:rPr>
          <w:iCs/>
        </w:rPr>
        <w:t xml:space="preserve">, that there are no standard guidelines for comparison and cited </w:t>
      </w:r>
      <w:r w:rsidR="000439F1">
        <w:rPr>
          <w:iCs/>
        </w:rPr>
        <w:t>four</w:t>
      </w:r>
      <w:r w:rsidRPr="006B7C39">
        <w:rPr>
          <w:iCs/>
        </w:rPr>
        <w:t xml:space="preserve"> publications supporting assessment time against baseline as appropriate in a</w:t>
      </w:r>
      <w:r w:rsidR="000F437E">
        <w:rPr>
          <w:iCs/>
        </w:rPr>
        <w:t xml:space="preserve">cute </w:t>
      </w:r>
      <w:r w:rsidRPr="006B7C39">
        <w:rPr>
          <w:iCs/>
        </w:rPr>
        <w:t xml:space="preserve">GVHD. The </w:t>
      </w:r>
      <w:r w:rsidR="000F437E">
        <w:rPr>
          <w:iCs/>
        </w:rPr>
        <w:t xml:space="preserve">supplemental analysis </w:t>
      </w:r>
      <w:r w:rsidRPr="006B7C39">
        <w:rPr>
          <w:iCs/>
        </w:rPr>
        <w:t xml:space="preserve">considered that </w:t>
      </w:r>
      <w:r w:rsidR="000439F1">
        <w:rPr>
          <w:iCs/>
        </w:rPr>
        <w:t xml:space="preserve">progressive disease </w:t>
      </w:r>
      <w:r w:rsidRPr="006B7C39">
        <w:rPr>
          <w:iCs/>
        </w:rPr>
        <w:t xml:space="preserve">would be more appropriately measured from when best response was achieved. The </w:t>
      </w:r>
      <w:r w:rsidR="000439F1">
        <w:rPr>
          <w:iCs/>
        </w:rPr>
        <w:t>s</w:t>
      </w:r>
      <w:r w:rsidRPr="006B7C39">
        <w:rPr>
          <w:iCs/>
        </w:rPr>
        <w:t xml:space="preserve">ponsor also noted that the </w:t>
      </w:r>
      <w:r w:rsidR="000439F1">
        <w:rPr>
          <w:iCs/>
        </w:rPr>
        <w:t>duration of response</w:t>
      </w:r>
      <w:r w:rsidRPr="006B7C39">
        <w:rPr>
          <w:iCs/>
        </w:rPr>
        <w:t xml:space="preserve">, defined as the interval from response to progression or death, is used frequently for oncologic trials. However, this definition of </w:t>
      </w:r>
      <w:r w:rsidR="000439F1">
        <w:rPr>
          <w:iCs/>
        </w:rPr>
        <w:t>duration of response</w:t>
      </w:r>
      <w:r w:rsidRPr="006B7C39">
        <w:rPr>
          <w:iCs/>
        </w:rPr>
        <w:t xml:space="preserve"> does not account for the inherent tendency of a</w:t>
      </w:r>
      <w:r w:rsidR="000F437E">
        <w:rPr>
          <w:iCs/>
        </w:rPr>
        <w:t xml:space="preserve">cute </w:t>
      </w:r>
      <w:r w:rsidRPr="006B7C39">
        <w:rPr>
          <w:iCs/>
        </w:rPr>
        <w:t>GVHD to flare and resolve without additional systemic treatment.</w:t>
      </w:r>
    </w:p>
    <w:p w14:paraId="301E63D1" w14:textId="14FC48BD" w:rsidR="006B7C39" w:rsidRPr="006B7C39" w:rsidRDefault="000F437E" w:rsidP="00133143">
      <w:r>
        <w:t>In the</w:t>
      </w:r>
      <w:r w:rsidRPr="006B7C39">
        <w:t xml:space="preserve"> </w:t>
      </w:r>
      <w:r>
        <w:t>supplemental regulatory analysis, the</w:t>
      </w:r>
      <w:r w:rsidRPr="006B7C39">
        <w:t xml:space="preserve"> </w:t>
      </w:r>
      <w:r w:rsidR="006B7C39" w:rsidRPr="006B7C39">
        <w:t xml:space="preserve">secondary definition of </w:t>
      </w:r>
      <w:r w:rsidR="000439F1">
        <w:t>duration of response</w:t>
      </w:r>
      <w:r w:rsidR="006B7C39" w:rsidRPr="006B7C39">
        <w:t xml:space="preserve"> did not include direct assessment of </w:t>
      </w:r>
      <w:r w:rsidR="000439F1">
        <w:t>progress disease</w:t>
      </w:r>
      <w:r w:rsidR="006B7C39" w:rsidRPr="006B7C39">
        <w:t xml:space="preserve">. It was defined as an increase in corticosteroid from </w:t>
      </w:r>
      <w:r w:rsidR="000439F1">
        <w:t>B</w:t>
      </w:r>
      <w:r w:rsidR="006B7C39" w:rsidRPr="006B7C39">
        <w:t>aseline, start of new a</w:t>
      </w:r>
      <w:r>
        <w:t xml:space="preserve">cute </w:t>
      </w:r>
      <w:r w:rsidR="006B7C39" w:rsidRPr="006B7C39">
        <w:t xml:space="preserve">GVHD therapy, or death for the Day 28 responders. The median </w:t>
      </w:r>
      <w:r w:rsidR="000439F1">
        <w:t xml:space="preserve">duration of response </w:t>
      </w:r>
      <w:r w:rsidR="006B7C39" w:rsidRPr="006B7C39">
        <w:t>using that definition was 173.0 days (95% CI:77.0, 304.0) from the Day 28 response.</w:t>
      </w:r>
    </w:p>
    <w:p w14:paraId="5A1FF133" w14:textId="56287E5E" w:rsidR="00E70AA0" w:rsidRDefault="006B7C39" w:rsidP="00133143">
      <w:r w:rsidRPr="006B7C39">
        <w:t xml:space="preserve">In </w:t>
      </w:r>
      <w:r w:rsidR="000439F1" w:rsidRPr="000439F1">
        <w:t>Study 18424-271</w:t>
      </w:r>
      <w:r w:rsidRPr="006B7C39">
        <w:t xml:space="preserve"> </w:t>
      </w:r>
      <w:r w:rsidR="00214FD5">
        <w:t xml:space="preserve">(the REACH 1 trial) </w:t>
      </w:r>
      <w:r w:rsidRPr="006B7C39">
        <w:t>a</w:t>
      </w:r>
      <w:r w:rsidR="000F437E">
        <w:t xml:space="preserve">cute </w:t>
      </w:r>
      <w:r w:rsidRPr="006B7C39">
        <w:t>GVHD response was measured primarily at Day</w:t>
      </w:r>
      <w:r w:rsidR="00214FD5">
        <w:t> </w:t>
      </w:r>
      <w:r w:rsidRPr="006B7C39">
        <w:t>28 rather than as the best response at any time</w:t>
      </w:r>
      <w:r w:rsidR="00214FD5">
        <w:t xml:space="preserve"> </w:t>
      </w:r>
      <w:r w:rsidRPr="006B7C39">
        <w:t xml:space="preserve">point or during a nominated </w:t>
      </w:r>
      <w:proofErr w:type="gramStart"/>
      <w:r w:rsidRPr="006B7C39">
        <w:t>time period</w:t>
      </w:r>
      <w:proofErr w:type="gramEnd"/>
      <w:r w:rsidRPr="006B7C39">
        <w:t xml:space="preserve"> such as within the first 28 days. According to the </w:t>
      </w:r>
      <w:r w:rsidR="000439F1">
        <w:t>s</w:t>
      </w:r>
      <w:r w:rsidRPr="006B7C39">
        <w:t>ponsor’s analysis there were 14 subjects who responded during the study but were not in response at Day 28. This suggests that if treatment were ceased for patients not in response at Day 28 that about 20% of patients who would have benefited from ruxolitinib would not be eligible to continue to receive it.</w:t>
      </w:r>
    </w:p>
    <w:p w14:paraId="2774F674" w14:textId="74CC3D78" w:rsidR="00E70AA0" w:rsidRDefault="006B7C39" w:rsidP="006B7C39">
      <w:pPr>
        <w:rPr>
          <w:iCs/>
        </w:rPr>
      </w:pPr>
      <w:r w:rsidRPr="006B7C39">
        <w:rPr>
          <w:iCs/>
        </w:rPr>
        <w:t xml:space="preserve">For </w:t>
      </w:r>
      <w:r w:rsidR="00214FD5">
        <w:rPr>
          <w:iCs/>
        </w:rPr>
        <w:t xml:space="preserve">acute </w:t>
      </w:r>
      <w:r w:rsidRPr="006B7C39">
        <w:rPr>
          <w:iCs/>
        </w:rPr>
        <w:t xml:space="preserve">GVHD in </w:t>
      </w:r>
      <w:r w:rsidR="000439F1" w:rsidRPr="000439F1">
        <w:rPr>
          <w:iCs/>
        </w:rPr>
        <w:t>Study 18424-271</w:t>
      </w:r>
      <w:r w:rsidR="00214FD5">
        <w:rPr>
          <w:iCs/>
        </w:rPr>
        <w:t>,</w:t>
      </w:r>
      <w:r w:rsidR="000439F1" w:rsidRPr="000439F1">
        <w:rPr>
          <w:iCs/>
        </w:rPr>
        <w:t xml:space="preserve"> </w:t>
      </w:r>
      <w:r w:rsidRPr="006B7C39">
        <w:rPr>
          <w:iCs/>
        </w:rPr>
        <w:t xml:space="preserve">the </w:t>
      </w:r>
      <w:r w:rsidR="00214FD5">
        <w:rPr>
          <w:iCs/>
        </w:rPr>
        <w:t>supplemental regulatory</w:t>
      </w:r>
      <w:r w:rsidR="00214FD5" w:rsidRPr="006B7C39">
        <w:rPr>
          <w:iCs/>
        </w:rPr>
        <w:t xml:space="preserve"> </w:t>
      </w:r>
      <w:r w:rsidR="00214FD5">
        <w:rPr>
          <w:iCs/>
        </w:rPr>
        <w:t xml:space="preserve">analysis </w:t>
      </w:r>
      <w:r w:rsidRPr="006B7C39">
        <w:rPr>
          <w:iCs/>
        </w:rPr>
        <w:t xml:space="preserve">assessment of the steroid only refractory population, when evaluated by </w:t>
      </w:r>
      <w:r w:rsidR="000439F1">
        <w:rPr>
          <w:iCs/>
        </w:rPr>
        <w:t>B</w:t>
      </w:r>
      <w:r w:rsidRPr="006B7C39">
        <w:rPr>
          <w:iCs/>
        </w:rPr>
        <w:t>aseline a</w:t>
      </w:r>
      <w:r w:rsidR="00214FD5">
        <w:rPr>
          <w:iCs/>
        </w:rPr>
        <w:t xml:space="preserve">cute </w:t>
      </w:r>
      <w:r w:rsidRPr="006B7C39">
        <w:rPr>
          <w:iCs/>
        </w:rPr>
        <w:t xml:space="preserve">GVHD grade, the Day 28 </w:t>
      </w:r>
      <w:r w:rsidR="000439F1">
        <w:rPr>
          <w:iCs/>
        </w:rPr>
        <w:t>overall response</w:t>
      </w:r>
      <w:r w:rsidRPr="006B7C39">
        <w:rPr>
          <w:iCs/>
        </w:rPr>
        <w:t xml:space="preserve"> was 100.0% (13 of 13 participants) for Grade II, 40.7% (11 of 27 participants) for Grade III, and 44.4% (4 of 9 participants) for Grade IV, compared with 57.1% for all grades combined. This suggests that patients with less severe a</w:t>
      </w:r>
      <w:r w:rsidR="00214FD5">
        <w:rPr>
          <w:iCs/>
        </w:rPr>
        <w:t xml:space="preserve">cute </w:t>
      </w:r>
      <w:r w:rsidRPr="006B7C39">
        <w:rPr>
          <w:iCs/>
        </w:rPr>
        <w:t>GVHD are more likely to respond to ruxolitinib than are patients with more severe disease.</w:t>
      </w:r>
    </w:p>
    <w:p w14:paraId="4F4F1045" w14:textId="6EB38CA0" w:rsidR="00E70AA0" w:rsidRDefault="006B7C39" w:rsidP="006B7C39">
      <w:pPr>
        <w:rPr>
          <w:iCs/>
        </w:rPr>
      </w:pPr>
      <w:r w:rsidRPr="006B7C39">
        <w:rPr>
          <w:iCs/>
        </w:rPr>
        <w:t xml:space="preserve">The </w:t>
      </w:r>
      <w:r w:rsidR="00214FD5">
        <w:rPr>
          <w:iCs/>
        </w:rPr>
        <w:t>supplemental analysis</w:t>
      </w:r>
      <w:r w:rsidR="00214FD5" w:rsidRPr="006B7C39">
        <w:rPr>
          <w:iCs/>
        </w:rPr>
        <w:t xml:space="preserve"> </w:t>
      </w:r>
      <w:r w:rsidRPr="006B7C39">
        <w:rPr>
          <w:iCs/>
        </w:rPr>
        <w:t xml:space="preserve">compared </w:t>
      </w:r>
      <w:r w:rsidR="000439F1">
        <w:rPr>
          <w:iCs/>
        </w:rPr>
        <w:t>overall survival</w:t>
      </w:r>
      <w:r w:rsidRPr="006B7C39">
        <w:rPr>
          <w:iCs/>
        </w:rPr>
        <w:t xml:space="preserve"> in </w:t>
      </w:r>
      <w:r w:rsidR="000439F1">
        <w:rPr>
          <w:iCs/>
        </w:rPr>
        <w:t>S</w:t>
      </w:r>
      <w:r w:rsidR="000439F1" w:rsidRPr="000439F1">
        <w:rPr>
          <w:iCs/>
        </w:rPr>
        <w:t xml:space="preserve">tudy 18424-271 </w:t>
      </w:r>
      <w:r w:rsidRPr="006B7C39">
        <w:rPr>
          <w:iCs/>
        </w:rPr>
        <w:t>as a method of assessment of the value of</w:t>
      </w:r>
      <w:r w:rsidR="000439F1">
        <w:rPr>
          <w:iCs/>
        </w:rPr>
        <w:t xml:space="preserve"> </w:t>
      </w:r>
      <w:r w:rsidRPr="006B7C39">
        <w:rPr>
          <w:iCs/>
        </w:rPr>
        <w:t>Day</w:t>
      </w:r>
      <w:r w:rsidR="000439F1">
        <w:rPr>
          <w:iCs/>
        </w:rPr>
        <w:t xml:space="preserve"> 28 overall response rate </w:t>
      </w:r>
      <w:r w:rsidRPr="006B7C39">
        <w:rPr>
          <w:iCs/>
        </w:rPr>
        <w:t>in assessing long-term benefit.</w:t>
      </w:r>
      <w:r w:rsidR="00E70AA0">
        <w:rPr>
          <w:iCs/>
        </w:rPr>
        <w:t xml:space="preserve"> </w:t>
      </w:r>
      <w:r w:rsidRPr="006B7C39">
        <w:rPr>
          <w:iCs/>
        </w:rPr>
        <w:t>The difference was</w:t>
      </w:r>
      <w:r w:rsidR="00E70AA0">
        <w:rPr>
          <w:iCs/>
        </w:rPr>
        <w:t xml:space="preserve"> </w:t>
      </w:r>
      <w:r w:rsidRPr="006B7C39">
        <w:rPr>
          <w:iCs/>
        </w:rPr>
        <w:t>large (71% if in response at Day 28</w:t>
      </w:r>
      <w:r w:rsidR="00E70AA0">
        <w:rPr>
          <w:iCs/>
        </w:rPr>
        <w:t xml:space="preserve"> </w:t>
      </w:r>
      <w:r w:rsidR="00616059">
        <w:rPr>
          <w:iCs/>
        </w:rPr>
        <w:t>versus</w:t>
      </w:r>
      <w:r w:rsidRPr="006B7C39">
        <w:rPr>
          <w:iCs/>
        </w:rPr>
        <w:t xml:space="preserve"> 24% if not in response at Day 28) suggesting this is a useful surrogate endpoint for long-term benefit in a</w:t>
      </w:r>
      <w:r w:rsidR="00214FD5">
        <w:rPr>
          <w:iCs/>
        </w:rPr>
        <w:t xml:space="preserve">cute </w:t>
      </w:r>
      <w:r w:rsidRPr="006B7C39">
        <w:rPr>
          <w:iCs/>
        </w:rPr>
        <w:t>GVHD.</w:t>
      </w:r>
      <w:r w:rsidR="00E70AA0">
        <w:rPr>
          <w:iCs/>
        </w:rPr>
        <w:t xml:space="preserve"> </w:t>
      </w:r>
      <w:r w:rsidRPr="006B7C39">
        <w:rPr>
          <w:iCs/>
        </w:rPr>
        <w:t xml:space="preserve">However, </w:t>
      </w:r>
      <w:r w:rsidR="000439F1">
        <w:rPr>
          <w:iCs/>
        </w:rPr>
        <w:t>the Delegate</w:t>
      </w:r>
      <w:r w:rsidRPr="006B7C39">
        <w:rPr>
          <w:iCs/>
        </w:rPr>
        <w:t xml:space="preserve"> consider</w:t>
      </w:r>
      <w:r w:rsidR="000439F1">
        <w:rPr>
          <w:iCs/>
        </w:rPr>
        <w:t>s</w:t>
      </w:r>
      <w:r w:rsidRPr="006B7C39">
        <w:rPr>
          <w:iCs/>
        </w:rPr>
        <w:t xml:space="preserve"> its usefulness as a surrogate for long-term benefit should be tested in a randomised, controlled study before it is adopted given the inherent tendency of the severity of a</w:t>
      </w:r>
      <w:r w:rsidR="00214FD5">
        <w:rPr>
          <w:iCs/>
        </w:rPr>
        <w:t xml:space="preserve">cute </w:t>
      </w:r>
      <w:r w:rsidRPr="006B7C39">
        <w:rPr>
          <w:iCs/>
        </w:rPr>
        <w:t>GVHD to vary over time.</w:t>
      </w:r>
      <w:r w:rsidR="00E70AA0">
        <w:rPr>
          <w:iCs/>
        </w:rPr>
        <w:t xml:space="preserve"> </w:t>
      </w:r>
      <w:r w:rsidRPr="006B7C39">
        <w:rPr>
          <w:iCs/>
        </w:rPr>
        <w:t>Additionally, if being in response at Day 28 was adopted as a surrogate for long-term benefit a significant proportion of patients who would have benefited from continued treatment would not be eligible to continue.</w:t>
      </w:r>
      <w:r w:rsidR="00E70AA0">
        <w:rPr>
          <w:iCs/>
        </w:rPr>
        <w:t xml:space="preserve"> </w:t>
      </w:r>
      <w:r w:rsidRPr="006B7C39">
        <w:rPr>
          <w:iCs/>
        </w:rPr>
        <w:t>Given the absence of registered alternative treatments</w:t>
      </w:r>
      <w:r w:rsidR="00214FD5">
        <w:rPr>
          <w:iCs/>
        </w:rPr>
        <w:t>,</w:t>
      </w:r>
      <w:r w:rsidR="00E70AA0">
        <w:rPr>
          <w:iCs/>
        </w:rPr>
        <w:t xml:space="preserve"> </w:t>
      </w:r>
      <w:r w:rsidRPr="006B7C39">
        <w:rPr>
          <w:iCs/>
        </w:rPr>
        <w:t>this seems overly restrictive.</w:t>
      </w:r>
    </w:p>
    <w:p w14:paraId="795A4209" w14:textId="65848E74" w:rsidR="00E70AA0" w:rsidRDefault="006B7C39" w:rsidP="006B7C39">
      <w:pPr>
        <w:rPr>
          <w:iCs/>
        </w:rPr>
      </w:pPr>
      <w:r w:rsidRPr="006B7C39">
        <w:rPr>
          <w:iCs/>
        </w:rPr>
        <w:t xml:space="preserve">Although there is disagreement between the </w:t>
      </w:r>
      <w:r w:rsidR="000439F1">
        <w:rPr>
          <w:iCs/>
        </w:rPr>
        <w:t>s</w:t>
      </w:r>
      <w:r w:rsidRPr="006B7C39">
        <w:rPr>
          <w:iCs/>
        </w:rPr>
        <w:t xml:space="preserve">ponsor and </w:t>
      </w:r>
      <w:r w:rsidR="00214FD5">
        <w:rPr>
          <w:iCs/>
        </w:rPr>
        <w:t xml:space="preserve">supplemental regulatory analysis </w:t>
      </w:r>
      <w:r w:rsidRPr="006B7C39">
        <w:rPr>
          <w:iCs/>
        </w:rPr>
        <w:t>in how to best assess responses to treatment in a</w:t>
      </w:r>
      <w:r w:rsidR="00214FD5">
        <w:rPr>
          <w:iCs/>
        </w:rPr>
        <w:t xml:space="preserve">cute </w:t>
      </w:r>
      <w:r w:rsidRPr="006B7C39">
        <w:rPr>
          <w:iCs/>
        </w:rPr>
        <w:t>GVHD it is apparent that a clinically meaningful response and duration of response was demonstrated with ruxolitinib in a substantial proportion of patients who have very limited treatment options.</w:t>
      </w:r>
    </w:p>
    <w:p w14:paraId="2388138E" w14:textId="1E0AC943" w:rsidR="006B7C39" w:rsidRPr="006B7C39" w:rsidRDefault="006B7C39" w:rsidP="006B7C39">
      <w:pPr>
        <w:rPr>
          <w:iCs/>
        </w:rPr>
      </w:pPr>
      <w:r w:rsidRPr="006B7C39">
        <w:rPr>
          <w:iCs/>
        </w:rPr>
        <w:t>The proposed dose for a</w:t>
      </w:r>
      <w:r w:rsidR="00214FD5">
        <w:rPr>
          <w:iCs/>
        </w:rPr>
        <w:t xml:space="preserve">cute </w:t>
      </w:r>
      <w:r w:rsidRPr="006B7C39">
        <w:rPr>
          <w:iCs/>
        </w:rPr>
        <w:t xml:space="preserve">GVHD is 10 mg </w:t>
      </w:r>
      <w:r w:rsidR="000439F1">
        <w:rPr>
          <w:iCs/>
        </w:rPr>
        <w:t>twice a day</w:t>
      </w:r>
      <w:r w:rsidRPr="006B7C39">
        <w:rPr>
          <w:iCs/>
        </w:rPr>
        <w:t xml:space="preserve">, </w:t>
      </w:r>
      <w:r w:rsidR="000439F1">
        <w:rPr>
          <w:iCs/>
        </w:rPr>
        <w:t>the Delegate</w:t>
      </w:r>
      <w:r w:rsidRPr="006B7C39">
        <w:rPr>
          <w:iCs/>
        </w:rPr>
        <w:t xml:space="preserve"> consider</w:t>
      </w:r>
      <w:r w:rsidR="000439F1">
        <w:rPr>
          <w:iCs/>
        </w:rPr>
        <w:t>s</w:t>
      </w:r>
      <w:r w:rsidRPr="006B7C39">
        <w:rPr>
          <w:iCs/>
        </w:rPr>
        <w:t xml:space="preserve"> that should be amended to be consistent with the dose regimen used in </w:t>
      </w:r>
      <w:r w:rsidR="000439F1" w:rsidRPr="000439F1">
        <w:rPr>
          <w:iCs/>
        </w:rPr>
        <w:t>Study 18424-271</w:t>
      </w:r>
      <w:r w:rsidR="00FA5EE4">
        <w:rPr>
          <w:iCs/>
        </w:rPr>
        <w:t xml:space="preserve"> (REACH 1 trial)</w:t>
      </w:r>
      <w:r w:rsidR="000439F1" w:rsidRPr="000439F1">
        <w:rPr>
          <w:iCs/>
        </w:rPr>
        <w:t xml:space="preserve"> </w:t>
      </w:r>
      <w:r w:rsidR="000439F1">
        <w:rPr>
          <w:iCs/>
        </w:rPr>
        <w:t>that is,</w:t>
      </w:r>
      <w:r w:rsidRPr="006B7C39">
        <w:rPr>
          <w:iCs/>
        </w:rPr>
        <w:t xml:space="preserve"> 5 mg </w:t>
      </w:r>
      <w:r w:rsidR="000439F1">
        <w:rPr>
          <w:iCs/>
        </w:rPr>
        <w:t>twice a day</w:t>
      </w:r>
      <w:r w:rsidRPr="006B7C39">
        <w:rPr>
          <w:iCs/>
        </w:rPr>
        <w:t xml:space="preserve"> then if haematologic parameters are stable and no treatment-related toxicity is observed after the first </w:t>
      </w:r>
      <w:r w:rsidR="000439F1">
        <w:rPr>
          <w:iCs/>
        </w:rPr>
        <w:t>three</w:t>
      </w:r>
      <w:r w:rsidRPr="006B7C39">
        <w:rPr>
          <w:iCs/>
        </w:rPr>
        <w:t xml:space="preserve"> days of treatment, the dose could be increased to 10 mg</w:t>
      </w:r>
      <w:r w:rsidR="000439F1">
        <w:rPr>
          <w:iCs/>
        </w:rPr>
        <w:t xml:space="preserve"> twice a day</w:t>
      </w:r>
      <w:r w:rsidRPr="006B7C39">
        <w:rPr>
          <w:iCs/>
        </w:rPr>
        <w:t>.</w:t>
      </w:r>
    </w:p>
    <w:p w14:paraId="1C728F70" w14:textId="1CA8BE54" w:rsidR="000439F1" w:rsidRDefault="000439F1" w:rsidP="006B7C39">
      <w:pPr>
        <w:rPr>
          <w:iCs/>
        </w:rPr>
      </w:pPr>
      <w:r>
        <w:rPr>
          <w:iCs/>
        </w:rPr>
        <w:t>The Delegate</w:t>
      </w:r>
      <w:r w:rsidR="006B7C39" w:rsidRPr="006B7C39">
        <w:rPr>
          <w:iCs/>
        </w:rPr>
        <w:t xml:space="preserve"> propose</w:t>
      </w:r>
      <w:r>
        <w:rPr>
          <w:iCs/>
        </w:rPr>
        <w:t>s</w:t>
      </w:r>
      <w:r w:rsidR="006B7C39" w:rsidRPr="006B7C39">
        <w:rPr>
          <w:iCs/>
        </w:rPr>
        <w:t xml:space="preserve"> that the indication for a</w:t>
      </w:r>
      <w:r w:rsidR="00214FD5">
        <w:rPr>
          <w:iCs/>
        </w:rPr>
        <w:t xml:space="preserve">cute </w:t>
      </w:r>
      <w:r w:rsidR="006B7C39" w:rsidRPr="006B7C39">
        <w:rPr>
          <w:iCs/>
        </w:rPr>
        <w:t>GVHD be:</w:t>
      </w:r>
    </w:p>
    <w:p w14:paraId="3662F6BE" w14:textId="71F58B2F" w:rsidR="006B7C39" w:rsidRPr="000439F1" w:rsidRDefault="006B7C39" w:rsidP="000439F1">
      <w:pPr>
        <w:ind w:left="720"/>
        <w:rPr>
          <w:i/>
        </w:rPr>
      </w:pPr>
      <w:proofErr w:type="spellStart"/>
      <w:r w:rsidRPr="000439F1">
        <w:rPr>
          <w:i/>
        </w:rPr>
        <w:t>Jakavi</w:t>
      </w:r>
      <w:proofErr w:type="spellEnd"/>
      <w:r w:rsidRPr="000439F1">
        <w:rPr>
          <w:i/>
        </w:rPr>
        <w:t xml:space="preserve"> is indicated for the treatment of patients with acute </w:t>
      </w:r>
      <w:r w:rsidR="004249D6" w:rsidRPr="000439F1">
        <w:rPr>
          <w:i/>
        </w:rPr>
        <w:t>g</w:t>
      </w:r>
      <w:r w:rsidRPr="000439F1">
        <w:rPr>
          <w:i/>
        </w:rPr>
        <w:t>raft</w:t>
      </w:r>
      <w:r w:rsidR="004249D6" w:rsidRPr="000439F1">
        <w:rPr>
          <w:i/>
        </w:rPr>
        <w:t>-</w:t>
      </w:r>
      <w:r w:rsidRPr="000439F1">
        <w:rPr>
          <w:i/>
        </w:rPr>
        <w:t>versus</w:t>
      </w:r>
      <w:r w:rsidR="004249D6" w:rsidRPr="000439F1">
        <w:rPr>
          <w:i/>
        </w:rPr>
        <w:t>-h</w:t>
      </w:r>
      <w:r w:rsidRPr="000439F1">
        <w:rPr>
          <w:i/>
        </w:rPr>
        <w:t xml:space="preserve">ost </w:t>
      </w:r>
      <w:r w:rsidR="004249D6" w:rsidRPr="000439F1">
        <w:rPr>
          <w:i/>
        </w:rPr>
        <w:t>d</w:t>
      </w:r>
      <w:r w:rsidRPr="000439F1">
        <w:rPr>
          <w:i/>
        </w:rPr>
        <w:t>isease (</w:t>
      </w:r>
      <w:proofErr w:type="spellStart"/>
      <w:r w:rsidRPr="000439F1">
        <w:rPr>
          <w:i/>
        </w:rPr>
        <w:t>aGVHD</w:t>
      </w:r>
      <w:proofErr w:type="spellEnd"/>
      <w:r w:rsidRPr="000439F1">
        <w:rPr>
          <w:i/>
        </w:rPr>
        <w:t>) aged 12 years and older who have inadequate response to corticosteroids.</w:t>
      </w:r>
    </w:p>
    <w:p w14:paraId="35F2BF6F" w14:textId="6F3F6E2F" w:rsidR="00E70AA0" w:rsidRDefault="006B7C39" w:rsidP="006B7C39">
      <w:pPr>
        <w:rPr>
          <w:iCs/>
        </w:rPr>
      </w:pPr>
      <w:r w:rsidRPr="006B7C39">
        <w:rPr>
          <w:iCs/>
        </w:rPr>
        <w:lastRenderedPageBreak/>
        <w:t xml:space="preserve">This indication should be supported by a description of the </w:t>
      </w:r>
      <w:r w:rsidR="000439F1" w:rsidRPr="000439F1">
        <w:rPr>
          <w:iCs/>
        </w:rPr>
        <w:t>Study 18424-271</w:t>
      </w:r>
      <w:r w:rsidRPr="006B7C39">
        <w:rPr>
          <w:iCs/>
        </w:rPr>
        <w:t xml:space="preserve"> </w:t>
      </w:r>
      <w:r w:rsidR="00214FD5">
        <w:rPr>
          <w:iCs/>
        </w:rPr>
        <w:t xml:space="preserve">(REACH 1 trial) </w:t>
      </w:r>
      <w:r w:rsidRPr="006B7C39">
        <w:rPr>
          <w:iCs/>
        </w:rPr>
        <w:t>in the P</w:t>
      </w:r>
      <w:r w:rsidR="000439F1">
        <w:rPr>
          <w:iCs/>
        </w:rPr>
        <w:t xml:space="preserve">roduct </w:t>
      </w:r>
      <w:r w:rsidRPr="006B7C39">
        <w:rPr>
          <w:iCs/>
        </w:rPr>
        <w:t>I</w:t>
      </w:r>
      <w:r w:rsidR="000439F1">
        <w:rPr>
          <w:iCs/>
        </w:rPr>
        <w:t>nformation</w:t>
      </w:r>
      <w:r w:rsidRPr="006B7C39">
        <w:rPr>
          <w:iCs/>
        </w:rPr>
        <w:t xml:space="preserve">. At this stage my preference would be to provide the </w:t>
      </w:r>
      <w:r w:rsidR="000439F1">
        <w:rPr>
          <w:iCs/>
        </w:rPr>
        <w:t>overall response rate</w:t>
      </w:r>
      <w:r w:rsidRPr="006B7C39">
        <w:rPr>
          <w:iCs/>
        </w:rPr>
        <w:t xml:space="preserve"> for the total patient population (n</w:t>
      </w:r>
      <w:r w:rsidR="000439F1">
        <w:rPr>
          <w:iCs/>
        </w:rPr>
        <w:t xml:space="preserve"> </w:t>
      </w:r>
      <w:r w:rsidRPr="006B7C39">
        <w:rPr>
          <w:iCs/>
        </w:rPr>
        <w:t>=</w:t>
      </w:r>
      <w:r w:rsidR="000439F1">
        <w:rPr>
          <w:iCs/>
        </w:rPr>
        <w:t xml:space="preserve"> </w:t>
      </w:r>
      <w:r w:rsidRPr="006B7C39">
        <w:rPr>
          <w:iCs/>
        </w:rPr>
        <w:t xml:space="preserve">71) and show the results for the </w:t>
      </w:r>
      <w:r w:rsidR="000439F1">
        <w:rPr>
          <w:iCs/>
        </w:rPr>
        <w:t xml:space="preserve">evaluator’s </w:t>
      </w:r>
      <w:r w:rsidRPr="006B7C39">
        <w:rPr>
          <w:iCs/>
        </w:rPr>
        <w:t>analysis of</w:t>
      </w:r>
      <w:r w:rsidR="000439F1">
        <w:rPr>
          <w:iCs/>
        </w:rPr>
        <w:t xml:space="preserve"> overall response rate</w:t>
      </w:r>
      <w:r w:rsidRPr="006B7C39">
        <w:rPr>
          <w:iCs/>
        </w:rPr>
        <w:t xml:space="preserve"> as a </w:t>
      </w:r>
      <w:r w:rsidRPr="000439F1">
        <w:rPr>
          <w:i/>
        </w:rPr>
        <w:t xml:space="preserve">post hoc </w:t>
      </w:r>
      <w:r w:rsidRPr="006B7C39">
        <w:rPr>
          <w:iCs/>
        </w:rPr>
        <w:t>analysis.</w:t>
      </w:r>
      <w:r w:rsidR="00E70AA0">
        <w:rPr>
          <w:iCs/>
        </w:rPr>
        <w:t xml:space="preserve"> </w:t>
      </w:r>
      <w:r w:rsidRPr="006B7C39">
        <w:rPr>
          <w:iCs/>
        </w:rPr>
        <w:t xml:space="preserve">For the assessment of </w:t>
      </w:r>
      <w:r w:rsidR="000439F1">
        <w:rPr>
          <w:iCs/>
        </w:rPr>
        <w:t>duration of response</w:t>
      </w:r>
      <w:r w:rsidRPr="006B7C39">
        <w:rPr>
          <w:iCs/>
        </w:rPr>
        <w:t xml:space="preserve">, the definition in the </w:t>
      </w:r>
      <w:r w:rsidR="000439F1">
        <w:rPr>
          <w:iCs/>
        </w:rPr>
        <w:t xml:space="preserve">clinical study report </w:t>
      </w:r>
      <w:r w:rsidRPr="006B7C39">
        <w:rPr>
          <w:iCs/>
        </w:rPr>
        <w:t xml:space="preserve">and its result should be reported. The alternative definitions of the </w:t>
      </w:r>
      <w:r w:rsidR="000439F1">
        <w:rPr>
          <w:iCs/>
        </w:rPr>
        <w:t>evaluators</w:t>
      </w:r>
      <w:r w:rsidRPr="006B7C39">
        <w:rPr>
          <w:iCs/>
        </w:rPr>
        <w:t xml:space="preserve"> should then be described and those </w:t>
      </w:r>
      <w:r w:rsidR="000439F1">
        <w:rPr>
          <w:iCs/>
        </w:rPr>
        <w:t>duration of responses</w:t>
      </w:r>
      <w:r w:rsidRPr="006B7C39">
        <w:rPr>
          <w:iCs/>
        </w:rPr>
        <w:t xml:space="preserve"> shown for the subgroup in the </w:t>
      </w:r>
      <w:r w:rsidRPr="000439F1">
        <w:rPr>
          <w:i/>
        </w:rPr>
        <w:t>post hoc</w:t>
      </w:r>
      <w:r w:rsidRPr="006B7C39">
        <w:rPr>
          <w:iCs/>
        </w:rPr>
        <w:t xml:space="preserve"> analysis.</w:t>
      </w:r>
    </w:p>
    <w:p w14:paraId="06E2F362" w14:textId="77777777" w:rsidR="005944BB" w:rsidRDefault="005944BB" w:rsidP="005944BB">
      <w:pPr>
        <w:pStyle w:val="Heading5"/>
      </w:pPr>
      <w:r w:rsidRPr="005944BB">
        <w:t>Chronic graft-versus-host disease</w:t>
      </w:r>
    </w:p>
    <w:p w14:paraId="58720EE4" w14:textId="76154232" w:rsidR="006B7C39" w:rsidRPr="006B7C39" w:rsidRDefault="006B7C39" w:rsidP="006B7C39">
      <w:pPr>
        <w:rPr>
          <w:iCs/>
        </w:rPr>
      </w:pPr>
      <w:r w:rsidRPr="006B7C39">
        <w:rPr>
          <w:iCs/>
        </w:rPr>
        <w:t xml:space="preserve">The primary efficacy endpoint of </w:t>
      </w:r>
      <w:r w:rsidR="000439F1">
        <w:rPr>
          <w:iCs/>
        </w:rPr>
        <w:t xml:space="preserve">overall response rate </w:t>
      </w:r>
      <w:r w:rsidRPr="006B7C39">
        <w:rPr>
          <w:iCs/>
        </w:rPr>
        <w:t xml:space="preserve">was assessed from </w:t>
      </w:r>
      <w:r w:rsidR="000439F1">
        <w:rPr>
          <w:iCs/>
        </w:rPr>
        <w:t>B</w:t>
      </w:r>
      <w:r w:rsidRPr="006B7C39">
        <w:rPr>
          <w:iCs/>
        </w:rPr>
        <w:t xml:space="preserve">aseline to </w:t>
      </w:r>
      <w:r w:rsidR="00214FD5">
        <w:rPr>
          <w:iCs/>
        </w:rPr>
        <w:t xml:space="preserve">the </w:t>
      </w:r>
      <w:r w:rsidR="00DC27C5">
        <w:rPr>
          <w:iCs/>
        </w:rPr>
        <w:t>Cycle 7 Day 1</w:t>
      </w:r>
      <w:r w:rsidR="00214FD5">
        <w:rPr>
          <w:iCs/>
        </w:rPr>
        <w:t xml:space="preserve"> visit</w:t>
      </w:r>
      <w:r w:rsidRPr="006B7C39">
        <w:rPr>
          <w:iCs/>
        </w:rPr>
        <w:t xml:space="preserve"> in the </w:t>
      </w:r>
      <w:r w:rsidR="000439F1">
        <w:rPr>
          <w:iCs/>
        </w:rPr>
        <w:t>clinical study report</w:t>
      </w:r>
      <w:r w:rsidR="00214FD5">
        <w:rPr>
          <w:iCs/>
        </w:rPr>
        <w:t>,</w:t>
      </w:r>
      <w:r w:rsidR="000439F1">
        <w:rPr>
          <w:iCs/>
        </w:rPr>
        <w:t xml:space="preserve"> </w:t>
      </w:r>
      <w:r w:rsidRPr="006B7C39">
        <w:rPr>
          <w:iCs/>
        </w:rPr>
        <w:t xml:space="preserve">and from </w:t>
      </w:r>
      <w:r w:rsidR="000439F1">
        <w:rPr>
          <w:iCs/>
        </w:rPr>
        <w:t>B</w:t>
      </w:r>
      <w:r w:rsidRPr="006B7C39">
        <w:rPr>
          <w:iCs/>
        </w:rPr>
        <w:t xml:space="preserve">aseline to the period from </w:t>
      </w:r>
      <w:r w:rsidR="00214FD5">
        <w:rPr>
          <w:iCs/>
        </w:rPr>
        <w:t>B</w:t>
      </w:r>
      <w:r w:rsidRPr="006B7C39">
        <w:rPr>
          <w:iCs/>
        </w:rPr>
        <w:t xml:space="preserve">aseline to </w:t>
      </w:r>
      <w:r w:rsidR="00214FD5">
        <w:rPr>
          <w:iCs/>
        </w:rPr>
        <w:t xml:space="preserve">the </w:t>
      </w:r>
      <w:r w:rsidR="00DC27C5">
        <w:rPr>
          <w:iCs/>
        </w:rPr>
        <w:t>Cycle</w:t>
      </w:r>
      <w:r w:rsidR="000439F1">
        <w:rPr>
          <w:iCs/>
        </w:rPr>
        <w:t> </w:t>
      </w:r>
      <w:r w:rsidR="00DC27C5">
        <w:rPr>
          <w:iCs/>
        </w:rPr>
        <w:t>7 Day 1</w:t>
      </w:r>
      <w:r w:rsidR="00214FD5">
        <w:rPr>
          <w:iCs/>
        </w:rPr>
        <w:t xml:space="preserve"> visit</w:t>
      </w:r>
      <w:r w:rsidRPr="006B7C39">
        <w:rPr>
          <w:iCs/>
        </w:rPr>
        <w:t xml:space="preserve">. The </w:t>
      </w:r>
      <w:r w:rsidR="000439F1">
        <w:rPr>
          <w:iCs/>
        </w:rPr>
        <w:t xml:space="preserve">clinical study report </w:t>
      </w:r>
      <w:r w:rsidRPr="006B7C39">
        <w:rPr>
          <w:iCs/>
        </w:rPr>
        <w:t xml:space="preserve">also included </w:t>
      </w:r>
      <w:r w:rsidR="00214FD5">
        <w:rPr>
          <w:iCs/>
        </w:rPr>
        <w:t>best overall response</w:t>
      </w:r>
      <w:r w:rsidR="00214FD5" w:rsidRPr="006B7C39">
        <w:rPr>
          <w:iCs/>
        </w:rPr>
        <w:t xml:space="preserve"> </w:t>
      </w:r>
      <w:r w:rsidRPr="006B7C39">
        <w:rPr>
          <w:iCs/>
        </w:rPr>
        <w:t xml:space="preserve">by </w:t>
      </w:r>
      <w:r w:rsidR="00214FD5">
        <w:rPr>
          <w:iCs/>
        </w:rPr>
        <w:t xml:space="preserve">the </w:t>
      </w:r>
      <w:r w:rsidR="00DC27C5">
        <w:rPr>
          <w:iCs/>
        </w:rPr>
        <w:t xml:space="preserve">Cycle 7 Day </w:t>
      </w:r>
      <w:r w:rsidR="00E56A59">
        <w:rPr>
          <w:iCs/>
        </w:rPr>
        <w:t>1</w:t>
      </w:r>
      <w:r w:rsidRPr="006B7C39">
        <w:rPr>
          <w:iCs/>
        </w:rPr>
        <w:t xml:space="preserve"> </w:t>
      </w:r>
      <w:r w:rsidR="00214FD5">
        <w:rPr>
          <w:iCs/>
        </w:rPr>
        <w:t>visit and authors of the supplementary regulatory analysis</w:t>
      </w:r>
      <w:r w:rsidRPr="006B7C39">
        <w:rPr>
          <w:iCs/>
        </w:rPr>
        <w:t xml:space="preserve"> adjudicated those responses and there were minor differences in those results, that, </w:t>
      </w:r>
      <w:r w:rsidR="00214FD5">
        <w:rPr>
          <w:iCs/>
        </w:rPr>
        <w:t>in the view of the Delegate</w:t>
      </w:r>
      <w:r w:rsidR="00214FD5" w:rsidRPr="006B7C39" w:rsidDel="00214FD5">
        <w:rPr>
          <w:iCs/>
        </w:rPr>
        <w:t xml:space="preserve"> </w:t>
      </w:r>
      <w:r w:rsidR="00214FD5">
        <w:rPr>
          <w:iCs/>
        </w:rPr>
        <w:t>for this submission</w:t>
      </w:r>
      <w:r w:rsidRPr="006B7C39">
        <w:rPr>
          <w:iCs/>
        </w:rPr>
        <w:t>, do not show a</w:t>
      </w:r>
      <w:r w:rsidR="00E70AA0">
        <w:rPr>
          <w:iCs/>
        </w:rPr>
        <w:t xml:space="preserve"> </w:t>
      </w:r>
      <w:r w:rsidRPr="006B7C39">
        <w:rPr>
          <w:iCs/>
        </w:rPr>
        <w:t xml:space="preserve">clinically significant difference in efficacy. It is not clear to </w:t>
      </w:r>
      <w:r w:rsidR="00214FD5">
        <w:rPr>
          <w:iCs/>
        </w:rPr>
        <w:t>the Delegate</w:t>
      </w:r>
      <w:r w:rsidR="00214FD5" w:rsidRPr="006B7C39">
        <w:rPr>
          <w:iCs/>
        </w:rPr>
        <w:t xml:space="preserve"> </w:t>
      </w:r>
      <w:r w:rsidRPr="006B7C39">
        <w:rPr>
          <w:iCs/>
        </w:rPr>
        <w:t>which figures should be accepted</w:t>
      </w:r>
      <w:r w:rsidR="00DC4DE8">
        <w:rPr>
          <w:iCs/>
        </w:rPr>
        <w:t>; that is,</w:t>
      </w:r>
      <w:r w:rsidRPr="006B7C39">
        <w:rPr>
          <w:iCs/>
        </w:rPr>
        <w:t xml:space="preserve"> the </w:t>
      </w:r>
      <w:r w:rsidR="000439F1">
        <w:rPr>
          <w:iCs/>
        </w:rPr>
        <w:t xml:space="preserve">best overall response </w:t>
      </w:r>
      <w:r w:rsidRPr="006B7C39">
        <w:rPr>
          <w:iCs/>
        </w:rPr>
        <w:t xml:space="preserve">in the </w:t>
      </w:r>
      <w:r w:rsidR="000439F1">
        <w:rPr>
          <w:iCs/>
        </w:rPr>
        <w:t>clinical study report</w:t>
      </w:r>
      <w:r w:rsidR="00DC4DE8">
        <w:rPr>
          <w:iCs/>
        </w:rPr>
        <w:t>;</w:t>
      </w:r>
      <w:r w:rsidRPr="006B7C39">
        <w:rPr>
          <w:iCs/>
        </w:rPr>
        <w:t xml:space="preserve"> </w:t>
      </w:r>
      <w:proofErr w:type="gramStart"/>
      <w:r w:rsidRPr="006B7C39">
        <w:rPr>
          <w:iCs/>
        </w:rPr>
        <w:t>or</w:t>
      </w:r>
      <w:r w:rsidR="00DC4DE8">
        <w:rPr>
          <w:iCs/>
        </w:rPr>
        <w:t>,</w:t>
      </w:r>
      <w:proofErr w:type="gramEnd"/>
      <w:r w:rsidRPr="006B7C39">
        <w:rPr>
          <w:iCs/>
        </w:rPr>
        <w:t xml:space="preserve"> the </w:t>
      </w:r>
      <w:r w:rsidRPr="000439F1">
        <w:rPr>
          <w:i/>
        </w:rPr>
        <w:t>post hoc</w:t>
      </w:r>
      <w:r w:rsidRPr="006B7C39">
        <w:rPr>
          <w:iCs/>
        </w:rPr>
        <w:t xml:space="preserve"> </w:t>
      </w:r>
      <w:r w:rsidR="000439F1">
        <w:rPr>
          <w:iCs/>
        </w:rPr>
        <w:t>overall response rate</w:t>
      </w:r>
      <w:r w:rsidRPr="006B7C39">
        <w:rPr>
          <w:iCs/>
        </w:rPr>
        <w:t xml:space="preserve"> </w:t>
      </w:r>
      <w:r w:rsidR="00DC4DE8">
        <w:rPr>
          <w:iCs/>
        </w:rPr>
        <w:t>reported in the supplementary analysis</w:t>
      </w:r>
      <w:r w:rsidRPr="006B7C39">
        <w:rPr>
          <w:iCs/>
        </w:rPr>
        <w:t>.</w:t>
      </w:r>
    </w:p>
    <w:p w14:paraId="2AB23591" w14:textId="01B2A720" w:rsidR="006B7C39" w:rsidRPr="006B7C39" w:rsidRDefault="006B7C39" w:rsidP="006B7C39">
      <w:pPr>
        <w:rPr>
          <w:iCs/>
        </w:rPr>
      </w:pPr>
      <w:r w:rsidRPr="006B7C39">
        <w:rPr>
          <w:iCs/>
        </w:rPr>
        <w:t xml:space="preserve">The </w:t>
      </w:r>
      <w:r w:rsidR="00DC4DE8">
        <w:rPr>
          <w:iCs/>
        </w:rPr>
        <w:t>supplementary analysis authors</w:t>
      </w:r>
      <w:r w:rsidR="00DC4DE8" w:rsidRPr="006B7C39">
        <w:rPr>
          <w:iCs/>
        </w:rPr>
        <w:t xml:space="preserve"> </w:t>
      </w:r>
      <w:r w:rsidRPr="006B7C39">
        <w:rPr>
          <w:iCs/>
        </w:rPr>
        <w:t xml:space="preserve">were not satisfied with the use of the key secondary endpoint of </w:t>
      </w:r>
      <w:r w:rsidR="00DC4DE8">
        <w:rPr>
          <w:iCs/>
        </w:rPr>
        <w:t>modified Lee Symptom Score (</w:t>
      </w:r>
      <w:proofErr w:type="spellStart"/>
      <w:r w:rsidRPr="006B7C39">
        <w:rPr>
          <w:iCs/>
        </w:rPr>
        <w:t>mLSS</w:t>
      </w:r>
      <w:proofErr w:type="spellEnd"/>
      <w:r w:rsidR="00DC4DE8">
        <w:rPr>
          <w:iCs/>
        </w:rPr>
        <w:t>);</w:t>
      </w:r>
      <w:r w:rsidR="00DC4DE8" w:rsidRPr="0016413C">
        <w:rPr>
          <w:iCs/>
          <w:vertAlign w:val="superscript"/>
        </w:rPr>
        <w:fldChar w:fldCharType="begin"/>
      </w:r>
      <w:r w:rsidR="00DC4DE8" w:rsidRPr="0016413C">
        <w:rPr>
          <w:iCs/>
          <w:vertAlign w:val="superscript"/>
        </w:rPr>
        <w:instrText xml:space="preserve"> NOTEREF _Ref133494590 \h </w:instrText>
      </w:r>
      <w:r w:rsidR="00DC4DE8">
        <w:rPr>
          <w:iCs/>
          <w:vertAlign w:val="superscript"/>
        </w:rPr>
        <w:instrText xml:space="preserve"> \* MERGEFORMAT </w:instrText>
      </w:r>
      <w:r w:rsidR="00DC4DE8" w:rsidRPr="0016413C">
        <w:rPr>
          <w:iCs/>
          <w:vertAlign w:val="superscript"/>
        </w:rPr>
      </w:r>
      <w:r w:rsidR="00DC4DE8" w:rsidRPr="0016413C">
        <w:rPr>
          <w:iCs/>
          <w:vertAlign w:val="superscript"/>
        </w:rPr>
        <w:fldChar w:fldCharType="separate"/>
      </w:r>
      <w:r w:rsidR="00337955">
        <w:rPr>
          <w:iCs/>
          <w:vertAlign w:val="superscript"/>
        </w:rPr>
        <w:t>31</w:t>
      </w:r>
      <w:r w:rsidR="00DC4DE8" w:rsidRPr="0016413C">
        <w:rPr>
          <w:iCs/>
          <w:vertAlign w:val="superscript"/>
        </w:rPr>
        <w:fldChar w:fldCharType="end"/>
      </w:r>
      <w:r w:rsidRPr="006B7C39">
        <w:rPr>
          <w:iCs/>
        </w:rPr>
        <w:t xml:space="preserve"> as an assessment of clinical outcome, stating that, based on several measurement challenges (</w:t>
      </w:r>
      <w:r w:rsidR="00114832">
        <w:rPr>
          <w:iCs/>
        </w:rPr>
        <w:t>for example</w:t>
      </w:r>
      <w:r w:rsidRPr="006B7C39">
        <w:rPr>
          <w:iCs/>
        </w:rPr>
        <w:t xml:space="preserve">, open-label study design, the absence or insufficient symptom severity at </w:t>
      </w:r>
      <w:r w:rsidR="00114832">
        <w:rPr>
          <w:iCs/>
        </w:rPr>
        <w:t>B</w:t>
      </w:r>
      <w:r w:rsidRPr="006B7C39">
        <w:rPr>
          <w:iCs/>
        </w:rPr>
        <w:t xml:space="preserve">aseline, questionable content validity, insufficient evidence to support a total score), there is a limitation to </w:t>
      </w:r>
      <w:r w:rsidR="00E56A59">
        <w:rPr>
          <w:iCs/>
        </w:rPr>
        <w:t>clinical outcome assessment</w:t>
      </w:r>
      <w:r w:rsidRPr="006B7C39">
        <w:rPr>
          <w:iCs/>
        </w:rPr>
        <w:t xml:space="preserve"> data interpretability. These challenges raise concerns related to whether the data can be interpreted and presented in labelling in a way that is accurate and not misleading.</w:t>
      </w:r>
    </w:p>
    <w:p w14:paraId="66F1D544" w14:textId="36B3B90A" w:rsidR="00E70AA0" w:rsidRDefault="006B7C39" w:rsidP="006B7C39">
      <w:pPr>
        <w:rPr>
          <w:iCs/>
        </w:rPr>
      </w:pPr>
      <w:r w:rsidRPr="006B7C39">
        <w:rPr>
          <w:iCs/>
        </w:rPr>
        <w:t xml:space="preserve">The major concerns </w:t>
      </w:r>
      <w:r w:rsidR="00DC4DE8">
        <w:rPr>
          <w:iCs/>
        </w:rPr>
        <w:t xml:space="preserve">in the supplementary regulatory analysis </w:t>
      </w:r>
      <w:r w:rsidRPr="006B7C39">
        <w:rPr>
          <w:iCs/>
        </w:rPr>
        <w:t xml:space="preserve">regarding the </w:t>
      </w:r>
      <w:proofErr w:type="spellStart"/>
      <w:r w:rsidRPr="006B7C39">
        <w:rPr>
          <w:iCs/>
        </w:rPr>
        <w:t>mLSS</w:t>
      </w:r>
      <w:proofErr w:type="spellEnd"/>
      <w:r w:rsidRPr="006B7C39">
        <w:rPr>
          <w:iCs/>
        </w:rPr>
        <w:t xml:space="preserve"> were that a third of the </w:t>
      </w:r>
      <w:proofErr w:type="spellStart"/>
      <w:r w:rsidRPr="006B7C39">
        <w:rPr>
          <w:iCs/>
        </w:rPr>
        <w:t>mLSS</w:t>
      </w:r>
      <w:proofErr w:type="spellEnd"/>
      <w:r w:rsidRPr="006B7C39">
        <w:rPr>
          <w:iCs/>
        </w:rPr>
        <w:t xml:space="preserve"> item content was not endorsed by the majority of participants (&lt;</w:t>
      </w:r>
      <w:r w:rsidR="00114832">
        <w:rPr>
          <w:iCs/>
        </w:rPr>
        <w:t xml:space="preserve"> </w:t>
      </w:r>
      <w:r w:rsidRPr="006B7C39">
        <w:rPr>
          <w:iCs/>
        </w:rPr>
        <w:t>50%) as related to their experience with c</w:t>
      </w:r>
      <w:r w:rsidR="00DC4DE8">
        <w:rPr>
          <w:iCs/>
        </w:rPr>
        <w:t xml:space="preserve">hronic </w:t>
      </w:r>
      <w:r w:rsidRPr="006B7C39">
        <w:rPr>
          <w:iCs/>
        </w:rPr>
        <w:t>GVHD (</w:t>
      </w:r>
      <w:r w:rsidR="00114832">
        <w:rPr>
          <w:iCs/>
        </w:rPr>
        <w:t>that is</w:t>
      </w:r>
      <w:r w:rsidRPr="006B7C39">
        <w:rPr>
          <w:iCs/>
        </w:rPr>
        <w:t xml:space="preserve">, coloured sputum, shortness of breath at rest, need to use oxygen, fever, nutrition from </w:t>
      </w:r>
      <w:r w:rsidR="00114832">
        <w:rPr>
          <w:iCs/>
        </w:rPr>
        <w:t>intravenous</w:t>
      </w:r>
      <w:r w:rsidRPr="006B7C39">
        <w:rPr>
          <w:iCs/>
        </w:rPr>
        <w:t xml:space="preserve">/feeding tube, difficulty swallowing solid foods/liquids, joint and muscle aches, limited joint movement, and muscle cramps). Further, there may be important concepts missing in the </w:t>
      </w:r>
      <w:proofErr w:type="spellStart"/>
      <w:r w:rsidRPr="006B7C39">
        <w:rPr>
          <w:iCs/>
        </w:rPr>
        <w:t>mLSS</w:t>
      </w:r>
      <w:proofErr w:type="spellEnd"/>
      <w:r w:rsidRPr="006B7C39">
        <w:rPr>
          <w:iCs/>
        </w:rPr>
        <w:t xml:space="preserve">; 10 of 22 symptoms reported by participants are not covered by the </w:t>
      </w:r>
      <w:proofErr w:type="spellStart"/>
      <w:r w:rsidRPr="006B7C39">
        <w:rPr>
          <w:iCs/>
        </w:rPr>
        <w:t>mLSS</w:t>
      </w:r>
      <w:proofErr w:type="spellEnd"/>
      <w:r w:rsidRPr="006B7C39">
        <w:rPr>
          <w:iCs/>
        </w:rPr>
        <w:t xml:space="preserve"> and four of 11 impacts reported by participants are not covered by the </w:t>
      </w:r>
      <w:proofErr w:type="spellStart"/>
      <w:r w:rsidRPr="006B7C39">
        <w:rPr>
          <w:iCs/>
        </w:rPr>
        <w:t>mLSS</w:t>
      </w:r>
      <w:proofErr w:type="spellEnd"/>
      <w:r w:rsidRPr="006B7C39">
        <w:rPr>
          <w:iCs/>
        </w:rPr>
        <w:t xml:space="preserve">. Additionally, based on item-level distributional data from </w:t>
      </w:r>
      <w:r w:rsidR="00114832" w:rsidRPr="00114832">
        <w:rPr>
          <w:iCs/>
        </w:rPr>
        <w:t>Study</w:t>
      </w:r>
      <w:r w:rsidR="00DC4DE8">
        <w:rPr>
          <w:iCs/>
        </w:rPr>
        <w:t> </w:t>
      </w:r>
      <w:r w:rsidR="00114832" w:rsidRPr="00114832">
        <w:rPr>
          <w:iCs/>
        </w:rPr>
        <w:t>CINC424D2301</w:t>
      </w:r>
      <w:r w:rsidR="00DC4DE8">
        <w:rPr>
          <w:iCs/>
        </w:rPr>
        <w:t xml:space="preserve"> (REACH 3 trial)</w:t>
      </w:r>
      <w:r w:rsidRPr="006B7C39">
        <w:rPr>
          <w:iCs/>
        </w:rPr>
        <w:t>, many participants endorsed the least severe category</w:t>
      </w:r>
      <w:r>
        <w:rPr>
          <w:iCs/>
        </w:rPr>
        <w:t xml:space="preserve"> </w:t>
      </w:r>
      <w:r w:rsidRPr="00596CE9">
        <w:rPr>
          <w:iCs/>
        </w:rPr>
        <w:t xml:space="preserve">response at </w:t>
      </w:r>
      <w:r w:rsidR="00DC4DE8">
        <w:rPr>
          <w:iCs/>
        </w:rPr>
        <w:t>B</w:t>
      </w:r>
      <w:r w:rsidRPr="00596CE9">
        <w:rPr>
          <w:iCs/>
        </w:rPr>
        <w:t>aseline across the</w:t>
      </w:r>
      <w:r>
        <w:rPr>
          <w:iCs/>
        </w:rPr>
        <w:t xml:space="preserve"> </w:t>
      </w:r>
      <w:r w:rsidRPr="00596CE9">
        <w:rPr>
          <w:iCs/>
        </w:rPr>
        <w:t xml:space="preserve">items in the </w:t>
      </w:r>
      <w:proofErr w:type="spellStart"/>
      <w:r w:rsidRPr="00596CE9">
        <w:rPr>
          <w:iCs/>
        </w:rPr>
        <w:t>mLSS</w:t>
      </w:r>
      <w:proofErr w:type="spellEnd"/>
      <w:r w:rsidRPr="00596CE9">
        <w:rPr>
          <w:iCs/>
        </w:rPr>
        <w:t xml:space="preserve"> (</w:t>
      </w:r>
      <w:r w:rsidR="00114832">
        <w:rPr>
          <w:iCs/>
        </w:rPr>
        <w:t xml:space="preserve">that is, </w:t>
      </w:r>
      <w:r w:rsidRPr="00596CE9">
        <w:rPr>
          <w:iCs/>
        </w:rPr>
        <w:t xml:space="preserve">patients reporting </w:t>
      </w:r>
      <w:r w:rsidR="00114832">
        <w:rPr>
          <w:iCs/>
        </w:rPr>
        <w:t>‘</w:t>
      </w:r>
      <w:r w:rsidRPr="0016413C">
        <w:rPr>
          <w:i/>
          <w:iCs/>
        </w:rPr>
        <w:t>did not have this problem</w:t>
      </w:r>
      <w:r w:rsidR="00114832">
        <w:rPr>
          <w:iCs/>
        </w:rPr>
        <w:t>’</w:t>
      </w:r>
      <w:r w:rsidRPr="00596CE9">
        <w:rPr>
          <w:iCs/>
        </w:rPr>
        <w:t xml:space="preserve"> regarding</w:t>
      </w:r>
      <w:r>
        <w:rPr>
          <w:iCs/>
        </w:rPr>
        <w:t xml:space="preserve"> </w:t>
      </w:r>
      <w:r w:rsidRPr="00596CE9">
        <w:rPr>
          <w:iCs/>
        </w:rPr>
        <w:t xml:space="preserve">their </w:t>
      </w:r>
      <w:r>
        <w:rPr>
          <w:iCs/>
        </w:rPr>
        <w:t>cGVHD</w:t>
      </w:r>
      <w:r w:rsidRPr="00596CE9">
        <w:rPr>
          <w:iCs/>
        </w:rPr>
        <w:t xml:space="preserve"> symptoms and impacts; endorsement of this category ranged from</w:t>
      </w:r>
      <w:r>
        <w:rPr>
          <w:iCs/>
        </w:rPr>
        <w:t xml:space="preserve"> </w:t>
      </w:r>
      <w:r w:rsidRPr="00596CE9">
        <w:rPr>
          <w:iCs/>
        </w:rPr>
        <w:t>27.9% (</w:t>
      </w:r>
      <w:r w:rsidR="00E56A59">
        <w:rPr>
          <w:iCs/>
        </w:rPr>
        <w:t>I</w:t>
      </w:r>
      <w:r w:rsidRPr="00596CE9">
        <w:rPr>
          <w:iCs/>
        </w:rPr>
        <w:t xml:space="preserve">tem 25 </w:t>
      </w:r>
      <w:r w:rsidR="00114832">
        <w:rPr>
          <w:iCs/>
        </w:rPr>
        <w:t>‘</w:t>
      </w:r>
      <w:r w:rsidRPr="00596CE9">
        <w:rPr>
          <w:iCs/>
        </w:rPr>
        <w:t>Loss of energy</w:t>
      </w:r>
      <w:r w:rsidR="00114832">
        <w:rPr>
          <w:iCs/>
        </w:rPr>
        <w:t>’</w:t>
      </w:r>
      <w:r w:rsidRPr="00596CE9">
        <w:rPr>
          <w:iCs/>
        </w:rPr>
        <w:t xml:space="preserve">) to </w:t>
      </w:r>
      <w:r w:rsidR="00E56A59">
        <w:rPr>
          <w:iCs/>
        </w:rPr>
        <w:t>I</w:t>
      </w:r>
      <w:r w:rsidRPr="00596CE9">
        <w:rPr>
          <w:iCs/>
        </w:rPr>
        <w:t>tem</w:t>
      </w:r>
      <w:r w:rsidR="00114832">
        <w:rPr>
          <w:iCs/>
        </w:rPr>
        <w:t> </w:t>
      </w:r>
      <w:r w:rsidRPr="00596CE9">
        <w:rPr>
          <w:iCs/>
        </w:rPr>
        <w:t xml:space="preserve">11 </w:t>
      </w:r>
      <w:r w:rsidR="00114832">
        <w:rPr>
          <w:iCs/>
        </w:rPr>
        <w:t>‘</w:t>
      </w:r>
      <w:r w:rsidRPr="00596CE9">
        <w:rPr>
          <w:iCs/>
        </w:rPr>
        <w:t>Nutrition from IV</w:t>
      </w:r>
      <w:r w:rsidR="00114832">
        <w:rPr>
          <w:iCs/>
        </w:rPr>
        <w:t>’</w:t>
      </w:r>
      <w:r w:rsidRPr="00596CE9">
        <w:rPr>
          <w:iCs/>
        </w:rPr>
        <w:t xml:space="preserve"> (94.5%). Mean baseline</w:t>
      </w:r>
      <w:r>
        <w:rPr>
          <w:iCs/>
        </w:rPr>
        <w:t xml:space="preserve"> </w:t>
      </w:r>
      <w:r w:rsidRPr="00596CE9">
        <w:rPr>
          <w:iCs/>
        </w:rPr>
        <w:t xml:space="preserve">scores for </w:t>
      </w:r>
      <w:proofErr w:type="spellStart"/>
      <w:r w:rsidRPr="00596CE9">
        <w:rPr>
          <w:iCs/>
        </w:rPr>
        <w:t>mLSS</w:t>
      </w:r>
      <w:proofErr w:type="spellEnd"/>
      <w:r w:rsidRPr="00596CE9">
        <w:rPr>
          <w:iCs/>
        </w:rPr>
        <w:t xml:space="preserve"> items ranged between 0.1 and 1.5 on a 0</w:t>
      </w:r>
      <w:r w:rsidR="00114832">
        <w:rPr>
          <w:iCs/>
        </w:rPr>
        <w:t xml:space="preserve"> to </w:t>
      </w:r>
      <w:r w:rsidRPr="00596CE9">
        <w:rPr>
          <w:iCs/>
        </w:rPr>
        <w:t>4 ordinal scale,</w:t>
      </w:r>
      <w:r>
        <w:rPr>
          <w:iCs/>
        </w:rPr>
        <w:t xml:space="preserve"> </w:t>
      </w:r>
      <w:r w:rsidRPr="00596CE9">
        <w:rPr>
          <w:iCs/>
        </w:rPr>
        <w:t xml:space="preserve">indicating mild symptoms at </w:t>
      </w:r>
      <w:r w:rsidR="00114832">
        <w:rPr>
          <w:iCs/>
        </w:rPr>
        <w:t>B</w:t>
      </w:r>
      <w:r w:rsidRPr="00596CE9">
        <w:rPr>
          <w:iCs/>
        </w:rPr>
        <w:t>aseline.</w:t>
      </w:r>
      <w:r>
        <w:rPr>
          <w:iCs/>
        </w:rPr>
        <w:t xml:space="preserve"> Given these concerns</w:t>
      </w:r>
      <w:r w:rsidR="00DC4DE8">
        <w:rPr>
          <w:iCs/>
        </w:rPr>
        <w:t>,</w:t>
      </w:r>
      <w:r>
        <w:rPr>
          <w:iCs/>
        </w:rPr>
        <w:t xml:space="preserve"> it is not appropriate to refer to the </w:t>
      </w:r>
      <w:proofErr w:type="spellStart"/>
      <w:r>
        <w:rPr>
          <w:iCs/>
        </w:rPr>
        <w:t>mLSS</w:t>
      </w:r>
      <w:proofErr w:type="spellEnd"/>
      <w:r>
        <w:rPr>
          <w:iCs/>
        </w:rPr>
        <w:t xml:space="preserve"> results in the study description.</w:t>
      </w:r>
    </w:p>
    <w:p w14:paraId="0ACE7320" w14:textId="655606C2" w:rsidR="006B7C39" w:rsidRDefault="006B7C39" w:rsidP="006B7C39">
      <w:pPr>
        <w:rPr>
          <w:iCs/>
        </w:rPr>
      </w:pPr>
      <w:r>
        <w:rPr>
          <w:iCs/>
        </w:rPr>
        <w:t>The</w:t>
      </w:r>
      <w:r w:rsidRPr="00715533">
        <w:rPr>
          <w:iCs/>
        </w:rPr>
        <w:t xml:space="preserve"> </w:t>
      </w:r>
      <w:r w:rsidR="00DC4DE8">
        <w:rPr>
          <w:iCs/>
        </w:rPr>
        <w:t xml:space="preserve">authors of the supplementary regulatory analysis </w:t>
      </w:r>
      <w:r w:rsidRPr="00715533">
        <w:rPr>
          <w:iCs/>
        </w:rPr>
        <w:t>did not consider that</w:t>
      </w:r>
      <w:r w:rsidR="00114832">
        <w:rPr>
          <w:iCs/>
        </w:rPr>
        <w:t xml:space="preserve"> failure free survival</w:t>
      </w:r>
      <w:r>
        <w:rPr>
          <w:iCs/>
        </w:rPr>
        <w:t xml:space="preserve">, the other key secondary endpoint in </w:t>
      </w:r>
      <w:r w:rsidR="00114832" w:rsidRPr="00114832">
        <w:rPr>
          <w:iCs/>
        </w:rPr>
        <w:t>Study CINC424D2301</w:t>
      </w:r>
      <w:r>
        <w:rPr>
          <w:iCs/>
        </w:rPr>
        <w:t xml:space="preserve">, </w:t>
      </w:r>
      <w:r w:rsidRPr="00715533">
        <w:rPr>
          <w:iCs/>
        </w:rPr>
        <w:t xml:space="preserve">was an acceptable regulatory endpoint for the proposed indication of </w:t>
      </w:r>
      <w:r w:rsidR="00DC4DE8">
        <w:rPr>
          <w:iCs/>
        </w:rPr>
        <w:t xml:space="preserve">chronic </w:t>
      </w:r>
      <w:r>
        <w:rPr>
          <w:iCs/>
        </w:rPr>
        <w:t>GVHD,</w:t>
      </w:r>
      <w:r w:rsidRPr="00715533">
        <w:rPr>
          <w:iCs/>
        </w:rPr>
        <w:t xml:space="preserve"> because</w:t>
      </w:r>
      <w:r w:rsidR="00E70AA0">
        <w:rPr>
          <w:iCs/>
        </w:rPr>
        <w:t xml:space="preserve"> </w:t>
      </w:r>
      <w:r w:rsidRPr="00715533">
        <w:rPr>
          <w:iCs/>
        </w:rPr>
        <w:t xml:space="preserve">a) the endpoint does not include a requirement for a clinical benefit such as response, and b) relapse of the primary malignancy is a major component of the endpoint, but relapse is not an efficacy endpoint for treatments of </w:t>
      </w:r>
      <w:r>
        <w:rPr>
          <w:iCs/>
        </w:rPr>
        <w:t>c</w:t>
      </w:r>
      <w:r w:rsidR="00DC4DE8">
        <w:rPr>
          <w:iCs/>
        </w:rPr>
        <w:t xml:space="preserve">hronic </w:t>
      </w:r>
      <w:r>
        <w:rPr>
          <w:iCs/>
        </w:rPr>
        <w:t>GVHD</w:t>
      </w:r>
      <w:r w:rsidRPr="00715533">
        <w:rPr>
          <w:iCs/>
        </w:rPr>
        <w:t>, especially in a population that is heterogeneous with regard to the risk of relapse.</w:t>
      </w:r>
    </w:p>
    <w:p w14:paraId="2D2340C8" w14:textId="6F1CB91B" w:rsidR="006B7C39" w:rsidRDefault="006B7C39" w:rsidP="006B7C39">
      <w:pPr>
        <w:rPr>
          <w:iCs/>
        </w:rPr>
      </w:pPr>
      <w:r>
        <w:rPr>
          <w:iCs/>
        </w:rPr>
        <w:t xml:space="preserve">While </w:t>
      </w:r>
      <w:r w:rsidR="00114832">
        <w:rPr>
          <w:iCs/>
        </w:rPr>
        <w:t xml:space="preserve">failure free survival </w:t>
      </w:r>
      <w:r>
        <w:rPr>
          <w:iCs/>
        </w:rPr>
        <w:t xml:space="preserve">was regarded as a measure of durability the </w:t>
      </w:r>
      <w:r w:rsidR="00114832">
        <w:rPr>
          <w:iCs/>
        </w:rPr>
        <w:t>d</w:t>
      </w:r>
      <w:r w:rsidRPr="00D3696A">
        <w:rPr>
          <w:iCs/>
        </w:rPr>
        <w:t>uration of</w:t>
      </w:r>
      <w:r w:rsidR="00114832">
        <w:rPr>
          <w:iCs/>
        </w:rPr>
        <w:t xml:space="preserve"> r</w:t>
      </w:r>
      <w:r w:rsidRPr="00D3696A">
        <w:rPr>
          <w:iCs/>
        </w:rPr>
        <w:t xml:space="preserve">esponse was evaluated in patients who achieved a </w:t>
      </w:r>
      <w:r w:rsidR="00114832">
        <w:rPr>
          <w:iCs/>
        </w:rPr>
        <w:t>complete response</w:t>
      </w:r>
      <w:r w:rsidRPr="00D3696A">
        <w:rPr>
          <w:iCs/>
        </w:rPr>
        <w:t xml:space="preserve"> or </w:t>
      </w:r>
      <w:r w:rsidR="00114832">
        <w:rPr>
          <w:iCs/>
        </w:rPr>
        <w:t>partial response</w:t>
      </w:r>
      <w:r w:rsidRPr="00D3696A">
        <w:rPr>
          <w:iCs/>
        </w:rPr>
        <w:t xml:space="preserve"> </w:t>
      </w:r>
      <w:r>
        <w:rPr>
          <w:iCs/>
        </w:rPr>
        <w:t xml:space="preserve">during the study. </w:t>
      </w:r>
      <w:r w:rsidR="00114832">
        <w:rPr>
          <w:iCs/>
        </w:rPr>
        <w:t xml:space="preserve">Duration of response </w:t>
      </w:r>
      <w:r w:rsidRPr="00D3696A">
        <w:rPr>
          <w:iCs/>
        </w:rPr>
        <w:t xml:space="preserve">was defined as </w:t>
      </w:r>
      <w:r w:rsidR="00114832">
        <w:rPr>
          <w:iCs/>
        </w:rPr>
        <w:t>‘</w:t>
      </w:r>
      <w:r w:rsidRPr="00D3696A">
        <w:rPr>
          <w:iCs/>
        </w:rPr>
        <w:t xml:space="preserve">time from first response until </w:t>
      </w:r>
      <w:r>
        <w:rPr>
          <w:iCs/>
        </w:rPr>
        <w:t>c</w:t>
      </w:r>
      <w:r w:rsidR="00DC4DE8">
        <w:rPr>
          <w:iCs/>
        </w:rPr>
        <w:t xml:space="preserve">hronic </w:t>
      </w:r>
      <w:r>
        <w:rPr>
          <w:iCs/>
        </w:rPr>
        <w:t>GVHD</w:t>
      </w:r>
      <w:r w:rsidRPr="00D3696A">
        <w:rPr>
          <w:iCs/>
        </w:rPr>
        <w:t xml:space="preserve"> progression, death, or</w:t>
      </w:r>
      <w:r>
        <w:rPr>
          <w:iCs/>
        </w:rPr>
        <w:t xml:space="preserve"> </w:t>
      </w:r>
      <w:r w:rsidRPr="00D3696A">
        <w:rPr>
          <w:iCs/>
        </w:rPr>
        <w:t xml:space="preserve">systemic therapies for </w:t>
      </w:r>
      <w:r>
        <w:rPr>
          <w:iCs/>
        </w:rPr>
        <w:t>c</w:t>
      </w:r>
      <w:r w:rsidR="00DC4DE8">
        <w:rPr>
          <w:iCs/>
        </w:rPr>
        <w:t xml:space="preserve">hronic </w:t>
      </w:r>
      <w:r>
        <w:rPr>
          <w:iCs/>
        </w:rPr>
        <w:t>GVHD</w:t>
      </w:r>
      <w:r w:rsidR="00114832">
        <w:rPr>
          <w:iCs/>
        </w:rPr>
        <w:t>’</w:t>
      </w:r>
      <w:r w:rsidRPr="00D3696A">
        <w:rPr>
          <w:iCs/>
        </w:rPr>
        <w:t xml:space="preserve">. Median duration of response was not reached in </w:t>
      </w:r>
      <w:r w:rsidRPr="00D3696A">
        <w:rPr>
          <w:iCs/>
        </w:rPr>
        <w:lastRenderedPageBreak/>
        <w:t xml:space="preserve">ruxolitinib arm and was 6.2 months (95% CI: 4.7 to 13.3) in the </w:t>
      </w:r>
      <w:r w:rsidR="00DC4DE8">
        <w:rPr>
          <w:iCs/>
        </w:rPr>
        <w:t>‘best available treatment’</w:t>
      </w:r>
      <w:r w:rsidR="00DC4DE8" w:rsidRPr="00D3696A">
        <w:rPr>
          <w:iCs/>
        </w:rPr>
        <w:t xml:space="preserve"> </w:t>
      </w:r>
      <w:r w:rsidRPr="00D3696A">
        <w:rPr>
          <w:iCs/>
        </w:rPr>
        <w:t xml:space="preserve">arm. The estimated probability of maintaining </w:t>
      </w:r>
      <w:r w:rsidR="00114832">
        <w:rPr>
          <w:iCs/>
        </w:rPr>
        <w:t xml:space="preserve">best overall response </w:t>
      </w:r>
      <w:r w:rsidRPr="00D3696A">
        <w:rPr>
          <w:iCs/>
        </w:rPr>
        <w:t>with 95% CI</w:t>
      </w:r>
      <w:r w:rsidR="00114832">
        <w:rPr>
          <w:iCs/>
        </w:rPr>
        <w:t xml:space="preserve"> </w:t>
      </w:r>
      <w:r w:rsidRPr="00D3696A">
        <w:rPr>
          <w:iCs/>
        </w:rPr>
        <w:t>was higher in the ruxolitinib arm (76.58%</w:t>
      </w:r>
      <w:r w:rsidR="00C96FAD">
        <w:rPr>
          <w:iCs/>
        </w:rPr>
        <w:t>, 95% CI</w:t>
      </w:r>
      <w:r w:rsidRPr="00D3696A">
        <w:rPr>
          <w:iCs/>
        </w:rPr>
        <w:t xml:space="preserve">: 67.87, 88.22) compared to the </w:t>
      </w:r>
      <w:r w:rsidR="00DC4DE8">
        <w:rPr>
          <w:iCs/>
        </w:rPr>
        <w:t>‘best available treatment’</w:t>
      </w:r>
      <w:r w:rsidR="00DC4DE8" w:rsidRPr="00D3696A">
        <w:rPr>
          <w:iCs/>
        </w:rPr>
        <w:t xml:space="preserve"> </w:t>
      </w:r>
      <w:r w:rsidRPr="00D3696A">
        <w:rPr>
          <w:iCs/>
        </w:rPr>
        <w:t>arm (52.11%</w:t>
      </w:r>
      <w:r w:rsidR="00C96FAD">
        <w:rPr>
          <w:iCs/>
        </w:rPr>
        <w:t>, 95% CI</w:t>
      </w:r>
      <w:r w:rsidRPr="00D3696A">
        <w:rPr>
          <w:iCs/>
        </w:rPr>
        <w:t xml:space="preserve">: 41.78, 61.45) at </w:t>
      </w:r>
      <w:r w:rsidR="00114832">
        <w:rPr>
          <w:iCs/>
        </w:rPr>
        <w:t xml:space="preserve">six </w:t>
      </w:r>
      <w:r w:rsidRPr="00D3696A">
        <w:rPr>
          <w:iCs/>
        </w:rPr>
        <w:t>months. Similar trends in probability were observed at 12</w:t>
      </w:r>
      <w:r w:rsidR="00DC4DE8">
        <w:rPr>
          <w:iCs/>
        </w:rPr>
        <w:t> </w:t>
      </w:r>
      <w:r w:rsidRPr="00D3696A">
        <w:rPr>
          <w:iCs/>
        </w:rPr>
        <w:t>months (64.48%, 95%</w:t>
      </w:r>
      <w:r w:rsidR="00114832">
        <w:rPr>
          <w:iCs/>
        </w:rPr>
        <w:t xml:space="preserve"> </w:t>
      </w:r>
      <w:r w:rsidRPr="00D3696A">
        <w:rPr>
          <w:iCs/>
        </w:rPr>
        <w:t xml:space="preserve">CI: 58.94, 76.26 </w:t>
      </w:r>
      <w:r w:rsidR="001046E1">
        <w:rPr>
          <w:iCs/>
        </w:rPr>
        <w:t>versus</w:t>
      </w:r>
      <w:r w:rsidRPr="00D3696A">
        <w:rPr>
          <w:iCs/>
        </w:rPr>
        <w:t xml:space="preserve"> 40.33%, 95%</w:t>
      </w:r>
      <w:r w:rsidR="00114832">
        <w:rPr>
          <w:iCs/>
        </w:rPr>
        <w:t xml:space="preserve"> </w:t>
      </w:r>
      <w:r w:rsidRPr="00D3696A">
        <w:rPr>
          <w:iCs/>
        </w:rPr>
        <w:t>CI: 30.28, 50.15), 18 months (63.50%, 95%</w:t>
      </w:r>
      <w:r w:rsidR="00114832">
        <w:rPr>
          <w:iCs/>
        </w:rPr>
        <w:t xml:space="preserve"> </w:t>
      </w:r>
      <w:r w:rsidRPr="00D3696A">
        <w:rPr>
          <w:iCs/>
        </w:rPr>
        <w:t xml:space="preserve">CI: 52.82, 72.38 </w:t>
      </w:r>
      <w:r w:rsidR="001046E1">
        <w:rPr>
          <w:iCs/>
        </w:rPr>
        <w:t>versus</w:t>
      </w:r>
      <w:r w:rsidRPr="00D3696A">
        <w:rPr>
          <w:iCs/>
        </w:rPr>
        <w:t xml:space="preserve"> 36.66%, 95%</w:t>
      </w:r>
      <w:r w:rsidR="00114832">
        <w:rPr>
          <w:iCs/>
        </w:rPr>
        <w:t> </w:t>
      </w:r>
      <w:r w:rsidRPr="00D3696A">
        <w:rPr>
          <w:iCs/>
        </w:rPr>
        <w:t>CI: 26.47, 46.88).</w:t>
      </w:r>
    </w:p>
    <w:p w14:paraId="2B36B5F7" w14:textId="3E8E2DEA" w:rsidR="00E70AA0" w:rsidRDefault="006B7C39" w:rsidP="006B7C39">
      <w:pPr>
        <w:rPr>
          <w:iCs/>
        </w:rPr>
      </w:pPr>
      <w:r>
        <w:rPr>
          <w:iCs/>
        </w:rPr>
        <w:t xml:space="preserve">The </w:t>
      </w:r>
      <w:r w:rsidR="00DC4DE8">
        <w:rPr>
          <w:iCs/>
        </w:rPr>
        <w:t xml:space="preserve">authors of the supplementary regulatory analysis </w:t>
      </w:r>
      <w:r>
        <w:rPr>
          <w:iCs/>
        </w:rPr>
        <w:t xml:space="preserve">applied an alternative definition of </w:t>
      </w:r>
      <w:r w:rsidR="00114832">
        <w:rPr>
          <w:iCs/>
        </w:rPr>
        <w:t>duration of response</w:t>
      </w:r>
      <w:r>
        <w:rPr>
          <w:iCs/>
        </w:rPr>
        <w:t xml:space="preserve"> in which any reduction in any organ system was considered as loss of response, regardless of changes to other organs.</w:t>
      </w:r>
      <w:r w:rsidR="00E70AA0">
        <w:rPr>
          <w:iCs/>
        </w:rPr>
        <w:t xml:space="preserve"> </w:t>
      </w:r>
      <w:r>
        <w:rPr>
          <w:iCs/>
        </w:rPr>
        <w:t xml:space="preserve">Using that definition the </w:t>
      </w:r>
      <w:r w:rsidR="00114832">
        <w:rPr>
          <w:iCs/>
        </w:rPr>
        <w:t xml:space="preserve">duration of response </w:t>
      </w:r>
      <w:r>
        <w:rPr>
          <w:iCs/>
        </w:rPr>
        <w:t xml:space="preserve">and applying it to patients who responded during the first </w:t>
      </w:r>
      <w:r w:rsidR="00114832">
        <w:rPr>
          <w:iCs/>
        </w:rPr>
        <w:t>six</w:t>
      </w:r>
      <w:r>
        <w:rPr>
          <w:iCs/>
        </w:rPr>
        <w:t xml:space="preserve"> months of treatment, the </w:t>
      </w:r>
      <w:r w:rsidR="00114832">
        <w:rPr>
          <w:iCs/>
        </w:rPr>
        <w:t>duration of response</w:t>
      </w:r>
      <w:r>
        <w:rPr>
          <w:iCs/>
        </w:rPr>
        <w:t xml:space="preserve"> was </w:t>
      </w:r>
      <w:r w:rsidRPr="00D3696A">
        <w:rPr>
          <w:iCs/>
        </w:rPr>
        <w:t xml:space="preserve">4.2 months </w:t>
      </w:r>
      <w:r>
        <w:rPr>
          <w:iCs/>
        </w:rPr>
        <w:t>compared with 2.1</w:t>
      </w:r>
      <w:r w:rsidR="00114832">
        <w:rPr>
          <w:iCs/>
        </w:rPr>
        <w:t> </w:t>
      </w:r>
      <w:r>
        <w:rPr>
          <w:iCs/>
        </w:rPr>
        <w:t xml:space="preserve">months for </w:t>
      </w:r>
      <w:r w:rsidR="00DC4DE8">
        <w:rPr>
          <w:iCs/>
        </w:rPr>
        <w:t>best available treatment</w:t>
      </w:r>
      <w:r>
        <w:rPr>
          <w:iCs/>
        </w:rPr>
        <w:t xml:space="preserve">. </w:t>
      </w:r>
      <w:r w:rsidRPr="002E203F">
        <w:rPr>
          <w:iCs/>
        </w:rPr>
        <w:t xml:space="preserve">The median </w:t>
      </w:r>
      <w:r w:rsidR="00114832">
        <w:rPr>
          <w:iCs/>
        </w:rPr>
        <w:t>duration of response</w:t>
      </w:r>
      <w:r w:rsidRPr="002E203F">
        <w:rPr>
          <w:iCs/>
        </w:rPr>
        <w:t xml:space="preserve"> for the secondary definition o</w:t>
      </w:r>
      <w:r w:rsidR="00114832">
        <w:rPr>
          <w:iCs/>
        </w:rPr>
        <w:t xml:space="preserve">f duration of response </w:t>
      </w:r>
      <w:r w:rsidRPr="002E203F">
        <w:rPr>
          <w:iCs/>
        </w:rPr>
        <w:t xml:space="preserve">applied by the </w:t>
      </w:r>
      <w:r w:rsidR="00114832">
        <w:rPr>
          <w:iCs/>
        </w:rPr>
        <w:t xml:space="preserve">evaluators that is, </w:t>
      </w:r>
      <w:r w:rsidRPr="002E203F">
        <w:rPr>
          <w:iCs/>
        </w:rPr>
        <w:t xml:space="preserve">time to </w:t>
      </w:r>
      <w:r>
        <w:rPr>
          <w:iCs/>
        </w:rPr>
        <w:t xml:space="preserve">or </w:t>
      </w:r>
      <w:r w:rsidRPr="002E203F">
        <w:rPr>
          <w:iCs/>
        </w:rPr>
        <w:t xml:space="preserve">new therapy or death was 25 months for ruxolitinib and 5.6 months for </w:t>
      </w:r>
      <w:r w:rsidR="00DC4DE8">
        <w:rPr>
          <w:iCs/>
        </w:rPr>
        <w:t>best available treatment</w:t>
      </w:r>
      <w:r w:rsidRPr="002E203F">
        <w:rPr>
          <w:iCs/>
        </w:rPr>
        <w:t xml:space="preserve">. </w:t>
      </w:r>
      <w:r>
        <w:rPr>
          <w:iCs/>
        </w:rPr>
        <w:t>While these durations differ markedly</w:t>
      </w:r>
      <w:r w:rsidR="00E56A59">
        <w:rPr>
          <w:iCs/>
        </w:rPr>
        <w:t>,</w:t>
      </w:r>
      <w:r>
        <w:rPr>
          <w:iCs/>
        </w:rPr>
        <w:t xml:space="preserve"> both show ruxolitinib has a longer median duration of maintenance of response than </w:t>
      </w:r>
      <w:r w:rsidR="00DC4DE8">
        <w:rPr>
          <w:iCs/>
        </w:rPr>
        <w:t>best available treatment</w:t>
      </w:r>
      <w:r>
        <w:rPr>
          <w:iCs/>
        </w:rPr>
        <w:t>.</w:t>
      </w:r>
    </w:p>
    <w:p w14:paraId="3D7CB3A3" w14:textId="7D3BFB47" w:rsidR="00DC4DE8" w:rsidRDefault="006B7C39" w:rsidP="006B7C39">
      <w:pPr>
        <w:rPr>
          <w:iCs/>
        </w:rPr>
      </w:pPr>
      <w:r>
        <w:rPr>
          <w:iCs/>
        </w:rPr>
        <w:t xml:space="preserve">At this stage </w:t>
      </w:r>
      <w:r w:rsidR="00114832">
        <w:rPr>
          <w:iCs/>
        </w:rPr>
        <w:t>the Delegate is</w:t>
      </w:r>
      <w:r>
        <w:rPr>
          <w:iCs/>
        </w:rPr>
        <w:t xml:space="preserve"> inclined to refer to </w:t>
      </w:r>
      <w:r w:rsidR="00114832">
        <w:rPr>
          <w:iCs/>
        </w:rPr>
        <w:t>best overall response</w:t>
      </w:r>
      <w:r>
        <w:rPr>
          <w:iCs/>
        </w:rPr>
        <w:t xml:space="preserve"> and the </w:t>
      </w:r>
      <w:r w:rsidR="00114832">
        <w:rPr>
          <w:iCs/>
        </w:rPr>
        <w:t>duration of response</w:t>
      </w:r>
      <w:r>
        <w:rPr>
          <w:iCs/>
        </w:rPr>
        <w:t xml:space="preserve"> as presented in the </w:t>
      </w:r>
      <w:r w:rsidR="00114832">
        <w:rPr>
          <w:iCs/>
        </w:rPr>
        <w:t>clinical study report</w:t>
      </w:r>
      <w:r>
        <w:rPr>
          <w:iCs/>
        </w:rPr>
        <w:t xml:space="preserve"> in the</w:t>
      </w:r>
      <w:r w:rsidR="00114832">
        <w:rPr>
          <w:iCs/>
        </w:rPr>
        <w:t xml:space="preserve"> Product Information</w:t>
      </w:r>
      <w:r>
        <w:rPr>
          <w:iCs/>
        </w:rPr>
        <w:t xml:space="preserve"> describing </w:t>
      </w:r>
      <w:r w:rsidR="00114832" w:rsidRPr="00114832">
        <w:rPr>
          <w:iCs/>
        </w:rPr>
        <w:t>Study</w:t>
      </w:r>
      <w:r w:rsidR="00DC4DE8">
        <w:rPr>
          <w:iCs/>
        </w:rPr>
        <w:t> </w:t>
      </w:r>
      <w:r w:rsidR="00114832" w:rsidRPr="00114832">
        <w:rPr>
          <w:iCs/>
        </w:rPr>
        <w:t>CINC424D2301</w:t>
      </w:r>
      <w:r w:rsidR="00DC4DE8">
        <w:rPr>
          <w:iCs/>
        </w:rPr>
        <w:t xml:space="preserve"> (the REACH 3 trial)</w:t>
      </w:r>
      <w:r>
        <w:rPr>
          <w:iCs/>
        </w:rPr>
        <w:t>.</w:t>
      </w:r>
    </w:p>
    <w:p w14:paraId="189F499F" w14:textId="2B7E8D05" w:rsidR="006B7C39" w:rsidRDefault="00114832" w:rsidP="006B7C39">
      <w:pPr>
        <w:rPr>
          <w:iCs/>
        </w:rPr>
      </w:pPr>
      <w:r>
        <w:rPr>
          <w:iCs/>
        </w:rPr>
        <w:t xml:space="preserve">The </w:t>
      </w:r>
      <w:r w:rsidR="006B7C39" w:rsidRPr="002D7C5C">
        <w:rPr>
          <w:iCs/>
        </w:rPr>
        <w:t>propose</w:t>
      </w:r>
      <w:r>
        <w:rPr>
          <w:iCs/>
        </w:rPr>
        <w:t>d</w:t>
      </w:r>
      <w:r w:rsidR="006B7C39" w:rsidRPr="002D7C5C">
        <w:rPr>
          <w:iCs/>
        </w:rPr>
        <w:t xml:space="preserve"> indication for </w:t>
      </w:r>
      <w:r w:rsidR="006B7C39">
        <w:rPr>
          <w:iCs/>
        </w:rPr>
        <w:t>c</w:t>
      </w:r>
      <w:r w:rsidR="00DC4DE8">
        <w:rPr>
          <w:iCs/>
        </w:rPr>
        <w:t xml:space="preserve">hronic </w:t>
      </w:r>
      <w:r w:rsidR="006B7C39">
        <w:rPr>
          <w:iCs/>
        </w:rPr>
        <w:t>GVHD</w:t>
      </w:r>
      <w:r w:rsidR="006B7C39" w:rsidRPr="002D7C5C">
        <w:rPr>
          <w:iCs/>
        </w:rPr>
        <w:t xml:space="preserve"> </w:t>
      </w:r>
      <w:r>
        <w:rPr>
          <w:iCs/>
        </w:rPr>
        <w:t>is</w:t>
      </w:r>
      <w:r w:rsidR="006B7C39" w:rsidRPr="002D7C5C">
        <w:rPr>
          <w:iCs/>
        </w:rPr>
        <w:t>:</w:t>
      </w:r>
    </w:p>
    <w:p w14:paraId="0B266B0E" w14:textId="31D80A11" w:rsidR="006B7C39" w:rsidRDefault="006B7C39" w:rsidP="006B7C39">
      <w:pPr>
        <w:ind w:left="720"/>
        <w:rPr>
          <w:i/>
        </w:rPr>
      </w:pPr>
      <w:proofErr w:type="spellStart"/>
      <w:r w:rsidRPr="002D7C5C">
        <w:rPr>
          <w:i/>
        </w:rPr>
        <w:t>Jakavi</w:t>
      </w:r>
      <w:proofErr w:type="spellEnd"/>
      <w:r w:rsidRPr="002D7C5C">
        <w:rPr>
          <w:i/>
        </w:rPr>
        <w:t xml:space="preserve"> is indicated for the treatment of patients with chronic Graft versus Host Disease (</w:t>
      </w:r>
      <w:r>
        <w:rPr>
          <w:i/>
        </w:rPr>
        <w:t>cGVHD</w:t>
      </w:r>
      <w:r w:rsidRPr="002D7C5C">
        <w:rPr>
          <w:i/>
        </w:rPr>
        <w:t>) aged 12 years and older who have inadequate response to corticosteroids.</w:t>
      </w:r>
    </w:p>
    <w:p w14:paraId="3E5E4753" w14:textId="77777777" w:rsidR="00E70AA0" w:rsidRDefault="006B7C39" w:rsidP="006B7C39">
      <w:pPr>
        <w:rPr>
          <w:iCs/>
        </w:rPr>
      </w:pPr>
      <w:r>
        <w:rPr>
          <w:iCs/>
        </w:rPr>
        <w:t>There were no signals for new safety issues associated with ruxolitinib in the acute or chronic GVHD populations.</w:t>
      </w:r>
      <w:r w:rsidR="00E70AA0">
        <w:rPr>
          <w:iCs/>
        </w:rPr>
        <w:t xml:space="preserve"> </w:t>
      </w:r>
      <w:r>
        <w:rPr>
          <w:iCs/>
        </w:rPr>
        <w:t>The proposed dose adjustments for adverse reactions are acceptable and consistent with dose adjustments for other indications for ruxolitinib.</w:t>
      </w:r>
    </w:p>
    <w:p w14:paraId="3916F296" w14:textId="6CEF961A" w:rsidR="00C22214" w:rsidRDefault="00C22214" w:rsidP="00C22214">
      <w:pPr>
        <w:pStyle w:val="Heading4"/>
      </w:pPr>
      <w:bookmarkStart w:id="69" w:name="_Toc98931933"/>
      <w:bookmarkStart w:id="70" w:name="_Toc134095510"/>
      <w:r w:rsidRPr="00D23139">
        <w:t>Proposed action</w:t>
      </w:r>
      <w:bookmarkEnd w:id="69"/>
      <w:bookmarkEnd w:id="70"/>
    </w:p>
    <w:p w14:paraId="664DB3E3" w14:textId="77777777" w:rsidR="00DC4DE8" w:rsidRDefault="00114832" w:rsidP="006B7C39">
      <w:r>
        <w:t xml:space="preserve">The Delegate </w:t>
      </w:r>
      <w:r w:rsidR="006B7C39">
        <w:t>propose</w:t>
      </w:r>
      <w:r>
        <w:t>s</w:t>
      </w:r>
      <w:r w:rsidR="006B7C39">
        <w:t xml:space="preserve"> to approve </w:t>
      </w:r>
      <w:proofErr w:type="spellStart"/>
      <w:r w:rsidR="006B7C39">
        <w:t>J</w:t>
      </w:r>
      <w:r>
        <w:t>akavi</w:t>
      </w:r>
      <w:proofErr w:type="spellEnd"/>
      <w:r w:rsidR="006B7C39">
        <w:t xml:space="preserve"> (</w:t>
      </w:r>
      <w:proofErr w:type="spellStart"/>
      <w:r w:rsidR="006B7C39">
        <w:t>ruxolitinib</w:t>
      </w:r>
      <w:proofErr w:type="spellEnd"/>
      <w:r w:rsidR="006B7C39">
        <w:t xml:space="preserve">) for the following </w:t>
      </w:r>
      <w:proofErr w:type="gramStart"/>
      <w:r w:rsidR="006B7C39">
        <w:t>indications</w:t>
      </w:r>
      <w:r w:rsidR="00DC4DE8">
        <w:t>;</w:t>
      </w:r>
      <w:proofErr w:type="gramEnd"/>
    </w:p>
    <w:p w14:paraId="0D022BFB" w14:textId="28E2F658" w:rsidR="00E70AA0" w:rsidRDefault="00DC4DE8" w:rsidP="0016413C">
      <w:pPr>
        <w:ind w:firstLine="720"/>
      </w:pPr>
      <w:r>
        <w:t>in acute GHVD:</w:t>
      </w:r>
    </w:p>
    <w:p w14:paraId="08EECE69" w14:textId="3308E689" w:rsidR="00DC4DE8" w:rsidRDefault="006B7C39">
      <w:pPr>
        <w:ind w:left="720"/>
        <w:rPr>
          <w:i/>
          <w:iCs/>
        </w:rPr>
      </w:pPr>
      <w:proofErr w:type="spellStart"/>
      <w:r w:rsidRPr="006B7C39">
        <w:rPr>
          <w:i/>
          <w:iCs/>
        </w:rPr>
        <w:t>Jakavi</w:t>
      </w:r>
      <w:proofErr w:type="spellEnd"/>
      <w:r w:rsidRPr="006B7C39">
        <w:rPr>
          <w:i/>
          <w:iCs/>
        </w:rPr>
        <w:t xml:space="preserve"> is indicated for the treatment of patients with acute Graft versus Host Disease (</w:t>
      </w:r>
      <w:proofErr w:type="spellStart"/>
      <w:r w:rsidRPr="006B7C39">
        <w:rPr>
          <w:i/>
          <w:iCs/>
        </w:rPr>
        <w:t>aGVHD</w:t>
      </w:r>
      <w:proofErr w:type="spellEnd"/>
      <w:r w:rsidRPr="006B7C39">
        <w:rPr>
          <w:i/>
          <w:iCs/>
        </w:rPr>
        <w:t>) aged 12 years and older who have inadequate response to corticosteroids.</w:t>
      </w:r>
    </w:p>
    <w:p w14:paraId="7780E8B6" w14:textId="146B2259" w:rsidR="00DC4DE8" w:rsidRPr="0016413C" w:rsidRDefault="00DC4DE8" w:rsidP="0016413C">
      <w:pPr>
        <w:ind w:firstLine="720"/>
      </w:pPr>
      <w:r>
        <w:t>and in chronic GHVD:</w:t>
      </w:r>
    </w:p>
    <w:p w14:paraId="669A71F0" w14:textId="275DFF3F" w:rsidR="006B7C39" w:rsidRPr="006B7C39" w:rsidRDefault="006B7C39" w:rsidP="006B7C39">
      <w:pPr>
        <w:ind w:left="720"/>
        <w:rPr>
          <w:i/>
          <w:iCs/>
        </w:rPr>
      </w:pPr>
      <w:proofErr w:type="spellStart"/>
      <w:r w:rsidRPr="006B7C39">
        <w:rPr>
          <w:i/>
          <w:iCs/>
        </w:rPr>
        <w:t>Jakavi</w:t>
      </w:r>
      <w:proofErr w:type="spellEnd"/>
      <w:r w:rsidRPr="006B7C39">
        <w:rPr>
          <w:i/>
          <w:iCs/>
        </w:rPr>
        <w:t xml:space="preserve"> is indicated for the treatment of patients with chronic Graft versus Host Disease (cGVHD) aged 12 years and older who have inadequate response to corticosteroids.</w:t>
      </w:r>
    </w:p>
    <w:p w14:paraId="4E120237" w14:textId="2FCC64E0" w:rsidR="006B7C39" w:rsidRDefault="006B7C39" w:rsidP="006B7C39">
      <w:r>
        <w:t xml:space="preserve">Approval is subject to successful negotiation of the conditions of registration including the </w:t>
      </w:r>
      <w:r w:rsidR="00114832">
        <w:t>Product Information</w:t>
      </w:r>
      <w:r>
        <w:t xml:space="preserve">. The sponsor should conduct and submit a safety analysis using data obtained from </w:t>
      </w:r>
      <w:r w:rsidR="00114832" w:rsidRPr="00114832">
        <w:t xml:space="preserve">Study CINC424D2301 </w:t>
      </w:r>
      <w:r w:rsidR="009460E0">
        <w:t xml:space="preserve">(the REACH 3 trial) </w:t>
      </w:r>
      <w:r>
        <w:t xml:space="preserve">to further characterise the safety of long-term treatment of chronic graft-versus-host disease with ruxolitinib and determine the rate of infections, hyperlipidaemia, liver toxicity, </w:t>
      </w:r>
      <w:proofErr w:type="spellStart"/>
      <w:r>
        <w:t>cytopenias</w:t>
      </w:r>
      <w:proofErr w:type="spellEnd"/>
      <w:r>
        <w:t>, secondary malignancies and other adverse events. The integrated safety analysis should include all adverse events, major safety events, dose-reductions, dose interruptions, withdrawals, and efficacy analyses when all patients have completed at least three years of treatment with ruxolitinib or withdrew earlier.</w:t>
      </w:r>
    </w:p>
    <w:p w14:paraId="318CFABC" w14:textId="77777777" w:rsidR="00C22214" w:rsidRPr="00F73346" w:rsidRDefault="00C22214" w:rsidP="00C22214">
      <w:pPr>
        <w:pStyle w:val="Heading4"/>
      </w:pPr>
      <w:bookmarkStart w:id="71" w:name="_Toc98931936"/>
      <w:bookmarkStart w:id="72" w:name="_Toc134095511"/>
      <w:bookmarkStart w:id="73" w:name="_Toc247691532"/>
      <w:bookmarkStart w:id="74" w:name="_Toc314842516"/>
      <w:r w:rsidRPr="00F73346">
        <w:lastRenderedPageBreak/>
        <w:t>Advisory Committee considerations</w:t>
      </w:r>
      <w:bookmarkEnd w:id="71"/>
      <w:bookmarkEnd w:id="72"/>
    </w:p>
    <w:p w14:paraId="087BB9CB" w14:textId="3DC237BD" w:rsidR="00C22214" w:rsidRDefault="00C22214" w:rsidP="00C22214">
      <w:pPr>
        <w:rPr>
          <w:bCs/>
          <w:szCs w:val="22"/>
        </w:rPr>
      </w:pPr>
      <w:r w:rsidRPr="00BD5DBD">
        <w:rPr>
          <w:bCs/>
          <w:szCs w:val="22"/>
        </w:rPr>
        <w:t xml:space="preserve">The </w:t>
      </w:r>
      <w:hyperlink r:id="rId47"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7B5EA020" w14:textId="77777777" w:rsidR="001959C3" w:rsidRDefault="006269E0" w:rsidP="006269E0">
      <w:pPr>
        <w:pStyle w:val="Numberbullet0"/>
        <w:rPr>
          <w:b/>
          <w:bCs/>
          <w:i/>
          <w:iCs/>
        </w:rPr>
      </w:pPr>
      <w:r w:rsidRPr="006269E0">
        <w:rPr>
          <w:b/>
          <w:bCs/>
          <w:i/>
          <w:iCs/>
        </w:rPr>
        <w:t xml:space="preserve">The sponsor has proposed including acute and chronic </w:t>
      </w:r>
      <w:r w:rsidR="001959C3">
        <w:rPr>
          <w:b/>
          <w:bCs/>
          <w:i/>
          <w:iCs/>
        </w:rPr>
        <w:t>graft-versus-host disease (</w:t>
      </w:r>
      <w:r w:rsidRPr="006269E0">
        <w:rPr>
          <w:b/>
          <w:bCs/>
          <w:i/>
          <w:iCs/>
        </w:rPr>
        <w:t>GVHD</w:t>
      </w:r>
      <w:r w:rsidR="001959C3">
        <w:rPr>
          <w:b/>
          <w:bCs/>
          <w:i/>
          <w:iCs/>
        </w:rPr>
        <w:t>)</w:t>
      </w:r>
      <w:r w:rsidRPr="006269E0">
        <w:rPr>
          <w:b/>
          <w:bCs/>
          <w:i/>
          <w:iCs/>
        </w:rPr>
        <w:t xml:space="preserve"> in a single indication.</w:t>
      </w:r>
    </w:p>
    <w:p w14:paraId="71FCE9FB" w14:textId="01FF6600" w:rsidR="001959C3" w:rsidRDefault="006269E0" w:rsidP="0016413C">
      <w:pPr>
        <w:pStyle w:val="Numberbullet0"/>
        <w:numPr>
          <w:ilvl w:val="0"/>
          <w:numId w:val="0"/>
        </w:numPr>
        <w:ind w:left="360"/>
        <w:rPr>
          <w:b/>
          <w:bCs/>
          <w:i/>
          <w:iCs/>
        </w:rPr>
      </w:pPr>
      <w:r w:rsidRPr="006269E0">
        <w:rPr>
          <w:b/>
          <w:bCs/>
          <w:i/>
          <w:iCs/>
        </w:rPr>
        <w:t>Does the Committee consider this is justified given that separate studies with different populations with different diagnostic criteria and treatment regimens, other than ruxolitinib were submitted?</w:t>
      </w:r>
    </w:p>
    <w:p w14:paraId="208B1C14" w14:textId="2552E14D" w:rsidR="00E70AA0" w:rsidRDefault="006269E0" w:rsidP="0016413C">
      <w:pPr>
        <w:pStyle w:val="Numberbullet0"/>
        <w:numPr>
          <w:ilvl w:val="0"/>
          <w:numId w:val="0"/>
        </w:numPr>
        <w:ind w:left="360"/>
        <w:rPr>
          <w:b/>
          <w:bCs/>
          <w:i/>
          <w:iCs/>
        </w:rPr>
      </w:pPr>
      <w:r w:rsidRPr="006269E0">
        <w:rPr>
          <w:b/>
          <w:bCs/>
          <w:i/>
          <w:iCs/>
        </w:rPr>
        <w:t>The proposed dose regimen for ruxolitinib is the same for acute and chronic GVHD.</w:t>
      </w:r>
    </w:p>
    <w:p w14:paraId="010FA674" w14:textId="588F97DA" w:rsidR="006269E0" w:rsidRDefault="006269E0" w:rsidP="006269E0">
      <w:r>
        <w:t>The ACM advised that there should be separate indications for a</w:t>
      </w:r>
      <w:r w:rsidR="001959C3">
        <w:t xml:space="preserve">cute </w:t>
      </w:r>
      <w:r>
        <w:t>GVHD and c</w:t>
      </w:r>
      <w:r w:rsidR="001959C3">
        <w:t xml:space="preserve">hronic </w:t>
      </w:r>
      <w:r>
        <w:t xml:space="preserve">GVHD as they are separate conditions with their own distinct features. In support of this advice, the ACM highlighted </w:t>
      </w:r>
      <w:proofErr w:type="gramStart"/>
      <w:r>
        <w:t>that separate clinical trials</w:t>
      </w:r>
      <w:proofErr w:type="gramEnd"/>
      <w:r>
        <w:t xml:space="preserve"> were required to investigate these conditions because the patient population, clinical presentations and methods of diagnosis and assessment are different for the two conditions. Furthermore, there are differences in the pharmacokinetics (PK) between a</w:t>
      </w:r>
      <w:r w:rsidR="001959C3">
        <w:t xml:space="preserve">cute </w:t>
      </w:r>
      <w:r>
        <w:t>GVHD and c</w:t>
      </w:r>
      <w:r w:rsidR="001959C3">
        <w:t xml:space="preserve">hronic </w:t>
      </w:r>
      <w:r>
        <w:t>GVHD, with a slightly lower exposure to ruxolitinib in a</w:t>
      </w:r>
      <w:r w:rsidR="001959C3">
        <w:t xml:space="preserve">cute </w:t>
      </w:r>
      <w:r>
        <w:t>GVHD. The ACM advised that a</w:t>
      </w:r>
      <w:r w:rsidR="001959C3">
        <w:t xml:space="preserve">cute </w:t>
      </w:r>
      <w:r>
        <w:t>GVHD and c</w:t>
      </w:r>
      <w:r w:rsidR="001959C3">
        <w:t xml:space="preserve">hronic </w:t>
      </w:r>
      <w:r>
        <w:t>GVHD should also have separate dosing instructions.</w:t>
      </w:r>
    </w:p>
    <w:p w14:paraId="40E3CBEC" w14:textId="77777777" w:rsidR="001959C3" w:rsidRDefault="001959C3" w:rsidP="006269E0">
      <w:pPr>
        <w:pStyle w:val="Numberbullet0"/>
        <w:rPr>
          <w:b/>
          <w:bCs/>
          <w:i/>
          <w:iCs/>
        </w:rPr>
      </w:pPr>
      <w:r>
        <w:rPr>
          <w:b/>
          <w:bCs/>
          <w:i/>
          <w:iCs/>
        </w:rPr>
        <w:t>The ACM is asked to comment on the following:</w:t>
      </w:r>
    </w:p>
    <w:p w14:paraId="0A6C20CD" w14:textId="15B61205" w:rsidR="001959C3" w:rsidRDefault="006269E0" w:rsidP="0016413C">
      <w:pPr>
        <w:pStyle w:val="Numberbullet0"/>
        <w:numPr>
          <w:ilvl w:val="0"/>
          <w:numId w:val="0"/>
        </w:numPr>
        <w:ind w:left="360"/>
        <w:rPr>
          <w:b/>
          <w:bCs/>
          <w:i/>
          <w:iCs/>
        </w:rPr>
      </w:pPr>
      <w:r w:rsidRPr="006269E0">
        <w:rPr>
          <w:b/>
          <w:bCs/>
          <w:i/>
          <w:iCs/>
        </w:rPr>
        <w:t xml:space="preserve">The </w:t>
      </w:r>
      <w:r w:rsidR="001959C3">
        <w:rPr>
          <w:b/>
          <w:bCs/>
          <w:i/>
          <w:iCs/>
        </w:rPr>
        <w:t>s</w:t>
      </w:r>
      <w:r w:rsidRPr="006269E0">
        <w:rPr>
          <w:b/>
          <w:bCs/>
          <w:i/>
          <w:iCs/>
        </w:rPr>
        <w:t>ponsor</w:t>
      </w:r>
      <w:r w:rsidR="001959C3">
        <w:rPr>
          <w:b/>
          <w:bCs/>
          <w:i/>
          <w:iCs/>
        </w:rPr>
        <w:t>’s</w:t>
      </w:r>
      <w:r w:rsidRPr="006269E0">
        <w:rPr>
          <w:b/>
          <w:bCs/>
          <w:i/>
          <w:iCs/>
        </w:rPr>
        <w:t xml:space="preserve"> proposed ruxolitinib dose for a</w:t>
      </w:r>
      <w:r w:rsidR="001959C3">
        <w:rPr>
          <w:b/>
          <w:bCs/>
          <w:i/>
          <w:iCs/>
        </w:rPr>
        <w:t xml:space="preserve">cute </w:t>
      </w:r>
      <w:r w:rsidRPr="006269E0">
        <w:rPr>
          <w:b/>
          <w:bCs/>
          <w:i/>
          <w:iCs/>
        </w:rPr>
        <w:t xml:space="preserve">GVHD </w:t>
      </w:r>
      <w:r w:rsidR="001959C3">
        <w:rPr>
          <w:b/>
          <w:bCs/>
          <w:i/>
          <w:iCs/>
        </w:rPr>
        <w:t>is</w:t>
      </w:r>
      <w:r w:rsidR="001959C3" w:rsidRPr="006269E0">
        <w:rPr>
          <w:b/>
          <w:bCs/>
          <w:i/>
          <w:iCs/>
        </w:rPr>
        <w:t xml:space="preserve"> </w:t>
      </w:r>
      <w:r w:rsidRPr="006269E0">
        <w:rPr>
          <w:b/>
          <w:bCs/>
          <w:i/>
          <w:iCs/>
        </w:rPr>
        <w:t xml:space="preserve">10 mg </w:t>
      </w:r>
      <w:r w:rsidR="00114832">
        <w:rPr>
          <w:b/>
          <w:bCs/>
          <w:i/>
          <w:iCs/>
        </w:rPr>
        <w:t>twice a day</w:t>
      </w:r>
      <w:r w:rsidRPr="006269E0">
        <w:rPr>
          <w:b/>
          <w:bCs/>
          <w:i/>
          <w:iCs/>
        </w:rPr>
        <w:t xml:space="preserve"> however in </w:t>
      </w:r>
      <w:r w:rsidR="00114832" w:rsidRPr="00114832">
        <w:rPr>
          <w:b/>
          <w:bCs/>
          <w:i/>
          <w:iCs/>
        </w:rPr>
        <w:t>Study 18424-271 (REACH 1 trial)</w:t>
      </w:r>
      <w:r w:rsidRPr="006269E0">
        <w:rPr>
          <w:b/>
          <w:bCs/>
          <w:i/>
          <w:iCs/>
        </w:rPr>
        <w:t xml:space="preserve"> fewer than half the study patients were taking that dose at Day 28, with all patients commencing on ruxolitinib 5 mg </w:t>
      </w:r>
      <w:r w:rsidR="00114832">
        <w:rPr>
          <w:b/>
          <w:bCs/>
          <w:i/>
          <w:iCs/>
        </w:rPr>
        <w:t>twice a day</w:t>
      </w:r>
      <w:r w:rsidRPr="006269E0">
        <w:rPr>
          <w:b/>
          <w:bCs/>
          <w:i/>
          <w:iCs/>
        </w:rPr>
        <w:t>. The optimum dose of ruxolitinib in a</w:t>
      </w:r>
      <w:r w:rsidR="001959C3">
        <w:rPr>
          <w:b/>
          <w:bCs/>
          <w:i/>
          <w:iCs/>
        </w:rPr>
        <w:t xml:space="preserve">cute </w:t>
      </w:r>
      <w:r w:rsidRPr="006269E0">
        <w:rPr>
          <w:b/>
          <w:bCs/>
          <w:i/>
          <w:iCs/>
        </w:rPr>
        <w:t>GVHD has not been identified.</w:t>
      </w:r>
    </w:p>
    <w:p w14:paraId="50715CF2" w14:textId="4809B58D" w:rsidR="006269E0" w:rsidRPr="006269E0" w:rsidRDefault="006269E0" w:rsidP="0016413C">
      <w:pPr>
        <w:pStyle w:val="Numberbullet0"/>
        <w:numPr>
          <w:ilvl w:val="0"/>
          <w:numId w:val="0"/>
        </w:numPr>
        <w:ind w:left="360"/>
        <w:rPr>
          <w:b/>
          <w:bCs/>
          <w:i/>
          <w:iCs/>
        </w:rPr>
      </w:pPr>
      <w:r w:rsidRPr="006269E0">
        <w:rPr>
          <w:b/>
          <w:bCs/>
          <w:i/>
          <w:iCs/>
        </w:rPr>
        <w:t>Pharmacokinetic comparisons showed there was generally somewhat lower exposure to ruxolitinib in a</w:t>
      </w:r>
      <w:r w:rsidR="001959C3">
        <w:rPr>
          <w:b/>
          <w:bCs/>
          <w:i/>
          <w:iCs/>
        </w:rPr>
        <w:t xml:space="preserve">cute </w:t>
      </w:r>
      <w:r w:rsidRPr="006269E0">
        <w:rPr>
          <w:b/>
          <w:bCs/>
          <w:i/>
          <w:iCs/>
        </w:rPr>
        <w:t>GVHD patients than in c</w:t>
      </w:r>
      <w:r w:rsidR="001959C3">
        <w:rPr>
          <w:b/>
          <w:bCs/>
          <w:i/>
          <w:iCs/>
        </w:rPr>
        <w:t xml:space="preserve">hronic </w:t>
      </w:r>
      <w:r w:rsidRPr="006269E0">
        <w:rPr>
          <w:b/>
          <w:bCs/>
          <w:i/>
          <w:iCs/>
        </w:rPr>
        <w:t>GVHD patients. The dose of ruxolitinib proposed for c</w:t>
      </w:r>
      <w:r w:rsidR="001959C3">
        <w:rPr>
          <w:b/>
          <w:bCs/>
          <w:i/>
          <w:iCs/>
        </w:rPr>
        <w:t xml:space="preserve">hronic </w:t>
      </w:r>
      <w:r w:rsidRPr="006269E0">
        <w:rPr>
          <w:b/>
          <w:bCs/>
          <w:i/>
          <w:iCs/>
        </w:rPr>
        <w:t xml:space="preserve">GVHD patients is 10 mg </w:t>
      </w:r>
      <w:r w:rsidR="00114832">
        <w:rPr>
          <w:b/>
          <w:bCs/>
          <w:i/>
          <w:iCs/>
        </w:rPr>
        <w:t>twice a day</w:t>
      </w:r>
      <w:r w:rsidRPr="006269E0">
        <w:rPr>
          <w:b/>
          <w:bCs/>
          <w:i/>
          <w:iCs/>
        </w:rPr>
        <w:t>.</w:t>
      </w:r>
    </w:p>
    <w:p w14:paraId="2807A195" w14:textId="31653C06" w:rsidR="006269E0" w:rsidRDefault="006269E0" w:rsidP="006269E0">
      <w:r>
        <w:t>The ACM noted that the FDA Prescribing Information states the dosing as 5 mg twice daily for a</w:t>
      </w:r>
      <w:r w:rsidR="001959C3">
        <w:t xml:space="preserve">cute </w:t>
      </w:r>
      <w:r>
        <w:t>GVHD and to increase after 3 days, and 10 mg twice daily for c</w:t>
      </w:r>
      <w:r w:rsidR="001959C3">
        <w:t xml:space="preserve">hronic </w:t>
      </w:r>
      <w:r>
        <w:t xml:space="preserve">GVHD. The 5 mg dose regimen is consistent with what was used in </w:t>
      </w:r>
      <w:r w:rsidR="001959C3" w:rsidRPr="001959C3">
        <w:t xml:space="preserve">Study 18424-271 </w:t>
      </w:r>
      <w:r w:rsidR="001959C3">
        <w:t>(</w:t>
      </w:r>
      <w:r>
        <w:t>the REACH 1 trial</w:t>
      </w:r>
      <w:r w:rsidR="001959C3">
        <w:t>)</w:t>
      </w:r>
      <w:r>
        <w:t xml:space="preserve">. Furthermore, allogenic stem cell transplant patients are routinely treated with concurrent calcineurin inhibitors and azole prophylaxis which can inhibit the metabolism (via CYP3A4) of ruxolitinib, increasing its exposure. The ACM was of the view that if haematologic parameters are stable and no treatment-related toxicity is observed after the first 3 days of treatment, the dose could reasonably be increased to 10 mg </w:t>
      </w:r>
      <w:r w:rsidR="00114832">
        <w:t>twice a day</w:t>
      </w:r>
      <w:r>
        <w:t>.</w:t>
      </w:r>
    </w:p>
    <w:p w14:paraId="3A4E2D02" w14:textId="119EEBF6" w:rsidR="006269E0" w:rsidRDefault="006269E0" w:rsidP="006269E0">
      <w:r>
        <w:t>Based on the data submitted, the ACM was supportive of the dosing regimen being 5 mg twice daily for a</w:t>
      </w:r>
      <w:r w:rsidR="001959C3">
        <w:t xml:space="preserve">cute </w:t>
      </w:r>
      <w:r>
        <w:t>GVHD with the option to increase to 10 mg at clinical discretion, and 10 mg twice daily for c</w:t>
      </w:r>
      <w:r w:rsidR="001959C3">
        <w:t xml:space="preserve">hronic </w:t>
      </w:r>
      <w:r>
        <w:t>GVHD.</w:t>
      </w:r>
    </w:p>
    <w:p w14:paraId="7D86FBFC" w14:textId="6007472A" w:rsidR="001959C3" w:rsidRDefault="001959C3" w:rsidP="006269E0">
      <w:r>
        <w:br w:type="page"/>
      </w:r>
    </w:p>
    <w:p w14:paraId="6CC192F8" w14:textId="3DDE6208" w:rsidR="001959C3" w:rsidRDefault="006269E0" w:rsidP="006269E0">
      <w:pPr>
        <w:pStyle w:val="Numberbullet0"/>
        <w:rPr>
          <w:b/>
          <w:bCs/>
          <w:i/>
          <w:iCs/>
        </w:rPr>
      </w:pPr>
      <w:r w:rsidRPr="006269E0">
        <w:rPr>
          <w:b/>
          <w:bCs/>
          <w:i/>
          <w:iCs/>
        </w:rPr>
        <w:lastRenderedPageBreak/>
        <w:t xml:space="preserve">The pharmacokinetics and toxicity of ruxolitinib in patients with hepatic impairment were not examined in patients with acute and chronic GVHD. The </w:t>
      </w:r>
      <w:r w:rsidR="00E77112">
        <w:rPr>
          <w:b/>
          <w:bCs/>
          <w:i/>
          <w:iCs/>
        </w:rPr>
        <w:t xml:space="preserve">pharmacokinetics </w:t>
      </w:r>
      <w:r w:rsidRPr="006269E0">
        <w:rPr>
          <w:b/>
          <w:bCs/>
          <w:i/>
          <w:iCs/>
        </w:rPr>
        <w:t>study in patients with hepatic impairment was inconclusive and no patients with Child-Pugh level 4 hepatic impairment were included in the GVHD studies.</w:t>
      </w:r>
    </w:p>
    <w:p w14:paraId="17159F8D" w14:textId="7402A058" w:rsidR="003D239D" w:rsidRDefault="006269E0" w:rsidP="0016413C">
      <w:pPr>
        <w:pStyle w:val="Numberbullet0"/>
        <w:numPr>
          <w:ilvl w:val="0"/>
          <w:numId w:val="0"/>
        </w:numPr>
        <w:ind w:left="360"/>
        <w:rPr>
          <w:b/>
          <w:bCs/>
          <w:i/>
          <w:iCs/>
        </w:rPr>
      </w:pPr>
      <w:r w:rsidRPr="006269E0">
        <w:rPr>
          <w:b/>
          <w:bCs/>
          <w:i/>
          <w:iCs/>
        </w:rPr>
        <w:t xml:space="preserve">It has been proposed that the starting dose of ruxolitinib be reduced to 5 mg </w:t>
      </w:r>
      <w:r w:rsidR="00114832">
        <w:rPr>
          <w:b/>
          <w:bCs/>
          <w:i/>
          <w:iCs/>
        </w:rPr>
        <w:t>twice a day</w:t>
      </w:r>
      <w:r w:rsidRPr="006269E0">
        <w:rPr>
          <w:b/>
          <w:bCs/>
          <w:i/>
          <w:iCs/>
        </w:rPr>
        <w:t xml:space="preserve"> in patients with Child-Pugh level 4 hepatic </w:t>
      </w:r>
      <w:proofErr w:type="gramStart"/>
      <w:r w:rsidRPr="006269E0">
        <w:rPr>
          <w:b/>
          <w:bCs/>
          <w:i/>
          <w:iCs/>
        </w:rPr>
        <w:t>impairment</w:t>
      </w:r>
      <w:proofErr w:type="gramEnd"/>
      <w:r w:rsidRPr="006269E0">
        <w:rPr>
          <w:b/>
          <w:bCs/>
          <w:i/>
          <w:iCs/>
        </w:rPr>
        <w:t xml:space="preserve"> but this relies on extrapolation from studies in patients given ruxolitinib for other indications and </w:t>
      </w:r>
      <w:r w:rsidR="001959C3">
        <w:rPr>
          <w:b/>
          <w:bCs/>
          <w:i/>
          <w:iCs/>
        </w:rPr>
        <w:t>population pharmacokinetic</w:t>
      </w:r>
      <w:r w:rsidR="001959C3" w:rsidRPr="006269E0">
        <w:rPr>
          <w:b/>
          <w:bCs/>
          <w:i/>
          <w:iCs/>
        </w:rPr>
        <w:t xml:space="preserve"> </w:t>
      </w:r>
      <w:r w:rsidRPr="006269E0">
        <w:rPr>
          <w:b/>
          <w:bCs/>
          <w:i/>
          <w:iCs/>
        </w:rPr>
        <w:t>assessments in GVHD patients to support proposed dose amendment.</w:t>
      </w:r>
    </w:p>
    <w:p w14:paraId="6D1DE443" w14:textId="5DE82471" w:rsidR="006269E0" w:rsidRPr="006269E0" w:rsidRDefault="006269E0" w:rsidP="0016413C">
      <w:pPr>
        <w:pStyle w:val="Numberbullet0"/>
        <w:numPr>
          <w:ilvl w:val="0"/>
          <w:numId w:val="0"/>
        </w:numPr>
        <w:ind w:left="360"/>
        <w:rPr>
          <w:b/>
          <w:bCs/>
          <w:i/>
          <w:iCs/>
        </w:rPr>
      </w:pPr>
      <w:r w:rsidRPr="006269E0">
        <w:rPr>
          <w:b/>
          <w:bCs/>
          <w:i/>
          <w:iCs/>
        </w:rPr>
        <w:t>The Committee’s view of such extrapolation is requested.</w:t>
      </w:r>
    </w:p>
    <w:p w14:paraId="2ECABCE7" w14:textId="3C58277E" w:rsidR="006269E0" w:rsidRDefault="006269E0" w:rsidP="006269E0">
      <w:r>
        <w:t>The ACM advised that the P</w:t>
      </w:r>
      <w:r w:rsidR="00114832">
        <w:t>roduct Information</w:t>
      </w:r>
      <w:r>
        <w:t xml:space="preserve"> should state that the dose for Stage 4 liver a</w:t>
      </w:r>
      <w:r w:rsidR="00E77112">
        <w:t xml:space="preserve">cute </w:t>
      </w:r>
      <w:r>
        <w:t>GVHD should be 5 mg daily as a starting dose and to modify the dose for adverse reactions with c</w:t>
      </w:r>
      <w:r w:rsidR="00E77112">
        <w:t xml:space="preserve">hronic </w:t>
      </w:r>
      <w:r>
        <w:t>GVHD, in line with the US Prescribing Information.</w:t>
      </w:r>
    </w:p>
    <w:p w14:paraId="076F1420" w14:textId="58F3DA36" w:rsidR="003D239D" w:rsidRDefault="006269E0" w:rsidP="006269E0">
      <w:pPr>
        <w:pStyle w:val="Numberbullet0"/>
        <w:rPr>
          <w:b/>
          <w:bCs/>
          <w:i/>
          <w:iCs/>
        </w:rPr>
      </w:pPr>
      <w:r w:rsidRPr="006269E0">
        <w:rPr>
          <w:b/>
          <w:bCs/>
          <w:i/>
          <w:iCs/>
        </w:rPr>
        <w:t xml:space="preserve">In </w:t>
      </w:r>
      <w:r w:rsidR="00114832" w:rsidRPr="00114832">
        <w:rPr>
          <w:b/>
          <w:bCs/>
          <w:i/>
          <w:iCs/>
        </w:rPr>
        <w:t>Study 18424-271 (</w:t>
      </w:r>
      <w:r w:rsidR="009460E0">
        <w:rPr>
          <w:b/>
          <w:bCs/>
          <w:i/>
          <w:iCs/>
        </w:rPr>
        <w:t xml:space="preserve">the </w:t>
      </w:r>
      <w:r w:rsidR="00114832" w:rsidRPr="00114832">
        <w:rPr>
          <w:b/>
          <w:bCs/>
          <w:i/>
          <w:iCs/>
        </w:rPr>
        <w:t xml:space="preserve">REACH 1 trial) </w:t>
      </w:r>
      <w:r w:rsidRPr="006269E0">
        <w:rPr>
          <w:b/>
          <w:bCs/>
          <w:i/>
          <w:iCs/>
        </w:rPr>
        <w:t xml:space="preserve">the </w:t>
      </w:r>
      <w:r w:rsidR="001959C3">
        <w:rPr>
          <w:b/>
          <w:bCs/>
          <w:i/>
          <w:iCs/>
        </w:rPr>
        <w:t xml:space="preserve">Project </w:t>
      </w:r>
      <w:r w:rsidRPr="006269E0">
        <w:rPr>
          <w:b/>
          <w:bCs/>
          <w:i/>
          <w:iCs/>
        </w:rPr>
        <w:t xml:space="preserve">Orbis reviewers excluded </w:t>
      </w:r>
      <w:r w:rsidR="003D239D">
        <w:rPr>
          <w:b/>
          <w:bCs/>
          <w:i/>
          <w:iCs/>
        </w:rPr>
        <w:t xml:space="preserve">13 out of </w:t>
      </w:r>
      <w:r w:rsidR="003D239D" w:rsidRPr="006269E0">
        <w:rPr>
          <w:b/>
          <w:bCs/>
          <w:i/>
          <w:iCs/>
        </w:rPr>
        <w:t xml:space="preserve">71 patients </w:t>
      </w:r>
      <w:r w:rsidRPr="006269E0">
        <w:rPr>
          <w:b/>
          <w:bCs/>
          <w:i/>
          <w:iCs/>
        </w:rPr>
        <w:t>from the efficacy analysis who did not receive at least 2 mg/kg steroids (</w:t>
      </w:r>
      <w:r w:rsidR="005944BB">
        <w:rPr>
          <w:b/>
          <w:bCs/>
          <w:i/>
          <w:iCs/>
        </w:rPr>
        <w:t>±</w:t>
      </w:r>
      <w:r w:rsidRPr="006269E0">
        <w:rPr>
          <w:b/>
          <w:bCs/>
          <w:i/>
          <w:iCs/>
        </w:rPr>
        <w:t xml:space="preserve"> 10%) prior to study entry. These patients were not considered to have been treated with an adequate dose of steroids.</w:t>
      </w:r>
    </w:p>
    <w:p w14:paraId="30A4EDD8" w14:textId="2910B13A" w:rsidR="006269E0" w:rsidRPr="006269E0" w:rsidRDefault="006269E0" w:rsidP="00DC52AE">
      <w:pPr>
        <w:pStyle w:val="Numberbullet0"/>
        <w:numPr>
          <w:ilvl w:val="0"/>
          <w:numId w:val="0"/>
        </w:numPr>
        <w:ind w:left="360"/>
        <w:rPr>
          <w:b/>
          <w:bCs/>
          <w:i/>
          <w:iCs/>
        </w:rPr>
      </w:pPr>
      <w:r w:rsidRPr="006269E0">
        <w:rPr>
          <w:b/>
          <w:bCs/>
          <w:i/>
          <w:iCs/>
        </w:rPr>
        <w:t>Does the Committee consider that this was an appropriate cut-off for determination of steroid resistance?</w:t>
      </w:r>
    </w:p>
    <w:p w14:paraId="4245550E" w14:textId="1D01B7DD" w:rsidR="006269E0" w:rsidRDefault="006269E0" w:rsidP="006269E0">
      <w:r>
        <w:t xml:space="preserve">The ACM was of the view that 2 mg/kg/day of steroids is an appropriate cut-off for determination of steroid resistance. The ACM commented that by excluding patients who did not receive an adequate trial of steroids, overestimation of the efficacy of </w:t>
      </w:r>
      <w:proofErr w:type="spellStart"/>
      <w:r>
        <w:t>J</w:t>
      </w:r>
      <w:r w:rsidR="005944BB">
        <w:t>akavi</w:t>
      </w:r>
      <w:proofErr w:type="spellEnd"/>
      <w:r>
        <w:t xml:space="preserve"> is reduced.</w:t>
      </w:r>
    </w:p>
    <w:p w14:paraId="67EC8F08" w14:textId="797E8797" w:rsidR="003D239D" w:rsidRDefault="006269E0" w:rsidP="006269E0">
      <w:pPr>
        <w:pStyle w:val="Numberbullet0"/>
        <w:rPr>
          <w:b/>
          <w:bCs/>
          <w:i/>
          <w:iCs/>
        </w:rPr>
      </w:pPr>
      <w:r w:rsidRPr="006269E0">
        <w:rPr>
          <w:b/>
          <w:bCs/>
          <w:i/>
          <w:iCs/>
        </w:rPr>
        <w:t xml:space="preserve">The </w:t>
      </w:r>
      <w:r w:rsidR="003D239D">
        <w:rPr>
          <w:b/>
          <w:bCs/>
          <w:i/>
          <w:iCs/>
        </w:rPr>
        <w:t>supplementary regulatory analysis</w:t>
      </w:r>
      <w:r w:rsidR="003D239D" w:rsidRPr="006269E0">
        <w:rPr>
          <w:b/>
          <w:bCs/>
          <w:i/>
          <w:iCs/>
        </w:rPr>
        <w:t xml:space="preserve"> </w:t>
      </w:r>
      <w:r w:rsidRPr="006269E0">
        <w:rPr>
          <w:b/>
          <w:bCs/>
          <w:i/>
          <w:iCs/>
        </w:rPr>
        <w:t xml:space="preserve">preferred to measure </w:t>
      </w:r>
      <w:r w:rsidR="003D239D">
        <w:rPr>
          <w:b/>
          <w:bCs/>
          <w:i/>
          <w:iCs/>
        </w:rPr>
        <w:t>o</w:t>
      </w:r>
      <w:r w:rsidRPr="006269E0">
        <w:rPr>
          <w:b/>
          <w:bCs/>
          <w:i/>
          <w:iCs/>
        </w:rPr>
        <w:t xml:space="preserve">verall </w:t>
      </w:r>
      <w:r w:rsidR="003D239D">
        <w:rPr>
          <w:b/>
          <w:bCs/>
          <w:i/>
          <w:iCs/>
        </w:rPr>
        <w:t>r</w:t>
      </w:r>
      <w:r w:rsidRPr="006269E0">
        <w:rPr>
          <w:b/>
          <w:bCs/>
          <w:i/>
          <w:iCs/>
        </w:rPr>
        <w:t xml:space="preserve">esponse </w:t>
      </w:r>
      <w:r w:rsidR="003D239D">
        <w:rPr>
          <w:b/>
          <w:bCs/>
          <w:i/>
          <w:iCs/>
        </w:rPr>
        <w:t>r</w:t>
      </w:r>
      <w:r w:rsidRPr="006269E0">
        <w:rPr>
          <w:b/>
          <w:bCs/>
          <w:i/>
          <w:iCs/>
        </w:rPr>
        <w:t xml:space="preserve">ate during the first 28 days of treatment as the primary measure of efficacy whereas the primary measure of efficacy in the </w:t>
      </w:r>
      <w:r w:rsidR="003D239D">
        <w:rPr>
          <w:b/>
          <w:bCs/>
          <w:i/>
          <w:iCs/>
        </w:rPr>
        <w:t>c</w:t>
      </w:r>
      <w:r w:rsidRPr="006269E0">
        <w:rPr>
          <w:b/>
          <w:bCs/>
          <w:i/>
          <w:iCs/>
        </w:rPr>
        <w:t xml:space="preserve">linical </w:t>
      </w:r>
      <w:r w:rsidR="003D239D">
        <w:rPr>
          <w:b/>
          <w:bCs/>
          <w:i/>
          <w:iCs/>
        </w:rPr>
        <w:t>s</w:t>
      </w:r>
      <w:r w:rsidRPr="006269E0">
        <w:rPr>
          <w:b/>
          <w:bCs/>
          <w:i/>
          <w:iCs/>
        </w:rPr>
        <w:t xml:space="preserve">tudy </w:t>
      </w:r>
      <w:r w:rsidR="003D239D">
        <w:rPr>
          <w:b/>
          <w:bCs/>
          <w:i/>
          <w:iCs/>
        </w:rPr>
        <w:t>r</w:t>
      </w:r>
      <w:r w:rsidRPr="006269E0">
        <w:rPr>
          <w:b/>
          <w:bCs/>
          <w:i/>
          <w:iCs/>
        </w:rPr>
        <w:t xml:space="preserve">eport </w:t>
      </w:r>
      <w:r w:rsidR="003D239D">
        <w:rPr>
          <w:b/>
          <w:bCs/>
          <w:i/>
          <w:iCs/>
        </w:rPr>
        <w:t xml:space="preserve">[for </w:t>
      </w:r>
      <w:r w:rsidR="003D239D" w:rsidRPr="00114832">
        <w:rPr>
          <w:b/>
          <w:bCs/>
          <w:i/>
          <w:iCs/>
        </w:rPr>
        <w:t>Study 18424-271 (REACH 1 trial)</w:t>
      </w:r>
      <w:r w:rsidR="003D239D">
        <w:rPr>
          <w:b/>
          <w:bCs/>
          <w:i/>
          <w:iCs/>
        </w:rPr>
        <w:t>]</w:t>
      </w:r>
      <w:r w:rsidR="003D239D" w:rsidRPr="006269E0" w:rsidDel="003D239D">
        <w:rPr>
          <w:b/>
          <w:bCs/>
          <w:i/>
          <w:iCs/>
        </w:rPr>
        <w:t xml:space="preserve"> </w:t>
      </w:r>
      <w:r w:rsidRPr="006269E0">
        <w:rPr>
          <w:b/>
          <w:bCs/>
          <w:i/>
          <w:iCs/>
        </w:rPr>
        <w:t>was measured at the Day 28 timepoint.</w:t>
      </w:r>
    </w:p>
    <w:p w14:paraId="78DCCEE7" w14:textId="435B9753" w:rsidR="006269E0" w:rsidRPr="006269E0" w:rsidRDefault="006269E0" w:rsidP="00DC52AE">
      <w:pPr>
        <w:pStyle w:val="Numberbullet0"/>
        <w:numPr>
          <w:ilvl w:val="0"/>
          <w:numId w:val="0"/>
        </w:numPr>
        <w:ind w:left="360"/>
        <w:rPr>
          <w:b/>
          <w:bCs/>
          <w:i/>
          <w:iCs/>
        </w:rPr>
      </w:pPr>
      <w:r w:rsidRPr="006269E0">
        <w:rPr>
          <w:b/>
          <w:bCs/>
          <w:i/>
          <w:iCs/>
        </w:rPr>
        <w:t>Please comment on which measure you consider to be more useful in assessment of disease progress in a</w:t>
      </w:r>
      <w:r w:rsidR="003D239D">
        <w:rPr>
          <w:b/>
          <w:bCs/>
          <w:i/>
          <w:iCs/>
        </w:rPr>
        <w:t xml:space="preserve">cute </w:t>
      </w:r>
      <w:r w:rsidRPr="006269E0">
        <w:rPr>
          <w:b/>
          <w:bCs/>
          <w:i/>
          <w:iCs/>
        </w:rPr>
        <w:t>GVHD.</w:t>
      </w:r>
    </w:p>
    <w:p w14:paraId="49FA656F" w14:textId="53A29170" w:rsidR="006269E0" w:rsidRDefault="006269E0" w:rsidP="006269E0">
      <w:r>
        <w:t xml:space="preserve">The ACM advised that </w:t>
      </w:r>
      <w:r w:rsidR="003D239D">
        <w:t xml:space="preserve">overall response rate </w:t>
      </w:r>
      <w:r>
        <w:t xml:space="preserve">is </w:t>
      </w:r>
      <w:proofErr w:type="gramStart"/>
      <w:r>
        <w:t>most commonly reported</w:t>
      </w:r>
      <w:proofErr w:type="gramEnd"/>
      <w:r>
        <w:t xml:space="preserve"> at Day 28 (± 7 days).</w:t>
      </w:r>
    </w:p>
    <w:p w14:paraId="2612345C" w14:textId="28AF3ACA" w:rsidR="006269E0" w:rsidRDefault="006269E0" w:rsidP="006269E0">
      <w:r>
        <w:t>The ACM commented that steroid-resistant a</w:t>
      </w:r>
      <w:r w:rsidR="003D239D">
        <w:t xml:space="preserve">cute </w:t>
      </w:r>
      <w:r>
        <w:t>GVHD is defined as progression of a</w:t>
      </w:r>
      <w:r w:rsidR="003D239D">
        <w:t xml:space="preserve">cute </w:t>
      </w:r>
      <w:r>
        <w:t>GVHD after steroids for 4 days (3 days in REACH 1</w:t>
      </w:r>
      <w:r w:rsidR="005944BB">
        <w:t xml:space="preserve"> trial</w:t>
      </w:r>
      <w:r>
        <w:t>) or no improvement after 7 days.</w:t>
      </w:r>
    </w:p>
    <w:p w14:paraId="236F6984" w14:textId="1E983983" w:rsidR="006269E0" w:rsidRPr="006269E0" w:rsidRDefault="006269E0" w:rsidP="006269E0">
      <w:pPr>
        <w:pStyle w:val="Numberbullet0"/>
        <w:rPr>
          <w:b/>
          <w:bCs/>
          <w:i/>
          <w:iCs/>
        </w:rPr>
      </w:pPr>
      <w:r w:rsidRPr="006269E0">
        <w:rPr>
          <w:b/>
          <w:bCs/>
          <w:i/>
          <w:iCs/>
        </w:rPr>
        <w:t xml:space="preserve">Please comment on which of the </w:t>
      </w:r>
      <w:r w:rsidR="003D239D">
        <w:rPr>
          <w:b/>
          <w:bCs/>
          <w:i/>
          <w:iCs/>
        </w:rPr>
        <w:t>d</w:t>
      </w:r>
      <w:r w:rsidRPr="006269E0">
        <w:rPr>
          <w:b/>
          <w:bCs/>
          <w:i/>
          <w:iCs/>
        </w:rPr>
        <w:t xml:space="preserve">uration of </w:t>
      </w:r>
      <w:r w:rsidR="003D239D">
        <w:rPr>
          <w:b/>
          <w:bCs/>
          <w:i/>
          <w:iCs/>
        </w:rPr>
        <w:t>r</w:t>
      </w:r>
      <w:r w:rsidRPr="006269E0">
        <w:rPr>
          <w:b/>
          <w:bCs/>
          <w:i/>
          <w:iCs/>
        </w:rPr>
        <w:t xml:space="preserve">esponse methods presented using data from </w:t>
      </w:r>
      <w:r w:rsidR="003D239D" w:rsidRPr="00114832">
        <w:rPr>
          <w:b/>
          <w:bCs/>
          <w:i/>
          <w:iCs/>
        </w:rPr>
        <w:t>Study 18424-271 (REACH 1 trial)</w:t>
      </w:r>
      <w:r w:rsidRPr="006269E0">
        <w:rPr>
          <w:b/>
          <w:bCs/>
          <w:i/>
          <w:iCs/>
        </w:rPr>
        <w:t xml:space="preserve"> is the most clinically useful.</w:t>
      </w:r>
    </w:p>
    <w:p w14:paraId="7EBEAF42" w14:textId="541CF8CE" w:rsidR="003D239D" w:rsidRDefault="006269E0" w:rsidP="006269E0">
      <w:r>
        <w:t xml:space="preserve">There were two </w:t>
      </w:r>
      <w:r w:rsidR="003D239D">
        <w:t>duration of response (</w:t>
      </w:r>
      <w:r>
        <w:t>DOR</w:t>
      </w:r>
      <w:r w:rsidR="003D239D">
        <w:t>)</w:t>
      </w:r>
      <w:r>
        <w:t xml:space="preserve"> methods presented from </w:t>
      </w:r>
      <w:r w:rsidR="003D239D">
        <w:t xml:space="preserve">the </w:t>
      </w:r>
      <w:r>
        <w:t>REACH 1</w:t>
      </w:r>
      <w:r w:rsidR="003D239D">
        <w:t xml:space="preserve"> trial</w:t>
      </w:r>
      <w:r>
        <w:t xml:space="preserve">. The ACM noted that Method 1 was from Day 28 to new therapy/death or worsening of any organ by one stage compared to prior response, with a median DOR of 16 days (95% CI: 9, 83). Method 2 was from Day 28 to new therapy or increase in steroid dose from </w:t>
      </w:r>
      <w:r w:rsidR="003D239D">
        <w:t>B</w:t>
      </w:r>
      <w:r>
        <w:t>aseline, with a DOR of 173</w:t>
      </w:r>
      <w:r w:rsidR="003D239D">
        <w:t> </w:t>
      </w:r>
      <w:r>
        <w:t xml:space="preserve">days (95% CI: 66, </w:t>
      </w:r>
      <w:r w:rsidR="003D239D">
        <w:t>non-estimable</w:t>
      </w:r>
      <w:r>
        <w:t>). The ACM commented that Method 2 has a larger participant group and longer DOR.</w:t>
      </w:r>
    </w:p>
    <w:p w14:paraId="59F2F629" w14:textId="5D4B9AE2" w:rsidR="003D239D" w:rsidRDefault="006269E0" w:rsidP="006269E0">
      <w:r>
        <w:t>While the ACM agreed that both methods have utility, they preferred the second method as they were of the view that the criteria were more measurable and verifiable.</w:t>
      </w:r>
    </w:p>
    <w:p w14:paraId="360D00E3" w14:textId="0C5D0BF5" w:rsidR="006269E0" w:rsidRPr="006269E0" w:rsidRDefault="006269E0" w:rsidP="00BA5B40">
      <w:pPr>
        <w:pStyle w:val="Numberbullet0"/>
        <w:pageBreakBefore/>
        <w:ind w:left="357" w:hanging="357"/>
        <w:rPr>
          <w:b/>
          <w:bCs/>
          <w:i/>
          <w:iCs/>
        </w:rPr>
      </w:pPr>
      <w:r w:rsidRPr="006269E0">
        <w:rPr>
          <w:b/>
          <w:bCs/>
          <w:i/>
          <w:iCs/>
        </w:rPr>
        <w:lastRenderedPageBreak/>
        <w:t xml:space="preserve">Does the Committee consider the proposed amended description of </w:t>
      </w:r>
      <w:r w:rsidR="003D239D" w:rsidRPr="00114832">
        <w:rPr>
          <w:b/>
          <w:bCs/>
          <w:i/>
          <w:iCs/>
        </w:rPr>
        <w:t>Study 18424-271 (REACH 1 trial)</w:t>
      </w:r>
      <w:r w:rsidR="003D239D">
        <w:rPr>
          <w:b/>
          <w:bCs/>
          <w:i/>
          <w:iCs/>
        </w:rPr>
        <w:t xml:space="preserve"> </w:t>
      </w:r>
      <w:r w:rsidRPr="006269E0">
        <w:rPr>
          <w:b/>
          <w:bCs/>
          <w:i/>
          <w:iCs/>
        </w:rPr>
        <w:t xml:space="preserve">in </w:t>
      </w:r>
      <w:r w:rsidR="002F4C54">
        <w:rPr>
          <w:b/>
          <w:bCs/>
          <w:i/>
          <w:iCs/>
        </w:rPr>
        <w:t>the Delegate’</w:t>
      </w:r>
      <w:r w:rsidR="00E322AC">
        <w:rPr>
          <w:b/>
          <w:bCs/>
          <w:i/>
          <w:iCs/>
        </w:rPr>
        <w:t xml:space="preserve">s comments on the </w:t>
      </w:r>
      <w:r w:rsidR="002F4C54">
        <w:rPr>
          <w:b/>
          <w:bCs/>
          <w:i/>
          <w:iCs/>
        </w:rPr>
        <w:t xml:space="preserve">draft Product Information </w:t>
      </w:r>
      <w:r w:rsidRPr="006269E0">
        <w:rPr>
          <w:b/>
          <w:bCs/>
          <w:i/>
          <w:iCs/>
        </w:rPr>
        <w:t>is an appropriate description of the REACH 1 study? Please recommend aspects of the description that would benefit from amendment.</w:t>
      </w:r>
    </w:p>
    <w:p w14:paraId="2BE7D769" w14:textId="35BF5CA0" w:rsidR="006269E0" w:rsidRDefault="006269E0" w:rsidP="006269E0">
      <w:r>
        <w:t xml:space="preserve">The ACM was supportive of the proposed amended description of REACH 1 </w:t>
      </w:r>
      <w:r w:rsidR="00E77112">
        <w:t xml:space="preserve">trial </w:t>
      </w:r>
      <w:r>
        <w:t xml:space="preserve">in the PI. The ACM agreed that it should highlight that REACH 1 </w:t>
      </w:r>
      <w:r w:rsidR="00E77112">
        <w:t xml:space="preserve">trial </w:t>
      </w:r>
      <w:r>
        <w:t>was a Phase II study.</w:t>
      </w:r>
    </w:p>
    <w:p w14:paraId="3EE5A02D" w14:textId="7EC0092E" w:rsidR="006269E0" w:rsidRPr="006269E0" w:rsidRDefault="006269E0" w:rsidP="006269E0">
      <w:pPr>
        <w:pStyle w:val="Numberbullet0"/>
        <w:rPr>
          <w:b/>
          <w:bCs/>
          <w:i/>
          <w:iCs/>
        </w:rPr>
      </w:pPr>
      <w:r w:rsidRPr="006269E0">
        <w:rPr>
          <w:b/>
          <w:bCs/>
          <w:i/>
          <w:iCs/>
        </w:rPr>
        <w:t xml:space="preserve">Does the Committee consider the proposed amended description of </w:t>
      </w:r>
      <w:r w:rsidR="00E77112">
        <w:rPr>
          <w:b/>
          <w:bCs/>
          <w:i/>
          <w:iCs/>
        </w:rPr>
        <w:t xml:space="preserve">Study CINC424D2301 (the </w:t>
      </w:r>
      <w:r w:rsidRPr="006269E0">
        <w:rPr>
          <w:b/>
          <w:bCs/>
          <w:i/>
          <w:iCs/>
        </w:rPr>
        <w:t xml:space="preserve">REACH 3 </w:t>
      </w:r>
      <w:r w:rsidR="00E77112">
        <w:rPr>
          <w:b/>
          <w:bCs/>
          <w:i/>
          <w:iCs/>
        </w:rPr>
        <w:t xml:space="preserve">trial) </w:t>
      </w:r>
      <w:r w:rsidRPr="006269E0">
        <w:rPr>
          <w:b/>
          <w:bCs/>
          <w:i/>
          <w:iCs/>
        </w:rPr>
        <w:t xml:space="preserve">in </w:t>
      </w:r>
      <w:r w:rsidR="00E322AC">
        <w:rPr>
          <w:b/>
          <w:bCs/>
          <w:i/>
          <w:iCs/>
        </w:rPr>
        <w:t xml:space="preserve">Delegate’s comments on the draft Product </w:t>
      </w:r>
      <w:proofErr w:type="gramStart"/>
      <w:r w:rsidR="00E322AC">
        <w:rPr>
          <w:b/>
          <w:bCs/>
          <w:i/>
          <w:iCs/>
        </w:rPr>
        <w:t xml:space="preserve">Information </w:t>
      </w:r>
      <w:r w:rsidRPr="006269E0">
        <w:rPr>
          <w:b/>
          <w:bCs/>
          <w:i/>
          <w:iCs/>
        </w:rPr>
        <w:t xml:space="preserve"> is</w:t>
      </w:r>
      <w:proofErr w:type="gramEnd"/>
      <w:r w:rsidRPr="006269E0">
        <w:rPr>
          <w:b/>
          <w:bCs/>
          <w:i/>
          <w:iCs/>
        </w:rPr>
        <w:t xml:space="preserve"> an appropriate description of the REACH 3 study? Please recommend aspects of that description that would benefit from amendment.</w:t>
      </w:r>
    </w:p>
    <w:p w14:paraId="0A3EB08C" w14:textId="3568E939" w:rsidR="006269E0" w:rsidRDefault="006269E0" w:rsidP="006269E0">
      <w:r>
        <w:t xml:space="preserve">The ACM advised that the Delegate’s proposed amended description of REACH 3 is appropriate and was supportive of removing the </w:t>
      </w:r>
      <w:r w:rsidR="00E77112">
        <w:t>f</w:t>
      </w:r>
      <w:r>
        <w:t xml:space="preserve">ailure </w:t>
      </w:r>
      <w:r w:rsidR="00E77112">
        <w:t>f</w:t>
      </w:r>
      <w:r>
        <w:t xml:space="preserve">ree </w:t>
      </w:r>
      <w:r w:rsidR="00E77112">
        <w:t>s</w:t>
      </w:r>
      <w:r>
        <w:t>urvival (FFS) data.</w:t>
      </w:r>
    </w:p>
    <w:p w14:paraId="2207A84D" w14:textId="7A5A2FB5" w:rsidR="006269E0" w:rsidRPr="006269E0" w:rsidRDefault="00FA5EE4" w:rsidP="006269E0">
      <w:pPr>
        <w:pStyle w:val="Numberbullet0"/>
        <w:rPr>
          <w:b/>
          <w:bCs/>
          <w:i/>
          <w:iCs/>
        </w:rPr>
      </w:pPr>
      <w:r>
        <w:rPr>
          <w:b/>
          <w:bCs/>
          <w:i/>
          <w:iCs/>
        </w:rPr>
        <w:t>The ACM is requested to provide any o</w:t>
      </w:r>
      <w:r w:rsidR="006269E0" w:rsidRPr="006269E0">
        <w:rPr>
          <w:b/>
          <w:bCs/>
          <w:i/>
          <w:iCs/>
        </w:rPr>
        <w:t>ther advice</w:t>
      </w:r>
      <w:r>
        <w:rPr>
          <w:b/>
          <w:bCs/>
          <w:i/>
          <w:iCs/>
        </w:rPr>
        <w:t xml:space="preserve"> pertaining to this submission</w:t>
      </w:r>
      <w:r w:rsidR="006269E0" w:rsidRPr="006269E0">
        <w:rPr>
          <w:b/>
          <w:bCs/>
          <w:i/>
          <w:iCs/>
        </w:rPr>
        <w:t>.</w:t>
      </w:r>
    </w:p>
    <w:p w14:paraId="1AD069B7" w14:textId="77777777" w:rsidR="006269E0" w:rsidRDefault="006269E0" w:rsidP="006269E0">
      <w:r>
        <w:t xml:space="preserve">The ACM commented that the United States PI includes a table for dose modifications for toxicity, concomitant strong CYP3A4 inhibitors or fluconazole, as well as for renal or hepatic </w:t>
      </w:r>
      <w:proofErr w:type="gramStart"/>
      <w:r>
        <w:t>impairment in particular</w:t>
      </w:r>
      <w:proofErr w:type="gramEnd"/>
      <w:r>
        <w:t>. They advised that a similar table should be included in the Australian PI to improve clarity and presentation.</w:t>
      </w:r>
    </w:p>
    <w:p w14:paraId="709110FC" w14:textId="1C7E5C2B" w:rsidR="006269E0" w:rsidRPr="006269E0" w:rsidRDefault="006269E0" w:rsidP="006269E0">
      <w:r>
        <w:t xml:space="preserve">Regarding the Delegate’s proposal to include patients 12 years of age and older, the ACM was supportive of this proposal. While extensive PK sampling for modelling was obtained from only </w:t>
      </w:r>
      <w:r w:rsidR="00E77112">
        <w:t>three</w:t>
      </w:r>
      <w:r>
        <w:t xml:space="preserve"> adolescents, a</w:t>
      </w:r>
      <w:r w:rsidR="00E77112">
        <w:t xml:space="preserve">cute </w:t>
      </w:r>
      <w:r>
        <w:t>GVHD and c</w:t>
      </w:r>
      <w:r w:rsidR="00E77112">
        <w:t xml:space="preserve">hronic </w:t>
      </w:r>
      <w:r>
        <w:t xml:space="preserve">GVHD are rare </w:t>
      </w:r>
      <w:proofErr w:type="gramStart"/>
      <w:r>
        <w:t>diseases</w:t>
      </w:r>
      <w:proofErr w:type="gramEnd"/>
      <w:r>
        <w:t xml:space="preserve"> and the physiology of adolescents is similar to that of adults. The PK modelling did not identify clinically relevant differences in ruxolitinib pharmacokinetics regarding age, race, sex, or weight.</w:t>
      </w:r>
    </w:p>
    <w:p w14:paraId="5291EA2A" w14:textId="77777777" w:rsidR="00C22214" w:rsidRPr="00F73346" w:rsidRDefault="00C22214" w:rsidP="00C22214">
      <w:pPr>
        <w:pStyle w:val="Heading5"/>
      </w:pPr>
      <w:r w:rsidRPr="00F73346">
        <w:t>Conclusion</w:t>
      </w:r>
    </w:p>
    <w:p w14:paraId="4A75C903" w14:textId="77777777" w:rsidR="006269E0" w:rsidRPr="006269E0" w:rsidRDefault="006269E0" w:rsidP="006269E0">
      <w:pPr>
        <w:rPr>
          <w:szCs w:val="22"/>
        </w:rPr>
      </w:pPr>
      <w:r w:rsidRPr="006269E0">
        <w:rPr>
          <w:szCs w:val="22"/>
        </w:rPr>
        <w:t>The ACM considered this product to have an overall positive benefit-risk profile for the indications:</w:t>
      </w:r>
    </w:p>
    <w:p w14:paraId="23AD6603" w14:textId="77777777" w:rsidR="006269E0" w:rsidRPr="006269E0" w:rsidRDefault="006269E0" w:rsidP="006269E0">
      <w:pPr>
        <w:ind w:left="720"/>
        <w:rPr>
          <w:i/>
          <w:iCs/>
          <w:szCs w:val="22"/>
        </w:rPr>
      </w:pPr>
      <w:proofErr w:type="spellStart"/>
      <w:r w:rsidRPr="006269E0">
        <w:rPr>
          <w:i/>
          <w:iCs/>
          <w:szCs w:val="22"/>
        </w:rPr>
        <w:t>Jakavi</w:t>
      </w:r>
      <w:proofErr w:type="spellEnd"/>
      <w:r w:rsidRPr="006269E0">
        <w:rPr>
          <w:i/>
          <w:iCs/>
          <w:szCs w:val="22"/>
        </w:rPr>
        <w:t xml:space="preserve"> is indicated for the treatment of patients with acute Graft versus Host Disease (</w:t>
      </w:r>
      <w:proofErr w:type="spellStart"/>
      <w:r w:rsidRPr="006269E0">
        <w:rPr>
          <w:i/>
          <w:iCs/>
          <w:szCs w:val="22"/>
        </w:rPr>
        <w:t>aGVHD</w:t>
      </w:r>
      <w:proofErr w:type="spellEnd"/>
      <w:r w:rsidRPr="006269E0">
        <w:rPr>
          <w:i/>
          <w:iCs/>
          <w:szCs w:val="22"/>
        </w:rPr>
        <w:t>) aged 12 years and older who have inadequate response to corticosteroids.</w:t>
      </w:r>
    </w:p>
    <w:p w14:paraId="5AE388BE" w14:textId="4E2F4679" w:rsidR="006269E0" w:rsidRPr="006269E0" w:rsidRDefault="006269E0" w:rsidP="006269E0">
      <w:pPr>
        <w:ind w:left="720"/>
        <w:rPr>
          <w:i/>
          <w:iCs/>
          <w:szCs w:val="22"/>
        </w:rPr>
      </w:pPr>
      <w:proofErr w:type="spellStart"/>
      <w:r w:rsidRPr="006269E0">
        <w:rPr>
          <w:i/>
          <w:iCs/>
          <w:szCs w:val="22"/>
        </w:rPr>
        <w:t>Jakavi</w:t>
      </w:r>
      <w:proofErr w:type="spellEnd"/>
      <w:r w:rsidRPr="006269E0">
        <w:rPr>
          <w:i/>
          <w:iCs/>
          <w:szCs w:val="22"/>
        </w:rPr>
        <w:t xml:space="preserve"> is indicated for the treatment of patients with chronic Graft versus Host Disease (cGVHD) aged 12 years and older who have inadequate response to corticosteroids.</w:t>
      </w:r>
    </w:p>
    <w:p w14:paraId="307F236C" w14:textId="77777777" w:rsidR="00C22214" w:rsidRPr="002E238E" w:rsidRDefault="00C22214" w:rsidP="00C22214">
      <w:pPr>
        <w:pStyle w:val="Heading2"/>
      </w:pPr>
      <w:bookmarkStart w:id="75" w:name="_Toc103679300"/>
      <w:bookmarkStart w:id="76" w:name="_Toc134095512"/>
      <w:r>
        <w:t>Outcome</w:t>
      </w:r>
      <w:bookmarkEnd w:id="73"/>
      <w:bookmarkEnd w:id="74"/>
      <w:bookmarkEnd w:id="75"/>
      <w:bookmarkEnd w:id="76"/>
    </w:p>
    <w:p w14:paraId="4EF22939" w14:textId="723D8417" w:rsidR="00C22214" w:rsidRDefault="00C22214" w:rsidP="006269E0">
      <w:r w:rsidRPr="00BD5DBD">
        <w:t xml:space="preserve">Based on a review of quality, safety, and efficacy, the TGA approved the registration of </w:t>
      </w:r>
      <w:proofErr w:type="spellStart"/>
      <w:r w:rsidR="005944BB">
        <w:t>Jakavi</w:t>
      </w:r>
      <w:proofErr w:type="spellEnd"/>
      <w:r w:rsidR="005944BB">
        <w:t xml:space="preserve"> </w:t>
      </w:r>
      <w:proofErr w:type="spellStart"/>
      <w:r w:rsidR="006269E0">
        <w:t>ruxolitinib</w:t>
      </w:r>
      <w:proofErr w:type="spellEnd"/>
      <w:r w:rsidR="006269E0">
        <w:t xml:space="preserve"> </w:t>
      </w:r>
      <w:r w:rsidR="005944BB">
        <w:t xml:space="preserve">(as </w:t>
      </w:r>
      <w:r w:rsidR="006269E0">
        <w:t>phosphate</w:t>
      </w:r>
      <w:r w:rsidR="005944BB">
        <w:t>)</w:t>
      </w:r>
      <w:r w:rsidR="006269E0">
        <w:t xml:space="preserve"> 5 mg, 10 mg, 15 </w:t>
      </w:r>
      <w:proofErr w:type="gramStart"/>
      <w:r w:rsidR="006269E0">
        <w:t>mg</w:t>
      </w:r>
      <w:proofErr w:type="gramEnd"/>
      <w:r w:rsidR="006269E0">
        <w:t xml:space="preserve"> and 20 mg tablet blister packs</w:t>
      </w:r>
      <w:r w:rsidRPr="00BD5DBD">
        <w:t xml:space="preserve"> indicated for the following extension of indications</w:t>
      </w:r>
      <w:r w:rsidR="006269E0">
        <w:t>:</w:t>
      </w:r>
    </w:p>
    <w:p w14:paraId="6A283EF8" w14:textId="77777777" w:rsidR="00E70AA0" w:rsidRDefault="006269E0" w:rsidP="006269E0">
      <w:pPr>
        <w:ind w:left="720"/>
        <w:rPr>
          <w:i/>
          <w:iCs/>
          <w:szCs w:val="22"/>
        </w:rPr>
      </w:pPr>
      <w:proofErr w:type="spellStart"/>
      <w:r w:rsidRPr="006269E0">
        <w:rPr>
          <w:i/>
          <w:iCs/>
          <w:szCs w:val="22"/>
        </w:rPr>
        <w:t>Jakavi</w:t>
      </w:r>
      <w:proofErr w:type="spellEnd"/>
      <w:r w:rsidRPr="006269E0">
        <w:rPr>
          <w:i/>
          <w:iCs/>
          <w:szCs w:val="22"/>
        </w:rPr>
        <w:t xml:space="preserve"> is indicated for the treatment of patients aged 12 years and older with acute graft-versus-host disease who have inadequate response to corticosteroids.</w:t>
      </w:r>
    </w:p>
    <w:p w14:paraId="41ADC2C3" w14:textId="0693AB88" w:rsidR="006269E0" w:rsidRPr="006269E0" w:rsidRDefault="006269E0" w:rsidP="006269E0">
      <w:pPr>
        <w:ind w:left="720"/>
        <w:rPr>
          <w:i/>
          <w:iCs/>
          <w:szCs w:val="22"/>
        </w:rPr>
      </w:pPr>
      <w:proofErr w:type="spellStart"/>
      <w:r w:rsidRPr="006269E0">
        <w:rPr>
          <w:i/>
          <w:iCs/>
          <w:szCs w:val="22"/>
        </w:rPr>
        <w:t>Jakavi</w:t>
      </w:r>
      <w:proofErr w:type="spellEnd"/>
      <w:r w:rsidRPr="006269E0">
        <w:rPr>
          <w:i/>
          <w:iCs/>
          <w:szCs w:val="22"/>
        </w:rPr>
        <w:t xml:space="preserve"> is indicated for the treatment of patients aged 12 years and older with chronic graft-versus-host disease who have inadequate response to corticosteroids.</w:t>
      </w:r>
    </w:p>
    <w:p w14:paraId="500F60C2" w14:textId="28A2EF93" w:rsidR="00C22214" w:rsidRDefault="00C22214" w:rsidP="00C22214">
      <w:pPr>
        <w:rPr>
          <w:szCs w:val="22"/>
        </w:rPr>
      </w:pPr>
      <w:r w:rsidRPr="00BD5DBD">
        <w:rPr>
          <w:szCs w:val="22"/>
        </w:rPr>
        <w:t xml:space="preserve">As such, the full indications </w:t>
      </w:r>
      <w:proofErr w:type="gramStart"/>
      <w:r w:rsidRPr="00BD5DBD">
        <w:rPr>
          <w:szCs w:val="22"/>
        </w:rPr>
        <w:t>at this time</w:t>
      </w:r>
      <w:proofErr w:type="gramEnd"/>
      <w:r w:rsidRPr="00BD5DBD">
        <w:rPr>
          <w:szCs w:val="22"/>
        </w:rPr>
        <w:t xml:space="preserve"> were:</w:t>
      </w:r>
    </w:p>
    <w:p w14:paraId="3E959944" w14:textId="77777777" w:rsidR="006269E0" w:rsidRPr="006269E0" w:rsidRDefault="006269E0" w:rsidP="006269E0">
      <w:pPr>
        <w:ind w:left="720"/>
        <w:rPr>
          <w:i/>
          <w:iCs/>
          <w:szCs w:val="22"/>
        </w:rPr>
      </w:pPr>
      <w:proofErr w:type="spellStart"/>
      <w:r w:rsidRPr="006269E0">
        <w:rPr>
          <w:i/>
          <w:iCs/>
          <w:szCs w:val="22"/>
        </w:rPr>
        <w:t>Jakavi</w:t>
      </w:r>
      <w:proofErr w:type="spellEnd"/>
      <w:r w:rsidRPr="006269E0">
        <w:rPr>
          <w:i/>
          <w:iCs/>
          <w:szCs w:val="22"/>
        </w:rPr>
        <w:t xml:space="preserve"> is indicated for the treatment of disease-related splenomegaly or symptoms in patients with primary myelofibrosis, post-</w:t>
      </w:r>
      <w:proofErr w:type="spellStart"/>
      <w:r w:rsidRPr="006269E0">
        <w:rPr>
          <w:i/>
          <w:iCs/>
          <w:szCs w:val="22"/>
        </w:rPr>
        <w:t>polycythemia</w:t>
      </w:r>
      <w:proofErr w:type="spellEnd"/>
      <w:r w:rsidRPr="006269E0">
        <w:rPr>
          <w:i/>
          <w:iCs/>
          <w:szCs w:val="22"/>
        </w:rPr>
        <w:t xml:space="preserve"> vera myelofibrosis or post-essential </w:t>
      </w:r>
      <w:proofErr w:type="spellStart"/>
      <w:r w:rsidRPr="006269E0">
        <w:rPr>
          <w:i/>
          <w:iCs/>
          <w:szCs w:val="22"/>
        </w:rPr>
        <w:t>thrombocythaemia</w:t>
      </w:r>
      <w:proofErr w:type="spellEnd"/>
      <w:r w:rsidRPr="006269E0">
        <w:rPr>
          <w:i/>
          <w:iCs/>
          <w:szCs w:val="22"/>
        </w:rPr>
        <w:t xml:space="preserve"> myelofibrosis.</w:t>
      </w:r>
    </w:p>
    <w:p w14:paraId="0C25ADDB" w14:textId="77777777" w:rsidR="006269E0" w:rsidRPr="006269E0" w:rsidRDefault="006269E0" w:rsidP="006269E0">
      <w:pPr>
        <w:ind w:left="720"/>
        <w:rPr>
          <w:i/>
          <w:iCs/>
          <w:szCs w:val="22"/>
        </w:rPr>
      </w:pPr>
      <w:proofErr w:type="spellStart"/>
      <w:r w:rsidRPr="006269E0">
        <w:rPr>
          <w:i/>
          <w:iCs/>
          <w:szCs w:val="22"/>
        </w:rPr>
        <w:lastRenderedPageBreak/>
        <w:t>Jakavi</w:t>
      </w:r>
      <w:proofErr w:type="spellEnd"/>
      <w:r w:rsidRPr="006269E0">
        <w:rPr>
          <w:i/>
          <w:iCs/>
          <w:szCs w:val="22"/>
        </w:rPr>
        <w:t xml:space="preserve"> is indicated for the treatment of adult patients with </w:t>
      </w:r>
      <w:proofErr w:type="spellStart"/>
      <w:r w:rsidRPr="006269E0">
        <w:rPr>
          <w:i/>
          <w:iCs/>
          <w:szCs w:val="22"/>
        </w:rPr>
        <w:t>polycythemia</w:t>
      </w:r>
      <w:proofErr w:type="spellEnd"/>
      <w:r w:rsidRPr="006269E0">
        <w:rPr>
          <w:i/>
          <w:iCs/>
          <w:szCs w:val="22"/>
        </w:rPr>
        <w:t xml:space="preserve"> vera who are resistant to or intolerant of hydroxyurea.</w:t>
      </w:r>
    </w:p>
    <w:p w14:paraId="1C8B7078" w14:textId="77777777" w:rsidR="006269E0" w:rsidRPr="006269E0" w:rsidRDefault="006269E0" w:rsidP="006269E0">
      <w:pPr>
        <w:ind w:left="720"/>
        <w:rPr>
          <w:i/>
          <w:iCs/>
          <w:szCs w:val="22"/>
        </w:rPr>
      </w:pPr>
      <w:proofErr w:type="spellStart"/>
      <w:r w:rsidRPr="006269E0">
        <w:rPr>
          <w:i/>
          <w:iCs/>
          <w:szCs w:val="22"/>
        </w:rPr>
        <w:t>Jakavi</w:t>
      </w:r>
      <w:proofErr w:type="spellEnd"/>
      <w:r w:rsidRPr="006269E0">
        <w:rPr>
          <w:i/>
          <w:iCs/>
          <w:szCs w:val="22"/>
        </w:rPr>
        <w:t xml:space="preserve"> is indicated for the treatment of patients aged 12 years and older with acute graft-versus-host disease who have inadequate response to corticosteroids.</w:t>
      </w:r>
    </w:p>
    <w:p w14:paraId="0DCDB153" w14:textId="2C667121" w:rsidR="006269E0" w:rsidRPr="006269E0" w:rsidRDefault="006269E0" w:rsidP="006269E0">
      <w:pPr>
        <w:ind w:left="720"/>
        <w:rPr>
          <w:i/>
          <w:iCs/>
          <w:szCs w:val="22"/>
        </w:rPr>
      </w:pPr>
      <w:proofErr w:type="spellStart"/>
      <w:r w:rsidRPr="006269E0">
        <w:rPr>
          <w:i/>
          <w:iCs/>
          <w:szCs w:val="22"/>
        </w:rPr>
        <w:t>Jakavi</w:t>
      </w:r>
      <w:proofErr w:type="spellEnd"/>
      <w:r w:rsidRPr="006269E0">
        <w:rPr>
          <w:i/>
          <w:iCs/>
          <w:szCs w:val="22"/>
        </w:rPr>
        <w:t xml:space="preserve"> is indicated for the treatment of patients aged 12 years and older with chronic graft-versus-host disease who have inadequate response to corticosteroids.</w:t>
      </w:r>
    </w:p>
    <w:p w14:paraId="6D25891E" w14:textId="77777777" w:rsidR="00C22214" w:rsidRPr="00D23139" w:rsidRDefault="00C22214" w:rsidP="00C22214">
      <w:pPr>
        <w:pStyle w:val="Heading3"/>
      </w:pPr>
      <w:bookmarkStart w:id="77" w:name="_Toc103679301"/>
      <w:bookmarkStart w:id="78" w:name="_Toc134095513"/>
      <w:r w:rsidRPr="00D23139">
        <w:t>Specific conditions of registration applying to these goods</w:t>
      </w:r>
      <w:bookmarkEnd w:id="77"/>
      <w:bookmarkEnd w:id="78"/>
    </w:p>
    <w:p w14:paraId="385BA195" w14:textId="0B11A63E" w:rsidR="006269E0" w:rsidRPr="006269E0" w:rsidRDefault="00E77112" w:rsidP="006269E0">
      <w:pPr>
        <w:pStyle w:val="ListBullet"/>
      </w:pPr>
      <w:proofErr w:type="spellStart"/>
      <w:r>
        <w:t>Jakavi</w:t>
      </w:r>
      <w:proofErr w:type="spellEnd"/>
      <w:r w:rsidRPr="006269E0">
        <w:t xml:space="preserve"> </w:t>
      </w:r>
      <w:r w:rsidR="006269E0" w:rsidRPr="006269E0">
        <w:t>(</w:t>
      </w:r>
      <w:proofErr w:type="spellStart"/>
      <w:r w:rsidR="006269E0" w:rsidRPr="006269E0">
        <w:t>ruxolitinib</w:t>
      </w:r>
      <w:proofErr w:type="spellEnd"/>
      <w:r w:rsidR="006269E0" w:rsidRPr="006269E0">
        <w:t xml:space="preserve"> (as phosphate)) is to be included in the Black Triangle Scheme. The</w:t>
      </w:r>
      <w:r w:rsidR="005944BB">
        <w:t xml:space="preserve"> </w:t>
      </w:r>
      <w:r w:rsidR="006269E0" w:rsidRPr="006269E0">
        <w:t xml:space="preserve">PI and CMI for </w:t>
      </w:r>
      <w:proofErr w:type="spellStart"/>
      <w:r w:rsidR="001A2086" w:rsidRPr="006269E0">
        <w:t>J</w:t>
      </w:r>
      <w:r w:rsidR="001A2086">
        <w:t>akavi</w:t>
      </w:r>
      <w:proofErr w:type="spellEnd"/>
      <w:r w:rsidR="001A2086">
        <w:t xml:space="preserve"> </w:t>
      </w:r>
      <w:r w:rsidR="006269E0" w:rsidRPr="006269E0">
        <w:t>must include the black triangle symbol and mandatory</w:t>
      </w:r>
      <w:r w:rsidR="005944BB">
        <w:t xml:space="preserve"> </w:t>
      </w:r>
      <w:r w:rsidR="006269E0" w:rsidRPr="006269E0">
        <w:t>accompanying text for five years, which starts from the date the new indication is</w:t>
      </w:r>
      <w:r w:rsidR="005944BB">
        <w:t xml:space="preserve"> </w:t>
      </w:r>
      <w:r w:rsidR="006269E0" w:rsidRPr="006269E0">
        <w:t>registered.</w:t>
      </w:r>
    </w:p>
    <w:p w14:paraId="2E529B9C" w14:textId="7D7F13CD" w:rsidR="006269E0" w:rsidRPr="006269E0" w:rsidRDefault="006269E0" w:rsidP="006269E0">
      <w:pPr>
        <w:pStyle w:val="ListBullet"/>
      </w:pPr>
      <w:r w:rsidRPr="006269E0">
        <w:t xml:space="preserve">The </w:t>
      </w:r>
      <w:proofErr w:type="spellStart"/>
      <w:r w:rsidR="001A2086">
        <w:t>J</w:t>
      </w:r>
      <w:r w:rsidR="00E77112">
        <w:t>akavi</w:t>
      </w:r>
      <w:proofErr w:type="spellEnd"/>
      <w:r w:rsidR="00E77112" w:rsidRPr="006269E0">
        <w:t xml:space="preserve"> </w:t>
      </w:r>
      <w:r w:rsidRPr="006269E0">
        <w:t>EU-Risk Management Plan (RMP) (version 13.0, dated 9 January 2021, data</w:t>
      </w:r>
      <w:r w:rsidR="005944BB">
        <w:t>-</w:t>
      </w:r>
      <w:r w:rsidRPr="006269E0">
        <w:t xml:space="preserve">lock point </w:t>
      </w:r>
      <w:r w:rsidR="00E76F8D">
        <w:t>GVHD</w:t>
      </w:r>
      <w:r w:rsidRPr="006269E0">
        <w:t xml:space="preserve"> indication 9 May 2020), with Australian Specific Annex (version</w:t>
      </w:r>
      <w:r w:rsidR="00E77112">
        <w:t xml:space="preserve"> </w:t>
      </w:r>
      <w:r w:rsidRPr="006269E0">
        <w:t>8.0,</w:t>
      </w:r>
      <w:r w:rsidR="00133143">
        <w:t xml:space="preserve"> </w:t>
      </w:r>
      <w:r w:rsidRPr="006269E0">
        <w:t>dated 11</w:t>
      </w:r>
      <w:r w:rsidR="00E77112">
        <w:t> </w:t>
      </w:r>
      <w:r w:rsidRPr="006269E0">
        <w:t>February 2021), included with submission PM-2021-00484-1-6, and any</w:t>
      </w:r>
      <w:r w:rsidR="005944BB">
        <w:t xml:space="preserve"> </w:t>
      </w:r>
      <w:r w:rsidRPr="006269E0">
        <w:t>subsequent revisions, as agreed with the TGA will be implemented in Australia.</w:t>
      </w:r>
    </w:p>
    <w:p w14:paraId="3E3C5005" w14:textId="0A659AE0" w:rsidR="006269E0" w:rsidRPr="006269E0" w:rsidRDefault="006269E0" w:rsidP="006269E0">
      <w:pPr>
        <w:pStyle w:val="ListBullet"/>
        <w:numPr>
          <w:ilvl w:val="0"/>
          <w:numId w:val="0"/>
        </w:numPr>
        <w:ind w:left="360"/>
      </w:pPr>
      <w:r w:rsidRPr="006269E0">
        <w:t>An obligatory component of risk management plans is routine pharmacovigilance.</w:t>
      </w:r>
      <w:r w:rsidR="005944BB">
        <w:t xml:space="preserve"> </w:t>
      </w:r>
      <w:r w:rsidRPr="006269E0">
        <w:t>Routine pharmacovigilance includes the submission of periodic safety update reports</w:t>
      </w:r>
      <w:r w:rsidR="00133143">
        <w:t xml:space="preserve"> </w:t>
      </w:r>
      <w:r w:rsidRPr="006269E0">
        <w:t>(PSURs). Reports are to be provided in line with the current published list of EU</w:t>
      </w:r>
      <w:r>
        <w:t xml:space="preserve"> </w:t>
      </w:r>
      <w:r w:rsidRPr="006269E0">
        <w:t>reference dates and frequency of submission of PSURs until the period covered by such reports is not less than three years from the date of this approval letter.</w:t>
      </w:r>
    </w:p>
    <w:p w14:paraId="40095ACD" w14:textId="2AD69234" w:rsidR="006269E0" w:rsidRDefault="006269E0" w:rsidP="006269E0">
      <w:pPr>
        <w:pStyle w:val="ListBullet"/>
        <w:numPr>
          <w:ilvl w:val="0"/>
          <w:numId w:val="0"/>
        </w:numPr>
        <w:ind w:left="360"/>
      </w:pPr>
      <w:r w:rsidRPr="006269E0">
        <w:t>The reports are to at least meet the requirements for PSURs as described in the European Medicines Agency’s Guideline on good pharmacovigilance practices (GVP) Module VII Risk periodic safety update report (Rev 1), Part VII.B Structures and processes.</w:t>
      </w:r>
    </w:p>
    <w:p w14:paraId="451DC3FC" w14:textId="77777777" w:rsidR="00C22214" w:rsidRDefault="00C22214" w:rsidP="00C22214">
      <w:pPr>
        <w:pStyle w:val="Heading2"/>
      </w:pPr>
      <w:bookmarkStart w:id="79" w:name="_Toc103679303"/>
      <w:bookmarkStart w:id="80" w:name="_Toc134095514"/>
      <w:r>
        <w:t>Attachment 1. Product Information</w:t>
      </w:r>
      <w:bookmarkEnd w:id="79"/>
      <w:bookmarkEnd w:id="80"/>
    </w:p>
    <w:p w14:paraId="3E065B23" w14:textId="5EE12195" w:rsidR="00E70AA0" w:rsidRDefault="00C22214" w:rsidP="00C22214">
      <w:pPr>
        <w:rPr>
          <w:szCs w:val="22"/>
        </w:rPr>
      </w:pPr>
      <w:r w:rsidRPr="00BD5DBD">
        <w:rPr>
          <w:szCs w:val="22"/>
        </w:rPr>
        <w:t xml:space="preserve">The PI for </w:t>
      </w:r>
      <w:r w:rsidR="006269E0">
        <w:rPr>
          <w:szCs w:val="22"/>
        </w:rPr>
        <w:t xml:space="preserve">JAKAVI </w:t>
      </w:r>
      <w:r w:rsidRPr="00BD5DBD">
        <w:rPr>
          <w:szCs w:val="22"/>
        </w:rPr>
        <w:t xml:space="preserve">approved with the submission which is described in this AusPAR is at Attachment 1. For the most recent PI, please refer to the TGA </w:t>
      </w:r>
      <w:hyperlink r:id="rId48" w:history="1">
        <w:r w:rsidRPr="00BD5DBD">
          <w:rPr>
            <w:rStyle w:val="Hyperlink"/>
            <w:szCs w:val="22"/>
          </w:rPr>
          <w:t>PI/CMI search facility.</w:t>
        </w:r>
      </w:hyperlink>
    </w:p>
    <w:p w14:paraId="40740B65" w14:textId="2504A3A3"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49"/>
          <w:footerReference w:type="default" r:id="rId5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471E11C1" w:rsidR="00F02AEC" w:rsidRDefault="00F02AEC">
            <w:pPr>
              <w:pStyle w:val="Address"/>
              <w:jc w:val="center"/>
              <w:rPr>
                <w:sz w:val="22"/>
                <w:szCs w:val="22"/>
              </w:rPr>
            </w:pPr>
            <w:r w:rsidRPr="00215D48">
              <w:t xml:space="preserve">Email: </w:t>
            </w:r>
            <w:hyperlink r:id="rId51" w:history="1">
              <w:r w:rsidRPr="00215D48">
                <w:rPr>
                  <w:rStyle w:val="Hyperlink"/>
                </w:rPr>
                <w:t>info@tga.gov.au</w:t>
              </w:r>
            </w:hyperlink>
            <w:r w:rsidR="00E70AA0">
              <w:t xml:space="preserve"> </w:t>
            </w:r>
            <w:r w:rsidRPr="00215D48">
              <w:t xml:space="preserve">Phone: 1800 020 653 Fax: </w:t>
            </w:r>
            <w:r w:rsidRPr="00BA0DFC">
              <w:t>02 6203 1605</w:t>
            </w:r>
          </w:p>
          <w:p w14:paraId="4533D80F" w14:textId="679C0382" w:rsidR="00F02AEC" w:rsidRPr="00215D48" w:rsidRDefault="00F20AB1">
            <w:pPr>
              <w:pStyle w:val="Address"/>
              <w:jc w:val="center"/>
              <w:rPr>
                <w:rStyle w:val="Hyperlink"/>
                <w:b/>
                <w:color w:val="auto"/>
                <w:sz w:val="22"/>
              </w:rPr>
            </w:pPr>
            <w:hyperlink r:id="rId5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3"/>
      <w:footerReference w:type="first" r:id="rId5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1CB52" w14:textId="77777777" w:rsidR="002F5C07" w:rsidRDefault="002F5C07" w:rsidP="00F02AEC">
      <w:pPr>
        <w:spacing w:after="0" w:line="240" w:lineRule="auto"/>
      </w:pPr>
      <w:r>
        <w:separator/>
      </w:r>
    </w:p>
  </w:endnote>
  <w:endnote w:type="continuationSeparator" w:id="0">
    <w:p w14:paraId="2795A68B" w14:textId="77777777" w:rsidR="002F5C07" w:rsidRDefault="002F5C07"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C1335" w:rsidRPr="00257138" w14:paraId="162D69C2" w14:textId="77777777" w:rsidTr="007452E8">
      <w:trPr>
        <w:trHeight w:val="423"/>
      </w:trPr>
      <w:tc>
        <w:tcPr>
          <w:tcW w:w="4360" w:type="dxa"/>
          <w:tcBorders>
            <w:top w:val="single" w:sz="4" w:space="0" w:color="auto"/>
          </w:tcBorders>
        </w:tcPr>
        <w:p w14:paraId="32E1B782" w14:textId="77777777" w:rsidR="007C1335" w:rsidRDefault="007C1335" w:rsidP="007452E8">
          <w:pPr>
            <w:pStyle w:val="Footer"/>
          </w:pPr>
        </w:p>
        <w:p w14:paraId="1849C07C" w14:textId="77777777" w:rsidR="007C1335" w:rsidRPr="00257138" w:rsidRDefault="007C1335"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C1335" w:rsidRDefault="007C1335" w:rsidP="007452E8">
              <w:pPr>
                <w:pStyle w:val="Footer"/>
                <w:jc w:val="right"/>
              </w:pPr>
            </w:p>
            <w:p w14:paraId="5EDE6DF6" w14:textId="77777777" w:rsidR="007C1335" w:rsidRPr="00257138" w:rsidRDefault="007C1335"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F20AB1">
                <w:fldChar w:fldCharType="begin"/>
              </w:r>
              <w:r w:rsidR="00F20AB1">
                <w:instrText xml:space="preserve"> NUMPAGES  </w:instrText>
              </w:r>
              <w:r w:rsidR="00F20AB1">
                <w:fldChar w:fldCharType="separate"/>
              </w:r>
              <w:r>
                <w:rPr>
                  <w:noProof/>
                </w:rPr>
                <w:t>2</w:t>
              </w:r>
              <w:r w:rsidR="00F20AB1">
                <w:rPr>
                  <w:noProof/>
                </w:rPr>
                <w:fldChar w:fldCharType="end"/>
              </w:r>
            </w:p>
          </w:sdtContent>
        </w:sdt>
      </w:tc>
    </w:tr>
    <w:tr w:rsidR="007C1335" w:rsidRPr="00257138" w14:paraId="280F09C8" w14:textId="77777777" w:rsidTr="007452E8">
      <w:trPr>
        <w:trHeight w:val="263"/>
      </w:trPr>
      <w:tc>
        <w:tcPr>
          <w:tcW w:w="4360" w:type="dxa"/>
        </w:tcPr>
        <w:p w14:paraId="673F06D3" w14:textId="77777777" w:rsidR="007C1335" w:rsidRPr="00257138" w:rsidRDefault="007C1335" w:rsidP="007452E8">
          <w:pPr>
            <w:pStyle w:val="Footer"/>
          </w:pPr>
          <w:r w:rsidRPr="00257138">
            <w:t xml:space="preserve">V1.0 </w:t>
          </w:r>
          <w:r>
            <w:t>Month</w:t>
          </w:r>
          <w:r w:rsidRPr="00257138">
            <w:t xml:space="preserve"> 201</w:t>
          </w:r>
          <w:r>
            <w:t>2</w:t>
          </w:r>
        </w:p>
      </w:tc>
      <w:tc>
        <w:tcPr>
          <w:tcW w:w="4360" w:type="dxa"/>
        </w:tcPr>
        <w:p w14:paraId="77F5B433" w14:textId="77777777" w:rsidR="007C1335" w:rsidRPr="00257138" w:rsidRDefault="007C1335" w:rsidP="007452E8">
          <w:pPr>
            <w:pStyle w:val="Footer"/>
            <w:jc w:val="right"/>
          </w:pPr>
        </w:p>
      </w:tc>
    </w:tr>
  </w:tbl>
  <w:p w14:paraId="63F6FDDE" w14:textId="77777777" w:rsidR="007C1335" w:rsidRPr="00826007" w:rsidRDefault="007C1335"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6E1F7" w14:textId="77777777" w:rsidR="007C1335" w:rsidRDefault="007C1335" w:rsidP="007452E8">
    <w:pPr>
      <w:pStyle w:val="Footer"/>
      <w:ind w:left="-1701"/>
    </w:pPr>
  </w:p>
  <w:p w14:paraId="09DAA29C" w14:textId="1BA7806A" w:rsidR="007C1335" w:rsidRDefault="007C1335" w:rsidP="007452E8">
    <w:pPr>
      <w:pStyle w:val="Footer"/>
      <w:ind w:left="-170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C1335" w:rsidRPr="004A3084" w14:paraId="6266BC33" w14:textId="77777777" w:rsidTr="00C96FAD">
      <w:trPr>
        <w:trHeight w:val="473"/>
      </w:trPr>
      <w:tc>
        <w:tcPr>
          <w:tcW w:w="7338" w:type="dxa"/>
          <w:tcBorders>
            <w:top w:val="single" w:sz="4" w:space="0" w:color="auto"/>
          </w:tcBorders>
        </w:tcPr>
        <w:p w14:paraId="3C421323" w14:textId="38B5973E" w:rsidR="007C1335" w:rsidRPr="004A3084" w:rsidRDefault="007C1335" w:rsidP="007452E8">
          <w:pPr>
            <w:pStyle w:val="Footer"/>
          </w:pPr>
          <w:r w:rsidRPr="00D4667F">
            <w:t>AusPAR notes - JAKAVI - Ruxolitinib phosphate - Novartis Pharmaceuticals Australia Pty Ltd - PM-2021-00484-1-6</w:t>
          </w:r>
          <w:r>
            <w:br/>
          </w:r>
          <w:r w:rsidR="00DC52AE">
            <w:t>Final 4 May 2</w:t>
          </w:r>
          <w:r>
            <w:t>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6906A69D" w:rsidR="007C1335" w:rsidRPr="004A3084" w:rsidRDefault="007C1335" w:rsidP="007452E8">
              <w:pPr>
                <w:pStyle w:val="Footer"/>
                <w:jc w:val="right"/>
              </w:pPr>
              <w:r w:rsidRPr="004A3084">
                <w:t xml:space="preserve">Page </w:t>
              </w:r>
              <w:r>
                <w:fldChar w:fldCharType="begin"/>
              </w:r>
              <w:r>
                <w:instrText xml:space="preserve"> PAGE </w:instrText>
              </w:r>
              <w:r>
                <w:fldChar w:fldCharType="separate"/>
              </w:r>
              <w:r w:rsidR="00845B97">
                <w:rPr>
                  <w:noProof/>
                </w:rPr>
                <w:t>29</w:t>
              </w:r>
              <w:r>
                <w:rPr>
                  <w:noProof/>
                </w:rPr>
                <w:fldChar w:fldCharType="end"/>
              </w:r>
              <w:r w:rsidRPr="004A3084">
                <w:t xml:space="preserve"> of </w:t>
              </w:r>
              <w:r w:rsidR="00F20AB1">
                <w:fldChar w:fldCharType="begin"/>
              </w:r>
              <w:r w:rsidR="00F20AB1">
                <w:instrText xml:space="preserve"> NUMPAGES  </w:instrText>
              </w:r>
              <w:r w:rsidR="00F20AB1">
                <w:fldChar w:fldCharType="separate"/>
              </w:r>
              <w:r w:rsidR="00845B97">
                <w:rPr>
                  <w:noProof/>
                </w:rPr>
                <w:t>56</w:t>
              </w:r>
              <w:r w:rsidR="00F20AB1">
                <w:rPr>
                  <w:noProof/>
                </w:rPr>
                <w:fldChar w:fldCharType="end"/>
              </w:r>
            </w:p>
          </w:sdtContent>
        </w:sdt>
      </w:tc>
    </w:tr>
  </w:tbl>
  <w:p w14:paraId="1A4EDE60" w14:textId="77777777" w:rsidR="007C1335" w:rsidRPr="00826007" w:rsidRDefault="007C1335" w:rsidP="00356056">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C1335" w:rsidRPr="008E3C43" w:rsidRDefault="007C1335"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689EC" w14:textId="77777777" w:rsidR="002F5C07" w:rsidRDefault="002F5C07" w:rsidP="00F02AEC">
      <w:pPr>
        <w:spacing w:after="0" w:line="240" w:lineRule="auto"/>
      </w:pPr>
      <w:r>
        <w:separator/>
      </w:r>
    </w:p>
  </w:footnote>
  <w:footnote w:type="continuationSeparator" w:id="0">
    <w:p w14:paraId="27998841" w14:textId="77777777" w:rsidR="002F5C07" w:rsidRDefault="002F5C07" w:rsidP="00F02AEC">
      <w:pPr>
        <w:spacing w:after="0" w:line="240" w:lineRule="auto"/>
      </w:pPr>
      <w:r>
        <w:continuationSeparator/>
      </w:r>
    </w:p>
  </w:footnote>
  <w:footnote w:id="1">
    <w:p w14:paraId="68402A9B" w14:textId="60286C39" w:rsidR="007C1335" w:rsidRPr="00A93DC6" w:rsidRDefault="007C1335">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2">
    <w:p w14:paraId="4EF919F8" w14:textId="32E379D2" w:rsidR="007C1335" w:rsidRPr="0036536A" w:rsidRDefault="007C1335" w:rsidP="0036536A">
      <w:pPr>
        <w:pStyle w:val="FootnoteText"/>
      </w:pPr>
      <w:r>
        <w:rPr>
          <w:rStyle w:val="FootnoteReference"/>
        </w:rPr>
        <w:footnoteRef/>
      </w:r>
      <w:r>
        <w:t xml:space="preserve"> D'Souza A, </w:t>
      </w:r>
      <w:proofErr w:type="spellStart"/>
      <w:r>
        <w:t>Fretham</w:t>
      </w:r>
      <w:proofErr w:type="spellEnd"/>
      <w:r>
        <w:t xml:space="preserve"> C. Current Uses and Outcomes of Hematopoietic Cell Transplantation (HCT): CIBMTR Summary Slides. </w:t>
      </w:r>
      <w:proofErr w:type="spellStart"/>
      <w:r>
        <w:t>Center</w:t>
      </w:r>
      <w:proofErr w:type="spellEnd"/>
      <w:r>
        <w:t xml:space="preserve"> for International Blood &amp; Marrow Transplant Research. A research collaboration between the National Marrow Donor Program (NMDP)/Be the Match and the Medical College of Wisconsin (2019).</w:t>
      </w:r>
    </w:p>
  </w:footnote>
  <w:footnote w:id="3">
    <w:p w14:paraId="126F31F5" w14:textId="00C20E11" w:rsidR="007C1335" w:rsidRPr="0036536A" w:rsidRDefault="007C1335" w:rsidP="0036536A">
      <w:pPr>
        <w:pStyle w:val="FootnoteText"/>
      </w:pPr>
      <w:r>
        <w:rPr>
          <w:rStyle w:val="FootnoteReference"/>
        </w:rPr>
        <w:footnoteRef/>
      </w:r>
      <w:r>
        <w:t xml:space="preserve"> Hill L, </w:t>
      </w:r>
      <w:proofErr w:type="spellStart"/>
      <w:r>
        <w:t>Alousi</w:t>
      </w:r>
      <w:proofErr w:type="spellEnd"/>
      <w:r>
        <w:t xml:space="preserve"> A, </w:t>
      </w:r>
      <w:proofErr w:type="spellStart"/>
      <w:r>
        <w:t>Kebriaei</w:t>
      </w:r>
      <w:proofErr w:type="spellEnd"/>
      <w:r>
        <w:t xml:space="preserve"> P et al. New and emerging therapies for acute and chronic graft versus host disease. </w:t>
      </w:r>
      <w:proofErr w:type="spellStart"/>
      <w:r w:rsidRPr="00A600BC">
        <w:rPr>
          <w:i/>
        </w:rPr>
        <w:t>Ther</w:t>
      </w:r>
      <w:proofErr w:type="spellEnd"/>
      <w:r w:rsidRPr="00A600BC">
        <w:rPr>
          <w:i/>
        </w:rPr>
        <w:t xml:space="preserve"> Adv </w:t>
      </w:r>
      <w:proofErr w:type="spellStart"/>
      <w:r w:rsidRPr="00A600BC">
        <w:rPr>
          <w:i/>
        </w:rPr>
        <w:t>Hematol</w:t>
      </w:r>
      <w:proofErr w:type="spellEnd"/>
      <w:r>
        <w:t>; (2018) 9:21-46.</w:t>
      </w:r>
    </w:p>
  </w:footnote>
  <w:footnote w:id="4">
    <w:p w14:paraId="67D437EF" w14:textId="52880964" w:rsidR="007C1335" w:rsidRPr="0036536A" w:rsidRDefault="007C1335" w:rsidP="0036536A">
      <w:pPr>
        <w:pStyle w:val="FootnoteText"/>
      </w:pPr>
      <w:r>
        <w:rPr>
          <w:rStyle w:val="FootnoteReference"/>
        </w:rPr>
        <w:footnoteRef/>
      </w:r>
      <w:r>
        <w:t xml:space="preserve"> </w:t>
      </w:r>
      <w:proofErr w:type="spellStart"/>
      <w:r>
        <w:t>Zeiser</w:t>
      </w:r>
      <w:proofErr w:type="spellEnd"/>
      <w:r>
        <w:t xml:space="preserve"> R and Blazer RB. Acute graft-versus-host disease biology, </w:t>
      </w:r>
      <w:proofErr w:type="gramStart"/>
      <w:r>
        <w:t>prevention</w:t>
      </w:r>
      <w:proofErr w:type="gramEnd"/>
      <w:r>
        <w:t xml:space="preserve"> and therapy. </w:t>
      </w:r>
      <w:r w:rsidRPr="00A600BC">
        <w:rPr>
          <w:i/>
        </w:rPr>
        <w:t xml:space="preserve">N </w:t>
      </w:r>
      <w:proofErr w:type="spellStart"/>
      <w:r w:rsidRPr="00A600BC">
        <w:rPr>
          <w:i/>
        </w:rPr>
        <w:t>Engl</w:t>
      </w:r>
      <w:proofErr w:type="spellEnd"/>
      <w:r w:rsidRPr="00A600BC">
        <w:rPr>
          <w:i/>
        </w:rPr>
        <w:t xml:space="preserve"> J Med;</w:t>
      </w:r>
      <w:r>
        <w:t xml:space="preserve"> (2017) 377:2167-79.</w:t>
      </w:r>
    </w:p>
  </w:footnote>
  <w:footnote w:id="5">
    <w:p w14:paraId="0008F894" w14:textId="06229693" w:rsidR="007C1335" w:rsidRPr="00316F10" w:rsidRDefault="007C1335" w:rsidP="00316F10">
      <w:pPr>
        <w:pStyle w:val="FootnoteText"/>
      </w:pPr>
      <w:r>
        <w:rPr>
          <w:rStyle w:val="FootnoteReference"/>
        </w:rPr>
        <w:footnoteRef/>
      </w:r>
      <w:r>
        <w:t xml:space="preserve"> </w:t>
      </w:r>
      <w:proofErr w:type="spellStart"/>
      <w:r>
        <w:t>Jagasia</w:t>
      </w:r>
      <w:proofErr w:type="spellEnd"/>
      <w:r>
        <w:t xml:space="preserve"> M, </w:t>
      </w:r>
      <w:proofErr w:type="spellStart"/>
      <w:r>
        <w:t>Greinix</w:t>
      </w:r>
      <w:proofErr w:type="spellEnd"/>
      <w:r>
        <w:t xml:space="preserve"> H, Arora M, et al. National institutes of health consensus development project on criteria for clinical trials in chronic graft-versus-host disease: I. The 2014 diagnosis and staging working group report. </w:t>
      </w:r>
      <w:r w:rsidRPr="00A600BC">
        <w:rPr>
          <w:i/>
        </w:rPr>
        <w:t xml:space="preserve">Biol Blood Marrow Transplant; </w:t>
      </w:r>
      <w:r>
        <w:t>(2015) 21 (3):389-401.</w:t>
      </w:r>
    </w:p>
  </w:footnote>
  <w:footnote w:id="6">
    <w:p w14:paraId="698FFFCB" w14:textId="5D1D6E14" w:rsidR="007C1335" w:rsidRPr="00A600BC" w:rsidRDefault="007C1335">
      <w:pPr>
        <w:pStyle w:val="FootnoteText"/>
        <w:rPr>
          <w:lang w:val="en-GB"/>
        </w:rPr>
      </w:pPr>
      <w:r>
        <w:rPr>
          <w:rStyle w:val="FootnoteReference"/>
        </w:rPr>
        <w:footnoteRef/>
      </w:r>
      <w:r>
        <w:t xml:space="preserve"> </w:t>
      </w:r>
      <w:r w:rsidRPr="005A42D7">
        <w:t xml:space="preserve">Harris AC, Young R, Devine S, et al. International, </w:t>
      </w:r>
      <w:proofErr w:type="spellStart"/>
      <w:r w:rsidRPr="005A42D7">
        <w:t>Multicenter</w:t>
      </w:r>
      <w:proofErr w:type="spellEnd"/>
      <w:r w:rsidRPr="005A42D7">
        <w:t xml:space="preserve"> Standardization of Acute Graft-versus-Host Disease Clinical Data Collection: A Report from the Mount Sinai Acute GVHD International Consortium</w:t>
      </w:r>
      <w:r w:rsidRPr="00A600BC">
        <w:rPr>
          <w:i/>
        </w:rPr>
        <w:t>. Biol Blood Marrow Transplant.</w:t>
      </w:r>
      <w:r>
        <w:t xml:space="preserve"> 2016;22(1):4-10.</w:t>
      </w:r>
    </w:p>
  </w:footnote>
  <w:footnote w:id="7">
    <w:p w14:paraId="596DB054" w14:textId="2D607F9C" w:rsidR="007C1335" w:rsidRPr="00A600BC" w:rsidRDefault="007C1335" w:rsidP="001A2086">
      <w:pPr>
        <w:pStyle w:val="FootnoteText"/>
        <w:rPr>
          <w:rFonts w:ascii="Georgia" w:hAnsi="Georgia"/>
          <w:color w:val="2E2E2E"/>
        </w:rPr>
      </w:pPr>
      <w:r>
        <w:rPr>
          <w:rStyle w:val="FootnoteReference"/>
        </w:rPr>
        <w:footnoteRef/>
      </w:r>
      <w:r>
        <w:t xml:space="preserve"> </w:t>
      </w:r>
      <w:r>
        <w:rPr>
          <w:rFonts w:ascii="Georgia" w:hAnsi="Georgia"/>
          <w:color w:val="2E2E2E"/>
        </w:rPr>
        <w:t>The Mount Sinai Acute GVHD International Consortium (MAGIC) was established to provide standardised multicentre documentation and monitoring of acute GVHD severity during treatment, as well as to obtain patient samples that could be interrogated for potential predictive biomarkers.</w:t>
      </w:r>
    </w:p>
  </w:footnote>
  <w:footnote w:id="8">
    <w:p w14:paraId="6A2E419C" w14:textId="082951AB" w:rsidR="007C1335" w:rsidRDefault="007C1335">
      <w:pPr>
        <w:pStyle w:val="FootnoteText"/>
      </w:pPr>
      <w:r>
        <w:rPr>
          <w:rStyle w:val="FootnoteReference"/>
        </w:rPr>
        <w:footnoteRef/>
      </w:r>
      <w:r>
        <w:t xml:space="preserve"> </w:t>
      </w:r>
      <w:r w:rsidRPr="00874C3E">
        <w:t xml:space="preserve">Martin PJ et al. (2009) Endpoints for Clinical Trials Testing Treatment of Acute Graft versus host Disease: A Consensus Document. Blood Marrow </w:t>
      </w:r>
      <w:proofErr w:type="gramStart"/>
      <w:r w:rsidRPr="00874C3E">
        <w:t>Transplant;15:777</w:t>
      </w:r>
      <w:proofErr w:type="gramEnd"/>
    </w:p>
  </w:footnote>
  <w:footnote w:id="9">
    <w:p w14:paraId="761F98CE" w14:textId="2754941C" w:rsidR="007C1335" w:rsidRPr="005A42D7" w:rsidRDefault="007C1335" w:rsidP="005A42D7">
      <w:pPr>
        <w:pStyle w:val="FootnoteText"/>
      </w:pPr>
      <w:r>
        <w:rPr>
          <w:rStyle w:val="FootnoteReference"/>
        </w:rPr>
        <w:footnoteRef/>
      </w:r>
      <w:r>
        <w:t xml:space="preserve"> Jamil MO and </w:t>
      </w:r>
      <w:proofErr w:type="spellStart"/>
      <w:r>
        <w:t>Mineishi</w:t>
      </w:r>
      <w:proofErr w:type="spellEnd"/>
      <w:r>
        <w:t xml:space="preserve"> S. State-of-the-art acute and chronic GVHD treatment. </w:t>
      </w:r>
      <w:r w:rsidRPr="00A600BC">
        <w:rPr>
          <w:i/>
        </w:rPr>
        <w:t xml:space="preserve">International Journal of </w:t>
      </w:r>
      <w:proofErr w:type="spellStart"/>
      <w:r w:rsidRPr="00A600BC">
        <w:rPr>
          <w:i/>
        </w:rPr>
        <w:t>Hematolgy</w:t>
      </w:r>
      <w:proofErr w:type="spellEnd"/>
      <w:r>
        <w:t>; (2015) 101:452-466.</w:t>
      </w:r>
    </w:p>
  </w:footnote>
  <w:footnote w:id="10">
    <w:p w14:paraId="2132E874" w14:textId="4365E258" w:rsidR="007C1335" w:rsidRPr="005A42D7" w:rsidRDefault="007C1335" w:rsidP="005A42D7">
      <w:pPr>
        <w:pStyle w:val="FootnoteText"/>
      </w:pPr>
      <w:r>
        <w:rPr>
          <w:rStyle w:val="FootnoteReference"/>
        </w:rPr>
        <w:footnoteRef/>
      </w:r>
      <w:r>
        <w:t xml:space="preserve"> </w:t>
      </w:r>
      <w:proofErr w:type="spellStart"/>
      <w:r>
        <w:t>Schoemans</w:t>
      </w:r>
      <w:proofErr w:type="spellEnd"/>
      <w:r>
        <w:t xml:space="preserve"> HM, Lee SJ, Ferrara JL, et al. EBMT-NIH-CIBMTR task force position statement on standardized terminology &amp; guidance for graft-versus-host disease assessment. </w:t>
      </w:r>
      <w:r w:rsidRPr="00A600BC">
        <w:rPr>
          <w:i/>
        </w:rPr>
        <w:t>Bone Marrow Transplant;</w:t>
      </w:r>
      <w:r>
        <w:t xml:space="preserve"> (2018) 53(11):1401-15.</w:t>
      </w:r>
    </w:p>
  </w:footnote>
  <w:footnote w:id="11">
    <w:p w14:paraId="68932BBB" w14:textId="42712CF1" w:rsidR="007C1335" w:rsidRPr="00581A18" w:rsidRDefault="007C1335" w:rsidP="00581A18">
      <w:pPr>
        <w:pStyle w:val="FootnoteText"/>
      </w:pPr>
      <w:r>
        <w:rPr>
          <w:rStyle w:val="FootnoteReference"/>
        </w:rPr>
        <w:footnoteRef/>
      </w:r>
      <w:r>
        <w:t xml:space="preserve"> </w:t>
      </w:r>
      <w:proofErr w:type="spellStart"/>
      <w:r>
        <w:t>Malard</w:t>
      </w:r>
      <w:proofErr w:type="spellEnd"/>
      <w:r>
        <w:t xml:space="preserve"> F, Huang XJ, Sim JPY, et al. Treatment and unmet needs in steroid-refractory acute graft-versus-host disease. </w:t>
      </w:r>
      <w:r w:rsidRPr="00A600BC">
        <w:rPr>
          <w:i/>
        </w:rPr>
        <w:t>Leukemia</w:t>
      </w:r>
      <w:r>
        <w:t>; (2020) 34(5):1229-40.</w:t>
      </w:r>
    </w:p>
  </w:footnote>
  <w:footnote w:id="12">
    <w:p w14:paraId="3343FA22" w14:textId="06FA3AE2" w:rsidR="007C1335" w:rsidRPr="00581A18" w:rsidRDefault="007C1335" w:rsidP="00581A18">
      <w:pPr>
        <w:pStyle w:val="FootnoteText"/>
      </w:pPr>
      <w:r>
        <w:rPr>
          <w:rStyle w:val="FootnoteReference"/>
        </w:rPr>
        <w:footnoteRef/>
      </w:r>
      <w:r>
        <w:t xml:space="preserve"> </w:t>
      </w:r>
      <w:proofErr w:type="spellStart"/>
      <w:r>
        <w:t>Penack</w:t>
      </w:r>
      <w:proofErr w:type="spellEnd"/>
      <w:r>
        <w:t xml:space="preserve"> O, Marchetti M, </w:t>
      </w:r>
      <w:proofErr w:type="spellStart"/>
      <w:r>
        <w:t>Ruutu</w:t>
      </w:r>
      <w:proofErr w:type="spellEnd"/>
      <w:r>
        <w:t xml:space="preserve"> T, et al. Prophylaxis and management of graft versus host disease after stem-cell transplantation for haematological malignancies: updated consensus recommendations of the European Society for blood and marrow transplantation. </w:t>
      </w:r>
      <w:r w:rsidRPr="00A600BC">
        <w:rPr>
          <w:i/>
        </w:rPr>
        <w:t xml:space="preserve">Lancet </w:t>
      </w:r>
      <w:proofErr w:type="spellStart"/>
      <w:r w:rsidRPr="00A600BC">
        <w:rPr>
          <w:i/>
        </w:rPr>
        <w:t>Haematol</w:t>
      </w:r>
      <w:proofErr w:type="spellEnd"/>
      <w:r w:rsidRPr="00A600BC">
        <w:rPr>
          <w:i/>
        </w:rPr>
        <w:t>;</w:t>
      </w:r>
      <w:r>
        <w:t xml:space="preserve"> (2020) 7(2</w:t>
      </w:r>
      <w:proofErr w:type="gramStart"/>
      <w:r>
        <w:t>):e</w:t>
      </w:r>
      <w:proofErr w:type="gramEnd"/>
      <w:r>
        <w:t>157-e167.</w:t>
      </w:r>
    </w:p>
  </w:footnote>
  <w:footnote w:id="13">
    <w:p w14:paraId="4DDA8163" w14:textId="77777777" w:rsidR="007C1335" w:rsidRDefault="007C1335" w:rsidP="00B54ED2">
      <w:pPr>
        <w:pStyle w:val="FootnoteText"/>
      </w:pPr>
      <w:r>
        <w:rPr>
          <w:rStyle w:val="FootnoteReference"/>
        </w:rPr>
        <w:footnoteRef/>
      </w:r>
      <w:r>
        <w:t xml:space="preserve"> </w:t>
      </w:r>
      <w:proofErr w:type="spellStart"/>
      <w:r>
        <w:t>Aladag</w:t>
      </w:r>
      <w:proofErr w:type="spellEnd"/>
      <w:r>
        <w:t xml:space="preserve"> E et al. Acute Graft-Versus-Host Disease: A Brief Review. Turk J Haematology 2020 Mar, 37(1): 1-4.</w:t>
      </w:r>
    </w:p>
  </w:footnote>
  <w:footnote w:id="14">
    <w:p w14:paraId="553D282E" w14:textId="4308553E" w:rsidR="007C1335" w:rsidRPr="00A600BC" w:rsidRDefault="007C1335">
      <w:pPr>
        <w:pStyle w:val="FootnoteText"/>
        <w:rPr>
          <w:lang w:val="en-GB"/>
        </w:rPr>
      </w:pPr>
      <w:r>
        <w:rPr>
          <w:rStyle w:val="FootnoteReference"/>
        </w:rPr>
        <w:footnoteRef/>
      </w:r>
      <w:r>
        <w:t xml:space="preserve"> </w:t>
      </w:r>
      <w:r>
        <w:rPr>
          <w:lang w:val="en-GB"/>
        </w:rPr>
        <w:t>Tacrolimus was first registered on the ARTG in Australia in July 1997.</w:t>
      </w:r>
    </w:p>
  </w:footnote>
  <w:footnote w:id="15">
    <w:p w14:paraId="64CA0AEE" w14:textId="375B4275" w:rsidR="007C1335" w:rsidRPr="00A600BC" w:rsidRDefault="007C1335">
      <w:pPr>
        <w:pStyle w:val="FootnoteText"/>
        <w:rPr>
          <w:lang w:val="en-GB"/>
        </w:rPr>
      </w:pPr>
      <w:r>
        <w:rPr>
          <w:rStyle w:val="FootnoteReference"/>
        </w:rPr>
        <w:footnoteRef/>
      </w:r>
      <w:r>
        <w:t xml:space="preserve"> </w:t>
      </w:r>
      <w:r w:rsidRPr="002F78A1">
        <w:t xml:space="preserve">Martin PJ, Storer BE, </w:t>
      </w:r>
      <w:proofErr w:type="spellStart"/>
      <w:r w:rsidRPr="002F78A1">
        <w:t>Inamoto</w:t>
      </w:r>
      <w:proofErr w:type="spellEnd"/>
      <w:r w:rsidRPr="002F78A1">
        <w:t xml:space="preserve"> Y, et al. An endpoint associated with clinical benefit after initial treatment of chronic graft-versus-host disease. </w:t>
      </w:r>
      <w:r w:rsidRPr="00A600BC">
        <w:rPr>
          <w:i/>
        </w:rPr>
        <w:t>Blood.</w:t>
      </w:r>
      <w:r w:rsidRPr="002F78A1">
        <w:t xml:space="preserve"> 2017;130(3):360-367.</w:t>
      </w:r>
    </w:p>
  </w:footnote>
  <w:footnote w:id="16">
    <w:p w14:paraId="52A28084" w14:textId="77777777" w:rsidR="007C1335" w:rsidRDefault="007C1335" w:rsidP="00B54ED2">
      <w:pPr>
        <w:pStyle w:val="FootnoteText"/>
      </w:pPr>
      <w:r>
        <w:rPr>
          <w:rStyle w:val="FootnoteReference"/>
        </w:rPr>
        <w:footnoteRef/>
      </w:r>
      <w:r>
        <w:t xml:space="preserve"> Martin P J et al. National Institutes of health Consensus Development Project on Criteria for Clinical Trials in Chronic Graft-versus-Host Disease: VI. The 2014 Clinical Trial Design Working Group Report.</w:t>
      </w:r>
    </w:p>
  </w:footnote>
  <w:footnote w:id="17">
    <w:p w14:paraId="1B4ABABB" w14:textId="66C64E32" w:rsidR="007C1335" w:rsidRPr="00FB01D2" w:rsidRDefault="007C1335" w:rsidP="00FB01D2">
      <w:pPr>
        <w:pStyle w:val="FootnoteText"/>
      </w:pPr>
      <w:r>
        <w:rPr>
          <w:rStyle w:val="FootnoteReference"/>
        </w:rPr>
        <w:footnoteRef/>
      </w:r>
      <w:r>
        <w:t xml:space="preserve"> </w:t>
      </w:r>
      <w:r w:rsidRPr="00FB01D2">
        <w:t>Study INCB 18424-271</w:t>
      </w:r>
      <w:r>
        <w:t>:</w:t>
      </w:r>
      <w:r w:rsidRPr="00FB01D2">
        <w:t xml:space="preserve"> A Single-Cohort, Phase 2 Study of Ruxolitinib in Combination </w:t>
      </w:r>
      <w:proofErr w:type="gramStart"/>
      <w:r w:rsidRPr="00FB01D2">
        <w:t>With</w:t>
      </w:r>
      <w:proofErr w:type="gramEnd"/>
      <w:r w:rsidRPr="00FB01D2">
        <w:t xml:space="preserve"> Corticosteroids for the Treatment of Steroid-Refractory Acute Graft-Versus-Host Disease (REACH-1)</w:t>
      </w:r>
      <w:r>
        <w:t>. ClinicalTrials.gov Identifier: NCT02953678</w:t>
      </w:r>
    </w:p>
  </w:footnote>
  <w:footnote w:id="18">
    <w:p w14:paraId="1AC59CAC" w14:textId="5E057D6B" w:rsidR="007C1335" w:rsidRDefault="007C1335">
      <w:pPr>
        <w:pStyle w:val="FootnoteText"/>
      </w:pPr>
      <w:r>
        <w:rPr>
          <w:rStyle w:val="FootnoteReference"/>
        </w:rPr>
        <w:footnoteRef/>
      </w:r>
      <w:r>
        <w:t xml:space="preserve"> An </w:t>
      </w:r>
      <w:proofErr w:type="spellStart"/>
      <w:r>
        <w:t>AusPAR</w:t>
      </w:r>
      <w:proofErr w:type="spellEnd"/>
      <w:r>
        <w:t xml:space="preserve"> for </w:t>
      </w:r>
      <w:proofErr w:type="spellStart"/>
      <w:r>
        <w:t>Jakavi</w:t>
      </w:r>
      <w:proofErr w:type="spellEnd"/>
      <w:r>
        <w:t xml:space="preserve"> </w:t>
      </w:r>
      <w:proofErr w:type="spellStart"/>
      <w:r>
        <w:t>Ruxolitinib</w:t>
      </w:r>
      <w:proofErr w:type="spellEnd"/>
      <w:r>
        <w:t xml:space="preserve"> is available at </w:t>
      </w:r>
      <w:r w:rsidRPr="0050371D">
        <w:t>https://www.tga.gov.au/resources/auspar/auspar-ruxolitinib</w:t>
      </w:r>
    </w:p>
  </w:footnote>
  <w:footnote w:id="19">
    <w:p w14:paraId="28B42E16" w14:textId="77777777" w:rsidR="007C1335" w:rsidRDefault="007C1335" w:rsidP="00C31F54">
      <w:pPr>
        <w:pStyle w:val="FootnoteText"/>
      </w:pPr>
      <w:r>
        <w:rPr>
          <w:rStyle w:val="FootnoteReference"/>
        </w:rPr>
        <w:footnoteRef/>
      </w:r>
      <w:r>
        <w:t xml:space="preserve">  </w:t>
      </w:r>
      <w:r w:rsidRPr="00C14CA8">
        <w:rPr>
          <w:b/>
        </w:rPr>
        <w:t>Cytochrome P450</w:t>
      </w:r>
      <w:r>
        <w:t xml:space="preserve"> (</w:t>
      </w:r>
      <w:r w:rsidRPr="00C14CA8">
        <w:rPr>
          <w:b/>
        </w:rPr>
        <w:t>CYP</w:t>
      </w:r>
      <w:r>
        <w:t xml:space="preserve">) </w:t>
      </w:r>
      <w:r w:rsidRPr="00C14CA8">
        <w:rPr>
          <w:b/>
        </w:rPr>
        <w:t>enzymes</w:t>
      </w:r>
      <w:r>
        <w:t>: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2358DD42" w14:textId="77777777" w:rsidR="007C1335" w:rsidRPr="00C14CA8" w:rsidRDefault="007C1335" w:rsidP="00C31F54">
      <w:pPr>
        <w:pStyle w:val="FootnoteText"/>
        <w:rPr>
          <w:lang w:val="en-GB"/>
        </w:rPr>
      </w:pPr>
      <w:r w:rsidRPr="00BD4CC5">
        <w:rPr>
          <w:lang w:val="en-GB"/>
        </w:rPr>
        <w:t>Many drugs may increase or decrease the activity of various CYP isozymes eithe</w:t>
      </w:r>
      <w:r>
        <w:rPr>
          <w:lang w:val="en-GB"/>
        </w:rPr>
        <w:t xml:space="preserve">r by inducing the biosynthesis </w:t>
      </w:r>
      <w:r w:rsidRPr="00BD4CC5">
        <w:rPr>
          <w:lang w:val="en-GB"/>
        </w:rPr>
        <w:t xml:space="preserve">of an isozyme (enzyme induction) or by directly inhibiting the activity of the CYP </w:t>
      </w:r>
      <w:r>
        <w:rPr>
          <w:lang w:val="en-GB"/>
        </w:rPr>
        <w:t xml:space="preserve">(enzyme inhibition). This is a </w:t>
      </w:r>
      <w:r w:rsidRPr="00BD4CC5">
        <w:rPr>
          <w:lang w:val="en-GB"/>
        </w:rPr>
        <w:t xml:space="preserve">major source of adverse drug </w:t>
      </w:r>
      <w:proofErr w:type="gramStart"/>
      <w:r w:rsidRPr="00BD4CC5">
        <w:rPr>
          <w:lang w:val="en-GB"/>
        </w:rPr>
        <w:t>interactions, since</w:t>
      </w:r>
      <w:proofErr w:type="gramEnd"/>
      <w:r w:rsidRPr="00BD4CC5">
        <w:rPr>
          <w:lang w:val="en-GB"/>
        </w:rPr>
        <w:t xml:space="preserve"> changes in CYP enzyme acti</w:t>
      </w:r>
      <w:r>
        <w:rPr>
          <w:lang w:val="en-GB"/>
        </w:rPr>
        <w:t xml:space="preserve">vity may affect the metabolism </w:t>
      </w:r>
      <w:r w:rsidRPr="00BD4CC5">
        <w:rPr>
          <w:lang w:val="en-GB"/>
        </w:rPr>
        <w:t>and clearance of various drugs. Such drug interactions are especially impor</w:t>
      </w:r>
      <w:r>
        <w:rPr>
          <w:lang w:val="en-GB"/>
        </w:rPr>
        <w:t xml:space="preserve">tant to </w:t>
      </w:r>
      <w:proofErr w:type="gramStart"/>
      <w:r>
        <w:rPr>
          <w:lang w:val="en-GB"/>
        </w:rPr>
        <w:t>take into account</w:t>
      </w:r>
      <w:proofErr w:type="gramEnd"/>
      <w:r>
        <w:rPr>
          <w:lang w:val="en-GB"/>
        </w:rPr>
        <w:t xml:space="preserve"> when </w:t>
      </w:r>
      <w:r w:rsidRPr="00BD4CC5">
        <w:rPr>
          <w:lang w:val="en-GB"/>
        </w:rPr>
        <w:t>using drugs of vital importance to the patient, drugs with important sid</w:t>
      </w:r>
      <w:r>
        <w:rPr>
          <w:lang w:val="en-GB"/>
        </w:rPr>
        <w:t xml:space="preserve">e-effects and drugs with small </w:t>
      </w:r>
      <w:r w:rsidRPr="00BD4CC5">
        <w:rPr>
          <w:lang w:val="en-GB"/>
        </w:rPr>
        <w:t>therapeutic windows, but any drug may be subject to an altered plasma con</w:t>
      </w:r>
      <w:r>
        <w:rPr>
          <w:lang w:val="en-GB"/>
        </w:rPr>
        <w:t xml:space="preserve">centration due to altered drug </w:t>
      </w:r>
      <w:r w:rsidRPr="00BD4CC5">
        <w:rPr>
          <w:lang w:val="en-GB"/>
        </w:rPr>
        <w:t>metabolism</w:t>
      </w:r>
    </w:p>
  </w:footnote>
  <w:footnote w:id="20">
    <w:p w14:paraId="176F8EB5" w14:textId="3A8C6FE7" w:rsidR="007C1335" w:rsidRDefault="007C1335">
      <w:pPr>
        <w:pStyle w:val="FootnoteText"/>
      </w:pPr>
      <w:r>
        <w:rPr>
          <w:rStyle w:val="FootnoteReference"/>
        </w:rPr>
        <w:footnoteRef/>
      </w:r>
      <w:r>
        <w:t xml:space="preserve"> </w:t>
      </w:r>
      <w:r w:rsidRPr="00AF4DD7">
        <w:t xml:space="preserve">The </w:t>
      </w:r>
      <w:r w:rsidRPr="00A600BC">
        <w:rPr>
          <w:b/>
        </w:rPr>
        <w:t>Modified Child-Pugh classification</w:t>
      </w:r>
      <w:r w:rsidRPr="00AF4DD7">
        <w:t xml:space="preserve"> of the severity of liver disease is based on the degree of ascites, the serum concentrations of bilirubin and albumin, the prothrombin time (or International normalised ratio (INR), and the degree of encephalopathy.</w:t>
      </w:r>
      <w:r>
        <w:t xml:space="preserve"> </w:t>
      </w:r>
      <w:r w:rsidRPr="005137B9">
        <w:t>A total Child-Pugh score of 5 to 6 is considered Child-Pugh class A (well-compensated disease), 7 to 9 is class B (significant functional compromise), and 10 to 15 is class C (decompensated disease)</w:t>
      </w:r>
      <w:r>
        <w:t>. Interpretation of the scores was originally designed to correlate with the probability of 1-year and 2-year patient survival with chronic liver disease.</w:t>
      </w:r>
    </w:p>
  </w:footnote>
  <w:footnote w:id="21">
    <w:p w14:paraId="12062EFD" w14:textId="06198E98" w:rsidR="007C1335" w:rsidRDefault="007C1335" w:rsidP="00AF4DD7">
      <w:pPr>
        <w:pStyle w:val="FootnoteText"/>
      </w:pPr>
      <w:r>
        <w:rPr>
          <w:rStyle w:val="FootnoteReference"/>
        </w:rPr>
        <w:footnoteRef/>
      </w:r>
      <w:r>
        <w:t xml:space="preserve"> The </w:t>
      </w:r>
      <w:r w:rsidRPr="00F33982">
        <w:rPr>
          <w:b/>
        </w:rPr>
        <w:t xml:space="preserve">National Cancer Institute </w:t>
      </w:r>
      <w:r>
        <w:rPr>
          <w:b/>
        </w:rPr>
        <w:t xml:space="preserve">(NCI) </w:t>
      </w:r>
      <w:r w:rsidRPr="00F33982">
        <w:rPr>
          <w:b/>
        </w:rPr>
        <w:t>Organ Dysfunction Working Group Criteria for Hepatic Dysfunction</w:t>
      </w:r>
    </w:p>
    <w:p w14:paraId="5666C9B5" w14:textId="726F6CCE" w:rsidR="007C1335" w:rsidRPr="00A600BC" w:rsidRDefault="007C1335" w:rsidP="00AF4DD7">
      <w:pPr>
        <w:pStyle w:val="FootnoteText"/>
        <w:rPr>
          <w:lang w:val="en-GB"/>
        </w:rPr>
      </w:pPr>
      <w:r>
        <w:t xml:space="preserve">is a set of severity criteria for hepatic dysfunction with four categories (normal and mild, moderate, or severe dysfunction) based on a combination of total bilirubin and aspartate transaminase (AST) as </w:t>
      </w:r>
      <w:proofErr w:type="gramStart"/>
      <w:r>
        <w:t>markers.</w:t>
      </w:r>
      <w:proofErr w:type="gramEnd"/>
    </w:p>
  </w:footnote>
  <w:footnote w:id="22">
    <w:p w14:paraId="43B891AF" w14:textId="418841C5" w:rsidR="007C1335" w:rsidRPr="00A600BC" w:rsidRDefault="007C1335">
      <w:pPr>
        <w:pStyle w:val="FootnoteText"/>
        <w:rPr>
          <w:lang w:val="en-GB"/>
        </w:rPr>
      </w:pPr>
      <w:r>
        <w:rPr>
          <w:rStyle w:val="FootnoteReference"/>
        </w:rPr>
        <w:footnoteRef/>
      </w:r>
      <w:r>
        <w:t xml:space="preserve"> </w:t>
      </w:r>
      <w:r w:rsidRPr="00751CBC">
        <w:t xml:space="preserve">Harris AC, Young R, Devine S, et al. International, </w:t>
      </w:r>
      <w:proofErr w:type="spellStart"/>
      <w:r w:rsidRPr="00751CBC">
        <w:t>Multicenter</w:t>
      </w:r>
      <w:proofErr w:type="spellEnd"/>
      <w:r w:rsidRPr="00751CBC">
        <w:t xml:space="preserve"> Standardization of Acute Graft-versus-Host Disease Clinical Data Collection: A Report from the Mount Sinai Acute GVHD International Consortium. Biol Blood Marrow Transplant. 2016;22(1):4-10.</w:t>
      </w:r>
    </w:p>
  </w:footnote>
  <w:footnote w:id="23">
    <w:p w14:paraId="385EC184" w14:textId="1FDFEDA6" w:rsidR="007C1335" w:rsidRDefault="007C1335">
      <w:pPr>
        <w:pStyle w:val="FootnoteText"/>
      </w:pPr>
      <w:r>
        <w:rPr>
          <w:rStyle w:val="FootnoteReference"/>
        </w:rPr>
        <w:footnoteRef/>
      </w:r>
      <w:r>
        <w:t xml:space="preserve"> </w:t>
      </w:r>
      <w:r w:rsidRPr="00752B40">
        <w:t xml:space="preserve">The </w:t>
      </w:r>
      <w:hyperlink r:id="rId1" w:history="1">
        <w:proofErr w:type="spellStart"/>
        <w:r w:rsidRPr="00A23943">
          <w:rPr>
            <w:rStyle w:val="Hyperlink"/>
          </w:rPr>
          <w:t>Center</w:t>
        </w:r>
        <w:proofErr w:type="spellEnd"/>
        <w:r w:rsidRPr="00A23943">
          <w:rPr>
            <w:rStyle w:val="Hyperlink"/>
          </w:rPr>
          <w:t xml:space="preserve"> for International Blood and Marrow Transplant Research</w:t>
        </w:r>
      </w:hyperlink>
      <w:r>
        <w:t xml:space="preserve"> (CIBMTR)</w:t>
      </w:r>
      <w:r w:rsidRPr="00752B40">
        <w:t xml:space="preserve"> is a collaboration between the National Marrow Donor Program </w:t>
      </w:r>
      <w:r>
        <w:t xml:space="preserve">(USA) </w:t>
      </w:r>
      <w:r w:rsidRPr="00752B40">
        <w:t>and the Medical College of Wisconsin's International Bone Marrow Transplant Registry and Autologous Blood and Marrow Transplant Registry</w:t>
      </w:r>
      <w:r>
        <w:t>.</w:t>
      </w:r>
    </w:p>
  </w:footnote>
  <w:footnote w:id="24">
    <w:p w14:paraId="12C4D344" w14:textId="49242225" w:rsidR="007C1335" w:rsidRPr="00DC52AE" w:rsidRDefault="007C1335">
      <w:pPr>
        <w:pStyle w:val="FootnoteText"/>
        <w:rPr>
          <w:lang w:val="en-GB"/>
        </w:rPr>
      </w:pPr>
      <w:r>
        <w:rPr>
          <w:rStyle w:val="FootnoteReference"/>
        </w:rPr>
        <w:footnoteRef/>
      </w:r>
      <w:r>
        <w:t xml:space="preserve"> </w:t>
      </w:r>
      <w:proofErr w:type="spellStart"/>
      <w:r w:rsidRPr="00752B40">
        <w:t>Rowlings</w:t>
      </w:r>
      <w:proofErr w:type="spellEnd"/>
      <w:r w:rsidRPr="00752B40">
        <w:t xml:space="preserve"> PA, </w:t>
      </w:r>
      <w:proofErr w:type="spellStart"/>
      <w:r w:rsidRPr="00752B40">
        <w:t>Przepiorka</w:t>
      </w:r>
      <w:proofErr w:type="spellEnd"/>
      <w:r w:rsidRPr="00752B40">
        <w:t xml:space="preserve"> D, Klein JP, Gale RP, </w:t>
      </w:r>
      <w:proofErr w:type="spellStart"/>
      <w:r w:rsidRPr="00752B40">
        <w:t>Passweg</w:t>
      </w:r>
      <w:proofErr w:type="spellEnd"/>
      <w:r w:rsidRPr="00752B40">
        <w:t xml:space="preserve"> JR, </w:t>
      </w:r>
      <w:proofErr w:type="spellStart"/>
      <w:r w:rsidRPr="00752B40">
        <w:t>Henslee</w:t>
      </w:r>
      <w:proofErr w:type="spellEnd"/>
      <w:r w:rsidRPr="00752B40">
        <w:t xml:space="preserve">-Downey PJ, et al. IBMTR Severity Index for grading acute graft-versus-host disease: retrospective comparison with Glucksberg grade. </w:t>
      </w:r>
      <w:r w:rsidRPr="00DC52AE">
        <w:rPr>
          <w:i/>
        </w:rPr>
        <w:t xml:space="preserve">Br J </w:t>
      </w:r>
      <w:proofErr w:type="spellStart"/>
      <w:r w:rsidRPr="00DC52AE">
        <w:rPr>
          <w:i/>
        </w:rPr>
        <w:t>Haematol</w:t>
      </w:r>
      <w:proofErr w:type="spellEnd"/>
      <w:r w:rsidRPr="00752B40">
        <w:t xml:space="preserve">. </w:t>
      </w:r>
      <w:proofErr w:type="gramStart"/>
      <w:r w:rsidRPr="00752B40">
        <w:t>1997;97:855</w:t>
      </w:r>
      <w:proofErr w:type="gramEnd"/>
      <w:r w:rsidRPr="00752B40">
        <w:t>–64.</w:t>
      </w:r>
    </w:p>
  </w:footnote>
  <w:footnote w:id="25">
    <w:p w14:paraId="016817DE" w14:textId="02BD9420" w:rsidR="007C1335" w:rsidRPr="00DC52AE" w:rsidRDefault="007C1335">
      <w:pPr>
        <w:pStyle w:val="FootnoteText"/>
        <w:rPr>
          <w:lang w:val="en-GB"/>
        </w:rPr>
      </w:pPr>
      <w:r>
        <w:rPr>
          <w:rStyle w:val="FootnoteReference"/>
        </w:rPr>
        <w:footnoteRef/>
      </w:r>
      <w:r>
        <w:t xml:space="preserve"> </w:t>
      </w:r>
      <w:proofErr w:type="spellStart"/>
      <w:r w:rsidRPr="00752B40">
        <w:t>Schoemans</w:t>
      </w:r>
      <w:proofErr w:type="spellEnd"/>
      <w:r w:rsidRPr="00752B40">
        <w:t xml:space="preserve">, H.M., Lee, S.J., Ferrara, J.L. et al. EBMT−NIH−CIBMTR Task Force position statement on standardized terminology &amp; guidance for graft-versus-host disease assessment. </w:t>
      </w:r>
      <w:r w:rsidRPr="00DC52AE">
        <w:rPr>
          <w:i/>
        </w:rPr>
        <w:t>Bone Marrow Transplant</w:t>
      </w:r>
      <w:r w:rsidRPr="00752B40">
        <w:t xml:space="preserve"> 53, 1401–1415 (2018).</w:t>
      </w:r>
    </w:p>
  </w:footnote>
  <w:footnote w:id="26">
    <w:p w14:paraId="7571CD8A" w14:textId="77777777" w:rsidR="007C1335" w:rsidRDefault="007C1335" w:rsidP="00A23943">
      <w:pPr>
        <w:pStyle w:val="FootnoteText"/>
      </w:pPr>
      <w:r>
        <w:rPr>
          <w:rStyle w:val="FootnoteReference"/>
        </w:rPr>
        <w:footnoteRef/>
      </w:r>
      <w:r>
        <w:t xml:space="preserve"> </w:t>
      </w:r>
      <w:r w:rsidRPr="00F33982">
        <w:rPr>
          <w:b/>
        </w:rPr>
        <w:t>Eastern Cooperative Oncology Group Performance Status</w:t>
      </w:r>
      <w:r>
        <w:t xml:space="preserve"> (</w:t>
      </w:r>
      <w:r w:rsidRPr="00F33982">
        <w:rPr>
          <w:b/>
        </w:rPr>
        <w:t>ECOG PS</w:t>
      </w:r>
      <w:r>
        <w:t xml:space="preserve">): The ECOG has developed criteria used by doctors and researchers to assess how a patient's disease is progressing, assess how the disease affects the daily living abilities of the patient, and determine appropriate treatment and prognosis. The following are used: </w:t>
      </w:r>
    </w:p>
    <w:p w14:paraId="29E7102F" w14:textId="77777777" w:rsidR="007C1335" w:rsidRDefault="007C1335" w:rsidP="00A23943">
      <w:pPr>
        <w:pStyle w:val="FootnoteText"/>
      </w:pPr>
      <w:r>
        <w:t>0 - Fully active, able to carry on all pre-disease performance without restriction</w:t>
      </w:r>
    </w:p>
    <w:p w14:paraId="2064A807" w14:textId="77777777" w:rsidR="007C1335" w:rsidRDefault="007C1335" w:rsidP="00A23943">
      <w:pPr>
        <w:pStyle w:val="FootnoteText"/>
      </w:pPr>
      <w:r>
        <w:t xml:space="preserve">1- Restricted in physically strenuous activity but ambulatory and able to carry out work of a light or sedentary nature, for example, light </w:t>
      </w:r>
      <w:proofErr w:type="gramStart"/>
      <w:r>
        <w:t>house work</w:t>
      </w:r>
      <w:proofErr w:type="gramEnd"/>
      <w:r>
        <w:t>, office work</w:t>
      </w:r>
    </w:p>
    <w:p w14:paraId="508EDCEC" w14:textId="77777777" w:rsidR="007C1335" w:rsidRDefault="007C1335" w:rsidP="00A23943">
      <w:pPr>
        <w:pStyle w:val="FootnoteText"/>
      </w:pPr>
      <w:r>
        <w:t>2 - Ambulatory and capable of all selfcare but unable to carry out any work activities. Up and about more than 50% of waking hours</w:t>
      </w:r>
    </w:p>
    <w:p w14:paraId="13BE3569" w14:textId="77777777" w:rsidR="007C1335" w:rsidRDefault="007C1335" w:rsidP="00A23943">
      <w:pPr>
        <w:pStyle w:val="FootnoteText"/>
      </w:pPr>
      <w:r>
        <w:t>3 - Capable of only limited selfcare, confined to bed or chair more than 50% of waking hours</w:t>
      </w:r>
    </w:p>
    <w:p w14:paraId="0313B14C" w14:textId="77777777" w:rsidR="007C1335" w:rsidRDefault="007C1335" w:rsidP="00A23943">
      <w:pPr>
        <w:pStyle w:val="FootnoteText"/>
      </w:pPr>
      <w:r>
        <w:t>4 - Completely disabled. Cannot carry on any selfcare. Totally confined to bed or chair</w:t>
      </w:r>
    </w:p>
    <w:p w14:paraId="7AC222C6" w14:textId="3C6979B6" w:rsidR="007C1335" w:rsidRPr="00A23943" w:rsidRDefault="007C1335">
      <w:pPr>
        <w:pStyle w:val="FootnoteText"/>
      </w:pPr>
      <w:r>
        <w:t>5 – Dead</w:t>
      </w:r>
    </w:p>
  </w:footnote>
  <w:footnote w:id="27">
    <w:p w14:paraId="5FF84B30" w14:textId="046FE7C5" w:rsidR="007C1335" w:rsidRPr="00DC52AE" w:rsidRDefault="007C1335" w:rsidP="00387B15">
      <w:pPr>
        <w:pStyle w:val="FootnoteText"/>
        <w:rPr>
          <w:lang w:val="en-GB"/>
        </w:rPr>
      </w:pPr>
      <w:r>
        <w:rPr>
          <w:rStyle w:val="FootnoteReference"/>
        </w:rPr>
        <w:footnoteRef/>
      </w:r>
      <w:r>
        <w:t xml:space="preserve"> </w:t>
      </w:r>
      <w:r>
        <w:rPr>
          <w:lang w:val="en-GB"/>
        </w:rPr>
        <w:t xml:space="preserve">Study CINC424D2301 (REACH 3 trial): </w:t>
      </w:r>
      <w:r w:rsidRPr="00AB36FA">
        <w:rPr>
          <w:lang w:val="en-GB"/>
        </w:rPr>
        <w:t>A Phase III Randomized Open-label Multi-</w:t>
      </w:r>
      <w:proofErr w:type="spellStart"/>
      <w:r w:rsidRPr="00AB36FA">
        <w:rPr>
          <w:lang w:val="en-GB"/>
        </w:rPr>
        <w:t>center</w:t>
      </w:r>
      <w:proofErr w:type="spellEnd"/>
      <w:r w:rsidRPr="00AB36FA">
        <w:rPr>
          <w:lang w:val="en-GB"/>
        </w:rPr>
        <w:t xml:space="preserve"> Study of </w:t>
      </w:r>
      <w:proofErr w:type="spellStart"/>
      <w:r w:rsidRPr="00AB36FA">
        <w:rPr>
          <w:lang w:val="en-GB"/>
        </w:rPr>
        <w:t>Ruxolitinib</w:t>
      </w:r>
      <w:proofErr w:type="spellEnd"/>
      <w:r w:rsidRPr="00AB36FA">
        <w:rPr>
          <w:lang w:val="en-GB"/>
        </w:rPr>
        <w:t xml:space="preserve"> vs. Best Available Therapy in Patients </w:t>
      </w:r>
      <w:proofErr w:type="gramStart"/>
      <w:r w:rsidRPr="00AB36FA">
        <w:rPr>
          <w:lang w:val="en-GB"/>
        </w:rPr>
        <w:t>With</w:t>
      </w:r>
      <w:proofErr w:type="gramEnd"/>
      <w:r w:rsidRPr="00AB36FA">
        <w:rPr>
          <w:lang w:val="en-GB"/>
        </w:rPr>
        <w:t xml:space="preserve"> Corticosteroid-refractory Chronic Graft vs Host Disease After Allogeneic St</w:t>
      </w:r>
      <w:r>
        <w:rPr>
          <w:lang w:val="en-GB"/>
        </w:rPr>
        <w:t xml:space="preserve">em Cell Transplantation. </w:t>
      </w:r>
      <w:r w:rsidRPr="00387B15">
        <w:rPr>
          <w:lang w:val="en-GB"/>
        </w:rPr>
        <w:t>ClinicalTrials.gov Identifier: NCT03112603</w:t>
      </w:r>
    </w:p>
  </w:footnote>
  <w:footnote w:id="28">
    <w:p w14:paraId="00D6D4C4" w14:textId="0C0D3BAE" w:rsidR="007C1335" w:rsidRPr="00DC52AE" w:rsidRDefault="007C1335">
      <w:pPr>
        <w:pStyle w:val="FootnoteText"/>
        <w:rPr>
          <w:lang w:val="en-GB"/>
        </w:rPr>
      </w:pPr>
      <w:r>
        <w:rPr>
          <w:rStyle w:val="FootnoteReference"/>
        </w:rPr>
        <w:footnoteRef/>
      </w:r>
      <w:r>
        <w:t xml:space="preserve"> </w:t>
      </w:r>
      <w:proofErr w:type="spellStart"/>
      <w:r w:rsidRPr="005305D7">
        <w:t>Jagasia</w:t>
      </w:r>
      <w:proofErr w:type="spellEnd"/>
      <w:r w:rsidRPr="005305D7">
        <w:t xml:space="preserve"> MH, </w:t>
      </w:r>
      <w:proofErr w:type="spellStart"/>
      <w:r w:rsidRPr="005305D7">
        <w:t>Greinix</w:t>
      </w:r>
      <w:proofErr w:type="spellEnd"/>
      <w:r w:rsidRPr="005305D7">
        <w:t xml:space="preserve"> HT, Arora M, </w:t>
      </w:r>
      <w:proofErr w:type="gramStart"/>
      <w:r w:rsidRPr="005305D7">
        <w:t>et al..</w:t>
      </w:r>
      <w:proofErr w:type="gramEnd"/>
      <w:r w:rsidRPr="005305D7">
        <w:t xml:space="preserve"> National Institutes of Health Consensus Development Project on Criteria for Clinical Trials in Chronic Graft-versus-Host Disease: I. The 2014 Diagnosis and Staging Working Group Report. </w:t>
      </w:r>
      <w:r w:rsidRPr="00DC52AE">
        <w:rPr>
          <w:i/>
        </w:rPr>
        <w:t>Biol Blood Marrow Transplant.</w:t>
      </w:r>
      <w:r w:rsidRPr="005305D7">
        <w:t xml:space="preserve"> 2015;21(3):389-401.</w:t>
      </w:r>
    </w:p>
  </w:footnote>
  <w:footnote w:id="29">
    <w:p w14:paraId="1B96A5DC" w14:textId="150C1FF0" w:rsidR="007C1335" w:rsidRPr="005406F3" w:rsidRDefault="007C1335" w:rsidP="005406F3">
      <w:pPr>
        <w:pStyle w:val="FootnoteText"/>
      </w:pPr>
      <w:r>
        <w:rPr>
          <w:rStyle w:val="FootnoteReference"/>
        </w:rPr>
        <w:footnoteRef/>
      </w:r>
      <w:r>
        <w:t xml:space="preserve"> Lee SJ, Cook EF, </w:t>
      </w:r>
      <w:proofErr w:type="spellStart"/>
      <w:r>
        <w:t>Soiffer</w:t>
      </w:r>
      <w:proofErr w:type="spellEnd"/>
      <w:r>
        <w:t xml:space="preserve"> R, </w:t>
      </w:r>
      <w:proofErr w:type="spellStart"/>
      <w:r>
        <w:t>Antin</w:t>
      </w:r>
      <w:proofErr w:type="spellEnd"/>
      <w:r>
        <w:t xml:space="preserve"> JH. Development and validation of a scale to measure symptoms of chronic graft-versus-host disease. </w:t>
      </w:r>
      <w:r w:rsidRPr="00DC52AE">
        <w:rPr>
          <w:i/>
        </w:rPr>
        <w:t>Biol Blood Marrow Transplant</w:t>
      </w:r>
      <w:r>
        <w:t xml:space="preserve"> 2002; 8:444-452</w:t>
      </w:r>
    </w:p>
  </w:footnote>
  <w:footnote w:id="30">
    <w:p w14:paraId="090732A6" w14:textId="77777777" w:rsidR="007C1335" w:rsidRPr="00DD4571" w:rsidRDefault="007C1335" w:rsidP="00154F23">
      <w:pPr>
        <w:pStyle w:val="FootnoteText"/>
        <w:rPr>
          <w:lang w:val="en-GB"/>
        </w:rPr>
      </w:pPr>
      <w:r>
        <w:rPr>
          <w:rStyle w:val="FootnoteReference"/>
        </w:rPr>
        <w:footnoteRef/>
      </w:r>
      <w:r>
        <w:t xml:space="preserve"> </w:t>
      </w:r>
      <w:proofErr w:type="spellStart"/>
      <w:r>
        <w:t>Zeiser</w:t>
      </w:r>
      <w:proofErr w:type="spellEnd"/>
      <w:r>
        <w:t xml:space="preserve"> R et al, Ruxolitinib for glucocorticoid-refractory chronic graft-versus-host disease. </w:t>
      </w:r>
      <w:r w:rsidRPr="00DD4571">
        <w:rPr>
          <w:i/>
        </w:rPr>
        <w:t xml:space="preserve">N Eng J Med </w:t>
      </w:r>
      <w:r>
        <w:t>2021; 385: 228- 238.</w:t>
      </w:r>
    </w:p>
  </w:footnote>
  <w:footnote w:id="31">
    <w:p w14:paraId="742ECD5D" w14:textId="50EAB8EB" w:rsidR="007C1335" w:rsidRDefault="007C1335" w:rsidP="00154F23">
      <w:pPr>
        <w:pStyle w:val="FootnoteText"/>
      </w:pPr>
      <w:r>
        <w:rPr>
          <w:rStyle w:val="FootnoteReference"/>
        </w:rPr>
        <w:footnoteRef/>
      </w:r>
      <w:r>
        <w:t xml:space="preserve"> </w:t>
      </w:r>
      <w:r>
        <w:rPr>
          <w:lang w:val="en-GB"/>
        </w:rPr>
        <w:t xml:space="preserve">The </w:t>
      </w:r>
      <w:r w:rsidRPr="00DC52AE">
        <w:rPr>
          <w:b/>
          <w:lang w:val="en-GB"/>
        </w:rPr>
        <w:t>L</w:t>
      </w:r>
      <w:proofErr w:type="spellStart"/>
      <w:r w:rsidRPr="00DC52AE">
        <w:rPr>
          <w:b/>
        </w:rPr>
        <w:t>ee</w:t>
      </w:r>
      <w:proofErr w:type="spellEnd"/>
      <w:r w:rsidRPr="00DC52AE">
        <w:rPr>
          <w:b/>
        </w:rPr>
        <w:t xml:space="preserve"> Symptom Scale</w:t>
      </w:r>
      <w:r>
        <w:t xml:space="preserve"> is used to assess chronic graft-versus-host disease symptom burden. The original scale contains 30 items in 7 subscales (skin, eye, mouth, lung, nutrition, energy, and psychological). Patients report their level of symptom ‘bother’ over the previous month on a 5-point Likert scale: not at all, slightly, moderately, quite a bit, or extremely. Subscale scores and the summary score range from 0 to 100, with a higher score indicating worse symptoms. The original scale uses the recall period of the past 7 days.</w:t>
      </w:r>
    </w:p>
    <w:p w14:paraId="57C4F6D9" w14:textId="5E251C88" w:rsidR="007C1335" w:rsidRPr="00DD4571" w:rsidRDefault="007C1335" w:rsidP="00154F23">
      <w:pPr>
        <w:pStyle w:val="FootnoteText"/>
      </w:pPr>
      <w:r>
        <w:t xml:space="preserve">The </w:t>
      </w:r>
      <w:r w:rsidRPr="00DC52AE">
        <w:rPr>
          <w:b/>
        </w:rPr>
        <w:t>modified Lee Symptom Scale</w:t>
      </w:r>
      <w:r>
        <w:t xml:space="preserve"> (</w:t>
      </w:r>
      <w:proofErr w:type="spellStart"/>
      <w:r w:rsidRPr="00DC52AE">
        <w:rPr>
          <w:b/>
        </w:rPr>
        <w:t>mLSS</w:t>
      </w:r>
      <w:proofErr w:type="spellEnd"/>
      <w:r>
        <w:t>) (</w:t>
      </w:r>
      <w:proofErr w:type="spellStart"/>
      <w:r>
        <w:t>Zeiser</w:t>
      </w:r>
      <w:proofErr w:type="spellEnd"/>
      <w:r>
        <w:t xml:space="preserve"> R. et al (2021)) is used in the REACH 3 trial. This modified scale replaces ‘bother’ with ‘severity’ and uses response options of Did not have this problem, Mild, Moderate, Severe, </w:t>
      </w:r>
      <w:proofErr w:type="gramStart"/>
      <w:r>
        <w:t>Very</w:t>
      </w:r>
      <w:proofErr w:type="gramEnd"/>
      <w:r>
        <w:t xml:space="preserve"> severe. It includes all 30 items. The instructions are: ‘Please let us know how severe any of the following problems have been in the past week.’ Scoring is </w:t>
      </w:r>
      <w:proofErr w:type="gramStart"/>
      <w:r>
        <w:t>similar to</w:t>
      </w:r>
      <w:proofErr w:type="gramEnd"/>
      <w:r>
        <w:t xml:space="preserve"> the original scale</w:t>
      </w:r>
    </w:p>
  </w:footnote>
  <w:footnote w:id="32">
    <w:p w14:paraId="63542388" w14:textId="2695F9DC" w:rsidR="007C1335" w:rsidRDefault="007C1335" w:rsidP="00455E21">
      <w:pPr>
        <w:pStyle w:val="FootnoteText"/>
      </w:pPr>
      <w:r>
        <w:rPr>
          <w:rStyle w:val="FootnoteReference"/>
        </w:rPr>
        <w:footnoteRef/>
      </w:r>
      <w:r>
        <w:t xml:space="preserve"> </w:t>
      </w:r>
      <w:r w:rsidRPr="00455E21">
        <w:t>National Institutes of Health Consensus Development Project on Criteria for Clinical Trials in Chronic Graft-Versus-Host Disease: IV. The 2014 Response Criteria Working Group Report</w:t>
      </w:r>
      <w:r>
        <w:t xml:space="preserve">; </w:t>
      </w:r>
      <w:r w:rsidRPr="00455E21">
        <w:rPr>
          <w:i/>
          <w:iCs/>
        </w:rPr>
        <w:t>Biol Blood Marrow Transplant</w:t>
      </w:r>
      <w:r>
        <w:t>. 2015 Jun; 21(6): 984–999.</w:t>
      </w:r>
    </w:p>
  </w:footnote>
  <w:footnote w:id="33">
    <w:p w14:paraId="1C2682A2" w14:textId="744D530B" w:rsidR="007C1335" w:rsidRDefault="007C1335">
      <w:pPr>
        <w:pStyle w:val="FootnoteText"/>
      </w:pPr>
      <w:r>
        <w:rPr>
          <w:rStyle w:val="FootnoteReference"/>
        </w:rPr>
        <w:footnoteRef/>
      </w:r>
      <w:r>
        <w:t xml:space="preserve"> </w:t>
      </w:r>
      <w:r w:rsidRPr="009677D4">
        <w:t xml:space="preserve">The </w:t>
      </w:r>
      <w:r w:rsidRPr="00DC52AE">
        <w:t>Cochran–Mantel–Haenszel test is a statistical test used in the analysis of stratified data.</w:t>
      </w:r>
      <w:r>
        <w:rPr>
          <w:rFonts w:ascii="Arial" w:hAnsi="Arial" w:cs="Arial"/>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C1335" w:rsidRPr="00CB0550" w:rsidRDefault="007C1335"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C1335" w:rsidRPr="002B29B2" w14:paraId="3E15C3BC" w14:textId="77777777" w:rsidTr="007452E8">
      <w:trPr>
        <w:trHeight w:hRule="exact" w:val="8845"/>
      </w:trPr>
      <w:tc>
        <w:tcPr>
          <w:tcW w:w="11964" w:type="dxa"/>
          <w:vAlign w:val="center"/>
        </w:tcPr>
        <w:p w14:paraId="6FDE4BFB" w14:textId="36E2C622" w:rsidR="007C1335" w:rsidRPr="002B29B2" w:rsidRDefault="00F20AB1" w:rsidP="007452E8">
          <w:pPr>
            <w:ind w:left="-57"/>
            <w:rPr>
              <w:noProof/>
            </w:rPr>
          </w:pPr>
          <w:sdt>
            <w:sdtPr>
              <w:rPr>
                <w:noProof/>
              </w:rPr>
              <w:id w:val="1926993388"/>
              <w:picture/>
            </w:sdtPr>
            <w:sdtEndPr/>
            <w:sdtContent/>
          </w:sdt>
        </w:p>
      </w:tc>
    </w:tr>
  </w:tbl>
  <w:p w14:paraId="6402DE55" w14:textId="77777777" w:rsidR="007C1335" w:rsidRDefault="007C1335"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C1335" w:rsidRDefault="007C1335"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C1335" w:rsidRPr="00FE501F" w:rsidRDefault="007C1335"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A2F3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D21A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820E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663E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AE4F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E635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20F012FC"/>
    <w:lvl w:ilvl="0">
      <w:start w:val="1"/>
      <w:numFmt w:val="decimal"/>
      <w:lvlText w:val="%1."/>
      <w:lvlJc w:val="left"/>
      <w:pPr>
        <w:tabs>
          <w:tab w:val="num" w:pos="360"/>
        </w:tabs>
        <w:ind w:left="360" w:hanging="360"/>
      </w:pPr>
    </w:lvl>
  </w:abstractNum>
  <w:abstractNum w:abstractNumId="7"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14C12C4"/>
    <w:multiLevelType w:val="hybridMultilevel"/>
    <w:tmpl w:val="399C60B0"/>
    <w:lvl w:ilvl="0" w:tplc="8CC4C34E">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A194791"/>
    <w:multiLevelType w:val="hybridMultilevel"/>
    <w:tmpl w:val="47644BA0"/>
    <w:lvl w:ilvl="0" w:tplc="0C090001">
      <w:start w:val="1"/>
      <w:numFmt w:val="bullet"/>
      <w:lvlText w:val=""/>
      <w:lvlJc w:val="left"/>
      <w:pPr>
        <w:ind w:left="720" w:hanging="360"/>
      </w:pPr>
      <w:rPr>
        <w:rFonts w:ascii="Symbol" w:hAnsi="Symbol" w:hint="default"/>
      </w:rPr>
    </w:lvl>
    <w:lvl w:ilvl="1" w:tplc="9B940C4A">
      <w:numFmt w:val="bullet"/>
      <w:lvlText w:val="•"/>
      <w:lvlJc w:val="left"/>
      <w:pPr>
        <w:ind w:left="1490" w:hanging="410"/>
      </w:pPr>
      <w:rPr>
        <w:rFonts w:ascii="Cambria" w:eastAsia="Cambria"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13"/>
  </w:num>
  <w:num w:numId="5">
    <w:abstractNumId w:val="11"/>
  </w:num>
  <w:num w:numId="6">
    <w:abstractNumId w:val="12"/>
  </w:num>
  <w:num w:numId="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4"/>
  </w:num>
  <w:num w:numId="9">
    <w:abstractNumId w:val="9"/>
  </w:num>
  <w:num w:numId="10">
    <w:abstractNumId w:val="10"/>
  </w:num>
  <w:num w:numId="11">
    <w:abstractNumId w:val="5"/>
  </w:num>
  <w:num w:numId="12">
    <w:abstractNumId w:val="4"/>
  </w:num>
  <w:num w:numId="13">
    <w:abstractNumId w:val="6"/>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24FD4"/>
    <w:rsid w:val="000439F1"/>
    <w:rsid w:val="00051A14"/>
    <w:rsid w:val="00077844"/>
    <w:rsid w:val="000822C5"/>
    <w:rsid w:val="00094B81"/>
    <w:rsid w:val="000975AA"/>
    <w:rsid w:val="000D7934"/>
    <w:rsid w:val="000F11FB"/>
    <w:rsid w:val="000F3773"/>
    <w:rsid w:val="000F437E"/>
    <w:rsid w:val="000F630E"/>
    <w:rsid w:val="00101FB1"/>
    <w:rsid w:val="001046E1"/>
    <w:rsid w:val="00107506"/>
    <w:rsid w:val="00114832"/>
    <w:rsid w:val="00120B1D"/>
    <w:rsid w:val="0012473C"/>
    <w:rsid w:val="0012745F"/>
    <w:rsid w:val="00133143"/>
    <w:rsid w:val="0013528C"/>
    <w:rsid w:val="001409AA"/>
    <w:rsid w:val="00154F23"/>
    <w:rsid w:val="0016413C"/>
    <w:rsid w:val="00165D28"/>
    <w:rsid w:val="00175CD8"/>
    <w:rsid w:val="00192121"/>
    <w:rsid w:val="001959C3"/>
    <w:rsid w:val="00196F3D"/>
    <w:rsid w:val="001A0385"/>
    <w:rsid w:val="001A2086"/>
    <w:rsid w:val="001B4D2C"/>
    <w:rsid w:val="001C1C2E"/>
    <w:rsid w:val="001C4E66"/>
    <w:rsid w:val="001C77CC"/>
    <w:rsid w:val="001D4B64"/>
    <w:rsid w:val="002010B7"/>
    <w:rsid w:val="00201DF4"/>
    <w:rsid w:val="0020369B"/>
    <w:rsid w:val="00210A7C"/>
    <w:rsid w:val="00214FD5"/>
    <w:rsid w:val="00226F39"/>
    <w:rsid w:val="00241B60"/>
    <w:rsid w:val="0029641F"/>
    <w:rsid w:val="002A67EB"/>
    <w:rsid w:val="002C5E29"/>
    <w:rsid w:val="002D144E"/>
    <w:rsid w:val="002D5047"/>
    <w:rsid w:val="002D6AB7"/>
    <w:rsid w:val="002D7127"/>
    <w:rsid w:val="002F36FE"/>
    <w:rsid w:val="002F4C54"/>
    <w:rsid w:val="002F5C07"/>
    <w:rsid w:val="002F78A1"/>
    <w:rsid w:val="003008D8"/>
    <w:rsid w:val="00303959"/>
    <w:rsid w:val="0030795E"/>
    <w:rsid w:val="00312AC3"/>
    <w:rsid w:val="00314430"/>
    <w:rsid w:val="00316F10"/>
    <w:rsid w:val="00324B33"/>
    <w:rsid w:val="00337955"/>
    <w:rsid w:val="00346EC2"/>
    <w:rsid w:val="0035444D"/>
    <w:rsid w:val="003554DA"/>
    <w:rsid w:val="00356056"/>
    <w:rsid w:val="003565E6"/>
    <w:rsid w:val="0036536A"/>
    <w:rsid w:val="00377993"/>
    <w:rsid w:val="00387B15"/>
    <w:rsid w:val="00395140"/>
    <w:rsid w:val="003B149C"/>
    <w:rsid w:val="003B59C7"/>
    <w:rsid w:val="003C21C6"/>
    <w:rsid w:val="003C7C1F"/>
    <w:rsid w:val="003D239D"/>
    <w:rsid w:val="003D5F2F"/>
    <w:rsid w:val="003D71A1"/>
    <w:rsid w:val="0041688F"/>
    <w:rsid w:val="0042376F"/>
    <w:rsid w:val="004246B8"/>
    <w:rsid w:val="004249D6"/>
    <w:rsid w:val="00433318"/>
    <w:rsid w:val="00455E21"/>
    <w:rsid w:val="00477C4E"/>
    <w:rsid w:val="00482CF3"/>
    <w:rsid w:val="00491A55"/>
    <w:rsid w:val="004B3081"/>
    <w:rsid w:val="0050371D"/>
    <w:rsid w:val="005137B9"/>
    <w:rsid w:val="005305D7"/>
    <w:rsid w:val="00531F78"/>
    <w:rsid w:val="00533452"/>
    <w:rsid w:val="00535DFE"/>
    <w:rsid w:val="005406F3"/>
    <w:rsid w:val="00543841"/>
    <w:rsid w:val="00547591"/>
    <w:rsid w:val="00555D2B"/>
    <w:rsid w:val="00562F42"/>
    <w:rsid w:val="00564803"/>
    <w:rsid w:val="0056766D"/>
    <w:rsid w:val="00581A18"/>
    <w:rsid w:val="0058575E"/>
    <w:rsid w:val="0058783C"/>
    <w:rsid w:val="005911AE"/>
    <w:rsid w:val="0059313A"/>
    <w:rsid w:val="005944BB"/>
    <w:rsid w:val="005A2CEC"/>
    <w:rsid w:val="005A42D7"/>
    <w:rsid w:val="005B023F"/>
    <w:rsid w:val="005C34F0"/>
    <w:rsid w:val="005C5681"/>
    <w:rsid w:val="005D2089"/>
    <w:rsid w:val="005D6AB4"/>
    <w:rsid w:val="005D7514"/>
    <w:rsid w:val="005E1A7B"/>
    <w:rsid w:val="00616059"/>
    <w:rsid w:val="006269E0"/>
    <w:rsid w:val="006277A1"/>
    <w:rsid w:val="006345F2"/>
    <w:rsid w:val="006351D9"/>
    <w:rsid w:val="00637130"/>
    <w:rsid w:val="00637F0E"/>
    <w:rsid w:val="006423F2"/>
    <w:rsid w:val="00656CC7"/>
    <w:rsid w:val="00660925"/>
    <w:rsid w:val="00666818"/>
    <w:rsid w:val="00692CCD"/>
    <w:rsid w:val="006A1F0B"/>
    <w:rsid w:val="006A277A"/>
    <w:rsid w:val="006A3253"/>
    <w:rsid w:val="006B1E70"/>
    <w:rsid w:val="006B7C39"/>
    <w:rsid w:val="006D6B44"/>
    <w:rsid w:val="006F7871"/>
    <w:rsid w:val="00705E76"/>
    <w:rsid w:val="007072A1"/>
    <w:rsid w:val="00710BC5"/>
    <w:rsid w:val="0072003B"/>
    <w:rsid w:val="007357B9"/>
    <w:rsid w:val="00740D5E"/>
    <w:rsid w:val="0074360E"/>
    <w:rsid w:val="007452E8"/>
    <w:rsid w:val="00746990"/>
    <w:rsid w:val="00750D70"/>
    <w:rsid w:val="00751CBC"/>
    <w:rsid w:val="00752B40"/>
    <w:rsid w:val="00770570"/>
    <w:rsid w:val="00775BAA"/>
    <w:rsid w:val="00783BF6"/>
    <w:rsid w:val="00793272"/>
    <w:rsid w:val="007B04DE"/>
    <w:rsid w:val="007C1335"/>
    <w:rsid w:val="007C57BC"/>
    <w:rsid w:val="007D4138"/>
    <w:rsid w:val="007E06B1"/>
    <w:rsid w:val="007F0A77"/>
    <w:rsid w:val="007F50D3"/>
    <w:rsid w:val="008329DB"/>
    <w:rsid w:val="008361C5"/>
    <w:rsid w:val="0083628F"/>
    <w:rsid w:val="00837AB9"/>
    <w:rsid w:val="00845B97"/>
    <w:rsid w:val="00850637"/>
    <w:rsid w:val="00860A8B"/>
    <w:rsid w:val="00860B29"/>
    <w:rsid w:val="00865473"/>
    <w:rsid w:val="0086599A"/>
    <w:rsid w:val="00874C3E"/>
    <w:rsid w:val="008804CF"/>
    <w:rsid w:val="008964B3"/>
    <w:rsid w:val="008C49C6"/>
    <w:rsid w:val="008C754C"/>
    <w:rsid w:val="008D6A54"/>
    <w:rsid w:val="008E2E11"/>
    <w:rsid w:val="0090605E"/>
    <w:rsid w:val="009108CE"/>
    <w:rsid w:val="00915A9F"/>
    <w:rsid w:val="009246B8"/>
    <w:rsid w:val="00930D58"/>
    <w:rsid w:val="009460E0"/>
    <w:rsid w:val="00955307"/>
    <w:rsid w:val="00966427"/>
    <w:rsid w:val="00966EF1"/>
    <w:rsid w:val="009677D4"/>
    <w:rsid w:val="00996FA5"/>
    <w:rsid w:val="009D4DF3"/>
    <w:rsid w:val="009D6590"/>
    <w:rsid w:val="009E6F8C"/>
    <w:rsid w:val="00A01C56"/>
    <w:rsid w:val="00A12FF7"/>
    <w:rsid w:val="00A231CE"/>
    <w:rsid w:val="00A23943"/>
    <w:rsid w:val="00A27A36"/>
    <w:rsid w:val="00A358E7"/>
    <w:rsid w:val="00A51A2D"/>
    <w:rsid w:val="00A600BC"/>
    <w:rsid w:val="00A63D9B"/>
    <w:rsid w:val="00A93DC6"/>
    <w:rsid w:val="00AB36FA"/>
    <w:rsid w:val="00AB64C0"/>
    <w:rsid w:val="00AB7CBF"/>
    <w:rsid w:val="00AD173A"/>
    <w:rsid w:val="00AE0B90"/>
    <w:rsid w:val="00AE1947"/>
    <w:rsid w:val="00AF4DD7"/>
    <w:rsid w:val="00B056CC"/>
    <w:rsid w:val="00B245B8"/>
    <w:rsid w:val="00B26EF0"/>
    <w:rsid w:val="00B3343B"/>
    <w:rsid w:val="00B37501"/>
    <w:rsid w:val="00B46BC0"/>
    <w:rsid w:val="00B54147"/>
    <w:rsid w:val="00B54ED2"/>
    <w:rsid w:val="00B55681"/>
    <w:rsid w:val="00B81BAF"/>
    <w:rsid w:val="00B81C51"/>
    <w:rsid w:val="00B967FF"/>
    <w:rsid w:val="00BA5B40"/>
    <w:rsid w:val="00BA7F7D"/>
    <w:rsid w:val="00BD07DF"/>
    <w:rsid w:val="00BD4CC5"/>
    <w:rsid w:val="00BD5DBD"/>
    <w:rsid w:val="00BD7EAF"/>
    <w:rsid w:val="00BF4638"/>
    <w:rsid w:val="00C07551"/>
    <w:rsid w:val="00C10C16"/>
    <w:rsid w:val="00C22214"/>
    <w:rsid w:val="00C22884"/>
    <w:rsid w:val="00C247DA"/>
    <w:rsid w:val="00C31F54"/>
    <w:rsid w:val="00C407AB"/>
    <w:rsid w:val="00C43D61"/>
    <w:rsid w:val="00C570FF"/>
    <w:rsid w:val="00C57DFD"/>
    <w:rsid w:val="00C6574E"/>
    <w:rsid w:val="00C816C6"/>
    <w:rsid w:val="00C82E9C"/>
    <w:rsid w:val="00C908B0"/>
    <w:rsid w:val="00C96FAD"/>
    <w:rsid w:val="00C97A8C"/>
    <w:rsid w:val="00CB0550"/>
    <w:rsid w:val="00CC4DD8"/>
    <w:rsid w:val="00CE6FFF"/>
    <w:rsid w:val="00CE76BA"/>
    <w:rsid w:val="00D01DDB"/>
    <w:rsid w:val="00D078BE"/>
    <w:rsid w:val="00D119F5"/>
    <w:rsid w:val="00D13F8A"/>
    <w:rsid w:val="00D15D36"/>
    <w:rsid w:val="00D4667F"/>
    <w:rsid w:val="00D62877"/>
    <w:rsid w:val="00D63760"/>
    <w:rsid w:val="00D918D5"/>
    <w:rsid w:val="00D94C8E"/>
    <w:rsid w:val="00DB1CF3"/>
    <w:rsid w:val="00DC27C5"/>
    <w:rsid w:val="00DC4DE8"/>
    <w:rsid w:val="00DC52AE"/>
    <w:rsid w:val="00DF5BFE"/>
    <w:rsid w:val="00E05A74"/>
    <w:rsid w:val="00E322AC"/>
    <w:rsid w:val="00E47E0C"/>
    <w:rsid w:val="00E51813"/>
    <w:rsid w:val="00E53D3F"/>
    <w:rsid w:val="00E5579B"/>
    <w:rsid w:val="00E5592F"/>
    <w:rsid w:val="00E56A59"/>
    <w:rsid w:val="00E60409"/>
    <w:rsid w:val="00E70AA0"/>
    <w:rsid w:val="00E76F8D"/>
    <w:rsid w:val="00E77112"/>
    <w:rsid w:val="00EA37E9"/>
    <w:rsid w:val="00EB4ECF"/>
    <w:rsid w:val="00ED7500"/>
    <w:rsid w:val="00F02AEC"/>
    <w:rsid w:val="00F07FE0"/>
    <w:rsid w:val="00F157FC"/>
    <w:rsid w:val="00F20AB1"/>
    <w:rsid w:val="00F23D31"/>
    <w:rsid w:val="00F30AF3"/>
    <w:rsid w:val="00F657B4"/>
    <w:rsid w:val="00F865A7"/>
    <w:rsid w:val="00FA0754"/>
    <w:rsid w:val="00FA1BC9"/>
    <w:rsid w:val="00FA49C3"/>
    <w:rsid w:val="00FA5EE4"/>
    <w:rsid w:val="00FB01D2"/>
    <w:rsid w:val="00FB236E"/>
    <w:rsid w:val="00FD67B9"/>
    <w:rsid w:val="00FF7B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5B8"/>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B3750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533452"/>
    <w:pPr>
      <w:numPr>
        <w:numId w:val="1"/>
      </w:numPr>
      <w:spacing w:before="120" w:after="180" w:line="240" w:lineRule="atLeast"/>
    </w:pPr>
    <w:rPr>
      <w:rFonts w:eastAsia="Cambria" w:cs="Times New Roman"/>
    </w:rPr>
  </w:style>
  <w:style w:type="paragraph" w:styleId="ListBullet2">
    <w:name w:val="List Bullet 2"/>
    <w:basedOn w:val="Normal"/>
    <w:uiPriority w:val="2"/>
    <w:qFormat/>
    <w:rsid w:val="0056766D"/>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2"/>
    <w:qFormat/>
    <w:rsid w:val="0056766D"/>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B46BC0"/>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312AC3"/>
    <w:pPr>
      <w:keepLines/>
      <w:spacing w:after="0" w:line="240" w:lineRule="atLeast"/>
    </w:pPr>
    <w:rPr>
      <w:rFonts w:eastAsia="Cambria" w:cs="Times New Roman"/>
      <w:color w:val="333F48"/>
      <w:sz w:val="18"/>
    </w:rPr>
  </w:style>
  <w:style w:type="character" w:customStyle="1" w:styleId="FootnoteTextChar">
    <w:name w:val="Footnote Text Char"/>
    <w:basedOn w:val="DefaultParagraphFont"/>
    <w:link w:val="FootnoteText"/>
    <w:rsid w:val="00312AC3"/>
    <w:rPr>
      <w:rFonts w:ascii="Cambria" w:eastAsia="Cambria" w:hAnsi="Cambria" w:cs="Times New Roman"/>
      <w:color w:val="333F48"/>
      <w:sz w:val="18"/>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rsid w:val="0056766D"/>
    <w:pPr>
      <w:spacing w:before="120" w:after="0" w:line="240" w:lineRule="auto"/>
    </w:pPr>
    <w:rPr>
      <w:rFonts w:eastAsia="Cambria" w:cs="Times New Roman"/>
      <w:sz w:val="19"/>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E5579B"/>
    <w:rPr>
      <w:sz w:val="20"/>
      <w:lang w:val="en-GB"/>
    </w:rPr>
  </w:style>
  <w:style w:type="paragraph" w:customStyle="1" w:styleId="Default">
    <w:name w:val="Default"/>
    <w:rsid w:val="00B54ED2"/>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5D6AB4"/>
    <w:pPr>
      <w:adjustRightInd w:val="0"/>
      <w:snapToGrid w:val="0"/>
      <w:spacing w:before="180" w:after="180" w:line="240" w:lineRule="atLeast"/>
      <w:ind w:left="720"/>
      <w:contextualSpacing/>
    </w:pPr>
    <w:rPr>
      <w:rFonts w:eastAsia="MS Mincho" w:cs="Times New Roman"/>
      <w:lang w:eastAsia="ja-JP"/>
    </w:rPr>
  </w:style>
  <w:style w:type="paragraph" w:styleId="Caption">
    <w:name w:val="caption"/>
    <w:basedOn w:val="Normal"/>
    <w:next w:val="Normal"/>
    <w:uiPriority w:val="35"/>
    <w:rsid w:val="00B37501"/>
    <w:pPr>
      <w:spacing w:line="240" w:lineRule="atLeast"/>
    </w:pPr>
    <w:rPr>
      <w:rFonts w:eastAsia="Cambria" w:cs="Times New Roman"/>
      <w:sz w:val="19"/>
      <w:szCs w:val="18"/>
    </w:rPr>
  </w:style>
  <w:style w:type="character" w:customStyle="1" w:styleId="Heading7Char">
    <w:name w:val="Heading 7 Char"/>
    <w:basedOn w:val="DefaultParagraphFont"/>
    <w:link w:val="Heading7"/>
    <w:uiPriority w:val="9"/>
    <w:rsid w:val="00B37501"/>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5A2C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621768">
      <w:bodyDiv w:val="1"/>
      <w:marLeft w:val="0"/>
      <w:marRight w:val="0"/>
      <w:marTop w:val="0"/>
      <w:marBottom w:val="0"/>
      <w:divBdr>
        <w:top w:val="none" w:sz="0" w:space="0" w:color="auto"/>
        <w:left w:val="none" w:sz="0" w:space="0" w:color="auto"/>
        <w:bottom w:val="none" w:sz="0" w:space="0" w:color="auto"/>
        <w:right w:val="none" w:sz="0" w:space="0" w:color="auto"/>
      </w:divBdr>
    </w:div>
    <w:div w:id="607394776">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77214694">
      <w:bodyDiv w:val="1"/>
      <w:marLeft w:val="0"/>
      <w:marRight w:val="0"/>
      <w:marTop w:val="0"/>
      <w:marBottom w:val="0"/>
      <w:divBdr>
        <w:top w:val="none" w:sz="0" w:space="0" w:color="auto"/>
        <w:left w:val="none" w:sz="0" w:space="0" w:color="auto"/>
        <w:bottom w:val="none" w:sz="0" w:space="0" w:color="auto"/>
        <w:right w:val="none" w:sz="0" w:space="0" w:color="auto"/>
      </w:divBdr>
    </w:div>
    <w:div w:id="114192262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675836980">
      <w:bodyDiv w:val="1"/>
      <w:marLeft w:val="0"/>
      <w:marRight w:val="0"/>
      <w:marTop w:val="0"/>
      <w:marBottom w:val="0"/>
      <w:divBdr>
        <w:top w:val="none" w:sz="0" w:space="0" w:color="auto"/>
        <w:left w:val="none" w:sz="0" w:space="0" w:color="auto"/>
        <w:bottom w:val="none" w:sz="0" w:space="0" w:color="auto"/>
        <w:right w:val="none" w:sz="0" w:space="0" w:color="auto"/>
      </w:divBdr>
    </w:div>
    <w:div w:id="1751266867">
      <w:bodyDiv w:val="1"/>
      <w:marLeft w:val="0"/>
      <w:marRight w:val="0"/>
      <w:marTop w:val="0"/>
      <w:marBottom w:val="0"/>
      <w:divBdr>
        <w:top w:val="none" w:sz="0" w:space="0" w:color="auto"/>
        <w:left w:val="none" w:sz="0" w:space="0" w:color="auto"/>
        <w:bottom w:val="none" w:sz="0" w:space="0" w:color="auto"/>
        <w:right w:val="none" w:sz="0" w:space="0" w:color="auto"/>
      </w:divBdr>
    </w:div>
    <w:div w:id="206263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tga.gov.au/products/australian-register-therapeutic-goods-artg/consumer-medicines-information-cmi" TargetMode="External"/><Relationship Id="rId39" Type="http://schemas.openxmlformats.org/officeDocument/2006/relationships/image" Target="media/image11.png"/><Relationship Id="rId21" Type="http://schemas.openxmlformats.org/officeDocument/2006/relationships/hyperlink" Target="https://www.tga.gov.au/products/australian-register-therapeutic-goods-artg"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s://www.tga.gov.au/committee/advisory-committee-medicines-acm" TargetMode="Externa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products/australian-register-therapeutic-goods-artg/product-information-one"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australian-register-therapeutic-goods-artg" TargetMode="External"/><Relationship Id="rId29" Type="http://schemas.openxmlformats.org/officeDocument/2006/relationships/hyperlink" Target="https://www.tga.gov.au/resources/resource/guidance/orphan-drug-designation-eligibility-criteria" TargetMode="External"/><Relationship Id="rId41" Type="http://schemas.openxmlformats.org/officeDocument/2006/relationships/image" Target="media/image13.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roducts/australian-register-therapeutic-goods-artg/product-information-one" TargetMode="External"/><Relationship Id="rId32" Type="http://schemas.microsoft.com/office/2007/relationships/hdphoto" Target="media/hdphoto1.wdp"/><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resources/publication/publications/priority-registration-process" TargetMode="External"/><Relationship Id="rId28" Type="http://schemas.openxmlformats.org/officeDocument/2006/relationships/hyperlink" Target="https://www.tga.gov.au/resources/publication/publications/priority-registration-process" TargetMode="External"/><Relationship Id="rId36" Type="http://schemas.openxmlformats.org/officeDocument/2006/relationships/image" Target="media/image8.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tga.gov.au/project-orbis" TargetMode="Externa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resources/resource/guidance/orphan-drug-designation-eligibility-criteria" TargetMode="External"/><Relationship Id="rId27" Type="http://schemas.openxmlformats.org/officeDocument/2006/relationships/hyperlink" Target="https://www.tga.gov.au/picmi-search-facility"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www.tga.gov.au/picmi-search-facility"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info@tga.gov.au"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cibmt.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19BBBD7727BC49B38389D969B1DEE8" ma:contentTypeVersion="4" ma:contentTypeDescription="Create a new document." ma:contentTypeScope="" ma:versionID="dbe3513d24e2d5a586b6bb412a575a81">
  <xsd:schema xmlns:xsd="http://www.w3.org/2001/XMLSchema" xmlns:xs="http://www.w3.org/2001/XMLSchema" xmlns:p="http://schemas.microsoft.com/office/2006/metadata/properties" xmlns:ns2="5c25c731-98c5-4d6b-92fb-480aec6c3608" xmlns:ns3="11878aa3-4e7a-499e-b5ad-65fd1fd120cb" targetNamespace="http://schemas.microsoft.com/office/2006/metadata/properties" ma:root="true" ma:fieldsID="2a26e35865fcee21d18a23f1d887e664" ns2:_="" ns3:_="">
    <xsd:import namespace="5c25c731-98c5-4d6b-92fb-480aec6c3608"/>
    <xsd:import namespace="11878aa3-4e7a-499e-b5ad-65fd1fd120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5c731-98c5-4d6b-92fb-480aec6c3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878aa3-4e7a-499e-b5ad-65fd1fd120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AB4771-DEDF-46D0-AA5C-63EE3AB6E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5c731-98c5-4d6b-92fb-480aec6c3608"/>
    <ds:schemaRef ds:uri="11878aa3-4e7a-499e-b5ad-65fd1fd12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CD9FF8-505E-4D9F-BB29-AF0B47E0E49B}">
  <ds:schemaRefs>
    <ds:schemaRef ds:uri="http://schemas.microsoft.com/sharepoint/v3/contenttype/forms"/>
  </ds:schemaRefs>
</ds:datastoreItem>
</file>

<file path=customXml/itemProps3.xml><?xml version="1.0" encoding="utf-8"?>
<ds:datastoreItem xmlns:ds="http://schemas.openxmlformats.org/officeDocument/2006/customXml" ds:itemID="{B20CA67C-4FEF-489D-9578-22CDDDB75E3A}">
  <ds:schemaRefs>
    <ds:schemaRef ds:uri="http://schemas.openxmlformats.org/officeDocument/2006/bibliography"/>
  </ds:schemaRefs>
</ds:datastoreItem>
</file>

<file path=customXml/itemProps4.xml><?xml version="1.0" encoding="utf-8"?>
<ds:datastoreItem xmlns:ds="http://schemas.openxmlformats.org/officeDocument/2006/customXml" ds:itemID="{15969054-A037-4A41-869D-201F180231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55</Pages>
  <Words>18755</Words>
  <Characters>106910</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125415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forJakavi</dc:title>
  <dc:subject>Prescription medicines</dc:subject>
  <dc:creator>Therapeutic Goods Administration</dc:creator>
  <cp:keywords/>
  <dc:description/>
  <cp:lastModifiedBy>PITKIN, Brendan</cp:lastModifiedBy>
  <cp:revision>20</cp:revision>
  <dcterms:created xsi:type="dcterms:W3CDTF">2023-04-26T00:41:00Z</dcterms:created>
  <dcterms:modified xsi:type="dcterms:W3CDTF">2023-05-15T05:17:00Z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2023-03-28T03:39:11Z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3ec68cd5-c7c8-4a84-8891-1a5095b0ecf1</vt:lpwstr>
  </property>
  <property fmtid="{D5CDD505-2E9C-101B-9397-08002B2CF9AE}" pid="8" name="MSIP_Label_3c9bec58-8084-492e-8360-0e1cfe36408c_ContentBits">
    <vt:lpwstr>0</vt:lpwstr>
  </property>
  <property fmtid="{D5CDD505-2E9C-101B-9397-08002B2CF9AE}" pid="9" name="ContentTypeId">
    <vt:lpwstr>0x0101004419BBBD7727BC49B38389D969B1DEE8</vt:lpwstr>
  </property>
</Properties>
</file>