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24EA0598" w14:textId="77777777" w:rsidTr="00BF1190">
        <w:trPr>
          <w:trHeight w:val="1863"/>
        </w:trPr>
        <w:tc>
          <w:tcPr>
            <w:tcW w:w="3652" w:type="dxa"/>
            <w:tcBorders>
              <w:top w:val="nil"/>
              <w:left w:val="nil"/>
              <w:bottom w:val="nil"/>
              <w:right w:val="nil"/>
            </w:tcBorders>
          </w:tcPr>
          <w:p w14:paraId="1C9540F7" w14:textId="2E9ADD63" w:rsidR="008E7846" w:rsidRPr="00096AA7" w:rsidRDefault="00870904" w:rsidP="00F931CE">
            <w:pPr>
              <w:pStyle w:val="Date"/>
              <w:framePr w:hSpace="0" w:wrap="auto" w:vAnchor="margin" w:hAnchor="text" w:yAlign="inline"/>
              <w:suppressOverlap w:val="0"/>
            </w:pPr>
            <w:r>
              <w:t>May</w:t>
            </w:r>
            <w:r w:rsidR="004A4916">
              <w:t xml:space="preserve"> 2023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B64317F" w14:textId="77777777" w:rsidTr="0032583B">
        <w:trPr>
          <w:trHeight w:val="868"/>
        </w:trPr>
        <w:tc>
          <w:tcPr>
            <w:tcW w:w="9079" w:type="dxa"/>
          </w:tcPr>
          <w:p w14:paraId="40E56518" w14:textId="39A79EA2" w:rsidR="0032583B" w:rsidRPr="00A964D1" w:rsidRDefault="0032583B" w:rsidP="00F931CE">
            <w:pPr>
              <w:pStyle w:val="Title"/>
              <w:framePr w:hSpace="0" w:wrap="auto" w:vAnchor="margin" w:yAlign="inline"/>
            </w:pPr>
            <w:r w:rsidRPr="00A964D1">
              <w:t>Australian Public Assessment Report for</w:t>
            </w:r>
            <w:r w:rsidR="00AF2313">
              <w:t xml:space="preserve"> </w:t>
            </w:r>
            <w:r w:rsidR="002054FF">
              <w:t>Keytruda</w:t>
            </w:r>
          </w:p>
        </w:tc>
      </w:tr>
      <w:tr w:rsidR="0032583B" w:rsidRPr="00B64760" w14:paraId="578EFAD0" w14:textId="77777777" w:rsidTr="0032583B">
        <w:tc>
          <w:tcPr>
            <w:tcW w:w="9079" w:type="dxa"/>
          </w:tcPr>
          <w:p w14:paraId="0DCB9E92" w14:textId="32F0668B" w:rsidR="0032583B" w:rsidRPr="008E7846" w:rsidRDefault="00BB75D6" w:rsidP="00F931CE">
            <w:pPr>
              <w:pStyle w:val="Subtitle"/>
              <w:framePr w:hSpace="0" w:wrap="auto" w:vAnchor="margin" w:yAlign="inline"/>
            </w:pPr>
            <w:r>
              <w:t>Active ingredient</w:t>
            </w:r>
            <w:r w:rsidR="0032583B" w:rsidRPr="008E7846">
              <w:t>:</w:t>
            </w:r>
            <w:r w:rsidR="002054FF">
              <w:t xml:space="preserve"> P</w:t>
            </w:r>
            <w:r w:rsidR="002054FF" w:rsidRPr="00647A1D">
              <w:t>embrolizumab</w:t>
            </w:r>
          </w:p>
        </w:tc>
      </w:tr>
      <w:tr w:rsidR="0032583B" w:rsidRPr="00B64760" w14:paraId="59A05A13" w14:textId="77777777" w:rsidTr="0032583B">
        <w:trPr>
          <w:trHeight w:val="486"/>
        </w:trPr>
        <w:tc>
          <w:tcPr>
            <w:tcW w:w="9079" w:type="dxa"/>
          </w:tcPr>
          <w:p w14:paraId="2338EB1C" w14:textId="23091666" w:rsidR="0032583B" w:rsidRPr="008E7846" w:rsidRDefault="00460036" w:rsidP="009556D7">
            <w:pPr>
              <w:pStyle w:val="Subtitle"/>
              <w:framePr w:hSpace="0" w:wrap="auto" w:vAnchor="margin" w:yAlign="inline"/>
            </w:pPr>
            <w:r>
              <w:t xml:space="preserve">Sponsor: </w:t>
            </w:r>
            <w:r w:rsidR="002054FF" w:rsidRPr="00647A1D">
              <w:t>Merck Sharp &amp; Dohme (Australia) Pty Lt</w:t>
            </w:r>
            <w:r w:rsidR="002054FF">
              <w:t>d</w:t>
            </w:r>
          </w:p>
        </w:tc>
      </w:tr>
    </w:tbl>
    <w:p w14:paraId="77AC80FC" w14:textId="77777777" w:rsidR="008E7846" w:rsidRPr="0085156D" w:rsidRDefault="008E7846" w:rsidP="0085156D">
      <w:r w:rsidRPr="0085156D">
        <w:br w:type="page"/>
      </w:r>
    </w:p>
    <w:p w14:paraId="2FDD4DF1" w14:textId="77777777" w:rsidR="008E7846" w:rsidRPr="001F6CBA" w:rsidRDefault="008E7846" w:rsidP="008E7846">
      <w:pPr>
        <w:pStyle w:val="NonTOCHeading2"/>
      </w:pPr>
      <w:r w:rsidRPr="001F6CBA">
        <w:lastRenderedPageBreak/>
        <w:t>About the Therapeutic Goods Administration (TGA)</w:t>
      </w:r>
    </w:p>
    <w:p w14:paraId="5803DCE8"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273E9FA0"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287E93D2"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1AF998D6"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74691066" w14:textId="1C52F7BE"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11" w:history="1">
        <w:r w:rsidRPr="000F15B4">
          <w:rPr>
            <w:rStyle w:val="Hyperlink"/>
          </w:rPr>
          <w:t>TGA website</w:t>
        </w:r>
      </w:hyperlink>
      <w:r w:rsidRPr="003C6D1F">
        <w:t>.</w:t>
      </w:r>
    </w:p>
    <w:p w14:paraId="7DA6FDE8" w14:textId="77777777" w:rsidR="008E7846" w:rsidRDefault="008E7846" w:rsidP="00875A6B">
      <w:pPr>
        <w:pStyle w:val="NonTOCHeading2"/>
      </w:pPr>
      <w:r>
        <w:t xml:space="preserve">About </w:t>
      </w:r>
      <w:proofErr w:type="spellStart"/>
      <w:r>
        <w:t>AusPARs</w:t>
      </w:r>
      <w:proofErr w:type="spellEnd"/>
    </w:p>
    <w:p w14:paraId="0A679A01" w14:textId="35F6E447" w:rsidR="00AF2313" w:rsidRPr="003C6D1F" w:rsidRDefault="00AF2313" w:rsidP="00AF2313">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2" w:history="1">
        <w:r w:rsidRPr="005A2EB8">
          <w:rPr>
            <w:rStyle w:val="Hyperlink"/>
          </w:rPr>
          <w:t>Australian Public Assessment Report (AusPAR) guidance</w:t>
        </w:r>
      </w:hyperlink>
      <w:r>
        <w:t>.</w:t>
      </w:r>
    </w:p>
    <w:p w14:paraId="438BE16B"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6853A388"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AusPAR is an important part of the transparency of the TGA’s decision-making process.</w:t>
      </w:r>
    </w:p>
    <w:p w14:paraId="6BB57431" w14:textId="77777777" w:rsidR="00AF2313" w:rsidRPr="003C6D1F" w:rsidRDefault="00AF2313" w:rsidP="00AF2313">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2B376933" w14:textId="77777777" w:rsidR="00924482" w:rsidRPr="00DF1D7F" w:rsidRDefault="00924482" w:rsidP="00F54B65">
      <w:pPr>
        <w:pStyle w:val="LegalSubheading"/>
        <w:spacing w:before="3120"/>
      </w:pPr>
      <w:r w:rsidRPr="00DF1D7F">
        <w:t>Copyright</w:t>
      </w:r>
    </w:p>
    <w:p w14:paraId="07CB8480" w14:textId="5BA050BB"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2054FF">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3" w:history="1">
        <w:r w:rsidRPr="00191B3B">
          <w:rPr>
            <w:rStyle w:val="Hyperlink"/>
            <w:rFonts w:cs="Arial"/>
            <w:lang w:val="en-GB"/>
          </w:rPr>
          <w:t>tga.copyright@tga.gov.au</w:t>
        </w:r>
      </w:hyperlink>
      <w:r w:rsidRPr="00191B3B">
        <w:rPr>
          <w:rFonts w:cs="Arial"/>
        </w:rPr>
        <w:t>&gt;.</w:t>
      </w:r>
    </w:p>
    <w:p w14:paraId="25A6D41B" w14:textId="77777777" w:rsidR="00924482" w:rsidRDefault="00924482" w:rsidP="00924482">
      <w:pPr>
        <w:pStyle w:val="LegalCopy"/>
        <w:sectPr w:rsidR="00924482" w:rsidSect="003D1E62">
          <w:headerReference w:type="default" r:id="rId14"/>
          <w:footerReference w:type="default" r:id="rId15"/>
          <w:headerReference w:type="first" r:id="rId16"/>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0C23CCBB" w14:textId="77777777" w:rsidR="0089635C" w:rsidRPr="0089635C" w:rsidRDefault="0089635C" w:rsidP="0010788A">
          <w:pPr>
            <w:pStyle w:val="Contents"/>
          </w:pPr>
          <w:r w:rsidRPr="0010788A">
            <w:t>Contents</w:t>
          </w:r>
        </w:p>
        <w:p w14:paraId="5FA5AA03" w14:textId="778E3EE6" w:rsidR="00016A9B"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32283588" w:history="1">
            <w:r w:rsidR="00016A9B" w:rsidRPr="00533E3E">
              <w:rPr>
                <w:rStyle w:val="Hyperlink"/>
                <w:noProof/>
              </w:rPr>
              <w:t>List of abbreviations</w:t>
            </w:r>
            <w:r w:rsidR="00016A9B">
              <w:rPr>
                <w:noProof/>
                <w:webHidden/>
              </w:rPr>
              <w:tab/>
            </w:r>
            <w:r w:rsidR="00016A9B">
              <w:rPr>
                <w:noProof/>
                <w:webHidden/>
              </w:rPr>
              <w:fldChar w:fldCharType="begin"/>
            </w:r>
            <w:r w:rsidR="00016A9B">
              <w:rPr>
                <w:noProof/>
                <w:webHidden/>
              </w:rPr>
              <w:instrText xml:space="preserve"> PAGEREF _Toc132283588 \h </w:instrText>
            </w:r>
            <w:r w:rsidR="00016A9B">
              <w:rPr>
                <w:noProof/>
                <w:webHidden/>
              </w:rPr>
            </w:r>
            <w:r w:rsidR="00016A9B">
              <w:rPr>
                <w:noProof/>
                <w:webHidden/>
              </w:rPr>
              <w:fldChar w:fldCharType="separate"/>
            </w:r>
            <w:r w:rsidR="006F12E8">
              <w:rPr>
                <w:noProof/>
                <w:webHidden/>
              </w:rPr>
              <w:t>4</w:t>
            </w:r>
            <w:r w:rsidR="00016A9B">
              <w:rPr>
                <w:noProof/>
                <w:webHidden/>
              </w:rPr>
              <w:fldChar w:fldCharType="end"/>
            </w:r>
          </w:hyperlink>
        </w:p>
        <w:p w14:paraId="7178185E" w14:textId="03BB1114" w:rsidR="00016A9B" w:rsidRDefault="006F12E8">
          <w:pPr>
            <w:pStyle w:val="TOC1"/>
            <w:rPr>
              <w:rFonts w:asciiTheme="minorHAnsi" w:eastAsiaTheme="minorEastAsia" w:hAnsiTheme="minorHAnsi" w:cstheme="minorBidi"/>
              <w:b w:val="0"/>
              <w:noProof/>
              <w:sz w:val="22"/>
              <w:lang w:eastAsia="en-AU"/>
            </w:rPr>
          </w:pPr>
          <w:hyperlink w:anchor="_Toc132283589" w:history="1">
            <w:r w:rsidR="00016A9B" w:rsidRPr="00533E3E">
              <w:rPr>
                <w:rStyle w:val="Hyperlink"/>
                <w:noProof/>
              </w:rPr>
              <w:t>Product submission</w:t>
            </w:r>
            <w:r w:rsidR="00016A9B">
              <w:rPr>
                <w:noProof/>
                <w:webHidden/>
              </w:rPr>
              <w:tab/>
            </w:r>
            <w:r w:rsidR="00016A9B">
              <w:rPr>
                <w:noProof/>
                <w:webHidden/>
              </w:rPr>
              <w:fldChar w:fldCharType="begin"/>
            </w:r>
            <w:r w:rsidR="00016A9B">
              <w:rPr>
                <w:noProof/>
                <w:webHidden/>
              </w:rPr>
              <w:instrText xml:space="preserve"> PAGEREF _Toc132283589 \h </w:instrText>
            </w:r>
            <w:r w:rsidR="00016A9B">
              <w:rPr>
                <w:noProof/>
                <w:webHidden/>
              </w:rPr>
            </w:r>
            <w:r w:rsidR="00016A9B">
              <w:rPr>
                <w:noProof/>
                <w:webHidden/>
              </w:rPr>
              <w:fldChar w:fldCharType="separate"/>
            </w:r>
            <w:r>
              <w:rPr>
                <w:noProof/>
                <w:webHidden/>
              </w:rPr>
              <w:t>6</w:t>
            </w:r>
            <w:r w:rsidR="00016A9B">
              <w:rPr>
                <w:noProof/>
                <w:webHidden/>
              </w:rPr>
              <w:fldChar w:fldCharType="end"/>
            </w:r>
          </w:hyperlink>
        </w:p>
        <w:p w14:paraId="274BC1D7" w14:textId="49F2FA74" w:rsidR="00016A9B" w:rsidRDefault="006F12E8">
          <w:pPr>
            <w:pStyle w:val="TOC2"/>
            <w:rPr>
              <w:rFonts w:asciiTheme="minorHAnsi" w:eastAsiaTheme="minorEastAsia" w:hAnsiTheme="minorHAnsi" w:cstheme="minorBidi"/>
              <w:b w:val="0"/>
              <w:noProof/>
              <w:sz w:val="22"/>
              <w:lang w:eastAsia="en-AU"/>
            </w:rPr>
          </w:pPr>
          <w:hyperlink w:anchor="_Toc132283590" w:history="1">
            <w:r w:rsidR="00016A9B" w:rsidRPr="00533E3E">
              <w:rPr>
                <w:rStyle w:val="Hyperlink"/>
                <w:noProof/>
                <w:lang w:eastAsia="en-AU"/>
              </w:rPr>
              <w:t>Submission details</w:t>
            </w:r>
            <w:r w:rsidR="00016A9B">
              <w:rPr>
                <w:noProof/>
                <w:webHidden/>
              </w:rPr>
              <w:tab/>
            </w:r>
            <w:r w:rsidR="00016A9B">
              <w:rPr>
                <w:noProof/>
                <w:webHidden/>
              </w:rPr>
              <w:fldChar w:fldCharType="begin"/>
            </w:r>
            <w:r w:rsidR="00016A9B">
              <w:rPr>
                <w:noProof/>
                <w:webHidden/>
              </w:rPr>
              <w:instrText xml:space="preserve"> PAGEREF _Toc132283590 \h </w:instrText>
            </w:r>
            <w:r w:rsidR="00016A9B">
              <w:rPr>
                <w:noProof/>
                <w:webHidden/>
              </w:rPr>
            </w:r>
            <w:r w:rsidR="00016A9B">
              <w:rPr>
                <w:noProof/>
                <w:webHidden/>
              </w:rPr>
              <w:fldChar w:fldCharType="separate"/>
            </w:r>
            <w:r>
              <w:rPr>
                <w:noProof/>
                <w:webHidden/>
              </w:rPr>
              <w:t>6</w:t>
            </w:r>
            <w:r w:rsidR="00016A9B">
              <w:rPr>
                <w:noProof/>
                <w:webHidden/>
              </w:rPr>
              <w:fldChar w:fldCharType="end"/>
            </w:r>
          </w:hyperlink>
        </w:p>
        <w:p w14:paraId="205819F8" w14:textId="462B1BD1" w:rsidR="00016A9B" w:rsidRDefault="006F12E8">
          <w:pPr>
            <w:pStyle w:val="TOC2"/>
            <w:rPr>
              <w:rFonts w:asciiTheme="minorHAnsi" w:eastAsiaTheme="minorEastAsia" w:hAnsiTheme="minorHAnsi" w:cstheme="minorBidi"/>
              <w:b w:val="0"/>
              <w:noProof/>
              <w:sz w:val="22"/>
              <w:lang w:eastAsia="en-AU"/>
            </w:rPr>
          </w:pPr>
          <w:hyperlink w:anchor="_Toc132283591" w:history="1">
            <w:r w:rsidR="00016A9B" w:rsidRPr="00533E3E">
              <w:rPr>
                <w:rStyle w:val="Hyperlink"/>
                <w:noProof/>
              </w:rPr>
              <w:t>Product background</w:t>
            </w:r>
            <w:r w:rsidR="00016A9B">
              <w:rPr>
                <w:noProof/>
                <w:webHidden/>
              </w:rPr>
              <w:tab/>
            </w:r>
            <w:r w:rsidR="00016A9B">
              <w:rPr>
                <w:noProof/>
                <w:webHidden/>
              </w:rPr>
              <w:fldChar w:fldCharType="begin"/>
            </w:r>
            <w:r w:rsidR="00016A9B">
              <w:rPr>
                <w:noProof/>
                <w:webHidden/>
              </w:rPr>
              <w:instrText xml:space="preserve"> PAGEREF _Toc132283591 \h </w:instrText>
            </w:r>
            <w:r w:rsidR="00016A9B">
              <w:rPr>
                <w:noProof/>
                <w:webHidden/>
              </w:rPr>
            </w:r>
            <w:r w:rsidR="00016A9B">
              <w:rPr>
                <w:noProof/>
                <w:webHidden/>
              </w:rPr>
              <w:fldChar w:fldCharType="separate"/>
            </w:r>
            <w:r>
              <w:rPr>
                <w:noProof/>
                <w:webHidden/>
              </w:rPr>
              <w:t>7</w:t>
            </w:r>
            <w:r w:rsidR="00016A9B">
              <w:rPr>
                <w:noProof/>
                <w:webHidden/>
              </w:rPr>
              <w:fldChar w:fldCharType="end"/>
            </w:r>
          </w:hyperlink>
        </w:p>
        <w:p w14:paraId="6EE8EFCB" w14:textId="21F5F52A" w:rsidR="00016A9B" w:rsidRDefault="006F12E8">
          <w:pPr>
            <w:pStyle w:val="TOC2"/>
            <w:rPr>
              <w:rFonts w:asciiTheme="minorHAnsi" w:eastAsiaTheme="minorEastAsia" w:hAnsiTheme="minorHAnsi" w:cstheme="minorBidi"/>
              <w:b w:val="0"/>
              <w:noProof/>
              <w:sz w:val="22"/>
              <w:lang w:eastAsia="en-AU"/>
            </w:rPr>
          </w:pPr>
          <w:hyperlink w:anchor="_Toc132283592" w:history="1">
            <w:r w:rsidR="00016A9B" w:rsidRPr="00533E3E">
              <w:rPr>
                <w:rStyle w:val="Hyperlink"/>
                <w:noProof/>
              </w:rPr>
              <w:t>Regulatory status</w:t>
            </w:r>
            <w:r w:rsidR="00016A9B">
              <w:rPr>
                <w:noProof/>
                <w:webHidden/>
              </w:rPr>
              <w:tab/>
            </w:r>
            <w:r w:rsidR="00016A9B">
              <w:rPr>
                <w:noProof/>
                <w:webHidden/>
              </w:rPr>
              <w:fldChar w:fldCharType="begin"/>
            </w:r>
            <w:r w:rsidR="00016A9B">
              <w:rPr>
                <w:noProof/>
                <w:webHidden/>
              </w:rPr>
              <w:instrText xml:space="preserve"> PAGEREF _Toc132283592 \h </w:instrText>
            </w:r>
            <w:r w:rsidR="00016A9B">
              <w:rPr>
                <w:noProof/>
                <w:webHidden/>
              </w:rPr>
            </w:r>
            <w:r w:rsidR="00016A9B">
              <w:rPr>
                <w:noProof/>
                <w:webHidden/>
              </w:rPr>
              <w:fldChar w:fldCharType="separate"/>
            </w:r>
            <w:r>
              <w:rPr>
                <w:noProof/>
                <w:webHidden/>
              </w:rPr>
              <w:t>10</w:t>
            </w:r>
            <w:r w:rsidR="00016A9B">
              <w:rPr>
                <w:noProof/>
                <w:webHidden/>
              </w:rPr>
              <w:fldChar w:fldCharType="end"/>
            </w:r>
          </w:hyperlink>
        </w:p>
        <w:p w14:paraId="7944417E" w14:textId="56BA1FFE" w:rsidR="00016A9B" w:rsidRDefault="006F12E8">
          <w:pPr>
            <w:pStyle w:val="TOC2"/>
            <w:rPr>
              <w:rFonts w:asciiTheme="minorHAnsi" w:eastAsiaTheme="minorEastAsia" w:hAnsiTheme="minorHAnsi" w:cstheme="minorBidi"/>
              <w:b w:val="0"/>
              <w:noProof/>
              <w:sz w:val="22"/>
              <w:lang w:eastAsia="en-AU"/>
            </w:rPr>
          </w:pPr>
          <w:hyperlink w:anchor="_Toc132283593" w:history="1">
            <w:r w:rsidR="00016A9B" w:rsidRPr="00533E3E">
              <w:rPr>
                <w:rStyle w:val="Hyperlink"/>
                <w:noProof/>
              </w:rPr>
              <w:t>Product Information</w:t>
            </w:r>
            <w:r w:rsidR="00016A9B">
              <w:rPr>
                <w:noProof/>
                <w:webHidden/>
              </w:rPr>
              <w:tab/>
            </w:r>
            <w:r w:rsidR="00016A9B">
              <w:rPr>
                <w:noProof/>
                <w:webHidden/>
              </w:rPr>
              <w:fldChar w:fldCharType="begin"/>
            </w:r>
            <w:r w:rsidR="00016A9B">
              <w:rPr>
                <w:noProof/>
                <w:webHidden/>
              </w:rPr>
              <w:instrText xml:space="preserve"> PAGEREF _Toc132283593 \h </w:instrText>
            </w:r>
            <w:r w:rsidR="00016A9B">
              <w:rPr>
                <w:noProof/>
                <w:webHidden/>
              </w:rPr>
            </w:r>
            <w:r w:rsidR="00016A9B">
              <w:rPr>
                <w:noProof/>
                <w:webHidden/>
              </w:rPr>
              <w:fldChar w:fldCharType="separate"/>
            </w:r>
            <w:r>
              <w:rPr>
                <w:noProof/>
                <w:webHidden/>
              </w:rPr>
              <w:t>16</w:t>
            </w:r>
            <w:r w:rsidR="00016A9B">
              <w:rPr>
                <w:noProof/>
                <w:webHidden/>
              </w:rPr>
              <w:fldChar w:fldCharType="end"/>
            </w:r>
          </w:hyperlink>
        </w:p>
        <w:p w14:paraId="4A917DA0" w14:textId="07CF5289" w:rsidR="00016A9B" w:rsidRDefault="006F12E8">
          <w:pPr>
            <w:pStyle w:val="TOC1"/>
            <w:rPr>
              <w:rFonts w:asciiTheme="minorHAnsi" w:eastAsiaTheme="minorEastAsia" w:hAnsiTheme="minorHAnsi" w:cstheme="minorBidi"/>
              <w:b w:val="0"/>
              <w:noProof/>
              <w:sz w:val="22"/>
              <w:lang w:eastAsia="en-AU"/>
            </w:rPr>
          </w:pPr>
          <w:hyperlink w:anchor="_Toc132283594" w:history="1">
            <w:r w:rsidR="00016A9B" w:rsidRPr="00533E3E">
              <w:rPr>
                <w:rStyle w:val="Hyperlink"/>
                <w:noProof/>
              </w:rPr>
              <w:t>Registration timeline</w:t>
            </w:r>
            <w:r w:rsidR="00016A9B">
              <w:rPr>
                <w:noProof/>
                <w:webHidden/>
              </w:rPr>
              <w:tab/>
            </w:r>
            <w:r w:rsidR="00016A9B">
              <w:rPr>
                <w:noProof/>
                <w:webHidden/>
              </w:rPr>
              <w:fldChar w:fldCharType="begin"/>
            </w:r>
            <w:r w:rsidR="00016A9B">
              <w:rPr>
                <w:noProof/>
                <w:webHidden/>
              </w:rPr>
              <w:instrText xml:space="preserve"> PAGEREF _Toc132283594 \h </w:instrText>
            </w:r>
            <w:r w:rsidR="00016A9B">
              <w:rPr>
                <w:noProof/>
                <w:webHidden/>
              </w:rPr>
            </w:r>
            <w:r w:rsidR="00016A9B">
              <w:rPr>
                <w:noProof/>
                <w:webHidden/>
              </w:rPr>
              <w:fldChar w:fldCharType="separate"/>
            </w:r>
            <w:r>
              <w:rPr>
                <w:noProof/>
                <w:webHidden/>
              </w:rPr>
              <w:t>16</w:t>
            </w:r>
            <w:r w:rsidR="00016A9B">
              <w:rPr>
                <w:noProof/>
                <w:webHidden/>
              </w:rPr>
              <w:fldChar w:fldCharType="end"/>
            </w:r>
          </w:hyperlink>
        </w:p>
        <w:p w14:paraId="4A8D50E5" w14:textId="67548DBF" w:rsidR="00016A9B" w:rsidRDefault="006F12E8">
          <w:pPr>
            <w:pStyle w:val="TOC1"/>
            <w:rPr>
              <w:rFonts w:asciiTheme="minorHAnsi" w:eastAsiaTheme="minorEastAsia" w:hAnsiTheme="minorHAnsi" w:cstheme="minorBidi"/>
              <w:b w:val="0"/>
              <w:noProof/>
              <w:sz w:val="22"/>
              <w:lang w:eastAsia="en-AU"/>
            </w:rPr>
          </w:pPr>
          <w:hyperlink w:anchor="_Toc132283595" w:history="1">
            <w:r w:rsidR="00016A9B" w:rsidRPr="00533E3E">
              <w:rPr>
                <w:rStyle w:val="Hyperlink"/>
                <w:noProof/>
              </w:rPr>
              <w:t>Submission overview and risk/benefit assessment</w:t>
            </w:r>
            <w:r w:rsidR="00016A9B">
              <w:rPr>
                <w:noProof/>
                <w:webHidden/>
              </w:rPr>
              <w:tab/>
            </w:r>
            <w:r w:rsidR="00016A9B">
              <w:rPr>
                <w:noProof/>
                <w:webHidden/>
              </w:rPr>
              <w:fldChar w:fldCharType="begin"/>
            </w:r>
            <w:r w:rsidR="00016A9B">
              <w:rPr>
                <w:noProof/>
                <w:webHidden/>
              </w:rPr>
              <w:instrText xml:space="preserve"> PAGEREF _Toc132283595 \h </w:instrText>
            </w:r>
            <w:r w:rsidR="00016A9B">
              <w:rPr>
                <w:noProof/>
                <w:webHidden/>
              </w:rPr>
            </w:r>
            <w:r w:rsidR="00016A9B">
              <w:rPr>
                <w:noProof/>
                <w:webHidden/>
              </w:rPr>
              <w:fldChar w:fldCharType="separate"/>
            </w:r>
            <w:r>
              <w:rPr>
                <w:noProof/>
                <w:webHidden/>
              </w:rPr>
              <w:t>17</w:t>
            </w:r>
            <w:r w:rsidR="00016A9B">
              <w:rPr>
                <w:noProof/>
                <w:webHidden/>
              </w:rPr>
              <w:fldChar w:fldCharType="end"/>
            </w:r>
          </w:hyperlink>
        </w:p>
        <w:p w14:paraId="2A653F01" w14:textId="571A0E66" w:rsidR="00016A9B" w:rsidRDefault="006F12E8">
          <w:pPr>
            <w:pStyle w:val="TOC2"/>
            <w:rPr>
              <w:rFonts w:asciiTheme="minorHAnsi" w:eastAsiaTheme="minorEastAsia" w:hAnsiTheme="minorHAnsi" w:cstheme="minorBidi"/>
              <w:b w:val="0"/>
              <w:noProof/>
              <w:sz w:val="22"/>
              <w:lang w:eastAsia="en-AU"/>
            </w:rPr>
          </w:pPr>
          <w:hyperlink w:anchor="_Toc132283596" w:history="1">
            <w:r w:rsidR="00016A9B" w:rsidRPr="00533E3E">
              <w:rPr>
                <w:rStyle w:val="Hyperlink"/>
                <w:noProof/>
              </w:rPr>
              <w:t>Quality</w:t>
            </w:r>
            <w:r w:rsidR="00016A9B">
              <w:rPr>
                <w:noProof/>
                <w:webHidden/>
              </w:rPr>
              <w:tab/>
            </w:r>
            <w:r w:rsidR="00016A9B">
              <w:rPr>
                <w:noProof/>
                <w:webHidden/>
              </w:rPr>
              <w:fldChar w:fldCharType="begin"/>
            </w:r>
            <w:r w:rsidR="00016A9B">
              <w:rPr>
                <w:noProof/>
                <w:webHidden/>
              </w:rPr>
              <w:instrText xml:space="preserve"> PAGEREF _Toc132283596 \h </w:instrText>
            </w:r>
            <w:r w:rsidR="00016A9B">
              <w:rPr>
                <w:noProof/>
                <w:webHidden/>
              </w:rPr>
            </w:r>
            <w:r w:rsidR="00016A9B">
              <w:rPr>
                <w:noProof/>
                <w:webHidden/>
              </w:rPr>
              <w:fldChar w:fldCharType="separate"/>
            </w:r>
            <w:r>
              <w:rPr>
                <w:noProof/>
                <w:webHidden/>
              </w:rPr>
              <w:t>17</w:t>
            </w:r>
            <w:r w:rsidR="00016A9B">
              <w:rPr>
                <w:noProof/>
                <w:webHidden/>
              </w:rPr>
              <w:fldChar w:fldCharType="end"/>
            </w:r>
          </w:hyperlink>
        </w:p>
        <w:p w14:paraId="092ECCBA" w14:textId="2FFDEC8E" w:rsidR="00016A9B" w:rsidRDefault="006F12E8">
          <w:pPr>
            <w:pStyle w:val="TOC2"/>
            <w:rPr>
              <w:rFonts w:asciiTheme="minorHAnsi" w:eastAsiaTheme="minorEastAsia" w:hAnsiTheme="minorHAnsi" w:cstheme="minorBidi"/>
              <w:b w:val="0"/>
              <w:noProof/>
              <w:sz w:val="22"/>
              <w:lang w:eastAsia="en-AU"/>
            </w:rPr>
          </w:pPr>
          <w:hyperlink w:anchor="_Toc132283597" w:history="1">
            <w:r w:rsidR="00016A9B" w:rsidRPr="00533E3E">
              <w:rPr>
                <w:rStyle w:val="Hyperlink"/>
                <w:noProof/>
              </w:rPr>
              <w:t>Nonclinical</w:t>
            </w:r>
            <w:r w:rsidR="00016A9B">
              <w:rPr>
                <w:noProof/>
                <w:webHidden/>
              </w:rPr>
              <w:tab/>
            </w:r>
            <w:r w:rsidR="00016A9B">
              <w:rPr>
                <w:noProof/>
                <w:webHidden/>
              </w:rPr>
              <w:fldChar w:fldCharType="begin"/>
            </w:r>
            <w:r w:rsidR="00016A9B">
              <w:rPr>
                <w:noProof/>
                <w:webHidden/>
              </w:rPr>
              <w:instrText xml:space="preserve"> PAGEREF _Toc132283597 \h </w:instrText>
            </w:r>
            <w:r w:rsidR="00016A9B">
              <w:rPr>
                <w:noProof/>
                <w:webHidden/>
              </w:rPr>
            </w:r>
            <w:r w:rsidR="00016A9B">
              <w:rPr>
                <w:noProof/>
                <w:webHidden/>
              </w:rPr>
              <w:fldChar w:fldCharType="separate"/>
            </w:r>
            <w:r>
              <w:rPr>
                <w:noProof/>
                <w:webHidden/>
              </w:rPr>
              <w:t>17</w:t>
            </w:r>
            <w:r w:rsidR="00016A9B">
              <w:rPr>
                <w:noProof/>
                <w:webHidden/>
              </w:rPr>
              <w:fldChar w:fldCharType="end"/>
            </w:r>
          </w:hyperlink>
        </w:p>
        <w:p w14:paraId="6370BA5C" w14:textId="5F8929C8" w:rsidR="00016A9B" w:rsidRDefault="006F12E8">
          <w:pPr>
            <w:pStyle w:val="TOC2"/>
            <w:rPr>
              <w:rFonts w:asciiTheme="minorHAnsi" w:eastAsiaTheme="minorEastAsia" w:hAnsiTheme="minorHAnsi" w:cstheme="minorBidi"/>
              <w:b w:val="0"/>
              <w:noProof/>
              <w:sz w:val="22"/>
              <w:lang w:eastAsia="en-AU"/>
            </w:rPr>
          </w:pPr>
          <w:hyperlink w:anchor="_Toc132283598" w:history="1">
            <w:r w:rsidR="00016A9B" w:rsidRPr="00533E3E">
              <w:rPr>
                <w:rStyle w:val="Hyperlink"/>
                <w:noProof/>
              </w:rPr>
              <w:t>Clinical</w:t>
            </w:r>
            <w:r w:rsidR="00016A9B">
              <w:rPr>
                <w:noProof/>
                <w:webHidden/>
              </w:rPr>
              <w:tab/>
            </w:r>
            <w:r w:rsidR="00016A9B">
              <w:rPr>
                <w:noProof/>
                <w:webHidden/>
              </w:rPr>
              <w:fldChar w:fldCharType="begin"/>
            </w:r>
            <w:r w:rsidR="00016A9B">
              <w:rPr>
                <w:noProof/>
                <w:webHidden/>
              </w:rPr>
              <w:instrText xml:space="preserve"> PAGEREF _Toc132283598 \h </w:instrText>
            </w:r>
            <w:r w:rsidR="00016A9B">
              <w:rPr>
                <w:noProof/>
                <w:webHidden/>
              </w:rPr>
            </w:r>
            <w:r w:rsidR="00016A9B">
              <w:rPr>
                <w:noProof/>
                <w:webHidden/>
              </w:rPr>
              <w:fldChar w:fldCharType="separate"/>
            </w:r>
            <w:r>
              <w:rPr>
                <w:noProof/>
                <w:webHidden/>
              </w:rPr>
              <w:t>17</w:t>
            </w:r>
            <w:r w:rsidR="00016A9B">
              <w:rPr>
                <w:noProof/>
                <w:webHidden/>
              </w:rPr>
              <w:fldChar w:fldCharType="end"/>
            </w:r>
          </w:hyperlink>
        </w:p>
        <w:p w14:paraId="76AA3D80" w14:textId="1A5F7C30" w:rsidR="00016A9B" w:rsidRDefault="006F12E8">
          <w:pPr>
            <w:pStyle w:val="TOC2"/>
            <w:rPr>
              <w:rFonts w:asciiTheme="minorHAnsi" w:eastAsiaTheme="minorEastAsia" w:hAnsiTheme="minorHAnsi" w:cstheme="minorBidi"/>
              <w:b w:val="0"/>
              <w:noProof/>
              <w:sz w:val="22"/>
              <w:lang w:eastAsia="en-AU"/>
            </w:rPr>
          </w:pPr>
          <w:hyperlink w:anchor="_Toc132283599" w:history="1">
            <w:r w:rsidR="00016A9B" w:rsidRPr="00533E3E">
              <w:rPr>
                <w:rStyle w:val="Hyperlink"/>
                <w:noProof/>
                <w:lang w:eastAsia="en-AU"/>
              </w:rPr>
              <w:t>Risk management plan</w:t>
            </w:r>
            <w:r w:rsidR="00016A9B">
              <w:rPr>
                <w:noProof/>
                <w:webHidden/>
              </w:rPr>
              <w:tab/>
            </w:r>
            <w:r w:rsidR="00016A9B">
              <w:rPr>
                <w:noProof/>
                <w:webHidden/>
              </w:rPr>
              <w:fldChar w:fldCharType="begin"/>
            </w:r>
            <w:r w:rsidR="00016A9B">
              <w:rPr>
                <w:noProof/>
                <w:webHidden/>
              </w:rPr>
              <w:instrText xml:space="preserve"> PAGEREF _Toc132283599 \h </w:instrText>
            </w:r>
            <w:r w:rsidR="00016A9B">
              <w:rPr>
                <w:noProof/>
                <w:webHidden/>
              </w:rPr>
            </w:r>
            <w:r w:rsidR="00016A9B">
              <w:rPr>
                <w:noProof/>
                <w:webHidden/>
              </w:rPr>
              <w:fldChar w:fldCharType="separate"/>
            </w:r>
            <w:r>
              <w:rPr>
                <w:noProof/>
                <w:webHidden/>
              </w:rPr>
              <w:t>51</w:t>
            </w:r>
            <w:r w:rsidR="00016A9B">
              <w:rPr>
                <w:noProof/>
                <w:webHidden/>
              </w:rPr>
              <w:fldChar w:fldCharType="end"/>
            </w:r>
          </w:hyperlink>
        </w:p>
        <w:p w14:paraId="7C064EC8" w14:textId="1366D986" w:rsidR="00016A9B" w:rsidRDefault="006F12E8">
          <w:pPr>
            <w:pStyle w:val="TOC2"/>
            <w:rPr>
              <w:rFonts w:asciiTheme="minorHAnsi" w:eastAsiaTheme="minorEastAsia" w:hAnsiTheme="minorHAnsi" w:cstheme="minorBidi"/>
              <w:b w:val="0"/>
              <w:noProof/>
              <w:sz w:val="22"/>
              <w:lang w:eastAsia="en-AU"/>
            </w:rPr>
          </w:pPr>
          <w:hyperlink w:anchor="_Toc132283600" w:history="1">
            <w:r w:rsidR="00016A9B" w:rsidRPr="00533E3E">
              <w:rPr>
                <w:rStyle w:val="Hyperlink"/>
                <w:noProof/>
              </w:rPr>
              <w:t>Risk-benefit analysis</w:t>
            </w:r>
            <w:r w:rsidR="00016A9B">
              <w:rPr>
                <w:noProof/>
                <w:webHidden/>
              </w:rPr>
              <w:tab/>
            </w:r>
            <w:r w:rsidR="00016A9B">
              <w:rPr>
                <w:noProof/>
                <w:webHidden/>
              </w:rPr>
              <w:fldChar w:fldCharType="begin"/>
            </w:r>
            <w:r w:rsidR="00016A9B">
              <w:rPr>
                <w:noProof/>
                <w:webHidden/>
              </w:rPr>
              <w:instrText xml:space="preserve"> PAGEREF _Toc132283600 \h </w:instrText>
            </w:r>
            <w:r w:rsidR="00016A9B">
              <w:rPr>
                <w:noProof/>
                <w:webHidden/>
              </w:rPr>
            </w:r>
            <w:r w:rsidR="00016A9B">
              <w:rPr>
                <w:noProof/>
                <w:webHidden/>
              </w:rPr>
              <w:fldChar w:fldCharType="separate"/>
            </w:r>
            <w:r>
              <w:rPr>
                <w:noProof/>
                <w:webHidden/>
              </w:rPr>
              <w:t>52</w:t>
            </w:r>
            <w:r w:rsidR="00016A9B">
              <w:rPr>
                <w:noProof/>
                <w:webHidden/>
              </w:rPr>
              <w:fldChar w:fldCharType="end"/>
            </w:r>
          </w:hyperlink>
        </w:p>
        <w:p w14:paraId="19095574" w14:textId="660812FF" w:rsidR="00016A9B" w:rsidRDefault="006F12E8">
          <w:pPr>
            <w:pStyle w:val="TOC1"/>
            <w:rPr>
              <w:rFonts w:asciiTheme="minorHAnsi" w:eastAsiaTheme="minorEastAsia" w:hAnsiTheme="minorHAnsi" w:cstheme="minorBidi"/>
              <w:b w:val="0"/>
              <w:noProof/>
              <w:sz w:val="22"/>
              <w:lang w:eastAsia="en-AU"/>
            </w:rPr>
          </w:pPr>
          <w:hyperlink w:anchor="_Toc132283601" w:history="1">
            <w:r w:rsidR="00016A9B" w:rsidRPr="00533E3E">
              <w:rPr>
                <w:rStyle w:val="Hyperlink"/>
                <w:noProof/>
              </w:rPr>
              <w:t>Outcome</w:t>
            </w:r>
            <w:r w:rsidR="00016A9B">
              <w:rPr>
                <w:noProof/>
                <w:webHidden/>
              </w:rPr>
              <w:tab/>
            </w:r>
            <w:r w:rsidR="00016A9B">
              <w:rPr>
                <w:noProof/>
                <w:webHidden/>
              </w:rPr>
              <w:fldChar w:fldCharType="begin"/>
            </w:r>
            <w:r w:rsidR="00016A9B">
              <w:rPr>
                <w:noProof/>
                <w:webHidden/>
              </w:rPr>
              <w:instrText xml:space="preserve"> PAGEREF _Toc132283601 \h </w:instrText>
            </w:r>
            <w:r w:rsidR="00016A9B">
              <w:rPr>
                <w:noProof/>
                <w:webHidden/>
              </w:rPr>
            </w:r>
            <w:r w:rsidR="00016A9B">
              <w:rPr>
                <w:noProof/>
                <w:webHidden/>
              </w:rPr>
              <w:fldChar w:fldCharType="separate"/>
            </w:r>
            <w:r>
              <w:rPr>
                <w:noProof/>
                <w:webHidden/>
              </w:rPr>
              <w:t>60</w:t>
            </w:r>
            <w:r w:rsidR="00016A9B">
              <w:rPr>
                <w:noProof/>
                <w:webHidden/>
              </w:rPr>
              <w:fldChar w:fldCharType="end"/>
            </w:r>
          </w:hyperlink>
        </w:p>
        <w:p w14:paraId="1620144A" w14:textId="4E90F317" w:rsidR="00016A9B" w:rsidRDefault="006F12E8">
          <w:pPr>
            <w:pStyle w:val="TOC2"/>
            <w:rPr>
              <w:rFonts w:asciiTheme="minorHAnsi" w:eastAsiaTheme="minorEastAsia" w:hAnsiTheme="minorHAnsi" w:cstheme="minorBidi"/>
              <w:b w:val="0"/>
              <w:noProof/>
              <w:sz w:val="22"/>
              <w:lang w:eastAsia="en-AU"/>
            </w:rPr>
          </w:pPr>
          <w:hyperlink w:anchor="_Toc132283602" w:history="1">
            <w:r w:rsidR="00016A9B" w:rsidRPr="00533E3E">
              <w:rPr>
                <w:rStyle w:val="Hyperlink"/>
                <w:noProof/>
              </w:rPr>
              <w:t>Specific conditions of registration applying to these goods</w:t>
            </w:r>
            <w:r w:rsidR="00016A9B">
              <w:rPr>
                <w:noProof/>
                <w:webHidden/>
              </w:rPr>
              <w:tab/>
            </w:r>
            <w:r w:rsidR="00016A9B">
              <w:rPr>
                <w:noProof/>
                <w:webHidden/>
              </w:rPr>
              <w:fldChar w:fldCharType="begin"/>
            </w:r>
            <w:r w:rsidR="00016A9B">
              <w:rPr>
                <w:noProof/>
                <w:webHidden/>
              </w:rPr>
              <w:instrText xml:space="preserve"> PAGEREF _Toc132283602 \h </w:instrText>
            </w:r>
            <w:r w:rsidR="00016A9B">
              <w:rPr>
                <w:noProof/>
                <w:webHidden/>
              </w:rPr>
            </w:r>
            <w:r w:rsidR="00016A9B">
              <w:rPr>
                <w:noProof/>
                <w:webHidden/>
              </w:rPr>
              <w:fldChar w:fldCharType="separate"/>
            </w:r>
            <w:r>
              <w:rPr>
                <w:noProof/>
                <w:webHidden/>
              </w:rPr>
              <w:t>63</w:t>
            </w:r>
            <w:r w:rsidR="00016A9B">
              <w:rPr>
                <w:noProof/>
                <w:webHidden/>
              </w:rPr>
              <w:fldChar w:fldCharType="end"/>
            </w:r>
          </w:hyperlink>
        </w:p>
        <w:p w14:paraId="67B729DB" w14:textId="37925834" w:rsidR="00016A9B" w:rsidRDefault="006F12E8">
          <w:pPr>
            <w:pStyle w:val="TOC1"/>
            <w:rPr>
              <w:rFonts w:asciiTheme="minorHAnsi" w:eastAsiaTheme="minorEastAsia" w:hAnsiTheme="minorHAnsi" w:cstheme="minorBidi"/>
              <w:b w:val="0"/>
              <w:noProof/>
              <w:sz w:val="22"/>
              <w:lang w:eastAsia="en-AU"/>
            </w:rPr>
          </w:pPr>
          <w:hyperlink w:anchor="_Toc132283603" w:history="1">
            <w:r w:rsidR="00016A9B" w:rsidRPr="00533E3E">
              <w:rPr>
                <w:rStyle w:val="Hyperlink"/>
                <w:noProof/>
              </w:rPr>
              <w:t>Attachment 1. Product Information</w:t>
            </w:r>
            <w:r w:rsidR="00016A9B">
              <w:rPr>
                <w:noProof/>
                <w:webHidden/>
              </w:rPr>
              <w:tab/>
            </w:r>
            <w:r w:rsidR="00016A9B">
              <w:rPr>
                <w:noProof/>
                <w:webHidden/>
              </w:rPr>
              <w:fldChar w:fldCharType="begin"/>
            </w:r>
            <w:r w:rsidR="00016A9B">
              <w:rPr>
                <w:noProof/>
                <w:webHidden/>
              </w:rPr>
              <w:instrText xml:space="preserve"> PAGEREF _Toc132283603 \h </w:instrText>
            </w:r>
            <w:r w:rsidR="00016A9B">
              <w:rPr>
                <w:noProof/>
                <w:webHidden/>
              </w:rPr>
            </w:r>
            <w:r w:rsidR="00016A9B">
              <w:rPr>
                <w:noProof/>
                <w:webHidden/>
              </w:rPr>
              <w:fldChar w:fldCharType="separate"/>
            </w:r>
            <w:r>
              <w:rPr>
                <w:noProof/>
                <w:webHidden/>
              </w:rPr>
              <w:t>63</w:t>
            </w:r>
            <w:r w:rsidR="00016A9B">
              <w:rPr>
                <w:noProof/>
                <w:webHidden/>
              </w:rPr>
              <w:fldChar w:fldCharType="end"/>
            </w:r>
          </w:hyperlink>
        </w:p>
        <w:p w14:paraId="16E51135" w14:textId="02FE7592" w:rsidR="003A7F6C" w:rsidRPr="00B811C6" w:rsidRDefault="00C525A2" w:rsidP="00EB36D6">
          <w:r>
            <w:fldChar w:fldCharType="end"/>
          </w:r>
        </w:p>
      </w:sdtContent>
    </w:sdt>
    <w:bookmarkStart w:id="2" w:name="_Toc314842482" w:displacedByCustomXml="prev"/>
    <w:p w14:paraId="6CD1D639" w14:textId="77777777" w:rsidR="00FD119B" w:rsidRDefault="00FD119B">
      <w:pPr>
        <w:spacing w:before="0" w:after="200" w:line="0" w:lineRule="auto"/>
      </w:pPr>
      <w:r>
        <w:br w:type="page"/>
      </w:r>
    </w:p>
    <w:p w14:paraId="49143CD8" w14:textId="77777777" w:rsidR="00AF2313" w:rsidRDefault="00AF2313" w:rsidP="00AF2313">
      <w:pPr>
        <w:pStyle w:val="Heading2"/>
      </w:pPr>
      <w:bookmarkStart w:id="3" w:name="_Toc98931917"/>
      <w:bookmarkStart w:id="4" w:name="_Toc132283588"/>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AF2313" w14:paraId="3D94595F"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21E7CF36" w14:textId="77777777" w:rsidR="00AF2313" w:rsidRDefault="00AF2313">
            <w:pPr>
              <w:rPr>
                <w:color w:val="FFFFFF"/>
              </w:rPr>
            </w:pPr>
            <w:r>
              <w:t>Abbreviation</w:t>
            </w:r>
          </w:p>
        </w:tc>
        <w:tc>
          <w:tcPr>
            <w:tcW w:w="3282" w:type="pct"/>
            <w:hideMark/>
          </w:tcPr>
          <w:p w14:paraId="55050B6E" w14:textId="77777777" w:rsidR="00AF2313" w:rsidRDefault="00AF2313">
            <w:r>
              <w:t>Meaning</w:t>
            </w:r>
          </w:p>
        </w:tc>
      </w:tr>
      <w:tr w:rsidR="002054FF" w14:paraId="3679282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F356641" w14:textId="672D6E62" w:rsidR="002054FF" w:rsidRDefault="002054FF" w:rsidP="002054FF">
            <w:r>
              <w:t>ACM</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EA0B629" w14:textId="2D5DD54C" w:rsidR="002054FF" w:rsidRDefault="002054FF" w:rsidP="002054FF">
            <w:r>
              <w:t>Advisory Committee on Medicines</w:t>
            </w:r>
          </w:p>
        </w:tc>
      </w:tr>
      <w:tr w:rsidR="002054FF" w14:paraId="79414A1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105164F" w14:textId="2E197904" w:rsidR="002054FF" w:rsidRDefault="002054FF" w:rsidP="002054FF">
            <w:r>
              <w:t>A</w:t>
            </w:r>
            <w:r w:rsidR="00CA6C4A">
              <w:t>E</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B35C7DE" w14:textId="2DF8961F" w:rsidR="002054FF" w:rsidRDefault="00CA6C4A" w:rsidP="002054FF">
            <w:r>
              <w:t>Adverse events</w:t>
            </w:r>
          </w:p>
        </w:tc>
      </w:tr>
      <w:tr w:rsidR="00002DD5" w14:paraId="1404CA6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7C68563" w14:textId="680AF579" w:rsidR="00002DD5" w:rsidRDefault="003E7169" w:rsidP="002054FF">
            <w:r>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05F7F1D2" w14:textId="492D86B7" w:rsidR="00002DD5" w:rsidRDefault="00002DD5" w:rsidP="002054FF">
            <w:r w:rsidRPr="00002DD5">
              <w:t>Adverse events of special interest</w:t>
            </w:r>
          </w:p>
        </w:tc>
      </w:tr>
      <w:tr w:rsidR="007A6670" w14:paraId="01B08B3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161B4E0" w14:textId="72E92C52" w:rsidR="007A6670" w:rsidRDefault="007A6670" w:rsidP="002054FF">
            <w:r w:rsidRPr="00B15E60">
              <w:t>ALT</w:t>
            </w:r>
          </w:p>
        </w:tc>
        <w:tc>
          <w:tcPr>
            <w:tcW w:w="3987" w:type="pct"/>
            <w:gridSpan w:val="2"/>
            <w:tcBorders>
              <w:top w:val="single" w:sz="8" w:space="0" w:color="002C47"/>
              <w:left w:val="single" w:sz="8" w:space="0" w:color="002C47"/>
              <w:bottom w:val="single" w:sz="8" w:space="0" w:color="002C47"/>
              <w:right w:val="single" w:sz="8" w:space="0" w:color="002C47"/>
            </w:tcBorders>
          </w:tcPr>
          <w:p w14:paraId="3C64CA45" w14:textId="381DDB51" w:rsidR="007A6670" w:rsidRDefault="007A6670" w:rsidP="002054FF">
            <w:r>
              <w:t>Alanine aminotransferase</w:t>
            </w:r>
          </w:p>
        </w:tc>
      </w:tr>
      <w:tr w:rsidR="002054FF" w14:paraId="37008DF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8C44845" w14:textId="1D7A0012" w:rsidR="002054FF" w:rsidRDefault="002054FF" w:rsidP="002054FF">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D1558E7" w14:textId="740E6585" w:rsidR="002054FF" w:rsidRDefault="002054FF" w:rsidP="002054FF">
            <w:r>
              <w:t>Australian Register of Therapeutic Goods</w:t>
            </w:r>
          </w:p>
        </w:tc>
      </w:tr>
      <w:tr w:rsidR="000615D2" w14:paraId="52A9406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4422B0A" w14:textId="243D08D7" w:rsidR="000615D2" w:rsidRDefault="000615D2" w:rsidP="000615D2">
            <w:pPr>
              <w:rPr>
                <w:highlight w:val="yellow"/>
              </w:rPr>
            </w:pPr>
            <w:r w:rsidRPr="00B5249B">
              <w:t>CI</w:t>
            </w:r>
          </w:p>
        </w:tc>
        <w:tc>
          <w:tcPr>
            <w:tcW w:w="3987" w:type="pct"/>
            <w:gridSpan w:val="2"/>
            <w:tcBorders>
              <w:top w:val="single" w:sz="8" w:space="0" w:color="002C47"/>
              <w:left w:val="single" w:sz="8" w:space="0" w:color="002C47"/>
              <w:bottom w:val="single" w:sz="8" w:space="0" w:color="002C47"/>
              <w:right w:val="single" w:sz="8" w:space="0" w:color="002C47"/>
            </w:tcBorders>
          </w:tcPr>
          <w:p w14:paraId="7979D9E6" w14:textId="7661A333" w:rsidR="000615D2" w:rsidRPr="00BF2685" w:rsidRDefault="000615D2" w:rsidP="000615D2">
            <w:r w:rsidRPr="00B5249B">
              <w:t>C</w:t>
            </w:r>
            <w:r>
              <w:t>onfidence interval</w:t>
            </w:r>
          </w:p>
        </w:tc>
      </w:tr>
      <w:tr w:rsidR="00BF2685" w14:paraId="3AFF9CB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757E26D" w14:textId="613B3B03" w:rsidR="00BF2685" w:rsidRPr="009A5688" w:rsidRDefault="00BF2685" w:rsidP="002054FF">
            <w:pPr>
              <w:rPr>
                <w:highlight w:val="yellow"/>
              </w:rPr>
            </w:pPr>
            <w:r w:rsidRPr="00B15E60">
              <w:t>CPS</w:t>
            </w:r>
          </w:p>
        </w:tc>
        <w:tc>
          <w:tcPr>
            <w:tcW w:w="3987" w:type="pct"/>
            <w:gridSpan w:val="2"/>
            <w:tcBorders>
              <w:top w:val="single" w:sz="8" w:space="0" w:color="002C47"/>
              <w:left w:val="single" w:sz="8" w:space="0" w:color="002C47"/>
              <w:bottom w:val="single" w:sz="8" w:space="0" w:color="002C47"/>
              <w:right w:val="single" w:sz="8" w:space="0" w:color="002C47"/>
            </w:tcBorders>
          </w:tcPr>
          <w:p w14:paraId="4196386E" w14:textId="618B44E7" w:rsidR="00BF2685" w:rsidRDefault="00BF2685" w:rsidP="002054FF">
            <w:r w:rsidRPr="00BF2685">
              <w:t>Combined positive score</w:t>
            </w:r>
          </w:p>
        </w:tc>
      </w:tr>
      <w:tr w:rsidR="00315EDB" w14:paraId="3D6EA68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D6858FE" w14:textId="2932D30D" w:rsidR="00315EDB" w:rsidRDefault="00315EDB" w:rsidP="002054FF">
            <w:pPr>
              <w:rPr>
                <w:highlight w:val="yellow"/>
              </w:rPr>
            </w:pPr>
            <w:proofErr w:type="spellStart"/>
            <w:r w:rsidRPr="00B15E60">
              <w:t>dMMR</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772ABBAC" w14:textId="788DF93F" w:rsidR="00315EDB" w:rsidRPr="00BF2685" w:rsidRDefault="00315EDB" w:rsidP="002054FF">
            <w:r>
              <w:t>M</w:t>
            </w:r>
            <w:r w:rsidRPr="00EF1E18">
              <w:t>ismatch repair deficient</w:t>
            </w:r>
          </w:p>
        </w:tc>
      </w:tr>
      <w:tr w:rsidR="00DF0E81" w14:paraId="1DEFC62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E11629D" w14:textId="1292782E" w:rsidR="00DF0E81" w:rsidRDefault="00DF0E81" w:rsidP="002054FF">
            <w:r>
              <w:t>ECOG PS</w:t>
            </w:r>
          </w:p>
        </w:tc>
        <w:tc>
          <w:tcPr>
            <w:tcW w:w="3987" w:type="pct"/>
            <w:gridSpan w:val="2"/>
            <w:tcBorders>
              <w:top w:val="single" w:sz="8" w:space="0" w:color="002C47"/>
              <w:left w:val="single" w:sz="8" w:space="0" w:color="002C47"/>
              <w:bottom w:val="single" w:sz="8" w:space="0" w:color="002C47"/>
              <w:right w:val="single" w:sz="8" w:space="0" w:color="002C47"/>
            </w:tcBorders>
          </w:tcPr>
          <w:p w14:paraId="0C01037F" w14:textId="5CEB6B4F" w:rsidR="00DF0E81" w:rsidRDefault="00DF0E81" w:rsidP="002054FF">
            <w:r w:rsidRPr="00DF0E81">
              <w:t>Eastern Cooperative Oncology Group performance status</w:t>
            </w:r>
          </w:p>
        </w:tc>
      </w:tr>
      <w:tr w:rsidR="002054FF" w14:paraId="6AD5E30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4F854443" w14:textId="6E3EC4F0" w:rsidR="002054FF" w:rsidRDefault="002054FF" w:rsidP="002054FF">
            <w:r>
              <w:t>EFS</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698B148" w14:textId="7A2AECAD" w:rsidR="002054FF" w:rsidRDefault="002054FF" w:rsidP="002054FF">
            <w:r w:rsidDel="00E53242">
              <w:t>Event</w:t>
            </w:r>
            <w:r w:rsidR="00E53242">
              <w:t>-free survival</w:t>
            </w:r>
          </w:p>
        </w:tc>
      </w:tr>
      <w:tr w:rsidR="00E01109" w14:paraId="77B376E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9B66D5A" w14:textId="3AE6836B" w:rsidR="00E01109" w:rsidRDefault="00E01109" w:rsidP="002054FF">
            <w: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368DC460" w14:textId="3BB302E8" w:rsidR="00E01109" w:rsidRDefault="00B15E60" w:rsidP="002054FF">
            <w:r>
              <w:t>European Medicines Agency</w:t>
            </w:r>
            <w:r w:rsidR="003E7169">
              <w:t xml:space="preserve"> (European Union)</w:t>
            </w:r>
          </w:p>
        </w:tc>
      </w:tr>
      <w:tr w:rsidR="005D1D9C" w14:paraId="1A9C88D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D1A3CB0" w14:textId="33BB81F6" w:rsidR="005D1D9C" w:rsidRDefault="005D1D9C" w:rsidP="002054FF">
            <w:r>
              <w:t>EORTC QLQ</w:t>
            </w:r>
          </w:p>
        </w:tc>
        <w:tc>
          <w:tcPr>
            <w:tcW w:w="3987" w:type="pct"/>
            <w:gridSpan w:val="2"/>
            <w:tcBorders>
              <w:top w:val="single" w:sz="8" w:space="0" w:color="002C47"/>
              <w:left w:val="single" w:sz="8" w:space="0" w:color="002C47"/>
              <w:bottom w:val="single" w:sz="8" w:space="0" w:color="002C47"/>
              <w:right w:val="single" w:sz="8" w:space="0" w:color="002C47"/>
            </w:tcBorders>
          </w:tcPr>
          <w:p w14:paraId="22971F67" w14:textId="3E30371C" w:rsidR="005D1D9C" w:rsidRDefault="005D1D9C" w:rsidP="002054FF">
            <w:r>
              <w:t>European Organisation for Research and Treatment of Cancer Quality of Life Questionnaire</w:t>
            </w:r>
          </w:p>
        </w:tc>
      </w:tr>
      <w:tr w:rsidR="00FA69AC" w14:paraId="7FF2D3D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F1FE230" w14:textId="61F9D731" w:rsidR="00FA69AC" w:rsidRDefault="00FA69AC" w:rsidP="002054FF">
            <w:r>
              <w:t>FA</w:t>
            </w:r>
          </w:p>
        </w:tc>
        <w:tc>
          <w:tcPr>
            <w:tcW w:w="3987" w:type="pct"/>
            <w:gridSpan w:val="2"/>
            <w:tcBorders>
              <w:top w:val="single" w:sz="8" w:space="0" w:color="002C47"/>
              <w:left w:val="single" w:sz="8" w:space="0" w:color="002C47"/>
              <w:bottom w:val="single" w:sz="8" w:space="0" w:color="002C47"/>
              <w:right w:val="single" w:sz="8" w:space="0" w:color="002C47"/>
            </w:tcBorders>
          </w:tcPr>
          <w:p w14:paraId="253511A6" w14:textId="29F175CF" w:rsidR="00FA69AC" w:rsidRDefault="00FA69AC" w:rsidP="002054FF">
            <w:r>
              <w:t>Final analysis</w:t>
            </w:r>
          </w:p>
        </w:tc>
      </w:tr>
      <w:tr w:rsidR="00591597" w14:paraId="7C2C9FE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B2A5BD0" w14:textId="1424D4C8" w:rsidR="00591597" w:rsidRDefault="00591597" w:rsidP="002054FF">
            <w:r>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4310F24F" w14:textId="57458387" w:rsidR="00591597" w:rsidRDefault="00591597" w:rsidP="002054FF">
            <w:r>
              <w:t>Food and Drug Administration</w:t>
            </w:r>
            <w:r w:rsidR="00F273B7">
              <w:t xml:space="preserve"> (United States of America)</w:t>
            </w:r>
          </w:p>
        </w:tc>
      </w:tr>
      <w:tr w:rsidR="002054FF" w14:paraId="69EE246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3782D40" w14:textId="3C4E6509" w:rsidR="002054FF" w:rsidRDefault="002054FF" w:rsidP="002054FF">
            <w:r>
              <w:t>HER2</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46CB87B" w14:textId="1F31E01F" w:rsidR="002054FF" w:rsidRDefault="002054FF" w:rsidP="002054FF">
            <w:r>
              <w:t>Human epidermal growth factor receptor 2</w:t>
            </w:r>
          </w:p>
        </w:tc>
      </w:tr>
      <w:tr w:rsidR="00DF0E81" w14:paraId="19FBEA8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C9B38B2" w14:textId="6872AD13" w:rsidR="00DF0E81" w:rsidRDefault="00DF0E81" w:rsidP="002054FF">
            <w:r w:rsidRPr="00A056E9">
              <w:t>HR</w:t>
            </w:r>
          </w:p>
        </w:tc>
        <w:tc>
          <w:tcPr>
            <w:tcW w:w="3987" w:type="pct"/>
            <w:gridSpan w:val="2"/>
            <w:tcBorders>
              <w:top w:val="single" w:sz="8" w:space="0" w:color="002C47"/>
              <w:left w:val="single" w:sz="8" w:space="0" w:color="002C47"/>
              <w:bottom w:val="single" w:sz="8" w:space="0" w:color="002C47"/>
              <w:right w:val="single" w:sz="8" w:space="0" w:color="002C47"/>
            </w:tcBorders>
          </w:tcPr>
          <w:p w14:paraId="39DACD1F" w14:textId="288210FA" w:rsidR="00DF0E81" w:rsidRDefault="00DF0E81" w:rsidP="002054FF">
            <w:r>
              <w:t>Hazard ratio</w:t>
            </w:r>
          </w:p>
        </w:tc>
      </w:tr>
      <w:tr w:rsidR="00EA0EBF" w14:paraId="3DEAFC3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0B7EBDD" w14:textId="3F288884" w:rsidR="00EA0EBF" w:rsidRDefault="00EA0EBF" w:rsidP="002054FF">
            <w:r>
              <w:t>IA</w:t>
            </w:r>
          </w:p>
        </w:tc>
        <w:tc>
          <w:tcPr>
            <w:tcW w:w="3987" w:type="pct"/>
            <w:gridSpan w:val="2"/>
            <w:tcBorders>
              <w:top w:val="single" w:sz="8" w:space="0" w:color="002C47"/>
              <w:left w:val="single" w:sz="8" w:space="0" w:color="002C47"/>
              <w:bottom w:val="single" w:sz="8" w:space="0" w:color="002C47"/>
              <w:right w:val="single" w:sz="8" w:space="0" w:color="002C47"/>
            </w:tcBorders>
          </w:tcPr>
          <w:p w14:paraId="6AE06762" w14:textId="7481D676" w:rsidR="00EA0EBF" w:rsidRDefault="00560AD6" w:rsidP="002054FF">
            <w:r>
              <w:t>Interim analysis</w:t>
            </w:r>
          </w:p>
        </w:tc>
      </w:tr>
      <w:tr w:rsidR="00EF09D1" w14:paraId="35B51AC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700BC30" w14:textId="56E60713" w:rsidR="00EF09D1" w:rsidRDefault="00EF09D1" w:rsidP="002054FF">
            <w:r>
              <w:t>IHC</w:t>
            </w:r>
          </w:p>
        </w:tc>
        <w:tc>
          <w:tcPr>
            <w:tcW w:w="3987" w:type="pct"/>
            <w:gridSpan w:val="2"/>
            <w:tcBorders>
              <w:top w:val="single" w:sz="8" w:space="0" w:color="002C47"/>
              <w:left w:val="single" w:sz="8" w:space="0" w:color="002C47"/>
              <w:bottom w:val="single" w:sz="8" w:space="0" w:color="002C47"/>
              <w:right w:val="single" w:sz="8" w:space="0" w:color="002C47"/>
            </w:tcBorders>
          </w:tcPr>
          <w:p w14:paraId="42403EC6" w14:textId="51AA4F46" w:rsidR="00EF09D1" w:rsidRDefault="00EF09D1" w:rsidP="002054FF">
            <w:r>
              <w:t>I</w:t>
            </w:r>
            <w:r w:rsidRPr="004F3758">
              <w:t>mmunohistochemistry</w:t>
            </w:r>
          </w:p>
        </w:tc>
      </w:tr>
      <w:tr w:rsidR="00E01109" w14:paraId="1A8824E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9292BC8" w14:textId="524BC37D" w:rsidR="00E01109" w:rsidRDefault="00E01109" w:rsidP="002054FF">
            <w:r>
              <w:t>IV</w:t>
            </w:r>
          </w:p>
        </w:tc>
        <w:tc>
          <w:tcPr>
            <w:tcW w:w="3987" w:type="pct"/>
            <w:gridSpan w:val="2"/>
            <w:tcBorders>
              <w:top w:val="single" w:sz="8" w:space="0" w:color="002C47"/>
              <w:left w:val="single" w:sz="8" w:space="0" w:color="002C47"/>
              <w:bottom w:val="single" w:sz="8" w:space="0" w:color="002C47"/>
              <w:right w:val="single" w:sz="8" w:space="0" w:color="002C47"/>
            </w:tcBorders>
          </w:tcPr>
          <w:p w14:paraId="2B814D88" w14:textId="6F1FE37D" w:rsidR="00E01109" w:rsidRDefault="00E01109" w:rsidP="002054FF">
            <w:r>
              <w:t>Intravenous</w:t>
            </w:r>
          </w:p>
        </w:tc>
      </w:tr>
      <w:tr w:rsidR="00FD0662" w14:paraId="5C69160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BC69351" w14:textId="21B5AC28" w:rsidR="00FD0662" w:rsidRDefault="00FD0662" w:rsidP="002054FF">
            <w:r>
              <w:t>ITT</w:t>
            </w:r>
          </w:p>
        </w:tc>
        <w:tc>
          <w:tcPr>
            <w:tcW w:w="3987" w:type="pct"/>
            <w:gridSpan w:val="2"/>
            <w:tcBorders>
              <w:top w:val="single" w:sz="8" w:space="0" w:color="002C47"/>
              <w:left w:val="single" w:sz="8" w:space="0" w:color="002C47"/>
              <w:bottom w:val="single" w:sz="8" w:space="0" w:color="002C47"/>
              <w:right w:val="single" w:sz="8" w:space="0" w:color="002C47"/>
            </w:tcBorders>
          </w:tcPr>
          <w:p w14:paraId="4C0E51E8" w14:textId="307FA71B" w:rsidR="00FD0662" w:rsidRDefault="009425AA" w:rsidP="002054FF">
            <w:r>
              <w:t>Intent to treat</w:t>
            </w:r>
          </w:p>
        </w:tc>
      </w:tr>
      <w:tr w:rsidR="00E012C7" w14:paraId="13D40CA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F82F492" w14:textId="1EEE046C" w:rsidR="00E012C7" w:rsidRDefault="00002DD5" w:rsidP="002054FF">
            <w:r>
              <w:t>NSCLC</w:t>
            </w:r>
          </w:p>
        </w:tc>
        <w:tc>
          <w:tcPr>
            <w:tcW w:w="3987" w:type="pct"/>
            <w:gridSpan w:val="2"/>
            <w:tcBorders>
              <w:top w:val="single" w:sz="8" w:space="0" w:color="002C47"/>
              <w:left w:val="single" w:sz="8" w:space="0" w:color="002C47"/>
              <w:bottom w:val="single" w:sz="8" w:space="0" w:color="002C47"/>
              <w:right w:val="single" w:sz="8" w:space="0" w:color="002C47"/>
            </w:tcBorders>
          </w:tcPr>
          <w:p w14:paraId="7DED4DF1" w14:textId="342C06EA" w:rsidR="00E012C7" w:rsidRDefault="00EF3EF6" w:rsidP="002054FF">
            <w:r>
              <w:t>Non-small cell lung cancer</w:t>
            </w:r>
          </w:p>
        </w:tc>
      </w:tr>
      <w:tr w:rsidR="00315EDB" w14:paraId="51DD796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159F3D7" w14:textId="68FBB90D" w:rsidR="00315EDB" w:rsidRDefault="00315EDB" w:rsidP="002054FF">
            <w:r>
              <w:t>MSI-H</w:t>
            </w:r>
          </w:p>
        </w:tc>
        <w:tc>
          <w:tcPr>
            <w:tcW w:w="3987" w:type="pct"/>
            <w:gridSpan w:val="2"/>
            <w:tcBorders>
              <w:top w:val="single" w:sz="8" w:space="0" w:color="002C47"/>
              <w:left w:val="single" w:sz="8" w:space="0" w:color="002C47"/>
              <w:bottom w:val="single" w:sz="8" w:space="0" w:color="002C47"/>
              <w:right w:val="single" w:sz="8" w:space="0" w:color="002C47"/>
            </w:tcBorders>
          </w:tcPr>
          <w:p w14:paraId="52EC64A2" w14:textId="643CE124" w:rsidR="00315EDB" w:rsidRDefault="00315EDB" w:rsidP="002054FF">
            <w:r>
              <w:t xml:space="preserve">High </w:t>
            </w:r>
            <w:r w:rsidRPr="00EF1E18">
              <w:t>microsatellite instability</w:t>
            </w:r>
          </w:p>
        </w:tc>
      </w:tr>
      <w:tr w:rsidR="002054FF" w14:paraId="332ED8D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FF7FFA0" w14:textId="576FD9DB" w:rsidR="002054FF" w:rsidRDefault="002054FF" w:rsidP="002054FF">
            <w:pPr>
              <w:rPr>
                <w:color w:val="000000"/>
              </w:rPr>
            </w:pPr>
            <w:r>
              <w:t>OS</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8168667" w14:textId="6385F5F1" w:rsidR="002054FF" w:rsidRDefault="002054FF" w:rsidP="002054FF">
            <w:r>
              <w:t>Overall survival</w:t>
            </w:r>
          </w:p>
        </w:tc>
      </w:tr>
      <w:tr w:rsidR="002054FF" w14:paraId="0014705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8956150" w14:textId="2B26A820" w:rsidR="002054FF" w:rsidRPr="009A5688" w:rsidRDefault="002054FF" w:rsidP="002054FF">
            <w:proofErr w:type="spellStart"/>
            <w:r>
              <w:t>pCR</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65C2DFE6" w14:textId="050CAA66" w:rsidR="002054FF" w:rsidRPr="009A5688" w:rsidRDefault="002054FF" w:rsidP="002054FF">
            <w:r>
              <w:t>P</w:t>
            </w:r>
            <w:r w:rsidRPr="009A5688">
              <w:t>athological complete response</w:t>
            </w:r>
          </w:p>
        </w:tc>
      </w:tr>
      <w:tr w:rsidR="00355AA0" w14:paraId="39A7AC7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7AD0155" w14:textId="77777777" w:rsidR="00355AA0" w:rsidRDefault="00E33534" w:rsidP="002054FF">
            <w:r>
              <w:lastRenderedPageBreak/>
              <w:t>PD-1</w:t>
            </w:r>
          </w:p>
        </w:tc>
        <w:tc>
          <w:tcPr>
            <w:tcW w:w="3987" w:type="pct"/>
            <w:gridSpan w:val="2"/>
            <w:tcBorders>
              <w:top w:val="single" w:sz="8" w:space="0" w:color="002C47"/>
              <w:left w:val="single" w:sz="8" w:space="0" w:color="002C47"/>
              <w:bottom w:val="single" w:sz="8" w:space="0" w:color="002C47"/>
              <w:right w:val="single" w:sz="8" w:space="0" w:color="002C47"/>
            </w:tcBorders>
          </w:tcPr>
          <w:p w14:paraId="1318CE1B" w14:textId="72D00FAD" w:rsidR="00355AA0" w:rsidRDefault="00E33534" w:rsidP="002054FF">
            <w:r>
              <w:t>Programmed cell death receptor</w:t>
            </w:r>
          </w:p>
        </w:tc>
      </w:tr>
      <w:tr w:rsidR="00E33534" w14:paraId="1835D60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EE86A3B" w14:textId="0195D16E" w:rsidR="00E33534" w:rsidRDefault="00E33534" w:rsidP="00E33534">
            <w:r>
              <w:t>PD</w:t>
            </w:r>
            <w:r>
              <w:noBreakHyphen/>
              <w:t>L1</w:t>
            </w:r>
          </w:p>
        </w:tc>
        <w:tc>
          <w:tcPr>
            <w:tcW w:w="3987" w:type="pct"/>
            <w:gridSpan w:val="2"/>
            <w:tcBorders>
              <w:top w:val="single" w:sz="8" w:space="0" w:color="002C47"/>
              <w:left w:val="single" w:sz="8" w:space="0" w:color="002C47"/>
              <w:bottom w:val="single" w:sz="8" w:space="0" w:color="002C47"/>
              <w:right w:val="single" w:sz="8" w:space="0" w:color="002C47"/>
            </w:tcBorders>
          </w:tcPr>
          <w:p w14:paraId="554020C4" w14:textId="6B9027F9" w:rsidR="00E33534" w:rsidRDefault="00E33534" w:rsidP="00E33534">
            <w:r>
              <w:t>Programmed cell death ligand-1</w:t>
            </w:r>
          </w:p>
        </w:tc>
      </w:tr>
      <w:tr w:rsidR="00E33534" w14:paraId="0D8A364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7818363" w14:textId="2C8735F2" w:rsidR="00E33534" w:rsidRDefault="00E33534" w:rsidP="00E33534">
            <w:r>
              <w:t>PD-L2</w:t>
            </w:r>
          </w:p>
        </w:tc>
        <w:tc>
          <w:tcPr>
            <w:tcW w:w="3987" w:type="pct"/>
            <w:gridSpan w:val="2"/>
            <w:tcBorders>
              <w:top w:val="single" w:sz="8" w:space="0" w:color="002C47"/>
              <w:left w:val="single" w:sz="8" w:space="0" w:color="002C47"/>
              <w:bottom w:val="single" w:sz="8" w:space="0" w:color="002C47"/>
              <w:right w:val="single" w:sz="8" w:space="0" w:color="002C47"/>
            </w:tcBorders>
          </w:tcPr>
          <w:p w14:paraId="4E9A3904" w14:textId="3A9706BF" w:rsidR="00E33534" w:rsidRDefault="00E33534" w:rsidP="00E33534">
            <w:r>
              <w:t>Programmed cell death ligand-2</w:t>
            </w:r>
          </w:p>
        </w:tc>
      </w:tr>
      <w:tr w:rsidR="00E33534" w14:paraId="1556562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2DD06B6" w14:textId="2C347382" w:rsidR="00E33534" w:rsidRDefault="00E33534" w:rsidP="00E33534">
            <w:r>
              <w:t>PFS</w:t>
            </w:r>
          </w:p>
        </w:tc>
        <w:tc>
          <w:tcPr>
            <w:tcW w:w="3987" w:type="pct"/>
            <w:gridSpan w:val="2"/>
            <w:tcBorders>
              <w:top w:val="single" w:sz="8" w:space="0" w:color="002C47"/>
              <w:left w:val="single" w:sz="8" w:space="0" w:color="002C47"/>
              <w:bottom w:val="single" w:sz="8" w:space="0" w:color="002C47"/>
              <w:right w:val="single" w:sz="8" w:space="0" w:color="002C47"/>
            </w:tcBorders>
          </w:tcPr>
          <w:p w14:paraId="345754A0" w14:textId="73400B6E" w:rsidR="00E33534" w:rsidRDefault="00E33534" w:rsidP="00E33534">
            <w:r>
              <w:t>Progression free survival</w:t>
            </w:r>
          </w:p>
        </w:tc>
      </w:tr>
      <w:tr w:rsidR="00E33534" w14:paraId="019C0A4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E7B2314" w14:textId="030C5B49" w:rsidR="00E33534" w:rsidRDefault="00E33534" w:rsidP="00E33534">
            <w:r>
              <w:t>PT</w:t>
            </w:r>
          </w:p>
        </w:tc>
        <w:tc>
          <w:tcPr>
            <w:tcW w:w="3987" w:type="pct"/>
            <w:gridSpan w:val="2"/>
            <w:tcBorders>
              <w:top w:val="single" w:sz="8" w:space="0" w:color="002C47"/>
              <w:left w:val="single" w:sz="8" w:space="0" w:color="002C47"/>
              <w:bottom w:val="single" w:sz="8" w:space="0" w:color="002C47"/>
              <w:right w:val="single" w:sz="8" w:space="0" w:color="002C47"/>
            </w:tcBorders>
          </w:tcPr>
          <w:p w14:paraId="34FDA47C" w14:textId="1A8A6975" w:rsidR="00E33534" w:rsidRDefault="00A056E9" w:rsidP="00E33534">
            <w:r>
              <w:t>Preferred Term</w:t>
            </w:r>
          </w:p>
        </w:tc>
      </w:tr>
      <w:tr w:rsidR="00E33534" w14:paraId="75AA5BA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879D86A" w14:textId="238B8F1B" w:rsidR="00E33534" w:rsidRDefault="00E33534" w:rsidP="00E33534">
            <w:r>
              <w:t>RMP</w:t>
            </w:r>
          </w:p>
        </w:tc>
        <w:tc>
          <w:tcPr>
            <w:tcW w:w="3987" w:type="pct"/>
            <w:gridSpan w:val="2"/>
            <w:tcBorders>
              <w:top w:val="single" w:sz="8" w:space="0" w:color="002C47"/>
              <w:left w:val="single" w:sz="8" w:space="0" w:color="002C47"/>
              <w:bottom w:val="single" w:sz="8" w:space="0" w:color="002C47"/>
              <w:right w:val="single" w:sz="8" w:space="0" w:color="002C47"/>
            </w:tcBorders>
          </w:tcPr>
          <w:p w14:paraId="45700631" w14:textId="3BFDCC83" w:rsidR="00E33534" w:rsidRDefault="00E33534" w:rsidP="00E33534">
            <w:r>
              <w:t>Risk management plan</w:t>
            </w:r>
          </w:p>
        </w:tc>
      </w:tr>
      <w:tr w:rsidR="00E33534" w14:paraId="35D606C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ABA8DA8" w14:textId="507C5180" w:rsidR="00E33534" w:rsidRDefault="00E33534" w:rsidP="00E33534">
            <w:r>
              <w:t>SAE</w:t>
            </w:r>
          </w:p>
        </w:tc>
        <w:tc>
          <w:tcPr>
            <w:tcW w:w="3987" w:type="pct"/>
            <w:gridSpan w:val="2"/>
            <w:tcBorders>
              <w:top w:val="single" w:sz="8" w:space="0" w:color="002C47"/>
              <w:left w:val="single" w:sz="8" w:space="0" w:color="002C47"/>
              <w:bottom w:val="single" w:sz="8" w:space="0" w:color="002C47"/>
              <w:right w:val="single" w:sz="8" w:space="0" w:color="002C47"/>
            </w:tcBorders>
          </w:tcPr>
          <w:p w14:paraId="71D93BBF" w14:textId="06DBFC38" w:rsidR="00E33534" w:rsidRDefault="00E33534" w:rsidP="00E33534">
            <w:r>
              <w:t>Serious adverse event</w:t>
            </w:r>
          </w:p>
        </w:tc>
      </w:tr>
      <w:tr w:rsidR="00E33534" w14:paraId="689AD79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5EB65FF" w14:textId="174D4B39" w:rsidR="00E33534" w:rsidRDefault="00E33534" w:rsidP="00E33534">
            <w:r>
              <w:t>TGA</w:t>
            </w:r>
          </w:p>
        </w:tc>
        <w:tc>
          <w:tcPr>
            <w:tcW w:w="3987" w:type="pct"/>
            <w:gridSpan w:val="2"/>
            <w:tcBorders>
              <w:top w:val="single" w:sz="8" w:space="0" w:color="002C47"/>
              <w:left w:val="single" w:sz="8" w:space="0" w:color="002C47"/>
              <w:bottom w:val="single" w:sz="8" w:space="0" w:color="002C47"/>
              <w:right w:val="single" w:sz="8" w:space="0" w:color="002C47"/>
            </w:tcBorders>
          </w:tcPr>
          <w:p w14:paraId="02B4AE99" w14:textId="0B4B76E4" w:rsidR="00E33534" w:rsidRDefault="00E33534" w:rsidP="00E33534">
            <w:r>
              <w:t>Therapeutic Goods Administration</w:t>
            </w:r>
          </w:p>
        </w:tc>
      </w:tr>
      <w:tr w:rsidR="00E33534" w14:paraId="05916961"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526147C" w14:textId="368464DD" w:rsidR="00E33534" w:rsidRDefault="00E33534" w:rsidP="00E33534">
            <w:r>
              <w:rPr>
                <w:color w:val="000000"/>
              </w:rPr>
              <w:t>TNBC</w:t>
            </w:r>
          </w:p>
        </w:tc>
        <w:tc>
          <w:tcPr>
            <w:tcW w:w="3987" w:type="pct"/>
            <w:gridSpan w:val="2"/>
            <w:tcBorders>
              <w:top w:val="single" w:sz="8" w:space="0" w:color="002C47"/>
              <w:left w:val="single" w:sz="8" w:space="0" w:color="002C47"/>
              <w:bottom w:val="single" w:sz="8" w:space="0" w:color="002C47"/>
              <w:right w:val="single" w:sz="8" w:space="0" w:color="002C47"/>
            </w:tcBorders>
          </w:tcPr>
          <w:p w14:paraId="30ECC013" w14:textId="101E35B9" w:rsidR="00E33534" w:rsidRDefault="00E33534" w:rsidP="00E33534">
            <w:r>
              <w:rPr>
                <w:color w:val="000000"/>
              </w:rPr>
              <w:t>Triple negative breast cancer</w:t>
            </w:r>
          </w:p>
        </w:tc>
      </w:tr>
      <w:tr w:rsidR="00E33534" w14:paraId="7DE63F7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287B437" w14:textId="6DFF5E93" w:rsidR="00E33534" w:rsidRDefault="00E33534" w:rsidP="00E33534">
            <w:pPr>
              <w:rPr>
                <w:color w:val="000000"/>
              </w:rPr>
            </w:pPr>
            <w:r>
              <w:rPr>
                <w:color w:val="000000"/>
              </w:rPr>
              <w:t>TMB</w:t>
            </w:r>
          </w:p>
        </w:tc>
        <w:tc>
          <w:tcPr>
            <w:tcW w:w="3987" w:type="pct"/>
            <w:gridSpan w:val="2"/>
            <w:tcBorders>
              <w:top w:val="single" w:sz="8" w:space="0" w:color="002C47"/>
              <w:left w:val="single" w:sz="8" w:space="0" w:color="002C47"/>
              <w:bottom w:val="single" w:sz="8" w:space="0" w:color="002C47"/>
              <w:right w:val="single" w:sz="8" w:space="0" w:color="002C47"/>
            </w:tcBorders>
          </w:tcPr>
          <w:p w14:paraId="5B198A94" w14:textId="583432BF" w:rsidR="00E33534" w:rsidRDefault="00E33534" w:rsidP="00E33534">
            <w:pPr>
              <w:rPr>
                <w:color w:val="000000"/>
              </w:rPr>
            </w:pPr>
            <w:r>
              <w:rPr>
                <w:color w:val="000000"/>
              </w:rPr>
              <w:t>Tumour mutational burden</w:t>
            </w:r>
          </w:p>
        </w:tc>
      </w:tr>
      <w:tr w:rsidR="00E33534" w14:paraId="19EE408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3817184F" w14:textId="35C47DE2" w:rsidR="00E33534" w:rsidRDefault="00E33534" w:rsidP="00E33534">
            <w:pPr>
              <w:rPr>
                <w:color w:val="000000"/>
              </w:rPr>
            </w:pPr>
            <w:r w:rsidRPr="00A056E9">
              <w:rPr>
                <w:color w:val="000000"/>
              </w:rPr>
              <w:t>TPC</w:t>
            </w:r>
          </w:p>
        </w:tc>
        <w:tc>
          <w:tcPr>
            <w:tcW w:w="3987" w:type="pct"/>
            <w:gridSpan w:val="2"/>
            <w:tcBorders>
              <w:top w:val="single" w:sz="8" w:space="0" w:color="002C47"/>
              <w:left w:val="single" w:sz="8" w:space="0" w:color="002C47"/>
              <w:bottom w:val="single" w:sz="8" w:space="0" w:color="002C47"/>
              <w:right w:val="single" w:sz="8" w:space="0" w:color="002C47"/>
            </w:tcBorders>
          </w:tcPr>
          <w:p w14:paraId="690C5A3A" w14:textId="017A45F6" w:rsidR="00E33534" w:rsidRDefault="00F273B7" w:rsidP="00F273B7">
            <w:pPr>
              <w:rPr>
                <w:color w:val="000000"/>
              </w:rPr>
            </w:pPr>
            <w:r>
              <w:rPr>
                <w:color w:val="000000"/>
              </w:rPr>
              <w:t xml:space="preserve">Treatment of physician’s </w:t>
            </w:r>
            <w:r w:rsidR="00E33534">
              <w:rPr>
                <w:color w:val="000000"/>
              </w:rPr>
              <w:t>choice</w:t>
            </w:r>
          </w:p>
        </w:tc>
      </w:tr>
      <w:tr w:rsidR="00E33534" w14:paraId="2BEA5C7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D8A486B" w14:textId="0CB94887" w:rsidR="00E33534" w:rsidRDefault="00E33534" w:rsidP="00E33534">
            <w:pPr>
              <w:rPr>
                <w:color w:val="000000"/>
              </w:rPr>
            </w:pPr>
            <w:r>
              <w:rPr>
                <w:color w:val="000000"/>
              </w:rPr>
              <w:t>US</w:t>
            </w:r>
            <w:r w:rsidR="003F0108">
              <w:rPr>
                <w:color w:val="000000"/>
              </w:rPr>
              <w:t>(</w:t>
            </w:r>
            <w:r>
              <w:rPr>
                <w:color w:val="000000"/>
              </w:rPr>
              <w:t>A</w:t>
            </w:r>
            <w:r w:rsidR="003F0108">
              <w:rPr>
                <w:color w:val="000000"/>
              </w:rPr>
              <w:t>)</w:t>
            </w:r>
          </w:p>
        </w:tc>
        <w:tc>
          <w:tcPr>
            <w:tcW w:w="3987" w:type="pct"/>
            <w:gridSpan w:val="2"/>
            <w:tcBorders>
              <w:top w:val="single" w:sz="8" w:space="0" w:color="002C47"/>
              <w:left w:val="single" w:sz="8" w:space="0" w:color="002C47"/>
              <w:bottom w:val="single" w:sz="8" w:space="0" w:color="002C47"/>
              <w:right w:val="single" w:sz="8" w:space="0" w:color="002C47"/>
            </w:tcBorders>
          </w:tcPr>
          <w:p w14:paraId="0D08F6A2" w14:textId="4AF17EE6" w:rsidR="00E33534" w:rsidRDefault="00E33534" w:rsidP="00E33534">
            <w:pPr>
              <w:rPr>
                <w:color w:val="000000"/>
              </w:rPr>
            </w:pPr>
            <w:r>
              <w:rPr>
                <w:color w:val="000000"/>
              </w:rPr>
              <w:t xml:space="preserve">United States </w:t>
            </w:r>
            <w:r w:rsidR="00F273B7">
              <w:rPr>
                <w:color w:val="000000"/>
              </w:rPr>
              <w:t>(</w:t>
            </w:r>
            <w:r>
              <w:rPr>
                <w:color w:val="000000"/>
              </w:rPr>
              <w:t>of America</w:t>
            </w:r>
            <w:r w:rsidR="00F273B7">
              <w:rPr>
                <w:color w:val="000000"/>
              </w:rPr>
              <w:t>)</w:t>
            </w:r>
          </w:p>
        </w:tc>
      </w:tr>
    </w:tbl>
    <w:p w14:paraId="27416528"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55229C6" w14:textId="77777777" w:rsidR="008E7846" w:rsidRDefault="009F2673" w:rsidP="008E7846">
      <w:pPr>
        <w:pStyle w:val="Heading2"/>
      </w:pPr>
      <w:bookmarkStart w:id="5" w:name="_Toc132283589"/>
      <w:r>
        <w:lastRenderedPageBreak/>
        <w:t>Pr</w:t>
      </w:r>
      <w:r w:rsidR="008E7846">
        <w:t>oduct submission</w:t>
      </w:r>
      <w:bookmarkEnd w:id="0"/>
      <w:bookmarkEnd w:id="2"/>
      <w:bookmarkEnd w:id="5"/>
    </w:p>
    <w:p w14:paraId="2EB00EFC" w14:textId="77777777" w:rsidR="008E7846" w:rsidRDefault="008E7846" w:rsidP="009E5A87">
      <w:pPr>
        <w:pStyle w:val="Heading3"/>
        <w:rPr>
          <w:lang w:eastAsia="en-AU"/>
        </w:rPr>
      </w:pPr>
      <w:bookmarkStart w:id="6" w:name="_Toc247691502"/>
      <w:bookmarkStart w:id="7" w:name="_Toc314842483"/>
      <w:bookmarkStart w:id="8" w:name="_Toc132283590"/>
      <w:r>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2054FF" w:rsidRPr="003D1E62" w14:paraId="739BF6E2" w14:textId="77777777" w:rsidTr="002054FF">
        <w:tc>
          <w:tcPr>
            <w:tcW w:w="1577" w:type="pct"/>
          </w:tcPr>
          <w:p w14:paraId="333B950B" w14:textId="77777777" w:rsidR="002054FF" w:rsidRPr="003D1E62" w:rsidRDefault="002054FF" w:rsidP="002054FF">
            <w:pPr>
              <w:rPr>
                <w:i/>
              </w:rPr>
            </w:pPr>
            <w:r>
              <w:rPr>
                <w:i/>
              </w:rPr>
              <w:t>Type of s</w:t>
            </w:r>
            <w:r w:rsidRPr="003D1E62">
              <w:rPr>
                <w:i/>
              </w:rPr>
              <w:t>ubmission</w:t>
            </w:r>
            <w:r>
              <w:rPr>
                <w:i/>
              </w:rPr>
              <w:t>:</w:t>
            </w:r>
          </w:p>
        </w:tc>
        <w:tc>
          <w:tcPr>
            <w:tcW w:w="3423" w:type="pct"/>
          </w:tcPr>
          <w:p w14:paraId="0FD18304" w14:textId="5D7DB80C" w:rsidR="002054FF" w:rsidRPr="003D1E62" w:rsidRDefault="002054FF" w:rsidP="002054FF">
            <w:r>
              <w:t>Extension of indications</w:t>
            </w:r>
          </w:p>
        </w:tc>
      </w:tr>
      <w:tr w:rsidR="002054FF" w:rsidRPr="003D1E62" w14:paraId="29E2C26C" w14:textId="77777777" w:rsidTr="002054FF">
        <w:tc>
          <w:tcPr>
            <w:tcW w:w="1577" w:type="pct"/>
          </w:tcPr>
          <w:p w14:paraId="415B326A" w14:textId="2B79502C" w:rsidR="002054FF" w:rsidRPr="003D1E62" w:rsidRDefault="002054FF" w:rsidP="002054FF">
            <w:pPr>
              <w:rPr>
                <w:i/>
              </w:rPr>
            </w:pPr>
            <w:r w:rsidRPr="00460036">
              <w:rPr>
                <w:i/>
              </w:rPr>
              <w:t>Product name:</w:t>
            </w:r>
          </w:p>
        </w:tc>
        <w:tc>
          <w:tcPr>
            <w:tcW w:w="3423" w:type="pct"/>
          </w:tcPr>
          <w:p w14:paraId="62A9DF27" w14:textId="2049F1A7" w:rsidR="002054FF" w:rsidRPr="003D1E62" w:rsidRDefault="002054FF" w:rsidP="002054FF">
            <w:r>
              <w:t>Keytruda</w:t>
            </w:r>
          </w:p>
        </w:tc>
      </w:tr>
      <w:tr w:rsidR="002054FF" w:rsidRPr="003D1E62" w14:paraId="5C0668EF" w14:textId="77777777" w:rsidTr="002054FF">
        <w:tc>
          <w:tcPr>
            <w:tcW w:w="1577" w:type="pct"/>
          </w:tcPr>
          <w:p w14:paraId="7B49683F" w14:textId="4479A17A" w:rsidR="002054FF" w:rsidRPr="003D1E62" w:rsidRDefault="002054FF" w:rsidP="002054FF">
            <w:pPr>
              <w:rPr>
                <w:i/>
              </w:rPr>
            </w:pPr>
            <w:r w:rsidRPr="00460036">
              <w:rPr>
                <w:i/>
              </w:rPr>
              <w:t>Active ingredient</w:t>
            </w:r>
          </w:p>
        </w:tc>
        <w:tc>
          <w:tcPr>
            <w:tcW w:w="3423" w:type="pct"/>
          </w:tcPr>
          <w:p w14:paraId="4A312FDF" w14:textId="55159D4E" w:rsidR="002054FF" w:rsidRPr="003D1E62" w:rsidRDefault="002054FF" w:rsidP="002054FF">
            <w:r>
              <w:t>P</w:t>
            </w:r>
            <w:r w:rsidRPr="00C56410">
              <w:t>embrolizumab</w:t>
            </w:r>
          </w:p>
        </w:tc>
      </w:tr>
      <w:tr w:rsidR="002054FF" w:rsidRPr="003D1E62" w14:paraId="2794B12A" w14:textId="77777777" w:rsidTr="002054FF">
        <w:tc>
          <w:tcPr>
            <w:tcW w:w="1577" w:type="pct"/>
          </w:tcPr>
          <w:p w14:paraId="7CF47A61" w14:textId="77777777" w:rsidR="002054FF" w:rsidRPr="009F2673" w:rsidRDefault="002054FF" w:rsidP="002054FF">
            <w:pPr>
              <w:rPr>
                <w:i/>
              </w:rPr>
            </w:pPr>
            <w:r w:rsidRPr="003D1E62">
              <w:rPr>
                <w:i/>
              </w:rPr>
              <w:t>Decision</w:t>
            </w:r>
            <w:r w:rsidRPr="009F2673">
              <w:rPr>
                <w:i/>
              </w:rPr>
              <w:t>:</w:t>
            </w:r>
          </w:p>
        </w:tc>
        <w:tc>
          <w:tcPr>
            <w:tcW w:w="3423" w:type="pct"/>
          </w:tcPr>
          <w:p w14:paraId="4A07C81C" w14:textId="4A7D0993" w:rsidR="002054FF" w:rsidRPr="003D1E62" w:rsidRDefault="002054FF" w:rsidP="002054FF">
            <w:r w:rsidRPr="00460036">
              <w:t>Approved</w:t>
            </w:r>
          </w:p>
        </w:tc>
      </w:tr>
      <w:tr w:rsidR="002054FF" w:rsidRPr="003D1E62" w14:paraId="4DDC2FF4" w14:textId="77777777" w:rsidTr="002054FF">
        <w:tc>
          <w:tcPr>
            <w:tcW w:w="1577" w:type="pct"/>
          </w:tcPr>
          <w:p w14:paraId="0E5D6DAE" w14:textId="77777777" w:rsidR="002054FF" w:rsidRPr="003D1E62" w:rsidRDefault="002054FF" w:rsidP="002054FF">
            <w:pPr>
              <w:rPr>
                <w:i/>
              </w:rPr>
            </w:pPr>
            <w:r w:rsidRPr="003D1E62">
              <w:rPr>
                <w:i/>
              </w:rPr>
              <w:t xml:space="preserve">Date of </w:t>
            </w:r>
            <w:r>
              <w:rPr>
                <w:i/>
              </w:rPr>
              <w:t>d</w:t>
            </w:r>
            <w:r w:rsidRPr="003D1E62">
              <w:rPr>
                <w:i/>
              </w:rPr>
              <w:t>ecision:</w:t>
            </w:r>
          </w:p>
        </w:tc>
        <w:tc>
          <w:tcPr>
            <w:tcW w:w="3423" w:type="pct"/>
          </w:tcPr>
          <w:p w14:paraId="31456263" w14:textId="2491C5DF" w:rsidR="002054FF" w:rsidRPr="003D1E62" w:rsidRDefault="002054FF" w:rsidP="002054FF">
            <w:r>
              <w:t>2 September 2022</w:t>
            </w:r>
          </w:p>
        </w:tc>
      </w:tr>
      <w:tr w:rsidR="002054FF" w:rsidRPr="003D1E62" w14:paraId="001586AC" w14:textId="77777777" w:rsidTr="002054FF">
        <w:tc>
          <w:tcPr>
            <w:tcW w:w="1577" w:type="pct"/>
          </w:tcPr>
          <w:p w14:paraId="13288221" w14:textId="77777777" w:rsidR="002054FF" w:rsidRPr="00441C3F" w:rsidRDefault="002054FF" w:rsidP="002054FF">
            <w:pPr>
              <w:rPr>
                <w:i/>
              </w:rPr>
            </w:pPr>
            <w:r w:rsidRPr="00441C3F">
              <w:rPr>
                <w:i/>
              </w:rPr>
              <w:t>Date of entry onto ARTG</w:t>
            </w:r>
            <w:r>
              <w:rPr>
                <w:i/>
              </w:rPr>
              <w:t>:</w:t>
            </w:r>
          </w:p>
        </w:tc>
        <w:tc>
          <w:tcPr>
            <w:tcW w:w="3423" w:type="pct"/>
          </w:tcPr>
          <w:p w14:paraId="1414E157" w14:textId="28D65F6C" w:rsidR="002054FF" w:rsidRPr="009F2673" w:rsidRDefault="002054FF" w:rsidP="002054FF">
            <w:r>
              <w:t>7 September 2022</w:t>
            </w:r>
            <w:r w:rsidRPr="009F2673">
              <w:t xml:space="preserve"> </w:t>
            </w:r>
          </w:p>
        </w:tc>
      </w:tr>
      <w:tr w:rsidR="002054FF" w:rsidRPr="003D1E62" w14:paraId="635CB5B6" w14:textId="77777777" w:rsidTr="002054FF">
        <w:tc>
          <w:tcPr>
            <w:tcW w:w="1577" w:type="pct"/>
          </w:tcPr>
          <w:p w14:paraId="54DC3393" w14:textId="09FD6059" w:rsidR="002054FF" w:rsidRPr="00441C3F" w:rsidRDefault="002054FF" w:rsidP="002054FF">
            <w:pPr>
              <w:rPr>
                <w:i/>
              </w:rPr>
            </w:pPr>
            <w:r>
              <w:rPr>
                <w:i/>
              </w:rPr>
              <w:t>ARTG number:</w:t>
            </w:r>
          </w:p>
        </w:tc>
        <w:tc>
          <w:tcPr>
            <w:tcW w:w="3423" w:type="pct"/>
          </w:tcPr>
          <w:p w14:paraId="1EB365FF" w14:textId="753DF66C" w:rsidR="002054FF" w:rsidRPr="00441C3F" w:rsidRDefault="002054FF" w:rsidP="002054FF">
            <w:r w:rsidRPr="00C56410">
              <w:t>263932</w:t>
            </w:r>
          </w:p>
        </w:tc>
      </w:tr>
      <w:tr w:rsidR="002054FF" w:rsidRPr="003D1E62" w14:paraId="6C039ECC" w14:textId="77777777" w:rsidTr="002054FF">
        <w:tc>
          <w:tcPr>
            <w:tcW w:w="1577" w:type="pct"/>
          </w:tcPr>
          <w:p w14:paraId="02234358" w14:textId="0A2DFD25" w:rsidR="002054FF" w:rsidRDefault="002054FF" w:rsidP="002054FF">
            <w:pPr>
              <w:rPr>
                <w:i/>
              </w:rPr>
            </w:pPr>
            <w:r>
              <w:rPr>
                <w:rFonts w:ascii="Wingdings 3" w:hAnsi="Wingdings 3"/>
                <w:sz w:val="34"/>
                <w:szCs w:val="34"/>
                <w:lang w:eastAsia="en-AU"/>
              </w:rPr>
              <w:t></w:t>
            </w:r>
            <w:hyperlink r:id="rId17" w:history="1">
              <w:r w:rsidRPr="009F2673">
                <w:rPr>
                  <w:rStyle w:val="Hyperlink"/>
                  <w:i/>
                </w:rPr>
                <w:t>Black Triangle Scheme</w:t>
              </w:r>
            </w:hyperlink>
            <w:r>
              <w:rPr>
                <w:i/>
              </w:rPr>
              <w:t>:</w:t>
            </w:r>
          </w:p>
          <w:p w14:paraId="76B3EB4B" w14:textId="4DE6F1A9" w:rsidR="006F6035" w:rsidRDefault="006F6035" w:rsidP="002054FF">
            <w:pPr>
              <w:rPr>
                <w:i/>
              </w:rPr>
            </w:pPr>
          </w:p>
        </w:tc>
        <w:tc>
          <w:tcPr>
            <w:tcW w:w="3423" w:type="pct"/>
          </w:tcPr>
          <w:p w14:paraId="0C888283" w14:textId="2FD1B165" w:rsidR="002054FF" w:rsidRPr="00487162" w:rsidRDefault="00E96255" w:rsidP="002054FF">
            <w:r>
              <w:t>No</w:t>
            </w:r>
            <w:r w:rsidR="006F6035">
              <w:t xml:space="preserve"> </w:t>
            </w:r>
            <w:r w:rsidR="006F6035" w:rsidRPr="006F6035">
              <w:rPr>
                <w:iCs/>
              </w:rPr>
              <w:t>(for this submission)</w:t>
            </w:r>
          </w:p>
        </w:tc>
      </w:tr>
      <w:tr w:rsidR="002054FF" w:rsidRPr="003D1E62" w14:paraId="25A11984" w14:textId="77777777" w:rsidTr="002054FF">
        <w:tc>
          <w:tcPr>
            <w:tcW w:w="1577" w:type="pct"/>
          </w:tcPr>
          <w:p w14:paraId="61EFF5B0" w14:textId="77777777" w:rsidR="002054FF" w:rsidRPr="009F2673" w:rsidRDefault="002054FF" w:rsidP="002054FF">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328EC196" w14:textId="77777777" w:rsidR="002054FF" w:rsidRDefault="002054FF" w:rsidP="002054FF">
            <w:r>
              <w:t>Merck Sharp &amp; Dohme (Australia) Pty Limited</w:t>
            </w:r>
          </w:p>
          <w:p w14:paraId="29A575E7" w14:textId="77777777" w:rsidR="002054FF" w:rsidRDefault="002054FF" w:rsidP="002054FF">
            <w:r>
              <w:t>Locked Bag 2234</w:t>
            </w:r>
          </w:p>
          <w:p w14:paraId="4DB14B43" w14:textId="4BA8F3A9" w:rsidR="002054FF" w:rsidRDefault="002054FF" w:rsidP="002054FF">
            <w:r>
              <w:t>North Ryde NSW 1670</w:t>
            </w:r>
          </w:p>
        </w:tc>
      </w:tr>
      <w:tr w:rsidR="002054FF" w:rsidRPr="003D1E62" w14:paraId="73447157" w14:textId="77777777" w:rsidTr="002054FF">
        <w:tc>
          <w:tcPr>
            <w:tcW w:w="1577" w:type="pct"/>
          </w:tcPr>
          <w:p w14:paraId="305C9E11" w14:textId="4533010E" w:rsidR="002054FF" w:rsidRPr="00487162" w:rsidRDefault="002054FF" w:rsidP="002054FF">
            <w:pPr>
              <w:rPr>
                <w:i/>
              </w:rPr>
            </w:pPr>
            <w:r>
              <w:rPr>
                <w:i/>
              </w:rPr>
              <w:t>Dose form:</w:t>
            </w:r>
          </w:p>
        </w:tc>
        <w:tc>
          <w:tcPr>
            <w:tcW w:w="3423" w:type="pct"/>
          </w:tcPr>
          <w:p w14:paraId="6C28C618" w14:textId="1FA1A498" w:rsidR="002054FF" w:rsidRDefault="002054FF" w:rsidP="002054FF">
            <w:r>
              <w:t>C</w:t>
            </w:r>
            <w:r w:rsidRPr="002F4377">
              <w:t>oncentrated injection</w:t>
            </w:r>
          </w:p>
        </w:tc>
      </w:tr>
      <w:tr w:rsidR="002054FF" w:rsidRPr="003D1E62" w14:paraId="1CDF4D94" w14:textId="77777777" w:rsidTr="002054FF">
        <w:tc>
          <w:tcPr>
            <w:tcW w:w="1577" w:type="pct"/>
          </w:tcPr>
          <w:p w14:paraId="23BD02BB" w14:textId="2F2E94F7" w:rsidR="002054FF" w:rsidRPr="00487162" w:rsidRDefault="002054FF" w:rsidP="002054FF">
            <w:pPr>
              <w:rPr>
                <w:i/>
              </w:rPr>
            </w:pPr>
            <w:r w:rsidRPr="00487162">
              <w:rPr>
                <w:i/>
              </w:rPr>
              <w:t>Strength:</w:t>
            </w:r>
          </w:p>
        </w:tc>
        <w:tc>
          <w:tcPr>
            <w:tcW w:w="3423" w:type="pct"/>
          </w:tcPr>
          <w:p w14:paraId="251E779B" w14:textId="47E19DC3" w:rsidR="002054FF" w:rsidRDefault="002054FF" w:rsidP="002054FF">
            <w:r>
              <w:t>1</w:t>
            </w:r>
            <w:r w:rsidRPr="002F4377">
              <w:t>00 mg/4 mL</w:t>
            </w:r>
          </w:p>
        </w:tc>
      </w:tr>
      <w:tr w:rsidR="002054FF" w:rsidRPr="003D1E62" w14:paraId="1B6EE316" w14:textId="77777777" w:rsidTr="002054FF">
        <w:tc>
          <w:tcPr>
            <w:tcW w:w="1577" w:type="pct"/>
          </w:tcPr>
          <w:p w14:paraId="3DAFD931" w14:textId="25602B8A" w:rsidR="002054FF" w:rsidRPr="00487162" w:rsidRDefault="002054FF" w:rsidP="002054FF">
            <w:pPr>
              <w:rPr>
                <w:i/>
              </w:rPr>
            </w:pPr>
            <w:r w:rsidRPr="00487162">
              <w:rPr>
                <w:i/>
              </w:rPr>
              <w:t>Container:</w:t>
            </w:r>
          </w:p>
        </w:tc>
        <w:tc>
          <w:tcPr>
            <w:tcW w:w="3423" w:type="pct"/>
          </w:tcPr>
          <w:p w14:paraId="1E2C1002" w14:textId="5A2ECAA5" w:rsidR="002054FF" w:rsidRDefault="002054FF" w:rsidP="002054FF">
            <w:r w:rsidRPr="002F4377">
              <w:t>Vial</w:t>
            </w:r>
          </w:p>
        </w:tc>
      </w:tr>
      <w:tr w:rsidR="002054FF" w:rsidRPr="003D1E62" w14:paraId="3BFADFB7" w14:textId="77777777" w:rsidTr="002054FF">
        <w:tc>
          <w:tcPr>
            <w:tcW w:w="1577" w:type="pct"/>
          </w:tcPr>
          <w:p w14:paraId="080A8BFA" w14:textId="29E5BB8D" w:rsidR="002054FF" w:rsidRPr="00487162" w:rsidRDefault="002054FF" w:rsidP="002054FF">
            <w:pPr>
              <w:rPr>
                <w:i/>
              </w:rPr>
            </w:pPr>
            <w:r w:rsidRPr="00487162">
              <w:rPr>
                <w:i/>
              </w:rPr>
              <w:t>Pack size:</w:t>
            </w:r>
          </w:p>
        </w:tc>
        <w:tc>
          <w:tcPr>
            <w:tcW w:w="3423" w:type="pct"/>
          </w:tcPr>
          <w:p w14:paraId="17A8A627" w14:textId="1AE69250" w:rsidR="002054FF" w:rsidRDefault="002054FF" w:rsidP="002054FF">
            <w:r w:rsidRPr="002F4377">
              <w:t>One</w:t>
            </w:r>
          </w:p>
        </w:tc>
      </w:tr>
      <w:tr w:rsidR="002054FF" w:rsidRPr="003D1E62" w14:paraId="2640C440" w14:textId="77777777" w:rsidTr="002054FF">
        <w:tc>
          <w:tcPr>
            <w:tcW w:w="1577" w:type="pct"/>
          </w:tcPr>
          <w:p w14:paraId="22653624" w14:textId="77777777" w:rsidR="002054FF" w:rsidRPr="00487162" w:rsidRDefault="002054FF" w:rsidP="002054FF">
            <w:pPr>
              <w:rPr>
                <w:i/>
              </w:rPr>
            </w:pPr>
            <w:r w:rsidRPr="00487162">
              <w:rPr>
                <w:i/>
              </w:rPr>
              <w:t xml:space="preserve">Approved </w:t>
            </w:r>
            <w:r>
              <w:rPr>
                <w:i/>
              </w:rPr>
              <w:t>t</w:t>
            </w:r>
            <w:r w:rsidRPr="00487162">
              <w:rPr>
                <w:i/>
              </w:rPr>
              <w:t>herapeutic use:</w:t>
            </w:r>
          </w:p>
        </w:tc>
        <w:tc>
          <w:tcPr>
            <w:tcW w:w="3423" w:type="pct"/>
          </w:tcPr>
          <w:p w14:paraId="4B87E256" w14:textId="77777777" w:rsidR="002054FF" w:rsidRPr="002F4377" w:rsidRDefault="002054FF" w:rsidP="002054FF">
            <w:pPr>
              <w:rPr>
                <w:b/>
                <w:bCs/>
                <w:i/>
                <w:iCs/>
              </w:rPr>
            </w:pPr>
            <w:r w:rsidRPr="002F4377">
              <w:rPr>
                <w:b/>
                <w:bCs/>
                <w:i/>
                <w:iCs/>
              </w:rPr>
              <w:t>Triple-Negative Breast Cancer</w:t>
            </w:r>
          </w:p>
          <w:p w14:paraId="3702EB3B" w14:textId="77777777" w:rsidR="002054FF" w:rsidRPr="002F4377" w:rsidRDefault="002054FF" w:rsidP="002054FF">
            <w:pPr>
              <w:rPr>
                <w:i/>
                <w:iCs/>
              </w:rPr>
            </w:pPr>
            <w:r w:rsidRPr="002F4377">
              <w:rPr>
                <w:i/>
                <w:iCs/>
              </w:rPr>
              <w:t>K</w:t>
            </w:r>
            <w:r>
              <w:rPr>
                <w:i/>
                <w:iCs/>
              </w:rPr>
              <w:t>eytruda</w:t>
            </w:r>
            <w:r w:rsidRPr="002F4377">
              <w:rPr>
                <w:i/>
                <w:iCs/>
              </w:rPr>
              <w:t xml:space="preserve"> (pembrolizumab) is indicated for the treatment of patients with high-risk</w:t>
            </w:r>
            <w:r>
              <w:rPr>
                <w:i/>
                <w:iCs/>
              </w:rPr>
              <w:t xml:space="preserve"> </w:t>
            </w:r>
            <w:r w:rsidRPr="002F4377">
              <w:rPr>
                <w:i/>
                <w:iCs/>
              </w:rPr>
              <w:t>early-stage triple-negative breast cancer (TNBC) in combination with chemotherapy as</w:t>
            </w:r>
            <w:r>
              <w:rPr>
                <w:i/>
                <w:iCs/>
              </w:rPr>
              <w:t xml:space="preserve"> </w:t>
            </w:r>
            <w:r w:rsidRPr="002F4377">
              <w:rPr>
                <w:i/>
                <w:iCs/>
              </w:rPr>
              <w:t>neoadjuvant treatment, and then continued as monotherapy as adjuvant treatment after</w:t>
            </w:r>
            <w:r>
              <w:rPr>
                <w:i/>
                <w:iCs/>
              </w:rPr>
              <w:t xml:space="preserve"> </w:t>
            </w:r>
            <w:r w:rsidRPr="002F4377">
              <w:rPr>
                <w:i/>
                <w:iCs/>
              </w:rPr>
              <w:t>surgery.</w:t>
            </w:r>
          </w:p>
          <w:p w14:paraId="1FDAC192" w14:textId="4BD2E97A" w:rsidR="002054FF" w:rsidRPr="002054FF" w:rsidRDefault="002054FF" w:rsidP="002054FF">
            <w:pPr>
              <w:rPr>
                <w:i/>
                <w:iCs/>
              </w:rPr>
            </w:pPr>
            <w:r>
              <w:rPr>
                <w:i/>
                <w:iCs/>
              </w:rPr>
              <w:t>Keytruda</w:t>
            </w:r>
            <w:r w:rsidRPr="002F4377">
              <w:rPr>
                <w:i/>
                <w:iCs/>
              </w:rPr>
              <w:t xml:space="preserve"> (pembrolizumab), in combination with chemotherapy, is indicated for the</w:t>
            </w:r>
            <w:r>
              <w:rPr>
                <w:i/>
                <w:iCs/>
              </w:rPr>
              <w:t xml:space="preserve"> </w:t>
            </w:r>
            <w:r w:rsidRPr="002F4377">
              <w:rPr>
                <w:i/>
                <w:iCs/>
              </w:rPr>
              <w:t>treatment of patients with locally recurrent unresectable or metastatic TNBC whose tumours</w:t>
            </w:r>
            <w:r>
              <w:rPr>
                <w:i/>
                <w:iCs/>
              </w:rPr>
              <w:t xml:space="preserve"> </w:t>
            </w:r>
            <w:r w:rsidRPr="002F4377">
              <w:rPr>
                <w:i/>
                <w:iCs/>
              </w:rPr>
              <w:t>express PD-L1 (CPS ≥</w:t>
            </w:r>
            <w:r w:rsidR="00C541C0">
              <w:rPr>
                <w:i/>
                <w:iCs/>
              </w:rPr>
              <w:t xml:space="preserve"> </w:t>
            </w:r>
            <w:r w:rsidRPr="002F4377">
              <w:rPr>
                <w:i/>
                <w:iCs/>
              </w:rPr>
              <w:t>10) as determined by a validated test and who have not received prior</w:t>
            </w:r>
            <w:r>
              <w:rPr>
                <w:i/>
                <w:iCs/>
              </w:rPr>
              <w:t xml:space="preserve"> </w:t>
            </w:r>
            <w:r w:rsidRPr="002F4377">
              <w:rPr>
                <w:i/>
                <w:iCs/>
              </w:rPr>
              <w:t>chemotherapy for metastatic disease.</w:t>
            </w:r>
          </w:p>
        </w:tc>
      </w:tr>
      <w:tr w:rsidR="002054FF" w:rsidRPr="003D1E62" w14:paraId="587225DE" w14:textId="77777777" w:rsidTr="002054FF">
        <w:tc>
          <w:tcPr>
            <w:tcW w:w="1577" w:type="pct"/>
          </w:tcPr>
          <w:p w14:paraId="1DB5864C" w14:textId="603F9A71" w:rsidR="002054FF" w:rsidRPr="00487162" w:rsidRDefault="002054FF" w:rsidP="002054FF">
            <w:pPr>
              <w:rPr>
                <w:i/>
              </w:rPr>
            </w:pPr>
            <w:r w:rsidRPr="00487162">
              <w:rPr>
                <w:i/>
              </w:rPr>
              <w:t>Route of administration:</w:t>
            </w:r>
          </w:p>
        </w:tc>
        <w:tc>
          <w:tcPr>
            <w:tcW w:w="3423" w:type="pct"/>
          </w:tcPr>
          <w:p w14:paraId="57EDCA2E" w14:textId="3CD9414F" w:rsidR="002054FF" w:rsidRPr="00487162" w:rsidRDefault="002054FF" w:rsidP="002054FF">
            <w:r>
              <w:t>Intravenous infusion</w:t>
            </w:r>
          </w:p>
        </w:tc>
      </w:tr>
      <w:tr w:rsidR="002054FF" w:rsidRPr="003D1E62" w14:paraId="27555803" w14:textId="77777777" w:rsidTr="002054FF">
        <w:tc>
          <w:tcPr>
            <w:tcW w:w="1577" w:type="pct"/>
          </w:tcPr>
          <w:p w14:paraId="2E23A9B7" w14:textId="77777777" w:rsidR="002054FF" w:rsidRPr="00487162" w:rsidRDefault="002054FF" w:rsidP="002054FF">
            <w:pPr>
              <w:rPr>
                <w:i/>
              </w:rPr>
            </w:pPr>
            <w:r w:rsidRPr="00487162">
              <w:rPr>
                <w:i/>
              </w:rPr>
              <w:t>Dosage:</w:t>
            </w:r>
          </w:p>
        </w:tc>
        <w:tc>
          <w:tcPr>
            <w:tcW w:w="3423" w:type="pct"/>
          </w:tcPr>
          <w:p w14:paraId="53331863" w14:textId="77777777" w:rsidR="002054FF" w:rsidRDefault="002054FF" w:rsidP="002054FF">
            <w:r>
              <w:t>Treatment must be initiated and supervised by specialised healthcare professionals experienced in the treatment of cancer.</w:t>
            </w:r>
          </w:p>
          <w:p w14:paraId="6A3B65C7" w14:textId="77777777" w:rsidR="002054FF" w:rsidRPr="007D1816" w:rsidRDefault="002054FF" w:rsidP="002054FF">
            <w:pPr>
              <w:rPr>
                <w:b/>
                <w:bCs/>
              </w:rPr>
            </w:pPr>
            <w:r w:rsidRPr="007D1816">
              <w:rPr>
                <w:b/>
                <w:bCs/>
              </w:rPr>
              <w:lastRenderedPageBreak/>
              <w:t>Recommended Dosing</w:t>
            </w:r>
          </w:p>
          <w:p w14:paraId="03BC7F01" w14:textId="5D40022B" w:rsidR="002054FF" w:rsidRDefault="002054FF" w:rsidP="002054FF">
            <w:r>
              <w:t xml:space="preserve">The recommended dose of </w:t>
            </w:r>
            <w:r w:rsidR="00D75912">
              <w:t>Keytruda</w:t>
            </w:r>
            <w:r>
              <w:t xml:space="preserve"> in adults is either 200</w:t>
            </w:r>
            <w:r w:rsidR="00D75912">
              <w:t> </w:t>
            </w:r>
            <w:r>
              <w:t>mg every 3 weeks or 400 mg every 6 weeks, administered as an intravenous infusion over 30 minutes.</w:t>
            </w:r>
          </w:p>
          <w:p w14:paraId="7160F891" w14:textId="280E08D3" w:rsidR="002054FF" w:rsidRDefault="002054FF" w:rsidP="002054FF">
            <w:r>
              <w:t>When administering Keytruda as part of a combination with chemotherapy, Keytruda should be administered first. See</w:t>
            </w:r>
            <w:r w:rsidR="00A669BB">
              <w:t xml:space="preserve"> </w:t>
            </w:r>
            <w:r>
              <w:t>the Product Information for the chemotherapy agents administered in combination</w:t>
            </w:r>
            <w:r w:rsidR="00C541C0">
              <w:t xml:space="preserve"> with Keytruda</w:t>
            </w:r>
            <w:r>
              <w:t>.</w:t>
            </w:r>
          </w:p>
          <w:p w14:paraId="302CBD26" w14:textId="173E00B1" w:rsidR="002054FF" w:rsidRDefault="002054FF" w:rsidP="002054FF">
            <w:r>
              <w:t>For neoadjuvant and adjuvant treatment of high-risk early</w:t>
            </w:r>
            <w:r w:rsidR="00F273B7">
              <w:noBreakHyphen/>
            </w:r>
            <w:r>
              <w:t xml:space="preserve">stage </w:t>
            </w:r>
            <w:r w:rsidR="00C541C0">
              <w:t>triple negative breast cancer</w:t>
            </w:r>
            <w:r>
              <w:t>, patients should be treated with neoadjuva</w:t>
            </w:r>
            <w:r w:rsidRPr="00C541C0">
              <w:t xml:space="preserve">nt </w:t>
            </w:r>
            <w:r w:rsidR="00D75912" w:rsidRPr="00C541C0">
              <w:t>Keytruda</w:t>
            </w:r>
            <w:r>
              <w:t xml:space="preserve"> in combination with chemotherapy for eight doses of 200 mg every three weeks or four doses of 400 mg every six weeks or until disease progression that precludes definitive surgery or unacceptable toxicity, followed by adjuvant treatment with </w:t>
            </w:r>
            <w:r w:rsidR="00D75912">
              <w:t>Keytruda</w:t>
            </w:r>
            <w:r>
              <w:t xml:space="preserve"> as monotherapy for nine doses of 200 mg every three weeks or five doses of 400 mg every six weeks or until disease recurrence or unacceptable toxicity. Patients who experience disease progression that precludes definitive surgery or unacceptable toxicity related to </w:t>
            </w:r>
            <w:r w:rsidR="00D75912">
              <w:t>Keytruda</w:t>
            </w:r>
            <w:r>
              <w:t xml:space="preserve"> as neoadjuvant treatment in combination with chemotherapy should not receive </w:t>
            </w:r>
            <w:r w:rsidR="00D75912">
              <w:t>Keytruda</w:t>
            </w:r>
            <w:r>
              <w:t xml:space="preserve"> monotherapy as adjuvant treatment.</w:t>
            </w:r>
          </w:p>
          <w:p w14:paraId="2B9E740F" w14:textId="77777777" w:rsidR="00C541C0" w:rsidRDefault="00C541C0" w:rsidP="002054FF">
            <w:r>
              <w:t>Dose modifications are not recommended.</w:t>
            </w:r>
          </w:p>
          <w:p w14:paraId="143744C1" w14:textId="030D2DB0" w:rsidR="002054FF" w:rsidRPr="00487162" w:rsidRDefault="002054FF" w:rsidP="002054FF">
            <w:r w:rsidRPr="00460036">
              <w:t>For further information regarding dosage, refer to the Product Information.</w:t>
            </w:r>
          </w:p>
        </w:tc>
      </w:tr>
      <w:tr w:rsidR="002054FF" w:rsidRPr="003D1E62" w14:paraId="354CB3A1" w14:textId="77777777" w:rsidTr="002054FF">
        <w:tc>
          <w:tcPr>
            <w:tcW w:w="1577" w:type="pct"/>
          </w:tcPr>
          <w:p w14:paraId="101E31E6" w14:textId="77777777" w:rsidR="002054FF" w:rsidRPr="00487162" w:rsidRDefault="002054FF" w:rsidP="002054FF">
            <w:pPr>
              <w:rPr>
                <w:i/>
              </w:rPr>
            </w:pPr>
            <w:r w:rsidRPr="00460036">
              <w:rPr>
                <w:i/>
              </w:rPr>
              <w:lastRenderedPageBreak/>
              <w:t>Pregnancy category</w:t>
            </w:r>
            <w:r>
              <w:rPr>
                <w:i/>
              </w:rPr>
              <w:t>:</w:t>
            </w:r>
          </w:p>
        </w:tc>
        <w:tc>
          <w:tcPr>
            <w:tcW w:w="3423" w:type="pct"/>
          </w:tcPr>
          <w:p w14:paraId="5A6F77CE" w14:textId="77777777" w:rsidR="002054FF" w:rsidRDefault="002054FF" w:rsidP="002054FF">
            <w:r>
              <w:t>D</w:t>
            </w:r>
          </w:p>
          <w:p w14:paraId="01540656" w14:textId="77777777" w:rsidR="002054FF" w:rsidRDefault="002054FF" w:rsidP="002054FF">
            <w:r w:rsidRPr="007D1816">
              <w:t xml:space="preserve">Drugs which have caused, are suspected to have caused or may be expected to cause, an increased incidence of human </w:t>
            </w:r>
            <w:proofErr w:type="spellStart"/>
            <w:r w:rsidRPr="007D1816">
              <w:t>fetal</w:t>
            </w:r>
            <w:proofErr w:type="spellEnd"/>
            <w:r w:rsidRPr="007D1816">
              <w:t xml:space="preserve"> malformations or irreversible damage. These drugs may also have adverse pharmacological effects. Accompanying texts should be consulted for further details.</w:t>
            </w:r>
          </w:p>
          <w:p w14:paraId="6494A361" w14:textId="26DEEA91" w:rsidR="002054FF" w:rsidRPr="00487162" w:rsidRDefault="002054FF" w:rsidP="002054FF">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A93F6D6" w14:textId="77777777" w:rsidR="008E7846" w:rsidRDefault="008E7846" w:rsidP="008E7846">
      <w:pPr>
        <w:pStyle w:val="Heading3"/>
      </w:pPr>
      <w:bookmarkStart w:id="9" w:name="_Toc247691503"/>
      <w:bookmarkStart w:id="10" w:name="_Toc314842484"/>
      <w:bookmarkStart w:id="11" w:name="_Toc132283591"/>
      <w:r>
        <w:t>Product background</w:t>
      </w:r>
      <w:bookmarkEnd w:id="9"/>
      <w:bookmarkEnd w:id="10"/>
      <w:bookmarkEnd w:id="11"/>
    </w:p>
    <w:p w14:paraId="0ABC35AA" w14:textId="77777777" w:rsidR="002054FF" w:rsidRDefault="002054FF" w:rsidP="002054FF">
      <w:r w:rsidRPr="000A4A42">
        <w:t xml:space="preserve">This AusPAR describes the </w:t>
      </w:r>
      <w:r>
        <w:t>submission</w:t>
      </w:r>
      <w:r w:rsidRPr="000A4A42">
        <w:t xml:space="preserve"> by</w:t>
      </w:r>
      <w:r>
        <w:t xml:space="preserve"> </w:t>
      </w:r>
      <w:r w:rsidRPr="007D1816">
        <w:t>Merck Sharp &amp; Dohme (Australia) Pty Limited</w:t>
      </w:r>
      <w:r w:rsidRPr="000A4A42">
        <w:t xml:space="preserve"> (the sponsor) to register </w:t>
      </w:r>
      <w:r>
        <w:t>Keytruda (pembrolizumab) 1</w:t>
      </w:r>
      <w:r w:rsidRPr="007D1816">
        <w:t>00</w:t>
      </w:r>
      <w:r>
        <w:t> </w:t>
      </w:r>
      <w:r w:rsidRPr="007D1816">
        <w:t>mg/4 mL concentrated injection</w:t>
      </w:r>
      <w:r>
        <w:t xml:space="preserve"> </w:t>
      </w:r>
      <w:r w:rsidRPr="000A4A42">
        <w:t>for the following proposed extension of indications:</w:t>
      </w:r>
    </w:p>
    <w:p w14:paraId="71636743" w14:textId="77777777" w:rsidR="002054FF" w:rsidRPr="002B4F49" w:rsidRDefault="002054FF" w:rsidP="00C541C0">
      <w:pPr>
        <w:keepNext/>
        <w:ind w:left="720"/>
        <w:rPr>
          <w:b/>
          <w:bCs/>
          <w:i/>
          <w:iCs/>
        </w:rPr>
      </w:pPr>
      <w:r w:rsidRPr="002B4F49">
        <w:rPr>
          <w:b/>
          <w:bCs/>
          <w:i/>
          <w:iCs/>
        </w:rPr>
        <w:lastRenderedPageBreak/>
        <w:t>Triple-Negative Breast Cancer (TNBC)</w:t>
      </w:r>
    </w:p>
    <w:p w14:paraId="0D7D7180" w14:textId="63799EEE" w:rsidR="002054FF" w:rsidRPr="002B4F49" w:rsidRDefault="00D75912" w:rsidP="002054FF">
      <w:pPr>
        <w:ind w:left="720"/>
        <w:rPr>
          <w:i/>
          <w:iCs/>
        </w:rPr>
      </w:pPr>
      <w:r>
        <w:rPr>
          <w:i/>
          <w:iCs/>
        </w:rPr>
        <w:t>Keytruda</w:t>
      </w:r>
      <w:r w:rsidR="002054FF" w:rsidRPr="002B4F49">
        <w:rPr>
          <w:i/>
          <w:iCs/>
        </w:rPr>
        <w:t xml:space="preserve"> (pembrolizumab), in combination with chemotherapy, is indicated for the treatment of patients with locally recurrent unresectable or metastatic TNBC whose tumours express PD-L1 (CPS</w:t>
      </w:r>
      <w:r w:rsidR="00C541C0">
        <w:rPr>
          <w:i/>
          <w:iCs/>
        </w:rPr>
        <w:t xml:space="preserve"> </w:t>
      </w:r>
      <w:r w:rsidR="002054FF" w:rsidRPr="002B4F49">
        <w:rPr>
          <w:i/>
          <w:iCs/>
        </w:rPr>
        <w:t>≥</w:t>
      </w:r>
      <w:r w:rsidR="00C541C0">
        <w:rPr>
          <w:i/>
          <w:iCs/>
        </w:rPr>
        <w:t xml:space="preserve"> </w:t>
      </w:r>
      <w:r w:rsidR="002054FF" w:rsidRPr="002B4F49">
        <w:rPr>
          <w:i/>
          <w:iCs/>
        </w:rPr>
        <w:t>10) as determined by a validated test.</w:t>
      </w:r>
    </w:p>
    <w:p w14:paraId="2077EE3B" w14:textId="67FD33FD" w:rsidR="002054FF" w:rsidRPr="002B4F49" w:rsidRDefault="00D75912" w:rsidP="002054FF">
      <w:pPr>
        <w:ind w:left="720"/>
        <w:rPr>
          <w:i/>
          <w:iCs/>
        </w:rPr>
      </w:pPr>
      <w:r>
        <w:rPr>
          <w:i/>
          <w:iCs/>
        </w:rPr>
        <w:t>Keytruda</w:t>
      </w:r>
      <w:r w:rsidR="002054FF" w:rsidRPr="002B4F49">
        <w:rPr>
          <w:i/>
          <w:iCs/>
        </w:rPr>
        <w:t xml:space="preserve"> (pembrolizumab), is indicated for the treatment of patients with high-risk early</w:t>
      </w:r>
      <w:r w:rsidR="00A669BB">
        <w:rPr>
          <w:i/>
          <w:iCs/>
        </w:rPr>
        <w:t>-</w:t>
      </w:r>
      <w:r w:rsidR="002054FF" w:rsidRPr="002B4F49">
        <w:rPr>
          <w:i/>
          <w:iCs/>
        </w:rPr>
        <w:t>stage TNBC in combination with chemotherapy as neoadjuvant treatment, and then continued as monotherapy as adjuvant treatment after surgery.</w:t>
      </w:r>
    </w:p>
    <w:p w14:paraId="2A39DB22" w14:textId="476E64E4" w:rsidR="00033AB0" w:rsidRDefault="002054FF" w:rsidP="002054FF">
      <w:r>
        <w:t>Breast cancer is the most common cancer in Australian women</w:t>
      </w:r>
      <w:r w:rsidR="003F0108">
        <w:t>.</w:t>
      </w:r>
      <w:r w:rsidR="00201D23">
        <w:rPr>
          <w:rStyle w:val="FootnoteReference"/>
        </w:rPr>
        <w:footnoteReference w:id="2"/>
      </w:r>
      <w:r>
        <w:t xml:space="preserve"> </w:t>
      </w:r>
      <w:r w:rsidR="003F0108">
        <w:t>T</w:t>
      </w:r>
      <w:r>
        <w:t>riple negative breast cancer (TNBC)</w:t>
      </w:r>
      <w:r w:rsidR="003F0108">
        <w:t xml:space="preserve"> has been estimated to comprise of between 12% to 17%</w:t>
      </w:r>
      <w:r>
        <w:t xml:space="preserve"> of diagnoses.</w:t>
      </w:r>
      <w:r w:rsidR="003F0108">
        <w:rPr>
          <w:rStyle w:val="FootnoteReference"/>
        </w:rPr>
        <w:footnoteReference w:id="3"/>
      </w:r>
      <w:r>
        <w:t xml:space="preserve"> TNBC can also occur in men (although it is very rare).</w:t>
      </w:r>
    </w:p>
    <w:p w14:paraId="72856BBB" w14:textId="3898CB86" w:rsidR="00033AB0" w:rsidRDefault="002054FF" w:rsidP="002054FF">
      <w:r>
        <w:t xml:space="preserve">TNBC is </w:t>
      </w:r>
      <w:r w:rsidR="00F273B7">
        <w:t xml:space="preserve">termed </w:t>
      </w:r>
      <w:r w:rsidR="00F273B7" w:rsidRPr="00870904">
        <w:rPr>
          <w:i/>
        </w:rPr>
        <w:t>triple negative</w:t>
      </w:r>
      <w:r w:rsidR="00F273B7">
        <w:t xml:space="preserve"> </w:t>
      </w:r>
      <w:r>
        <w:t>because of a lack of estrogen receptor</w:t>
      </w:r>
      <w:r w:rsidR="00201D23">
        <w:t xml:space="preserve"> </w:t>
      </w:r>
      <w:r>
        <w:t xml:space="preserve">and progesterone receptor expression and the absence of human epidermal growth factor receptor 2 (HER2) overexpression </w:t>
      </w:r>
      <w:r w:rsidRPr="00201D23">
        <w:t>or</w:t>
      </w:r>
      <w:r>
        <w:t xml:space="preserve"> amplification.</w:t>
      </w:r>
      <w:r w:rsidR="00033AB0">
        <w:rPr>
          <w:rStyle w:val="FootnoteReference"/>
        </w:rPr>
        <w:footnoteReference w:id="4"/>
      </w:r>
    </w:p>
    <w:p w14:paraId="3F339E42" w14:textId="5C7BA1F0" w:rsidR="002054FF" w:rsidRDefault="002054FF" w:rsidP="002054FF">
      <w:r>
        <w:t>TNBC tends to be more aggressive than other breast cancer subtypes, and is associated with higher tumour grade at diagnosis, a higher risk of distant disease recurrence, and poorer overall survival.</w:t>
      </w:r>
      <w:r w:rsidR="00033AB0">
        <w:t xml:space="preserve"> </w:t>
      </w:r>
      <w:r>
        <w:t xml:space="preserve">Patients with TNBC experience distant recurrence more frequently (approximately 34% versus approximately 20%) and earlier (mean time to distant </w:t>
      </w:r>
      <w:r w:rsidR="00F273B7">
        <w:t xml:space="preserve">(or metastatic) </w:t>
      </w:r>
      <w:r>
        <w:t>recurrence 2.6 years versus 5.0 years) compared with patients with other types of breast cancer.</w:t>
      </w:r>
      <w:bookmarkStart w:id="12" w:name="_Ref134177251"/>
      <w:r w:rsidR="00033AB0">
        <w:rPr>
          <w:rStyle w:val="FootnoteReference"/>
        </w:rPr>
        <w:footnoteReference w:id="5"/>
      </w:r>
      <w:bookmarkEnd w:id="12"/>
      <w:r>
        <w:t xml:space="preserve"> The peak of recurrence for TNBC is within </w:t>
      </w:r>
      <w:r w:rsidR="00565418">
        <w:t>one</w:t>
      </w:r>
      <w:r>
        <w:t xml:space="preserve"> to </w:t>
      </w:r>
      <w:r w:rsidR="00565418">
        <w:t>three</w:t>
      </w:r>
      <w:r>
        <w:t xml:space="preserve"> years after initial diagnosis and decreases significantly thereafter. Patients with TNBC also have shorter median</w:t>
      </w:r>
      <w:r w:rsidR="002707AC">
        <w:t xml:space="preserve"> </w:t>
      </w:r>
      <w:r w:rsidR="00F273B7">
        <w:t xml:space="preserve">overall survival </w:t>
      </w:r>
      <w:r>
        <w:t>compared to patients with non-TNBC (4.2 years versus 6.0 years).</w:t>
      </w:r>
      <w:r w:rsidR="00033AB0" w:rsidRPr="00870904">
        <w:rPr>
          <w:vertAlign w:val="superscript"/>
        </w:rPr>
        <w:fldChar w:fldCharType="begin"/>
      </w:r>
      <w:r w:rsidR="00033AB0" w:rsidRPr="00870904">
        <w:rPr>
          <w:vertAlign w:val="superscript"/>
        </w:rPr>
        <w:instrText xml:space="preserve"> NOTEREF _Ref134177251 \h </w:instrText>
      </w:r>
      <w:r w:rsidR="00033AB0">
        <w:rPr>
          <w:vertAlign w:val="superscript"/>
        </w:rPr>
        <w:instrText xml:space="preserve"> \* MERGEFORMAT </w:instrText>
      </w:r>
      <w:r w:rsidR="00033AB0" w:rsidRPr="00870904">
        <w:rPr>
          <w:vertAlign w:val="superscript"/>
        </w:rPr>
      </w:r>
      <w:r w:rsidR="00033AB0" w:rsidRPr="00870904">
        <w:rPr>
          <w:vertAlign w:val="superscript"/>
        </w:rPr>
        <w:fldChar w:fldCharType="separate"/>
      </w:r>
      <w:r w:rsidR="00A02570">
        <w:rPr>
          <w:vertAlign w:val="superscript"/>
        </w:rPr>
        <w:t>4</w:t>
      </w:r>
      <w:r w:rsidR="00033AB0" w:rsidRPr="00870904">
        <w:rPr>
          <w:vertAlign w:val="superscript"/>
        </w:rPr>
        <w:fldChar w:fldCharType="end"/>
      </w:r>
      <w:r>
        <w:t xml:space="preserve"> They tend to relapse with distant metastases rather than local recurrences and are more likely to develop visceral metastases and central nervous system involvement.</w:t>
      </w:r>
    </w:p>
    <w:p w14:paraId="3A4B1475" w14:textId="7A711C59" w:rsidR="002054FF" w:rsidRPr="00870904" w:rsidRDefault="002054FF" w:rsidP="002054FF">
      <w:pPr>
        <w:rPr>
          <w:vertAlign w:val="superscript"/>
        </w:rPr>
      </w:pPr>
      <w:r>
        <w:t xml:space="preserve">TNBC is more strongly associated with </w:t>
      </w:r>
      <w:r w:rsidRPr="00201D23">
        <w:rPr>
          <w:i/>
          <w:iCs/>
        </w:rPr>
        <w:t>BRCA</w:t>
      </w:r>
      <w:r w:rsidRPr="00201D23">
        <w:t xml:space="preserve"> mutation</w:t>
      </w:r>
      <w:r>
        <w:t xml:space="preserve"> positive breast cancer than other breast cancer. TNBC is more commonly diagnosed in women under 40 years of age compared with hormone receptor positive breast cancer.</w:t>
      </w:r>
      <w:r w:rsidR="00033AB0">
        <w:rPr>
          <w:rStyle w:val="FootnoteReference"/>
        </w:rPr>
        <w:footnoteReference w:id="6"/>
      </w:r>
      <w:r w:rsidR="00033AB0">
        <w:rPr>
          <w:vertAlign w:val="superscript"/>
        </w:rPr>
        <w:t>,</w:t>
      </w:r>
      <w:r w:rsidR="00033AB0">
        <w:rPr>
          <w:rStyle w:val="FootnoteReference"/>
        </w:rPr>
        <w:footnoteReference w:id="7"/>
      </w:r>
      <w:r w:rsidR="00033AB0">
        <w:rPr>
          <w:vertAlign w:val="superscript"/>
        </w:rPr>
        <w:t>,</w:t>
      </w:r>
      <w:r w:rsidR="00033AB0">
        <w:rPr>
          <w:rStyle w:val="FootnoteReference"/>
        </w:rPr>
        <w:footnoteReference w:id="8"/>
      </w:r>
    </w:p>
    <w:p w14:paraId="6D5C951B" w14:textId="77777777" w:rsidR="002054FF" w:rsidRDefault="002054FF" w:rsidP="002054FF">
      <w:pPr>
        <w:pStyle w:val="Heading4"/>
      </w:pPr>
      <w:r>
        <w:t>Current treatment options</w:t>
      </w:r>
    </w:p>
    <w:p w14:paraId="2D2B3AFE" w14:textId="77777777" w:rsidR="002D7FFB" w:rsidRDefault="002054FF" w:rsidP="002054FF">
      <w:r>
        <w:t>In Australia, there are no therapeutic goods with fully registered indications specifically for the treatment of TNBC in first line</w:t>
      </w:r>
      <w:r w:rsidR="00201D23">
        <w:t xml:space="preserve"> therapy</w:t>
      </w:r>
      <w:r>
        <w:t xml:space="preserve">. However, standard of care therapies </w:t>
      </w:r>
      <w:proofErr w:type="gramStart"/>
      <w:r>
        <w:t>are</w:t>
      </w:r>
      <w:proofErr w:type="gramEnd"/>
      <w:r>
        <w:t xml:space="preserve"> available and are congruent with the comparator arms of both submitted pivotal trials.</w:t>
      </w:r>
    </w:p>
    <w:p w14:paraId="5AC6FD1D" w14:textId="3C914C5C" w:rsidR="002054FF" w:rsidRDefault="002054FF" w:rsidP="002054FF">
      <w:pPr>
        <w:pStyle w:val="Heading5"/>
      </w:pPr>
      <w:r>
        <w:t xml:space="preserve">Neoadjuvant/adjuvant early </w:t>
      </w:r>
      <w:r w:rsidR="00201D23">
        <w:t>triple negative breast cancer</w:t>
      </w:r>
    </w:p>
    <w:p w14:paraId="2ECD1BB6" w14:textId="4962199C" w:rsidR="002D7FFB" w:rsidRDefault="002054FF" w:rsidP="002054FF">
      <w:r>
        <w:t xml:space="preserve">Patients with high risk, early stage TNBC will generally be treated with </w:t>
      </w:r>
      <w:r w:rsidR="00412421">
        <w:t xml:space="preserve">neoadjuvant chemotherapy prior to </w:t>
      </w:r>
      <w:r>
        <w:t>surgery</w:t>
      </w:r>
      <w:r w:rsidR="00412421">
        <w:t xml:space="preserve"> or </w:t>
      </w:r>
      <w:r>
        <w:t>adjuvant chemotherapy</w:t>
      </w:r>
      <w:r w:rsidR="00412421">
        <w:t xml:space="preserve"> alongside surgery</w:t>
      </w:r>
      <w:r>
        <w:t xml:space="preserve">, with or without radiation therapy. Standard of care chemotherapy </w:t>
      </w:r>
      <w:r w:rsidR="00412421">
        <w:t xml:space="preserve">for TNBC </w:t>
      </w:r>
      <w:r>
        <w:t xml:space="preserve">includes anthracycline, alkylator, and </w:t>
      </w:r>
      <w:proofErr w:type="spellStart"/>
      <w:r>
        <w:t>taxane</w:t>
      </w:r>
      <w:proofErr w:type="spellEnd"/>
      <w:r w:rsidR="00412421">
        <w:t>-</w:t>
      </w:r>
      <w:r>
        <w:t>based regimens.</w:t>
      </w:r>
      <w:bookmarkStart w:id="13" w:name="_Ref130207759"/>
      <w:r>
        <w:rPr>
          <w:rStyle w:val="FootnoteReference"/>
        </w:rPr>
        <w:footnoteReference w:id="9"/>
      </w:r>
      <w:bookmarkEnd w:id="13"/>
      <w:r>
        <w:t xml:space="preserve"> Platinum-based therapy is also used </w:t>
      </w:r>
      <w:r>
        <w:lastRenderedPageBreak/>
        <w:t>in some patients, leading to improvements in pathological complete response</w:t>
      </w:r>
      <w:r w:rsidR="003E7169">
        <w:t>;</w:t>
      </w:r>
      <w:r w:rsidR="003E7169">
        <w:rPr>
          <w:rStyle w:val="FootnoteReference"/>
        </w:rPr>
        <w:footnoteReference w:id="10"/>
      </w:r>
      <w:r>
        <w:t xml:space="preserve"> but not in longer term outcomes like </w:t>
      </w:r>
      <w:r w:rsidRPr="009A5688">
        <w:t xml:space="preserve">event-free survival </w:t>
      </w:r>
      <w:r>
        <w:t xml:space="preserve">or </w:t>
      </w:r>
      <w:r w:rsidR="00412421">
        <w:t>overall survival</w:t>
      </w:r>
      <w:r>
        <w:t>.</w:t>
      </w:r>
      <w:r w:rsidR="00315EDB">
        <w:fldChar w:fldCharType="begin"/>
      </w:r>
      <w:r w:rsidR="00315EDB">
        <w:instrText xml:space="preserve"> NOTEREF _Ref130207759 \f \h </w:instrText>
      </w:r>
      <w:r w:rsidR="00315EDB">
        <w:fldChar w:fldCharType="separate"/>
      </w:r>
      <w:r w:rsidR="00A02570" w:rsidRPr="00A02570">
        <w:rPr>
          <w:rStyle w:val="FootnoteReference"/>
        </w:rPr>
        <w:t>8</w:t>
      </w:r>
      <w:r w:rsidR="00315EDB">
        <w:fldChar w:fldCharType="end"/>
      </w:r>
    </w:p>
    <w:p w14:paraId="726405AB" w14:textId="3C239B0F" w:rsidR="002054FF" w:rsidRDefault="002054FF" w:rsidP="002054FF">
      <w:r>
        <w:t xml:space="preserve">While patients who achieve </w:t>
      </w:r>
      <w:r w:rsidR="00412421">
        <w:t>a pathological complete response</w:t>
      </w:r>
      <w:r w:rsidR="00EF1E18">
        <w:t xml:space="preserve"> </w:t>
      </w:r>
      <w:r>
        <w:t xml:space="preserve">after neoadjuvant chemotherapy have an improved prognosis, they are still at risk for disease recurrence (five year </w:t>
      </w:r>
      <w:r w:rsidR="00033AB0">
        <w:t xml:space="preserve">event-free survival </w:t>
      </w:r>
      <w:r>
        <w:t>is approximately 86%) and death (</w:t>
      </w:r>
      <w:r w:rsidR="00EF1E18">
        <w:t>five</w:t>
      </w:r>
      <w:r>
        <w:t xml:space="preserve"> year </w:t>
      </w:r>
      <w:r w:rsidR="00033AB0">
        <w:t xml:space="preserve">overall survival </w:t>
      </w:r>
      <w:r>
        <w:t>rate is approximately 89%).</w:t>
      </w:r>
    </w:p>
    <w:p w14:paraId="023A77FF" w14:textId="12C16BF7" w:rsidR="002054FF" w:rsidRDefault="002054FF" w:rsidP="002054FF">
      <w:pPr>
        <w:pStyle w:val="Heading5"/>
      </w:pPr>
      <w:r>
        <w:t xml:space="preserve">Locally recurrent/unresectable/metastatic </w:t>
      </w:r>
      <w:r w:rsidR="00EF1E18">
        <w:t>triple negative breast cancer</w:t>
      </w:r>
    </w:p>
    <w:p w14:paraId="181A2351" w14:textId="6FFB3962" w:rsidR="002054FF" w:rsidRDefault="002054FF" w:rsidP="002054FF">
      <w:r>
        <w:t>Poly adenosine diphosphate ribose polymerase inhibitors may be an option for a subset of patients with</w:t>
      </w:r>
      <w:r w:rsidRPr="00EF1E18">
        <w:rPr>
          <w:i/>
          <w:iCs/>
        </w:rPr>
        <w:t xml:space="preserve"> BRCA</w:t>
      </w:r>
      <w:r>
        <w:t xml:space="preserve"> mutations.</w:t>
      </w:r>
    </w:p>
    <w:p w14:paraId="3DC99E50" w14:textId="324140F7" w:rsidR="002054FF" w:rsidRDefault="002054FF" w:rsidP="002054FF">
      <w:r>
        <w:t xml:space="preserve">Patients with metastatic TNBC without a </w:t>
      </w:r>
      <w:r w:rsidRPr="00EF1E18">
        <w:rPr>
          <w:i/>
          <w:iCs/>
        </w:rPr>
        <w:t>BRCA</w:t>
      </w:r>
      <w:r>
        <w:t xml:space="preserve"> mutation have limited options</w:t>
      </w:r>
      <w:r w:rsidR="00380311">
        <w:t xml:space="preserve"> </w:t>
      </w:r>
      <w:r w:rsidR="00380311">
        <w:rPr>
          <w:rStyle w:val="ui-provider"/>
        </w:rPr>
        <w:t xml:space="preserve">at the time </w:t>
      </w:r>
      <w:r w:rsidR="007D6FF3">
        <w:rPr>
          <w:rStyle w:val="ui-provider"/>
        </w:rPr>
        <w:t>the TGA considered this submission; available treatment includes</w:t>
      </w:r>
      <w:r>
        <w:t>:</w:t>
      </w:r>
    </w:p>
    <w:p w14:paraId="7ACB4344" w14:textId="77777777" w:rsidR="002054FF" w:rsidRDefault="002054FF" w:rsidP="002054FF">
      <w:pPr>
        <w:pStyle w:val="ListBullet"/>
        <w:numPr>
          <w:ilvl w:val="0"/>
          <w:numId w:val="3"/>
        </w:numPr>
      </w:pPr>
      <w:r>
        <w:t xml:space="preserve">Single-agent chemotherapy, such as a platinum-based agent or a </w:t>
      </w:r>
      <w:proofErr w:type="spellStart"/>
      <w:r>
        <w:t>taxane</w:t>
      </w:r>
      <w:proofErr w:type="spellEnd"/>
    </w:p>
    <w:p w14:paraId="62E09098" w14:textId="1AE68949" w:rsidR="002054FF" w:rsidRDefault="002054FF" w:rsidP="002054FF">
      <w:pPr>
        <w:pStyle w:val="ListBullet"/>
        <w:numPr>
          <w:ilvl w:val="0"/>
          <w:numId w:val="3"/>
        </w:numPr>
      </w:pPr>
      <w:r>
        <w:t>Atezolizumab (see below)</w:t>
      </w:r>
    </w:p>
    <w:p w14:paraId="5C181206" w14:textId="77777777" w:rsidR="002054FF" w:rsidRDefault="002054FF" w:rsidP="002054FF">
      <w:r>
        <w:t>Later line options:</w:t>
      </w:r>
    </w:p>
    <w:p w14:paraId="3F26F55D" w14:textId="77777777" w:rsidR="002D7FFB" w:rsidRDefault="002054FF" w:rsidP="002054FF">
      <w:pPr>
        <w:pStyle w:val="ListBullet"/>
        <w:numPr>
          <w:ilvl w:val="0"/>
          <w:numId w:val="3"/>
        </w:numPr>
      </w:pPr>
      <w:r>
        <w:t xml:space="preserve">Sacituzumab </w:t>
      </w:r>
      <w:proofErr w:type="spellStart"/>
      <w:r>
        <w:t>govitecan</w:t>
      </w:r>
      <w:proofErr w:type="spellEnd"/>
      <w:r>
        <w:t xml:space="preserve"> (not approved for first line use)</w:t>
      </w:r>
    </w:p>
    <w:p w14:paraId="7FCFE48A" w14:textId="68BCB42C" w:rsidR="002054FF" w:rsidRDefault="002054FF" w:rsidP="002054FF">
      <w:pPr>
        <w:pStyle w:val="ListBullet"/>
        <w:numPr>
          <w:ilvl w:val="0"/>
          <w:numId w:val="3"/>
        </w:numPr>
      </w:pPr>
      <w:r>
        <w:t>Pembrolizumab (if</w:t>
      </w:r>
      <w:r w:rsidR="00565418">
        <w:t xml:space="preserve"> </w:t>
      </w:r>
      <w:r>
        <w:t xml:space="preserve">the provisional </w:t>
      </w:r>
      <w:r w:rsidRPr="00EF1E18">
        <w:t>indication for</w:t>
      </w:r>
      <w:r w:rsidR="00EF1E18" w:rsidRPr="00EF1E18">
        <w:t xml:space="preserve"> </w:t>
      </w:r>
      <w:r w:rsidR="00315EDB">
        <w:t xml:space="preserve">high </w:t>
      </w:r>
      <w:r w:rsidR="00EF1E18" w:rsidRPr="00EF1E18">
        <w:t>microsatellite instability</w:t>
      </w:r>
      <w:r w:rsidR="00315EDB">
        <w:t xml:space="preserve"> </w:t>
      </w:r>
      <w:r w:rsidR="00EF1E18" w:rsidRPr="00EF1E18">
        <w:t>(</w:t>
      </w:r>
      <w:r w:rsidRPr="00EF1E18">
        <w:t>MSI</w:t>
      </w:r>
      <w:r w:rsidR="00315EDB">
        <w:noBreakHyphen/>
        <w:t>H</w:t>
      </w:r>
      <w:r w:rsidR="00EF1E18" w:rsidRPr="00EF1E18">
        <w:t>)</w:t>
      </w:r>
      <w:r w:rsidR="00315EDB">
        <w:t>/</w:t>
      </w:r>
      <w:r w:rsidR="00EF1E18" w:rsidRPr="00EF1E18">
        <w:t>mismatch repair deficient (</w:t>
      </w:r>
      <w:proofErr w:type="spellStart"/>
      <w:r w:rsidRPr="00EF1E18">
        <w:t>dMMR</w:t>
      </w:r>
      <w:proofErr w:type="spellEnd"/>
      <w:r w:rsidR="00EF1E18" w:rsidRPr="00EF1E18">
        <w:t>)</w:t>
      </w:r>
      <w:r w:rsidRPr="00EF1E18">
        <w:t xml:space="preserve"> and high </w:t>
      </w:r>
      <w:r w:rsidR="00EF1E18" w:rsidRPr="00EF1E18">
        <w:t xml:space="preserve">tumour mutational burden </w:t>
      </w:r>
      <w:r w:rsidR="00565418">
        <w:t>is fulfilled</w:t>
      </w:r>
      <w:r w:rsidR="001E0309">
        <w:t>, although these mutations are rare in breast cancer</w:t>
      </w:r>
      <w:r w:rsidRPr="00EF1E18">
        <w:t>)</w:t>
      </w:r>
      <w:r w:rsidR="001E0309">
        <w:t>.</w:t>
      </w:r>
    </w:p>
    <w:p w14:paraId="657F821C" w14:textId="4C927C66" w:rsidR="002054FF" w:rsidRDefault="002054FF" w:rsidP="002054FF">
      <w:r>
        <w:t xml:space="preserve">Atezolizumab currently has provisional approval in Australia for the following indication, based on progression-free survival results from </w:t>
      </w:r>
      <w:r w:rsidRPr="00EF1E18">
        <w:t>the IMpassion130 trial:</w:t>
      </w:r>
      <w:bookmarkStart w:id="14" w:name="_Ref130224313"/>
      <w:r w:rsidRPr="00EF1E18">
        <w:rPr>
          <w:rStyle w:val="FootnoteReference"/>
        </w:rPr>
        <w:footnoteReference w:id="11"/>
      </w:r>
      <w:bookmarkEnd w:id="14"/>
    </w:p>
    <w:p w14:paraId="67AF4F4D" w14:textId="4E61571C" w:rsidR="002054FF" w:rsidRPr="00BF6C07" w:rsidRDefault="002054FF" w:rsidP="002054FF">
      <w:pPr>
        <w:ind w:left="720"/>
        <w:rPr>
          <w:i/>
          <w:iCs/>
        </w:rPr>
      </w:pPr>
      <w:proofErr w:type="spellStart"/>
      <w:r w:rsidRPr="00BF6C07">
        <w:rPr>
          <w:i/>
          <w:iCs/>
        </w:rPr>
        <w:t>Tecentriq</w:t>
      </w:r>
      <w:proofErr w:type="spellEnd"/>
      <w:r w:rsidRPr="00BF6C07">
        <w:rPr>
          <w:i/>
          <w:iCs/>
        </w:rPr>
        <w:t>, in combination with nanoparticle albumin-bound paclitaxel, is indicated for the treatment of adult patients with unresectable locally advanced or metastatic triple-negative breast cancer (TNBC) whose tumours express PD-L1 (PD-L1 stained tumour-infiltrating immune cells [IC] of any intensity covering ≥ 1% of the tumour), as determined by a validated test and who have not received prior chemotherapy for metastatic disease.</w:t>
      </w:r>
    </w:p>
    <w:p w14:paraId="12A2DCFD" w14:textId="1F79ECFB" w:rsidR="002D7FFB" w:rsidRDefault="002054FF" w:rsidP="002054FF">
      <w:r>
        <w:t xml:space="preserve">In 2021, the sponsor for atezolizumab withdrew its TNBC indication in the USA. This was due to </w:t>
      </w:r>
      <w:bookmarkStart w:id="15" w:name="_Hlk130393161"/>
      <w:r>
        <w:t xml:space="preserve">the </w:t>
      </w:r>
      <w:r w:rsidRPr="00EF1E18">
        <w:t>confirmatory IMpassion131 trial failing</w:t>
      </w:r>
      <w:r>
        <w:t xml:space="preserve"> to meet its primary endpoint (</w:t>
      </w:r>
      <w:r w:rsidR="007D6FF3">
        <w:t xml:space="preserve">progression-free survival </w:t>
      </w:r>
      <w:r>
        <w:t>in the PD-L1-positive population) in the context of a changed therapeutic landscape in the USA</w:t>
      </w:r>
      <w:bookmarkEnd w:id="15"/>
      <w:r>
        <w:t>.</w:t>
      </w:r>
      <w:bookmarkStart w:id="16" w:name="_Ref130224327"/>
      <w:r>
        <w:rPr>
          <w:rStyle w:val="FootnoteReference"/>
        </w:rPr>
        <w:footnoteReference w:id="12"/>
      </w:r>
      <w:bookmarkEnd w:id="16"/>
    </w:p>
    <w:p w14:paraId="5A7B06AC" w14:textId="549FD45D" w:rsidR="002054FF" w:rsidRDefault="002054FF" w:rsidP="002054FF">
      <w:pPr>
        <w:pStyle w:val="Heading4"/>
      </w:pPr>
      <w:r>
        <w:t>Pembrolizumab</w:t>
      </w:r>
    </w:p>
    <w:p w14:paraId="3CBBCACD" w14:textId="5D48E86D" w:rsidR="002054FF" w:rsidRDefault="002054FF" w:rsidP="002054FF">
      <w:r>
        <w:t>Pembrolizumab is a selective, humani</w:t>
      </w:r>
      <w:r w:rsidR="007D6FF3">
        <w:t>s</w:t>
      </w:r>
      <w:r>
        <w:t>ed monoclonal antibod</w:t>
      </w:r>
      <w:r w:rsidR="001E0309">
        <w:t>y</w:t>
      </w:r>
      <w:r>
        <w:t xml:space="preserve"> of the immunoglobulin </w:t>
      </w:r>
      <w:r w:rsidRPr="00EF1E18">
        <w:t>G4/kappa</w:t>
      </w:r>
      <w:r>
        <w:t xml:space="preserve"> isotype that binds to the human programmed cell death-1 (PD-1) receptor and blocks the interaction between PD-1 and its ligands, </w:t>
      </w:r>
      <w:r w:rsidR="0056312B">
        <w:t>programmed cell death ligand-1 (</w:t>
      </w:r>
      <w:r>
        <w:t>PD</w:t>
      </w:r>
      <w:r w:rsidR="0056312B">
        <w:noBreakHyphen/>
      </w:r>
      <w:r>
        <w:t>L1</w:t>
      </w:r>
      <w:r w:rsidR="0056312B">
        <w:t>)</w:t>
      </w:r>
      <w:r>
        <w:t xml:space="preserve"> and </w:t>
      </w:r>
      <w:r w:rsidR="0056312B">
        <w:t>programmed cell death ligand-2 (</w:t>
      </w:r>
      <w:r>
        <w:t>PD-L2</w:t>
      </w:r>
      <w:r w:rsidR="0056312B">
        <w:t>)</w:t>
      </w:r>
      <w:r>
        <w:t>. This reactivates tumour specific cytotoxic T lymphocytes in the tumour microenvironment and reactivates anti-tumour immunity.</w:t>
      </w:r>
    </w:p>
    <w:p w14:paraId="6516271E" w14:textId="3C737794" w:rsidR="007D6FF3" w:rsidRDefault="002054FF" w:rsidP="002054FF">
      <w:r w:rsidRPr="000A4A42">
        <w:lastRenderedPageBreak/>
        <w:t xml:space="preserve">This evaluation was facilitated through </w:t>
      </w:r>
      <w:hyperlink r:id="rId18" w:history="1">
        <w:r w:rsidRPr="000702B6">
          <w:rPr>
            <w:rStyle w:val="Hyperlink"/>
          </w:rPr>
          <w:t>Project Orbis</w:t>
        </w:r>
      </w:hyperlink>
      <w:r>
        <w:t>,</w:t>
      </w:r>
      <w:r w:rsidRPr="000A4A42">
        <w:t xml:space="preserve"> an initiative of the United States (US) Food and Drug Administration (FDA) Oncology </w:t>
      </w:r>
      <w:proofErr w:type="spellStart"/>
      <w:r w:rsidRPr="000A4A42">
        <w:t>Center</w:t>
      </w:r>
      <w:proofErr w:type="spellEnd"/>
      <w:r w:rsidRPr="000A4A42">
        <w:t xml:space="preserve"> of Excellence.</w:t>
      </w:r>
    </w:p>
    <w:p w14:paraId="0B5FFDE8" w14:textId="46B5BEF3" w:rsidR="002054FF" w:rsidRDefault="002054FF" w:rsidP="002054FF">
      <w:r w:rsidRPr="000A4A42">
        <w:t>Under this project, the</w:t>
      </w:r>
      <w:r w:rsidR="00A056E9">
        <w:t xml:space="preserve"> US</w:t>
      </w:r>
      <w:r w:rsidRPr="000A4A42">
        <w:t xml:space="preserve"> </w:t>
      </w:r>
      <w:r w:rsidRPr="001104F5">
        <w:t xml:space="preserve">FDA, Health Canada, Health Sciences Authority (Singapore), </w:t>
      </w:r>
      <w:r>
        <w:t>and the TGA collaboratively reviewed th</w:t>
      </w:r>
      <w:r w:rsidR="007D6FF3">
        <w:t>is</w:t>
      </w:r>
      <w:r>
        <w:t xml:space="preserve"> submission. This evaluation process provided a framework for process alignment and management of evaluation issues in real-time across jurisdictions. </w:t>
      </w:r>
      <w:r w:rsidRPr="000A4A42">
        <w:t xml:space="preserve">Each regulator made independent decisions regarding approval (market authorisation) </w:t>
      </w:r>
      <w:r w:rsidR="00934615">
        <w:t>of this submission</w:t>
      </w:r>
      <w:r w:rsidRPr="000A4A42">
        <w:t>.</w:t>
      </w:r>
    </w:p>
    <w:p w14:paraId="289C7807" w14:textId="77777777" w:rsidR="008E7846" w:rsidRPr="003F31A2" w:rsidRDefault="00386150" w:rsidP="008E7846">
      <w:pPr>
        <w:pStyle w:val="Heading3"/>
      </w:pPr>
      <w:bookmarkStart w:id="17" w:name="_Toc314842485"/>
      <w:bookmarkStart w:id="18" w:name="_Toc247691504"/>
      <w:bookmarkStart w:id="19" w:name="_Toc132283592"/>
      <w:r>
        <w:t>Regulatory s</w:t>
      </w:r>
      <w:r w:rsidR="008E7846">
        <w:t>tatus</w:t>
      </w:r>
      <w:bookmarkEnd w:id="17"/>
      <w:bookmarkEnd w:id="18"/>
      <w:bookmarkEnd w:id="19"/>
    </w:p>
    <w:p w14:paraId="012C9BE9" w14:textId="77777777" w:rsidR="00D43114" w:rsidRDefault="007D6FF3" w:rsidP="008F08F4">
      <w:pPr>
        <w:rPr>
          <w:lang w:eastAsia="ja-JP"/>
        </w:rPr>
      </w:pPr>
      <w:bookmarkStart w:id="20" w:name="_Toc247691505"/>
      <w:bookmarkStart w:id="21" w:name="_Toc314842486"/>
      <w:r>
        <w:rPr>
          <w:lang w:eastAsia="ja-JP"/>
        </w:rPr>
        <w:t xml:space="preserve">Keytruda (pembrolizumab) was first approved </w:t>
      </w:r>
      <w:r w:rsidR="00A30476">
        <w:rPr>
          <w:lang w:eastAsia="ja-JP"/>
        </w:rPr>
        <w:t xml:space="preserve">and registered on the Australian Register of Therapeutic Goods (ARTG) on 16 April 2015 for use </w:t>
      </w:r>
      <w:r w:rsidR="008F08F4">
        <w:rPr>
          <w:lang w:eastAsia="ja-JP"/>
        </w:rPr>
        <w:t>‘</w:t>
      </w:r>
      <w:r w:rsidR="008F08F4" w:rsidRPr="00870904">
        <w:rPr>
          <w:i/>
          <w:lang w:eastAsia="ja-JP"/>
        </w:rPr>
        <w:t>as monotherapy for the treatment of unresectable or metastatic melanoma</w:t>
      </w:r>
      <w:r w:rsidR="008F08F4">
        <w:rPr>
          <w:i/>
          <w:lang w:eastAsia="ja-JP"/>
        </w:rPr>
        <w:t>’</w:t>
      </w:r>
      <w:r>
        <w:rPr>
          <w:lang w:eastAsia="ja-JP"/>
        </w:rPr>
        <w:t>.</w:t>
      </w:r>
      <w:bookmarkStart w:id="22" w:name="_Ref134169587"/>
      <w:r w:rsidR="00A30476">
        <w:rPr>
          <w:rStyle w:val="FootnoteReference"/>
          <w:lang w:eastAsia="ja-JP"/>
        </w:rPr>
        <w:footnoteReference w:id="13"/>
      </w:r>
      <w:bookmarkEnd w:id="22"/>
    </w:p>
    <w:p w14:paraId="0239EB17" w14:textId="707D3931" w:rsidR="002D7FFB" w:rsidRDefault="00A30476" w:rsidP="008F08F4">
      <w:r>
        <w:t>Since initial registration, Keytruda (pembrolizumab) has been approved for use in multiple indications in different forms of cancer</w:t>
      </w:r>
      <w:r w:rsidR="008C30B8">
        <w:t xml:space="preserve"> (see Table 1, below)</w:t>
      </w:r>
      <w:r>
        <w:t>.</w:t>
      </w:r>
      <w:r w:rsidR="008C30B8">
        <w:t xml:space="preserve"> </w:t>
      </w:r>
      <w:r w:rsidR="007D6FF3">
        <w:rPr>
          <w:lang w:eastAsia="ja-JP"/>
        </w:rPr>
        <w:t xml:space="preserve">The </w:t>
      </w:r>
      <w:r w:rsidR="000F00FB">
        <w:rPr>
          <w:lang w:eastAsia="ja-JP"/>
        </w:rPr>
        <w:t xml:space="preserve">specific </w:t>
      </w:r>
      <w:r w:rsidR="007D6FF3">
        <w:rPr>
          <w:lang w:eastAsia="ja-JP"/>
        </w:rPr>
        <w:t xml:space="preserve">product </w:t>
      </w:r>
      <w:r w:rsidR="000F00FB">
        <w:rPr>
          <w:lang w:eastAsia="ja-JP"/>
        </w:rPr>
        <w:t xml:space="preserve">initially registered was Keytruda (pembrolizumab) </w:t>
      </w:r>
      <w:r w:rsidR="005C2ED4">
        <w:rPr>
          <w:lang w:eastAsia="ja-JP"/>
        </w:rPr>
        <w:t xml:space="preserve">50 mg powder for injection </w:t>
      </w:r>
      <w:r w:rsidR="000F00FB">
        <w:rPr>
          <w:lang w:eastAsia="ja-JP"/>
        </w:rPr>
        <w:t>(</w:t>
      </w:r>
      <w:r w:rsidR="005C2ED4">
        <w:rPr>
          <w:lang w:eastAsia="ja-JP"/>
        </w:rPr>
        <w:t>vial</w:t>
      </w:r>
      <w:r w:rsidR="000F00FB">
        <w:rPr>
          <w:lang w:eastAsia="ja-JP"/>
        </w:rPr>
        <w:t>).</w:t>
      </w:r>
      <w:r w:rsidR="005C2ED4">
        <w:rPr>
          <w:lang w:eastAsia="ja-JP"/>
        </w:rPr>
        <w:t xml:space="preserve"> </w:t>
      </w:r>
      <w:r w:rsidR="000F00FB">
        <w:rPr>
          <w:lang w:eastAsia="ja-JP"/>
        </w:rPr>
        <w:t>T</w:t>
      </w:r>
      <w:r w:rsidR="005C2ED4">
        <w:rPr>
          <w:lang w:eastAsia="ja-JP"/>
        </w:rPr>
        <w:t>his product is no longer registered in Australia</w:t>
      </w:r>
      <w:r w:rsidR="000F00FB">
        <w:rPr>
          <w:lang w:eastAsia="ja-JP"/>
        </w:rPr>
        <w:t xml:space="preserve">, having been replaced by </w:t>
      </w:r>
      <w:r w:rsidR="005C2ED4">
        <w:rPr>
          <w:lang w:eastAsia="ja-JP"/>
        </w:rPr>
        <w:t>Keytruda</w:t>
      </w:r>
      <w:r w:rsidR="00E33534">
        <w:t xml:space="preserve"> </w:t>
      </w:r>
      <w:r w:rsidR="000F00FB">
        <w:t xml:space="preserve">(pembrolizumab) </w:t>
      </w:r>
      <w:r w:rsidR="005C2ED4">
        <w:t xml:space="preserve">100 mg/4 mL concentrated injection </w:t>
      </w:r>
      <w:r w:rsidR="000F00FB">
        <w:t>(</w:t>
      </w:r>
      <w:r w:rsidR="005C2ED4">
        <w:t>vial</w:t>
      </w:r>
      <w:r w:rsidR="000F00FB">
        <w:t>)</w:t>
      </w:r>
      <w:r w:rsidR="00E33534">
        <w:t xml:space="preserve"> </w:t>
      </w:r>
      <w:r w:rsidR="00745EB8">
        <w:t xml:space="preserve">which </w:t>
      </w:r>
      <w:r w:rsidR="002054FF">
        <w:t xml:space="preserve">received </w:t>
      </w:r>
      <w:r w:rsidR="00745EB8">
        <w:t xml:space="preserve">ARTG </w:t>
      </w:r>
      <w:r w:rsidR="002054FF">
        <w:t>registration on 8</w:t>
      </w:r>
      <w:r w:rsidR="00745EB8">
        <w:t> </w:t>
      </w:r>
      <w:r w:rsidR="002054FF">
        <w:t>March</w:t>
      </w:r>
      <w:r w:rsidR="00745EB8">
        <w:t> </w:t>
      </w:r>
      <w:r w:rsidR="002054FF">
        <w:t>2016</w:t>
      </w:r>
      <w:r w:rsidR="008C30B8">
        <w:t xml:space="preserve"> and </w:t>
      </w:r>
      <w:r w:rsidR="000F00FB">
        <w:t>is the product considered in this submission</w:t>
      </w:r>
      <w:r w:rsidR="005C2ED4">
        <w:t>.</w:t>
      </w:r>
    </w:p>
    <w:p w14:paraId="76C4ED78" w14:textId="7D35E30E" w:rsidR="002054FF" w:rsidRDefault="002054FF" w:rsidP="002054FF">
      <w:r>
        <w:t>At the time t</w:t>
      </w:r>
      <w:r w:rsidR="00991D6C">
        <w:t xml:space="preserve">his </w:t>
      </w:r>
      <w:r>
        <w:t xml:space="preserve">submission was under consideration, </w:t>
      </w:r>
      <w:r w:rsidR="00991D6C">
        <w:t xml:space="preserve">pembrolizumab was registered in Australia for </w:t>
      </w:r>
      <w:r>
        <w:t>multiple</w:t>
      </w:r>
      <w:r w:rsidR="00991D6C">
        <w:t xml:space="preserve"> indications, </w:t>
      </w:r>
      <w:r>
        <w:t xml:space="preserve">as listed in </w:t>
      </w:r>
      <w:r>
        <w:fldChar w:fldCharType="begin"/>
      </w:r>
      <w:r>
        <w:instrText xml:space="preserve"> REF _Ref124847978 \h </w:instrText>
      </w:r>
      <w:r>
        <w:fldChar w:fldCharType="separate"/>
      </w:r>
      <w:r w:rsidR="00A02570">
        <w:t xml:space="preserve">Table </w:t>
      </w:r>
      <w:r w:rsidR="00A02570">
        <w:rPr>
          <w:noProof/>
        </w:rPr>
        <w:t>1</w:t>
      </w:r>
      <w:r>
        <w:fldChar w:fldCharType="end"/>
      </w:r>
      <w:r>
        <w:t>.</w:t>
      </w:r>
    </w:p>
    <w:p w14:paraId="1D0FCCEF" w14:textId="025089EC" w:rsidR="002054FF" w:rsidRDefault="002054FF" w:rsidP="002054FF">
      <w:pPr>
        <w:pStyle w:val="TableTitle"/>
      </w:pPr>
      <w:bookmarkStart w:id="23" w:name="_Ref124847978"/>
      <w:r>
        <w:t xml:space="preserve">Table </w:t>
      </w:r>
      <w:r>
        <w:fldChar w:fldCharType="begin"/>
      </w:r>
      <w:r>
        <w:instrText>SEQ Table \* ARABIC</w:instrText>
      </w:r>
      <w:r>
        <w:fldChar w:fldCharType="separate"/>
      </w:r>
      <w:r w:rsidR="00A02570">
        <w:rPr>
          <w:noProof/>
        </w:rPr>
        <w:t>1</w:t>
      </w:r>
      <w:r>
        <w:fldChar w:fldCharType="end"/>
      </w:r>
      <w:bookmarkEnd w:id="23"/>
      <w:r>
        <w:t xml:space="preserve">: </w:t>
      </w:r>
      <w:r w:rsidR="000E4EE0">
        <w:t>Previously approved</w:t>
      </w:r>
      <w:r>
        <w:t xml:space="preserve"> indications for </w:t>
      </w:r>
      <w:r w:rsidR="00745EB8">
        <w:t>Keytruda (</w:t>
      </w:r>
      <w:r>
        <w:t>pembrolizumab</w:t>
      </w:r>
      <w:r w:rsidR="00745EB8">
        <w:t>)</w:t>
      </w:r>
      <w:r>
        <w:t xml:space="preserve"> in Australia, as of </w:t>
      </w:r>
      <w:r w:rsidR="00EF1E18">
        <w:t>2</w:t>
      </w:r>
      <w:r w:rsidR="000E4EE0">
        <w:t> </w:t>
      </w:r>
      <w:r>
        <w:t>September 2022</w:t>
      </w:r>
    </w:p>
    <w:tbl>
      <w:tblPr>
        <w:tblStyle w:val="TableTGAblue"/>
        <w:tblW w:w="8928" w:type="dxa"/>
        <w:tblInd w:w="-118" w:type="dxa"/>
        <w:tblLook w:val="04A0" w:firstRow="1" w:lastRow="0" w:firstColumn="1" w:lastColumn="0" w:noHBand="0" w:noVBand="1"/>
      </w:tblPr>
      <w:tblGrid>
        <w:gridCol w:w="1449"/>
        <w:gridCol w:w="7479"/>
      </w:tblGrid>
      <w:tr w:rsidR="002054FF" w:rsidRPr="00D161FC" w14:paraId="2028F903" w14:textId="77777777" w:rsidTr="00870904">
        <w:trPr>
          <w:cnfStyle w:val="100000000000" w:firstRow="1" w:lastRow="0" w:firstColumn="0" w:lastColumn="0" w:oddVBand="0" w:evenVBand="0" w:oddHBand="0" w:evenHBand="0" w:firstRowFirstColumn="0" w:firstRowLastColumn="0" w:lastRowFirstColumn="0" w:lastRowLastColumn="0"/>
        </w:trPr>
        <w:tc>
          <w:tcPr>
            <w:tcW w:w="1008" w:type="dxa"/>
            <w:vAlign w:val="center"/>
          </w:tcPr>
          <w:p w14:paraId="0235A553" w14:textId="77777777" w:rsidR="002054FF" w:rsidRPr="00D161FC" w:rsidRDefault="002054FF" w:rsidP="00870904">
            <w:pPr>
              <w:ind w:left="0" w:right="0"/>
            </w:pPr>
            <w:r w:rsidRPr="00D161FC">
              <w:t>Tumour type</w:t>
            </w:r>
          </w:p>
        </w:tc>
        <w:tc>
          <w:tcPr>
            <w:tcW w:w="7920" w:type="dxa"/>
            <w:vAlign w:val="center"/>
          </w:tcPr>
          <w:p w14:paraId="5F1412FA" w14:textId="77777777" w:rsidR="002054FF" w:rsidRPr="00D161FC" w:rsidRDefault="002054FF" w:rsidP="00870904">
            <w:pPr>
              <w:ind w:left="0" w:right="0"/>
            </w:pPr>
            <w:r w:rsidRPr="00D161FC">
              <w:t>Indication wording</w:t>
            </w:r>
          </w:p>
        </w:tc>
      </w:tr>
      <w:tr w:rsidR="002054FF" w:rsidRPr="00D161FC" w14:paraId="4441B85D" w14:textId="77777777" w:rsidTr="00870904">
        <w:tc>
          <w:tcPr>
            <w:tcW w:w="1008" w:type="dxa"/>
          </w:tcPr>
          <w:p w14:paraId="5EE599B1" w14:textId="77777777" w:rsidR="002054FF" w:rsidRPr="00870904" w:rsidRDefault="002054FF" w:rsidP="00870904">
            <w:pPr>
              <w:ind w:left="0" w:right="0"/>
              <w:rPr>
                <w:sz w:val="21"/>
              </w:rPr>
            </w:pPr>
            <w:r w:rsidRPr="00870904">
              <w:rPr>
                <w:sz w:val="21"/>
              </w:rPr>
              <w:t>Melanoma</w:t>
            </w:r>
          </w:p>
        </w:tc>
        <w:tc>
          <w:tcPr>
            <w:tcW w:w="7920" w:type="dxa"/>
          </w:tcPr>
          <w:p w14:paraId="2945FE95" w14:textId="221DE883" w:rsidR="002054FF" w:rsidRPr="00870904" w:rsidRDefault="00D75912" w:rsidP="00870904">
            <w:pPr>
              <w:ind w:left="0" w:right="0"/>
              <w:rPr>
                <w:i/>
                <w:iCs/>
                <w:sz w:val="21"/>
              </w:rPr>
            </w:pPr>
            <w:r w:rsidRPr="00870904">
              <w:rPr>
                <w:i/>
                <w:iCs/>
                <w:sz w:val="21"/>
              </w:rPr>
              <w:t>Keytruda</w:t>
            </w:r>
            <w:r w:rsidR="002054FF" w:rsidRPr="00870904">
              <w:rPr>
                <w:i/>
                <w:iCs/>
                <w:sz w:val="21"/>
              </w:rPr>
              <w:t xml:space="preserve"> (pembrolizumab) is indicated as monotherapy for the treatment of unresectable or metastatic melanoma in adults.</w:t>
            </w:r>
          </w:p>
          <w:p w14:paraId="7D446774" w14:textId="39321B36" w:rsidR="002054FF" w:rsidRPr="00870904" w:rsidRDefault="00D75912" w:rsidP="00870904">
            <w:pPr>
              <w:ind w:left="0" w:right="0"/>
              <w:rPr>
                <w:i/>
                <w:iCs/>
                <w:sz w:val="21"/>
              </w:rPr>
            </w:pPr>
            <w:r w:rsidRPr="00870904">
              <w:rPr>
                <w:i/>
                <w:iCs/>
                <w:sz w:val="21"/>
              </w:rPr>
              <w:t>Keytruda</w:t>
            </w:r>
            <w:r w:rsidR="002054FF" w:rsidRPr="00870904">
              <w:rPr>
                <w:i/>
                <w:iCs/>
                <w:sz w:val="21"/>
              </w:rPr>
              <w:t xml:space="preserve"> (pembrolizumab) is indicated as monotherapy for the adjuvant treatment of patients with melanoma with lymph node involvement who have undergone complete resection.</w:t>
            </w:r>
          </w:p>
        </w:tc>
      </w:tr>
      <w:tr w:rsidR="002054FF" w:rsidRPr="00D161FC" w14:paraId="11BB7E4D" w14:textId="77777777" w:rsidTr="00870904">
        <w:tc>
          <w:tcPr>
            <w:tcW w:w="1008" w:type="dxa"/>
          </w:tcPr>
          <w:p w14:paraId="284A9EEE" w14:textId="77777777" w:rsidR="002054FF" w:rsidRPr="00870904" w:rsidRDefault="002054FF" w:rsidP="00870904">
            <w:pPr>
              <w:ind w:left="0" w:right="0"/>
              <w:rPr>
                <w:sz w:val="21"/>
              </w:rPr>
            </w:pPr>
            <w:r w:rsidRPr="00870904">
              <w:rPr>
                <w:sz w:val="21"/>
              </w:rPr>
              <w:t>Non-small cell lung cancer (NSCLC)</w:t>
            </w:r>
          </w:p>
        </w:tc>
        <w:tc>
          <w:tcPr>
            <w:tcW w:w="7920" w:type="dxa"/>
          </w:tcPr>
          <w:p w14:paraId="51BFCD74" w14:textId="14DDC72F" w:rsidR="002054FF" w:rsidRPr="00870904" w:rsidRDefault="00D75912" w:rsidP="00870904">
            <w:pPr>
              <w:ind w:left="0" w:right="0"/>
              <w:rPr>
                <w:i/>
                <w:iCs/>
                <w:sz w:val="21"/>
              </w:rPr>
            </w:pPr>
            <w:r w:rsidRPr="00870904">
              <w:rPr>
                <w:i/>
                <w:iCs/>
                <w:sz w:val="21"/>
              </w:rPr>
              <w:t>Keytruda</w:t>
            </w:r>
            <w:r w:rsidR="002054FF" w:rsidRPr="00870904">
              <w:rPr>
                <w:i/>
                <w:iCs/>
                <w:sz w:val="21"/>
              </w:rPr>
              <w:t xml:space="preserve"> (pembrolizumab), in combination with pemetrexed and platinum chemotherapy, is indicated for the first-line treatment of patients with metastatic non-squamous NSCLC, with no EGFR or ALK genomic tumour aberrations.</w:t>
            </w:r>
          </w:p>
          <w:p w14:paraId="4639AF6F" w14:textId="78B05F52" w:rsidR="002054FF" w:rsidRPr="00870904" w:rsidRDefault="00D75912" w:rsidP="00870904">
            <w:pPr>
              <w:ind w:left="0" w:right="0"/>
              <w:rPr>
                <w:i/>
                <w:iCs/>
                <w:sz w:val="21"/>
              </w:rPr>
            </w:pPr>
            <w:r w:rsidRPr="00870904">
              <w:rPr>
                <w:i/>
                <w:iCs/>
                <w:sz w:val="21"/>
              </w:rPr>
              <w:t>Keytruda</w:t>
            </w:r>
            <w:r w:rsidR="002054FF" w:rsidRPr="00870904">
              <w:rPr>
                <w:i/>
                <w:iCs/>
                <w:sz w:val="21"/>
              </w:rPr>
              <w:t xml:space="preserve"> (pembrolizumab), in combination with carboplatin and either paclitaxel or nab</w:t>
            </w:r>
            <w:r w:rsidR="00D5671F" w:rsidRPr="00870904">
              <w:rPr>
                <w:i/>
                <w:iCs/>
                <w:sz w:val="21"/>
              </w:rPr>
              <w:t>-</w:t>
            </w:r>
            <w:r w:rsidR="002054FF" w:rsidRPr="00870904">
              <w:rPr>
                <w:i/>
                <w:iCs/>
                <w:sz w:val="21"/>
              </w:rPr>
              <w:t>paclitaxel, is indicated for the first-line treatment of patients with metastatic squamous NSCLC.</w:t>
            </w:r>
          </w:p>
          <w:p w14:paraId="5440495C" w14:textId="77777777" w:rsidR="00870904" w:rsidRDefault="00D75912" w:rsidP="00870904">
            <w:pPr>
              <w:ind w:left="0" w:right="0"/>
              <w:rPr>
                <w:i/>
                <w:iCs/>
                <w:sz w:val="21"/>
              </w:rPr>
            </w:pPr>
            <w:r w:rsidRPr="00870904">
              <w:rPr>
                <w:i/>
                <w:iCs/>
                <w:sz w:val="21"/>
              </w:rPr>
              <w:t>Keytruda</w:t>
            </w:r>
            <w:r w:rsidR="002054FF" w:rsidRPr="00870904">
              <w:rPr>
                <w:i/>
                <w:iCs/>
                <w:sz w:val="21"/>
              </w:rPr>
              <w:t xml:space="preserve"> (pembrolizumab) is indicated as monotherapy for the first-line treatment of patients with NSCLC expressing PD-L1 [tumour proportion score (TPS) ≥</w:t>
            </w:r>
            <w:r w:rsidR="001E0309" w:rsidRPr="00870904">
              <w:rPr>
                <w:i/>
                <w:iCs/>
                <w:sz w:val="21"/>
              </w:rPr>
              <w:t xml:space="preserve"> </w:t>
            </w:r>
            <w:r w:rsidR="002054FF" w:rsidRPr="00870904">
              <w:rPr>
                <w:i/>
                <w:iCs/>
                <w:sz w:val="21"/>
              </w:rPr>
              <w:t>1%] as determined by a validated test, with no EGFR or ALK genomic tumour aberrations, and is</w:t>
            </w:r>
          </w:p>
          <w:p w14:paraId="4BFFCE05" w14:textId="4F412FA1" w:rsidR="00870904" w:rsidRPr="00F25CAE" w:rsidRDefault="002054FF" w:rsidP="00870904">
            <w:pPr>
              <w:pStyle w:val="ListBullet"/>
              <w:rPr>
                <w:i/>
                <w:iCs/>
              </w:rPr>
            </w:pPr>
            <w:r w:rsidRPr="00F25CAE">
              <w:rPr>
                <w:i/>
                <w:iCs/>
              </w:rPr>
              <w:t>stage III where patients are not candidates for surgical resection or definitive chemoradiation, or</w:t>
            </w:r>
            <w:r w:rsidR="008C30B8" w:rsidRPr="00F25CAE">
              <w:rPr>
                <w:i/>
                <w:iCs/>
              </w:rPr>
              <w:t xml:space="preserve"> </w:t>
            </w:r>
          </w:p>
          <w:p w14:paraId="4583AD7F" w14:textId="77777777" w:rsidR="002054FF" w:rsidRPr="00870904" w:rsidRDefault="002054FF" w:rsidP="00870904">
            <w:pPr>
              <w:pStyle w:val="ListBullet"/>
              <w:numPr>
                <w:ilvl w:val="0"/>
                <w:numId w:val="3"/>
              </w:numPr>
              <w:rPr>
                <w:i/>
                <w:sz w:val="21"/>
              </w:rPr>
            </w:pPr>
            <w:r w:rsidRPr="00870904">
              <w:rPr>
                <w:i/>
                <w:sz w:val="21"/>
              </w:rPr>
              <w:t>metastatic.</w:t>
            </w:r>
          </w:p>
          <w:p w14:paraId="67A3CB4F" w14:textId="129CAFFD" w:rsidR="002054FF" w:rsidRPr="00870904" w:rsidRDefault="00D75912" w:rsidP="00F25CAE">
            <w:pPr>
              <w:ind w:left="0" w:right="0"/>
              <w:rPr>
                <w:i/>
                <w:iCs/>
                <w:sz w:val="21"/>
              </w:rPr>
            </w:pPr>
            <w:r w:rsidRPr="00870904">
              <w:rPr>
                <w:i/>
                <w:iCs/>
                <w:sz w:val="21"/>
              </w:rPr>
              <w:lastRenderedPageBreak/>
              <w:t>Keytruda</w:t>
            </w:r>
            <w:r w:rsidR="002054FF" w:rsidRPr="00870904">
              <w:rPr>
                <w:i/>
                <w:iCs/>
                <w:sz w:val="21"/>
              </w:rPr>
              <w:t xml:space="preserve"> (pembrolizumab) is indicated as monotherapy for the treatment of patients with advanced NSCLC whose tumours express PD-L1 with a ≥</w:t>
            </w:r>
            <w:r w:rsidR="001E0309" w:rsidRPr="00870904">
              <w:rPr>
                <w:i/>
                <w:iCs/>
                <w:sz w:val="21"/>
              </w:rPr>
              <w:t xml:space="preserve"> </w:t>
            </w:r>
            <w:r w:rsidR="002054FF" w:rsidRPr="00870904">
              <w:rPr>
                <w:i/>
                <w:iCs/>
                <w:sz w:val="21"/>
              </w:rPr>
              <w:t xml:space="preserve">1% TPS as determined by a validated test and who have received platinum-containing chemotherapy. Patients with EGFR or ALK genomic tumour aberrations should have received prior therapy for these aberrations prior to receiving </w:t>
            </w:r>
            <w:r w:rsidRPr="00870904">
              <w:rPr>
                <w:i/>
                <w:iCs/>
                <w:sz w:val="21"/>
              </w:rPr>
              <w:t>Keytruda</w:t>
            </w:r>
          </w:p>
        </w:tc>
      </w:tr>
      <w:tr w:rsidR="002054FF" w:rsidRPr="00D161FC" w14:paraId="4440A00E" w14:textId="77777777" w:rsidTr="00870904">
        <w:trPr>
          <w:cantSplit/>
        </w:trPr>
        <w:tc>
          <w:tcPr>
            <w:tcW w:w="1008" w:type="dxa"/>
          </w:tcPr>
          <w:p w14:paraId="60E91953" w14:textId="77777777" w:rsidR="002054FF" w:rsidRPr="00F25CAE" w:rsidRDefault="002054FF" w:rsidP="00F25CAE">
            <w:pPr>
              <w:ind w:left="0" w:right="0"/>
              <w:rPr>
                <w:sz w:val="21"/>
              </w:rPr>
            </w:pPr>
            <w:r w:rsidRPr="00F25CAE">
              <w:rPr>
                <w:sz w:val="21"/>
              </w:rPr>
              <w:lastRenderedPageBreak/>
              <w:t>Head and Neck Squamous Cell Cancer (HNSCC)</w:t>
            </w:r>
          </w:p>
        </w:tc>
        <w:tc>
          <w:tcPr>
            <w:tcW w:w="7920" w:type="dxa"/>
          </w:tcPr>
          <w:p w14:paraId="697D7EAF" w14:textId="4FF1D669"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as monotherapy or in combination with platinum and 5-fluorouracil (5-FU) chemotherapy, is indicated for the first-line treatment of patients with metastatic or unresectable recurrent HNSCC, and whose tumours express PD-L1 [Combined Positive Score (CPS) ≥</w:t>
            </w:r>
            <w:r w:rsidR="00355AA0" w:rsidRPr="00F25CAE">
              <w:rPr>
                <w:i/>
                <w:iCs/>
                <w:sz w:val="21"/>
              </w:rPr>
              <w:t xml:space="preserve"> </w:t>
            </w:r>
            <w:r w:rsidR="002054FF" w:rsidRPr="00F25CAE">
              <w:rPr>
                <w:i/>
                <w:iCs/>
                <w:sz w:val="21"/>
              </w:rPr>
              <w:t>1] as determined by a validated test.</w:t>
            </w:r>
          </w:p>
          <w:p w14:paraId="0E71F13E" w14:textId="0BBB5C61"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as monotherapy for the treatment of patients with metastatic or unresectable recurrent HNSCC with disease progression on or after platinum containing chemotherapy and whose tumours express PD-L1 [Combined Positive Score (CPS) ≥</w:t>
            </w:r>
            <w:r w:rsidR="00355AA0" w:rsidRPr="00F25CAE">
              <w:rPr>
                <w:i/>
                <w:iCs/>
                <w:sz w:val="21"/>
              </w:rPr>
              <w:t xml:space="preserve"> </w:t>
            </w:r>
            <w:r w:rsidR="002054FF" w:rsidRPr="00F25CAE">
              <w:rPr>
                <w:i/>
                <w:iCs/>
                <w:sz w:val="21"/>
              </w:rPr>
              <w:t>1] as determined by a validated test.</w:t>
            </w:r>
          </w:p>
        </w:tc>
      </w:tr>
      <w:tr w:rsidR="002054FF" w:rsidRPr="00D161FC" w14:paraId="1E702721" w14:textId="77777777" w:rsidTr="00870904">
        <w:tc>
          <w:tcPr>
            <w:tcW w:w="1008" w:type="dxa"/>
          </w:tcPr>
          <w:p w14:paraId="7E490C54" w14:textId="77777777" w:rsidR="002054FF" w:rsidRPr="00F25CAE" w:rsidRDefault="002054FF" w:rsidP="00F25CAE">
            <w:pPr>
              <w:ind w:left="0" w:right="0"/>
              <w:rPr>
                <w:sz w:val="21"/>
              </w:rPr>
            </w:pPr>
            <w:r w:rsidRPr="00F25CAE">
              <w:rPr>
                <w:sz w:val="21"/>
              </w:rPr>
              <w:t>Classical Hodgkin Lymphoma (</w:t>
            </w:r>
            <w:proofErr w:type="spellStart"/>
            <w:r w:rsidRPr="00F25CAE">
              <w:rPr>
                <w:sz w:val="21"/>
              </w:rPr>
              <w:t>cHL</w:t>
            </w:r>
            <w:proofErr w:type="spellEnd"/>
            <w:r w:rsidRPr="00F25CAE">
              <w:rPr>
                <w:sz w:val="21"/>
              </w:rPr>
              <w:t>)</w:t>
            </w:r>
          </w:p>
        </w:tc>
        <w:tc>
          <w:tcPr>
            <w:tcW w:w="7920" w:type="dxa"/>
          </w:tcPr>
          <w:p w14:paraId="536AEB26" w14:textId="1A67FBA3"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as monotherapy for the treatment of adult and paediatric patients with relapsed or refractory classical Hodgkin Lymphoma (</w:t>
            </w:r>
            <w:proofErr w:type="spellStart"/>
            <w:r w:rsidR="002054FF" w:rsidRPr="00F25CAE">
              <w:rPr>
                <w:i/>
                <w:iCs/>
                <w:sz w:val="21"/>
              </w:rPr>
              <w:t>cHL</w:t>
            </w:r>
            <w:proofErr w:type="spellEnd"/>
            <w:r w:rsidR="002054FF" w:rsidRPr="00F25CAE">
              <w:rPr>
                <w:i/>
                <w:iCs/>
                <w:sz w:val="21"/>
              </w:rPr>
              <w:t>):</w:t>
            </w:r>
          </w:p>
          <w:p w14:paraId="47CBFBBA" w14:textId="77777777" w:rsidR="002054FF" w:rsidRPr="00870904" w:rsidRDefault="002054FF" w:rsidP="00F25CAE">
            <w:pPr>
              <w:pStyle w:val="ListBullet"/>
              <w:rPr>
                <w:i/>
                <w:iCs/>
              </w:rPr>
            </w:pPr>
            <w:r w:rsidRPr="00870904">
              <w:rPr>
                <w:i/>
                <w:iCs/>
              </w:rPr>
              <w:t>following autologous stem cell transplant (ASCT) or</w:t>
            </w:r>
          </w:p>
          <w:p w14:paraId="7784F020" w14:textId="77777777" w:rsidR="002054FF" w:rsidRPr="00870904" w:rsidRDefault="002054FF" w:rsidP="00F25CAE">
            <w:pPr>
              <w:pStyle w:val="ListBullet"/>
              <w:rPr>
                <w:i/>
                <w:iCs/>
              </w:rPr>
            </w:pPr>
            <w:r w:rsidRPr="00870904">
              <w:rPr>
                <w:i/>
                <w:iCs/>
              </w:rPr>
              <w:t>following at least two prior therapies when ASCT or multi-agent chemotherapy is not a treatment option.</w:t>
            </w:r>
          </w:p>
          <w:p w14:paraId="41FCE87F" w14:textId="42B216F2" w:rsidR="002054FF" w:rsidRPr="00F25CAE" w:rsidRDefault="002054FF" w:rsidP="00F25CAE">
            <w:pPr>
              <w:ind w:left="0" w:right="0"/>
              <w:rPr>
                <w:i/>
                <w:iCs/>
                <w:sz w:val="21"/>
              </w:rPr>
            </w:pPr>
            <w:r w:rsidRPr="00F25CAE">
              <w:rPr>
                <w:i/>
                <w:iCs/>
                <w:sz w:val="21"/>
              </w:rPr>
              <w:t xml:space="preserve">The approval of this indication in paediatric patients is </w:t>
            </w:r>
            <w:proofErr w:type="gramStart"/>
            <w:r w:rsidRPr="00F25CAE">
              <w:rPr>
                <w:i/>
                <w:iCs/>
                <w:sz w:val="21"/>
              </w:rPr>
              <w:t>on the basis of</w:t>
            </w:r>
            <w:proofErr w:type="gramEnd"/>
            <w:r w:rsidRPr="00F25CAE">
              <w:rPr>
                <w:i/>
                <w:iCs/>
                <w:sz w:val="21"/>
              </w:rPr>
              <w:t xml:space="preserve"> objective response rate from patients aged 11 years and older from single arm trial data and extrapolation from adult data (see Section 5.1 P</w:t>
            </w:r>
            <w:r w:rsidR="000E4EE0" w:rsidRPr="00F25CAE">
              <w:rPr>
                <w:i/>
                <w:iCs/>
                <w:sz w:val="21"/>
              </w:rPr>
              <w:t>harmacodynamic Properties</w:t>
            </w:r>
            <w:r w:rsidRPr="00F25CAE">
              <w:rPr>
                <w:i/>
                <w:iCs/>
                <w:sz w:val="21"/>
              </w:rPr>
              <w:t>, Clinical Trials).</w:t>
            </w:r>
          </w:p>
        </w:tc>
      </w:tr>
      <w:tr w:rsidR="002054FF" w:rsidRPr="00D161FC" w14:paraId="62E375C7" w14:textId="77777777" w:rsidTr="00870904">
        <w:tc>
          <w:tcPr>
            <w:tcW w:w="1008" w:type="dxa"/>
          </w:tcPr>
          <w:p w14:paraId="4F99F268" w14:textId="77777777" w:rsidR="002054FF" w:rsidRPr="00F25CAE" w:rsidRDefault="002054FF" w:rsidP="00F25CAE">
            <w:pPr>
              <w:ind w:left="0" w:right="0"/>
              <w:rPr>
                <w:sz w:val="21"/>
              </w:rPr>
            </w:pPr>
            <w:r w:rsidRPr="00F25CAE">
              <w:rPr>
                <w:sz w:val="21"/>
              </w:rPr>
              <w:t>Primary mediastinal B-Cell Lymphoma (PMBCL)</w:t>
            </w:r>
          </w:p>
        </w:tc>
        <w:tc>
          <w:tcPr>
            <w:tcW w:w="7920" w:type="dxa"/>
          </w:tcPr>
          <w:p w14:paraId="5FF55C51" w14:textId="374200F1"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for the treatment of adult and paediatric patients with refractory primary mediastinal B-cell lymphoma (PMBCL), or who have relapsed after 2 or more prior lines of therapy. The approval of this indication is </w:t>
            </w:r>
            <w:proofErr w:type="gramStart"/>
            <w:r w:rsidR="002054FF" w:rsidRPr="00F25CAE">
              <w:rPr>
                <w:i/>
                <w:iCs/>
                <w:sz w:val="21"/>
              </w:rPr>
              <w:t>on the basis of</w:t>
            </w:r>
            <w:proofErr w:type="gramEnd"/>
            <w:r w:rsidR="002054FF" w:rsidRPr="00F25CAE">
              <w:rPr>
                <w:i/>
                <w:iCs/>
                <w:sz w:val="21"/>
              </w:rPr>
              <w:t xml:space="preserve"> objective response rate (ORR) and duration of response from non-randomised studies. See Section 5.1 </w:t>
            </w:r>
            <w:r w:rsidR="001E0309" w:rsidRPr="00F25CAE">
              <w:rPr>
                <w:i/>
                <w:iCs/>
                <w:sz w:val="21"/>
              </w:rPr>
              <w:t>Pharmacodynamic Properties</w:t>
            </w:r>
            <w:r w:rsidR="000124EE" w:rsidRPr="00F25CAE">
              <w:rPr>
                <w:i/>
                <w:iCs/>
                <w:sz w:val="21"/>
              </w:rPr>
              <w:t>,</w:t>
            </w:r>
            <w:r w:rsidR="002054FF" w:rsidRPr="00F25CAE">
              <w:rPr>
                <w:i/>
                <w:iCs/>
                <w:sz w:val="21"/>
              </w:rPr>
              <w:t xml:space="preserve"> Clinical Trials.</w:t>
            </w:r>
          </w:p>
        </w:tc>
      </w:tr>
      <w:tr w:rsidR="002054FF" w:rsidRPr="00D161FC" w14:paraId="761FFE55" w14:textId="77777777" w:rsidTr="00870904">
        <w:tc>
          <w:tcPr>
            <w:tcW w:w="1008" w:type="dxa"/>
          </w:tcPr>
          <w:p w14:paraId="4B2A31C7" w14:textId="77777777" w:rsidR="002054FF" w:rsidRPr="00F25CAE" w:rsidRDefault="002054FF" w:rsidP="00F25CAE">
            <w:pPr>
              <w:ind w:left="0" w:right="0"/>
              <w:rPr>
                <w:sz w:val="21"/>
              </w:rPr>
            </w:pPr>
            <w:r w:rsidRPr="00F25CAE">
              <w:rPr>
                <w:sz w:val="21"/>
              </w:rPr>
              <w:t>Urothelial carcinoma</w:t>
            </w:r>
          </w:p>
        </w:tc>
        <w:tc>
          <w:tcPr>
            <w:tcW w:w="7920" w:type="dxa"/>
          </w:tcPr>
          <w:p w14:paraId="2CC47B02" w14:textId="3A7616F6"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as monotherapy for the treatment of patients with locally advanced or metastatic urothelial carcinoma who are not eligible for any platinum containing chemotherapy. This indication is approved based on overall response rate and duration of response in a single-arm study. Improvements in overall survival, progression-free survival, or health-related quality of life have not been established.</w:t>
            </w:r>
          </w:p>
          <w:p w14:paraId="08AFBBCB" w14:textId="5BDC0895"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as monotherapy for the treatment of patients with locally advanced or metastatic urothelial carcinoma who have received platinum containing chemotherapy.</w:t>
            </w:r>
          </w:p>
          <w:p w14:paraId="58C419D6" w14:textId="387CE656"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for the treatment of patients with Bacillus Calmette- Guerin (BCG)-unresponsive, high-risk, non-muscle invasive bladder cancer (NMIBC) with carcinoma in-situ (CIS) with or without papillary tumours who are ineligible for or have elected not to undergo cystectomy. This indication was approved via the provisional approval pathway based on complete response rate and duration of response. Continued approval of this indication depends on verification and description of benefit in confirmatory trials.</w:t>
            </w:r>
          </w:p>
        </w:tc>
      </w:tr>
      <w:tr w:rsidR="002054FF" w:rsidRPr="00D161FC" w14:paraId="39C2890F" w14:textId="77777777" w:rsidTr="00870904">
        <w:trPr>
          <w:cantSplit/>
        </w:trPr>
        <w:tc>
          <w:tcPr>
            <w:tcW w:w="1008" w:type="dxa"/>
          </w:tcPr>
          <w:p w14:paraId="446CE9AE" w14:textId="051E350B" w:rsidR="002054FF" w:rsidRPr="00F25CAE" w:rsidRDefault="002054FF" w:rsidP="00F25CAE">
            <w:pPr>
              <w:ind w:left="0" w:right="0"/>
              <w:rPr>
                <w:sz w:val="21"/>
              </w:rPr>
            </w:pPr>
            <w:r w:rsidRPr="00F25CAE">
              <w:rPr>
                <w:sz w:val="21"/>
              </w:rPr>
              <w:lastRenderedPageBreak/>
              <w:t>Microsatellite instability</w:t>
            </w:r>
            <w:r w:rsidR="005C2ED4" w:rsidRPr="00F25CAE">
              <w:rPr>
                <w:sz w:val="21"/>
              </w:rPr>
              <w:t xml:space="preserve"> </w:t>
            </w:r>
            <w:r w:rsidRPr="00F25CAE">
              <w:rPr>
                <w:sz w:val="21"/>
              </w:rPr>
              <w:t>-high (MSI-H) or mismatch repair deficient (</w:t>
            </w:r>
            <w:proofErr w:type="spellStart"/>
            <w:r w:rsidRPr="00F25CAE">
              <w:rPr>
                <w:sz w:val="21"/>
              </w:rPr>
              <w:t>dMMR</w:t>
            </w:r>
            <w:proofErr w:type="spellEnd"/>
            <w:r w:rsidRPr="00F25CAE">
              <w:rPr>
                <w:sz w:val="21"/>
              </w:rPr>
              <w:t>) cancer</w:t>
            </w:r>
          </w:p>
        </w:tc>
        <w:tc>
          <w:tcPr>
            <w:tcW w:w="7920" w:type="dxa"/>
          </w:tcPr>
          <w:p w14:paraId="214D9A25" w14:textId="6EFA3A70" w:rsidR="002054FF" w:rsidRPr="00F25CAE" w:rsidRDefault="002054FF" w:rsidP="00F25CAE">
            <w:pPr>
              <w:ind w:left="0" w:right="0"/>
              <w:rPr>
                <w:i/>
                <w:iCs/>
                <w:sz w:val="21"/>
              </w:rPr>
            </w:pPr>
            <w:r w:rsidRPr="00F25CAE">
              <w:rPr>
                <w:i/>
                <w:iCs/>
                <w:sz w:val="21"/>
              </w:rPr>
              <w:t xml:space="preserve">Colorectal (previously untreated) </w:t>
            </w:r>
            <w:r w:rsidR="00D75912" w:rsidRPr="00F25CAE">
              <w:rPr>
                <w:i/>
                <w:iCs/>
                <w:sz w:val="21"/>
              </w:rPr>
              <w:t>Keytruda</w:t>
            </w:r>
            <w:r w:rsidRPr="00F25CAE">
              <w:rPr>
                <w:i/>
                <w:iCs/>
                <w:sz w:val="21"/>
              </w:rPr>
              <w:t xml:space="preserve"> (pembrolizumab) is indicated for the first-line treatment of patients with unresectable or metastatic colorectal cancer (CRC) that is MSI-H or </w:t>
            </w:r>
            <w:proofErr w:type="spellStart"/>
            <w:r w:rsidRPr="00F25CAE">
              <w:rPr>
                <w:i/>
                <w:iCs/>
                <w:sz w:val="21"/>
              </w:rPr>
              <w:t>dMMR</w:t>
            </w:r>
            <w:proofErr w:type="spellEnd"/>
            <w:r w:rsidRPr="00F25CAE">
              <w:rPr>
                <w:i/>
                <w:iCs/>
                <w:sz w:val="21"/>
              </w:rPr>
              <w:t xml:space="preserve"> as determined by a validated test.</w:t>
            </w:r>
          </w:p>
          <w:p w14:paraId="391F406E" w14:textId="77777777" w:rsidR="002054FF" w:rsidRPr="00F25CAE" w:rsidRDefault="002054FF" w:rsidP="00F25CAE">
            <w:pPr>
              <w:ind w:left="0" w:right="0"/>
              <w:rPr>
                <w:i/>
                <w:iCs/>
                <w:sz w:val="21"/>
              </w:rPr>
            </w:pPr>
            <w:r w:rsidRPr="00F25CAE">
              <w:rPr>
                <w:i/>
                <w:iCs/>
                <w:sz w:val="21"/>
              </w:rPr>
              <w:t>Colorectal (previously treated)</w:t>
            </w:r>
          </w:p>
          <w:p w14:paraId="7EF77E45" w14:textId="02AD149A"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in adult and paediatric patients for the treatment of unresectable or metastatic CRC that is MSI-H or </w:t>
            </w:r>
            <w:proofErr w:type="spellStart"/>
            <w:r w:rsidR="002054FF" w:rsidRPr="00F25CAE">
              <w:rPr>
                <w:i/>
                <w:iCs/>
                <w:sz w:val="21"/>
              </w:rPr>
              <w:t>dMMR</w:t>
            </w:r>
            <w:proofErr w:type="spellEnd"/>
            <w:r w:rsidR="002054FF" w:rsidRPr="00F25CAE">
              <w:rPr>
                <w:i/>
                <w:iCs/>
                <w:sz w:val="21"/>
              </w:rPr>
              <w:t xml:space="preserve"> as determined by a validated test, and that has progressed following treatment with a fluoropyrimidine, oxaliplatin, and irinotecan. This indication was approved via the provisional approval pathway, based on objective response rate and response duration in a single-arm trial. Continued approval for this indication depends on verification and description of clinical benefit in the confirmatory trials.</w:t>
            </w:r>
          </w:p>
          <w:p w14:paraId="77B413C0" w14:textId="77777777" w:rsidR="002054FF" w:rsidRPr="00F25CAE" w:rsidRDefault="002054FF" w:rsidP="00F25CAE">
            <w:pPr>
              <w:ind w:left="0" w:right="0"/>
              <w:rPr>
                <w:i/>
                <w:iCs/>
                <w:sz w:val="21"/>
              </w:rPr>
            </w:pPr>
            <w:r w:rsidRPr="00F25CAE">
              <w:rPr>
                <w:i/>
                <w:iCs/>
                <w:sz w:val="21"/>
              </w:rPr>
              <w:t>Non-colorectal</w:t>
            </w:r>
          </w:p>
          <w:p w14:paraId="4667F103" w14:textId="51F4237E"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in adult and paediatric patients for the treatment of unresectable or metastatic solid tumours that are MSI-H or </w:t>
            </w:r>
            <w:proofErr w:type="spellStart"/>
            <w:r w:rsidR="002054FF" w:rsidRPr="00F25CAE">
              <w:rPr>
                <w:i/>
                <w:iCs/>
                <w:sz w:val="21"/>
              </w:rPr>
              <w:t>dMMR</w:t>
            </w:r>
            <w:proofErr w:type="spellEnd"/>
            <w:r w:rsidR="002054FF" w:rsidRPr="00F25CAE">
              <w:rPr>
                <w:i/>
                <w:iCs/>
                <w:sz w:val="21"/>
              </w:rPr>
              <w:t xml:space="preserve"> as determined by a validated test, that have progressed following prior treatment and when there are no satisfactory alternative treatment options. This indication was approved via the provisional approval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rsidR="002054FF" w:rsidRPr="00F25CAE">
              <w:rPr>
                <w:i/>
                <w:iCs/>
                <w:sz w:val="21"/>
              </w:rPr>
              <w:t>dMMR</w:t>
            </w:r>
            <w:proofErr w:type="spellEnd"/>
            <w:r w:rsidR="002054FF" w:rsidRPr="00F25CAE">
              <w:rPr>
                <w:i/>
                <w:iCs/>
                <w:sz w:val="21"/>
              </w:rPr>
              <w:t xml:space="preserve"> tests for each of the tissue types,</w:t>
            </w:r>
            <w:r w:rsidR="001E0309" w:rsidRPr="00F25CAE">
              <w:rPr>
                <w:i/>
                <w:iCs/>
                <w:sz w:val="21"/>
              </w:rPr>
              <w:t xml:space="preserve"> </w:t>
            </w:r>
            <w:r w:rsidR="002054FF" w:rsidRPr="00F25CAE">
              <w:rPr>
                <w:i/>
                <w:iCs/>
                <w:sz w:val="21"/>
              </w:rPr>
              <w:t>individually. The assumption that MSI-H/</w:t>
            </w:r>
            <w:proofErr w:type="spellStart"/>
            <w:r w:rsidR="002054FF" w:rsidRPr="00F25CAE">
              <w:rPr>
                <w:i/>
                <w:iCs/>
                <w:sz w:val="21"/>
              </w:rPr>
              <w:t>dMMR</w:t>
            </w:r>
            <w:proofErr w:type="spellEnd"/>
            <w:r w:rsidR="002054FF" w:rsidRPr="00F25CAE">
              <w:rPr>
                <w:i/>
                <w:iCs/>
                <w:sz w:val="21"/>
              </w:rPr>
              <w:t xml:space="preserve">-status is predictive of the treatment effect of </w:t>
            </w:r>
            <w:r w:rsidRPr="00F25CAE">
              <w:rPr>
                <w:i/>
                <w:iCs/>
                <w:sz w:val="21"/>
              </w:rPr>
              <w:t>Keytruda</w:t>
            </w:r>
            <w:r w:rsidR="002054FF" w:rsidRPr="00F25CAE">
              <w:rPr>
                <w:i/>
                <w:iCs/>
                <w:sz w:val="21"/>
              </w:rPr>
              <w:t xml:space="preserve"> for every tissue type has not been verified. Continued approval for this indication depends on verification and description of clinical benefit in the confirmatory trials.</w:t>
            </w:r>
          </w:p>
          <w:p w14:paraId="1C95CC12" w14:textId="0C46E0BD" w:rsidR="002054FF" w:rsidRPr="00F25CAE" w:rsidRDefault="002054FF" w:rsidP="00F25CAE">
            <w:pPr>
              <w:ind w:left="0" w:right="0"/>
              <w:rPr>
                <w:i/>
                <w:iCs/>
                <w:sz w:val="21"/>
              </w:rPr>
            </w:pPr>
            <w:r w:rsidRPr="00F25CAE">
              <w:rPr>
                <w:i/>
                <w:iCs/>
                <w:sz w:val="21"/>
              </w:rPr>
              <w:t xml:space="preserve">The safety and effectiveness of </w:t>
            </w:r>
            <w:r w:rsidR="00D75912" w:rsidRPr="00F25CAE">
              <w:rPr>
                <w:i/>
                <w:iCs/>
                <w:sz w:val="21"/>
              </w:rPr>
              <w:t>Keytruda</w:t>
            </w:r>
            <w:r w:rsidRPr="00F25CAE">
              <w:rPr>
                <w:i/>
                <w:iCs/>
                <w:sz w:val="21"/>
              </w:rPr>
              <w:t xml:space="preserve"> in paediatric patients with MSI-H/</w:t>
            </w:r>
            <w:proofErr w:type="spellStart"/>
            <w:r w:rsidRPr="00F25CAE">
              <w:rPr>
                <w:i/>
                <w:iCs/>
                <w:sz w:val="21"/>
              </w:rPr>
              <w:t>dMMR</w:t>
            </w:r>
            <w:proofErr w:type="spellEnd"/>
            <w:r w:rsidRPr="00F25CAE">
              <w:rPr>
                <w:i/>
                <w:iCs/>
                <w:sz w:val="21"/>
              </w:rPr>
              <w:t xml:space="preserve"> central nervous system cancers have not been established.</w:t>
            </w:r>
          </w:p>
        </w:tc>
      </w:tr>
      <w:tr w:rsidR="002054FF" w:rsidRPr="00D161FC" w14:paraId="7BDE58CF" w14:textId="77777777" w:rsidTr="00870904">
        <w:tc>
          <w:tcPr>
            <w:tcW w:w="1008" w:type="dxa"/>
          </w:tcPr>
          <w:p w14:paraId="7710D8F7" w14:textId="77777777" w:rsidR="002054FF" w:rsidRPr="00F25CAE" w:rsidRDefault="002054FF" w:rsidP="00F25CAE">
            <w:pPr>
              <w:ind w:left="0" w:right="0"/>
              <w:rPr>
                <w:sz w:val="21"/>
              </w:rPr>
            </w:pPr>
            <w:r w:rsidRPr="00F25CAE">
              <w:rPr>
                <w:sz w:val="21"/>
              </w:rPr>
              <w:t>Endometrial carcinoma</w:t>
            </w:r>
          </w:p>
        </w:tc>
        <w:tc>
          <w:tcPr>
            <w:tcW w:w="7920" w:type="dxa"/>
          </w:tcPr>
          <w:p w14:paraId="5C6077BC" w14:textId="26A1015D"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in combination with </w:t>
            </w:r>
            <w:proofErr w:type="spellStart"/>
            <w:r w:rsidR="002054FF" w:rsidRPr="00F25CAE">
              <w:rPr>
                <w:i/>
                <w:iCs/>
                <w:sz w:val="21"/>
              </w:rPr>
              <w:t>lenvatinib</w:t>
            </w:r>
            <w:proofErr w:type="spellEnd"/>
            <w:r w:rsidR="002054FF" w:rsidRPr="00F25CAE">
              <w:rPr>
                <w:i/>
                <w:iCs/>
                <w:sz w:val="21"/>
              </w:rPr>
              <w:t xml:space="preserve">, is indicated for the treatment of patients with advanced endometrial carcinoma that is not MSI-H or </w:t>
            </w:r>
            <w:proofErr w:type="spellStart"/>
            <w:r w:rsidR="002054FF" w:rsidRPr="00F25CAE">
              <w:rPr>
                <w:i/>
                <w:iCs/>
                <w:sz w:val="21"/>
              </w:rPr>
              <w:t>dMMR</w:t>
            </w:r>
            <w:proofErr w:type="spellEnd"/>
            <w:r w:rsidR="002054FF" w:rsidRPr="00F25CAE">
              <w:rPr>
                <w:i/>
                <w:iCs/>
                <w:sz w:val="21"/>
              </w:rPr>
              <w:t>, who have disease progression following prior systemic therapy in any setting and are not candidates for curative surgery or radiation.</w:t>
            </w:r>
          </w:p>
        </w:tc>
      </w:tr>
      <w:tr w:rsidR="002054FF" w:rsidRPr="00D161FC" w14:paraId="4A799919" w14:textId="77777777" w:rsidTr="00870904">
        <w:tc>
          <w:tcPr>
            <w:tcW w:w="1008" w:type="dxa"/>
          </w:tcPr>
          <w:p w14:paraId="1C020486" w14:textId="77777777" w:rsidR="002054FF" w:rsidRPr="00F25CAE" w:rsidRDefault="002054FF" w:rsidP="00F25CAE">
            <w:pPr>
              <w:ind w:left="0" w:right="0"/>
              <w:rPr>
                <w:sz w:val="21"/>
              </w:rPr>
            </w:pPr>
            <w:r w:rsidRPr="00F25CAE">
              <w:rPr>
                <w:sz w:val="21"/>
              </w:rPr>
              <w:t>Cervical Cancer</w:t>
            </w:r>
          </w:p>
        </w:tc>
        <w:tc>
          <w:tcPr>
            <w:tcW w:w="7920" w:type="dxa"/>
          </w:tcPr>
          <w:p w14:paraId="14743DF5" w14:textId="1E0286D8"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in combination with platinum chemotherapy and paclitaxel, with or without bevacizumab, is indicated for the treatment of patients with persistent, recurrent, or metastatic cervical cancer whose tumours express PD-L1 [Combined Positive Score (CPS) ≥</w:t>
            </w:r>
            <w:r w:rsidR="001E0309" w:rsidRPr="00F25CAE">
              <w:rPr>
                <w:i/>
                <w:iCs/>
                <w:sz w:val="21"/>
              </w:rPr>
              <w:t xml:space="preserve"> </w:t>
            </w:r>
            <w:r w:rsidR="002054FF" w:rsidRPr="00F25CAE">
              <w:rPr>
                <w:i/>
                <w:iCs/>
                <w:sz w:val="21"/>
              </w:rPr>
              <w:t>1] as determined by a validated test.</w:t>
            </w:r>
          </w:p>
        </w:tc>
      </w:tr>
      <w:tr w:rsidR="002054FF" w:rsidRPr="00D161FC" w14:paraId="7DEB4BC9" w14:textId="77777777" w:rsidTr="00870904">
        <w:tc>
          <w:tcPr>
            <w:tcW w:w="1008" w:type="dxa"/>
          </w:tcPr>
          <w:p w14:paraId="35F33DA8" w14:textId="77777777" w:rsidR="002054FF" w:rsidRPr="00F25CAE" w:rsidRDefault="002054FF" w:rsidP="00F25CAE">
            <w:pPr>
              <w:ind w:left="0" w:right="0"/>
              <w:rPr>
                <w:sz w:val="21"/>
              </w:rPr>
            </w:pPr>
            <w:r w:rsidRPr="00F25CAE">
              <w:rPr>
                <w:sz w:val="21"/>
              </w:rPr>
              <w:t>Renal Cell Carcinoma (RCC)</w:t>
            </w:r>
          </w:p>
        </w:tc>
        <w:tc>
          <w:tcPr>
            <w:tcW w:w="7920" w:type="dxa"/>
          </w:tcPr>
          <w:p w14:paraId="4F912D3F" w14:textId="595E348F"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in combination with </w:t>
            </w:r>
            <w:proofErr w:type="spellStart"/>
            <w:r w:rsidR="002054FF" w:rsidRPr="00F25CAE">
              <w:rPr>
                <w:i/>
                <w:iCs/>
                <w:sz w:val="21"/>
              </w:rPr>
              <w:t>axitinib</w:t>
            </w:r>
            <w:proofErr w:type="spellEnd"/>
            <w:r w:rsidR="002054FF" w:rsidRPr="00F25CAE">
              <w:rPr>
                <w:i/>
                <w:iCs/>
                <w:sz w:val="21"/>
              </w:rPr>
              <w:t>, is indicated for the first-line treatment of patients with advanced renal cell carcinoma (RCC).</w:t>
            </w:r>
          </w:p>
          <w:p w14:paraId="0F81B437" w14:textId="61C73559" w:rsidR="002054FF" w:rsidRPr="00F25CAE" w:rsidRDefault="00D75912" w:rsidP="00F25CAE">
            <w:pPr>
              <w:ind w:left="0" w:right="0"/>
              <w:rPr>
                <w:i/>
                <w:iCs/>
                <w:sz w:val="21"/>
              </w:rPr>
            </w:pPr>
            <w:r w:rsidRPr="00F25CAE">
              <w:rPr>
                <w:i/>
                <w:iCs/>
                <w:sz w:val="21"/>
              </w:rPr>
              <w:t>Keytruda</w:t>
            </w:r>
            <w:r w:rsidR="002054FF" w:rsidRPr="00F25CAE">
              <w:rPr>
                <w:i/>
                <w:iCs/>
                <w:sz w:val="21"/>
              </w:rPr>
              <w:t xml:space="preserve"> in combination with </w:t>
            </w:r>
            <w:proofErr w:type="spellStart"/>
            <w:r w:rsidR="00D161FC">
              <w:rPr>
                <w:i/>
                <w:iCs/>
                <w:sz w:val="21"/>
              </w:rPr>
              <w:t>Lenvima</w:t>
            </w:r>
            <w:proofErr w:type="spellEnd"/>
            <w:r w:rsidR="00D161FC" w:rsidRPr="00F25CAE">
              <w:rPr>
                <w:i/>
                <w:iCs/>
                <w:sz w:val="21"/>
              </w:rPr>
              <w:t xml:space="preserve"> </w:t>
            </w:r>
            <w:r w:rsidR="002054FF" w:rsidRPr="00F25CAE">
              <w:rPr>
                <w:i/>
                <w:iCs/>
                <w:sz w:val="21"/>
              </w:rPr>
              <w:t>(</w:t>
            </w:r>
            <w:proofErr w:type="spellStart"/>
            <w:r w:rsidR="002054FF" w:rsidRPr="00F25CAE">
              <w:rPr>
                <w:i/>
                <w:iCs/>
                <w:sz w:val="21"/>
              </w:rPr>
              <w:t>lenvatinib</w:t>
            </w:r>
            <w:proofErr w:type="spellEnd"/>
            <w:r w:rsidR="002054FF" w:rsidRPr="00F25CAE">
              <w:rPr>
                <w:i/>
                <w:iCs/>
                <w:sz w:val="21"/>
              </w:rPr>
              <w:t>) is indicated for the first-line treatment of adult patients with advanced renal cell carcinoma (RCC).</w:t>
            </w:r>
          </w:p>
        </w:tc>
      </w:tr>
      <w:tr w:rsidR="002054FF" w:rsidRPr="00D161FC" w14:paraId="6886C499" w14:textId="77777777" w:rsidTr="00870904">
        <w:trPr>
          <w:cantSplit/>
        </w:trPr>
        <w:tc>
          <w:tcPr>
            <w:tcW w:w="1008" w:type="dxa"/>
          </w:tcPr>
          <w:p w14:paraId="46C76BDC" w14:textId="77777777" w:rsidR="002054FF" w:rsidRPr="00F25CAE" w:rsidRDefault="002054FF" w:rsidP="00F25CAE">
            <w:pPr>
              <w:ind w:left="0" w:right="0"/>
              <w:rPr>
                <w:sz w:val="21"/>
              </w:rPr>
            </w:pPr>
            <w:r w:rsidRPr="00F25CAE">
              <w:rPr>
                <w:sz w:val="21"/>
              </w:rPr>
              <w:lastRenderedPageBreak/>
              <w:t>Cutaneous Squamous Cell Carcinoma</w:t>
            </w:r>
          </w:p>
        </w:tc>
        <w:tc>
          <w:tcPr>
            <w:tcW w:w="7920" w:type="dxa"/>
          </w:tcPr>
          <w:p w14:paraId="6B81AAEA" w14:textId="0FCAED0A"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as monotherapy for the treatment of adult patients with recurrent or metastatic cutaneous squamous cell carcinoma (</w:t>
            </w:r>
            <w:proofErr w:type="spellStart"/>
            <w:r w:rsidR="002054FF" w:rsidRPr="00F25CAE">
              <w:rPr>
                <w:i/>
                <w:iCs/>
                <w:sz w:val="21"/>
              </w:rPr>
              <w:t>cSCC</w:t>
            </w:r>
            <w:proofErr w:type="spellEnd"/>
            <w:r w:rsidR="002054FF" w:rsidRPr="00F25CAE">
              <w:rPr>
                <w:i/>
                <w:iCs/>
                <w:sz w:val="21"/>
              </w:rPr>
              <w:t xml:space="preserve">) or locally advanced </w:t>
            </w:r>
            <w:proofErr w:type="spellStart"/>
            <w:r w:rsidR="002054FF" w:rsidRPr="00F25CAE">
              <w:rPr>
                <w:i/>
                <w:iCs/>
                <w:sz w:val="21"/>
              </w:rPr>
              <w:t>cSCC</w:t>
            </w:r>
            <w:proofErr w:type="spellEnd"/>
            <w:r w:rsidR="002054FF" w:rsidRPr="00F25CAE">
              <w:rPr>
                <w:i/>
                <w:iCs/>
                <w:sz w:val="21"/>
              </w:rPr>
              <w:t xml:space="preserve"> that is not curable by surgery or radiation. This indication was approved via the provisional approval pathway based on objective response rate and duration of response from a single-arm study. Improvements in overall survival, progression-free survival, or health related quality of life have not been established. Full registration for this indication depends on submission of further clinical data to confirm the clinical benefit of the medicine.</w:t>
            </w:r>
          </w:p>
        </w:tc>
      </w:tr>
      <w:tr w:rsidR="002054FF" w:rsidRPr="00D161FC" w14:paraId="5032741D" w14:textId="77777777" w:rsidTr="00870904">
        <w:tc>
          <w:tcPr>
            <w:tcW w:w="1008" w:type="dxa"/>
          </w:tcPr>
          <w:p w14:paraId="15310983" w14:textId="77777777" w:rsidR="002054FF" w:rsidRPr="00F25CAE" w:rsidRDefault="002054FF" w:rsidP="00F25CAE">
            <w:pPr>
              <w:ind w:left="0" w:right="0"/>
              <w:rPr>
                <w:sz w:val="21"/>
              </w:rPr>
            </w:pPr>
            <w:r w:rsidRPr="00F25CAE">
              <w:rPr>
                <w:sz w:val="21"/>
              </w:rPr>
              <w:t>Oesophageal Cancer</w:t>
            </w:r>
          </w:p>
        </w:tc>
        <w:tc>
          <w:tcPr>
            <w:tcW w:w="7920" w:type="dxa"/>
          </w:tcPr>
          <w:p w14:paraId="15469799" w14:textId="13583406"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 amenable to surgical resection or definitive chemoradiation.</w:t>
            </w:r>
          </w:p>
        </w:tc>
      </w:tr>
      <w:tr w:rsidR="002054FF" w:rsidRPr="00D161FC" w14:paraId="6ED92A66" w14:textId="77777777" w:rsidTr="00870904">
        <w:tc>
          <w:tcPr>
            <w:tcW w:w="1008" w:type="dxa"/>
          </w:tcPr>
          <w:p w14:paraId="3A9D6AD5" w14:textId="77777777" w:rsidR="002054FF" w:rsidRPr="00F25CAE" w:rsidRDefault="002054FF" w:rsidP="00F25CAE">
            <w:pPr>
              <w:ind w:left="0" w:right="0"/>
              <w:rPr>
                <w:sz w:val="21"/>
              </w:rPr>
            </w:pPr>
            <w:r w:rsidRPr="00F25CAE">
              <w:rPr>
                <w:sz w:val="21"/>
              </w:rPr>
              <w:t>Tumour Mutational Burden-High (TMB-H) cancer</w:t>
            </w:r>
          </w:p>
        </w:tc>
        <w:tc>
          <w:tcPr>
            <w:tcW w:w="7920" w:type="dxa"/>
          </w:tcPr>
          <w:p w14:paraId="44182F3E" w14:textId="61FBDFCA" w:rsidR="002054FF" w:rsidRPr="00F25CAE" w:rsidRDefault="00D75912" w:rsidP="00F25CAE">
            <w:pPr>
              <w:ind w:left="0" w:right="0"/>
              <w:rPr>
                <w:i/>
                <w:iCs/>
                <w:sz w:val="21"/>
              </w:rPr>
            </w:pPr>
            <w:r w:rsidRPr="00F25CAE">
              <w:rPr>
                <w:i/>
                <w:iCs/>
                <w:sz w:val="21"/>
              </w:rPr>
              <w:t>Keytruda</w:t>
            </w:r>
            <w:r w:rsidR="002054FF" w:rsidRPr="00F25CAE">
              <w:rPr>
                <w:i/>
                <w:iCs/>
                <w:sz w:val="21"/>
              </w:rPr>
              <w:t xml:space="preserve"> (pembrolizumab) is indicated for the treatment of adult and paediatric patients with unresectable or metastatic tumour mutational burden-high (TMB-H) [≥</w:t>
            </w:r>
            <w:r w:rsidR="001E0309" w:rsidRPr="00F25CAE">
              <w:rPr>
                <w:i/>
                <w:iCs/>
                <w:sz w:val="21"/>
              </w:rPr>
              <w:t xml:space="preserve"> </w:t>
            </w:r>
            <w:r w:rsidR="002054FF" w:rsidRPr="00F25CAE">
              <w:rPr>
                <w:i/>
                <w:iCs/>
                <w:sz w:val="21"/>
              </w:rPr>
              <w:t>10 mutations/</w:t>
            </w:r>
            <w:proofErr w:type="spellStart"/>
            <w:r w:rsidR="002054FF" w:rsidRPr="00F25CAE">
              <w:rPr>
                <w:i/>
                <w:iCs/>
                <w:sz w:val="21"/>
              </w:rPr>
              <w:t>megabase</w:t>
            </w:r>
            <w:proofErr w:type="spellEnd"/>
            <w:r w:rsidR="002054FF" w:rsidRPr="00F25CAE">
              <w:rPr>
                <w:i/>
                <w:iCs/>
                <w:sz w:val="21"/>
              </w:rPr>
              <w:t xml:space="preserve"> (mut/Mb)] solid tumours, as determined by a validated test, that have progressed following prior treatment and who have no satisfactory alternative treatment options. This indication was approved via the provisional approval pathway, based on the pooling of data on objective response rate and response duration across multiple different tissue types in a single-arm trial. The assumption that TMB-H status is predictive of the treatment effect of </w:t>
            </w:r>
            <w:r w:rsidRPr="00F25CAE">
              <w:rPr>
                <w:i/>
                <w:iCs/>
                <w:sz w:val="21"/>
              </w:rPr>
              <w:t>Keytruda</w:t>
            </w:r>
            <w:r w:rsidR="002054FF" w:rsidRPr="00F25CAE">
              <w:rPr>
                <w:i/>
                <w:iCs/>
                <w:sz w:val="21"/>
              </w:rPr>
              <w:t xml:space="preserve"> for every tissue type has not been verified. Full registration for this indication depends on verification and description of clinical benefit in confirmatory trials.</w:t>
            </w:r>
          </w:p>
        </w:tc>
      </w:tr>
    </w:tbl>
    <w:p w14:paraId="2AC604F9" w14:textId="38FF798C" w:rsidR="002D7FFB" w:rsidRDefault="002054FF" w:rsidP="002054FF">
      <w:r>
        <w:t>At the time the TGA considered this submission, similar submission</w:t>
      </w:r>
      <w:r w:rsidR="005C2ED4">
        <w:t>s</w:t>
      </w:r>
      <w:r>
        <w:t xml:space="preserve"> for treatment of </w:t>
      </w:r>
      <w:r w:rsidRPr="00870904">
        <w:rPr>
          <w:i/>
        </w:rPr>
        <w:t>locally recurrent unresectable or metastatic TNBC</w:t>
      </w:r>
      <w:r>
        <w:t xml:space="preserve"> </w:t>
      </w:r>
      <w:r w:rsidR="005C2ED4">
        <w:t>were</w:t>
      </w:r>
      <w:r>
        <w:t xml:space="preserve"> approved in the United States </w:t>
      </w:r>
      <w:r w:rsidR="00D161FC">
        <w:t xml:space="preserve">of America (USA) </w:t>
      </w:r>
      <w:r>
        <w:t>on 13 November 2020, the European Union on 19 October 2021, Switzerland on 9 March 2022 and Canada on 19 November 2021</w:t>
      </w:r>
      <w:r w:rsidR="00D161FC">
        <w:t>. A similar submission</w:t>
      </w:r>
      <w:r>
        <w:t xml:space="preserve"> was </w:t>
      </w:r>
      <w:r w:rsidR="00D161FC">
        <w:t xml:space="preserve">also </w:t>
      </w:r>
      <w:r>
        <w:t>under consideration in New Zealand (submitted 15 November 2021).</w:t>
      </w:r>
    </w:p>
    <w:p w14:paraId="7DF95E83" w14:textId="2DDA2629" w:rsidR="002054FF" w:rsidRDefault="005C2ED4" w:rsidP="002054FF">
      <w:r>
        <w:t>S</w:t>
      </w:r>
      <w:r w:rsidR="002054FF">
        <w:t>imilar submission</w:t>
      </w:r>
      <w:r>
        <w:t>s</w:t>
      </w:r>
      <w:r w:rsidR="002054FF">
        <w:t xml:space="preserve"> for treatment of </w:t>
      </w:r>
      <w:r w:rsidR="002054FF" w:rsidRPr="00870904">
        <w:rPr>
          <w:i/>
        </w:rPr>
        <w:t>high risk early stage TNBC</w:t>
      </w:r>
      <w:r w:rsidR="002054FF">
        <w:t xml:space="preserve"> w</w:t>
      </w:r>
      <w:r>
        <w:t>ere</w:t>
      </w:r>
      <w:r w:rsidR="002054FF">
        <w:t xml:space="preserve"> approved </w:t>
      </w:r>
      <w:r w:rsidR="00D161FC">
        <w:t xml:space="preserve">in </w:t>
      </w:r>
      <w:r w:rsidR="002054FF">
        <w:t xml:space="preserve">the </w:t>
      </w:r>
      <w:r w:rsidR="00D161FC">
        <w:t xml:space="preserve">USA </w:t>
      </w:r>
      <w:r w:rsidR="002054FF">
        <w:t>on 26 July 2021 and Canada on 15 April 2022</w:t>
      </w:r>
      <w:r w:rsidR="00E96255">
        <w:t>. T</w:t>
      </w:r>
      <w:r w:rsidR="002054FF">
        <w:t>he European Union had a positive recommendation on 25 April 2022 and similar submissions are under review by Switzerland (submitted 15 September 2021</w:t>
      </w:r>
      <w:r w:rsidR="008C6D70">
        <w:t>)</w:t>
      </w:r>
      <w:r w:rsidR="002054FF">
        <w:t xml:space="preserve"> and New Zealand (submitted 15 November 2021).</w:t>
      </w:r>
    </w:p>
    <w:p w14:paraId="62ABC5FE" w14:textId="0A24E01B" w:rsidR="002054FF" w:rsidRDefault="00F343C5" w:rsidP="002054FF">
      <w:r>
        <w:fldChar w:fldCharType="begin"/>
      </w:r>
      <w:r>
        <w:instrText xml:space="preserve"> REF _Ref131149536 \h </w:instrText>
      </w:r>
      <w:r>
        <w:fldChar w:fldCharType="separate"/>
      </w:r>
      <w:r w:rsidR="00A02570">
        <w:t xml:space="preserve">Table </w:t>
      </w:r>
      <w:r w:rsidR="00A02570">
        <w:rPr>
          <w:noProof/>
        </w:rPr>
        <w:t>2</w:t>
      </w:r>
      <w:r>
        <w:fldChar w:fldCharType="end"/>
      </w:r>
      <w:r w:rsidR="00690986">
        <w:t xml:space="preserve"> </w:t>
      </w:r>
      <w:r w:rsidR="002054FF">
        <w:t>summarises these submissions and provides the indications where approved.</w:t>
      </w:r>
    </w:p>
    <w:p w14:paraId="72D78B98" w14:textId="49AE821B" w:rsidR="002054FF" w:rsidRPr="00F0146F" w:rsidRDefault="002054FF" w:rsidP="002054FF">
      <w:pPr>
        <w:pStyle w:val="TableTitle"/>
      </w:pPr>
      <w:bookmarkStart w:id="24" w:name="_Ref131149536"/>
      <w:bookmarkStart w:id="25" w:name="_Ref131149524"/>
      <w:r>
        <w:lastRenderedPageBreak/>
        <w:t xml:space="preserve">Table </w:t>
      </w:r>
      <w:r>
        <w:fldChar w:fldCharType="begin"/>
      </w:r>
      <w:r>
        <w:instrText>SEQ Table \* ARABIC</w:instrText>
      </w:r>
      <w:r>
        <w:fldChar w:fldCharType="separate"/>
      </w:r>
      <w:r w:rsidR="00A02570">
        <w:rPr>
          <w:noProof/>
        </w:rPr>
        <w:t>2</w:t>
      </w:r>
      <w:r>
        <w:fldChar w:fldCharType="end"/>
      </w:r>
      <w:bookmarkEnd w:id="24"/>
      <w:r>
        <w:t xml:space="preserve">: </w:t>
      </w:r>
      <w:bookmarkStart w:id="26" w:name="_Ref131149530"/>
      <w:r>
        <w:t>International regulatory status</w:t>
      </w:r>
      <w:bookmarkEnd w:id="25"/>
      <w:bookmarkEnd w:id="26"/>
    </w:p>
    <w:tbl>
      <w:tblPr>
        <w:tblStyle w:val="TableTGAblue"/>
        <w:tblW w:w="0" w:type="auto"/>
        <w:tblLook w:val="04A0" w:firstRow="1" w:lastRow="0" w:firstColumn="1" w:lastColumn="0" w:noHBand="0" w:noVBand="1"/>
      </w:tblPr>
      <w:tblGrid>
        <w:gridCol w:w="1544"/>
        <w:gridCol w:w="1701"/>
        <w:gridCol w:w="1999"/>
        <w:gridCol w:w="3250"/>
      </w:tblGrid>
      <w:tr w:rsidR="002054FF" w14:paraId="36725AAD" w14:textId="77777777" w:rsidTr="008E4C16">
        <w:trPr>
          <w:cnfStyle w:val="100000000000" w:firstRow="1" w:lastRow="0" w:firstColumn="0" w:lastColumn="0" w:oddVBand="0" w:evenVBand="0" w:oddHBand="0" w:evenHBand="0" w:firstRowFirstColumn="0" w:firstRowLastColumn="0" w:lastRowFirstColumn="0" w:lastRowLastColumn="0"/>
        </w:trPr>
        <w:tc>
          <w:tcPr>
            <w:tcW w:w="1544" w:type="dxa"/>
            <w:tcBorders>
              <w:top w:val="single" w:sz="4" w:space="0" w:color="auto"/>
              <w:left w:val="single" w:sz="4" w:space="0" w:color="auto"/>
              <w:bottom w:val="single" w:sz="4" w:space="0" w:color="auto"/>
              <w:right w:val="single" w:sz="4" w:space="0" w:color="auto"/>
            </w:tcBorders>
          </w:tcPr>
          <w:p w14:paraId="52133CC1" w14:textId="77777777" w:rsidR="002054FF" w:rsidRDefault="002054FF" w:rsidP="008E4C16">
            <w:pPr>
              <w:ind w:left="0" w:right="0"/>
            </w:pPr>
            <w:r>
              <w:t>Region</w:t>
            </w:r>
          </w:p>
        </w:tc>
        <w:tc>
          <w:tcPr>
            <w:tcW w:w="1701" w:type="dxa"/>
            <w:tcBorders>
              <w:top w:val="single" w:sz="4" w:space="0" w:color="auto"/>
              <w:left w:val="single" w:sz="4" w:space="0" w:color="auto"/>
              <w:bottom w:val="single" w:sz="4" w:space="0" w:color="auto"/>
              <w:right w:val="single" w:sz="4" w:space="0" w:color="auto"/>
            </w:tcBorders>
          </w:tcPr>
          <w:p w14:paraId="470E9FBD" w14:textId="77777777" w:rsidR="002054FF" w:rsidRDefault="002054FF" w:rsidP="008E4C16">
            <w:pPr>
              <w:ind w:left="0" w:right="0"/>
            </w:pPr>
            <w:r>
              <w:t>Submission date</w:t>
            </w:r>
          </w:p>
        </w:tc>
        <w:tc>
          <w:tcPr>
            <w:tcW w:w="1999" w:type="dxa"/>
            <w:tcBorders>
              <w:top w:val="single" w:sz="4" w:space="0" w:color="auto"/>
              <w:left w:val="single" w:sz="4" w:space="0" w:color="auto"/>
              <w:bottom w:val="single" w:sz="4" w:space="0" w:color="auto"/>
              <w:right w:val="single" w:sz="4" w:space="0" w:color="auto"/>
            </w:tcBorders>
          </w:tcPr>
          <w:p w14:paraId="1712F785" w14:textId="77777777" w:rsidR="002054FF" w:rsidRDefault="002054FF" w:rsidP="008E4C16">
            <w:pPr>
              <w:ind w:left="0" w:right="0"/>
            </w:pPr>
            <w:r>
              <w:t>Status</w:t>
            </w:r>
          </w:p>
        </w:tc>
        <w:tc>
          <w:tcPr>
            <w:tcW w:w="3250" w:type="dxa"/>
            <w:tcBorders>
              <w:top w:val="single" w:sz="4" w:space="0" w:color="auto"/>
              <w:left w:val="single" w:sz="4" w:space="0" w:color="auto"/>
              <w:bottom w:val="single" w:sz="4" w:space="0" w:color="auto"/>
              <w:right w:val="single" w:sz="4" w:space="0" w:color="auto"/>
            </w:tcBorders>
          </w:tcPr>
          <w:p w14:paraId="4DAE6555" w14:textId="77777777" w:rsidR="002054FF" w:rsidRDefault="002054FF" w:rsidP="008E4C16">
            <w:pPr>
              <w:ind w:left="0" w:right="0"/>
            </w:pPr>
            <w:r>
              <w:t>Approved indications</w:t>
            </w:r>
          </w:p>
        </w:tc>
      </w:tr>
      <w:tr w:rsidR="002054FF" w14:paraId="35F399AE" w14:textId="77777777" w:rsidTr="00870904">
        <w:trPr>
          <w:cantSplit/>
        </w:trPr>
        <w:tc>
          <w:tcPr>
            <w:tcW w:w="0" w:type="dxa"/>
            <w:vMerge w:val="restart"/>
            <w:tcBorders>
              <w:top w:val="single" w:sz="4" w:space="0" w:color="auto"/>
            </w:tcBorders>
          </w:tcPr>
          <w:p w14:paraId="5C0D6ECB" w14:textId="1BD9D60C" w:rsidR="002054FF" w:rsidRDefault="002054FF" w:rsidP="008E4C16">
            <w:pPr>
              <w:ind w:left="0" w:right="0"/>
            </w:pPr>
            <w:r w:rsidRPr="000E7390">
              <w:t>United States</w:t>
            </w:r>
            <w:r w:rsidR="00953C5A">
              <w:t xml:space="preserve"> of America</w:t>
            </w:r>
          </w:p>
        </w:tc>
        <w:tc>
          <w:tcPr>
            <w:tcW w:w="0" w:type="dxa"/>
            <w:tcBorders>
              <w:top w:val="single" w:sz="4" w:space="0" w:color="auto"/>
            </w:tcBorders>
          </w:tcPr>
          <w:p w14:paraId="0A605AAF" w14:textId="77777777" w:rsidR="002054FF" w:rsidRDefault="002054FF" w:rsidP="008E4C16">
            <w:pPr>
              <w:ind w:left="0" w:right="0"/>
            </w:pPr>
            <w:r>
              <w:t>28 May 2020</w:t>
            </w:r>
          </w:p>
        </w:tc>
        <w:tc>
          <w:tcPr>
            <w:tcW w:w="0" w:type="dxa"/>
            <w:tcBorders>
              <w:top w:val="single" w:sz="4" w:space="0" w:color="auto"/>
            </w:tcBorders>
          </w:tcPr>
          <w:p w14:paraId="2D83A57F" w14:textId="77777777" w:rsidR="002054FF" w:rsidRDefault="002054FF" w:rsidP="008E4C16">
            <w:pPr>
              <w:ind w:left="0" w:right="0"/>
            </w:pPr>
            <w:r w:rsidRPr="00006FAB">
              <w:t xml:space="preserve">Approved on </w:t>
            </w:r>
            <w:r w:rsidRPr="00B22165">
              <w:t>13</w:t>
            </w:r>
            <w:r>
              <w:t> </w:t>
            </w:r>
            <w:r w:rsidRPr="00B22165">
              <w:t>Nov</w:t>
            </w:r>
            <w:r>
              <w:t>ember</w:t>
            </w:r>
            <w:r w:rsidRPr="00B22165">
              <w:t xml:space="preserve"> 2020</w:t>
            </w:r>
          </w:p>
        </w:tc>
        <w:tc>
          <w:tcPr>
            <w:tcW w:w="0" w:type="dxa"/>
            <w:tcBorders>
              <w:top w:val="single" w:sz="4" w:space="0" w:color="auto"/>
            </w:tcBorders>
          </w:tcPr>
          <w:p w14:paraId="2E70BC46" w14:textId="77777777" w:rsidR="002054FF" w:rsidRPr="0082160A" w:rsidRDefault="002054FF" w:rsidP="008E4C16">
            <w:pPr>
              <w:ind w:left="0"/>
              <w:rPr>
                <w:i/>
                <w:iCs/>
              </w:rPr>
            </w:pPr>
            <w:r w:rsidRPr="0082160A">
              <w:rPr>
                <w:i/>
                <w:iCs/>
              </w:rPr>
              <w:t xml:space="preserve">Pembrolizumab, in combination with chemotherapy, is indicated for the treatment of patients with locally recurrent unresectable or metastatic triple negative breast cancer (TNBC) whose </w:t>
            </w:r>
            <w:proofErr w:type="spellStart"/>
            <w:r w:rsidRPr="0082160A">
              <w:rPr>
                <w:i/>
                <w:iCs/>
              </w:rPr>
              <w:t>tumors</w:t>
            </w:r>
            <w:proofErr w:type="spellEnd"/>
            <w:r w:rsidRPr="0082160A">
              <w:rPr>
                <w:i/>
                <w:iCs/>
              </w:rPr>
              <w:t xml:space="preserve"> express PD-L1 (CPS ≥10)</w:t>
            </w:r>
          </w:p>
        </w:tc>
      </w:tr>
      <w:tr w:rsidR="002054FF" w14:paraId="069553DD" w14:textId="77777777" w:rsidTr="008E4C16">
        <w:tc>
          <w:tcPr>
            <w:tcW w:w="1544" w:type="dxa"/>
            <w:vMerge/>
          </w:tcPr>
          <w:p w14:paraId="5D5B704A" w14:textId="69AB30BD" w:rsidR="002054FF" w:rsidRPr="000E7390" w:rsidRDefault="002054FF" w:rsidP="008E4C16">
            <w:pPr>
              <w:ind w:left="0" w:right="0"/>
            </w:pPr>
          </w:p>
        </w:tc>
        <w:tc>
          <w:tcPr>
            <w:tcW w:w="1701" w:type="dxa"/>
            <w:tcBorders>
              <w:top w:val="single" w:sz="4" w:space="0" w:color="auto"/>
            </w:tcBorders>
          </w:tcPr>
          <w:p w14:paraId="17EFBD0C" w14:textId="77777777" w:rsidR="002054FF" w:rsidRDefault="002054FF" w:rsidP="008E4C16">
            <w:pPr>
              <w:ind w:left="0"/>
            </w:pPr>
            <w:r>
              <w:t>29 June 2021</w:t>
            </w:r>
          </w:p>
        </w:tc>
        <w:tc>
          <w:tcPr>
            <w:tcW w:w="1999" w:type="dxa"/>
            <w:tcBorders>
              <w:top w:val="single" w:sz="4" w:space="0" w:color="auto"/>
            </w:tcBorders>
          </w:tcPr>
          <w:p w14:paraId="633439FE" w14:textId="77777777" w:rsidR="002054FF" w:rsidRPr="00006FAB" w:rsidRDefault="002054FF" w:rsidP="008E4C16">
            <w:pPr>
              <w:ind w:left="0"/>
            </w:pPr>
            <w:r>
              <w:t>Approved on 26 July 2021</w:t>
            </w:r>
          </w:p>
        </w:tc>
        <w:tc>
          <w:tcPr>
            <w:tcW w:w="3250" w:type="dxa"/>
            <w:tcBorders>
              <w:top w:val="single" w:sz="4" w:space="0" w:color="auto"/>
            </w:tcBorders>
          </w:tcPr>
          <w:p w14:paraId="65A1ADCC" w14:textId="5CB63583" w:rsidR="002054FF" w:rsidRPr="0082160A" w:rsidRDefault="00D75912" w:rsidP="008E4C16">
            <w:pPr>
              <w:ind w:left="0"/>
              <w:rPr>
                <w:i/>
                <w:iCs/>
              </w:rPr>
            </w:pPr>
            <w:r>
              <w:rPr>
                <w:i/>
                <w:iCs/>
              </w:rPr>
              <w:t>Keytruda</w:t>
            </w:r>
            <w:r w:rsidR="002054FF" w:rsidRPr="0082160A">
              <w:rPr>
                <w:i/>
                <w:iCs/>
              </w:rPr>
              <w:t xml:space="preserve"> is indicated for the treatment of patients with high-risk early-stage triple-negative breast cancer (TNBC) in combination with chemotherapy as neoadjuvant treatment, and then continued as a single agent as adjuvant treatment after surgery.</w:t>
            </w:r>
          </w:p>
        </w:tc>
      </w:tr>
      <w:tr w:rsidR="002054FF" w14:paraId="6BD74059" w14:textId="77777777" w:rsidTr="008E4C16">
        <w:tc>
          <w:tcPr>
            <w:tcW w:w="1544" w:type="dxa"/>
            <w:vMerge w:val="restart"/>
          </w:tcPr>
          <w:p w14:paraId="29BEF637" w14:textId="59C320E9" w:rsidR="002054FF" w:rsidRDefault="002054FF" w:rsidP="002054FF">
            <w:pPr>
              <w:ind w:left="0" w:right="0"/>
            </w:pPr>
            <w:r w:rsidRPr="000E7390">
              <w:t>European Union</w:t>
            </w:r>
          </w:p>
        </w:tc>
        <w:tc>
          <w:tcPr>
            <w:tcW w:w="1701" w:type="dxa"/>
          </w:tcPr>
          <w:p w14:paraId="1DF866E9" w14:textId="77777777" w:rsidR="002054FF" w:rsidRDefault="002054FF" w:rsidP="008E4C16">
            <w:pPr>
              <w:ind w:left="0" w:right="0"/>
            </w:pPr>
            <w:r w:rsidRPr="00B22165">
              <w:t>19 Nov</w:t>
            </w:r>
            <w:r>
              <w:t>ember</w:t>
            </w:r>
            <w:r w:rsidRPr="00B22165">
              <w:t xml:space="preserve"> 2020</w:t>
            </w:r>
          </w:p>
        </w:tc>
        <w:tc>
          <w:tcPr>
            <w:tcW w:w="1999" w:type="dxa"/>
          </w:tcPr>
          <w:p w14:paraId="5D90C4B2" w14:textId="77777777" w:rsidR="002054FF" w:rsidRDefault="002054FF" w:rsidP="008E4C16">
            <w:pPr>
              <w:ind w:left="0" w:right="0"/>
            </w:pPr>
            <w:r>
              <w:t>Approved on 19 October 2021</w:t>
            </w:r>
          </w:p>
        </w:tc>
        <w:tc>
          <w:tcPr>
            <w:tcW w:w="3250" w:type="dxa"/>
          </w:tcPr>
          <w:p w14:paraId="15D6C884" w14:textId="22FADE08" w:rsidR="002054FF" w:rsidRPr="0082160A" w:rsidRDefault="00D75912" w:rsidP="008E4C16">
            <w:pPr>
              <w:ind w:left="0"/>
              <w:rPr>
                <w:i/>
                <w:iCs/>
              </w:rPr>
            </w:pPr>
            <w:r>
              <w:rPr>
                <w:i/>
                <w:iCs/>
              </w:rPr>
              <w:t>Keytruda</w:t>
            </w:r>
            <w:r w:rsidR="002054FF" w:rsidRPr="0082160A">
              <w:rPr>
                <w:i/>
                <w:iCs/>
              </w:rPr>
              <w:t>, in combination with chemotherapy, is indicated for the treatment of locally recurrent unresectable or metastatic triple negative breast cancer in adults whose tumours express PD-L1 with a CPS ≥ 10 and who have not received prior chemotherapy for metastatic disease</w:t>
            </w:r>
          </w:p>
        </w:tc>
      </w:tr>
      <w:tr w:rsidR="002054FF" w14:paraId="260E999C" w14:textId="77777777" w:rsidTr="008E4C16">
        <w:tc>
          <w:tcPr>
            <w:tcW w:w="1544" w:type="dxa"/>
            <w:vMerge/>
          </w:tcPr>
          <w:p w14:paraId="3BCC92B7" w14:textId="68616382" w:rsidR="002054FF" w:rsidRPr="000E7390" w:rsidRDefault="002054FF" w:rsidP="008E4C16">
            <w:pPr>
              <w:ind w:left="0"/>
            </w:pPr>
          </w:p>
        </w:tc>
        <w:tc>
          <w:tcPr>
            <w:tcW w:w="1701" w:type="dxa"/>
          </w:tcPr>
          <w:p w14:paraId="32253E0A" w14:textId="77777777" w:rsidR="002054FF" w:rsidRPr="00B22165" w:rsidRDefault="002054FF" w:rsidP="008E4C16">
            <w:pPr>
              <w:ind w:left="0"/>
            </w:pPr>
            <w:r>
              <w:t>27 July 2021</w:t>
            </w:r>
          </w:p>
        </w:tc>
        <w:tc>
          <w:tcPr>
            <w:tcW w:w="1999" w:type="dxa"/>
          </w:tcPr>
          <w:p w14:paraId="59C9CB04" w14:textId="77777777" w:rsidR="002054FF" w:rsidRDefault="002054FF" w:rsidP="008E4C16">
            <w:pPr>
              <w:ind w:left="0"/>
            </w:pPr>
            <w:r>
              <w:t>CHMP positive recommendation 25 April 2022</w:t>
            </w:r>
          </w:p>
        </w:tc>
        <w:tc>
          <w:tcPr>
            <w:tcW w:w="3250" w:type="dxa"/>
          </w:tcPr>
          <w:p w14:paraId="5E816BBA" w14:textId="094330E5" w:rsidR="002054FF" w:rsidRPr="0082160A" w:rsidRDefault="00D75912" w:rsidP="0034000A">
            <w:pPr>
              <w:ind w:left="0"/>
              <w:rPr>
                <w:i/>
                <w:iCs/>
              </w:rPr>
            </w:pPr>
            <w:r>
              <w:rPr>
                <w:i/>
                <w:iCs/>
              </w:rPr>
              <w:t>Keytruda</w:t>
            </w:r>
            <w:r w:rsidR="002054FF" w:rsidRPr="0082160A">
              <w:rPr>
                <w:i/>
                <w:iCs/>
              </w:rPr>
              <w:t>, in combination with chemotherapy as neoadjuvant treatment, and then continued as monotherapy as adjuvant treatment after surgery, is indicated for the treatment of adults with locally advanced, inflammatory, or early stage triple negative</w:t>
            </w:r>
            <w:r w:rsidR="0034000A">
              <w:rPr>
                <w:i/>
                <w:iCs/>
              </w:rPr>
              <w:t xml:space="preserve"> </w:t>
            </w:r>
            <w:r w:rsidR="002054FF" w:rsidRPr="0082160A">
              <w:rPr>
                <w:i/>
                <w:iCs/>
              </w:rPr>
              <w:t>breast cancer at high risk of recurrence.</w:t>
            </w:r>
          </w:p>
        </w:tc>
      </w:tr>
      <w:tr w:rsidR="002054FF" w14:paraId="178E58B8" w14:textId="77777777" w:rsidTr="00870904">
        <w:trPr>
          <w:cantSplit/>
        </w:trPr>
        <w:tc>
          <w:tcPr>
            <w:tcW w:w="0" w:type="dxa"/>
            <w:vMerge w:val="restart"/>
          </w:tcPr>
          <w:p w14:paraId="658AE215" w14:textId="77777777" w:rsidR="002054FF" w:rsidRPr="000E7390" w:rsidRDefault="002054FF" w:rsidP="008E4C16">
            <w:pPr>
              <w:ind w:left="0"/>
            </w:pPr>
            <w:r w:rsidRPr="000E7390">
              <w:lastRenderedPageBreak/>
              <w:t>Switzerland</w:t>
            </w:r>
          </w:p>
          <w:p w14:paraId="1927C3C0" w14:textId="16EE572D" w:rsidR="002054FF" w:rsidRPr="000E7390" w:rsidRDefault="002054FF" w:rsidP="008E4C16">
            <w:pPr>
              <w:ind w:left="0"/>
            </w:pPr>
          </w:p>
        </w:tc>
        <w:tc>
          <w:tcPr>
            <w:tcW w:w="0" w:type="dxa"/>
          </w:tcPr>
          <w:p w14:paraId="258D5A91" w14:textId="77777777" w:rsidR="002054FF" w:rsidRDefault="002054FF" w:rsidP="008E4C16">
            <w:pPr>
              <w:ind w:left="0"/>
            </w:pPr>
            <w:r>
              <w:t>15 March 2021</w:t>
            </w:r>
          </w:p>
        </w:tc>
        <w:tc>
          <w:tcPr>
            <w:tcW w:w="0" w:type="dxa"/>
          </w:tcPr>
          <w:p w14:paraId="3AD840E5" w14:textId="77777777" w:rsidR="002054FF" w:rsidRPr="00006FAB" w:rsidRDefault="002054FF" w:rsidP="008E4C16">
            <w:pPr>
              <w:ind w:left="0"/>
            </w:pPr>
            <w:r>
              <w:t>Approved on 9 March 2022</w:t>
            </w:r>
          </w:p>
        </w:tc>
        <w:tc>
          <w:tcPr>
            <w:tcW w:w="0" w:type="dxa"/>
          </w:tcPr>
          <w:p w14:paraId="153E7154" w14:textId="2C1D4C06" w:rsidR="002054FF" w:rsidRPr="0082160A" w:rsidRDefault="00D75912" w:rsidP="008E4C16">
            <w:pPr>
              <w:ind w:left="0"/>
              <w:rPr>
                <w:i/>
                <w:iCs/>
              </w:rPr>
            </w:pPr>
            <w:r>
              <w:rPr>
                <w:i/>
                <w:iCs/>
              </w:rPr>
              <w:t>Keytruda</w:t>
            </w:r>
            <w:r w:rsidR="002054FF" w:rsidRPr="0082160A">
              <w:rPr>
                <w:i/>
                <w:iCs/>
              </w:rPr>
              <w:t>, in combination with chemotherapy, is indicated for the treatment of locally recurrent unresectable or metastatic triple-negative breast cancer in adults whose tumours express PD-L1 with a CPS ≥ 10 and who have not received prior chemotherapy for metastatic disease.</w:t>
            </w:r>
          </w:p>
        </w:tc>
      </w:tr>
      <w:tr w:rsidR="002054FF" w14:paraId="53D90900" w14:textId="77777777" w:rsidTr="008E4C16">
        <w:tc>
          <w:tcPr>
            <w:tcW w:w="1544" w:type="dxa"/>
            <w:vMerge/>
          </w:tcPr>
          <w:p w14:paraId="4AEE3CF8" w14:textId="646082E8" w:rsidR="002054FF" w:rsidRPr="000E7390" w:rsidRDefault="002054FF" w:rsidP="008E4C16">
            <w:pPr>
              <w:ind w:left="0"/>
            </w:pPr>
          </w:p>
        </w:tc>
        <w:tc>
          <w:tcPr>
            <w:tcW w:w="1701" w:type="dxa"/>
          </w:tcPr>
          <w:p w14:paraId="30A5E3CA" w14:textId="77777777" w:rsidR="002054FF" w:rsidRDefault="002054FF" w:rsidP="008E4C16">
            <w:pPr>
              <w:ind w:left="0"/>
            </w:pPr>
            <w:r>
              <w:t>15 September 2021</w:t>
            </w:r>
          </w:p>
        </w:tc>
        <w:tc>
          <w:tcPr>
            <w:tcW w:w="1999" w:type="dxa"/>
          </w:tcPr>
          <w:p w14:paraId="67209339" w14:textId="68D4F5E6" w:rsidR="000E4EE0" w:rsidRPr="000E4EE0" w:rsidRDefault="002054FF" w:rsidP="000E4EE0">
            <w:pPr>
              <w:ind w:left="0"/>
            </w:pPr>
            <w:r>
              <w:t>Under consideration</w:t>
            </w:r>
            <w:r w:rsidR="000E4EE0">
              <w:t xml:space="preserve"> </w:t>
            </w:r>
          </w:p>
        </w:tc>
        <w:tc>
          <w:tcPr>
            <w:tcW w:w="3250" w:type="dxa"/>
          </w:tcPr>
          <w:p w14:paraId="67BCDF8D" w14:textId="506F88F6" w:rsidR="002054FF" w:rsidRPr="001E0309" w:rsidRDefault="001E0309" w:rsidP="001E0309">
            <w:pPr>
              <w:ind w:left="0"/>
            </w:pPr>
            <w:r>
              <w:t xml:space="preserve">Proposed indication for </w:t>
            </w:r>
            <w:r w:rsidRPr="000E4EE0">
              <w:t>high-risk early-stage</w:t>
            </w:r>
            <w:r>
              <w:t xml:space="preserve"> TNBC</w:t>
            </w:r>
          </w:p>
        </w:tc>
      </w:tr>
      <w:tr w:rsidR="002054FF" w14:paraId="61051228" w14:textId="77777777" w:rsidTr="008E4C16">
        <w:tc>
          <w:tcPr>
            <w:tcW w:w="1544" w:type="dxa"/>
            <w:vMerge w:val="restart"/>
          </w:tcPr>
          <w:p w14:paraId="483B2A9A" w14:textId="318F2015" w:rsidR="002054FF" w:rsidRPr="000E7390" w:rsidRDefault="002054FF" w:rsidP="008E4C16">
            <w:pPr>
              <w:ind w:left="0"/>
            </w:pPr>
            <w:r>
              <w:t>Canada</w:t>
            </w:r>
          </w:p>
        </w:tc>
        <w:tc>
          <w:tcPr>
            <w:tcW w:w="1701" w:type="dxa"/>
          </w:tcPr>
          <w:p w14:paraId="20DE3B7A" w14:textId="14201039" w:rsidR="002054FF" w:rsidRDefault="002054FF" w:rsidP="008E4C16">
            <w:pPr>
              <w:ind w:left="0"/>
            </w:pPr>
            <w:r>
              <w:t>16 November 202</w:t>
            </w:r>
            <w:r w:rsidR="006D439A">
              <w:t>0</w:t>
            </w:r>
          </w:p>
        </w:tc>
        <w:tc>
          <w:tcPr>
            <w:tcW w:w="1999" w:type="dxa"/>
          </w:tcPr>
          <w:p w14:paraId="089C6F85" w14:textId="77777777" w:rsidR="002054FF" w:rsidRPr="00006FAB" w:rsidRDefault="002054FF" w:rsidP="008E4C16">
            <w:pPr>
              <w:ind w:left="0"/>
            </w:pPr>
            <w:r>
              <w:t>Approved on 19 November 2021</w:t>
            </w:r>
          </w:p>
        </w:tc>
        <w:tc>
          <w:tcPr>
            <w:tcW w:w="3250" w:type="dxa"/>
          </w:tcPr>
          <w:p w14:paraId="746EFDA1" w14:textId="6EEB9D0B" w:rsidR="002054FF" w:rsidRPr="0082160A" w:rsidRDefault="00D75912" w:rsidP="008E4C16">
            <w:pPr>
              <w:ind w:left="0"/>
              <w:rPr>
                <w:i/>
                <w:iCs/>
              </w:rPr>
            </w:pPr>
            <w:r>
              <w:rPr>
                <w:i/>
                <w:iCs/>
              </w:rPr>
              <w:t>Keytruda</w:t>
            </w:r>
            <w:r w:rsidR="002054FF" w:rsidRPr="0082160A">
              <w:rPr>
                <w:i/>
                <w:iCs/>
              </w:rPr>
              <w:t xml:space="preserve">, in combination with chemotherapy, is indicated for the treatment of adult patients with locally recurrent unresectable or metastatic triple-negative breast cancer (TNBC), who have not received prior chemotherapy for metastatic disease and whose </w:t>
            </w:r>
            <w:proofErr w:type="spellStart"/>
            <w:r w:rsidR="002054FF" w:rsidRPr="0082160A">
              <w:rPr>
                <w:i/>
                <w:iCs/>
              </w:rPr>
              <w:t>tumors</w:t>
            </w:r>
            <w:proofErr w:type="spellEnd"/>
            <w:r w:rsidR="002054FF" w:rsidRPr="0082160A">
              <w:rPr>
                <w:i/>
                <w:iCs/>
              </w:rPr>
              <w:t xml:space="preserve"> express PD-L1 (Combined Positive Score [CPS] ≥10) as determined by a validated test.</w:t>
            </w:r>
          </w:p>
        </w:tc>
      </w:tr>
      <w:tr w:rsidR="002054FF" w14:paraId="5E95724B" w14:textId="77777777" w:rsidTr="008E4C16">
        <w:tc>
          <w:tcPr>
            <w:tcW w:w="1544" w:type="dxa"/>
            <w:vMerge/>
          </w:tcPr>
          <w:p w14:paraId="1A966E5D" w14:textId="1C027F0B" w:rsidR="002054FF" w:rsidRDefault="002054FF" w:rsidP="008E4C16">
            <w:pPr>
              <w:ind w:left="0"/>
            </w:pPr>
          </w:p>
        </w:tc>
        <w:tc>
          <w:tcPr>
            <w:tcW w:w="1701" w:type="dxa"/>
          </w:tcPr>
          <w:p w14:paraId="1814937F" w14:textId="77777777" w:rsidR="002054FF" w:rsidRDefault="002054FF" w:rsidP="008E4C16">
            <w:pPr>
              <w:ind w:left="0"/>
            </w:pPr>
            <w:r>
              <w:t>15 September 2021</w:t>
            </w:r>
          </w:p>
        </w:tc>
        <w:tc>
          <w:tcPr>
            <w:tcW w:w="1999" w:type="dxa"/>
          </w:tcPr>
          <w:p w14:paraId="686B1AF8" w14:textId="77777777" w:rsidR="002054FF" w:rsidRDefault="002054FF" w:rsidP="008E4C16">
            <w:pPr>
              <w:ind w:left="0"/>
            </w:pPr>
            <w:r>
              <w:t>Approved on 14 April 2022</w:t>
            </w:r>
          </w:p>
        </w:tc>
        <w:tc>
          <w:tcPr>
            <w:tcW w:w="3250" w:type="dxa"/>
          </w:tcPr>
          <w:p w14:paraId="6FF67FE5" w14:textId="445D3E0A" w:rsidR="002054FF" w:rsidRPr="0082160A" w:rsidRDefault="00D75912" w:rsidP="008E4C16">
            <w:pPr>
              <w:ind w:left="0"/>
              <w:rPr>
                <w:i/>
                <w:iCs/>
              </w:rPr>
            </w:pPr>
            <w:r>
              <w:rPr>
                <w:i/>
                <w:iCs/>
              </w:rPr>
              <w:t>Keytruda</w:t>
            </w:r>
            <w:r w:rsidR="002054FF" w:rsidRPr="0082160A">
              <w:rPr>
                <w:i/>
                <w:iCs/>
              </w:rPr>
              <w:t xml:space="preserve"> is indicated for the treatment of adult patients with high-risk early-stage triple-negative breast cancer (TNBC) in combination with chemotherapy as neoadjuvant treatment, and then continued as monotherapy as adjuvant treatment after surgery.</w:t>
            </w:r>
          </w:p>
        </w:tc>
      </w:tr>
      <w:tr w:rsidR="002054FF" w14:paraId="0C4A6880" w14:textId="77777777" w:rsidTr="008E4C16">
        <w:tc>
          <w:tcPr>
            <w:tcW w:w="1544" w:type="dxa"/>
            <w:vMerge w:val="restart"/>
          </w:tcPr>
          <w:p w14:paraId="264E9C10" w14:textId="1FF2196A" w:rsidR="002054FF" w:rsidRDefault="002054FF" w:rsidP="008E4C16">
            <w:pPr>
              <w:ind w:left="0"/>
            </w:pPr>
            <w:r>
              <w:t>New Zealand</w:t>
            </w:r>
          </w:p>
        </w:tc>
        <w:tc>
          <w:tcPr>
            <w:tcW w:w="1701" w:type="dxa"/>
          </w:tcPr>
          <w:p w14:paraId="30C5CC1C" w14:textId="77777777" w:rsidR="002054FF" w:rsidRDefault="002054FF" w:rsidP="008E4C16">
            <w:pPr>
              <w:ind w:left="0"/>
            </w:pPr>
            <w:r>
              <w:t>15 November 2021</w:t>
            </w:r>
          </w:p>
        </w:tc>
        <w:tc>
          <w:tcPr>
            <w:tcW w:w="1999" w:type="dxa"/>
          </w:tcPr>
          <w:p w14:paraId="2F340DCA" w14:textId="77777777" w:rsidR="002054FF" w:rsidRPr="00006FAB" w:rsidRDefault="002054FF" w:rsidP="008E4C16">
            <w:pPr>
              <w:ind w:left="0"/>
            </w:pPr>
            <w:r>
              <w:t>Under consideration</w:t>
            </w:r>
          </w:p>
        </w:tc>
        <w:tc>
          <w:tcPr>
            <w:tcW w:w="3250" w:type="dxa"/>
          </w:tcPr>
          <w:p w14:paraId="7B01BA06" w14:textId="568416C2" w:rsidR="002054FF" w:rsidRPr="0082160A" w:rsidRDefault="00D75912" w:rsidP="008E4C16">
            <w:pPr>
              <w:ind w:left="0"/>
              <w:rPr>
                <w:i/>
                <w:iCs/>
              </w:rPr>
            </w:pPr>
            <w:r>
              <w:rPr>
                <w:i/>
                <w:iCs/>
              </w:rPr>
              <w:t>Keytruda</w:t>
            </w:r>
            <w:r w:rsidR="002054FF" w:rsidRPr="0082160A">
              <w:rPr>
                <w:i/>
                <w:iCs/>
              </w:rPr>
              <w:t>® in combination with chemotherapy, is indicated for the treatment of patients with locally recurrent unresectable or metastatic TNBC whose tumours express PD-L1 (CPS ≥10) as determined by a validated test.</w:t>
            </w:r>
          </w:p>
        </w:tc>
      </w:tr>
      <w:tr w:rsidR="002054FF" w14:paraId="3542CEF0" w14:textId="77777777" w:rsidTr="008E4C16">
        <w:tc>
          <w:tcPr>
            <w:tcW w:w="1544" w:type="dxa"/>
            <w:vMerge/>
          </w:tcPr>
          <w:p w14:paraId="1D97B4C5" w14:textId="556045EC" w:rsidR="002054FF" w:rsidRDefault="002054FF" w:rsidP="008E4C16">
            <w:pPr>
              <w:ind w:left="0"/>
            </w:pPr>
          </w:p>
        </w:tc>
        <w:tc>
          <w:tcPr>
            <w:tcW w:w="1701" w:type="dxa"/>
          </w:tcPr>
          <w:p w14:paraId="5FFE9ADE" w14:textId="77777777" w:rsidR="002054FF" w:rsidRDefault="002054FF" w:rsidP="008E4C16">
            <w:pPr>
              <w:ind w:left="0"/>
            </w:pPr>
            <w:r>
              <w:t>15 November 2021</w:t>
            </w:r>
          </w:p>
        </w:tc>
        <w:tc>
          <w:tcPr>
            <w:tcW w:w="1999" w:type="dxa"/>
          </w:tcPr>
          <w:p w14:paraId="4588246B" w14:textId="3613B89A" w:rsidR="002054FF" w:rsidRDefault="002054FF" w:rsidP="008E4C16">
            <w:pPr>
              <w:ind w:left="0"/>
            </w:pPr>
            <w:r>
              <w:t>Under consideration</w:t>
            </w:r>
            <w:r w:rsidR="000E4EE0">
              <w:t xml:space="preserve"> </w:t>
            </w:r>
          </w:p>
        </w:tc>
        <w:tc>
          <w:tcPr>
            <w:tcW w:w="3250" w:type="dxa"/>
          </w:tcPr>
          <w:p w14:paraId="12E9FAAF" w14:textId="743D95A2" w:rsidR="002054FF" w:rsidRPr="001E0309" w:rsidRDefault="001E0309" w:rsidP="001E0309">
            <w:pPr>
              <w:ind w:left="0"/>
            </w:pPr>
            <w:r>
              <w:t>Proposed for high-risk early stage TNBC</w:t>
            </w:r>
          </w:p>
        </w:tc>
      </w:tr>
    </w:tbl>
    <w:p w14:paraId="37DD89DB" w14:textId="77777777" w:rsidR="008E7846" w:rsidRDefault="008E7846" w:rsidP="00940A89">
      <w:pPr>
        <w:pStyle w:val="Heading3"/>
      </w:pPr>
      <w:bookmarkStart w:id="27" w:name="_Toc132283593"/>
      <w:r>
        <w:lastRenderedPageBreak/>
        <w:t>Product Information</w:t>
      </w:r>
      <w:bookmarkEnd w:id="20"/>
      <w:bookmarkEnd w:id="21"/>
      <w:bookmarkEnd w:id="27"/>
    </w:p>
    <w:p w14:paraId="48FE7A83" w14:textId="747E1023" w:rsidR="00332715" w:rsidRDefault="00332715" w:rsidP="00332715">
      <w:bookmarkStart w:id="28" w:name="_Toc504480011"/>
      <w:bookmarkStart w:id="29" w:name="_Toc247691506"/>
      <w:bookmarkStart w:id="30" w:name="_Toc314842487"/>
      <w:r>
        <w:t xml:space="preserve">The Product Information (PI) approved with the submission which is described in this AusPAR can be found as Attachment 1. For the most recent PI, please refer to the TGA </w:t>
      </w:r>
      <w:hyperlink r:id="rId19" w:history="1">
        <w:r>
          <w:rPr>
            <w:rStyle w:val="Hyperlink"/>
          </w:rPr>
          <w:t>PI/CMI search facility</w:t>
        </w:r>
        <w:r w:rsidRPr="009556D7">
          <w:rPr>
            <w:rStyle w:val="Hyperlink"/>
            <w:color w:val="auto"/>
            <w:u w:val="none"/>
          </w:rPr>
          <w:t>.</w:t>
        </w:r>
      </w:hyperlink>
    </w:p>
    <w:p w14:paraId="7FD1F232" w14:textId="77777777" w:rsidR="00500337" w:rsidRDefault="00500337" w:rsidP="00500337">
      <w:pPr>
        <w:pStyle w:val="Heading2"/>
      </w:pPr>
      <w:bookmarkStart w:id="31" w:name="_Toc132283594"/>
      <w:bookmarkStart w:id="32" w:name="_Ref134169345"/>
      <w:r>
        <w:t>Registration timeline</w:t>
      </w:r>
      <w:bookmarkEnd w:id="28"/>
      <w:bookmarkEnd w:id="31"/>
      <w:bookmarkEnd w:id="32"/>
    </w:p>
    <w:p w14:paraId="53411A49" w14:textId="02E5D902" w:rsidR="00D43114" w:rsidRDefault="00D161FC" w:rsidP="00870904">
      <w:pPr>
        <w:tabs>
          <w:tab w:val="center" w:pos="4252"/>
        </w:tabs>
      </w:pPr>
      <w:r>
        <w:t xml:space="preserve">This submission was evaluated via the </w:t>
      </w:r>
      <w:r w:rsidR="00DE09CE">
        <w:t xml:space="preserve">TGA’s </w:t>
      </w:r>
      <w:hyperlink r:id="rId20" w:history="1">
        <w:r w:rsidR="00DE09CE" w:rsidRPr="00DE09CE">
          <w:rPr>
            <w:rStyle w:val="Hyperlink"/>
          </w:rPr>
          <w:t>priority review pathway</w:t>
        </w:r>
      </w:hyperlink>
      <w:r w:rsidR="00DE09CE">
        <w:t>.</w:t>
      </w:r>
      <w:r w:rsidR="00D43114">
        <w:t xml:space="preserve"> Priority determination was granted on 14 September 2021 for the following indication</w:t>
      </w:r>
      <w:r w:rsidR="00FB26DF">
        <w:t>s</w:t>
      </w:r>
      <w:r w:rsidR="00D43114">
        <w:t>:</w:t>
      </w:r>
    </w:p>
    <w:p w14:paraId="372EB929" w14:textId="2E54B09D" w:rsidR="00FB26DF" w:rsidRDefault="00D43114" w:rsidP="00870904">
      <w:pPr>
        <w:tabs>
          <w:tab w:val="center" w:pos="4252"/>
        </w:tabs>
        <w:ind w:left="720"/>
        <w:rPr>
          <w:i/>
        </w:rPr>
      </w:pPr>
      <w:r w:rsidRPr="00870904">
        <w:rPr>
          <w:i/>
        </w:rPr>
        <w:t>Keytruda (pembrolizumab) in combination with chemotherapy, is indicated for the treatment of patients with locally recurrent unresectable or metastatic triple-negative breast cancer (TNBC) whose tumours express PD-L1 (CPS ≥ 10) as determined by a validated test.</w:t>
      </w:r>
    </w:p>
    <w:p w14:paraId="020853CD" w14:textId="08C61EE4" w:rsidR="00FB26DF" w:rsidRPr="00FB26DF" w:rsidRDefault="00FB26DF" w:rsidP="00870904">
      <w:pPr>
        <w:tabs>
          <w:tab w:val="center" w:pos="4252"/>
        </w:tabs>
        <w:ind w:left="720"/>
        <w:rPr>
          <w:iCs/>
        </w:rPr>
      </w:pPr>
      <w:r w:rsidRPr="00FB26DF">
        <w:rPr>
          <w:iCs/>
        </w:rPr>
        <w:t>and</w:t>
      </w:r>
    </w:p>
    <w:p w14:paraId="07110AF1" w14:textId="7F84D6A1" w:rsidR="00D161FC" w:rsidRDefault="00FB26DF" w:rsidP="00870904">
      <w:pPr>
        <w:tabs>
          <w:tab w:val="center" w:pos="4252"/>
        </w:tabs>
        <w:ind w:left="720"/>
        <w:rPr>
          <w:i/>
        </w:rPr>
      </w:pPr>
      <w:r>
        <w:rPr>
          <w:i/>
        </w:rPr>
        <w:t>T</w:t>
      </w:r>
      <w:r w:rsidRPr="00FB26DF">
        <w:rPr>
          <w:i/>
        </w:rPr>
        <w:t>he treatment of patients with high-risk early-stage triple-negative breast cancer (TNBC) in combination with chemotherapy as neoadjuvant treatment, and then continued as monotherapy as adjuvant treatment after surgery.</w:t>
      </w:r>
    </w:p>
    <w:p w14:paraId="5964B194" w14:textId="0D903DF9" w:rsidR="00D43114" w:rsidRPr="00D43114" w:rsidRDefault="00D43114">
      <w:r w:rsidRPr="00C93EC1">
        <w:t xml:space="preserve">The following table captures the key steps and dates for this </w:t>
      </w:r>
      <w:r>
        <w:t>submission</w:t>
      </w:r>
      <w:r w:rsidRPr="00C93EC1">
        <w:t>.</w:t>
      </w:r>
    </w:p>
    <w:p w14:paraId="46AA4128" w14:textId="52CDA69B" w:rsidR="0074163C" w:rsidRPr="00822FCB" w:rsidRDefault="0074163C" w:rsidP="00870904">
      <w:pPr>
        <w:pStyle w:val="TableTitle"/>
        <w:rPr>
          <w:szCs w:val="20"/>
        </w:rPr>
      </w:pPr>
      <w:r>
        <w:t xml:space="preserve">Table </w:t>
      </w:r>
      <w:r>
        <w:rPr>
          <w:b w:val="0"/>
        </w:rPr>
        <w:fldChar w:fldCharType="begin"/>
      </w:r>
      <w:r>
        <w:instrText>SEQ Table \* ARABIC</w:instrText>
      </w:r>
      <w:r>
        <w:rPr>
          <w:b w:val="0"/>
        </w:rPr>
        <w:fldChar w:fldCharType="separate"/>
      </w:r>
      <w:r w:rsidR="00A02570">
        <w:rPr>
          <w:noProof/>
        </w:rPr>
        <w:t>3</w:t>
      </w:r>
      <w:r>
        <w:rPr>
          <w:b w:val="0"/>
        </w:rPr>
        <w:fldChar w:fldCharType="end"/>
      </w:r>
      <w:r>
        <w:t>:</w:t>
      </w:r>
      <w:r w:rsidRPr="006A58A8">
        <w:t xml:space="preserve"> Timeline for Submission </w:t>
      </w:r>
      <w:r w:rsidR="002C1324" w:rsidRPr="002C1324">
        <w:t>PM-2021-04831-1-4</w:t>
      </w:r>
    </w:p>
    <w:tbl>
      <w:tblPr>
        <w:tblStyle w:val="TableTGAblue"/>
        <w:tblW w:w="0" w:type="auto"/>
        <w:tblLook w:val="04A0" w:firstRow="1" w:lastRow="0" w:firstColumn="1" w:lastColumn="0" w:noHBand="0" w:noVBand="1"/>
      </w:tblPr>
      <w:tblGrid>
        <w:gridCol w:w="4255"/>
        <w:gridCol w:w="4239"/>
      </w:tblGrid>
      <w:tr w:rsidR="0074163C" w14:paraId="73D8EEC5" w14:textId="77777777" w:rsidTr="00593138">
        <w:trPr>
          <w:cnfStyle w:val="100000000000" w:firstRow="1" w:lastRow="0" w:firstColumn="0" w:lastColumn="0" w:oddVBand="0" w:evenVBand="0" w:oddHBand="0" w:evenHBand="0" w:firstRowFirstColumn="0" w:firstRowLastColumn="0" w:lastRowFirstColumn="0" w:lastRowLastColumn="0"/>
        </w:trPr>
        <w:tc>
          <w:tcPr>
            <w:tcW w:w="4255" w:type="dxa"/>
            <w:tcBorders>
              <w:top w:val="single" w:sz="4" w:space="0" w:color="auto"/>
              <w:left w:val="single" w:sz="4" w:space="0" w:color="auto"/>
              <w:bottom w:val="single" w:sz="4" w:space="0" w:color="auto"/>
              <w:right w:val="single" w:sz="4" w:space="0" w:color="auto"/>
            </w:tcBorders>
          </w:tcPr>
          <w:p w14:paraId="0C926AE2" w14:textId="77777777" w:rsidR="0074163C" w:rsidRDefault="0074163C" w:rsidP="009E5A87">
            <w:r>
              <w:t>Description</w:t>
            </w:r>
          </w:p>
        </w:tc>
        <w:tc>
          <w:tcPr>
            <w:tcW w:w="4239" w:type="dxa"/>
            <w:tcBorders>
              <w:top w:val="single" w:sz="4" w:space="0" w:color="auto"/>
              <w:left w:val="single" w:sz="4" w:space="0" w:color="auto"/>
              <w:bottom w:val="single" w:sz="4" w:space="0" w:color="auto"/>
              <w:right w:val="single" w:sz="4" w:space="0" w:color="auto"/>
            </w:tcBorders>
          </w:tcPr>
          <w:p w14:paraId="681B2149" w14:textId="77777777" w:rsidR="0074163C" w:rsidRDefault="0074163C" w:rsidP="009E5A87">
            <w:r>
              <w:t>Date</w:t>
            </w:r>
          </w:p>
        </w:tc>
      </w:tr>
      <w:tr w:rsidR="0074163C" w14:paraId="41F4E542" w14:textId="77777777" w:rsidTr="00593138">
        <w:tc>
          <w:tcPr>
            <w:tcW w:w="4255" w:type="dxa"/>
            <w:tcBorders>
              <w:top w:val="single" w:sz="4" w:space="0" w:color="auto"/>
            </w:tcBorders>
          </w:tcPr>
          <w:p w14:paraId="447F990C" w14:textId="77777777" w:rsidR="0074163C" w:rsidRPr="000351EB" w:rsidRDefault="0074163C" w:rsidP="009E5A87">
            <w:pPr>
              <w:pStyle w:val="Instructions"/>
              <w:rPr>
                <w:iCs/>
              </w:rPr>
            </w:pPr>
            <w:r w:rsidRPr="0072292E">
              <w:rPr>
                <w:i w:val="0"/>
                <w:iCs/>
                <w:color w:val="auto"/>
              </w:rPr>
              <w:t>Determination (Priority)</w:t>
            </w:r>
          </w:p>
        </w:tc>
        <w:tc>
          <w:tcPr>
            <w:tcW w:w="4239" w:type="dxa"/>
            <w:tcBorders>
              <w:top w:val="single" w:sz="4" w:space="0" w:color="auto"/>
            </w:tcBorders>
          </w:tcPr>
          <w:p w14:paraId="6E1F4DB4" w14:textId="700CF4EA" w:rsidR="0074163C" w:rsidRDefault="00593138" w:rsidP="009E5A87">
            <w:r>
              <w:t>14 September 2021</w:t>
            </w:r>
          </w:p>
        </w:tc>
      </w:tr>
      <w:tr w:rsidR="0074163C" w14:paraId="33FB5E5E" w14:textId="77777777" w:rsidTr="00593138">
        <w:tc>
          <w:tcPr>
            <w:tcW w:w="4255" w:type="dxa"/>
          </w:tcPr>
          <w:p w14:paraId="6B0BD9FC" w14:textId="77777777" w:rsidR="0074163C" w:rsidRDefault="0074163C" w:rsidP="009E5A87">
            <w:r>
              <w:t>Submission dossier accepted and first round evaluation commenced</w:t>
            </w:r>
          </w:p>
        </w:tc>
        <w:tc>
          <w:tcPr>
            <w:tcW w:w="4239" w:type="dxa"/>
          </w:tcPr>
          <w:p w14:paraId="40B67D8D" w14:textId="3FF7E864" w:rsidR="0074163C" w:rsidRDefault="00593138" w:rsidP="009E5A87">
            <w:r>
              <w:t>24 November 2021</w:t>
            </w:r>
          </w:p>
        </w:tc>
      </w:tr>
      <w:tr w:rsidR="0074163C" w14:paraId="7ECAE080" w14:textId="77777777" w:rsidTr="00593138">
        <w:tc>
          <w:tcPr>
            <w:tcW w:w="4255" w:type="dxa"/>
          </w:tcPr>
          <w:p w14:paraId="4D601550" w14:textId="77777777" w:rsidR="0074163C" w:rsidRDefault="0074163C" w:rsidP="009E5A87">
            <w:r>
              <w:t>Evaluation completed</w:t>
            </w:r>
          </w:p>
        </w:tc>
        <w:tc>
          <w:tcPr>
            <w:tcW w:w="4239" w:type="dxa"/>
          </w:tcPr>
          <w:p w14:paraId="7A1E7DBE" w14:textId="4401DC40" w:rsidR="0074163C" w:rsidRDefault="00593138" w:rsidP="009E5A87">
            <w:r>
              <w:t>30 March 2022</w:t>
            </w:r>
          </w:p>
        </w:tc>
      </w:tr>
      <w:tr w:rsidR="0074163C" w14:paraId="32D6A1F1" w14:textId="77777777" w:rsidTr="00593138">
        <w:tc>
          <w:tcPr>
            <w:tcW w:w="4255" w:type="dxa"/>
          </w:tcPr>
          <w:p w14:paraId="48137FB7" w14:textId="30509585" w:rsidR="0074163C" w:rsidRDefault="0074163C" w:rsidP="009E5A87">
            <w:r>
              <w:t>Delegate’s Overall benefit-risk assessment</w:t>
            </w:r>
            <w:r w:rsidRPr="002C1324">
              <w:rPr>
                <w:color w:val="auto"/>
              </w:rPr>
              <w:t xml:space="preserve"> and request for Advisory Committee advice</w:t>
            </w:r>
          </w:p>
        </w:tc>
        <w:tc>
          <w:tcPr>
            <w:tcW w:w="4239" w:type="dxa"/>
          </w:tcPr>
          <w:p w14:paraId="2F177B01" w14:textId="3F38BEAD" w:rsidR="0074163C" w:rsidRDefault="00593138" w:rsidP="009E5A87">
            <w:r>
              <w:t>3 June 2022</w:t>
            </w:r>
          </w:p>
        </w:tc>
      </w:tr>
      <w:tr w:rsidR="0074163C" w14:paraId="1D57D3BB" w14:textId="77777777" w:rsidTr="00593138">
        <w:tc>
          <w:tcPr>
            <w:tcW w:w="4255" w:type="dxa"/>
          </w:tcPr>
          <w:p w14:paraId="6F0F6673" w14:textId="77777777" w:rsidR="0074163C" w:rsidRDefault="0074163C" w:rsidP="009E5A87">
            <w:r>
              <w:t>Sponsor’s pre-Advisory Committee response</w:t>
            </w:r>
          </w:p>
        </w:tc>
        <w:tc>
          <w:tcPr>
            <w:tcW w:w="4239" w:type="dxa"/>
          </w:tcPr>
          <w:p w14:paraId="3CDA4A0E" w14:textId="751BDB6B" w:rsidR="0074163C" w:rsidRDefault="00F94258" w:rsidP="009E5A87">
            <w:r>
              <w:t xml:space="preserve">16 </w:t>
            </w:r>
            <w:r w:rsidR="00593138">
              <w:t>May 2022</w:t>
            </w:r>
          </w:p>
        </w:tc>
      </w:tr>
      <w:tr w:rsidR="0074163C" w14:paraId="6DCF88FB" w14:textId="77777777" w:rsidTr="00593138">
        <w:tc>
          <w:tcPr>
            <w:tcW w:w="4255" w:type="dxa"/>
          </w:tcPr>
          <w:p w14:paraId="4D625BD7" w14:textId="77777777" w:rsidR="0074163C" w:rsidRDefault="0074163C" w:rsidP="009E5A87">
            <w:r>
              <w:t>Advisory Committee meeting</w:t>
            </w:r>
          </w:p>
        </w:tc>
        <w:tc>
          <w:tcPr>
            <w:tcW w:w="4239" w:type="dxa"/>
          </w:tcPr>
          <w:p w14:paraId="516A15B4" w14:textId="3D6C9434" w:rsidR="0074163C" w:rsidRDefault="00593138" w:rsidP="009E5A87">
            <w:r>
              <w:t>3 June 2022</w:t>
            </w:r>
          </w:p>
        </w:tc>
      </w:tr>
      <w:tr w:rsidR="0074163C" w14:paraId="303F40CA" w14:textId="77777777" w:rsidTr="00593138">
        <w:tc>
          <w:tcPr>
            <w:tcW w:w="4255" w:type="dxa"/>
          </w:tcPr>
          <w:p w14:paraId="4DC70948" w14:textId="77777777" w:rsidR="0074163C" w:rsidRDefault="0074163C" w:rsidP="009E5A87">
            <w:r>
              <w:t>Registration decision (Outcome)</w:t>
            </w:r>
          </w:p>
        </w:tc>
        <w:tc>
          <w:tcPr>
            <w:tcW w:w="4239" w:type="dxa"/>
          </w:tcPr>
          <w:p w14:paraId="67BBF1FC" w14:textId="62372A81" w:rsidR="0074163C" w:rsidRDefault="00593138" w:rsidP="009E5A87">
            <w:r>
              <w:t>2 September 2022</w:t>
            </w:r>
          </w:p>
        </w:tc>
      </w:tr>
      <w:tr w:rsidR="0074163C" w14:paraId="0E41142A" w14:textId="77777777" w:rsidTr="00593138">
        <w:tc>
          <w:tcPr>
            <w:tcW w:w="4255" w:type="dxa"/>
          </w:tcPr>
          <w:p w14:paraId="05A562F9" w14:textId="77777777" w:rsidR="0074163C" w:rsidRDefault="0074163C" w:rsidP="009E5A87">
            <w:r>
              <w:t>Completion of administrative activities and registration on the ARTG</w:t>
            </w:r>
          </w:p>
        </w:tc>
        <w:tc>
          <w:tcPr>
            <w:tcW w:w="4239" w:type="dxa"/>
          </w:tcPr>
          <w:p w14:paraId="34D298EA" w14:textId="1B42044F" w:rsidR="0074163C" w:rsidRDefault="00593138" w:rsidP="009E5A87">
            <w:r>
              <w:t>7 September 2022</w:t>
            </w:r>
          </w:p>
        </w:tc>
      </w:tr>
      <w:tr w:rsidR="0074163C" w14:paraId="5F1A0A2B" w14:textId="77777777" w:rsidTr="00593138">
        <w:tc>
          <w:tcPr>
            <w:tcW w:w="4255" w:type="dxa"/>
          </w:tcPr>
          <w:p w14:paraId="71AF49D9" w14:textId="77777777" w:rsidR="0074163C" w:rsidRDefault="0074163C" w:rsidP="009E5A87">
            <w:r>
              <w:t>Number of working days from submission dossier acceptance to registration decision*</w:t>
            </w:r>
          </w:p>
        </w:tc>
        <w:tc>
          <w:tcPr>
            <w:tcW w:w="4239" w:type="dxa"/>
          </w:tcPr>
          <w:p w14:paraId="6CB10BAE" w14:textId="474D31F5" w:rsidR="0074163C" w:rsidRDefault="00593138" w:rsidP="009E5A87">
            <w:r>
              <w:t>142</w:t>
            </w:r>
          </w:p>
        </w:tc>
      </w:tr>
    </w:tbl>
    <w:p w14:paraId="05050C7C" w14:textId="77777777" w:rsidR="0074163C" w:rsidRDefault="0074163C" w:rsidP="0074163C">
      <w:pPr>
        <w:pStyle w:val="TableDescription"/>
      </w:pPr>
      <w:r>
        <w:t xml:space="preserve">*Target timeframe for priority </w:t>
      </w:r>
      <w:r w:rsidR="00BB0B78">
        <w:t>submission</w:t>
      </w:r>
      <w:r>
        <w:t>s is 150 working days from acceptance for evaluation to the decision.</w:t>
      </w:r>
    </w:p>
    <w:p w14:paraId="45C22054" w14:textId="77777777" w:rsidR="008E7846" w:rsidRPr="00792A32" w:rsidRDefault="00006FAB" w:rsidP="008E7846">
      <w:pPr>
        <w:pStyle w:val="Heading2"/>
      </w:pPr>
      <w:bookmarkStart w:id="33" w:name="_Toc196046504"/>
      <w:bookmarkStart w:id="34" w:name="_Toc247691527"/>
      <w:bookmarkStart w:id="35" w:name="_Toc314842510"/>
      <w:bookmarkStart w:id="36" w:name="_Toc132283595"/>
      <w:bookmarkStart w:id="37" w:name="_Toc163441390"/>
      <w:bookmarkEnd w:id="1"/>
      <w:bookmarkEnd w:id="29"/>
      <w:bookmarkEnd w:id="30"/>
      <w:r w:rsidRPr="00006FAB">
        <w:lastRenderedPageBreak/>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3"/>
      <w:bookmarkEnd w:id="34"/>
      <w:bookmarkEnd w:id="35"/>
      <w:bookmarkEnd w:id="36"/>
    </w:p>
    <w:p w14:paraId="435F0F61" w14:textId="77777777" w:rsidR="005A79F5" w:rsidRDefault="005A79F5" w:rsidP="0074163C">
      <w:pPr>
        <w:pStyle w:val="Instructions"/>
        <w:rPr>
          <w:i w:val="0"/>
          <w:color w:val="auto"/>
        </w:rPr>
      </w:pPr>
      <w:bookmarkStart w:id="38" w:name="_Toc247691528"/>
      <w:bookmarkStart w:id="39" w:name="_Toc314842511"/>
      <w:r w:rsidRPr="005A79F5">
        <w:rPr>
          <w:i w:val="0"/>
          <w:color w:val="auto"/>
        </w:rPr>
        <w:t>A summary of the TGA’s assessment for this submission is provided below</w:t>
      </w:r>
      <w:r>
        <w:rPr>
          <w:i w:val="0"/>
          <w:color w:val="auto"/>
        </w:rPr>
        <w:t>.</w:t>
      </w:r>
    </w:p>
    <w:p w14:paraId="4BDD32BE" w14:textId="77777777" w:rsidR="0074163C" w:rsidRDefault="0074163C" w:rsidP="0074163C">
      <w:r>
        <w:t>This section is a TGA summary of wording used in TGA’s evaluation report, which discussed numerous aspects of overseas evaluation reports and included some information that was commercial-in-confidence.</w:t>
      </w:r>
    </w:p>
    <w:p w14:paraId="0409A5A8" w14:textId="77777777" w:rsidR="008E7846" w:rsidRDefault="008E7846" w:rsidP="008E7846">
      <w:pPr>
        <w:pStyle w:val="Heading3"/>
      </w:pPr>
      <w:bookmarkStart w:id="40" w:name="_Toc132283596"/>
      <w:r>
        <w:t>Quality</w:t>
      </w:r>
      <w:bookmarkEnd w:id="38"/>
      <w:bookmarkEnd w:id="39"/>
      <w:bookmarkEnd w:id="40"/>
    </w:p>
    <w:p w14:paraId="027B0837" w14:textId="77777777" w:rsidR="00DE09CE" w:rsidRDefault="002C1324" w:rsidP="0074163C">
      <w:r>
        <w:t xml:space="preserve">There was no requirement for a quality evaluation </w:t>
      </w:r>
      <w:r w:rsidR="000E4EE0">
        <w:t>for this submission</w:t>
      </w:r>
      <w:r>
        <w:t xml:space="preserve">. </w:t>
      </w:r>
      <w:r w:rsidR="00953C5A">
        <w:t>The quality of the product approved at the time of registration was deemed acceptable for the proposed extension of injection.</w:t>
      </w:r>
    </w:p>
    <w:p w14:paraId="116061E6" w14:textId="659CED84" w:rsidR="0074163C" w:rsidRDefault="0074163C" w:rsidP="0074163C">
      <w:r>
        <w:t>A full quality evaluation was conducted at the time this product received initial registration.</w:t>
      </w:r>
    </w:p>
    <w:p w14:paraId="39986C3A" w14:textId="77777777" w:rsidR="008E7846" w:rsidRDefault="008E7846" w:rsidP="008E7846">
      <w:pPr>
        <w:pStyle w:val="Heading3"/>
      </w:pPr>
      <w:bookmarkStart w:id="41" w:name="_Toc314842512"/>
      <w:bookmarkStart w:id="42" w:name="_Toc132283597"/>
      <w:r>
        <w:t>Nonclinical</w:t>
      </w:r>
      <w:bookmarkEnd w:id="41"/>
      <w:bookmarkEnd w:id="42"/>
    </w:p>
    <w:p w14:paraId="6CF3421E" w14:textId="77777777" w:rsidR="00DE09CE" w:rsidRDefault="002C1324" w:rsidP="0074163C">
      <w:r>
        <w:t xml:space="preserve">There was no requirement for a nonclinical evaluation </w:t>
      </w:r>
      <w:r w:rsidR="000E4EE0">
        <w:t>for this submission</w:t>
      </w:r>
      <w:r>
        <w:t>.</w:t>
      </w:r>
    </w:p>
    <w:p w14:paraId="5EB70F1C" w14:textId="62D58E04" w:rsidR="0074163C" w:rsidRPr="0074163C" w:rsidRDefault="0074163C" w:rsidP="0074163C">
      <w:r>
        <w:t>A full nonclinical evaluation was conducted at the time this product received initial registration.</w:t>
      </w:r>
    </w:p>
    <w:p w14:paraId="2FCB91E5" w14:textId="7F1E6DA5" w:rsidR="008E7846" w:rsidRDefault="008E7846" w:rsidP="008E7846">
      <w:pPr>
        <w:pStyle w:val="Heading3"/>
      </w:pPr>
      <w:bookmarkStart w:id="43" w:name="_Toc247691530"/>
      <w:bookmarkStart w:id="44" w:name="_Toc314842513"/>
      <w:bookmarkStart w:id="45" w:name="_Toc132283598"/>
      <w:r>
        <w:t>Clinical</w:t>
      </w:r>
      <w:bookmarkEnd w:id="43"/>
      <w:bookmarkEnd w:id="44"/>
      <w:bookmarkEnd w:id="45"/>
      <w:r w:rsidR="009B4355">
        <w:t xml:space="preserve"> overview</w:t>
      </w:r>
    </w:p>
    <w:p w14:paraId="2537151A" w14:textId="441732D0" w:rsidR="0063363E" w:rsidRDefault="00830A19" w:rsidP="00870904">
      <w:proofErr w:type="gramStart"/>
      <w:r>
        <w:t>This proposed indications</w:t>
      </w:r>
      <w:proofErr w:type="gramEnd"/>
      <w:r>
        <w:t xml:space="preserve"> included in this submission are made up of two parts based on disease and population characteristics</w:t>
      </w:r>
      <w:r w:rsidR="0063363E">
        <w:t xml:space="preserve">. </w:t>
      </w:r>
      <w:r>
        <w:t>As such, t</w:t>
      </w:r>
      <w:r w:rsidR="0063363E">
        <w:t xml:space="preserve">he </w:t>
      </w:r>
      <w:r>
        <w:t xml:space="preserve">presentation of clinical efficacy and safety </w:t>
      </w:r>
      <w:r w:rsidR="009B4355">
        <w:t>data</w:t>
      </w:r>
      <w:r>
        <w:t xml:space="preserve"> submitted and evaluated</w:t>
      </w:r>
      <w:r w:rsidR="009B4355">
        <w:t xml:space="preserve"> </w:t>
      </w:r>
      <w:r w:rsidR="007D54ED">
        <w:t xml:space="preserve">in support of </w:t>
      </w:r>
      <w:r w:rsidR="0063363E">
        <w:t xml:space="preserve">each </w:t>
      </w:r>
      <w:r>
        <w:t xml:space="preserve">part of the </w:t>
      </w:r>
      <w:r w:rsidR="0063363E">
        <w:t>proposed indication</w:t>
      </w:r>
      <w:r>
        <w:t>s</w:t>
      </w:r>
      <w:r w:rsidR="0063363E">
        <w:t xml:space="preserve"> is presented </w:t>
      </w:r>
      <w:r w:rsidR="007D54ED">
        <w:t>separately</w:t>
      </w:r>
      <w:r>
        <w:t>.</w:t>
      </w:r>
    </w:p>
    <w:p w14:paraId="49053EFD" w14:textId="4ABD34FC" w:rsidR="00830A19" w:rsidRPr="00870904" w:rsidRDefault="00830A19" w:rsidP="00870904">
      <w:r>
        <w:t>The following guidance and summary of clinical studies is applicable to the overall submission.</w:t>
      </w:r>
    </w:p>
    <w:p w14:paraId="0865C274" w14:textId="77777777" w:rsidR="002C1324" w:rsidRPr="003913EF" w:rsidRDefault="002C1324" w:rsidP="002C1324">
      <w:pPr>
        <w:pStyle w:val="Heading4"/>
        <w:rPr>
          <w:lang w:val="en-US" w:eastAsia="zh-TW"/>
        </w:rPr>
      </w:pPr>
      <w:r>
        <w:rPr>
          <w:lang w:val="en-US" w:eastAsia="zh-TW"/>
        </w:rPr>
        <w:t>Guidance</w:t>
      </w:r>
    </w:p>
    <w:p w14:paraId="42E1826E" w14:textId="174643DE" w:rsidR="002C1324" w:rsidRDefault="002C1324" w:rsidP="002C1324">
      <w:pPr>
        <w:rPr>
          <w:lang w:val="en-US" w:eastAsia="zh-TW"/>
        </w:rPr>
      </w:pPr>
      <w:r>
        <w:rPr>
          <w:lang w:val="en-US" w:eastAsia="zh-TW"/>
        </w:rPr>
        <w:t xml:space="preserve">The following guidance documents </w:t>
      </w:r>
      <w:r w:rsidR="00991D6C">
        <w:rPr>
          <w:lang w:val="en-US" w:eastAsia="zh-TW"/>
        </w:rPr>
        <w:t>were considered relevant to</w:t>
      </w:r>
      <w:r>
        <w:rPr>
          <w:lang w:val="en-US" w:eastAsia="zh-TW"/>
        </w:rPr>
        <w:t xml:space="preserve"> th</w:t>
      </w:r>
      <w:r w:rsidR="006F6035">
        <w:rPr>
          <w:lang w:val="en-US" w:eastAsia="zh-TW"/>
        </w:rPr>
        <w:t>is</w:t>
      </w:r>
      <w:r>
        <w:rPr>
          <w:lang w:val="en-US" w:eastAsia="zh-TW"/>
        </w:rPr>
        <w:t xml:space="preserve"> submission:</w:t>
      </w:r>
    </w:p>
    <w:p w14:paraId="4C184189" w14:textId="367D7987" w:rsidR="00991D6C" w:rsidRPr="00870904" w:rsidRDefault="00DE09CE" w:rsidP="002C1324">
      <w:pPr>
        <w:pStyle w:val="ListBullet"/>
        <w:rPr>
          <w:lang w:val="en-US"/>
        </w:rPr>
      </w:pPr>
      <w:r>
        <w:t xml:space="preserve">European Medicines Agency (EMA): </w:t>
      </w:r>
      <w:hyperlink r:id="rId21" w:history="1">
        <w:r w:rsidRPr="00B72FD2">
          <w:rPr>
            <w:rStyle w:val="Hyperlink"/>
          </w:rPr>
          <w:t>Guideline on the evaluation of anticancer medicinal products in man</w:t>
        </w:r>
      </w:hyperlink>
      <w:r w:rsidRPr="00870904">
        <w:t>,</w:t>
      </w:r>
      <w:r w:rsidR="00991D6C">
        <w:t xml:space="preserve"> </w:t>
      </w:r>
      <w:r>
        <w:t>(</w:t>
      </w:r>
      <w:r w:rsidRPr="00B72FD2">
        <w:t>EMA/CHMP/205/95/Rev.4)</w:t>
      </w:r>
      <w:r>
        <w:t>;</w:t>
      </w:r>
      <w:r w:rsidRPr="00870904">
        <w:t xml:space="preserve"> 13 Dec</w:t>
      </w:r>
      <w:r>
        <w:t>ember</w:t>
      </w:r>
      <w:r w:rsidRPr="00870904">
        <w:t xml:space="preserve"> 2012</w:t>
      </w:r>
      <w:r w:rsidR="007E32CD">
        <w:t>.</w:t>
      </w:r>
    </w:p>
    <w:p w14:paraId="2B33F731" w14:textId="726F2B7A" w:rsidR="00DE09CE" w:rsidRPr="00870904" w:rsidRDefault="00DE09CE" w:rsidP="00870904">
      <w:pPr>
        <w:pStyle w:val="ListBullet"/>
        <w:numPr>
          <w:ilvl w:val="0"/>
          <w:numId w:val="0"/>
        </w:numPr>
        <w:ind w:left="360"/>
        <w:rPr>
          <w:rFonts w:eastAsia="Times New Roman"/>
        </w:rPr>
      </w:pPr>
      <w:r>
        <w:t>Adopted by the TGA; effective date: 1 April 2014</w:t>
      </w:r>
    </w:p>
    <w:p w14:paraId="5A45BAA4" w14:textId="06ABF521" w:rsidR="00991D6C" w:rsidRDefault="00DE09CE" w:rsidP="00991D6C">
      <w:pPr>
        <w:pStyle w:val="ListBullet"/>
      </w:pPr>
      <w:bookmarkStart w:id="46" w:name="_Toc98931928"/>
      <w:r>
        <w:t xml:space="preserve">United States Food and Drug Administration (US FDA): </w:t>
      </w:r>
      <w:hyperlink r:id="rId22" w:history="1">
        <w:r w:rsidR="00991D6C" w:rsidRPr="00DE09CE">
          <w:rPr>
            <w:rStyle w:val="Hyperlink"/>
          </w:rPr>
          <w:t>Pathological Complete Response in Neoadjuvant Treatment of High-Risk Early-Stage Breast Cancer: Use as an Endpoint to Support Accelerated Approval</w:t>
        </w:r>
      </w:hyperlink>
      <w:r w:rsidR="00991D6C">
        <w:t>; Guidance for Industry (</w:t>
      </w:r>
      <w:r>
        <w:t xml:space="preserve">Rev 1); </w:t>
      </w:r>
      <w:r w:rsidR="00991D6C">
        <w:t>July 2020.</w:t>
      </w:r>
    </w:p>
    <w:p w14:paraId="78EDB9AC" w14:textId="66F18344" w:rsidR="0074163C" w:rsidRDefault="0074163C" w:rsidP="0074163C">
      <w:pPr>
        <w:pStyle w:val="Heading4"/>
      </w:pPr>
      <w:r>
        <w:t>Summary of clinical studies</w:t>
      </w:r>
      <w:bookmarkEnd w:id="46"/>
    </w:p>
    <w:p w14:paraId="52F901C1" w14:textId="49AD0122" w:rsidR="0074163C" w:rsidRDefault="0074163C" w:rsidP="0074163C">
      <w:r>
        <w:t xml:space="preserve">The clinical </w:t>
      </w:r>
      <w:r w:rsidR="008E10C6">
        <w:t xml:space="preserve">data provided to support the proposed indications </w:t>
      </w:r>
      <w:r w:rsidR="00FC5EA8">
        <w:t>are given below.</w:t>
      </w:r>
    </w:p>
    <w:p w14:paraId="50EBEC32" w14:textId="18BD2D84" w:rsidR="008E10C6" w:rsidRDefault="00B72FD2" w:rsidP="008E10C6">
      <w:pPr>
        <w:pStyle w:val="Heading5"/>
      </w:pPr>
      <w:r>
        <w:t>Studies in n</w:t>
      </w:r>
      <w:r w:rsidR="008E10C6" w:rsidRPr="008E10C6">
        <w:t xml:space="preserve">eoadjuvant/adjuvant early </w:t>
      </w:r>
      <w:r w:rsidR="000E4EE0">
        <w:t>triple negative breast cancer</w:t>
      </w:r>
    </w:p>
    <w:p w14:paraId="2655BDB0" w14:textId="468174C2" w:rsidR="00FC5EA8" w:rsidRPr="00B72FD2" w:rsidRDefault="00FC5EA8" w:rsidP="00870904">
      <w:r>
        <w:t>The following study was</w:t>
      </w:r>
      <w:r w:rsidR="00F250D5">
        <w:t xml:space="preserve"> considered by the Delegate for evaluation of efficacy and safety</w:t>
      </w:r>
      <w:r>
        <w:t>:</w:t>
      </w:r>
    </w:p>
    <w:p w14:paraId="4B1F4591" w14:textId="64E0DC2C" w:rsidR="00293F2D" w:rsidRDefault="000E4EE0" w:rsidP="008E4C16">
      <w:pPr>
        <w:pStyle w:val="ListBullet"/>
      </w:pPr>
      <w:r>
        <w:t xml:space="preserve">Study </w:t>
      </w:r>
      <w:r w:rsidR="008E10C6">
        <w:t>KN-522</w:t>
      </w:r>
      <w:r>
        <w:t xml:space="preserve"> (KEYNOTE 522 trial)</w:t>
      </w:r>
      <w:r w:rsidR="00FC5EA8">
        <w:t xml:space="preserve">: </w:t>
      </w:r>
      <w:r w:rsidR="00293F2D">
        <w:t xml:space="preserve">A Phase </w:t>
      </w:r>
      <w:r w:rsidR="007E32CD">
        <w:t>III</w:t>
      </w:r>
      <w:r w:rsidR="00293F2D">
        <w:t xml:space="preserve">, </w:t>
      </w:r>
      <w:r w:rsidR="00F10DD5">
        <w:t>r</w:t>
      </w:r>
      <w:r w:rsidR="00293F2D">
        <w:t>andomi</w:t>
      </w:r>
      <w:r w:rsidR="00265381">
        <w:t>s</w:t>
      </w:r>
      <w:r w:rsidR="00293F2D">
        <w:t xml:space="preserve">ed, </w:t>
      </w:r>
      <w:r w:rsidR="00F10DD5">
        <w:t>d</w:t>
      </w:r>
      <w:r w:rsidR="00293F2D">
        <w:t xml:space="preserve">ouble blind </w:t>
      </w:r>
      <w:r w:rsidR="00F10DD5">
        <w:t>s</w:t>
      </w:r>
      <w:r w:rsidR="00293F2D">
        <w:t xml:space="preserve">tudy to </w:t>
      </w:r>
      <w:r w:rsidR="00F10DD5">
        <w:t>e</w:t>
      </w:r>
      <w:r w:rsidR="00293F2D">
        <w:t xml:space="preserve">valuate </w:t>
      </w:r>
      <w:r w:rsidR="00F10DD5">
        <w:t>p</w:t>
      </w:r>
      <w:r w:rsidR="00293F2D">
        <w:t xml:space="preserve">embrolizumab plus </w:t>
      </w:r>
      <w:r w:rsidR="00F10DD5">
        <w:t>c</w:t>
      </w:r>
      <w:r w:rsidR="00293F2D">
        <w:t>hemotherapy v</w:t>
      </w:r>
      <w:r w:rsidR="00F10DD5">
        <w:t>er</w:t>
      </w:r>
      <w:r w:rsidR="00293F2D">
        <w:t>s</w:t>
      </w:r>
      <w:r w:rsidR="00F10DD5">
        <w:t>us</w:t>
      </w:r>
      <w:r w:rsidR="00293F2D">
        <w:t xml:space="preserve"> </w:t>
      </w:r>
      <w:r w:rsidR="00F10DD5">
        <w:t>p</w:t>
      </w:r>
      <w:r w:rsidR="00293F2D">
        <w:t xml:space="preserve">lacebo plus </w:t>
      </w:r>
      <w:r w:rsidR="00F10DD5">
        <w:t>c</w:t>
      </w:r>
      <w:r w:rsidR="00293F2D">
        <w:t xml:space="preserve">hemotherapy as </w:t>
      </w:r>
      <w:r w:rsidR="00F10DD5">
        <w:lastRenderedPageBreak/>
        <w:t>n</w:t>
      </w:r>
      <w:r w:rsidR="00293F2D">
        <w:t xml:space="preserve">eoadjuvant </w:t>
      </w:r>
      <w:r w:rsidR="00F10DD5">
        <w:t>t</w:t>
      </w:r>
      <w:r w:rsidR="00293F2D">
        <w:t xml:space="preserve">herapy and </w:t>
      </w:r>
      <w:r w:rsidR="00F10DD5">
        <w:t>p</w:t>
      </w:r>
      <w:r w:rsidR="00293F2D">
        <w:t>embrolizumab v</w:t>
      </w:r>
      <w:r w:rsidR="00F10DD5">
        <w:t>er</w:t>
      </w:r>
      <w:r w:rsidR="00293F2D">
        <w:t>s</w:t>
      </w:r>
      <w:r w:rsidR="00F10DD5">
        <w:t>us</w:t>
      </w:r>
      <w:r w:rsidR="00293F2D">
        <w:t xml:space="preserve"> </w:t>
      </w:r>
      <w:r w:rsidR="00F10DD5">
        <w:t>p</w:t>
      </w:r>
      <w:r w:rsidR="00293F2D">
        <w:t xml:space="preserve">lacebo as </w:t>
      </w:r>
      <w:r w:rsidR="00F10DD5">
        <w:t>a</w:t>
      </w:r>
      <w:r w:rsidR="00293F2D">
        <w:t xml:space="preserve">djuvant </w:t>
      </w:r>
      <w:r w:rsidR="00F10DD5">
        <w:t>t</w:t>
      </w:r>
      <w:r w:rsidR="00293F2D">
        <w:t xml:space="preserve">herapy for </w:t>
      </w:r>
      <w:r w:rsidR="00F10DD5">
        <w:t>t</w:t>
      </w:r>
      <w:r w:rsidR="00293F2D">
        <w:t xml:space="preserve">riple </w:t>
      </w:r>
      <w:r w:rsidR="00F10DD5">
        <w:t>n</w:t>
      </w:r>
      <w:r w:rsidR="00293F2D">
        <w:t xml:space="preserve">egative </w:t>
      </w:r>
      <w:r w:rsidR="00F10DD5">
        <w:t>b</w:t>
      </w:r>
      <w:r w:rsidR="00293F2D">
        <w:t xml:space="preserve">reast </w:t>
      </w:r>
      <w:r w:rsidR="00F10DD5">
        <w:t>c</w:t>
      </w:r>
      <w:r w:rsidR="00293F2D">
        <w:t>ancer</w:t>
      </w:r>
      <w:r w:rsidR="0060640C">
        <w:t>.</w:t>
      </w:r>
    </w:p>
    <w:p w14:paraId="1334B3A5" w14:textId="554B5A24" w:rsidR="008E10C6" w:rsidRDefault="008E10C6" w:rsidP="00293F2D">
      <w:pPr>
        <w:pStyle w:val="ListBullet"/>
        <w:numPr>
          <w:ilvl w:val="0"/>
          <w:numId w:val="0"/>
        </w:numPr>
      </w:pPr>
      <w:r w:rsidRPr="00C33B14">
        <w:t>Data</w:t>
      </w:r>
      <w:r w:rsidR="00FC5EA8">
        <w:t xml:space="preserve"> from the following study</w:t>
      </w:r>
      <w:r w:rsidRPr="00C33B14">
        <w:t xml:space="preserve"> </w:t>
      </w:r>
      <w:r>
        <w:t>not considered by</w:t>
      </w:r>
      <w:r w:rsidR="000C2C62">
        <w:t xml:space="preserve"> the</w:t>
      </w:r>
      <w:r>
        <w:t xml:space="preserve"> Delegate</w:t>
      </w:r>
      <w:r w:rsidR="00FC5EA8">
        <w:t xml:space="preserve"> for the following reasons:</w:t>
      </w:r>
    </w:p>
    <w:p w14:paraId="5209A391" w14:textId="01094E3C" w:rsidR="00FC5EA8" w:rsidRDefault="000E4EE0" w:rsidP="008E10C6">
      <w:pPr>
        <w:pStyle w:val="ListBullet"/>
      </w:pPr>
      <w:r>
        <w:t>S</w:t>
      </w:r>
      <w:r w:rsidR="008E10C6" w:rsidRPr="00B266C1">
        <w:t>tudy KN-173</w:t>
      </w:r>
      <w:r w:rsidR="008E10C6">
        <w:t xml:space="preserve"> </w:t>
      </w:r>
      <w:r w:rsidR="00064D55">
        <w:t>(KEYNOTE 173 trial)</w:t>
      </w:r>
      <w:r w:rsidR="00FC5EA8">
        <w:t xml:space="preserve">: </w:t>
      </w:r>
      <w:r w:rsidR="00225009">
        <w:t>A</w:t>
      </w:r>
      <w:r w:rsidR="00064D55">
        <w:t xml:space="preserve"> </w:t>
      </w:r>
      <w:r>
        <w:t>s</w:t>
      </w:r>
      <w:r w:rsidRPr="00B266C1">
        <w:t>ingle</w:t>
      </w:r>
      <w:r>
        <w:t xml:space="preserve"> </w:t>
      </w:r>
      <w:r w:rsidRPr="00B266C1">
        <w:t xml:space="preserve">arm </w:t>
      </w:r>
      <w:r>
        <w:t xml:space="preserve">safety study </w:t>
      </w:r>
      <w:r w:rsidR="00064D55">
        <w:t xml:space="preserve">of </w:t>
      </w:r>
      <w:r>
        <w:t>pembrolizumab</w:t>
      </w:r>
      <w:r w:rsidR="008E10C6">
        <w:t xml:space="preserve"> </w:t>
      </w:r>
      <w:r>
        <w:t>with</w:t>
      </w:r>
      <w:r w:rsidR="008E10C6">
        <w:t xml:space="preserve"> chemo</w:t>
      </w:r>
      <w:r>
        <w:t>therapy</w:t>
      </w:r>
      <w:r w:rsidR="008E10C6">
        <w:t xml:space="preserve"> as neoadjuvant treatment for TNBC.</w:t>
      </w:r>
    </w:p>
    <w:p w14:paraId="2BFB46D4" w14:textId="311A463D" w:rsidR="002D7FFB" w:rsidRDefault="007E32CD" w:rsidP="00870904">
      <w:pPr>
        <w:pStyle w:val="ListBullet"/>
        <w:numPr>
          <w:ilvl w:val="0"/>
          <w:numId w:val="0"/>
        </w:numPr>
        <w:ind w:left="360"/>
      </w:pPr>
      <w:r>
        <w:t>This</w:t>
      </w:r>
      <w:r w:rsidR="008E10C6">
        <w:t xml:space="preserve"> was a small, open</w:t>
      </w:r>
      <w:r w:rsidR="000E4EE0">
        <w:t xml:space="preserve"> </w:t>
      </w:r>
      <w:r w:rsidR="008E10C6">
        <w:t xml:space="preserve">label, Phase </w:t>
      </w:r>
      <w:proofErr w:type="spellStart"/>
      <w:r>
        <w:t>I</w:t>
      </w:r>
      <w:r w:rsidR="000E4EE0">
        <w:t>b</w:t>
      </w:r>
      <w:proofErr w:type="spellEnd"/>
      <w:r w:rsidR="008E10C6">
        <w:t xml:space="preserve"> proof of concept study (n = 60), conducted in cohorts of 10 patients, each with different neoadjuvant chemotherapy regimens. Due to small numbers, differing treatment regimens, lack of adjuvant phase, and open</w:t>
      </w:r>
      <w:r w:rsidR="000C2C62">
        <w:t xml:space="preserve"> </w:t>
      </w:r>
      <w:r w:rsidR="008E10C6">
        <w:t>label design, the data are not considered informative for the proposed indication.</w:t>
      </w:r>
    </w:p>
    <w:p w14:paraId="0B45B039" w14:textId="0E11B63E" w:rsidR="008E10C6" w:rsidRDefault="00B72FD2" w:rsidP="008E10C6">
      <w:pPr>
        <w:pStyle w:val="Heading5"/>
      </w:pPr>
      <w:r>
        <w:t>Studies in l</w:t>
      </w:r>
      <w:r w:rsidR="008E10C6">
        <w:t xml:space="preserve">ocally recurrent unresectable metastatic </w:t>
      </w:r>
      <w:r w:rsidR="000C2C62">
        <w:t>triple negative breast cancer</w:t>
      </w:r>
    </w:p>
    <w:p w14:paraId="0B863767" w14:textId="101B522D" w:rsidR="008E10C6" w:rsidRDefault="009C0E82" w:rsidP="008E10C6">
      <w:r>
        <w:t xml:space="preserve">The </w:t>
      </w:r>
      <w:r w:rsidR="00FC5EA8">
        <w:t xml:space="preserve">following </w:t>
      </w:r>
      <w:r>
        <w:t xml:space="preserve">studies </w:t>
      </w:r>
      <w:r w:rsidR="00FC5EA8">
        <w:t xml:space="preserve">were </w:t>
      </w:r>
      <w:r>
        <w:t xml:space="preserve">considered by the Delegate </w:t>
      </w:r>
      <w:r w:rsidR="00293F2D">
        <w:t xml:space="preserve">for </w:t>
      </w:r>
      <w:r w:rsidR="00FC5EA8">
        <w:t xml:space="preserve">evaluation of </w:t>
      </w:r>
      <w:r w:rsidR="00293F2D">
        <w:t>efficacy and safety</w:t>
      </w:r>
      <w:r>
        <w:t>:</w:t>
      </w:r>
    </w:p>
    <w:p w14:paraId="5A934FFC" w14:textId="24BB6F59" w:rsidR="002D7FFB" w:rsidRDefault="000C2C62" w:rsidP="008E4C16">
      <w:pPr>
        <w:pStyle w:val="ListBullet"/>
      </w:pPr>
      <w:r>
        <w:t xml:space="preserve">Study </w:t>
      </w:r>
      <w:r w:rsidR="008E10C6">
        <w:t>KN-355</w:t>
      </w:r>
      <w:r>
        <w:t xml:space="preserve"> (KEYNOTE 355 trial)</w:t>
      </w:r>
      <w:r w:rsidR="00FC5EA8">
        <w:t xml:space="preserve">: </w:t>
      </w:r>
      <w:r w:rsidR="00293F2D">
        <w:t>A randomi</w:t>
      </w:r>
      <w:r w:rsidR="00FC5EA8">
        <w:t>s</w:t>
      </w:r>
      <w:r w:rsidR="00293F2D">
        <w:t xml:space="preserve">ed, double-blind, </w:t>
      </w:r>
      <w:r w:rsidR="007E32CD">
        <w:t>Phase III</w:t>
      </w:r>
      <w:r w:rsidR="00293F2D">
        <w:t xml:space="preserve"> study of pembrolizumab plus chemotherapy versus placebo plus chemotherapy for previously untreated locally recurrent inoperable or metastatic triple negative breast cancer.</w:t>
      </w:r>
    </w:p>
    <w:p w14:paraId="3E486375" w14:textId="0533C1DD" w:rsidR="008E10C6" w:rsidRDefault="000C2C62" w:rsidP="008E10C6">
      <w:pPr>
        <w:pStyle w:val="ListBullet"/>
      </w:pPr>
      <w:r>
        <w:t xml:space="preserve">Study </w:t>
      </w:r>
      <w:r w:rsidR="008E10C6">
        <w:t>KN-119</w:t>
      </w:r>
      <w:r w:rsidR="00064D55">
        <w:t xml:space="preserve"> (KEYNOTE 119 trial)</w:t>
      </w:r>
      <w:r w:rsidR="00FC5EA8">
        <w:t xml:space="preserve">: </w:t>
      </w:r>
      <w:r w:rsidR="00225009">
        <w:t>A</w:t>
      </w:r>
      <w:r>
        <w:t>n</w:t>
      </w:r>
      <w:r w:rsidR="008E10C6">
        <w:t xml:space="preserve"> open</w:t>
      </w:r>
      <w:r>
        <w:t xml:space="preserve"> </w:t>
      </w:r>
      <w:r w:rsidR="008E10C6">
        <w:t xml:space="preserve">label </w:t>
      </w:r>
      <w:r>
        <w:t>randomised controlled trial</w:t>
      </w:r>
      <w:r w:rsidR="008E10C6">
        <w:t xml:space="preserve"> of pembrolizumab monotherapy </w:t>
      </w:r>
      <w:r w:rsidR="00064D55">
        <w:t xml:space="preserve">for patients receiving </w:t>
      </w:r>
      <w:r w:rsidR="007E32CD">
        <w:t>second</w:t>
      </w:r>
      <w:r w:rsidR="008E10C6">
        <w:t xml:space="preserve"> or </w:t>
      </w:r>
      <w:r w:rsidR="007E32CD">
        <w:t>third</w:t>
      </w:r>
      <w:r w:rsidR="008E10C6">
        <w:t xml:space="preserve"> line treatment</w:t>
      </w:r>
      <w:r w:rsidR="00064D55">
        <w:t xml:space="preserve"> for </w:t>
      </w:r>
      <w:r w:rsidR="00293F2D">
        <w:t>triple negative breast cancer</w:t>
      </w:r>
      <w:r w:rsidR="00064D55">
        <w:t>.</w:t>
      </w:r>
    </w:p>
    <w:p w14:paraId="2469C18F" w14:textId="31E23141" w:rsidR="00B72FD2" w:rsidRDefault="00B72FD2" w:rsidP="00870904">
      <w:pPr>
        <w:pStyle w:val="Heading5"/>
      </w:pPr>
      <w:r>
        <w:t>Other data</w:t>
      </w:r>
    </w:p>
    <w:p w14:paraId="222CBD3F" w14:textId="77C6E5C5" w:rsidR="008E10C6" w:rsidRDefault="00293F2D" w:rsidP="00293F2D">
      <w:pPr>
        <w:keepNext/>
      </w:pPr>
      <w:r>
        <w:t>P</w:t>
      </w:r>
      <w:r w:rsidR="008E10C6">
        <w:t>ooled safety data</w:t>
      </w:r>
      <w:r>
        <w:t xml:space="preserve"> was also considered by the Delegate. Data</w:t>
      </w:r>
      <w:r w:rsidR="008E10C6">
        <w:t xml:space="preserve"> from patients treated with pembrolizumab as monotherapy for metastatic TNBC in single</w:t>
      </w:r>
      <w:r w:rsidR="000C2C62">
        <w:t xml:space="preserve"> </w:t>
      </w:r>
      <w:r w:rsidR="008E10C6">
        <w:t xml:space="preserve">arm </w:t>
      </w:r>
      <w:r w:rsidR="000C2C62">
        <w:t>s</w:t>
      </w:r>
      <w:r w:rsidR="008E10C6">
        <w:t xml:space="preserve">tudies </w:t>
      </w:r>
      <w:r w:rsidR="000C2C62">
        <w:t xml:space="preserve">Study </w:t>
      </w:r>
      <w:r w:rsidR="008E10C6">
        <w:t xml:space="preserve">KN-012 and </w:t>
      </w:r>
      <w:r w:rsidR="000C2C62">
        <w:t xml:space="preserve">Study </w:t>
      </w:r>
      <w:r w:rsidR="008E10C6">
        <w:t xml:space="preserve">KN-086, and in </w:t>
      </w:r>
      <w:r w:rsidR="000C2C62">
        <w:t>Study </w:t>
      </w:r>
      <w:r w:rsidR="008E10C6">
        <w:t xml:space="preserve">KN-119 were compared with a reference safety dataset of patients treated with pembrolizumab monotherapy in studies of advanced melanoma and </w:t>
      </w:r>
      <w:r w:rsidR="00064D55">
        <w:t>non-small cell lung cancer</w:t>
      </w:r>
      <w:r w:rsidR="008E10C6">
        <w:t>.</w:t>
      </w:r>
    </w:p>
    <w:p w14:paraId="5294776F" w14:textId="4DFB8F9C" w:rsidR="002D7FFB" w:rsidRDefault="00427BAF" w:rsidP="008E10C6">
      <w:r w:rsidRPr="000C2C62">
        <w:t>An overseas regulator report was</w:t>
      </w:r>
      <w:r w:rsidR="0060640C">
        <w:t xml:space="preserve"> only</w:t>
      </w:r>
      <w:r w:rsidR="008E10C6" w:rsidRPr="000C2C62">
        <w:t xml:space="preserve"> available for the </w:t>
      </w:r>
      <w:r w:rsidR="00953F9B">
        <w:t>Study KN-355</w:t>
      </w:r>
      <w:r w:rsidR="00090E38">
        <w:t xml:space="preserve"> second</w:t>
      </w:r>
      <w:r w:rsidR="008E10C6" w:rsidRPr="000C2C62">
        <w:t xml:space="preserve"> </w:t>
      </w:r>
      <w:r w:rsidR="00560AD6">
        <w:t>Interim Analysis (IA</w:t>
      </w:r>
      <w:r w:rsidR="00090E38">
        <w:t>2)</w:t>
      </w:r>
      <w:r w:rsidR="008E10C6" w:rsidRPr="000C2C62">
        <w:t xml:space="preserve"> data. A supplementary </w:t>
      </w:r>
      <w:r w:rsidR="00090E38">
        <w:t xml:space="preserve">TGA </w:t>
      </w:r>
      <w:r w:rsidR="000C2C62" w:rsidRPr="000C2C62">
        <w:t xml:space="preserve">clinical evaluation </w:t>
      </w:r>
      <w:r w:rsidR="00090E38">
        <w:t xml:space="preserve">was generated </w:t>
      </w:r>
      <w:r w:rsidR="008E10C6" w:rsidRPr="000C2C62">
        <w:t>to cover the final analysis data.</w:t>
      </w:r>
    </w:p>
    <w:p w14:paraId="11FF2807" w14:textId="6743493F" w:rsidR="002D7FFB" w:rsidRDefault="008E10C6" w:rsidP="008E10C6">
      <w:r w:rsidRPr="000C2C62">
        <w:t>The</w:t>
      </w:r>
      <w:r w:rsidR="000C2C62" w:rsidRPr="000C2C62">
        <w:t xml:space="preserve"> Study</w:t>
      </w:r>
      <w:r w:rsidRPr="000C2C62">
        <w:t xml:space="preserve"> KN-522 </w:t>
      </w:r>
      <w:r w:rsidR="00225009">
        <w:t>event-free survival (</w:t>
      </w:r>
      <w:r w:rsidRPr="000C2C62">
        <w:t>EFS</w:t>
      </w:r>
      <w:r w:rsidR="00225009">
        <w:t>)</w:t>
      </w:r>
      <w:r w:rsidRPr="000C2C62">
        <w:t xml:space="preserve"> results supported conversion to full approval of the locally recurrent</w:t>
      </w:r>
      <w:r w:rsidR="00064D55">
        <w:t xml:space="preserve"> and</w:t>
      </w:r>
      <w:r w:rsidRPr="000C2C62">
        <w:t xml:space="preserve"> metastatic indication by the </w:t>
      </w:r>
      <w:r w:rsidR="000C2C62" w:rsidRPr="000C2C62">
        <w:t>overseas regulator</w:t>
      </w:r>
      <w:r w:rsidRPr="000C2C62">
        <w:t xml:space="preserve"> (prior to the availability of </w:t>
      </w:r>
      <w:r w:rsidR="0060640C">
        <w:t>overall survival</w:t>
      </w:r>
      <w:r w:rsidRPr="000C2C62">
        <w:t xml:space="preserve"> results from </w:t>
      </w:r>
      <w:r w:rsidR="000C2C62" w:rsidRPr="000C2C62">
        <w:t xml:space="preserve">Study </w:t>
      </w:r>
      <w:r w:rsidRPr="000C2C62">
        <w:t xml:space="preserve">KN-355). The </w:t>
      </w:r>
      <w:r w:rsidR="000C2C62" w:rsidRPr="000C2C62">
        <w:t xml:space="preserve">Study </w:t>
      </w:r>
      <w:r w:rsidRPr="000C2C62">
        <w:t xml:space="preserve">KN-522 data were not considered in the TGA’s </w:t>
      </w:r>
      <w:r w:rsidR="000C2C62" w:rsidRPr="000C2C62">
        <w:t>clinical evaluation</w:t>
      </w:r>
      <w:r w:rsidRPr="000C2C62">
        <w:t>. Given there are now longer</w:t>
      </w:r>
      <w:r w:rsidR="000C2C62" w:rsidRPr="000C2C62">
        <w:t xml:space="preserve"> </w:t>
      </w:r>
      <w:r w:rsidRPr="000C2C62">
        <w:t>term outcome data (</w:t>
      </w:r>
      <w:r w:rsidR="000C2C62" w:rsidRPr="000C2C62">
        <w:t>that is,</w:t>
      </w:r>
      <w:r w:rsidRPr="000C2C62">
        <w:t xml:space="preserve"> </w:t>
      </w:r>
      <w:r w:rsidR="0060640C">
        <w:t>overall survival</w:t>
      </w:r>
      <w:r w:rsidR="00225009">
        <w:t xml:space="preserve"> data</w:t>
      </w:r>
      <w:r w:rsidRPr="000C2C62">
        <w:t xml:space="preserve">) available from </w:t>
      </w:r>
      <w:r w:rsidR="000C2C62" w:rsidRPr="000C2C62">
        <w:t xml:space="preserve">Study </w:t>
      </w:r>
      <w:r w:rsidRPr="000C2C62">
        <w:t>KN-355, the results from Study KN-522 have not been considered as supporting evidence of efficacy by the Delegate for the locally recurrent</w:t>
      </w:r>
      <w:r w:rsidR="000C2C62" w:rsidRPr="000C2C62">
        <w:t xml:space="preserve"> and</w:t>
      </w:r>
      <w:r w:rsidRPr="000C2C62">
        <w:t xml:space="preserve"> metastatic indication. These data were obtained in a different setting (early TNBC) and are therefore less relevant.</w:t>
      </w:r>
    </w:p>
    <w:p w14:paraId="3991C12C" w14:textId="398982E4" w:rsidR="00265381" w:rsidRDefault="00265381" w:rsidP="00870904">
      <w:pPr>
        <w:pStyle w:val="Heading3"/>
      </w:pPr>
      <w:r>
        <w:t>Indication: Neoadjuvant/adjuvant early triple negative breast cancer</w:t>
      </w:r>
    </w:p>
    <w:p w14:paraId="6B6F29FC" w14:textId="5A5F5879" w:rsidR="00265381" w:rsidRDefault="00265381">
      <w:r>
        <w:t xml:space="preserve">Study KN-522 (the KEYNOTE 522 trial) was considered by the Delegate for the evaluation of efficacy and safety </w:t>
      </w:r>
      <w:r w:rsidR="007D54ED">
        <w:t>(and is presented below) for the following part of the proposed indications:</w:t>
      </w:r>
    </w:p>
    <w:p w14:paraId="1FDE4996" w14:textId="175DA019" w:rsidR="007D54ED" w:rsidRPr="00870904" w:rsidRDefault="007D54ED" w:rsidP="007D54ED">
      <w:pPr>
        <w:ind w:left="720"/>
        <w:rPr>
          <w:b/>
          <w:i/>
          <w:iCs/>
        </w:rPr>
      </w:pPr>
      <w:r w:rsidRPr="00870904">
        <w:rPr>
          <w:b/>
          <w:i/>
          <w:iCs/>
        </w:rPr>
        <w:t>Triple-Negative Breast Cancer (TNBC)</w:t>
      </w:r>
    </w:p>
    <w:p w14:paraId="2EAC454E" w14:textId="6DF63378" w:rsidR="007D54ED" w:rsidRPr="00870904" w:rsidRDefault="007D54ED" w:rsidP="00870904">
      <w:pPr>
        <w:ind w:left="720"/>
        <w:rPr>
          <w:i/>
          <w:iCs/>
        </w:rPr>
      </w:pPr>
      <w:r>
        <w:rPr>
          <w:i/>
          <w:iCs/>
        </w:rPr>
        <w:t>Keytruda (pembrolizumab), is indicated for the treatment of patients with high-risk early-stage TNBC in combination with chemotherapy as neoadjuvant treatment, and then continued as monotherapy as adjuvant treatment after surgery.</w:t>
      </w:r>
    </w:p>
    <w:p w14:paraId="7EBFAC18" w14:textId="72972207" w:rsidR="008E10C6" w:rsidRDefault="00265381" w:rsidP="00870904">
      <w:pPr>
        <w:pStyle w:val="Heading4"/>
      </w:pPr>
      <w:r>
        <w:lastRenderedPageBreak/>
        <w:t>Study KN-522/KEYNOTE 522 trial</w:t>
      </w:r>
    </w:p>
    <w:p w14:paraId="6B8B5108" w14:textId="79C8B191" w:rsidR="00465424" w:rsidRPr="00870904" w:rsidRDefault="008E10C6" w:rsidP="00870904">
      <w:pPr>
        <w:pStyle w:val="Heading5"/>
      </w:pPr>
      <w:r w:rsidRPr="008E10C6">
        <w:t xml:space="preserve">Study </w:t>
      </w:r>
      <w:r w:rsidR="00465424">
        <w:t>overview</w:t>
      </w:r>
    </w:p>
    <w:p w14:paraId="025AD299" w14:textId="29DB3601" w:rsidR="008E10C6" w:rsidRDefault="00C41219" w:rsidP="00C41219">
      <w:r>
        <w:t xml:space="preserve">Study KN-522 is a Phase </w:t>
      </w:r>
      <w:r w:rsidR="000C6985">
        <w:t>III</w:t>
      </w:r>
      <w:r>
        <w:t>, randomi</w:t>
      </w:r>
      <w:r w:rsidR="00B72FD2">
        <w:t>s</w:t>
      </w:r>
      <w:r>
        <w:t>ed, double</w:t>
      </w:r>
      <w:r w:rsidR="000C6985">
        <w:t xml:space="preserve"> </w:t>
      </w:r>
      <w:r>
        <w:t xml:space="preserve">blind study of pembrolizumab </w:t>
      </w:r>
      <w:r w:rsidR="000C6985">
        <w:t>with</w:t>
      </w:r>
      <w:r>
        <w:t xml:space="preserve"> chemotherapy </w:t>
      </w:r>
      <w:r w:rsidR="000C6985">
        <w:t>versus</w:t>
      </w:r>
      <w:r>
        <w:t xml:space="preserve"> placebo </w:t>
      </w:r>
      <w:r w:rsidR="000C6985">
        <w:t>with</w:t>
      </w:r>
      <w:r>
        <w:t xml:space="preserve"> chemotherapy as neoadjuvant therapy</w:t>
      </w:r>
      <w:r w:rsidR="000C6985">
        <w:t xml:space="preserve">; </w:t>
      </w:r>
      <w:r>
        <w:t xml:space="preserve">and pembrolizumab </w:t>
      </w:r>
      <w:r w:rsidR="000C6985">
        <w:t>versus</w:t>
      </w:r>
      <w:r>
        <w:t xml:space="preserve"> placebo as adjuvant therapy.</w:t>
      </w:r>
    </w:p>
    <w:p w14:paraId="453CD223" w14:textId="08260CED" w:rsidR="00C41219" w:rsidRDefault="00C41219" w:rsidP="00C41219">
      <w:r>
        <w:t>The first patient visit was 7 March 2017.</w:t>
      </w:r>
      <w:r w:rsidR="007E32CD">
        <w:t xml:space="preserve"> </w:t>
      </w:r>
      <w:r>
        <w:t xml:space="preserve">The data cut-off date for </w:t>
      </w:r>
      <w:r w:rsidR="000C6985">
        <w:t xml:space="preserve">the fourth </w:t>
      </w:r>
      <w:r w:rsidR="00560AD6">
        <w:t>I</w:t>
      </w:r>
      <w:r w:rsidR="000C6985">
        <w:t>nterim</w:t>
      </w:r>
      <w:r w:rsidR="00560AD6">
        <w:t xml:space="preserve"> A</w:t>
      </w:r>
      <w:r w:rsidR="000C6985" w:rsidRPr="000C6985">
        <w:t>nalysis (</w:t>
      </w:r>
      <w:r w:rsidRPr="000C6985">
        <w:t>IA</w:t>
      </w:r>
      <w:r w:rsidR="005654BF">
        <w:t>4</w:t>
      </w:r>
      <w:r w:rsidR="000C6985" w:rsidRPr="000C6985">
        <w:t>)</w:t>
      </w:r>
      <w:r>
        <w:t xml:space="preserve"> was 23 March 2021</w:t>
      </w:r>
      <w:r w:rsidR="00EA0EBF">
        <w:t>.</w:t>
      </w:r>
      <w:r w:rsidR="007E32CD">
        <w:t xml:space="preserve"> </w:t>
      </w:r>
      <w:r w:rsidR="00EA0EBF">
        <w:t>The clinical study report date for IA4 is dated 26</w:t>
      </w:r>
      <w:r w:rsidR="00560AD6">
        <w:t> </w:t>
      </w:r>
      <w:r w:rsidR="00EA0EBF">
        <w:t>July</w:t>
      </w:r>
      <w:r w:rsidR="000C6985">
        <w:t> </w:t>
      </w:r>
      <w:r w:rsidR="00EA0EBF">
        <w:t>2021.</w:t>
      </w:r>
      <w:r w:rsidR="007E32CD">
        <w:t xml:space="preserve"> </w:t>
      </w:r>
      <w:r w:rsidR="00EA0EBF">
        <w:t>The IA4 data and previous analyses have been published.</w:t>
      </w:r>
      <w:r w:rsidR="00EA0EBF">
        <w:rPr>
          <w:rStyle w:val="FootnoteReference"/>
        </w:rPr>
        <w:footnoteReference w:id="14"/>
      </w:r>
      <w:r w:rsidR="00EA0EBF" w:rsidRPr="00EA0EBF">
        <w:rPr>
          <w:vertAlign w:val="superscript"/>
        </w:rPr>
        <w:t>,</w:t>
      </w:r>
      <w:bookmarkStart w:id="47" w:name="_Ref130225847"/>
      <w:r w:rsidR="00EA0EBF">
        <w:rPr>
          <w:rStyle w:val="FootnoteReference"/>
        </w:rPr>
        <w:footnoteReference w:id="15"/>
      </w:r>
      <w:bookmarkEnd w:id="47"/>
      <w:r w:rsidR="00EA0EBF">
        <w:t xml:space="preserve"> The study was conducted at 194 sites across 21 countries, including Australia.</w:t>
      </w:r>
    </w:p>
    <w:p w14:paraId="02B5584E" w14:textId="6ED66732" w:rsidR="00EA0EBF" w:rsidRDefault="00EA0EBF" w:rsidP="00C41219">
      <w:r>
        <w:t>The study schema is described in</w:t>
      </w:r>
      <w:r w:rsidR="00EF545E">
        <w:t xml:space="preserve"> </w:t>
      </w:r>
      <w:r w:rsidR="00EF545E">
        <w:fldChar w:fldCharType="begin"/>
      </w:r>
      <w:r w:rsidR="00EF545E">
        <w:instrText xml:space="preserve"> REF _Ref125104680 \h </w:instrText>
      </w:r>
      <w:r w:rsidR="00EF545E">
        <w:fldChar w:fldCharType="separate"/>
      </w:r>
      <w:r w:rsidR="00A02570">
        <w:t xml:space="preserve">Figure </w:t>
      </w:r>
      <w:r w:rsidR="00A02570">
        <w:rPr>
          <w:noProof/>
        </w:rPr>
        <w:t>1</w:t>
      </w:r>
      <w:r w:rsidR="00EF545E">
        <w:fldChar w:fldCharType="end"/>
      </w:r>
      <w:r>
        <w:t xml:space="preserve"> below.</w:t>
      </w:r>
    </w:p>
    <w:p w14:paraId="0EF25181" w14:textId="7BF944FE" w:rsidR="00EA0EBF" w:rsidRDefault="00EA0EBF" w:rsidP="00EA0EBF">
      <w:pPr>
        <w:pStyle w:val="FigureTitle"/>
      </w:pPr>
      <w:bookmarkStart w:id="48" w:name="_Ref125104680"/>
      <w:r>
        <w:t xml:space="preserve">Figure </w:t>
      </w:r>
      <w:r>
        <w:fldChar w:fldCharType="begin"/>
      </w:r>
      <w:r>
        <w:instrText>SEQ Figure \* ARABIC</w:instrText>
      </w:r>
      <w:r>
        <w:fldChar w:fldCharType="separate"/>
      </w:r>
      <w:r w:rsidR="00A02570">
        <w:rPr>
          <w:noProof/>
        </w:rPr>
        <w:t>1</w:t>
      </w:r>
      <w:r>
        <w:fldChar w:fldCharType="end"/>
      </w:r>
      <w:bookmarkEnd w:id="48"/>
      <w:r>
        <w:t xml:space="preserve">: Study KN-522 </w:t>
      </w:r>
      <w:r w:rsidR="00BD0B3A">
        <w:t>(KEYNOTE 522 trial) S</w:t>
      </w:r>
      <w:r>
        <w:t>tudy schema</w:t>
      </w:r>
    </w:p>
    <w:p w14:paraId="60F135CF" w14:textId="302B8800" w:rsidR="005654BF" w:rsidRDefault="005654BF" w:rsidP="00EA0EBF">
      <w:pPr>
        <w:pStyle w:val="FigureTitle"/>
      </w:pPr>
      <w:r>
        <w:rPr>
          <w:noProof/>
          <w:lang w:val="en-GB" w:eastAsia="en-GB"/>
        </w:rPr>
        <w:drawing>
          <wp:inline distT="0" distB="0" distL="0" distR="0" wp14:anchorId="110D30FC" wp14:editId="5BE88681">
            <wp:extent cx="5128592" cy="3581695"/>
            <wp:effectExtent l="0" t="0" r="0" b="0"/>
            <wp:docPr id="14" name="Picture 14" descr="This figure shows the study schema for Study KN-522 which has two study arms.  Arm one involved treatment with pembrolizumab and chemotherapy.  Arm two was placebo with chemotherapy.  Surgery was performed after the neoadjuvant phase and treatment was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figure shows the study schema for Study KN-522 which has two study arms.  Arm one involved treatment with pembrolizumab and chemotherapy.  Arm two was placebo with chemotherapy.  Surgery was performed after the neoadjuvant phase and treatment was continued."/>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5167935" cy="3609171"/>
                    </a:xfrm>
                    <a:prstGeom prst="rect">
                      <a:avLst/>
                    </a:prstGeom>
                  </pic:spPr>
                </pic:pic>
              </a:graphicData>
            </a:graphic>
          </wp:inline>
        </w:drawing>
      </w:r>
    </w:p>
    <w:p w14:paraId="5351E176" w14:textId="75E5EA4E" w:rsidR="00EA0EBF" w:rsidRDefault="00EA0EBF" w:rsidP="00EA0EBF">
      <w:pPr>
        <w:pStyle w:val="FigureDescription"/>
      </w:pPr>
      <w:r>
        <w:t xml:space="preserve">Abbreviations: AUC = area under the curve; BC = breast cancer; TNBC = triple negative breast cancer; </w:t>
      </w:r>
      <w:r w:rsidR="000E4EE0">
        <w:t>pembrolizumab</w:t>
      </w:r>
      <w:r>
        <w:t xml:space="preserve"> = pembrolizumab; QW = </w:t>
      </w:r>
      <w:r w:rsidR="005654BF">
        <w:t xml:space="preserve">once </w:t>
      </w:r>
      <w:r>
        <w:t xml:space="preserve">every week; Q3W = </w:t>
      </w:r>
      <w:r w:rsidR="005654BF">
        <w:t xml:space="preserve">once </w:t>
      </w:r>
      <w:r>
        <w:t>every three weeks; RT = radiation therapy</w:t>
      </w:r>
    </w:p>
    <w:p w14:paraId="105ABB3C" w14:textId="5B4C3886" w:rsidR="00DB0715" w:rsidRDefault="00DB0715" w:rsidP="00EA0EBF">
      <w:pPr>
        <w:pStyle w:val="FigureDescription"/>
      </w:pPr>
      <w:r w:rsidRPr="00DB0715">
        <w:rPr>
          <w:vertAlign w:val="superscript"/>
        </w:rPr>
        <w:t>1</w:t>
      </w:r>
      <w:r>
        <w:t xml:space="preserve"> No crossover from placebo to pembrolizumab was permitted.</w:t>
      </w:r>
    </w:p>
    <w:p w14:paraId="6825B720" w14:textId="056F11E7" w:rsidR="00DB0715" w:rsidRDefault="00DB0715" w:rsidP="00EA0EBF">
      <w:pPr>
        <w:pStyle w:val="FigureDescription"/>
      </w:pPr>
      <w:r w:rsidRPr="00DB0715">
        <w:rPr>
          <w:vertAlign w:val="superscript"/>
        </w:rPr>
        <w:t>2</w:t>
      </w:r>
      <w:r>
        <w:t xml:space="preserve"> If postoperative radiation therapy was indicated, adjuvant pembrolizumab or placebo may have been started either concurrently with radiation therapy or 2 weeks post-radiation therapy.</w:t>
      </w:r>
    </w:p>
    <w:p w14:paraId="1AE893BB" w14:textId="4F441915" w:rsidR="008E10C6" w:rsidRDefault="00EF545E" w:rsidP="008E10C6">
      <w:r>
        <w:t xml:space="preserve">There were 1174 randomised </w:t>
      </w:r>
      <w:r w:rsidR="000C6985">
        <w:t xml:space="preserve">patients </w:t>
      </w:r>
      <w:r>
        <w:t>comprising of the</w:t>
      </w:r>
      <w:r w:rsidR="009425AA">
        <w:t xml:space="preserve"> intent</w:t>
      </w:r>
      <w:r>
        <w:t xml:space="preserve"> to treat</w:t>
      </w:r>
      <w:r w:rsidR="000C6985">
        <w:t xml:space="preserve"> (ITT)</w:t>
      </w:r>
      <w:r>
        <w:t xml:space="preserve"> population which </w:t>
      </w:r>
      <w:r w:rsidR="000C6985">
        <w:t>was also</w:t>
      </w:r>
      <w:r>
        <w:t xml:space="preserve"> the primary efficacy population. Randomisation was stratified by nodal status (positive versus negative), tumour </w:t>
      </w:r>
      <w:r w:rsidRPr="000C6985">
        <w:t>size (T1/T2</w:t>
      </w:r>
      <w:r>
        <w:t xml:space="preserve"> versus T3/T4)</w:t>
      </w:r>
      <w:bookmarkStart w:id="49" w:name="_Ref130212126"/>
      <w:r w:rsidR="00BD0B3A">
        <w:t>;</w:t>
      </w:r>
      <w:bookmarkStart w:id="50" w:name="_Ref134090899"/>
      <w:r w:rsidR="00337479">
        <w:rPr>
          <w:rStyle w:val="FootnoteReference"/>
        </w:rPr>
        <w:footnoteReference w:id="16"/>
      </w:r>
      <w:bookmarkEnd w:id="49"/>
      <w:bookmarkEnd w:id="50"/>
      <w:r>
        <w:t xml:space="preserve"> and carboplatin regimen (every three weeks versus weekly).</w:t>
      </w:r>
    </w:p>
    <w:p w14:paraId="02830962" w14:textId="7A58D8DC" w:rsidR="008F20C5" w:rsidRDefault="008F20C5" w:rsidP="00870904">
      <w:pPr>
        <w:pStyle w:val="Heading6"/>
      </w:pPr>
      <w:r>
        <w:lastRenderedPageBreak/>
        <w:t>Study treatments</w:t>
      </w:r>
    </w:p>
    <w:p w14:paraId="7AB48460" w14:textId="7399F36F" w:rsidR="002D7FFB" w:rsidRDefault="00EF545E" w:rsidP="008E10C6">
      <w:r>
        <w:t xml:space="preserve">The treatment arms were randomised </w:t>
      </w:r>
      <w:r w:rsidR="00BD0B3A">
        <w:t xml:space="preserve">in a </w:t>
      </w:r>
      <w:r>
        <w:t>2:1</w:t>
      </w:r>
      <w:r w:rsidR="00BD0B3A">
        <w:t xml:space="preserve"> ratio</w:t>
      </w:r>
      <w:r w:rsidR="004D60F7">
        <w:t xml:space="preserve"> as follows:</w:t>
      </w:r>
    </w:p>
    <w:p w14:paraId="1EFB3F65" w14:textId="77777777" w:rsidR="002D7FFB" w:rsidRDefault="00EF545E" w:rsidP="00EF545E">
      <w:pPr>
        <w:pStyle w:val="ListBullet"/>
      </w:pPr>
      <w:r>
        <w:t xml:space="preserve">Arm 1: pembrolizumab with chemotherapy </w:t>
      </w:r>
      <w:r w:rsidRPr="00EF545E">
        <w:t>as neoadjuvant therapy (</w:t>
      </w:r>
      <w:r>
        <w:t xml:space="preserve">pembrolizumab once every three weeks with </w:t>
      </w:r>
      <w:r w:rsidRPr="00EF545E">
        <w:t xml:space="preserve">paclitaxel weekly </w:t>
      </w:r>
      <w:r>
        <w:t xml:space="preserve">and </w:t>
      </w:r>
      <w:r w:rsidRPr="00EF545E">
        <w:t xml:space="preserve">carboplatin </w:t>
      </w:r>
      <w:r>
        <w:t>once every three weeks</w:t>
      </w:r>
      <w:r w:rsidRPr="00EF545E">
        <w:t xml:space="preserve"> or weekly</w:t>
      </w:r>
      <w:r>
        <w:t>, for four cycles</w:t>
      </w:r>
      <w:r w:rsidRPr="00EF545E">
        <w:t xml:space="preserve">, followed by </w:t>
      </w:r>
      <w:r>
        <w:t>pembrolizumab</w:t>
      </w:r>
      <w:r w:rsidRPr="00EF545E">
        <w:t xml:space="preserve"> </w:t>
      </w:r>
      <w:r>
        <w:t xml:space="preserve">with </w:t>
      </w:r>
      <w:r w:rsidRPr="00EF545E">
        <w:t xml:space="preserve">doxorubicin or </w:t>
      </w:r>
      <w:proofErr w:type="spellStart"/>
      <w:r w:rsidRPr="00EF545E">
        <w:t>epirubicin</w:t>
      </w:r>
      <w:proofErr w:type="spellEnd"/>
      <w:r>
        <w:t xml:space="preserve">, with </w:t>
      </w:r>
      <w:r w:rsidRPr="00EF545E">
        <w:t xml:space="preserve">cyclophosphamide </w:t>
      </w:r>
      <w:r>
        <w:t>once every three weeks, for four</w:t>
      </w:r>
      <w:r w:rsidRPr="00EF545E">
        <w:t xml:space="preserve"> cycles) </w:t>
      </w:r>
      <w:r w:rsidR="0060640C">
        <w:t xml:space="preserve">as neoadjuvant therapy </w:t>
      </w:r>
      <w:r w:rsidRPr="00EF545E">
        <w:t xml:space="preserve">prior to surgery; followed by </w:t>
      </w:r>
      <w:r w:rsidR="000F71D6">
        <w:t>nine</w:t>
      </w:r>
      <w:r w:rsidRPr="00EF545E">
        <w:t xml:space="preserve"> cycles of </w:t>
      </w:r>
      <w:r w:rsidR="000F71D6">
        <w:t xml:space="preserve">pembrolizumab once every three weeks </w:t>
      </w:r>
      <w:r w:rsidRPr="00EF545E">
        <w:t>as adjuvant therapy post-surgery.</w:t>
      </w:r>
    </w:p>
    <w:p w14:paraId="6D0D38B7" w14:textId="7A475E58" w:rsidR="000F71D6" w:rsidRDefault="000F71D6" w:rsidP="00EF545E">
      <w:pPr>
        <w:pStyle w:val="ListBullet"/>
      </w:pPr>
      <w:r>
        <w:t xml:space="preserve">Arm 2: </w:t>
      </w:r>
      <w:r w:rsidRPr="000F71D6">
        <w:t xml:space="preserve">placebo </w:t>
      </w:r>
      <w:r>
        <w:t>with</w:t>
      </w:r>
      <w:r w:rsidRPr="000F71D6">
        <w:t xml:space="preserve"> chemotherapy as neoadjuvant therapy (placebo</w:t>
      </w:r>
      <w:r>
        <w:t xml:space="preserve"> once every three weeks with </w:t>
      </w:r>
      <w:r w:rsidRPr="000F71D6">
        <w:t xml:space="preserve">paclitaxel weekly </w:t>
      </w:r>
      <w:r>
        <w:t>and</w:t>
      </w:r>
      <w:r w:rsidRPr="000F71D6">
        <w:t xml:space="preserve"> carboplatin </w:t>
      </w:r>
      <w:r>
        <w:t xml:space="preserve">every three weeks or </w:t>
      </w:r>
      <w:r w:rsidRPr="000F71D6">
        <w:t>weekly</w:t>
      </w:r>
      <w:r>
        <w:t>, for four</w:t>
      </w:r>
      <w:r w:rsidRPr="000F71D6">
        <w:t xml:space="preserve"> cycles, followed by placebo </w:t>
      </w:r>
      <w:r>
        <w:t xml:space="preserve">with </w:t>
      </w:r>
      <w:r w:rsidRPr="000F71D6">
        <w:t xml:space="preserve">doxorubicin or </w:t>
      </w:r>
      <w:proofErr w:type="spellStart"/>
      <w:r w:rsidRPr="000F71D6">
        <w:t>epirubicin</w:t>
      </w:r>
      <w:proofErr w:type="spellEnd"/>
      <w:r>
        <w:t xml:space="preserve">, with </w:t>
      </w:r>
      <w:r w:rsidRPr="000F71D6">
        <w:t xml:space="preserve">cyclophosphamide </w:t>
      </w:r>
      <w:r>
        <w:t>once every three weeks, for four cycles</w:t>
      </w:r>
      <w:r w:rsidR="009425AA">
        <w:t>)</w:t>
      </w:r>
      <w:r w:rsidRPr="000F71D6">
        <w:t xml:space="preserve"> as neoadjuvant therapy prior to surgery; followed by </w:t>
      </w:r>
      <w:r>
        <w:t>nine</w:t>
      </w:r>
      <w:r w:rsidRPr="000F71D6">
        <w:t xml:space="preserve"> cycles of placebo </w:t>
      </w:r>
      <w:r>
        <w:t>once every three weeks</w:t>
      </w:r>
      <w:r w:rsidRPr="000F71D6">
        <w:t xml:space="preserve"> as adjuvant therapy post-surgery.</w:t>
      </w:r>
    </w:p>
    <w:p w14:paraId="2F47FF08" w14:textId="12B0F81E" w:rsidR="000F71D6" w:rsidRDefault="000F71D6" w:rsidP="000F71D6">
      <w:r w:rsidRPr="000F71D6">
        <w:t xml:space="preserve">Surgery </w:t>
      </w:r>
      <w:r>
        <w:t xml:space="preserve">was </w:t>
      </w:r>
      <w:r w:rsidRPr="000F71D6">
        <w:t xml:space="preserve">performed </w:t>
      </w:r>
      <w:r>
        <w:t>approximately three to six</w:t>
      </w:r>
      <w:r w:rsidRPr="000F71D6">
        <w:t xml:space="preserve"> weeks after completion or discontinuation of </w:t>
      </w:r>
      <w:r>
        <w:t xml:space="preserve">the </w:t>
      </w:r>
      <w:r w:rsidRPr="000F71D6">
        <w:t>neoadjuvant phase</w:t>
      </w:r>
      <w:r>
        <w:t>.</w:t>
      </w:r>
      <w:r w:rsidR="007E32CD">
        <w:t xml:space="preserve"> </w:t>
      </w:r>
      <w:r>
        <w:t>The study treatment continued for 17 cycles of pembrolizumab or placebo or until a protocol</w:t>
      </w:r>
      <w:r w:rsidR="000C6985">
        <w:t xml:space="preserve"> </w:t>
      </w:r>
      <w:r>
        <w:t>specified event.</w:t>
      </w:r>
      <w:r w:rsidR="007E32CD">
        <w:t xml:space="preserve"> </w:t>
      </w:r>
      <w:r>
        <w:t xml:space="preserve">Imaging was performed at the investigator’s discretion, per local standard of care; disease assessments were conducted per </w:t>
      </w:r>
      <w:r w:rsidRPr="00560AD6">
        <w:t xml:space="preserve">RECIST </w:t>
      </w:r>
      <w:r w:rsidR="002B7C45">
        <w:t xml:space="preserve">version </w:t>
      </w:r>
      <w:r w:rsidRPr="00560AD6">
        <w:t>1.1,</w:t>
      </w:r>
      <w:bookmarkStart w:id="51" w:name="_Ref134095812"/>
      <w:r w:rsidR="000C6985" w:rsidRPr="00560AD6">
        <w:rPr>
          <w:rStyle w:val="FootnoteReference"/>
        </w:rPr>
        <w:footnoteReference w:id="17"/>
      </w:r>
      <w:bookmarkEnd w:id="51"/>
      <w:r w:rsidRPr="00560AD6">
        <w:t xml:space="preserve"> if</w:t>
      </w:r>
      <w:r>
        <w:t xml:space="preserve"> applicable.</w:t>
      </w:r>
    </w:p>
    <w:p w14:paraId="2A2B619B" w14:textId="777CE8FE" w:rsidR="002B7C45" w:rsidRDefault="002B7C45" w:rsidP="00870904">
      <w:pPr>
        <w:pStyle w:val="Heading6"/>
      </w:pPr>
      <w:r>
        <w:t>Patient flow</w:t>
      </w:r>
    </w:p>
    <w:p w14:paraId="50062B73" w14:textId="24B8188B" w:rsidR="000F71D6" w:rsidRDefault="004D60F7" w:rsidP="000F71D6">
      <w:r>
        <w:t>The p</w:t>
      </w:r>
      <w:r w:rsidR="000F71D6">
        <w:t xml:space="preserve">atient flow as at </w:t>
      </w:r>
      <w:r w:rsidR="0034000A">
        <w:t xml:space="preserve">the </w:t>
      </w:r>
      <w:r w:rsidR="0060640C">
        <w:t>fourth</w:t>
      </w:r>
      <w:r w:rsidR="0034000A">
        <w:t xml:space="preserve"> </w:t>
      </w:r>
      <w:r>
        <w:t xml:space="preserve">Interim </w:t>
      </w:r>
      <w:r w:rsidR="000F71D6">
        <w:t>A</w:t>
      </w:r>
      <w:r>
        <w:t>nalysis (IA4) is listed belo</w:t>
      </w:r>
      <w:r w:rsidR="0011091A">
        <w:t>w.</w:t>
      </w:r>
      <w:r w:rsidR="007E32CD">
        <w:t xml:space="preserve"> </w:t>
      </w:r>
      <w:r>
        <w:t xml:space="preserve">Arm 1 </w:t>
      </w:r>
      <w:r w:rsidR="0011091A">
        <w:t>is</w:t>
      </w:r>
      <w:r w:rsidR="0034000A">
        <w:t xml:space="preserve"> described </w:t>
      </w:r>
      <w:r>
        <w:t xml:space="preserve">as ‘pembrolizumab’ and Arm 2 </w:t>
      </w:r>
      <w:r w:rsidR="0011091A">
        <w:t>is</w:t>
      </w:r>
      <w:r w:rsidR="0034000A">
        <w:t xml:space="preserve"> described is </w:t>
      </w:r>
      <w:r>
        <w:t>‘placebo’:</w:t>
      </w:r>
    </w:p>
    <w:p w14:paraId="0D09540C" w14:textId="2864BA10" w:rsidR="000F71D6" w:rsidRDefault="000F71D6" w:rsidP="000F71D6">
      <w:pPr>
        <w:pStyle w:val="ListBullet"/>
      </w:pPr>
      <w:r>
        <w:t>Randomised:</w:t>
      </w:r>
      <w:r w:rsidR="0011091A">
        <w:t xml:space="preserve"> </w:t>
      </w:r>
      <w:r>
        <w:t>1174</w:t>
      </w:r>
      <w:r w:rsidR="0011091A">
        <w:t xml:space="preserve"> patients (</w:t>
      </w:r>
      <w:r>
        <w:t>pembrolizumab 784</w:t>
      </w:r>
      <w:r w:rsidR="0011091A">
        <w:t>,</w:t>
      </w:r>
      <w:r>
        <w:t xml:space="preserve"> placebo 390</w:t>
      </w:r>
      <w:r w:rsidR="0011091A">
        <w:t>)</w:t>
      </w:r>
    </w:p>
    <w:p w14:paraId="39EA106C" w14:textId="3B42BA20" w:rsidR="000F71D6" w:rsidRDefault="000F71D6" w:rsidP="000F71D6">
      <w:pPr>
        <w:pStyle w:val="ListBullet"/>
      </w:pPr>
      <w:r>
        <w:t>Treated: 1172</w:t>
      </w:r>
      <w:r w:rsidR="0011091A">
        <w:t xml:space="preserve"> patients (</w:t>
      </w:r>
      <w:r>
        <w:t>pembrolizumab 783</w:t>
      </w:r>
      <w:r w:rsidR="0011091A">
        <w:t xml:space="preserve">, </w:t>
      </w:r>
      <w:r>
        <w:t>placebo 389</w:t>
      </w:r>
      <w:r w:rsidR="0011091A">
        <w:t>)</w:t>
      </w:r>
    </w:p>
    <w:p w14:paraId="6B02D287" w14:textId="77777777" w:rsidR="002D7FFB" w:rsidRDefault="000F71D6" w:rsidP="000F71D6">
      <w:pPr>
        <w:pStyle w:val="ListBullet"/>
      </w:pPr>
      <w:r>
        <w:t>Completed all treatments: pembrolizumab 487</w:t>
      </w:r>
      <w:r w:rsidR="0011091A">
        <w:t xml:space="preserve"> </w:t>
      </w:r>
      <w:r>
        <w:t xml:space="preserve">out of 784 </w:t>
      </w:r>
      <w:r w:rsidR="0011091A">
        <w:t xml:space="preserve">patients </w:t>
      </w:r>
      <w:r>
        <w:t>(62.1%); placebo 283 out of 390</w:t>
      </w:r>
      <w:r w:rsidR="0011091A">
        <w:t xml:space="preserve"> patients</w:t>
      </w:r>
      <w:r>
        <w:t xml:space="preserve"> (72.6%)</w:t>
      </w:r>
    </w:p>
    <w:p w14:paraId="7C460B86" w14:textId="27BBCF0C" w:rsidR="000F71D6" w:rsidRDefault="000F71D6" w:rsidP="000F71D6">
      <w:pPr>
        <w:pStyle w:val="ListBullet"/>
      </w:pPr>
      <w:r>
        <w:t>Discontinued all treatments:</w:t>
      </w:r>
    </w:p>
    <w:p w14:paraId="263520D9" w14:textId="00150DDC" w:rsidR="000F71D6" w:rsidRDefault="000F71D6" w:rsidP="000F71D6">
      <w:pPr>
        <w:pStyle w:val="ListBullet2"/>
      </w:pPr>
      <w:r>
        <w:t xml:space="preserve">Pembrolizumab 291 out of 784 </w:t>
      </w:r>
      <w:r w:rsidR="0011091A">
        <w:t xml:space="preserve">patients </w:t>
      </w:r>
      <w:r>
        <w:t>(37.1%), of which:</w:t>
      </w:r>
    </w:p>
    <w:p w14:paraId="78920C47" w14:textId="07509E6D" w:rsidR="000F71D6" w:rsidRPr="000F71D6" w:rsidRDefault="000F71D6" w:rsidP="000F71D6">
      <w:pPr>
        <w:pStyle w:val="ListBullet3"/>
      </w:pPr>
      <w:r>
        <w:t>190 out of 784 (24.2%) discontinued in neoadjuvant phase</w:t>
      </w:r>
      <w:r w:rsidR="00812671">
        <w:t xml:space="preserve">. </w:t>
      </w:r>
      <w:r w:rsidRPr="000F71D6">
        <w:t xml:space="preserve">112 (14%) </w:t>
      </w:r>
      <w:r w:rsidR="00812671">
        <w:t>were due to adverse events</w:t>
      </w:r>
      <w:r w:rsidR="004D60F7">
        <w:t>.</w:t>
      </w:r>
    </w:p>
    <w:p w14:paraId="09D08C0D" w14:textId="1C054793" w:rsidR="000F71D6" w:rsidRDefault="000F71D6" w:rsidP="00812671">
      <w:pPr>
        <w:pStyle w:val="ListBullet3"/>
      </w:pPr>
      <w:r>
        <w:lastRenderedPageBreak/>
        <w:t>101</w:t>
      </w:r>
      <w:r w:rsidR="00812671">
        <w:t xml:space="preserve"> out of </w:t>
      </w:r>
      <w:r>
        <w:t>784 (12.9%) discontinued in adjuvant phase</w:t>
      </w:r>
      <w:r w:rsidR="00812671">
        <w:t>.</w:t>
      </w:r>
      <w:r w:rsidR="007E32CD">
        <w:t xml:space="preserve"> </w:t>
      </w:r>
      <w:r>
        <w:t xml:space="preserve">42 (5%) </w:t>
      </w:r>
      <w:r w:rsidR="00812671">
        <w:t xml:space="preserve">were </w:t>
      </w:r>
      <w:r>
        <w:t xml:space="preserve">due to </w:t>
      </w:r>
      <w:r w:rsidR="00812671">
        <w:t xml:space="preserve">adverse events and </w:t>
      </w:r>
      <w:r>
        <w:t>20 (3%) due to relapse</w:t>
      </w:r>
      <w:r w:rsidR="00812671">
        <w:t xml:space="preserve"> or </w:t>
      </w:r>
      <w:r>
        <w:t>recurrence</w:t>
      </w:r>
      <w:r w:rsidR="004D60F7">
        <w:t>.</w:t>
      </w:r>
    </w:p>
    <w:p w14:paraId="2099740A" w14:textId="06A5613D" w:rsidR="000F71D6" w:rsidRDefault="000F71D6" w:rsidP="000F71D6">
      <w:pPr>
        <w:pStyle w:val="ListBullet2"/>
      </w:pPr>
      <w:r>
        <w:t>Placebo 106</w:t>
      </w:r>
      <w:r w:rsidR="00812671">
        <w:t xml:space="preserve"> out of </w:t>
      </w:r>
      <w:r>
        <w:t xml:space="preserve">390 </w:t>
      </w:r>
      <w:r w:rsidR="0011091A">
        <w:t xml:space="preserve">patients </w:t>
      </w:r>
      <w:r>
        <w:t>(27.2%), of which:</w:t>
      </w:r>
    </w:p>
    <w:p w14:paraId="2AFDECB9" w14:textId="77777777" w:rsidR="002D7FFB" w:rsidRDefault="000F71D6" w:rsidP="00812671">
      <w:pPr>
        <w:pStyle w:val="ListBullet3"/>
      </w:pPr>
      <w:r>
        <w:t>58</w:t>
      </w:r>
      <w:r w:rsidR="00812671">
        <w:t xml:space="preserve"> out of </w:t>
      </w:r>
      <w:r>
        <w:t xml:space="preserve">390 </w:t>
      </w:r>
      <w:r w:rsidR="0011091A">
        <w:t xml:space="preserve">patients </w:t>
      </w:r>
      <w:r>
        <w:t>(14.9%) discontinued in neoadjuvant phase</w:t>
      </w:r>
      <w:r w:rsidR="00812671">
        <w:t>.</w:t>
      </w:r>
      <w:r w:rsidR="007E32CD">
        <w:t xml:space="preserve"> </w:t>
      </w:r>
      <w:r>
        <w:t xml:space="preserve">20 (5%) </w:t>
      </w:r>
      <w:r w:rsidR="00812671">
        <w:t xml:space="preserve">were </w:t>
      </w:r>
      <w:r>
        <w:t xml:space="preserve">due to </w:t>
      </w:r>
      <w:r w:rsidR="00812671">
        <w:t>adverse events.</w:t>
      </w:r>
    </w:p>
    <w:p w14:paraId="45446CC6" w14:textId="665376B5" w:rsidR="000F71D6" w:rsidRDefault="000F71D6" w:rsidP="00812671">
      <w:pPr>
        <w:pStyle w:val="ListBullet3"/>
      </w:pPr>
      <w:r>
        <w:t>48</w:t>
      </w:r>
      <w:r w:rsidR="00812671">
        <w:t xml:space="preserve"> out of </w:t>
      </w:r>
      <w:r>
        <w:t xml:space="preserve">390 </w:t>
      </w:r>
      <w:r w:rsidR="0011091A">
        <w:t xml:space="preserve">patients </w:t>
      </w:r>
      <w:r>
        <w:t>(12.3%) discontinued in adjuvant phase</w:t>
      </w:r>
      <w:r w:rsidR="00812671">
        <w:t xml:space="preserve">. </w:t>
      </w:r>
      <w:r>
        <w:t xml:space="preserve">18 (5%) </w:t>
      </w:r>
      <w:r w:rsidR="00812671">
        <w:t xml:space="preserve">were </w:t>
      </w:r>
      <w:r>
        <w:t>due to relapse</w:t>
      </w:r>
      <w:r w:rsidR="00812671">
        <w:t xml:space="preserve"> or </w:t>
      </w:r>
      <w:r>
        <w:t>recurrence</w:t>
      </w:r>
      <w:r w:rsidR="00812671">
        <w:t xml:space="preserve"> and </w:t>
      </w:r>
      <w:r>
        <w:t xml:space="preserve">10 (3%) </w:t>
      </w:r>
      <w:r w:rsidR="00812671">
        <w:t xml:space="preserve">were </w:t>
      </w:r>
      <w:r>
        <w:t xml:space="preserve">due to </w:t>
      </w:r>
      <w:r w:rsidR="00812671">
        <w:t>adverse events</w:t>
      </w:r>
      <w:r w:rsidR="004D60F7">
        <w:t>.</w:t>
      </w:r>
    </w:p>
    <w:p w14:paraId="6D0DBBEC" w14:textId="0EF8950C" w:rsidR="000F71D6" w:rsidRDefault="000F71D6" w:rsidP="000F71D6">
      <w:pPr>
        <w:pStyle w:val="ListBullet"/>
      </w:pPr>
      <w:r>
        <w:t xml:space="preserve">Had surgery: </w:t>
      </w:r>
      <w:r w:rsidR="00812671">
        <w:t>pembrolizumab</w:t>
      </w:r>
      <w:r>
        <w:t xml:space="preserve"> 768</w:t>
      </w:r>
      <w:r w:rsidR="00812671">
        <w:t xml:space="preserve"> out of </w:t>
      </w:r>
      <w:r>
        <w:t>784</w:t>
      </w:r>
      <w:r w:rsidR="0011091A">
        <w:t xml:space="preserve"> patients</w:t>
      </w:r>
      <w:r>
        <w:t xml:space="preserve"> (98%), placebo 381</w:t>
      </w:r>
      <w:r w:rsidR="00812671">
        <w:t xml:space="preserve"> out of </w:t>
      </w:r>
      <w:r>
        <w:t xml:space="preserve">390 </w:t>
      </w:r>
      <w:r w:rsidR="0011091A">
        <w:t xml:space="preserve">patients </w:t>
      </w:r>
      <w:r>
        <w:t>(98%)</w:t>
      </w:r>
      <w:r w:rsidR="0060640C">
        <w:t>.</w:t>
      </w:r>
    </w:p>
    <w:p w14:paraId="42EF3E53" w14:textId="71690480" w:rsidR="000F71D6" w:rsidRDefault="000F71D6" w:rsidP="000F71D6">
      <w:pPr>
        <w:pStyle w:val="ListBullet"/>
      </w:pPr>
      <w:r>
        <w:t xml:space="preserve">Median follow up: </w:t>
      </w:r>
      <w:r w:rsidR="00812671">
        <w:t>pembrolizumab</w:t>
      </w:r>
      <w:r>
        <w:t xml:space="preserve"> 37.8 months, placebo 37.6 months</w:t>
      </w:r>
      <w:r w:rsidR="0060640C">
        <w:t>.</w:t>
      </w:r>
    </w:p>
    <w:p w14:paraId="6F36DE13" w14:textId="0C2D98BD" w:rsidR="000F71D6" w:rsidRDefault="000F71D6" w:rsidP="000F71D6">
      <w:pPr>
        <w:pStyle w:val="ListBullet"/>
      </w:pPr>
      <w:r>
        <w:t>No patients were continuing study treatment as of IA4</w:t>
      </w:r>
      <w:r w:rsidR="0060640C">
        <w:t>.</w:t>
      </w:r>
    </w:p>
    <w:p w14:paraId="3C269441" w14:textId="7341FED1" w:rsidR="002B7C45" w:rsidRDefault="000F71D6">
      <w:pPr>
        <w:pStyle w:val="ListBullet"/>
      </w:pPr>
      <w:r>
        <w:t xml:space="preserve">Ongoing in study follow up: </w:t>
      </w:r>
      <w:r w:rsidR="00812671">
        <w:t>pembrolizumab</w:t>
      </w:r>
      <w:r>
        <w:t xml:space="preserve"> 88.6%, placebo 84.1% (most discontinuations from study were due to death)</w:t>
      </w:r>
      <w:r w:rsidR="0060640C">
        <w:t>.</w:t>
      </w:r>
    </w:p>
    <w:p w14:paraId="692F03F6" w14:textId="721121F7" w:rsidR="00812671" w:rsidRPr="00812671" w:rsidRDefault="00812671" w:rsidP="00337479">
      <w:pPr>
        <w:pStyle w:val="Heading6"/>
      </w:pPr>
      <w:r w:rsidRPr="00812671">
        <w:t>Key inclusion criteria</w:t>
      </w:r>
    </w:p>
    <w:p w14:paraId="1650E5A9" w14:textId="207B1813" w:rsidR="00812671" w:rsidRDefault="00812671" w:rsidP="00812671">
      <w:r>
        <w:t>The key inclusion criteria included:</w:t>
      </w:r>
    </w:p>
    <w:p w14:paraId="4B46B062" w14:textId="77777777" w:rsidR="002D7FFB" w:rsidRDefault="00812671" w:rsidP="00812671">
      <w:pPr>
        <w:pStyle w:val="ListBullet"/>
      </w:pPr>
      <w:r w:rsidRPr="004D60F7">
        <w:t>Newly diagnosed, centrally confirmed TNBC, per most recent ASCO/CAP</w:t>
      </w:r>
      <w:r w:rsidR="00BF2685" w:rsidRPr="004D60F7">
        <w:rPr>
          <w:rStyle w:val="FootnoteReference"/>
        </w:rPr>
        <w:footnoteReference w:id="18"/>
      </w:r>
      <w:r w:rsidRPr="004D60F7">
        <w:t xml:space="preserve"> </w:t>
      </w:r>
      <w:r w:rsidRPr="0011091A">
        <w:t>guidelines</w:t>
      </w:r>
      <w:r w:rsidR="0060640C">
        <w:t>.</w:t>
      </w:r>
    </w:p>
    <w:p w14:paraId="09B7EB28" w14:textId="537D544E" w:rsidR="00812671" w:rsidRDefault="00812671" w:rsidP="00812671">
      <w:pPr>
        <w:pStyle w:val="ListBullet"/>
      </w:pPr>
      <w:r>
        <w:t>Had previously untreated, locally advanced, non-metastatic TNBC assessed by Investigator to be either:</w:t>
      </w:r>
      <w:r w:rsidR="00337479">
        <w:fldChar w:fldCharType="begin"/>
      </w:r>
      <w:r w:rsidR="00337479">
        <w:instrText xml:space="preserve"> NOTEREF _Ref130212126 \f \h </w:instrText>
      </w:r>
      <w:r w:rsidR="00337479">
        <w:fldChar w:fldCharType="separate"/>
      </w:r>
      <w:r w:rsidR="00A02570" w:rsidRPr="00A02570">
        <w:rPr>
          <w:rStyle w:val="FootnoteReference"/>
        </w:rPr>
        <w:t>15</w:t>
      </w:r>
      <w:r w:rsidR="00337479">
        <w:fldChar w:fldCharType="end"/>
      </w:r>
    </w:p>
    <w:p w14:paraId="6FC5077D" w14:textId="360469EE" w:rsidR="00812671" w:rsidRDefault="00812671" w:rsidP="00812671">
      <w:pPr>
        <w:pStyle w:val="ListBullet2"/>
      </w:pPr>
      <w:r>
        <w:t>T1c, N1-N2</w:t>
      </w:r>
    </w:p>
    <w:p w14:paraId="74BD3BD2" w14:textId="30012F85" w:rsidR="00812671" w:rsidRDefault="00812671" w:rsidP="00812671">
      <w:pPr>
        <w:pStyle w:val="ListBullet2"/>
      </w:pPr>
      <w:r>
        <w:t>T2, N0-N2</w:t>
      </w:r>
    </w:p>
    <w:p w14:paraId="1AACD968" w14:textId="7183AAC9" w:rsidR="00812671" w:rsidRDefault="00812671" w:rsidP="00812671">
      <w:pPr>
        <w:pStyle w:val="ListBullet2"/>
      </w:pPr>
      <w:r>
        <w:t>T3, N0-N2</w:t>
      </w:r>
    </w:p>
    <w:p w14:paraId="741D36D5" w14:textId="06932F0E" w:rsidR="00812671" w:rsidRDefault="00812671" w:rsidP="00812671">
      <w:pPr>
        <w:pStyle w:val="ListBullet2"/>
      </w:pPr>
      <w:r>
        <w:t>T4a-d, N0-N2</w:t>
      </w:r>
    </w:p>
    <w:p w14:paraId="1FCD713B" w14:textId="3D3D572E" w:rsidR="00812671" w:rsidRDefault="00812671" w:rsidP="00812671">
      <w:pPr>
        <w:pStyle w:val="ListBullet"/>
      </w:pPr>
      <w:r>
        <w:t>Provided a core needle biopsy (at least two separate cores from the primary tumour) at screening to central laboratory</w:t>
      </w:r>
      <w:r w:rsidR="0060640C">
        <w:t>.</w:t>
      </w:r>
    </w:p>
    <w:p w14:paraId="2D57510B" w14:textId="561BD54A" w:rsidR="00812671" w:rsidRDefault="00337479" w:rsidP="00812671">
      <w:pPr>
        <w:pStyle w:val="ListBullet"/>
      </w:pPr>
      <w:r>
        <w:t xml:space="preserve">Had an </w:t>
      </w:r>
      <w:r w:rsidR="0056312B">
        <w:t>Eastern Cooperative Oncology Group</w:t>
      </w:r>
      <w:r w:rsidR="00DF0E81">
        <w:t xml:space="preserve"> Performance Status</w:t>
      </w:r>
      <w:r w:rsidR="0056312B">
        <w:t xml:space="preserve"> (</w:t>
      </w:r>
      <w:r w:rsidR="00812671">
        <w:t>ECOG</w:t>
      </w:r>
      <w:r w:rsidR="00DF0E81">
        <w:t xml:space="preserve"> PS</w:t>
      </w:r>
      <w:r w:rsidR="0056312B">
        <w:t>)</w:t>
      </w:r>
      <w:bookmarkStart w:id="52" w:name="_Ref134092388"/>
      <w:r w:rsidR="0056312B">
        <w:rPr>
          <w:rStyle w:val="FootnoteReference"/>
        </w:rPr>
        <w:footnoteReference w:id="19"/>
      </w:r>
      <w:bookmarkEnd w:id="52"/>
      <w:r w:rsidR="00812671">
        <w:t xml:space="preserve"> 0</w:t>
      </w:r>
      <w:r w:rsidR="0056312B">
        <w:t xml:space="preserve"> </w:t>
      </w:r>
      <w:r w:rsidR="000B35C5">
        <w:t>or</w:t>
      </w:r>
      <w:r w:rsidR="0056312B">
        <w:t xml:space="preserve"> </w:t>
      </w:r>
      <w:r w:rsidR="00812671">
        <w:t>1</w:t>
      </w:r>
      <w:r w:rsidR="0060640C">
        <w:t>.</w:t>
      </w:r>
    </w:p>
    <w:p w14:paraId="4755D12E" w14:textId="44D1B8B7" w:rsidR="00812671" w:rsidRPr="00BF2685" w:rsidRDefault="00812671" w:rsidP="00337479">
      <w:pPr>
        <w:pStyle w:val="Heading6"/>
      </w:pPr>
      <w:r w:rsidRPr="00BF2685">
        <w:t>Key exclusion criteria</w:t>
      </w:r>
    </w:p>
    <w:p w14:paraId="6E3A36C4" w14:textId="65FC5A27" w:rsidR="00BF2685" w:rsidRDefault="00337479" w:rsidP="00BF2685">
      <w:pPr>
        <w:pStyle w:val="ListBullet"/>
      </w:pPr>
      <w:r>
        <w:t>R</w:t>
      </w:r>
      <w:r w:rsidR="00BF2685">
        <w:t xml:space="preserve">eceived prior chemotherapy, targeted </w:t>
      </w:r>
      <w:proofErr w:type="gramStart"/>
      <w:r w:rsidR="00BF2685">
        <w:t>therapy</w:t>
      </w:r>
      <w:proofErr w:type="gramEnd"/>
      <w:r w:rsidR="00BF2685">
        <w:t xml:space="preserve"> or radiation therapy within the past 12 months</w:t>
      </w:r>
      <w:r w:rsidR="0060640C">
        <w:t>.</w:t>
      </w:r>
    </w:p>
    <w:p w14:paraId="3BC0C9D7" w14:textId="3920E513" w:rsidR="00BF2685" w:rsidRDefault="00337479" w:rsidP="00BF2685">
      <w:pPr>
        <w:pStyle w:val="ListBullet"/>
      </w:pPr>
      <w:r>
        <w:t>A h</w:t>
      </w:r>
      <w:r w:rsidR="00BF2685">
        <w:t>istory of non-infectious pneumonitis that required steroids, or current pneumonitis</w:t>
      </w:r>
      <w:r w:rsidR="0060640C">
        <w:t>.</w:t>
      </w:r>
    </w:p>
    <w:p w14:paraId="3CA80C90" w14:textId="00EE9591" w:rsidR="00812671" w:rsidRDefault="00BF2685" w:rsidP="00BF2685">
      <w:pPr>
        <w:pStyle w:val="ListBullet"/>
      </w:pPr>
      <w:r>
        <w:t>Significant cardiovascular disease</w:t>
      </w:r>
      <w:r w:rsidR="0060640C">
        <w:t>.</w:t>
      </w:r>
    </w:p>
    <w:p w14:paraId="56FD84E6" w14:textId="583F2CD8" w:rsidR="00BF2685" w:rsidRPr="000B35C5" w:rsidRDefault="008F20C5">
      <w:pPr>
        <w:pStyle w:val="Heading6"/>
      </w:pPr>
      <w:r>
        <w:lastRenderedPageBreak/>
        <w:t>Study e</w:t>
      </w:r>
      <w:r w:rsidR="00BF2685" w:rsidRPr="000B35C5">
        <w:t>ndpoints</w:t>
      </w:r>
    </w:p>
    <w:p w14:paraId="7057E9E9" w14:textId="16447B89" w:rsidR="0060640C" w:rsidRDefault="00BF2685" w:rsidP="00BF2685">
      <w:r>
        <w:t>The primary endpoint was</w:t>
      </w:r>
      <w:r w:rsidR="0060640C">
        <w:t xml:space="preserve"> pathological complete response</w:t>
      </w:r>
      <w:r w:rsidRPr="00BF2685">
        <w:t xml:space="preserve"> rate</w:t>
      </w:r>
      <w:r w:rsidR="0056312B">
        <w:t xml:space="preserve"> </w:t>
      </w:r>
      <w:r w:rsidR="002D34A0">
        <w:t>(</w:t>
      </w:r>
      <w:proofErr w:type="spellStart"/>
      <w:r w:rsidR="002D34A0">
        <w:t>pCR</w:t>
      </w:r>
      <w:proofErr w:type="spellEnd"/>
      <w:r w:rsidR="002D34A0">
        <w:t xml:space="preserve">) for ypT0/Tis </w:t>
      </w:r>
      <w:r w:rsidR="00B8092A">
        <w:t xml:space="preserve">ypN0 </w:t>
      </w:r>
      <w:r w:rsidR="0056312B">
        <w:t>and</w:t>
      </w:r>
      <w:r w:rsidR="0060640C">
        <w:t xml:space="preserve"> event-free survival</w:t>
      </w:r>
      <w:r w:rsidR="002D34A0">
        <w:t xml:space="preserve">, as defined in </w:t>
      </w:r>
      <w:r w:rsidR="002D34A0">
        <w:fldChar w:fldCharType="begin"/>
      </w:r>
      <w:r w:rsidR="002D34A0">
        <w:instrText xml:space="preserve"> REF _Ref127187923 \h </w:instrText>
      </w:r>
      <w:r w:rsidR="002D34A0">
        <w:fldChar w:fldCharType="separate"/>
      </w:r>
      <w:r w:rsidR="00A02570">
        <w:t xml:space="preserve">Table </w:t>
      </w:r>
      <w:r w:rsidR="00A02570">
        <w:rPr>
          <w:noProof/>
        </w:rPr>
        <w:t>4</w:t>
      </w:r>
      <w:r w:rsidR="002D34A0">
        <w:fldChar w:fldCharType="end"/>
      </w:r>
      <w:r w:rsidR="002D34A0">
        <w:t>, below.</w:t>
      </w:r>
    </w:p>
    <w:p w14:paraId="277CB7DA" w14:textId="68CD2E6D" w:rsidR="002D7FFB" w:rsidRDefault="00BF2685" w:rsidP="00BF2685">
      <w:r>
        <w:t>The key secondary endpoint was overall survival</w:t>
      </w:r>
      <w:r w:rsidR="0060640C">
        <w:t>.</w:t>
      </w:r>
    </w:p>
    <w:p w14:paraId="3BF0645A" w14:textId="18843D55" w:rsidR="00EE7489" w:rsidRDefault="00EE7489" w:rsidP="00BF2685">
      <w:r w:rsidRPr="00EE7489">
        <w:t xml:space="preserve">Other secondary endpoints were </w:t>
      </w:r>
      <w:proofErr w:type="spellStart"/>
      <w:r w:rsidRPr="00EE7489">
        <w:t>pCR</w:t>
      </w:r>
      <w:proofErr w:type="spellEnd"/>
      <w:r w:rsidRPr="00EE7489">
        <w:t xml:space="preserve"> rate using alternative definition as described in Table 4 below, safety and tolerability and patient-reported outcomes.</w:t>
      </w:r>
    </w:p>
    <w:p w14:paraId="17742D81" w14:textId="69413AAE" w:rsidR="00BF2685" w:rsidRDefault="00BF2685" w:rsidP="00BF2685">
      <w:r w:rsidRPr="00BF2685">
        <w:t xml:space="preserve">PD-L1 expression in tumour samples was assessed at a central laboratory using the PD-L1 </w:t>
      </w:r>
      <w:r w:rsidR="004F3758">
        <w:t>I</w:t>
      </w:r>
      <w:r w:rsidR="004F3758" w:rsidRPr="004F3758">
        <w:t xml:space="preserve">mmunohistochemistry </w:t>
      </w:r>
      <w:r w:rsidR="004F3758">
        <w:t>(</w:t>
      </w:r>
      <w:r w:rsidRPr="00BF2685">
        <w:t>IHC</w:t>
      </w:r>
      <w:r w:rsidR="004F3758">
        <w:t>)</w:t>
      </w:r>
      <w:r w:rsidRPr="00BF2685">
        <w:t xml:space="preserve"> 22C3 </w:t>
      </w:r>
      <w:proofErr w:type="spellStart"/>
      <w:r w:rsidRPr="00BF2685">
        <w:t>pharmDx</w:t>
      </w:r>
      <w:proofErr w:type="spellEnd"/>
      <w:r w:rsidRPr="00BF2685">
        <w:t xml:space="preserve"> assay (Agilent Technologies). </w:t>
      </w:r>
      <w:r w:rsidR="00EC7F82">
        <w:t>A combined positive score</w:t>
      </w:r>
      <w:r w:rsidR="0056312B">
        <w:t xml:space="preserve"> </w:t>
      </w:r>
      <w:r w:rsidRPr="00BF2685">
        <w:t>was defined as the number of PD</w:t>
      </w:r>
      <w:r w:rsidR="0056312B">
        <w:noBreakHyphen/>
      </w:r>
      <w:r w:rsidRPr="00BF2685">
        <w:t>L1</w:t>
      </w:r>
      <w:r w:rsidR="00355AA0">
        <w:t xml:space="preserve"> </w:t>
      </w:r>
      <w:r w:rsidRPr="00BF2685">
        <w:t>positive cells (tumour cells, lymphocytes, and macrophages) divided by the total number of tumour cells, multiplied by 100.</w:t>
      </w:r>
    </w:p>
    <w:p w14:paraId="0A9F685F" w14:textId="267F072B" w:rsidR="00DE02FD" w:rsidRDefault="00DE02FD" w:rsidP="00DE02FD">
      <w:pPr>
        <w:pStyle w:val="TableTitle"/>
      </w:pPr>
      <w:bookmarkStart w:id="53" w:name="_Ref127187923"/>
      <w:r>
        <w:t xml:space="preserve">Table </w:t>
      </w:r>
      <w:r>
        <w:fldChar w:fldCharType="begin"/>
      </w:r>
      <w:r>
        <w:instrText>SEQ Table \* ARABIC</w:instrText>
      </w:r>
      <w:r>
        <w:fldChar w:fldCharType="separate"/>
      </w:r>
      <w:r w:rsidR="00A02570">
        <w:rPr>
          <w:noProof/>
        </w:rPr>
        <w:t>4</w:t>
      </w:r>
      <w:r>
        <w:fldChar w:fldCharType="end"/>
      </w:r>
      <w:bookmarkEnd w:id="53"/>
      <w:r>
        <w:t xml:space="preserve">: Study KN-522 </w:t>
      </w:r>
      <w:r w:rsidR="000B35C5">
        <w:t>(KEYNOTE 522 trial) E</w:t>
      </w:r>
      <w:r>
        <w:t>ndpoint definitions</w:t>
      </w:r>
    </w:p>
    <w:tbl>
      <w:tblPr>
        <w:tblStyle w:val="TableTGAblue"/>
        <w:tblW w:w="8905" w:type="dxa"/>
        <w:tblLook w:val="04A0" w:firstRow="1" w:lastRow="0" w:firstColumn="1" w:lastColumn="0" w:noHBand="0" w:noVBand="1"/>
      </w:tblPr>
      <w:tblGrid>
        <w:gridCol w:w="2965"/>
        <w:gridCol w:w="5940"/>
      </w:tblGrid>
      <w:tr w:rsidR="00BF2685" w:rsidRPr="000B35C5" w14:paraId="104B8C85" w14:textId="77777777" w:rsidTr="004F05B7">
        <w:trPr>
          <w:cnfStyle w:val="100000000000" w:firstRow="1" w:lastRow="0" w:firstColumn="0" w:lastColumn="0" w:oddVBand="0" w:evenVBand="0" w:oddHBand="0" w:evenHBand="0" w:firstRowFirstColumn="0" w:firstRowLastColumn="0" w:lastRowFirstColumn="0" w:lastRowLastColumn="0"/>
        </w:trPr>
        <w:tc>
          <w:tcPr>
            <w:tcW w:w="2965" w:type="dxa"/>
          </w:tcPr>
          <w:p w14:paraId="69D8148D" w14:textId="6A9ED22B" w:rsidR="00BF2685" w:rsidRPr="00870904" w:rsidRDefault="00BF2685" w:rsidP="00870904">
            <w:pPr>
              <w:ind w:left="144" w:right="144"/>
              <w:rPr>
                <w:sz w:val="21"/>
              </w:rPr>
            </w:pPr>
            <w:r w:rsidRPr="00870904">
              <w:rPr>
                <w:sz w:val="21"/>
              </w:rPr>
              <w:t>Endpoint</w:t>
            </w:r>
          </w:p>
        </w:tc>
        <w:tc>
          <w:tcPr>
            <w:tcW w:w="5940" w:type="dxa"/>
          </w:tcPr>
          <w:p w14:paraId="21994728" w14:textId="558B1D60" w:rsidR="00BF2685" w:rsidRPr="00870904" w:rsidRDefault="00BF2685" w:rsidP="00870904">
            <w:pPr>
              <w:ind w:left="144" w:right="144"/>
              <w:rPr>
                <w:sz w:val="21"/>
              </w:rPr>
            </w:pPr>
            <w:r w:rsidRPr="00870904">
              <w:rPr>
                <w:sz w:val="21"/>
              </w:rPr>
              <w:t>Definition</w:t>
            </w:r>
          </w:p>
        </w:tc>
      </w:tr>
      <w:tr w:rsidR="00BF2685" w:rsidRPr="000B35C5" w14:paraId="6CAB169C" w14:textId="77777777" w:rsidTr="004F05B7">
        <w:tc>
          <w:tcPr>
            <w:tcW w:w="2965" w:type="dxa"/>
          </w:tcPr>
          <w:p w14:paraId="6548D5DE" w14:textId="2EE1BC10" w:rsidR="00BF2685" w:rsidRPr="00870904" w:rsidRDefault="00BF2685" w:rsidP="00870904">
            <w:pPr>
              <w:ind w:left="144" w:right="144"/>
              <w:rPr>
                <w:sz w:val="21"/>
              </w:rPr>
            </w:pPr>
            <w:proofErr w:type="spellStart"/>
            <w:r w:rsidRPr="00870904">
              <w:rPr>
                <w:sz w:val="21"/>
              </w:rPr>
              <w:t>pCR</w:t>
            </w:r>
            <w:proofErr w:type="spellEnd"/>
            <w:r w:rsidRPr="00870904">
              <w:rPr>
                <w:sz w:val="21"/>
              </w:rPr>
              <w:t xml:space="preserve"> rate (ypT0/Tis ypN</w:t>
            </w:r>
            <w:proofErr w:type="gramStart"/>
            <w:r w:rsidRPr="00870904">
              <w:rPr>
                <w:sz w:val="21"/>
              </w:rPr>
              <w:t>0)</w:t>
            </w:r>
            <w:r w:rsidR="00DE02FD" w:rsidRPr="00870904">
              <w:rPr>
                <w:sz w:val="21"/>
              </w:rPr>
              <w:t>*</w:t>
            </w:r>
            <w:proofErr w:type="gramEnd"/>
          </w:p>
          <w:p w14:paraId="3D5A8CA1" w14:textId="54413987" w:rsidR="00DE02FD" w:rsidRPr="00870904" w:rsidRDefault="00DE02FD" w:rsidP="00870904">
            <w:pPr>
              <w:ind w:left="144" w:right="144"/>
              <w:rPr>
                <w:sz w:val="21"/>
              </w:rPr>
            </w:pPr>
          </w:p>
        </w:tc>
        <w:tc>
          <w:tcPr>
            <w:tcW w:w="5940" w:type="dxa"/>
          </w:tcPr>
          <w:p w14:paraId="549F2184" w14:textId="0A181DFD" w:rsidR="002D7FFB" w:rsidRPr="00870904" w:rsidRDefault="00BF2685" w:rsidP="00870904">
            <w:pPr>
              <w:ind w:left="144" w:right="144"/>
              <w:rPr>
                <w:sz w:val="21"/>
              </w:rPr>
            </w:pPr>
            <w:r w:rsidRPr="00870904">
              <w:rPr>
                <w:sz w:val="21"/>
              </w:rPr>
              <w:t xml:space="preserve">The proportion of participants without residual invasive cancer on </w:t>
            </w:r>
            <w:r w:rsidR="00890766" w:rsidRPr="00870904">
              <w:rPr>
                <w:sz w:val="21"/>
              </w:rPr>
              <w:t xml:space="preserve">hematoxylin and eosin </w:t>
            </w:r>
            <w:r w:rsidRPr="00870904">
              <w:rPr>
                <w:sz w:val="21"/>
              </w:rPr>
              <w:t>evaluation of the complete resected breast specimen and all sampled regional lymph nodes following completion of neoadjuvant systemic therapy by AJCC staging criteria</w:t>
            </w:r>
            <w:r w:rsidR="000B35C5">
              <w:rPr>
                <w:sz w:val="21"/>
              </w:rPr>
              <w:t>;</w:t>
            </w:r>
            <w:r w:rsidR="000B35C5" w:rsidRPr="00870904">
              <w:rPr>
                <w:sz w:val="21"/>
                <w:vertAlign w:val="superscript"/>
              </w:rPr>
              <w:fldChar w:fldCharType="begin"/>
            </w:r>
            <w:r w:rsidR="000B35C5" w:rsidRPr="00870904">
              <w:rPr>
                <w:sz w:val="21"/>
                <w:vertAlign w:val="superscript"/>
              </w:rPr>
              <w:instrText xml:space="preserve"> NOTEREF _Ref134090899 \h </w:instrText>
            </w:r>
            <w:r w:rsidR="000B35C5">
              <w:rPr>
                <w:sz w:val="21"/>
                <w:vertAlign w:val="superscript"/>
              </w:rPr>
              <w:instrText xml:space="preserve"> \* MERGEFORMAT </w:instrText>
            </w:r>
            <w:r w:rsidR="000B35C5" w:rsidRPr="00870904">
              <w:rPr>
                <w:sz w:val="21"/>
                <w:vertAlign w:val="superscript"/>
              </w:rPr>
            </w:r>
            <w:r w:rsidR="000B35C5" w:rsidRPr="00870904">
              <w:rPr>
                <w:sz w:val="21"/>
                <w:vertAlign w:val="superscript"/>
              </w:rPr>
              <w:fldChar w:fldCharType="separate"/>
            </w:r>
            <w:r w:rsidR="00A02570">
              <w:rPr>
                <w:sz w:val="21"/>
                <w:vertAlign w:val="superscript"/>
              </w:rPr>
              <w:t>15</w:t>
            </w:r>
            <w:r w:rsidR="000B35C5" w:rsidRPr="00870904">
              <w:rPr>
                <w:sz w:val="21"/>
                <w:vertAlign w:val="superscript"/>
              </w:rPr>
              <w:fldChar w:fldCharType="end"/>
            </w:r>
            <w:r w:rsidR="000B35C5" w:rsidRPr="00870904">
              <w:rPr>
                <w:sz w:val="21"/>
                <w:vertAlign w:val="superscript"/>
              </w:rPr>
              <w:t>,</w:t>
            </w:r>
            <w:r w:rsidR="001C1DAF">
              <w:rPr>
                <w:rStyle w:val="FootnoteReference"/>
                <w:sz w:val="21"/>
              </w:rPr>
              <w:footnoteReference w:id="20"/>
            </w:r>
            <w:r w:rsidR="001C1DAF">
              <w:rPr>
                <w:sz w:val="21"/>
                <w:vertAlign w:val="superscript"/>
              </w:rPr>
              <w:t>,</w:t>
            </w:r>
            <w:r w:rsidR="00890766" w:rsidRPr="00870904">
              <w:rPr>
                <w:rStyle w:val="FootnoteReference"/>
                <w:sz w:val="21"/>
              </w:rPr>
              <w:footnoteReference w:id="21"/>
            </w:r>
            <w:r w:rsidRPr="00870904">
              <w:rPr>
                <w:sz w:val="21"/>
              </w:rPr>
              <w:t xml:space="preserve"> assessed by the local pathologist at the time of definitive surgery</w:t>
            </w:r>
            <w:r w:rsidR="00DE02FD" w:rsidRPr="00870904">
              <w:rPr>
                <w:sz w:val="21"/>
              </w:rPr>
              <w:t>.</w:t>
            </w:r>
          </w:p>
          <w:p w14:paraId="55D1CCCF" w14:textId="76A5E069" w:rsidR="00BF2685" w:rsidRPr="00870904" w:rsidRDefault="00BF2685" w:rsidP="00870904">
            <w:pPr>
              <w:ind w:left="144" w:right="144"/>
              <w:rPr>
                <w:sz w:val="21"/>
              </w:rPr>
            </w:pPr>
            <w:r w:rsidRPr="00870904">
              <w:rPr>
                <w:sz w:val="21"/>
              </w:rPr>
              <w:t>Hypothesis: pembrolizumab is superior to placebo</w:t>
            </w:r>
            <w:r w:rsidR="001E316C" w:rsidRPr="00870904">
              <w:rPr>
                <w:sz w:val="21"/>
              </w:rPr>
              <w:t xml:space="preserve"> </w:t>
            </w:r>
          </w:p>
        </w:tc>
      </w:tr>
      <w:tr w:rsidR="00BF2685" w:rsidRPr="000B35C5" w14:paraId="289AFD3B" w14:textId="77777777" w:rsidTr="004F05B7">
        <w:tc>
          <w:tcPr>
            <w:tcW w:w="2965" w:type="dxa"/>
          </w:tcPr>
          <w:p w14:paraId="7A8F50B6" w14:textId="3D68CF94" w:rsidR="00BF2685" w:rsidRPr="00870904" w:rsidRDefault="00BF2685" w:rsidP="00870904">
            <w:pPr>
              <w:ind w:left="144" w:right="144"/>
              <w:rPr>
                <w:sz w:val="21"/>
              </w:rPr>
            </w:pPr>
            <w:r w:rsidRPr="00870904">
              <w:rPr>
                <w:sz w:val="21"/>
              </w:rPr>
              <w:t>E</w:t>
            </w:r>
            <w:r w:rsidR="002D34A0" w:rsidRPr="00870904">
              <w:rPr>
                <w:sz w:val="21"/>
              </w:rPr>
              <w:t>vent-free survival</w:t>
            </w:r>
            <w:r w:rsidRPr="00870904">
              <w:rPr>
                <w:sz w:val="21"/>
              </w:rPr>
              <w:t xml:space="preserve"> (investigator</w:t>
            </w:r>
            <w:r w:rsidR="00890766" w:rsidRPr="00870904">
              <w:rPr>
                <w:sz w:val="21"/>
              </w:rPr>
              <w:t xml:space="preserve"> </w:t>
            </w:r>
            <w:r w:rsidRPr="00870904">
              <w:rPr>
                <w:sz w:val="21"/>
              </w:rPr>
              <w:t>assessed)</w:t>
            </w:r>
          </w:p>
        </w:tc>
        <w:tc>
          <w:tcPr>
            <w:tcW w:w="5940" w:type="dxa"/>
          </w:tcPr>
          <w:p w14:paraId="51E3B3B4" w14:textId="4CEC3CC1" w:rsidR="00BF2685" w:rsidRPr="00870904" w:rsidRDefault="00BF2685" w:rsidP="00870904">
            <w:pPr>
              <w:ind w:left="144" w:right="144"/>
              <w:rPr>
                <w:sz w:val="21"/>
              </w:rPr>
            </w:pPr>
            <w:r w:rsidRPr="00870904">
              <w:rPr>
                <w:sz w:val="21"/>
              </w:rPr>
              <w:t xml:space="preserve">The time from randomization to the first occurrence of any of the following </w:t>
            </w:r>
            <w:proofErr w:type="gramStart"/>
            <w:r w:rsidRPr="00870904">
              <w:rPr>
                <w:sz w:val="21"/>
              </w:rPr>
              <w:t>events:</w:t>
            </w:r>
            <w:r w:rsidR="00DE02FD" w:rsidRPr="00870904">
              <w:rPr>
                <w:sz w:val="21"/>
                <w:vertAlign w:val="superscript"/>
              </w:rPr>
              <w:t>#</w:t>
            </w:r>
            <w:proofErr w:type="gramEnd"/>
            <w:r w:rsidRPr="00870904">
              <w:rPr>
                <w:sz w:val="21"/>
              </w:rPr>
              <w:t xml:space="preserve"> progression of disease that precludes definitive surgery, local or distant recurrence, second primary malignancy, or death due to any cause.</w:t>
            </w:r>
          </w:p>
          <w:p w14:paraId="671841A3" w14:textId="74706D77" w:rsidR="00BF2685" w:rsidRPr="00870904" w:rsidRDefault="00BF2685" w:rsidP="00870904">
            <w:pPr>
              <w:ind w:left="144" w:right="144"/>
              <w:rPr>
                <w:sz w:val="21"/>
              </w:rPr>
            </w:pPr>
            <w:r w:rsidRPr="00870904">
              <w:rPr>
                <w:sz w:val="21"/>
              </w:rPr>
              <w:t>Hypothesis: pembrolizumab is superior to placebo</w:t>
            </w:r>
          </w:p>
        </w:tc>
      </w:tr>
      <w:tr w:rsidR="00BF2685" w:rsidRPr="000B35C5" w14:paraId="1711E402" w14:textId="77777777" w:rsidTr="004F05B7">
        <w:tc>
          <w:tcPr>
            <w:tcW w:w="2965" w:type="dxa"/>
          </w:tcPr>
          <w:p w14:paraId="5CF1934E" w14:textId="1CA78645" w:rsidR="00BF2685" w:rsidRPr="00870904" w:rsidRDefault="00BF2685" w:rsidP="00870904">
            <w:pPr>
              <w:ind w:left="144" w:right="144"/>
              <w:rPr>
                <w:sz w:val="21"/>
              </w:rPr>
            </w:pPr>
            <w:r w:rsidRPr="00870904">
              <w:rPr>
                <w:sz w:val="21"/>
              </w:rPr>
              <w:t>O</w:t>
            </w:r>
            <w:r w:rsidR="00890766" w:rsidRPr="00870904">
              <w:rPr>
                <w:sz w:val="21"/>
              </w:rPr>
              <w:t>verall survival</w:t>
            </w:r>
          </w:p>
        </w:tc>
        <w:tc>
          <w:tcPr>
            <w:tcW w:w="5940" w:type="dxa"/>
          </w:tcPr>
          <w:p w14:paraId="2DB8517D" w14:textId="77991F1A" w:rsidR="00BF2685" w:rsidRPr="00870904" w:rsidRDefault="00BF2685" w:rsidP="00870904">
            <w:pPr>
              <w:ind w:left="144" w:right="144"/>
              <w:rPr>
                <w:sz w:val="21"/>
              </w:rPr>
            </w:pPr>
            <w:r w:rsidRPr="00870904">
              <w:rPr>
                <w:sz w:val="21"/>
              </w:rPr>
              <w:t>Time from randomisation to death due to any cause</w:t>
            </w:r>
            <w:r w:rsidR="001E316C" w:rsidRPr="00870904">
              <w:rPr>
                <w:sz w:val="21"/>
              </w:rPr>
              <w:t>.</w:t>
            </w:r>
          </w:p>
          <w:p w14:paraId="3AACED21" w14:textId="2169FF83" w:rsidR="00BF2685" w:rsidRPr="00870904" w:rsidRDefault="00BF2685" w:rsidP="00870904">
            <w:pPr>
              <w:ind w:left="144" w:right="144"/>
              <w:rPr>
                <w:sz w:val="21"/>
              </w:rPr>
            </w:pPr>
            <w:r w:rsidRPr="00870904">
              <w:rPr>
                <w:sz w:val="21"/>
              </w:rPr>
              <w:t xml:space="preserve">Hypothesis: </w:t>
            </w:r>
            <w:r w:rsidR="00DE02FD" w:rsidRPr="00870904">
              <w:rPr>
                <w:sz w:val="21"/>
              </w:rPr>
              <w:t>pembrolizumab</w:t>
            </w:r>
            <w:r w:rsidRPr="00870904">
              <w:rPr>
                <w:sz w:val="21"/>
              </w:rPr>
              <w:t xml:space="preserve"> is superior to placebo</w:t>
            </w:r>
          </w:p>
        </w:tc>
      </w:tr>
      <w:tr w:rsidR="00DE02FD" w:rsidRPr="000B35C5" w14:paraId="75055920" w14:textId="77777777" w:rsidTr="004F05B7">
        <w:tc>
          <w:tcPr>
            <w:tcW w:w="2965" w:type="dxa"/>
          </w:tcPr>
          <w:p w14:paraId="32923756" w14:textId="22C4228B" w:rsidR="00DE02FD" w:rsidRPr="00870904" w:rsidRDefault="00DE02FD" w:rsidP="00870904">
            <w:pPr>
              <w:ind w:left="144" w:right="144"/>
              <w:rPr>
                <w:sz w:val="21"/>
              </w:rPr>
            </w:pPr>
            <w:proofErr w:type="spellStart"/>
            <w:r w:rsidRPr="00870904">
              <w:rPr>
                <w:sz w:val="21"/>
              </w:rPr>
              <w:t>pCR</w:t>
            </w:r>
            <w:proofErr w:type="spellEnd"/>
            <w:r w:rsidRPr="00870904">
              <w:rPr>
                <w:sz w:val="21"/>
              </w:rPr>
              <w:t xml:space="preserve"> rate using alternative definition (ypT0 </w:t>
            </w:r>
            <w:r w:rsidR="002F6223" w:rsidRPr="00870904">
              <w:rPr>
                <w:sz w:val="21"/>
              </w:rPr>
              <w:t>ypN</w:t>
            </w:r>
            <w:proofErr w:type="gramStart"/>
            <w:r w:rsidR="002F6223" w:rsidRPr="00870904">
              <w:rPr>
                <w:sz w:val="21"/>
              </w:rPr>
              <w:t>0</w:t>
            </w:r>
            <w:r w:rsidRPr="00870904">
              <w:rPr>
                <w:sz w:val="21"/>
              </w:rPr>
              <w:t>)</w:t>
            </w:r>
            <w:r w:rsidRPr="00870904">
              <w:rPr>
                <w:sz w:val="21"/>
                <w:vertAlign w:val="superscript"/>
              </w:rPr>
              <w:t>$</w:t>
            </w:r>
            <w:proofErr w:type="gramEnd"/>
          </w:p>
        </w:tc>
        <w:tc>
          <w:tcPr>
            <w:tcW w:w="5940" w:type="dxa"/>
          </w:tcPr>
          <w:p w14:paraId="2E61B263" w14:textId="22A76AA5" w:rsidR="00DE02FD" w:rsidRPr="00870904" w:rsidRDefault="00DE02FD" w:rsidP="00870904">
            <w:pPr>
              <w:ind w:left="144" w:right="144"/>
              <w:rPr>
                <w:sz w:val="21"/>
              </w:rPr>
            </w:pPr>
            <w:r w:rsidRPr="00870904">
              <w:rPr>
                <w:sz w:val="21"/>
              </w:rPr>
              <w:t xml:space="preserve">The proportion of participants without residual invasive and in situ cancer on </w:t>
            </w:r>
            <w:r w:rsidR="00890766" w:rsidRPr="00870904">
              <w:rPr>
                <w:sz w:val="21"/>
              </w:rPr>
              <w:t xml:space="preserve">hematoxylin and eosin </w:t>
            </w:r>
            <w:r w:rsidRPr="00870904">
              <w:rPr>
                <w:sz w:val="21"/>
              </w:rPr>
              <w:t>evaluation of the complete resected breast specimen and all sampled regional lymph nodes following completion of neoadjuvant systemic therapy by AJCC staging criteria assessed by the local pathologist at the time of definitive surgery.</w:t>
            </w:r>
          </w:p>
        </w:tc>
      </w:tr>
      <w:tr w:rsidR="00EC6AD2" w:rsidRPr="000B35C5" w14:paraId="6954F2E7" w14:textId="77777777" w:rsidTr="004F05B7">
        <w:tc>
          <w:tcPr>
            <w:tcW w:w="2965" w:type="dxa"/>
          </w:tcPr>
          <w:p w14:paraId="46825372" w14:textId="64A560C9" w:rsidR="00EC6AD2" w:rsidRPr="00870904" w:rsidRDefault="00467ECC" w:rsidP="00870904">
            <w:pPr>
              <w:ind w:left="144" w:right="144"/>
              <w:rPr>
                <w:sz w:val="21"/>
              </w:rPr>
            </w:pPr>
            <w:proofErr w:type="spellStart"/>
            <w:r w:rsidRPr="00870904">
              <w:rPr>
                <w:sz w:val="21"/>
              </w:rPr>
              <w:t>pCR</w:t>
            </w:r>
            <w:proofErr w:type="spellEnd"/>
            <w:r w:rsidRPr="00870904">
              <w:rPr>
                <w:sz w:val="21"/>
              </w:rPr>
              <w:t xml:space="preserve"> rate using alternative definition (ypT0/Tis)</w:t>
            </w:r>
          </w:p>
        </w:tc>
        <w:tc>
          <w:tcPr>
            <w:tcW w:w="5940" w:type="dxa"/>
          </w:tcPr>
          <w:p w14:paraId="10C8258B" w14:textId="7980A865" w:rsidR="00EC6AD2" w:rsidRPr="00870904" w:rsidRDefault="00467ECC" w:rsidP="00870904">
            <w:pPr>
              <w:ind w:left="144" w:right="144"/>
              <w:rPr>
                <w:sz w:val="21"/>
              </w:rPr>
            </w:pPr>
            <w:r w:rsidRPr="00870904">
              <w:rPr>
                <w:sz w:val="21"/>
              </w:rPr>
              <w:t xml:space="preserve">The proportion of participants without invasive cancer in the breast irrespective of ductal carcinoma in situ or nodal involvement following completion of neoadjuvant systemic </w:t>
            </w:r>
            <w:r w:rsidRPr="00870904">
              <w:rPr>
                <w:sz w:val="21"/>
              </w:rPr>
              <w:lastRenderedPageBreak/>
              <w:t>therapy per current AJCC staging criteria assessed by the local pathologist at the time of definitive surgery.</w:t>
            </w:r>
          </w:p>
        </w:tc>
      </w:tr>
      <w:tr w:rsidR="00DE02FD" w:rsidRPr="000B35C5" w14:paraId="5485BC40" w14:textId="77777777" w:rsidTr="004F05B7">
        <w:tc>
          <w:tcPr>
            <w:tcW w:w="2965" w:type="dxa"/>
          </w:tcPr>
          <w:p w14:paraId="359D9328" w14:textId="23B09728" w:rsidR="00DE02FD" w:rsidRPr="00870904" w:rsidRDefault="005D1D9C" w:rsidP="00870904">
            <w:pPr>
              <w:ind w:left="144" w:right="144"/>
              <w:rPr>
                <w:sz w:val="21"/>
              </w:rPr>
            </w:pPr>
            <w:r w:rsidRPr="00870904">
              <w:rPr>
                <w:sz w:val="21"/>
              </w:rPr>
              <w:lastRenderedPageBreak/>
              <w:t>Patient reported outcomes</w:t>
            </w:r>
          </w:p>
        </w:tc>
        <w:tc>
          <w:tcPr>
            <w:tcW w:w="5940" w:type="dxa"/>
          </w:tcPr>
          <w:p w14:paraId="7923266A" w14:textId="78523BFD" w:rsidR="00DE02FD" w:rsidRPr="00870904" w:rsidRDefault="00DE02FD" w:rsidP="00870904">
            <w:pPr>
              <w:ind w:left="144" w:right="144"/>
              <w:rPr>
                <w:sz w:val="21"/>
              </w:rPr>
            </w:pPr>
            <w:r w:rsidRPr="00870904">
              <w:rPr>
                <w:sz w:val="21"/>
              </w:rPr>
              <w:t xml:space="preserve">Health-related </w:t>
            </w:r>
            <w:r w:rsidR="005D1D9C" w:rsidRPr="00870904">
              <w:rPr>
                <w:sz w:val="21"/>
              </w:rPr>
              <w:t>quality of life</w:t>
            </w:r>
            <w:r w:rsidRPr="00870904">
              <w:rPr>
                <w:sz w:val="21"/>
              </w:rPr>
              <w:t xml:space="preserve"> assessments using the EORTC QLQ-C30 and EORTC QLQ-BR23</w:t>
            </w:r>
            <w:r w:rsidR="005D1D9C" w:rsidRPr="00870904">
              <w:rPr>
                <w:rStyle w:val="FootnoteReference"/>
                <w:sz w:val="21"/>
              </w:rPr>
              <w:footnoteReference w:id="22"/>
            </w:r>
            <w:r w:rsidRPr="00870904">
              <w:rPr>
                <w:sz w:val="21"/>
              </w:rPr>
              <w:t>.</w:t>
            </w:r>
          </w:p>
        </w:tc>
      </w:tr>
    </w:tbl>
    <w:p w14:paraId="4115734F" w14:textId="0D9C1512" w:rsidR="001E316C" w:rsidRDefault="00DE02FD" w:rsidP="00DE02FD">
      <w:pPr>
        <w:pStyle w:val="TableDescription"/>
      </w:pPr>
      <w:r>
        <w:t xml:space="preserve"> Notes:</w:t>
      </w:r>
      <w:r w:rsidR="007E32CD">
        <w:t xml:space="preserve"> </w:t>
      </w:r>
      <w:r>
        <w:t>*ypT0/Tis ypN0: no invasive residual in breast or nodes; non-invasive breast residuals allowed</w:t>
      </w:r>
      <w:r w:rsidR="001E316C">
        <w:t>.</w:t>
      </w:r>
    </w:p>
    <w:p w14:paraId="026F6794" w14:textId="3295B630" w:rsidR="001E316C" w:rsidRDefault="00DE02FD" w:rsidP="00DE02FD">
      <w:pPr>
        <w:pStyle w:val="TableDescription"/>
      </w:pPr>
      <w:r>
        <w:t># Events also included ‘positive margin at last surgery’.</w:t>
      </w:r>
      <w:r w:rsidR="00683ECB">
        <w:t xml:space="preserve"> Second</w:t>
      </w:r>
      <w:r>
        <w:t xml:space="preserve"> primary excluded basal or squamous cell carcinoma of the skin, carcinoma in situ of the cervix, or second primary breast</w:t>
      </w:r>
      <w:r w:rsidR="001E316C">
        <w:t>.</w:t>
      </w:r>
    </w:p>
    <w:p w14:paraId="5B110E35" w14:textId="77777777" w:rsidR="002D7FFB" w:rsidRDefault="00DE02FD" w:rsidP="00DE02FD">
      <w:pPr>
        <w:pStyle w:val="TableDescription"/>
      </w:pPr>
      <w:r>
        <w:t xml:space="preserve"> </w:t>
      </w:r>
      <w:r w:rsidRPr="00DE02FD">
        <w:t xml:space="preserve">$ </w:t>
      </w:r>
      <w:r>
        <w:t>ypT0 ypN0: no invasive or non-invasive residual in breast or nodes.</w:t>
      </w:r>
    </w:p>
    <w:p w14:paraId="0ECBC9F8" w14:textId="315E5FBE" w:rsidR="00DE02FD" w:rsidRDefault="00DE02FD">
      <w:pPr>
        <w:pStyle w:val="Heading6"/>
      </w:pPr>
      <w:r w:rsidRPr="00DE02FD">
        <w:t>Statistic</w:t>
      </w:r>
      <w:r w:rsidR="008F20C5">
        <w:t>al analysis</w:t>
      </w:r>
    </w:p>
    <w:p w14:paraId="65BB2414" w14:textId="27648A0A" w:rsidR="00DE02FD" w:rsidRDefault="001E316C" w:rsidP="00870904">
      <w:pPr>
        <w:keepNext/>
      </w:pPr>
      <w:r>
        <w:t>The a</w:t>
      </w:r>
      <w:r w:rsidR="00DE02FD">
        <w:t>nalysis populations</w:t>
      </w:r>
      <w:r>
        <w:t xml:space="preserve"> are</w:t>
      </w:r>
      <w:r w:rsidR="00DE02FD">
        <w:t>:</w:t>
      </w:r>
    </w:p>
    <w:p w14:paraId="5763F319" w14:textId="674B912D" w:rsidR="00DE02FD" w:rsidRDefault="00DE02FD" w:rsidP="00DE02FD">
      <w:pPr>
        <w:pStyle w:val="ListBullet"/>
      </w:pPr>
      <w:r>
        <w:t xml:space="preserve">Efficacy: </w:t>
      </w:r>
      <w:r w:rsidRPr="001E316C">
        <w:t>I</w:t>
      </w:r>
      <w:r w:rsidR="00683ECB">
        <w:t>ntent to treat population (</w:t>
      </w:r>
      <w:r>
        <w:t>all randomized patients) n = 1174</w:t>
      </w:r>
      <w:r w:rsidR="00683ECB">
        <w:t>.</w:t>
      </w:r>
    </w:p>
    <w:p w14:paraId="13A20E90" w14:textId="67ABF2C4" w:rsidR="002D7FFB" w:rsidRDefault="00DE02FD" w:rsidP="00DE02FD">
      <w:pPr>
        <w:pStyle w:val="ListBullet"/>
      </w:pPr>
      <w:r>
        <w:t xml:space="preserve">Safety: </w:t>
      </w:r>
      <w:r w:rsidR="00683ECB">
        <w:t>A</w:t>
      </w:r>
      <w:r>
        <w:t xml:space="preserve">ll subjects as treated (who received at least </w:t>
      </w:r>
      <w:r w:rsidR="008C3786">
        <w:t>one</w:t>
      </w:r>
      <w:r>
        <w:t xml:space="preserve"> study drug treatment and</w:t>
      </w:r>
      <w:r w:rsidR="00096860">
        <w:t>/</w:t>
      </w:r>
      <w:r>
        <w:t>or had surgery) n = 1172</w:t>
      </w:r>
      <w:r w:rsidR="00683ECB">
        <w:t>.</w:t>
      </w:r>
    </w:p>
    <w:p w14:paraId="7F775D7E" w14:textId="3DF986EE" w:rsidR="00DE02FD" w:rsidRDefault="00DE02FD" w:rsidP="00DE02FD">
      <w:r>
        <w:t xml:space="preserve">Planned efficacy analyses </w:t>
      </w:r>
      <w:r w:rsidR="001E316C">
        <w:t xml:space="preserve">are described in </w:t>
      </w:r>
      <w:r w:rsidR="001E316C">
        <w:fldChar w:fldCharType="begin"/>
      </w:r>
      <w:r w:rsidR="001E316C">
        <w:instrText xml:space="preserve"> REF _Ref127188466 \h </w:instrText>
      </w:r>
      <w:r w:rsidR="001E316C">
        <w:fldChar w:fldCharType="separate"/>
      </w:r>
      <w:r w:rsidR="00A02570">
        <w:t xml:space="preserve">Table </w:t>
      </w:r>
      <w:r w:rsidR="00A02570">
        <w:rPr>
          <w:noProof/>
        </w:rPr>
        <w:t>5</w:t>
      </w:r>
      <w:r w:rsidR="001E316C">
        <w:fldChar w:fldCharType="end"/>
      </w:r>
      <w:r w:rsidR="001E316C">
        <w:t>, below.</w:t>
      </w:r>
      <w:r w:rsidR="007E32CD">
        <w:t xml:space="preserve"> </w:t>
      </w:r>
      <w:r w:rsidR="001E316C">
        <w:t xml:space="preserve">The </w:t>
      </w:r>
      <w:r w:rsidR="00683ECB">
        <w:t>overall survival</w:t>
      </w:r>
      <w:r>
        <w:t xml:space="preserve"> will be tested when the null hypothesis for </w:t>
      </w:r>
      <w:r w:rsidR="00A34B07">
        <w:t>evert free survival</w:t>
      </w:r>
      <w:r>
        <w:t xml:space="preserve"> is rejected.</w:t>
      </w:r>
    </w:p>
    <w:p w14:paraId="296F28E7" w14:textId="00028FA3" w:rsidR="009E373A" w:rsidRDefault="009E373A" w:rsidP="00DB22F1">
      <w:pPr>
        <w:pStyle w:val="TableTitle"/>
      </w:pPr>
      <w:bookmarkStart w:id="54" w:name="_Ref127188466"/>
      <w:r>
        <w:t xml:space="preserve">Table </w:t>
      </w:r>
      <w:r>
        <w:fldChar w:fldCharType="begin"/>
      </w:r>
      <w:r>
        <w:instrText>SEQ Table \* ARABIC</w:instrText>
      </w:r>
      <w:r>
        <w:fldChar w:fldCharType="separate"/>
      </w:r>
      <w:r w:rsidR="00A02570">
        <w:rPr>
          <w:noProof/>
        </w:rPr>
        <w:t>5</w:t>
      </w:r>
      <w:r>
        <w:fldChar w:fldCharType="end"/>
      </w:r>
      <w:bookmarkEnd w:id="54"/>
      <w:r>
        <w:t xml:space="preserve">: Study KN-522 </w:t>
      </w:r>
      <w:r w:rsidR="001C1DAF">
        <w:t>(KEYNOTE 522 trial) P</w:t>
      </w:r>
      <w:r>
        <w:t>lanned efficacy analyses</w:t>
      </w:r>
    </w:p>
    <w:p w14:paraId="12091D5F" w14:textId="3B5FEC22" w:rsidR="00F606C3" w:rsidRPr="00DE02FD" w:rsidRDefault="00F606C3" w:rsidP="00DE02FD">
      <w:r>
        <w:rPr>
          <w:noProof/>
          <w:lang w:val="en-GB" w:eastAsia="en-GB"/>
        </w:rPr>
        <w:drawing>
          <wp:inline distT="0" distB="0" distL="0" distR="0" wp14:anchorId="69F2A3A0" wp14:editId="30917056">
            <wp:extent cx="5400040" cy="3729990"/>
            <wp:effectExtent l="0" t="0" r="0" b="3810"/>
            <wp:docPr id="17" name="Picture 17" descr="This table shows Study KN-522 planned efficacy analy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table shows Study KN-522 planned efficacy analyses."/>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5400040" cy="3729990"/>
                    </a:xfrm>
                    <a:prstGeom prst="rect">
                      <a:avLst/>
                    </a:prstGeom>
                  </pic:spPr>
                </pic:pic>
              </a:graphicData>
            </a:graphic>
          </wp:inline>
        </w:drawing>
      </w:r>
    </w:p>
    <w:p w14:paraId="72CF52CC" w14:textId="54E0AAFF" w:rsidR="00DE02FD" w:rsidRDefault="009E373A" w:rsidP="009E373A">
      <w:pPr>
        <w:pStyle w:val="TableDescription"/>
      </w:pPr>
      <w:r w:rsidRPr="009E373A">
        <w:t>FA = final analysis, IA = interim analysis</w:t>
      </w:r>
    </w:p>
    <w:p w14:paraId="6E135374" w14:textId="2F187AF3" w:rsidR="009E373A" w:rsidRDefault="009E373A" w:rsidP="009E373A">
      <w:r>
        <w:t xml:space="preserve">The final analysis is </w:t>
      </w:r>
      <w:r w:rsidR="00EC7F82">
        <w:t>event-free survival</w:t>
      </w:r>
      <w:r w:rsidR="00A34B07">
        <w:t xml:space="preserve"> (EFS) </w:t>
      </w:r>
      <w:r>
        <w:t>event driven. The planned sample size is approximately 1150</w:t>
      </w:r>
      <w:r w:rsidR="00F606C3">
        <w:t> s</w:t>
      </w:r>
      <w:r>
        <w:t>ubjects (driven by EFS), to provide the following power:</w:t>
      </w:r>
    </w:p>
    <w:p w14:paraId="76757CC1" w14:textId="4A5189A1" w:rsidR="009E373A" w:rsidRDefault="009E373A" w:rsidP="009E373A">
      <w:pPr>
        <w:pStyle w:val="ListBullet"/>
      </w:pPr>
      <w:proofErr w:type="spellStart"/>
      <w:r>
        <w:lastRenderedPageBreak/>
        <w:t>pCR</w:t>
      </w:r>
      <w:proofErr w:type="spellEnd"/>
      <w:r>
        <w:t xml:space="preserve"> </w:t>
      </w:r>
      <w:r w:rsidR="00EC7F82">
        <w:t xml:space="preserve">rate </w:t>
      </w:r>
      <w:r>
        <w:t xml:space="preserve">(ypT0/Tis ypN0): overall approximately 95% power to detect a true </w:t>
      </w:r>
      <w:proofErr w:type="spellStart"/>
      <w:r>
        <w:t>pCR</w:t>
      </w:r>
      <w:proofErr w:type="spellEnd"/>
      <w:r>
        <w:t xml:space="preserve"> rate difference of 15 percentage points (</w:t>
      </w:r>
      <w:r w:rsidR="000E4EE0">
        <w:t>pembrolizumab</w:t>
      </w:r>
      <w:r>
        <w:t xml:space="preserve"> </w:t>
      </w:r>
      <w:r w:rsidR="00201D23">
        <w:t>versus</w:t>
      </w:r>
      <w:r>
        <w:t xml:space="preserve"> placebo at alpha = 0.5% </w:t>
      </w:r>
      <w:r w:rsidR="00A93A88">
        <w:t>(</w:t>
      </w:r>
      <w:r>
        <w:t>one-sided</w:t>
      </w:r>
      <w:r w:rsidR="00A93A88">
        <w:t>)</w:t>
      </w:r>
      <w:r>
        <w:t xml:space="preserve"> with approximately 1000 subjects who have or would have completed surgery after approximately 6 months neoadjuvant treatment at IA2).</w:t>
      </w:r>
    </w:p>
    <w:p w14:paraId="143FDC72" w14:textId="6F0EE4CC" w:rsidR="009E373A" w:rsidRDefault="00E53242" w:rsidP="009E373A">
      <w:pPr>
        <w:pStyle w:val="ListBullet"/>
      </w:pPr>
      <w:r>
        <w:t>Event-</w:t>
      </w:r>
      <w:r w:rsidR="00EC7F82">
        <w:t>free survival</w:t>
      </w:r>
      <w:r w:rsidR="009E373A">
        <w:t xml:space="preserve">: overall approximately 80% power at a one-sided 2.0% alpha level if the true </w:t>
      </w:r>
      <w:r w:rsidR="00EC7F82">
        <w:t>h</w:t>
      </w:r>
      <w:r w:rsidR="00A85655">
        <w:t xml:space="preserve">azard </w:t>
      </w:r>
      <w:r w:rsidR="00EC7F82">
        <w:t>r</w:t>
      </w:r>
      <w:r w:rsidR="00A85655">
        <w:t>atio</w:t>
      </w:r>
      <w:r w:rsidR="009E373A">
        <w:t xml:space="preserve"> = 0.71</w:t>
      </w:r>
      <w:r w:rsidR="00DF0E81">
        <w:t>.</w:t>
      </w:r>
    </w:p>
    <w:p w14:paraId="70F8BD47" w14:textId="79154D4B" w:rsidR="009E373A" w:rsidRDefault="00EC7F82" w:rsidP="009E373A">
      <w:pPr>
        <w:pStyle w:val="ListBullet"/>
      </w:pPr>
      <w:r>
        <w:t>Overall survival</w:t>
      </w:r>
      <w:r w:rsidR="009E373A">
        <w:t xml:space="preserve">: overall approximately 79.7% power at a one-sided 2.0% alpha level if </w:t>
      </w:r>
      <w:r>
        <w:t xml:space="preserve">the </w:t>
      </w:r>
      <w:r w:rsidR="009E373A">
        <w:t>true</w:t>
      </w:r>
      <w:r>
        <w:t xml:space="preserve"> hazard ratio</w:t>
      </w:r>
      <w:r w:rsidR="009E373A">
        <w:t xml:space="preserve"> = 0.70.</w:t>
      </w:r>
    </w:p>
    <w:p w14:paraId="11825205" w14:textId="3AF96195" w:rsidR="009E373A" w:rsidRDefault="009E373A" w:rsidP="009E373A">
      <w:r>
        <w:t xml:space="preserve">The </w:t>
      </w:r>
      <w:r w:rsidR="00F606C3">
        <w:t>T</w:t>
      </w:r>
      <w:r>
        <w:t xml:space="preserve">ype I error rate over the two primary endpoints was to be strongly controlled at 2.5% (one-sided), with 0.5% allocated to </w:t>
      </w:r>
      <w:proofErr w:type="spellStart"/>
      <w:r>
        <w:t>pCR</w:t>
      </w:r>
      <w:proofErr w:type="spellEnd"/>
      <w:r>
        <w:t xml:space="preserve"> and 2% allocated to </w:t>
      </w:r>
      <w:r w:rsidR="00E53242">
        <w:t>event-free survival</w:t>
      </w:r>
      <w:r>
        <w:t xml:space="preserve">. The graphical approach </w:t>
      </w:r>
      <w:r w:rsidRPr="00A85655">
        <w:t xml:space="preserve">of Maurer and </w:t>
      </w:r>
      <w:proofErr w:type="spellStart"/>
      <w:r w:rsidRPr="00A85655">
        <w:t>Bretz</w:t>
      </w:r>
      <w:proofErr w:type="spellEnd"/>
      <w:r w:rsidR="00A85655" w:rsidRPr="00A85655">
        <w:rPr>
          <w:rStyle w:val="FootnoteReference"/>
        </w:rPr>
        <w:footnoteReference w:id="23"/>
      </w:r>
      <w:r w:rsidRPr="00A85655">
        <w:t xml:space="preserve"> was</w:t>
      </w:r>
      <w:r>
        <w:t xml:space="preserve"> to be applied to reallocate alpha among hypotheses for </w:t>
      </w:r>
      <w:proofErr w:type="spellStart"/>
      <w:r>
        <w:t>pCR</w:t>
      </w:r>
      <w:proofErr w:type="spellEnd"/>
      <w:r>
        <w:t xml:space="preserve"> (ypT0/Tis ypN0), </w:t>
      </w:r>
      <w:r w:rsidR="00E53242">
        <w:t>event-free survival</w:t>
      </w:r>
      <w:r>
        <w:t xml:space="preserve"> and </w:t>
      </w:r>
      <w:r w:rsidR="00EC7F82">
        <w:t>overall survival</w:t>
      </w:r>
      <w:r>
        <w:t>. Group sequential methods were to be used to allocate alpha between interim and final analyses.</w:t>
      </w:r>
    </w:p>
    <w:p w14:paraId="4F913BCB" w14:textId="37064440" w:rsidR="009E373A" w:rsidRDefault="009E373A" w:rsidP="009E373A">
      <w:r>
        <w:t xml:space="preserve">The study was to be considered a success if </w:t>
      </w:r>
      <w:proofErr w:type="spellStart"/>
      <w:r>
        <w:t>pCR</w:t>
      </w:r>
      <w:proofErr w:type="spellEnd"/>
      <w:r>
        <w:t xml:space="preserve"> (ypT0/Tis ypN0) or </w:t>
      </w:r>
      <w:r w:rsidR="00E53242">
        <w:t>event-free survival</w:t>
      </w:r>
      <w:r>
        <w:t xml:space="preserve"> was demonstrated to be statistically significant at either an</w:t>
      </w:r>
      <w:r w:rsidR="000C2C62">
        <w:t xml:space="preserve"> interim analysis </w:t>
      </w:r>
      <w:r>
        <w:t xml:space="preserve">or the </w:t>
      </w:r>
      <w:r w:rsidR="000C2C62">
        <w:t xml:space="preserve">final analysis </w:t>
      </w:r>
      <w:r>
        <w:t>under multiplicity control.</w:t>
      </w:r>
    </w:p>
    <w:p w14:paraId="6BCFC892" w14:textId="221DBBFE" w:rsidR="00DE02FD" w:rsidRDefault="009E373A" w:rsidP="009E373A">
      <w:r>
        <w:t xml:space="preserve">Treatment comparisons of </w:t>
      </w:r>
      <w:proofErr w:type="spellStart"/>
      <w:r>
        <w:t>pCR</w:t>
      </w:r>
      <w:proofErr w:type="spellEnd"/>
      <w:r>
        <w:t xml:space="preserve"> rate were performed using </w:t>
      </w:r>
      <w:r w:rsidRPr="00A85655">
        <w:t xml:space="preserve">the stratified Miettinen and </w:t>
      </w:r>
      <w:proofErr w:type="spellStart"/>
      <w:r w:rsidRPr="00A85655">
        <w:t>Nurminen</w:t>
      </w:r>
      <w:proofErr w:type="spellEnd"/>
      <w:r w:rsidRPr="00A85655">
        <w:t xml:space="preserve"> method. Treat</w:t>
      </w:r>
      <w:r>
        <w:t xml:space="preserve">ment comparisons for </w:t>
      </w:r>
      <w:r w:rsidRPr="00A85655">
        <w:t>time to event endpoints were</w:t>
      </w:r>
      <w:r>
        <w:t xml:space="preserve"> evaluated using a stratified log rank test, </w:t>
      </w:r>
      <w:r w:rsidRPr="00DF0E81">
        <w:t>with</w:t>
      </w:r>
      <w:r w:rsidR="00EC7F82">
        <w:t xml:space="preserve"> the</w:t>
      </w:r>
      <w:r w:rsidRPr="00DF0E81">
        <w:t xml:space="preserve"> </w:t>
      </w:r>
      <w:r w:rsidR="00EC7F82">
        <w:t>hazard ratio</w:t>
      </w:r>
      <w:r w:rsidRPr="00DF0E81">
        <w:t xml:space="preserve"> es</w:t>
      </w:r>
      <w:r>
        <w:t xml:space="preserve">timated using a </w:t>
      </w:r>
      <w:r w:rsidRPr="00DF0E81">
        <w:t>stratified Cox model</w:t>
      </w:r>
      <w:r>
        <w:t>.</w:t>
      </w:r>
    </w:p>
    <w:p w14:paraId="6C5A4CE3" w14:textId="1E95F0D9" w:rsidR="009E373A" w:rsidRPr="009E373A" w:rsidRDefault="009E373A" w:rsidP="00EC7F82">
      <w:pPr>
        <w:pStyle w:val="Heading6"/>
      </w:pPr>
      <w:r w:rsidRPr="009E373A">
        <w:t>Protocol amendments and deviations</w:t>
      </w:r>
    </w:p>
    <w:p w14:paraId="665EBF03" w14:textId="6AECF644" w:rsidR="00DE02FD" w:rsidRDefault="009E373A" w:rsidP="00BF2685">
      <w:r w:rsidRPr="009E373A">
        <w:t xml:space="preserve">There were </w:t>
      </w:r>
      <w:r>
        <w:t>four</w:t>
      </w:r>
      <w:r w:rsidRPr="009E373A">
        <w:t xml:space="preserve"> amendments to the protocol. Most are considered unlikely to impact the interpretation of the study. ‘Positive margins at last surgery’ was added as an </w:t>
      </w:r>
      <w:r w:rsidR="00E53242">
        <w:t>event-free survival</w:t>
      </w:r>
      <w:r w:rsidRPr="009E373A">
        <w:t xml:space="preserve"> event with Amendment 2. This could lead to potentially overestimated progression rates, as positive margins may not necessarily reflect true progression (these events turned out to be infrequent). Pre-operative cortisol measurement was added with Amendment 2.</w:t>
      </w:r>
    </w:p>
    <w:p w14:paraId="5C6055C6" w14:textId="09A11274" w:rsidR="00416284" w:rsidRDefault="009E373A" w:rsidP="00BF2685">
      <w:r>
        <w:t xml:space="preserve">The number of participants with more than one important protocol deviation </w:t>
      </w:r>
      <w:r w:rsidR="00416284">
        <w:t>w</w:t>
      </w:r>
      <w:r w:rsidR="00DF0E81">
        <w:t>as</w:t>
      </w:r>
      <w:r>
        <w:t xml:space="preserve"> </w:t>
      </w:r>
      <w:bookmarkStart w:id="55" w:name="_Hlk125107992"/>
      <w:r w:rsidR="000E4EE0">
        <w:t>pembrolizumab</w:t>
      </w:r>
      <w:r w:rsidRPr="009E373A">
        <w:t xml:space="preserve"> 64 (8.2%), placebo 19 (4.9%)</w:t>
      </w:r>
      <w:bookmarkEnd w:id="55"/>
      <w:r w:rsidR="00416284">
        <w:t>. The number of clinically important deviations w</w:t>
      </w:r>
      <w:r w:rsidR="00DF0E81">
        <w:t>ere</w:t>
      </w:r>
      <w:r w:rsidR="00416284">
        <w:t xml:space="preserve"> </w:t>
      </w:r>
      <w:r w:rsidR="000E4EE0">
        <w:t>pembrolizumab</w:t>
      </w:r>
      <w:r w:rsidR="00416284" w:rsidRPr="00416284">
        <w:t xml:space="preserve"> 28 (3.6%), placebo 8 (2.1%)</w:t>
      </w:r>
      <w:r w:rsidR="00416284">
        <w:t xml:space="preserve">. </w:t>
      </w:r>
      <w:r w:rsidR="00416284" w:rsidRPr="00416284">
        <w:t>No patients were excluded from efficacy analyses due to these protocol deviations. While important deviations were somewhat more frequent in the pembrolizumab group than the placebo group, they were overall infrequent and unlikely to have a major bearing on the outcomes.</w:t>
      </w:r>
    </w:p>
    <w:p w14:paraId="0B74DFE2" w14:textId="132EB9EB" w:rsidR="00416284" w:rsidRPr="00416284" w:rsidRDefault="00416284" w:rsidP="00EC7F82">
      <w:pPr>
        <w:pStyle w:val="Heading6"/>
      </w:pPr>
      <w:r w:rsidRPr="00416284">
        <w:t>Patient demographics and disease characteristics</w:t>
      </w:r>
    </w:p>
    <w:p w14:paraId="0FD28801" w14:textId="5A432ABB" w:rsidR="002D7FFB" w:rsidRDefault="00416284" w:rsidP="00BF2685">
      <w:r w:rsidRPr="00416284">
        <w:t xml:space="preserve">Treatment arms were balanced with respect to demographics and baseline disease characteristics. </w:t>
      </w:r>
      <w:r w:rsidR="00A93A88">
        <w:t>The m</w:t>
      </w:r>
      <w:r w:rsidRPr="00416284">
        <w:t xml:space="preserve">edian age was 49 years. All but one patient (in the </w:t>
      </w:r>
      <w:r w:rsidR="000E4EE0">
        <w:t>pembrolizumab</w:t>
      </w:r>
      <w:r w:rsidRPr="00416284">
        <w:t xml:space="preserve"> group) was female. Most patients (88.8%) were </w:t>
      </w:r>
      <w:r w:rsidR="00A93A88">
        <w:t>younger than</w:t>
      </w:r>
      <w:r w:rsidRPr="00416284">
        <w:t xml:space="preserve"> 65 years and most (86.8%) were of ECOG PS = 0</w:t>
      </w:r>
      <w:r w:rsidR="00CF69AF">
        <w:t xml:space="preserve"> (or fully active)</w:t>
      </w:r>
      <w:r w:rsidRPr="00416284">
        <w:t>.</w:t>
      </w:r>
      <w:r w:rsidR="00CF69AF" w:rsidRPr="00870904">
        <w:rPr>
          <w:vertAlign w:val="superscript"/>
        </w:rPr>
        <w:fldChar w:fldCharType="begin"/>
      </w:r>
      <w:r w:rsidR="00CF69AF" w:rsidRPr="00870904">
        <w:rPr>
          <w:vertAlign w:val="superscript"/>
        </w:rPr>
        <w:instrText xml:space="preserve"> NOTEREF _Ref134092388 \h </w:instrText>
      </w:r>
      <w:r w:rsidR="00CF69AF">
        <w:rPr>
          <w:vertAlign w:val="superscript"/>
        </w:rPr>
        <w:instrText xml:space="preserve"> \* MERGEFORMAT </w:instrText>
      </w:r>
      <w:r w:rsidR="00CF69AF" w:rsidRPr="00870904">
        <w:rPr>
          <w:vertAlign w:val="superscript"/>
        </w:rPr>
      </w:r>
      <w:r w:rsidR="00CF69AF" w:rsidRPr="00870904">
        <w:rPr>
          <w:vertAlign w:val="superscript"/>
        </w:rPr>
        <w:fldChar w:fldCharType="separate"/>
      </w:r>
      <w:r w:rsidR="00A02570">
        <w:rPr>
          <w:vertAlign w:val="superscript"/>
        </w:rPr>
        <w:t>18</w:t>
      </w:r>
      <w:r w:rsidR="00CF69AF" w:rsidRPr="00870904">
        <w:rPr>
          <w:vertAlign w:val="superscript"/>
        </w:rPr>
        <w:fldChar w:fldCharType="end"/>
      </w:r>
      <w:r w:rsidRPr="00416284">
        <w:t xml:space="preserve"> Most patients (82.9%) had PD-L1 expression status </w:t>
      </w:r>
      <w:r w:rsidR="00CF69AF">
        <w:t xml:space="preserve">(combined positive score) </w:t>
      </w:r>
      <w:r w:rsidRPr="00416284">
        <w:t>CPS ≥ 1.</w:t>
      </w:r>
      <w:bookmarkStart w:id="56" w:name="_Ref134099386"/>
      <w:r w:rsidR="00CF69AF">
        <w:rPr>
          <w:rStyle w:val="FootnoteReference"/>
        </w:rPr>
        <w:footnoteReference w:id="24"/>
      </w:r>
      <w:bookmarkEnd w:id="56"/>
    </w:p>
    <w:p w14:paraId="31EE45C7" w14:textId="356D8FA7" w:rsidR="00416284" w:rsidRDefault="00416284" w:rsidP="00416284">
      <w:pPr>
        <w:pStyle w:val="TableTitle"/>
      </w:pPr>
      <w:r>
        <w:lastRenderedPageBreak/>
        <w:t xml:space="preserve">Table </w:t>
      </w:r>
      <w:r>
        <w:fldChar w:fldCharType="begin"/>
      </w:r>
      <w:r>
        <w:instrText>SEQ Table \* ARABIC</w:instrText>
      </w:r>
      <w:r>
        <w:fldChar w:fldCharType="separate"/>
      </w:r>
      <w:r w:rsidR="00A02570">
        <w:rPr>
          <w:noProof/>
        </w:rPr>
        <w:t>6</w:t>
      </w:r>
      <w:r>
        <w:fldChar w:fldCharType="end"/>
      </w:r>
      <w:r>
        <w:t xml:space="preserve">: </w:t>
      </w:r>
      <w:r w:rsidR="00DB22F1">
        <w:t xml:space="preserve">Study KN-522 </w:t>
      </w:r>
      <w:r w:rsidR="00465424">
        <w:t xml:space="preserve">(KEYNOTE 522) </w:t>
      </w:r>
      <w:r>
        <w:t>Summary of participant characteristics for the</w:t>
      </w:r>
      <w:r w:rsidR="009425AA">
        <w:t xml:space="preserve"> intent</w:t>
      </w:r>
      <w:r>
        <w:t xml:space="preserve"> to treat population</w:t>
      </w:r>
    </w:p>
    <w:tbl>
      <w:tblPr>
        <w:tblStyle w:val="TableTGAblue"/>
        <w:tblW w:w="8815" w:type="dxa"/>
        <w:tblLayout w:type="fixed"/>
        <w:tblLook w:val="04A0" w:firstRow="1" w:lastRow="0" w:firstColumn="1" w:lastColumn="0" w:noHBand="0" w:noVBand="1"/>
      </w:tblPr>
      <w:tblGrid>
        <w:gridCol w:w="2875"/>
        <w:gridCol w:w="900"/>
        <w:gridCol w:w="1080"/>
        <w:gridCol w:w="990"/>
        <w:gridCol w:w="990"/>
        <w:gridCol w:w="990"/>
        <w:gridCol w:w="990"/>
      </w:tblGrid>
      <w:tr w:rsidR="00DF0E81" w:rsidRPr="008E425A" w14:paraId="4590EC30" w14:textId="77777777" w:rsidTr="00870904">
        <w:trPr>
          <w:cnfStyle w:val="100000000000" w:firstRow="1" w:lastRow="0" w:firstColumn="0" w:lastColumn="0" w:oddVBand="0" w:evenVBand="0" w:oddHBand="0" w:evenHBand="0" w:firstRowFirstColumn="0" w:firstRowLastColumn="0" w:lastRowFirstColumn="0" w:lastRowLastColumn="0"/>
          <w:trHeight w:val="518"/>
        </w:trPr>
        <w:tc>
          <w:tcPr>
            <w:tcW w:w="2875" w:type="dxa"/>
            <w:vMerge w:val="restart"/>
            <w:tcBorders>
              <w:top w:val="single" w:sz="4" w:space="0" w:color="auto"/>
              <w:left w:val="single" w:sz="4" w:space="0" w:color="auto"/>
              <w:right w:val="single" w:sz="4" w:space="0" w:color="auto"/>
            </w:tcBorders>
          </w:tcPr>
          <w:p w14:paraId="2B266CFF" w14:textId="77777777" w:rsidR="00DF0E81" w:rsidRPr="00416284" w:rsidRDefault="00DF0E81" w:rsidP="00416284">
            <w:pPr>
              <w:rPr>
                <w:sz w:val="20"/>
                <w:szCs w:val="20"/>
              </w:rPr>
            </w:pPr>
            <w:bookmarkStart w:id="57" w:name="_Hlk100302858"/>
          </w:p>
        </w:tc>
        <w:tc>
          <w:tcPr>
            <w:tcW w:w="1980" w:type="dxa"/>
            <w:gridSpan w:val="2"/>
            <w:tcBorders>
              <w:top w:val="single" w:sz="4" w:space="0" w:color="auto"/>
              <w:left w:val="single" w:sz="4" w:space="0" w:color="auto"/>
              <w:bottom w:val="single" w:sz="4" w:space="0" w:color="auto"/>
              <w:right w:val="single" w:sz="4" w:space="0" w:color="auto"/>
            </w:tcBorders>
          </w:tcPr>
          <w:p w14:paraId="7C303E76" w14:textId="1EFC2330" w:rsidR="00DF0E81" w:rsidRPr="00416284" w:rsidRDefault="00DF0E81" w:rsidP="00A93A88">
            <w:pPr>
              <w:ind w:left="0"/>
              <w:rPr>
                <w:sz w:val="20"/>
                <w:szCs w:val="20"/>
              </w:rPr>
            </w:pPr>
            <w:r w:rsidRPr="00416284">
              <w:rPr>
                <w:sz w:val="20"/>
                <w:szCs w:val="20"/>
              </w:rPr>
              <w:t>Pembro</w:t>
            </w:r>
            <w:r w:rsidR="00A93A88">
              <w:rPr>
                <w:sz w:val="20"/>
                <w:szCs w:val="20"/>
              </w:rPr>
              <w:t>lizumab</w:t>
            </w:r>
            <w:r w:rsidRPr="00416284">
              <w:rPr>
                <w:sz w:val="20"/>
                <w:szCs w:val="20"/>
              </w:rPr>
              <w:t xml:space="preserve"> + chemo</w:t>
            </w:r>
            <w:r w:rsidR="00A93A88">
              <w:rPr>
                <w:sz w:val="20"/>
                <w:szCs w:val="20"/>
              </w:rPr>
              <w:t>therapy</w:t>
            </w:r>
            <w:r w:rsidRPr="00416284">
              <w:rPr>
                <w:sz w:val="20"/>
                <w:szCs w:val="20"/>
              </w:rPr>
              <w:t xml:space="preserve"> (n = 784)</w:t>
            </w:r>
          </w:p>
        </w:tc>
        <w:tc>
          <w:tcPr>
            <w:tcW w:w="1980" w:type="dxa"/>
            <w:gridSpan w:val="2"/>
            <w:tcBorders>
              <w:top w:val="single" w:sz="4" w:space="0" w:color="auto"/>
              <w:left w:val="single" w:sz="4" w:space="0" w:color="auto"/>
              <w:bottom w:val="single" w:sz="4" w:space="0" w:color="auto"/>
              <w:right w:val="single" w:sz="4" w:space="0" w:color="auto"/>
            </w:tcBorders>
          </w:tcPr>
          <w:p w14:paraId="61D92E2D" w14:textId="05E07034" w:rsidR="00DF0E81" w:rsidRPr="00416284" w:rsidRDefault="00DF0E81" w:rsidP="00A93A88">
            <w:pPr>
              <w:ind w:left="0"/>
              <w:rPr>
                <w:sz w:val="20"/>
                <w:szCs w:val="20"/>
              </w:rPr>
            </w:pPr>
            <w:r w:rsidRPr="00416284">
              <w:rPr>
                <w:sz w:val="20"/>
                <w:szCs w:val="20"/>
              </w:rPr>
              <w:t>Placebo + chemo</w:t>
            </w:r>
            <w:r w:rsidR="00A93A88">
              <w:rPr>
                <w:sz w:val="20"/>
                <w:szCs w:val="20"/>
              </w:rPr>
              <w:t>therapy</w:t>
            </w:r>
            <w:r w:rsidR="00A93A88">
              <w:rPr>
                <w:sz w:val="20"/>
                <w:szCs w:val="20"/>
              </w:rPr>
              <w:br/>
            </w:r>
            <w:r w:rsidRPr="00416284">
              <w:rPr>
                <w:sz w:val="20"/>
                <w:szCs w:val="20"/>
              </w:rPr>
              <w:t>(n = 390)</w:t>
            </w:r>
          </w:p>
        </w:tc>
        <w:tc>
          <w:tcPr>
            <w:tcW w:w="1980" w:type="dxa"/>
            <w:gridSpan w:val="2"/>
            <w:tcBorders>
              <w:top w:val="single" w:sz="4" w:space="0" w:color="auto"/>
              <w:left w:val="single" w:sz="4" w:space="0" w:color="auto"/>
              <w:bottom w:val="single" w:sz="4" w:space="0" w:color="auto"/>
              <w:right w:val="single" w:sz="4" w:space="0" w:color="auto"/>
            </w:tcBorders>
          </w:tcPr>
          <w:p w14:paraId="56B053EF" w14:textId="37A4633E" w:rsidR="00DF0E81" w:rsidRPr="00A93A88" w:rsidRDefault="00DF0E81" w:rsidP="00A93A88">
            <w:pPr>
              <w:ind w:left="0"/>
              <w:rPr>
                <w:b w:val="0"/>
                <w:sz w:val="20"/>
                <w:szCs w:val="20"/>
              </w:rPr>
            </w:pPr>
            <w:r w:rsidRPr="00416284">
              <w:rPr>
                <w:sz w:val="20"/>
                <w:szCs w:val="20"/>
              </w:rPr>
              <w:t xml:space="preserve">Total </w:t>
            </w:r>
            <w:r w:rsidR="00A93A88">
              <w:rPr>
                <w:b w:val="0"/>
                <w:sz w:val="20"/>
                <w:szCs w:val="20"/>
              </w:rPr>
              <w:br/>
            </w:r>
            <w:r w:rsidRPr="00416284">
              <w:rPr>
                <w:sz w:val="20"/>
                <w:szCs w:val="20"/>
              </w:rPr>
              <w:t>(n = 1174)</w:t>
            </w:r>
          </w:p>
        </w:tc>
      </w:tr>
      <w:tr w:rsidR="00DF0E81" w:rsidRPr="00A93A88" w14:paraId="690CF537" w14:textId="77777777" w:rsidTr="00870904">
        <w:trPr>
          <w:trHeight w:val="518"/>
        </w:trPr>
        <w:tc>
          <w:tcPr>
            <w:tcW w:w="2875" w:type="dxa"/>
            <w:vMerge/>
            <w:tcBorders>
              <w:left w:val="single" w:sz="4" w:space="0" w:color="auto"/>
              <w:bottom w:val="single" w:sz="4" w:space="0" w:color="auto"/>
              <w:right w:val="single" w:sz="4" w:space="0" w:color="auto"/>
            </w:tcBorders>
          </w:tcPr>
          <w:p w14:paraId="5AE4D041" w14:textId="77777777" w:rsidR="00DF0E81" w:rsidRPr="00416284" w:rsidRDefault="00DF0E81" w:rsidP="00DF0E81">
            <w:pPr>
              <w:rPr>
                <w:sz w:val="20"/>
                <w:szCs w:val="20"/>
              </w:rPr>
            </w:pPr>
          </w:p>
        </w:tc>
        <w:tc>
          <w:tcPr>
            <w:tcW w:w="900" w:type="dxa"/>
            <w:tcBorders>
              <w:top w:val="single" w:sz="4" w:space="0" w:color="auto"/>
              <w:left w:val="single" w:sz="4" w:space="0" w:color="auto"/>
              <w:bottom w:val="single" w:sz="4" w:space="0" w:color="auto"/>
              <w:right w:val="single" w:sz="4" w:space="0" w:color="auto"/>
            </w:tcBorders>
          </w:tcPr>
          <w:p w14:paraId="7E05308E" w14:textId="202E9510" w:rsidR="00DF0E81" w:rsidRPr="00A93A88" w:rsidRDefault="00DF0E81" w:rsidP="00A93A88">
            <w:pPr>
              <w:keepNext/>
              <w:rPr>
                <w:sz w:val="20"/>
                <w:szCs w:val="20"/>
              </w:rPr>
            </w:pPr>
            <w:r w:rsidRPr="00A93A88">
              <w:rPr>
                <w:sz w:val="20"/>
                <w:szCs w:val="20"/>
              </w:rPr>
              <w:t>n</w:t>
            </w:r>
          </w:p>
        </w:tc>
        <w:tc>
          <w:tcPr>
            <w:tcW w:w="1080" w:type="dxa"/>
            <w:tcBorders>
              <w:top w:val="single" w:sz="4" w:space="0" w:color="auto"/>
              <w:left w:val="single" w:sz="4" w:space="0" w:color="auto"/>
              <w:bottom w:val="single" w:sz="4" w:space="0" w:color="auto"/>
              <w:right w:val="single" w:sz="4" w:space="0" w:color="auto"/>
            </w:tcBorders>
          </w:tcPr>
          <w:p w14:paraId="171646A0" w14:textId="36195111" w:rsidR="00DF0E81" w:rsidRPr="00416284" w:rsidRDefault="00DF0E81" w:rsidP="00A93A88">
            <w:pPr>
              <w:keepNext/>
              <w:rPr>
                <w:sz w:val="20"/>
                <w:szCs w:val="20"/>
              </w:rPr>
            </w:pPr>
            <w:r w:rsidRPr="00A93A88">
              <w:rPr>
                <w:sz w:val="20"/>
                <w:szCs w:val="20"/>
              </w:rPr>
              <w:t>%</w:t>
            </w:r>
          </w:p>
        </w:tc>
        <w:tc>
          <w:tcPr>
            <w:tcW w:w="990" w:type="dxa"/>
            <w:tcBorders>
              <w:top w:val="single" w:sz="4" w:space="0" w:color="auto"/>
              <w:left w:val="single" w:sz="4" w:space="0" w:color="auto"/>
              <w:bottom w:val="single" w:sz="4" w:space="0" w:color="auto"/>
              <w:right w:val="single" w:sz="4" w:space="0" w:color="auto"/>
            </w:tcBorders>
          </w:tcPr>
          <w:p w14:paraId="6E44E9B9" w14:textId="0447D33E" w:rsidR="00DF0E81" w:rsidRPr="00A93A88" w:rsidRDefault="00DF0E81" w:rsidP="00A93A88">
            <w:pPr>
              <w:keepNext/>
              <w:rPr>
                <w:sz w:val="20"/>
                <w:szCs w:val="20"/>
              </w:rPr>
            </w:pPr>
            <w:r w:rsidRPr="00A93A88">
              <w:rPr>
                <w:sz w:val="20"/>
                <w:szCs w:val="20"/>
              </w:rPr>
              <w:t>n</w:t>
            </w:r>
          </w:p>
        </w:tc>
        <w:tc>
          <w:tcPr>
            <w:tcW w:w="990" w:type="dxa"/>
            <w:tcBorders>
              <w:top w:val="single" w:sz="4" w:space="0" w:color="auto"/>
              <w:left w:val="single" w:sz="4" w:space="0" w:color="auto"/>
              <w:bottom w:val="single" w:sz="4" w:space="0" w:color="auto"/>
              <w:right w:val="single" w:sz="4" w:space="0" w:color="auto"/>
            </w:tcBorders>
          </w:tcPr>
          <w:p w14:paraId="4CA02903" w14:textId="527FB1BC" w:rsidR="00DF0E81" w:rsidRPr="00416284" w:rsidRDefault="00DF0E81" w:rsidP="00A93A88">
            <w:pPr>
              <w:keepNext/>
              <w:rPr>
                <w:sz w:val="20"/>
                <w:szCs w:val="20"/>
              </w:rPr>
            </w:pPr>
            <w:r w:rsidRPr="00A93A88">
              <w:rPr>
                <w:sz w:val="20"/>
                <w:szCs w:val="20"/>
              </w:rPr>
              <w:t>%</w:t>
            </w:r>
          </w:p>
        </w:tc>
        <w:tc>
          <w:tcPr>
            <w:tcW w:w="990" w:type="dxa"/>
            <w:tcBorders>
              <w:top w:val="single" w:sz="4" w:space="0" w:color="auto"/>
              <w:left w:val="single" w:sz="4" w:space="0" w:color="auto"/>
              <w:bottom w:val="single" w:sz="4" w:space="0" w:color="auto"/>
              <w:right w:val="single" w:sz="4" w:space="0" w:color="auto"/>
            </w:tcBorders>
          </w:tcPr>
          <w:p w14:paraId="5FF6234F" w14:textId="07D26CB1" w:rsidR="00DF0E81" w:rsidRPr="00A93A88" w:rsidRDefault="00DF0E81" w:rsidP="00A93A88">
            <w:pPr>
              <w:keepNext/>
              <w:rPr>
                <w:sz w:val="20"/>
                <w:szCs w:val="20"/>
              </w:rPr>
            </w:pPr>
            <w:r w:rsidRPr="00A93A88">
              <w:rPr>
                <w:sz w:val="20"/>
                <w:szCs w:val="20"/>
              </w:rPr>
              <w:t>n</w:t>
            </w:r>
          </w:p>
        </w:tc>
        <w:tc>
          <w:tcPr>
            <w:tcW w:w="990" w:type="dxa"/>
            <w:tcBorders>
              <w:top w:val="single" w:sz="4" w:space="0" w:color="auto"/>
              <w:left w:val="single" w:sz="4" w:space="0" w:color="auto"/>
              <w:bottom w:val="single" w:sz="4" w:space="0" w:color="auto"/>
              <w:right w:val="single" w:sz="4" w:space="0" w:color="auto"/>
            </w:tcBorders>
          </w:tcPr>
          <w:p w14:paraId="37523D78" w14:textId="2EA06B4A" w:rsidR="00DF0E81" w:rsidRPr="00416284" w:rsidRDefault="00DF0E81" w:rsidP="00A93A88">
            <w:pPr>
              <w:keepNext/>
              <w:rPr>
                <w:sz w:val="20"/>
                <w:szCs w:val="20"/>
              </w:rPr>
            </w:pPr>
            <w:r w:rsidRPr="00A93A88">
              <w:rPr>
                <w:sz w:val="20"/>
                <w:szCs w:val="20"/>
              </w:rPr>
              <w:t>%</w:t>
            </w:r>
          </w:p>
        </w:tc>
      </w:tr>
      <w:tr w:rsidR="00416284" w:rsidRPr="008E425A" w14:paraId="2FEE6FF0" w14:textId="77777777" w:rsidTr="00870904">
        <w:tc>
          <w:tcPr>
            <w:tcW w:w="2875" w:type="dxa"/>
          </w:tcPr>
          <w:p w14:paraId="541064FA" w14:textId="77777777" w:rsidR="00416284" w:rsidRPr="000615D2" w:rsidRDefault="00416284" w:rsidP="00416284">
            <w:pPr>
              <w:ind w:left="0"/>
              <w:rPr>
                <w:bCs/>
                <w:sz w:val="19"/>
                <w:szCs w:val="19"/>
              </w:rPr>
            </w:pPr>
            <w:r w:rsidRPr="000615D2">
              <w:rPr>
                <w:bCs/>
                <w:sz w:val="19"/>
                <w:szCs w:val="19"/>
              </w:rPr>
              <w:t>Male</w:t>
            </w:r>
          </w:p>
          <w:p w14:paraId="13FEBBBE" w14:textId="77777777" w:rsidR="00416284" w:rsidRPr="000615D2" w:rsidRDefault="00416284" w:rsidP="00416284">
            <w:pPr>
              <w:ind w:left="0"/>
              <w:rPr>
                <w:bCs/>
                <w:sz w:val="19"/>
                <w:szCs w:val="19"/>
              </w:rPr>
            </w:pPr>
            <w:r w:rsidRPr="000615D2">
              <w:rPr>
                <w:bCs/>
                <w:sz w:val="19"/>
                <w:szCs w:val="19"/>
              </w:rPr>
              <w:t>Female</w:t>
            </w:r>
          </w:p>
        </w:tc>
        <w:tc>
          <w:tcPr>
            <w:tcW w:w="900" w:type="dxa"/>
          </w:tcPr>
          <w:p w14:paraId="2E75113C" w14:textId="77777777" w:rsidR="00416284" w:rsidRPr="000615D2" w:rsidRDefault="00416284" w:rsidP="00416284">
            <w:pPr>
              <w:rPr>
                <w:bCs/>
                <w:sz w:val="19"/>
                <w:szCs w:val="19"/>
              </w:rPr>
            </w:pPr>
            <w:r w:rsidRPr="000615D2">
              <w:rPr>
                <w:bCs/>
                <w:sz w:val="19"/>
                <w:szCs w:val="19"/>
              </w:rPr>
              <w:t>1</w:t>
            </w:r>
          </w:p>
          <w:p w14:paraId="5C2300E3" w14:textId="77777777" w:rsidR="00416284" w:rsidRPr="000615D2" w:rsidRDefault="00416284" w:rsidP="00416284">
            <w:pPr>
              <w:rPr>
                <w:bCs/>
                <w:sz w:val="19"/>
                <w:szCs w:val="19"/>
              </w:rPr>
            </w:pPr>
            <w:r w:rsidRPr="000615D2">
              <w:rPr>
                <w:bCs/>
                <w:sz w:val="19"/>
                <w:szCs w:val="19"/>
              </w:rPr>
              <w:t>783</w:t>
            </w:r>
          </w:p>
        </w:tc>
        <w:tc>
          <w:tcPr>
            <w:tcW w:w="1080" w:type="dxa"/>
          </w:tcPr>
          <w:p w14:paraId="45E5F95A" w14:textId="77777777" w:rsidR="00416284" w:rsidRPr="000615D2" w:rsidRDefault="00416284" w:rsidP="00416284">
            <w:pPr>
              <w:rPr>
                <w:bCs/>
                <w:sz w:val="19"/>
                <w:szCs w:val="19"/>
              </w:rPr>
            </w:pPr>
            <w:r w:rsidRPr="000615D2">
              <w:rPr>
                <w:bCs/>
                <w:sz w:val="19"/>
                <w:szCs w:val="19"/>
              </w:rPr>
              <w:t>0.1</w:t>
            </w:r>
          </w:p>
          <w:p w14:paraId="229BD953" w14:textId="77777777" w:rsidR="00416284" w:rsidRPr="000615D2" w:rsidRDefault="00416284" w:rsidP="00416284">
            <w:pPr>
              <w:rPr>
                <w:bCs/>
                <w:sz w:val="19"/>
                <w:szCs w:val="19"/>
              </w:rPr>
            </w:pPr>
            <w:r w:rsidRPr="000615D2">
              <w:rPr>
                <w:bCs/>
                <w:sz w:val="19"/>
                <w:szCs w:val="19"/>
              </w:rPr>
              <w:t>99.9</w:t>
            </w:r>
          </w:p>
        </w:tc>
        <w:tc>
          <w:tcPr>
            <w:tcW w:w="990" w:type="dxa"/>
          </w:tcPr>
          <w:p w14:paraId="4FED00A5" w14:textId="77777777" w:rsidR="00416284" w:rsidRPr="000615D2" w:rsidRDefault="00416284" w:rsidP="00416284">
            <w:pPr>
              <w:rPr>
                <w:bCs/>
                <w:sz w:val="19"/>
                <w:szCs w:val="19"/>
              </w:rPr>
            </w:pPr>
            <w:r w:rsidRPr="000615D2">
              <w:rPr>
                <w:bCs/>
                <w:sz w:val="19"/>
                <w:szCs w:val="19"/>
              </w:rPr>
              <w:t>0</w:t>
            </w:r>
          </w:p>
          <w:p w14:paraId="523E9C52" w14:textId="77777777" w:rsidR="00416284" w:rsidRPr="000615D2" w:rsidRDefault="00416284" w:rsidP="00416284">
            <w:pPr>
              <w:rPr>
                <w:bCs/>
                <w:sz w:val="19"/>
                <w:szCs w:val="19"/>
              </w:rPr>
            </w:pPr>
            <w:r w:rsidRPr="000615D2">
              <w:rPr>
                <w:bCs/>
                <w:sz w:val="19"/>
                <w:szCs w:val="19"/>
              </w:rPr>
              <w:t>390</w:t>
            </w:r>
          </w:p>
        </w:tc>
        <w:tc>
          <w:tcPr>
            <w:tcW w:w="990" w:type="dxa"/>
          </w:tcPr>
          <w:p w14:paraId="46FFE296" w14:textId="77777777" w:rsidR="00416284" w:rsidRPr="000615D2" w:rsidRDefault="00416284" w:rsidP="00416284">
            <w:pPr>
              <w:rPr>
                <w:bCs/>
                <w:sz w:val="19"/>
                <w:szCs w:val="19"/>
              </w:rPr>
            </w:pPr>
            <w:r w:rsidRPr="000615D2">
              <w:rPr>
                <w:bCs/>
                <w:sz w:val="19"/>
                <w:szCs w:val="19"/>
              </w:rPr>
              <w:t>0</w:t>
            </w:r>
          </w:p>
          <w:p w14:paraId="61A46470" w14:textId="77777777" w:rsidR="00416284" w:rsidRPr="000615D2" w:rsidRDefault="00416284" w:rsidP="00416284">
            <w:pPr>
              <w:rPr>
                <w:bCs/>
                <w:sz w:val="19"/>
                <w:szCs w:val="19"/>
              </w:rPr>
            </w:pPr>
            <w:r w:rsidRPr="000615D2">
              <w:rPr>
                <w:bCs/>
                <w:sz w:val="19"/>
                <w:szCs w:val="19"/>
              </w:rPr>
              <w:t>100</w:t>
            </w:r>
          </w:p>
        </w:tc>
        <w:tc>
          <w:tcPr>
            <w:tcW w:w="990" w:type="dxa"/>
          </w:tcPr>
          <w:p w14:paraId="7AAE159E" w14:textId="77777777" w:rsidR="00416284" w:rsidRPr="000615D2" w:rsidRDefault="00416284" w:rsidP="00416284">
            <w:pPr>
              <w:rPr>
                <w:bCs/>
                <w:sz w:val="19"/>
                <w:szCs w:val="19"/>
              </w:rPr>
            </w:pPr>
            <w:r w:rsidRPr="000615D2">
              <w:rPr>
                <w:bCs/>
                <w:sz w:val="19"/>
                <w:szCs w:val="19"/>
              </w:rPr>
              <w:t>1</w:t>
            </w:r>
          </w:p>
          <w:p w14:paraId="0380550C" w14:textId="77777777" w:rsidR="00416284" w:rsidRPr="000615D2" w:rsidRDefault="00416284" w:rsidP="00416284">
            <w:pPr>
              <w:rPr>
                <w:bCs/>
                <w:sz w:val="19"/>
                <w:szCs w:val="19"/>
              </w:rPr>
            </w:pPr>
            <w:r w:rsidRPr="000615D2">
              <w:rPr>
                <w:bCs/>
                <w:sz w:val="19"/>
                <w:szCs w:val="19"/>
              </w:rPr>
              <w:t>1173</w:t>
            </w:r>
          </w:p>
        </w:tc>
        <w:tc>
          <w:tcPr>
            <w:tcW w:w="990" w:type="dxa"/>
          </w:tcPr>
          <w:p w14:paraId="6D4B7091" w14:textId="77777777" w:rsidR="00416284" w:rsidRPr="000615D2" w:rsidRDefault="00416284" w:rsidP="00416284">
            <w:pPr>
              <w:rPr>
                <w:bCs/>
                <w:sz w:val="19"/>
                <w:szCs w:val="19"/>
              </w:rPr>
            </w:pPr>
            <w:r w:rsidRPr="000615D2">
              <w:rPr>
                <w:bCs/>
                <w:sz w:val="19"/>
                <w:szCs w:val="19"/>
              </w:rPr>
              <w:t>0.1</w:t>
            </w:r>
          </w:p>
          <w:p w14:paraId="022A6842" w14:textId="77777777" w:rsidR="00416284" w:rsidRPr="000615D2" w:rsidRDefault="00416284" w:rsidP="00416284">
            <w:pPr>
              <w:rPr>
                <w:bCs/>
                <w:sz w:val="19"/>
                <w:szCs w:val="19"/>
              </w:rPr>
            </w:pPr>
            <w:r w:rsidRPr="000615D2">
              <w:rPr>
                <w:bCs/>
                <w:sz w:val="19"/>
                <w:szCs w:val="19"/>
              </w:rPr>
              <w:t>99.9</w:t>
            </w:r>
          </w:p>
        </w:tc>
      </w:tr>
      <w:tr w:rsidR="00416284" w:rsidRPr="008E425A" w14:paraId="4C613136" w14:textId="77777777" w:rsidTr="00870904">
        <w:tc>
          <w:tcPr>
            <w:tcW w:w="2875" w:type="dxa"/>
          </w:tcPr>
          <w:p w14:paraId="69491A5C" w14:textId="3F99B637" w:rsidR="00416284" w:rsidRPr="000615D2" w:rsidRDefault="00416284" w:rsidP="00416284">
            <w:pPr>
              <w:ind w:left="0"/>
              <w:rPr>
                <w:bCs/>
                <w:sz w:val="19"/>
                <w:szCs w:val="19"/>
              </w:rPr>
            </w:pPr>
            <w:r w:rsidRPr="000615D2">
              <w:rPr>
                <w:bCs/>
                <w:sz w:val="19"/>
                <w:szCs w:val="19"/>
              </w:rPr>
              <w:t>Median age (range) in y</w:t>
            </w:r>
            <w:r w:rsidR="000615D2">
              <w:rPr>
                <w:bCs/>
                <w:sz w:val="19"/>
                <w:szCs w:val="19"/>
              </w:rPr>
              <w:t>ears</w:t>
            </w:r>
          </w:p>
        </w:tc>
        <w:tc>
          <w:tcPr>
            <w:tcW w:w="1980" w:type="dxa"/>
            <w:gridSpan w:val="2"/>
          </w:tcPr>
          <w:p w14:paraId="348539E7" w14:textId="77777777" w:rsidR="00416284" w:rsidRPr="000615D2" w:rsidRDefault="00416284" w:rsidP="00416284">
            <w:pPr>
              <w:rPr>
                <w:bCs/>
                <w:sz w:val="19"/>
                <w:szCs w:val="19"/>
              </w:rPr>
            </w:pPr>
            <w:r w:rsidRPr="000615D2">
              <w:rPr>
                <w:bCs/>
                <w:sz w:val="19"/>
                <w:szCs w:val="19"/>
              </w:rPr>
              <w:t>49.0 (22, 80)</w:t>
            </w:r>
          </w:p>
        </w:tc>
        <w:tc>
          <w:tcPr>
            <w:tcW w:w="1980" w:type="dxa"/>
            <w:gridSpan w:val="2"/>
          </w:tcPr>
          <w:p w14:paraId="760B1DC5" w14:textId="77777777" w:rsidR="00416284" w:rsidRPr="000615D2" w:rsidRDefault="00416284" w:rsidP="00416284">
            <w:pPr>
              <w:rPr>
                <w:bCs/>
                <w:sz w:val="19"/>
                <w:szCs w:val="19"/>
              </w:rPr>
            </w:pPr>
            <w:r w:rsidRPr="000615D2">
              <w:rPr>
                <w:bCs/>
                <w:sz w:val="19"/>
                <w:szCs w:val="19"/>
              </w:rPr>
              <w:t>48.0 (24, 79)</w:t>
            </w:r>
          </w:p>
        </w:tc>
        <w:tc>
          <w:tcPr>
            <w:tcW w:w="1980" w:type="dxa"/>
            <w:gridSpan w:val="2"/>
          </w:tcPr>
          <w:p w14:paraId="2381FA04" w14:textId="77777777" w:rsidR="00416284" w:rsidRPr="000615D2" w:rsidRDefault="00416284" w:rsidP="00416284">
            <w:pPr>
              <w:rPr>
                <w:bCs/>
                <w:sz w:val="19"/>
                <w:szCs w:val="19"/>
              </w:rPr>
            </w:pPr>
            <w:r w:rsidRPr="000615D2">
              <w:rPr>
                <w:bCs/>
                <w:sz w:val="19"/>
                <w:szCs w:val="19"/>
              </w:rPr>
              <w:t>49.0 (22, 80)</w:t>
            </w:r>
          </w:p>
        </w:tc>
      </w:tr>
      <w:tr w:rsidR="00416284" w:rsidRPr="008E425A" w14:paraId="528B3259" w14:textId="77777777" w:rsidTr="00870904">
        <w:tc>
          <w:tcPr>
            <w:tcW w:w="2875" w:type="dxa"/>
          </w:tcPr>
          <w:p w14:paraId="47A9C294" w14:textId="11540F98" w:rsidR="00416284" w:rsidRPr="000615D2" w:rsidRDefault="00416284" w:rsidP="00416284">
            <w:pPr>
              <w:ind w:left="0"/>
              <w:rPr>
                <w:bCs/>
                <w:sz w:val="19"/>
                <w:szCs w:val="19"/>
              </w:rPr>
            </w:pPr>
            <w:r w:rsidRPr="000615D2">
              <w:rPr>
                <w:bCs/>
                <w:sz w:val="19"/>
                <w:szCs w:val="19"/>
              </w:rPr>
              <w:t>&lt; 65 y</w:t>
            </w:r>
            <w:r w:rsidR="000615D2">
              <w:rPr>
                <w:bCs/>
                <w:sz w:val="19"/>
                <w:szCs w:val="19"/>
              </w:rPr>
              <w:t>ears</w:t>
            </w:r>
          </w:p>
          <w:p w14:paraId="569A7910" w14:textId="6FB88882" w:rsidR="00416284" w:rsidRPr="000615D2" w:rsidRDefault="00416284" w:rsidP="00416284">
            <w:pPr>
              <w:ind w:left="0"/>
              <w:rPr>
                <w:bCs/>
                <w:sz w:val="19"/>
                <w:szCs w:val="19"/>
              </w:rPr>
            </w:pPr>
            <w:r w:rsidRPr="000615D2">
              <w:rPr>
                <w:bCs/>
                <w:sz w:val="19"/>
                <w:szCs w:val="19"/>
              </w:rPr>
              <w:t>≥ 65 y</w:t>
            </w:r>
            <w:r w:rsidR="000615D2">
              <w:rPr>
                <w:bCs/>
                <w:sz w:val="19"/>
                <w:szCs w:val="19"/>
              </w:rPr>
              <w:t>ears</w:t>
            </w:r>
          </w:p>
        </w:tc>
        <w:tc>
          <w:tcPr>
            <w:tcW w:w="900" w:type="dxa"/>
          </w:tcPr>
          <w:p w14:paraId="7F2337B8" w14:textId="77777777" w:rsidR="00416284" w:rsidRPr="000615D2" w:rsidRDefault="00416284" w:rsidP="00416284">
            <w:pPr>
              <w:rPr>
                <w:bCs/>
                <w:sz w:val="19"/>
                <w:szCs w:val="19"/>
              </w:rPr>
            </w:pPr>
            <w:r w:rsidRPr="000615D2">
              <w:rPr>
                <w:bCs/>
                <w:sz w:val="19"/>
                <w:szCs w:val="19"/>
              </w:rPr>
              <w:t>700</w:t>
            </w:r>
          </w:p>
          <w:p w14:paraId="051D970B" w14:textId="77777777" w:rsidR="00416284" w:rsidRPr="000615D2" w:rsidRDefault="00416284" w:rsidP="00416284">
            <w:pPr>
              <w:rPr>
                <w:bCs/>
                <w:sz w:val="19"/>
                <w:szCs w:val="19"/>
              </w:rPr>
            </w:pPr>
            <w:r w:rsidRPr="000615D2">
              <w:rPr>
                <w:bCs/>
                <w:sz w:val="19"/>
                <w:szCs w:val="19"/>
              </w:rPr>
              <w:t>84</w:t>
            </w:r>
          </w:p>
        </w:tc>
        <w:tc>
          <w:tcPr>
            <w:tcW w:w="1080" w:type="dxa"/>
          </w:tcPr>
          <w:p w14:paraId="5B382496" w14:textId="77777777" w:rsidR="00416284" w:rsidRPr="000615D2" w:rsidRDefault="00416284" w:rsidP="00416284">
            <w:pPr>
              <w:rPr>
                <w:bCs/>
                <w:sz w:val="19"/>
                <w:szCs w:val="19"/>
              </w:rPr>
            </w:pPr>
            <w:r w:rsidRPr="000615D2">
              <w:rPr>
                <w:bCs/>
                <w:sz w:val="19"/>
                <w:szCs w:val="19"/>
              </w:rPr>
              <w:t>89.3</w:t>
            </w:r>
          </w:p>
          <w:p w14:paraId="13E0730D" w14:textId="77777777" w:rsidR="00416284" w:rsidRPr="000615D2" w:rsidRDefault="00416284" w:rsidP="00416284">
            <w:pPr>
              <w:rPr>
                <w:bCs/>
                <w:sz w:val="19"/>
                <w:szCs w:val="19"/>
              </w:rPr>
            </w:pPr>
            <w:r w:rsidRPr="000615D2">
              <w:rPr>
                <w:bCs/>
                <w:sz w:val="19"/>
                <w:szCs w:val="19"/>
              </w:rPr>
              <w:t>10.7</w:t>
            </w:r>
          </w:p>
        </w:tc>
        <w:tc>
          <w:tcPr>
            <w:tcW w:w="990" w:type="dxa"/>
          </w:tcPr>
          <w:p w14:paraId="24AA640F" w14:textId="77777777" w:rsidR="00416284" w:rsidRPr="000615D2" w:rsidRDefault="00416284" w:rsidP="00416284">
            <w:pPr>
              <w:rPr>
                <w:bCs/>
                <w:sz w:val="19"/>
                <w:szCs w:val="19"/>
              </w:rPr>
            </w:pPr>
            <w:r w:rsidRPr="000615D2">
              <w:rPr>
                <w:bCs/>
                <w:sz w:val="19"/>
                <w:szCs w:val="19"/>
              </w:rPr>
              <w:t>342</w:t>
            </w:r>
          </w:p>
          <w:p w14:paraId="37CD5EFA" w14:textId="77777777" w:rsidR="00416284" w:rsidRPr="000615D2" w:rsidRDefault="00416284" w:rsidP="00416284">
            <w:pPr>
              <w:rPr>
                <w:bCs/>
                <w:sz w:val="19"/>
                <w:szCs w:val="19"/>
              </w:rPr>
            </w:pPr>
            <w:r w:rsidRPr="000615D2">
              <w:rPr>
                <w:bCs/>
                <w:sz w:val="19"/>
                <w:szCs w:val="19"/>
              </w:rPr>
              <w:t>48</w:t>
            </w:r>
          </w:p>
        </w:tc>
        <w:tc>
          <w:tcPr>
            <w:tcW w:w="990" w:type="dxa"/>
          </w:tcPr>
          <w:p w14:paraId="5CC17A41" w14:textId="77777777" w:rsidR="00416284" w:rsidRPr="000615D2" w:rsidRDefault="00416284" w:rsidP="00416284">
            <w:pPr>
              <w:rPr>
                <w:bCs/>
                <w:sz w:val="19"/>
                <w:szCs w:val="19"/>
              </w:rPr>
            </w:pPr>
            <w:r w:rsidRPr="000615D2">
              <w:rPr>
                <w:bCs/>
                <w:sz w:val="19"/>
                <w:szCs w:val="19"/>
              </w:rPr>
              <w:t>87.7</w:t>
            </w:r>
          </w:p>
          <w:p w14:paraId="057BFCDD" w14:textId="77777777" w:rsidR="00416284" w:rsidRPr="000615D2" w:rsidRDefault="00416284" w:rsidP="00416284">
            <w:pPr>
              <w:rPr>
                <w:bCs/>
                <w:sz w:val="19"/>
                <w:szCs w:val="19"/>
              </w:rPr>
            </w:pPr>
            <w:r w:rsidRPr="000615D2">
              <w:rPr>
                <w:bCs/>
                <w:sz w:val="19"/>
                <w:szCs w:val="19"/>
              </w:rPr>
              <w:t>12.3</w:t>
            </w:r>
          </w:p>
        </w:tc>
        <w:tc>
          <w:tcPr>
            <w:tcW w:w="990" w:type="dxa"/>
          </w:tcPr>
          <w:p w14:paraId="00A05752" w14:textId="77777777" w:rsidR="00416284" w:rsidRPr="000615D2" w:rsidRDefault="00416284" w:rsidP="00416284">
            <w:pPr>
              <w:rPr>
                <w:bCs/>
                <w:sz w:val="19"/>
                <w:szCs w:val="19"/>
              </w:rPr>
            </w:pPr>
            <w:r w:rsidRPr="000615D2">
              <w:rPr>
                <w:bCs/>
                <w:sz w:val="19"/>
                <w:szCs w:val="19"/>
              </w:rPr>
              <w:t>1042</w:t>
            </w:r>
          </w:p>
          <w:p w14:paraId="22429EA3" w14:textId="77777777" w:rsidR="00416284" w:rsidRPr="000615D2" w:rsidRDefault="00416284" w:rsidP="00416284">
            <w:pPr>
              <w:rPr>
                <w:bCs/>
                <w:sz w:val="19"/>
                <w:szCs w:val="19"/>
              </w:rPr>
            </w:pPr>
            <w:r w:rsidRPr="000615D2">
              <w:rPr>
                <w:bCs/>
                <w:sz w:val="19"/>
                <w:szCs w:val="19"/>
              </w:rPr>
              <w:t>132</w:t>
            </w:r>
          </w:p>
        </w:tc>
        <w:tc>
          <w:tcPr>
            <w:tcW w:w="990" w:type="dxa"/>
          </w:tcPr>
          <w:p w14:paraId="70CC8F61" w14:textId="77777777" w:rsidR="00416284" w:rsidRPr="000615D2" w:rsidRDefault="00416284" w:rsidP="00416284">
            <w:pPr>
              <w:rPr>
                <w:bCs/>
                <w:sz w:val="19"/>
                <w:szCs w:val="19"/>
              </w:rPr>
            </w:pPr>
            <w:r w:rsidRPr="000615D2">
              <w:rPr>
                <w:bCs/>
                <w:sz w:val="19"/>
                <w:szCs w:val="19"/>
              </w:rPr>
              <w:t>88.8</w:t>
            </w:r>
          </w:p>
          <w:p w14:paraId="72A58278" w14:textId="77777777" w:rsidR="00416284" w:rsidRPr="000615D2" w:rsidRDefault="00416284" w:rsidP="00416284">
            <w:pPr>
              <w:rPr>
                <w:bCs/>
                <w:sz w:val="19"/>
                <w:szCs w:val="19"/>
              </w:rPr>
            </w:pPr>
            <w:r w:rsidRPr="000615D2">
              <w:rPr>
                <w:bCs/>
                <w:sz w:val="19"/>
                <w:szCs w:val="19"/>
              </w:rPr>
              <w:t>11.2</w:t>
            </w:r>
          </w:p>
        </w:tc>
      </w:tr>
      <w:tr w:rsidR="00416284" w:rsidRPr="008E425A" w14:paraId="3EA1FDB4" w14:textId="77777777" w:rsidTr="00870904">
        <w:tc>
          <w:tcPr>
            <w:tcW w:w="2875" w:type="dxa"/>
          </w:tcPr>
          <w:p w14:paraId="41176ACE" w14:textId="77777777" w:rsidR="00416284" w:rsidRPr="000615D2" w:rsidRDefault="00416284" w:rsidP="00416284">
            <w:pPr>
              <w:ind w:left="0"/>
              <w:rPr>
                <w:bCs/>
                <w:sz w:val="19"/>
                <w:szCs w:val="19"/>
              </w:rPr>
            </w:pPr>
            <w:r w:rsidRPr="000615D2">
              <w:rPr>
                <w:bCs/>
                <w:sz w:val="19"/>
                <w:szCs w:val="19"/>
              </w:rPr>
              <w:t>American Indian/Alaska native</w:t>
            </w:r>
          </w:p>
          <w:p w14:paraId="3A693EF2" w14:textId="77777777" w:rsidR="00416284" w:rsidRPr="000615D2" w:rsidRDefault="00416284" w:rsidP="00416284">
            <w:pPr>
              <w:ind w:left="0"/>
              <w:rPr>
                <w:bCs/>
                <w:sz w:val="19"/>
                <w:szCs w:val="19"/>
              </w:rPr>
            </w:pPr>
            <w:r w:rsidRPr="000615D2">
              <w:rPr>
                <w:bCs/>
                <w:sz w:val="19"/>
                <w:szCs w:val="19"/>
              </w:rPr>
              <w:t>Asian</w:t>
            </w:r>
          </w:p>
          <w:p w14:paraId="72A0A925" w14:textId="77777777" w:rsidR="00416284" w:rsidRPr="000615D2" w:rsidRDefault="00416284" w:rsidP="00416284">
            <w:pPr>
              <w:ind w:left="0"/>
              <w:rPr>
                <w:bCs/>
                <w:sz w:val="19"/>
                <w:szCs w:val="19"/>
              </w:rPr>
            </w:pPr>
            <w:r w:rsidRPr="000615D2">
              <w:rPr>
                <w:bCs/>
                <w:sz w:val="19"/>
                <w:szCs w:val="19"/>
              </w:rPr>
              <w:t>Black/African American</w:t>
            </w:r>
          </w:p>
          <w:p w14:paraId="1885EB7A" w14:textId="77777777" w:rsidR="00416284" w:rsidRPr="000615D2" w:rsidRDefault="00416284" w:rsidP="00416284">
            <w:pPr>
              <w:ind w:left="0"/>
              <w:rPr>
                <w:bCs/>
                <w:sz w:val="19"/>
                <w:szCs w:val="19"/>
              </w:rPr>
            </w:pPr>
            <w:r w:rsidRPr="000615D2">
              <w:rPr>
                <w:bCs/>
                <w:sz w:val="19"/>
                <w:szCs w:val="19"/>
              </w:rPr>
              <w:t>Multiple race</w:t>
            </w:r>
          </w:p>
          <w:p w14:paraId="64A764AF" w14:textId="38F121CE" w:rsidR="00416284" w:rsidRPr="000615D2" w:rsidRDefault="00416284" w:rsidP="00416284">
            <w:pPr>
              <w:ind w:left="0"/>
              <w:rPr>
                <w:bCs/>
                <w:sz w:val="19"/>
                <w:szCs w:val="19"/>
              </w:rPr>
            </w:pPr>
            <w:r w:rsidRPr="000615D2">
              <w:rPr>
                <w:bCs/>
                <w:sz w:val="19"/>
                <w:szCs w:val="19"/>
              </w:rPr>
              <w:t>Native Hawaiian/Pacific Is.</w:t>
            </w:r>
          </w:p>
          <w:p w14:paraId="04CE84B7" w14:textId="77777777" w:rsidR="00416284" w:rsidRPr="000615D2" w:rsidRDefault="00416284" w:rsidP="00416284">
            <w:pPr>
              <w:ind w:left="0"/>
              <w:rPr>
                <w:bCs/>
                <w:sz w:val="19"/>
                <w:szCs w:val="19"/>
              </w:rPr>
            </w:pPr>
            <w:r w:rsidRPr="000615D2">
              <w:rPr>
                <w:bCs/>
                <w:sz w:val="19"/>
                <w:szCs w:val="19"/>
              </w:rPr>
              <w:t>White</w:t>
            </w:r>
          </w:p>
          <w:p w14:paraId="01C60C9E" w14:textId="77777777" w:rsidR="00416284" w:rsidRPr="000615D2" w:rsidRDefault="00416284" w:rsidP="00416284">
            <w:pPr>
              <w:ind w:left="0"/>
              <w:rPr>
                <w:bCs/>
                <w:sz w:val="19"/>
                <w:szCs w:val="19"/>
              </w:rPr>
            </w:pPr>
            <w:r w:rsidRPr="000615D2">
              <w:rPr>
                <w:bCs/>
                <w:sz w:val="19"/>
                <w:szCs w:val="19"/>
              </w:rPr>
              <w:t>Missing</w:t>
            </w:r>
          </w:p>
        </w:tc>
        <w:tc>
          <w:tcPr>
            <w:tcW w:w="900" w:type="dxa"/>
          </w:tcPr>
          <w:p w14:paraId="25DEBC5A" w14:textId="77777777" w:rsidR="00416284" w:rsidRPr="000615D2" w:rsidRDefault="00416284" w:rsidP="00416284">
            <w:pPr>
              <w:rPr>
                <w:bCs/>
                <w:sz w:val="19"/>
                <w:szCs w:val="19"/>
              </w:rPr>
            </w:pPr>
            <w:r w:rsidRPr="000615D2">
              <w:rPr>
                <w:bCs/>
                <w:sz w:val="19"/>
                <w:szCs w:val="19"/>
              </w:rPr>
              <w:t>14</w:t>
            </w:r>
          </w:p>
          <w:p w14:paraId="6CEC8FF4" w14:textId="77777777" w:rsidR="00416284" w:rsidRPr="000615D2" w:rsidRDefault="00416284" w:rsidP="00416284">
            <w:pPr>
              <w:rPr>
                <w:bCs/>
                <w:sz w:val="19"/>
                <w:szCs w:val="19"/>
              </w:rPr>
            </w:pPr>
            <w:r w:rsidRPr="000615D2">
              <w:rPr>
                <w:bCs/>
                <w:sz w:val="19"/>
                <w:szCs w:val="19"/>
              </w:rPr>
              <w:t>149</w:t>
            </w:r>
          </w:p>
          <w:p w14:paraId="4A5B6A84" w14:textId="77777777" w:rsidR="00416284" w:rsidRPr="000615D2" w:rsidRDefault="00416284" w:rsidP="00416284">
            <w:pPr>
              <w:rPr>
                <w:bCs/>
                <w:sz w:val="19"/>
                <w:szCs w:val="19"/>
              </w:rPr>
            </w:pPr>
            <w:r w:rsidRPr="000615D2">
              <w:rPr>
                <w:bCs/>
                <w:sz w:val="19"/>
                <w:szCs w:val="19"/>
              </w:rPr>
              <w:t>38</w:t>
            </w:r>
          </w:p>
          <w:p w14:paraId="301232EE" w14:textId="77777777" w:rsidR="00416284" w:rsidRPr="000615D2" w:rsidRDefault="00416284" w:rsidP="00416284">
            <w:pPr>
              <w:rPr>
                <w:bCs/>
                <w:sz w:val="19"/>
                <w:szCs w:val="19"/>
              </w:rPr>
            </w:pPr>
            <w:r w:rsidRPr="000615D2">
              <w:rPr>
                <w:bCs/>
                <w:sz w:val="19"/>
                <w:szCs w:val="19"/>
              </w:rPr>
              <w:t>13</w:t>
            </w:r>
          </w:p>
          <w:p w14:paraId="45389A4B" w14:textId="77777777" w:rsidR="00416284" w:rsidRPr="000615D2" w:rsidRDefault="00416284" w:rsidP="00416284">
            <w:pPr>
              <w:rPr>
                <w:bCs/>
                <w:sz w:val="19"/>
                <w:szCs w:val="19"/>
              </w:rPr>
            </w:pPr>
            <w:r w:rsidRPr="000615D2">
              <w:rPr>
                <w:bCs/>
                <w:sz w:val="19"/>
                <w:szCs w:val="19"/>
              </w:rPr>
              <w:t>1</w:t>
            </w:r>
          </w:p>
          <w:p w14:paraId="2784142D" w14:textId="77777777" w:rsidR="00416284" w:rsidRPr="000615D2" w:rsidRDefault="00416284" w:rsidP="00416284">
            <w:pPr>
              <w:rPr>
                <w:bCs/>
                <w:sz w:val="19"/>
                <w:szCs w:val="19"/>
              </w:rPr>
            </w:pPr>
            <w:r w:rsidRPr="000615D2">
              <w:rPr>
                <w:bCs/>
                <w:sz w:val="19"/>
                <w:szCs w:val="19"/>
              </w:rPr>
              <w:t>504</w:t>
            </w:r>
          </w:p>
          <w:p w14:paraId="1106CF87" w14:textId="77777777" w:rsidR="00416284" w:rsidRPr="000615D2" w:rsidRDefault="00416284" w:rsidP="00416284">
            <w:pPr>
              <w:rPr>
                <w:bCs/>
                <w:sz w:val="19"/>
                <w:szCs w:val="19"/>
              </w:rPr>
            </w:pPr>
            <w:r w:rsidRPr="000615D2">
              <w:rPr>
                <w:bCs/>
                <w:sz w:val="19"/>
                <w:szCs w:val="19"/>
              </w:rPr>
              <w:t>65</w:t>
            </w:r>
          </w:p>
        </w:tc>
        <w:tc>
          <w:tcPr>
            <w:tcW w:w="1080" w:type="dxa"/>
          </w:tcPr>
          <w:p w14:paraId="4D5424F7" w14:textId="77777777" w:rsidR="00416284" w:rsidRPr="000615D2" w:rsidRDefault="00416284" w:rsidP="00416284">
            <w:pPr>
              <w:rPr>
                <w:bCs/>
                <w:sz w:val="19"/>
                <w:szCs w:val="19"/>
              </w:rPr>
            </w:pPr>
            <w:r w:rsidRPr="000615D2">
              <w:rPr>
                <w:bCs/>
                <w:sz w:val="19"/>
                <w:szCs w:val="19"/>
              </w:rPr>
              <w:t>1.8</w:t>
            </w:r>
          </w:p>
          <w:p w14:paraId="301AF70A" w14:textId="77777777" w:rsidR="00416284" w:rsidRPr="000615D2" w:rsidRDefault="00416284" w:rsidP="00416284">
            <w:pPr>
              <w:rPr>
                <w:bCs/>
                <w:sz w:val="19"/>
                <w:szCs w:val="19"/>
              </w:rPr>
            </w:pPr>
            <w:r w:rsidRPr="000615D2">
              <w:rPr>
                <w:bCs/>
                <w:sz w:val="19"/>
                <w:szCs w:val="19"/>
              </w:rPr>
              <w:t>19.0</w:t>
            </w:r>
          </w:p>
          <w:p w14:paraId="15841646" w14:textId="77777777" w:rsidR="00416284" w:rsidRPr="000615D2" w:rsidRDefault="00416284" w:rsidP="00416284">
            <w:pPr>
              <w:rPr>
                <w:bCs/>
                <w:sz w:val="19"/>
                <w:szCs w:val="19"/>
              </w:rPr>
            </w:pPr>
            <w:r w:rsidRPr="000615D2">
              <w:rPr>
                <w:bCs/>
                <w:sz w:val="19"/>
                <w:szCs w:val="19"/>
              </w:rPr>
              <w:t>4.8</w:t>
            </w:r>
          </w:p>
          <w:p w14:paraId="07573487" w14:textId="77777777" w:rsidR="00416284" w:rsidRPr="000615D2" w:rsidRDefault="00416284" w:rsidP="00416284">
            <w:pPr>
              <w:rPr>
                <w:bCs/>
                <w:sz w:val="19"/>
                <w:szCs w:val="19"/>
              </w:rPr>
            </w:pPr>
            <w:r w:rsidRPr="000615D2">
              <w:rPr>
                <w:bCs/>
                <w:sz w:val="19"/>
                <w:szCs w:val="19"/>
              </w:rPr>
              <w:t>1.7</w:t>
            </w:r>
          </w:p>
          <w:p w14:paraId="3786E241" w14:textId="77777777" w:rsidR="00416284" w:rsidRPr="000615D2" w:rsidRDefault="00416284" w:rsidP="00416284">
            <w:pPr>
              <w:rPr>
                <w:bCs/>
                <w:sz w:val="19"/>
                <w:szCs w:val="19"/>
              </w:rPr>
            </w:pPr>
            <w:r w:rsidRPr="000615D2">
              <w:rPr>
                <w:bCs/>
                <w:sz w:val="19"/>
                <w:szCs w:val="19"/>
              </w:rPr>
              <w:t>0.1</w:t>
            </w:r>
          </w:p>
          <w:p w14:paraId="4CA2AED4" w14:textId="77777777" w:rsidR="00416284" w:rsidRPr="000615D2" w:rsidRDefault="00416284" w:rsidP="00416284">
            <w:pPr>
              <w:rPr>
                <w:bCs/>
                <w:sz w:val="19"/>
                <w:szCs w:val="19"/>
              </w:rPr>
            </w:pPr>
            <w:r w:rsidRPr="000615D2">
              <w:rPr>
                <w:bCs/>
                <w:sz w:val="19"/>
                <w:szCs w:val="19"/>
              </w:rPr>
              <w:t>64.3</w:t>
            </w:r>
          </w:p>
          <w:p w14:paraId="1819E557" w14:textId="77777777" w:rsidR="00416284" w:rsidRPr="000615D2" w:rsidRDefault="00416284" w:rsidP="00416284">
            <w:pPr>
              <w:rPr>
                <w:bCs/>
                <w:sz w:val="19"/>
                <w:szCs w:val="19"/>
              </w:rPr>
            </w:pPr>
            <w:r w:rsidRPr="000615D2">
              <w:rPr>
                <w:bCs/>
                <w:sz w:val="19"/>
                <w:szCs w:val="19"/>
              </w:rPr>
              <w:t>8.3</w:t>
            </w:r>
          </w:p>
        </w:tc>
        <w:tc>
          <w:tcPr>
            <w:tcW w:w="990" w:type="dxa"/>
          </w:tcPr>
          <w:p w14:paraId="34800AC8" w14:textId="77777777" w:rsidR="00416284" w:rsidRPr="000615D2" w:rsidRDefault="00416284" w:rsidP="00416284">
            <w:pPr>
              <w:rPr>
                <w:bCs/>
                <w:sz w:val="19"/>
                <w:szCs w:val="19"/>
              </w:rPr>
            </w:pPr>
            <w:r w:rsidRPr="000615D2">
              <w:rPr>
                <w:bCs/>
                <w:sz w:val="19"/>
                <w:szCs w:val="19"/>
              </w:rPr>
              <w:t>7</w:t>
            </w:r>
          </w:p>
          <w:p w14:paraId="2F2A5BC5" w14:textId="77777777" w:rsidR="00416284" w:rsidRPr="000615D2" w:rsidRDefault="00416284" w:rsidP="00416284">
            <w:pPr>
              <w:rPr>
                <w:bCs/>
                <w:sz w:val="19"/>
                <w:szCs w:val="19"/>
              </w:rPr>
            </w:pPr>
            <w:r w:rsidRPr="000615D2">
              <w:rPr>
                <w:bCs/>
                <w:sz w:val="19"/>
                <w:szCs w:val="19"/>
              </w:rPr>
              <w:t>89</w:t>
            </w:r>
          </w:p>
          <w:p w14:paraId="070F687D" w14:textId="77777777" w:rsidR="00416284" w:rsidRPr="000615D2" w:rsidRDefault="00416284" w:rsidP="00416284">
            <w:pPr>
              <w:rPr>
                <w:bCs/>
                <w:sz w:val="19"/>
                <w:szCs w:val="19"/>
              </w:rPr>
            </w:pPr>
            <w:r w:rsidRPr="000615D2">
              <w:rPr>
                <w:bCs/>
                <w:sz w:val="19"/>
                <w:szCs w:val="19"/>
              </w:rPr>
              <w:t>15</w:t>
            </w:r>
          </w:p>
          <w:p w14:paraId="752847AB" w14:textId="77777777" w:rsidR="00416284" w:rsidRPr="000615D2" w:rsidRDefault="00416284" w:rsidP="00416284">
            <w:pPr>
              <w:rPr>
                <w:bCs/>
                <w:sz w:val="19"/>
                <w:szCs w:val="19"/>
              </w:rPr>
            </w:pPr>
            <w:r w:rsidRPr="000615D2">
              <w:rPr>
                <w:bCs/>
                <w:sz w:val="19"/>
                <w:szCs w:val="19"/>
              </w:rPr>
              <w:t>6</w:t>
            </w:r>
          </w:p>
          <w:p w14:paraId="2552572B" w14:textId="77777777" w:rsidR="00416284" w:rsidRPr="000615D2" w:rsidRDefault="00416284" w:rsidP="00416284">
            <w:pPr>
              <w:rPr>
                <w:bCs/>
                <w:sz w:val="19"/>
                <w:szCs w:val="19"/>
              </w:rPr>
            </w:pPr>
            <w:r w:rsidRPr="000615D2">
              <w:rPr>
                <w:bCs/>
                <w:sz w:val="19"/>
                <w:szCs w:val="19"/>
              </w:rPr>
              <w:t>0</w:t>
            </w:r>
          </w:p>
          <w:p w14:paraId="62E6E3C3" w14:textId="77777777" w:rsidR="00416284" w:rsidRPr="000615D2" w:rsidRDefault="00416284" w:rsidP="00416284">
            <w:pPr>
              <w:rPr>
                <w:bCs/>
                <w:sz w:val="19"/>
                <w:szCs w:val="19"/>
              </w:rPr>
            </w:pPr>
            <w:r w:rsidRPr="000615D2">
              <w:rPr>
                <w:bCs/>
                <w:sz w:val="19"/>
                <w:szCs w:val="19"/>
              </w:rPr>
              <w:t>242</w:t>
            </w:r>
          </w:p>
          <w:p w14:paraId="4EBC9332" w14:textId="77777777" w:rsidR="00416284" w:rsidRPr="000615D2" w:rsidRDefault="00416284" w:rsidP="00416284">
            <w:pPr>
              <w:rPr>
                <w:bCs/>
                <w:sz w:val="19"/>
                <w:szCs w:val="19"/>
              </w:rPr>
            </w:pPr>
            <w:r w:rsidRPr="000615D2">
              <w:rPr>
                <w:bCs/>
                <w:sz w:val="19"/>
                <w:szCs w:val="19"/>
              </w:rPr>
              <w:t>31</w:t>
            </w:r>
          </w:p>
        </w:tc>
        <w:tc>
          <w:tcPr>
            <w:tcW w:w="990" w:type="dxa"/>
          </w:tcPr>
          <w:p w14:paraId="3367B976" w14:textId="77777777" w:rsidR="00416284" w:rsidRPr="000615D2" w:rsidRDefault="00416284" w:rsidP="00416284">
            <w:pPr>
              <w:rPr>
                <w:bCs/>
                <w:sz w:val="19"/>
                <w:szCs w:val="19"/>
              </w:rPr>
            </w:pPr>
            <w:r w:rsidRPr="000615D2">
              <w:rPr>
                <w:bCs/>
                <w:sz w:val="19"/>
                <w:szCs w:val="19"/>
              </w:rPr>
              <w:t>1.8</w:t>
            </w:r>
          </w:p>
          <w:p w14:paraId="2D42A49B" w14:textId="77777777" w:rsidR="00416284" w:rsidRPr="000615D2" w:rsidRDefault="00416284" w:rsidP="00416284">
            <w:pPr>
              <w:rPr>
                <w:bCs/>
                <w:sz w:val="19"/>
                <w:szCs w:val="19"/>
              </w:rPr>
            </w:pPr>
            <w:r w:rsidRPr="000615D2">
              <w:rPr>
                <w:bCs/>
                <w:sz w:val="19"/>
                <w:szCs w:val="19"/>
              </w:rPr>
              <w:t>22.8</w:t>
            </w:r>
          </w:p>
          <w:p w14:paraId="70B1A5BF" w14:textId="77777777" w:rsidR="00416284" w:rsidRPr="000615D2" w:rsidRDefault="00416284" w:rsidP="00416284">
            <w:pPr>
              <w:rPr>
                <w:bCs/>
                <w:sz w:val="19"/>
                <w:szCs w:val="19"/>
              </w:rPr>
            </w:pPr>
            <w:r w:rsidRPr="000615D2">
              <w:rPr>
                <w:bCs/>
                <w:sz w:val="19"/>
                <w:szCs w:val="19"/>
              </w:rPr>
              <w:t>3.8</w:t>
            </w:r>
          </w:p>
          <w:p w14:paraId="6A308F9D" w14:textId="77777777" w:rsidR="00416284" w:rsidRPr="000615D2" w:rsidRDefault="00416284" w:rsidP="00416284">
            <w:pPr>
              <w:rPr>
                <w:bCs/>
                <w:sz w:val="19"/>
                <w:szCs w:val="19"/>
              </w:rPr>
            </w:pPr>
            <w:r w:rsidRPr="000615D2">
              <w:rPr>
                <w:bCs/>
                <w:sz w:val="19"/>
                <w:szCs w:val="19"/>
              </w:rPr>
              <w:t>1.5</w:t>
            </w:r>
          </w:p>
          <w:p w14:paraId="6402645B" w14:textId="77777777" w:rsidR="00416284" w:rsidRPr="000615D2" w:rsidRDefault="00416284" w:rsidP="00416284">
            <w:pPr>
              <w:rPr>
                <w:bCs/>
                <w:sz w:val="19"/>
                <w:szCs w:val="19"/>
              </w:rPr>
            </w:pPr>
            <w:r w:rsidRPr="000615D2">
              <w:rPr>
                <w:bCs/>
                <w:sz w:val="19"/>
                <w:szCs w:val="19"/>
              </w:rPr>
              <w:t>0</w:t>
            </w:r>
          </w:p>
          <w:p w14:paraId="4AD0ED98" w14:textId="77777777" w:rsidR="00416284" w:rsidRPr="000615D2" w:rsidRDefault="00416284" w:rsidP="00416284">
            <w:pPr>
              <w:rPr>
                <w:bCs/>
                <w:sz w:val="19"/>
                <w:szCs w:val="19"/>
              </w:rPr>
            </w:pPr>
            <w:r w:rsidRPr="000615D2">
              <w:rPr>
                <w:bCs/>
                <w:sz w:val="19"/>
                <w:szCs w:val="19"/>
              </w:rPr>
              <w:t>62.1</w:t>
            </w:r>
          </w:p>
          <w:p w14:paraId="4C37C7B2" w14:textId="77777777" w:rsidR="00416284" w:rsidRPr="000615D2" w:rsidRDefault="00416284" w:rsidP="00416284">
            <w:pPr>
              <w:rPr>
                <w:bCs/>
                <w:sz w:val="19"/>
                <w:szCs w:val="19"/>
              </w:rPr>
            </w:pPr>
            <w:r w:rsidRPr="000615D2">
              <w:rPr>
                <w:bCs/>
                <w:sz w:val="19"/>
                <w:szCs w:val="19"/>
              </w:rPr>
              <w:t>7.9</w:t>
            </w:r>
          </w:p>
        </w:tc>
        <w:tc>
          <w:tcPr>
            <w:tcW w:w="990" w:type="dxa"/>
          </w:tcPr>
          <w:p w14:paraId="12F4CB96" w14:textId="77777777" w:rsidR="00416284" w:rsidRPr="000615D2" w:rsidRDefault="00416284" w:rsidP="00416284">
            <w:pPr>
              <w:rPr>
                <w:bCs/>
                <w:sz w:val="19"/>
                <w:szCs w:val="19"/>
              </w:rPr>
            </w:pPr>
            <w:r w:rsidRPr="000615D2">
              <w:rPr>
                <w:bCs/>
                <w:sz w:val="19"/>
                <w:szCs w:val="19"/>
              </w:rPr>
              <w:t>21</w:t>
            </w:r>
          </w:p>
          <w:p w14:paraId="5432FDC0" w14:textId="77777777" w:rsidR="00416284" w:rsidRPr="000615D2" w:rsidRDefault="00416284" w:rsidP="00416284">
            <w:pPr>
              <w:rPr>
                <w:bCs/>
                <w:sz w:val="19"/>
                <w:szCs w:val="19"/>
              </w:rPr>
            </w:pPr>
            <w:r w:rsidRPr="000615D2">
              <w:rPr>
                <w:bCs/>
                <w:sz w:val="19"/>
                <w:szCs w:val="19"/>
              </w:rPr>
              <w:t>238</w:t>
            </w:r>
          </w:p>
          <w:p w14:paraId="433D9ACC" w14:textId="77777777" w:rsidR="00416284" w:rsidRPr="000615D2" w:rsidRDefault="00416284" w:rsidP="00416284">
            <w:pPr>
              <w:rPr>
                <w:bCs/>
                <w:sz w:val="19"/>
                <w:szCs w:val="19"/>
              </w:rPr>
            </w:pPr>
            <w:r w:rsidRPr="000615D2">
              <w:rPr>
                <w:bCs/>
                <w:sz w:val="19"/>
                <w:szCs w:val="19"/>
              </w:rPr>
              <w:t>53</w:t>
            </w:r>
          </w:p>
          <w:p w14:paraId="2D685B1A" w14:textId="77777777" w:rsidR="00416284" w:rsidRPr="000615D2" w:rsidRDefault="00416284" w:rsidP="00416284">
            <w:pPr>
              <w:rPr>
                <w:bCs/>
                <w:sz w:val="19"/>
                <w:szCs w:val="19"/>
              </w:rPr>
            </w:pPr>
            <w:r w:rsidRPr="000615D2">
              <w:rPr>
                <w:bCs/>
                <w:sz w:val="19"/>
                <w:szCs w:val="19"/>
              </w:rPr>
              <w:t>19</w:t>
            </w:r>
          </w:p>
          <w:p w14:paraId="177BC9DE" w14:textId="77777777" w:rsidR="00416284" w:rsidRPr="000615D2" w:rsidRDefault="00416284" w:rsidP="00416284">
            <w:pPr>
              <w:rPr>
                <w:bCs/>
                <w:sz w:val="19"/>
                <w:szCs w:val="19"/>
              </w:rPr>
            </w:pPr>
            <w:r w:rsidRPr="000615D2">
              <w:rPr>
                <w:bCs/>
                <w:sz w:val="19"/>
                <w:szCs w:val="19"/>
              </w:rPr>
              <w:t>1</w:t>
            </w:r>
          </w:p>
          <w:p w14:paraId="02FBFFD3" w14:textId="77777777" w:rsidR="00416284" w:rsidRPr="000615D2" w:rsidRDefault="00416284" w:rsidP="00416284">
            <w:pPr>
              <w:rPr>
                <w:bCs/>
                <w:sz w:val="19"/>
                <w:szCs w:val="19"/>
              </w:rPr>
            </w:pPr>
            <w:r w:rsidRPr="000615D2">
              <w:rPr>
                <w:bCs/>
                <w:sz w:val="19"/>
                <w:szCs w:val="19"/>
              </w:rPr>
              <w:t>746</w:t>
            </w:r>
          </w:p>
          <w:p w14:paraId="189201A5" w14:textId="77777777" w:rsidR="00416284" w:rsidRPr="000615D2" w:rsidRDefault="00416284" w:rsidP="00416284">
            <w:pPr>
              <w:rPr>
                <w:bCs/>
                <w:sz w:val="19"/>
                <w:szCs w:val="19"/>
              </w:rPr>
            </w:pPr>
            <w:r w:rsidRPr="000615D2">
              <w:rPr>
                <w:bCs/>
                <w:sz w:val="19"/>
                <w:szCs w:val="19"/>
              </w:rPr>
              <w:t>96</w:t>
            </w:r>
          </w:p>
        </w:tc>
        <w:tc>
          <w:tcPr>
            <w:tcW w:w="990" w:type="dxa"/>
          </w:tcPr>
          <w:p w14:paraId="3455CF11" w14:textId="77777777" w:rsidR="00416284" w:rsidRPr="000615D2" w:rsidRDefault="00416284" w:rsidP="00416284">
            <w:pPr>
              <w:rPr>
                <w:bCs/>
                <w:sz w:val="19"/>
                <w:szCs w:val="19"/>
              </w:rPr>
            </w:pPr>
            <w:r w:rsidRPr="000615D2">
              <w:rPr>
                <w:bCs/>
                <w:sz w:val="19"/>
                <w:szCs w:val="19"/>
              </w:rPr>
              <w:t>1.8</w:t>
            </w:r>
          </w:p>
          <w:p w14:paraId="5AF58B87" w14:textId="77777777" w:rsidR="00416284" w:rsidRPr="000615D2" w:rsidRDefault="00416284" w:rsidP="00416284">
            <w:pPr>
              <w:rPr>
                <w:bCs/>
                <w:sz w:val="19"/>
                <w:szCs w:val="19"/>
              </w:rPr>
            </w:pPr>
            <w:r w:rsidRPr="000615D2">
              <w:rPr>
                <w:bCs/>
                <w:sz w:val="19"/>
                <w:szCs w:val="19"/>
              </w:rPr>
              <w:t>20.3</w:t>
            </w:r>
          </w:p>
          <w:p w14:paraId="18F69768" w14:textId="77777777" w:rsidR="00416284" w:rsidRPr="000615D2" w:rsidRDefault="00416284" w:rsidP="00416284">
            <w:pPr>
              <w:rPr>
                <w:bCs/>
                <w:sz w:val="19"/>
                <w:szCs w:val="19"/>
              </w:rPr>
            </w:pPr>
            <w:r w:rsidRPr="000615D2">
              <w:rPr>
                <w:bCs/>
                <w:sz w:val="19"/>
                <w:szCs w:val="19"/>
              </w:rPr>
              <w:t>4.5</w:t>
            </w:r>
          </w:p>
          <w:p w14:paraId="471B30B2" w14:textId="77777777" w:rsidR="00416284" w:rsidRPr="000615D2" w:rsidRDefault="00416284" w:rsidP="00416284">
            <w:pPr>
              <w:rPr>
                <w:bCs/>
                <w:sz w:val="19"/>
                <w:szCs w:val="19"/>
              </w:rPr>
            </w:pPr>
            <w:r w:rsidRPr="000615D2">
              <w:rPr>
                <w:bCs/>
                <w:sz w:val="19"/>
                <w:szCs w:val="19"/>
              </w:rPr>
              <w:t>1.6</w:t>
            </w:r>
          </w:p>
          <w:p w14:paraId="7927F42D" w14:textId="77777777" w:rsidR="00416284" w:rsidRPr="000615D2" w:rsidRDefault="00416284" w:rsidP="00416284">
            <w:pPr>
              <w:rPr>
                <w:bCs/>
                <w:sz w:val="19"/>
                <w:szCs w:val="19"/>
              </w:rPr>
            </w:pPr>
            <w:r w:rsidRPr="000615D2">
              <w:rPr>
                <w:bCs/>
                <w:sz w:val="19"/>
                <w:szCs w:val="19"/>
              </w:rPr>
              <w:t>0.1</w:t>
            </w:r>
          </w:p>
          <w:p w14:paraId="0CCF688C" w14:textId="77777777" w:rsidR="00416284" w:rsidRPr="000615D2" w:rsidRDefault="00416284" w:rsidP="00416284">
            <w:pPr>
              <w:rPr>
                <w:bCs/>
                <w:sz w:val="19"/>
                <w:szCs w:val="19"/>
              </w:rPr>
            </w:pPr>
            <w:r w:rsidRPr="000615D2">
              <w:rPr>
                <w:bCs/>
                <w:sz w:val="19"/>
                <w:szCs w:val="19"/>
              </w:rPr>
              <w:t>63.5</w:t>
            </w:r>
          </w:p>
          <w:p w14:paraId="0BEA82A0" w14:textId="77777777" w:rsidR="00416284" w:rsidRPr="000615D2" w:rsidRDefault="00416284" w:rsidP="00416284">
            <w:pPr>
              <w:rPr>
                <w:bCs/>
                <w:sz w:val="19"/>
                <w:szCs w:val="19"/>
              </w:rPr>
            </w:pPr>
            <w:r w:rsidRPr="000615D2">
              <w:rPr>
                <w:bCs/>
                <w:sz w:val="19"/>
                <w:szCs w:val="19"/>
              </w:rPr>
              <w:t>8.2</w:t>
            </w:r>
          </w:p>
        </w:tc>
      </w:tr>
      <w:tr w:rsidR="00416284" w:rsidRPr="008E425A" w14:paraId="22D17F1B" w14:textId="77777777" w:rsidTr="00870904">
        <w:tc>
          <w:tcPr>
            <w:tcW w:w="2875" w:type="dxa"/>
          </w:tcPr>
          <w:p w14:paraId="678ECA77" w14:textId="77777777" w:rsidR="00416284" w:rsidRPr="000615D2" w:rsidRDefault="00416284" w:rsidP="00416284">
            <w:pPr>
              <w:ind w:left="0"/>
              <w:rPr>
                <w:bCs/>
                <w:sz w:val="19"/>
                <w:szCs w:val="19"/>
              </w:rPr>
            </w:pPr>
            <w:r w:rsidRPr="000615D2">
              <w:rPr>
                <w:bCs/>
                <w:sz w:val="19"/>
                <w:szCs w:val="19"/>
              </w:rPr>
              <w:t>North America</w:t>
            </w:r>
          </w:p>
          <w:p w14:paraId="6BFA1C88" w14:textId="77777777" w:rsidR="00416284" w:rsidRPr="000615D2" w:rsidRDefault="00416284" w:rsidP="00416284">
            <w:pPr>
              <w:ind w:left="0"/>
              <w:rPr>
                <w:bCs/>
                <w:sz w:val="19"/>
                <w:szCs w:val="19"/>
              </w:rPr>
            </w:pPr>
            <w:r w:rsidRPr="000615D2">
              <w:rPr>
                <w:bCs/>
                <w:sz w:val="19"/>
                <w:szCs w:val="19"/>
              </w:rPr>
              <w:t>Europe</w:t>
            </w:r>
          </w:p>
          <w:p w14:paraId="75257D6C" w14:textId="77777777" w:rsidR="00416284" w:rsidRPr="000615D2" w:rsidRDefault="00416284" w:rsidP="00416284">
            <w:pPr>
              <w:ind w:left="0"/>
              <w:rPr>
                <w:bCs/>
                <w:sz w:val="19"/>
                <w:szCs w:val="19"/>
              </w:rPr>
            </w:pPr>
            <w:r w:rsidRPr="000615D2">
              <w:rPr>
                <w:bCs/>
                <w:sz w:val="19"/>
                <w:szCs w:val="19"/>
              </w:rPr>
              <w:t>Australia</w:t>
            </w:r>
          </w:p>
          <w:p w14:paraId="3A49875B" w14:textId="77777777" w:rsidR="00416284" w:rsidRPr="000615D2" w:rsidRDefault="00416284" w:rsidP="00416284">
            <w:pPr>
              <w:ind w:left="0"/>
              <w:rPr>
                <w:bCs/>
                <w:sz w:val="19"/>
                <w:szCs w:val="19"/>
              </w:rPr>
            </w:pPr>
            <w:r w:rsidRPr="000615D2">
              <w:rPr>
                <w:bCs/>
                <w:sz w:val="19"/>
                <w:szCs w:val="19"/>
              </w:rPr>
              <w:t>Asia</w:t>
            </w:r>
          </w:p>
          <w:p w14:paraId="31DA6FEC" w14:textId="77777777" w:rsidR="00416284" w:rsidRPr="000615D2" w:rsidRDefault="00416284" w:rsidP="00416284">
            <w:pPr>
              <w:ind w:left="0"/>
              <w:rPr>
                <w:bCs/>
                <w:sz w:val="19"/>
                <w:szCs w:val="19"/>
              </w:rPr>
            </w:pPr>
            <w:r w:rsidRPr="000615D2">
              <w:rPr>
                <w:bCs/>
                <w:sz w:val="19"/>
                <w:szCs w:val="19"/>
              </w:rPr>
              <w:t>Rest of World</w:t>
            </w:r>
          </w:p>
        </w:tc>
        <w:tc>
          <w:tcPr>
            <w:tcW w:w="900" w:type="dxa"/>
          </w:tcPr>
          <w:p w14:paraId="24047D9D" w14:textId="77777777" w:rsidR="00416284" w:rsidRPr="000615D2" w:rsidRDefault="00416284" w:rsidP="00416284">
            <w:pPr>
              <w:rPr>
                <w:bCs/>
                <w:sz w:val="19"/>
                <w:szCs w:val="19"/>
              </w:rPr>
            </w:pPr>
            <w:r w:rsidRPr="000615D2">
              <w:rPr>
                <w:bCs/>
                <w:sz w:val="19"/>
                <w:szCs w:val="19"/>
              </w:rPr>
              <w:t>166</w:t>
            </w:r>
          </w:p>
          <w:p w14:paraId="5B53B172" w14:textId="77777777" w:rsidR="00416284" w:rsidRPr="000615D2" w:rsidRDefault="00416284" w:rsidP="00416284">
            <w:pPr>
              <w:rPr>
                <w:bCs/>
                <w:sz w:val="19"/>
                <w:szCs w:val="19"/>
              </w:rPr>
            </w:pPr>
            <w:r w:rsidRPr="000615D2">
              <w:rPr>
                <w:bCs/>
                <w:sz w:val="19"/>
                <w:szCs w:val="19"/>
              </w:rPr>
              <w:t>388</w:t>
            </w:r>
          </w:p>
          <w:p w14:paraId="34CB5235" w14:textId="77777777" w:rsidR="00416284" w:rsidRPr="000615D2" w:rsidRDefault="00416284" w:rsidP="00416284">
            <w:pPr>
              <w:rPr>
                <w:bCs/>
                <w:sz w:val="19"/>
                <w:szCs w:val="19"/>
              </w:rPr>
            </w:pPr>
            <w:r w:rsidRPr="000615D2">
              <w:rPr>
                <w:bCs/>
                <w:sz w:val="19"/>
                <w:szCs w:val="19"/>
              </w:rPr>
              <w:t>23</w:t>
            </w:r>
          </w:p>
          <w:p w14:paraId="771D9564" w14:textId="77777777" w:rsidR="00416284" w:rsidRPr="000615D2" w:rsidRDefault="00416284" w:rsidP="00416284">
            <w:pPr>
              <w:rPr>
                <w:bCs/>
                <w:sz w:val="19"/>
                <w:szCs w:val="19"/>
              </w:rPr>
            </w:pPr>
            <w:r w:rsidRPr="000615D2">
              <w:rPr>
                <w:bCs/>
                <w:sz w:val="19"/>
                <w:szCs w:val="19"/>
              </w:rPr>
              <w:t>166</w:t>
            </w:r>
          </w:p>
          <w:p w14:paraId="44F90AE0" w14:textId="77777777" w:rsidR="00416284" w:rsidRPr="000615D2" w:rsidRDefault="00416284" w:rsidP="00416284">
            <w:pPr>
              <w:rPr>
                <w:bCs/>
                <w:sz w:val="19"/>
                <w:szCs w:val="19"/>
              </w:rPr>
            </w:pPr>
            <w:r w:rsidRPr="000615D2">
              <w:rPr>
                <w:bCs/>
                <w:sz w:val="19"/>
                <w:szCs w:val="19"/>
              </w:rPr>
              <w:t>41</w:t>
            </w:r>
          </w:p>
        </w:tc>
        <w:tc>
          <w:tcPr>
            <w:tcW w:w="1080" w:type="dxa"/>
          </w:tcPr>
          <w:p w14:paraId="2122FC6F" w14:textId="77777777" w:rsidR="00416284" w:rsidRPr="000615D2" w:rsidRDefault="00416284" w:rsidP="00416284">
            <w:pPr>
              <w:rPr>
                <w:bCs/>
                <w:sz w:val="19"/>
                <w:szCs w:val="19"/>
              </w:rPr>
            </w:pPr>
            <w:r w:rsidRPr="000615D2">
              <w:rPr>
                <w:bCs/>
                <w:sz w:val="19"/>
                <w:szCs w:val="19"/>
              </w:rPr>
              <w:t>21.2</w:t>
            </w:r>
          </w:p>
          <w:p w14:paraId="563AE59F" w14:textId="77777777" w:rsidR="00416284" w:rsidRPr="000615D2" w:rsidRDefault="00416284" w:rsidP="00416284">
            <w:pPr>
              <w:rPr>
                <w:bCs/>
                <w:sz w:val="19"/>
                <w:szCs w:val="19"/>
              </w:rPr>
            </w:pPr>
            <w:r w:rsidRPr="000615D2">
              <w:rPr>
                <w:bCs/>
                <w:sz w:val="19"/>
                <w:szCs w:val="19"/>
              </w:rPr>
              <w:t>49.5</w:t>
            </w:r>
          </w:p>
          <w:p w14:paraId="2C87E08D" w14:textId="77777777" w:rsidR="00416284" w:rsidRPr="000615D2" w:rsidRDefault="00416284" w:rsidP="00416284">
            <w:pPr>
              <w:rPr>
                <w:bCs/>
                <w:sz w:val="19"/>
                <w:szCs w:val="19"/>
              </w:rPr>
            </w:pPr>
            <w:r w:rsidRPr="000615D2">
              <w:rPr>
                <w:bCs/>
                <w:sz w:val="19"/>
                <w:szCs w:val="19"/>
              </w:rPr>
              <w:t>2.9</w:t>
            </w:r>
          </w:p>
          <w:p w14:paraId="73BE4840" w14:textId="77777777" w:rsidR="00416284" w:rsidRPr="000615D2" w:rsidRDefault="00416284" w:rsidP="00416284">
            <w:pPr>
              <w:rPr>
                <w:bCs/>
                <w:sz w:val="19"/>
                <w:szCs w:val="19"/>
              </w:rPr>
            </w:pPr>
            <w:r w:rsidRPr="000615D2">
              <w:rPr>
                <w:bCs/>
                <w:sz w:val="19"/>
                <w:szCs w:val="19"/>
              </w:rPr>
              <w:t>21.2</w:t>
            </w:r>
          </w:p>
          <w:p w14:paraId="65E6C6F1" w14:textId="77777777" w:rsidR="00416284" w:rsidRPr="000615D2" w:rsidRDefault="00416284" w:rsidP="00416284">
            <w:pPr>
              <w:rPr>
                <w:bCs/>
                <w:sz w:val="19"/>
                <w:szCs w:val="19"/>
              </w:rPr>
            </w:pPr>
            <w:r w:rsidRPr="000615D2">
              <w:rPr>
                <w:bCs/>
                <w:sz w:val="19"/>
                <w:szCs w:val="19"/>
              </w:rPr>
              <w:t>5.2</w:t>
            </w:r>
          </w:p>
        </w:tc>
        <w:tc>
          <w:tcPr>
            <w:tcW w:w="990" w:type="dxa"/>
          </w:tcPr>
          <w:p w14:paraId="616B09F4" w14:textId="77777777" w:rsidR="00416284" w:rsidRPr="000615D2" w:rsidRDefault="00416284" w:rsidP="00416284">
            <w:pPr>
              <w:rPr>
                <w:bCs/>
                <w:sz w:val="19"/>
                <w:szCs w:val="19"/>
              </w:rPr>
            </w:pPr>
            <w:r w:rsidRPr="000615D2">
              <w:rPr>
                <w:bCs/>
                <w:sz w:val="19"/>
                <w:szCs w:val="19"/>
              </w:rPr>
              <w:t>78</w:t>
            </w:r>
          </w:p>
          <w:p w14:paraId="6269BFE3" w14:textId="77777777" w:rsidR="00416284" w:rsidRPr="000615D2" w:rsidRDefault="00416284" w:rsidP="00416284">
            <w:pPr>
              <w:rPr>
                <w:bCs/>
                <w:sz w:val="19"/>
                <w:szCs w:val="19"/>
              </w:rPr>
            </w:pPr>
            <w:r w:rsidRPr="000615D2">
              <w:rPr>
                <w:bCs/>
                <w:sz w:val="19"/>
                <w:szCs w:val="19"/>
              </w:rPr>
              <w:t>180</w:t>
            </w:r>
          </w:p>
          <w:p w14:paraId="0DF35709" w14:textId="77777777" w:rsidR="00416284" w:rsidRPr="000615D2" w:rsidRDefault="00416284" w:rsidP="00416284">
            <w:pPr>
              <w:rPr>
                <w:bCs/>
                <w:sz w:val="19"/>
                <w:szCs w:val="19"/>
              </w:rPr>
            </w:pPr>
            <w:r w:rsidRPr="000615D2">
              <w:rPr>
                <w:bCs/>
                <w:sz w:val="19"/>
                <w:szCs w:val="19"/>
              </w:rPr>
              <w:t>16</w:t>
            </w:r>
          </w:p>
          <w:p w14:paraId="4B5EB981" w14:textId="77777777" w:rsidR="00416284" w:rsidRPr="000615D2" w:rsidRDefault="00416284" w:rsidP="00416284">
            <w:pPr>
              <w:rPr>
                <w:bCs/>
                <w:sz w:val="19"/>
                <w:szCs w:val="19"/>
              </w:rPr>
            </w:pPr>
            <w:r w:rsidRPr="000615D2">
              <w:rPr>
                <w:bCs/>
                <w:sz w:val="19"/>
                <w:szCs w:val="19"/>
              </w:rPr>
              <w:t>91</w:t>
            </w:r>
          </w:p>
          <w:p w14:paraId="0BFF5D69" w14:textId="77777777" w:rsidR="00416284" w:rsidRPr="000615D2" w:rsidRDefault="00416284" w:rsidP="00416284">
            <w:pPr>
              <w:rPr>
                <w:bCs/>
                <w:sz w:val="19"/>
                <w:szCs w:val="19"/>
              </w:rPr>
            </w:pPr>
            <w:r w:rsidRPr="000615D2">
              <w:rPr>
                <w:bCs/>
                <w:sz w:val="19"/>
                <w:szCs w:val="19"/>
              </w:rPr>
              <w:t>25</w:t>
            </w:r>
          </w:p>
        </w:tc>
        <w:tc>
          <w:tcPr>
            <w:tcW w:w="990" w:type="dxa"/>
          </w:tcPr>
          <w:p w14:paraId="5EAF4CED" w14:textId="77777777" w:rsidR="00416284" w:rsidRPr="000615D2" w:rsidRDefault="00416284" w:rsidP="00416284">
            <w:pPr>
              <w:rPr>
                <w:bCs/>
                <w:sz w:val="19"/>
                <w:szCs w:val="19"/>
              </w:rPr>
            </w:pPr>
            <w:r w:rsidRPr="000615D2">
              <w:rPr>
                <w:bCs/>
                <w:sz w:val="19"/>
                <w:szCs w:val="19"/>
              </w:rPr>
              <w:t>20.0</w:t>
            </w:r>
          </w:p>
          <w:p w14:paraId="0626FA64" w14:textId="77777777" w:rsidR="00416284" w:rsidRPr="000615D2" w:rsidRDefault="00416284" w:rsidP="00416284">
            <w:pPr>
              <w:rPr>
                <w:bCs/>
                <w:sz w:val="19"/>
                <w:szCs w:val="19"/>
              </w:rPr>
            </w:pPr>
            <w:r w:rsidRPr="000615D2">
              <w:rPr>
                <w:bCs/>
                <w:sz w:val="19"/>
                <w:szCs w:val="19"/>
              </w:rPr>
              <w:t>46.2</w:t>
            </w:r>
          </w:p>
          <w:p w14:paraId="20607D16" w14:textId="77777777" w:rsidR="00416284" w:rsidRPr="000615D2" w:rsidRDefault="00416284" w:rsidP="00416284">
            <w:pPr>
              <w:rPr>
                <w:bCs/>
                <w:sz w:val="19"/>
                <w:szCs w:val="19"/>
              </w:rPr>
            </w:pPr>
            <w:r w:rsidRPr="000615D2">
              <w:rPr>
                <w:bCs/>
                <w:sz w:val="19"/>
                <w:szCs w:val="19"/>
              </w:rPr>
              <w:t>4.1</w:t>
            </w:r>
          </w:p>
          <w:p w14:paraId="30AB75A8" w14:textId="77777777" w:rsidR="00416284" w:rsidRPr="000615D2" w:rsidRDefault="00416284" w:rsidP="00416284">
            <w:pPr>
              <w:rPr>
                <w:bCs/>
                <w:sz w:val="19"/>
                <w:szCs w:val="19"/>
              </w:rPr>
            </w:pPr>
            <w:r w:rsidRPr="000615D2">
              <w:rPr>
                <w:bCs/>
                <w:sz w:val="19"/>
                <w:szCs w:val="19"/>
              </w:rPr>
              <w:t>23.3</w:t>
            </w:r>
          </w:p>
          <w:p w14:paraId="3CCD7E81" w14:textId="77777777" w:rsidR="00416284" w:rsidRPr="000615D2" w:rsidRDefault="00416284" w:rsidP="00416284">
            <w:pPr>
              <w:rPr>
                <w:bCs/>
                <w:sz w:val="19"/>
                <w:szCs w:val="19"/>
              </w:rPr>
            </w:pPr>
            <w:r w:rsidRPr="000615D2">
              <w:rPr>
                <w:bCs/>
                <w:sz w:val="19"/>
                <w:szCs w:val="19"/>
              </w:rPr>
              <w:t>6.4</w:t>
            </w:r>
          </w:p>
        </w:tc>
        <w:tc>
          <w:tcPr>
            <w:tcW w:w="990" w:type="dxa"/>
          </w:tcPr>
          <w:p w14:paraId="327AF7DA" w14:textId="77777777" w:rsidR="00416284" w:rsidRPr="000615D2" w:rsidRDefault="00416284" w:rsidP="00416284">
            <w:pPr>
              <w:rPr>
                <w:bCs/>
                <w:sz w:val="19"/>
                <w:szCs w:val="19"/>
              </w:rPr>
            </w:pPr>
            <w:r w:rsidRPr="000615D2">
              <w:rPr>
                <w:bCs/>
                <w:sz w:val="19"/>
                <w:szCs w:val="19"/>
              </w:rPr>
              <w:t>244</w:t>
            </w:r>
          </w:p>
          <w:p w14:paraId="328329A2" w14:textId="77777777" w:rsidR="00416284" w:rsidRPr="000615D2" w:rsidRDefault="00416284" w:rsidP="00416284">
            <w:pPr>
              <w:rPr>
                <w:bCs/>
                <w:sz w:val="19"/>
                <w:szCs w:val="19"/>
              </w:rPr>
            </w:pPr>
            <w:r w:rsidRPr="000615D2">
              <w:rPr>
                <w:bCs/>
                <w:sz w:val="19"/>
                <w:szCs w:val="19"/>
              </w:rPr>
              <w:t>568</w:t>
            </w:r>
          </w:p>
          <w:p w14:paraId="6CE0F19B" w14:textId="77777777" w:rsidR="00416284" w:rsidRPr="000615D2" w:rsidRDefault="00416284" w:rsidP="00416284">
            <w:pPr>
              <w:rPr>
                <w:bCs/>
                <w:sz w:val="19"/>
                <w:szCs w:val="19"/>
              </w:rPr>
            </w:pPr>
            <w:r w:rsidRPr="000615D2">
              <w:rPr>
                <w:bCs/>
                <w:sz w:val="19"/>
                <w:szCs w:val="19"/>
              </w:rPr>
              <w:t>39</w:t>
            </w:r>
          </w:p>
          <w:p w14:paraId="0CA1CBA3" w14:textId="77777777" w:rsidR="00416284" w:rsidRPr="000615D2" w:rsidRDefault="00416284" w:rsidP="00416284">
            <w:pPr>
              <w:rPr>
                <w:bCs/>
                <w:sz w:val="19"/>
                <w:szCs w:val="19"/>
              </w:rPr>
            </w:pPr>
            <w:r w:rsidRPr="000615D2">
              <w:rPr>
                <w:bCs/>
                <w:sz w:val="19"/>
                <w:szCs w:val="19"/>
              </w:rPr>
              <w:t>257</w:t>
            </w:r>
          </w:p>
          <w:p w14:paraId="360DD74D" w14:textId="77777777" w:rsidR="00416284" w:rsidRPr="000615D2" w:rsidRDefault="00416284" w:rsidP="00416284">
            <w:pPr>
              <w:rPr>
                <w:bCs/>
                <w:sz w:val="19"/>
                <w:szCs w:val="19"/>
              </w:rPr>
            </w:pPr>
            <w:r w:rsidRPr="000615D2">
              <w:rPr>
                <w:bCs/>
                <w:sz w:val="19"/>
                <w:szCs w:val="19"/>
              </w:rPr>
              <w:t>66</w:t>
            </w:r>
          </w:p>
        </w:tc>
        <w:tc>
          <w:tcPr>
            <w:tcW w:w="990" w:type="dxa"/>
          </w:tcPr>
          <w:p w14:paraId="4C096975" w14:textId="77777777" w:rsidR="00416284" w:rsidRPr="000615D2" w:rsidRDefault="00416284" w:rsidP="00416284">
            <w:pPr>
              <w:rPr>
                <w:bCs/>
                <w:sz w:val="19"/>
                <w:szCs w:val="19"/>
              </w:rPr>
            </w:pPr>
            <w:r w:rsidRPr="000615D2">
              <w:rPr>
                <w:bCs/>
                <w:sz w:val="19"/>
                <w:szCs w:val="19"/>
              </w:rPr>
              <w:t>20.8</w:t>
            </w:r>
          </w:p>
          <w:p w14:paraId="201F8818" w14:textId="77777777" w:rsidR="00416284" w:rsidRPr="000615D2" w:rsidRDefault="00416284" w:rsidP="00416284">
            <w:pPr>
              <w:rPr>
                <w:bCs/>
                <w:sz w:val="19"/>
                <w:szCs w:val="19"/>
              </w:rPr>
            </w:pPr>
            <w:r w:rsidRPr="000615D2">
              <w:rPr>
                <w:bCs/>
                <w:sz w:val="19"/>
                <w:szCs w:val="19"/>
              </w:rPr>
              <w:t>48.4</w:t>
            </w:r>
          </w:p>
          <w:p w14:paraId="74B4CB58" w14:textId="77777777" w:rsidR="00416284" w:rsidRPr="000615D2" w:rsidRDefault="00416284" w:rsidP="00416284">
            <w:pPr>
              <w:rPr>
                <w:bCs/>
                <w:sz w:val="19"/>
                <w:szCs w:val="19"/>
              </w:rPr>
            </w:pPr>
            <w:r w:rsidRPr="000615D2">
              <w:rPr>
                <w:bCs/>
                <w:sz w:val="19"/>
                <w:szCs w:val="19"/>
              </w:rPr>
              <w:t>3.3</w:t>
            </w:r>
          </w:p>
          <w:p w14:paraId="56E9EBE0" w14:textId="77777777" w:rsidR="00416284" w:rsidRPr="000615D2" w:rsidRDefault="00416284" w:rsidP="00416284">
            <w:pPr>
              <w:rPr>
                <w:bCs/>
                <w:sz w:val="19"/>
                <w:szCs w:val="19"/>
              </w:rPr>
            </w:pPr>
            <w:r w:rsidRPr="000615D2">
              <w:rPr>
                <w:bCs/>
                <w:sz w:val="19"/>
                <w:szCs w:val="19"/>
              </w:rPr>
              <w:t>21.9</w:t>
            </w:r>
          </w:p>
          <w:p w14:paraId="670AC26B" w14:textId="77777777" w:rsidR="00416284" w:rsidRPr="000615D2" w:rsidRDefault="00416284" w:rsidP="00416284">
            <w:pPr>
              <w:rPr>
                <w:bCs/>
                <w:sz w:val="19"/>
                <w:szCs w:val="19"/>
              </w:rPr>
            </w:pPr>
            <w:r w:rsidRPr="000615D2">
              <w:rPr>
                <w:bCs/>
                <w:sz w:val="19"/>
                <w:szCs w:val="19"/>
              </w:rPr>
              <w:t>5.6</w:t>
            </w:r>
          </w:p>
        </w:tc>
      </w:tr>
      <w:tr w:rsidR="00416284" w:rsidRPr="008E425A" w14:paraId="31FAA64D" w14:textId="77777777" w:rsidTr="00870904">
        <w:tc>
          <w:tcPr>
            <w:tcW w:w="2875" w:type="dxa"/>
          </w:tcPr>
          <w:p w14:paraId="5A05E86D" w14:textId="77777777" w:rsidR="00416284" w:rsidRPr="000615D2" w:rsidRDefault="00416284" w:rsidP="00416284">
            <w:pPr>
              <w:ind w:left="0"/>
              <w:rPr>
                <w:bCs/>
                <w:sz w:val="19"/>
                <w:szCs w:val="19"/>
              </w:rPr>
            </w:pPr>
            <w:r w:rsidRPr="000615D2">
              <w:rPr>
                <w:bCs/>
                <w:sz w:val="19"/>
                <w:szCs w:val="19"/>
              </w:rPr>
              <w:t>ECOG 0</w:t>
            </w:r>
          </w:p>
          <w:p w14:paraId="2FB29197" w14:textId="77777777" w:rsidR="00416284" w:rsidRPr="000615D2" w:rsidRDefault="00416284" w:rsidP="00416284">
            <w:pPr>
              <w:ind w:left="0"/>
              <w:rPr>
                <w:bCs/>
                <w:sz w:val="19"/>
                <w:szCs w:val="19"/>
              </w:rPr>
            </w:pPr>
            <w:r w:rsidRPr="000615D2">
              <w:rPr>
                <w:bCs/>
                <w:sz w:val="19"/>
                <w:szCs w:val="19"/>
              </w:rPr>
              <w:t>ECOG 1</w:t>
            </w:r>
          </w:p>
        </w:tc>
        <w:tc>
          <w:tcPr>
            <w:tcW w:w="900" w:type="dxa"/>
          </w:tcPr>
          <w:p w14:paraId="70880839" w14:textId="77777777" w:rsidR="00416284" w:rsidRPr="000615D2" w:rsidRDefault="00416284" w:rsidP="00416284">
            <w:pPr>
              <w:rPr>
                <w:bCs/>
                <w:sz w:val="19"/>
                <w:szCs w:val="19"/>
              </w:rPr>
            </w:pPr>
            <w:r w:rsidRPr="000615D2">
              <w:rPr>
                <w:bCs/>
                <w:sz w:val="19"/>
                <w:szCs w:val="19"/>
              </w:rPr>
              <w:t>678</w:t>
            </w:r>
          </w:p>
          <w:p w14:paraId="2DB05FA7" w14:textId="77777777" w:rsidR="00416284" w:rsidRPr="000615D2" w:rsidRDefault="00416284" w:rsidP="00416284">
            <w:pPr>
              <w:rPr>
                <w:bCs/>
                <w:sz w:val="19"/>
                <w:szCs w:val="19"/>
              </w:rPr>
            </w:pPr>
            <w:r w:rsidRPr="000615D2">
              <w:rPr>
                <w:bCs/>
                <w:sz w:val="19"/>
                <w:szCs w:val="19"/>
              </w:rPr>
              <w:t>106</w:t>
            </w:r>
          </w:p>
        </w:tc>
        <w:tc>
          <w:tcPr>
            <w:tcW w:w="1080" w:type="dxa"/>
          </w:tcPr>
          <w:p w14:paraId="625267B4" w14:textId="77777777" w:rsidR="00416284" w:rsidRPr="000615D2" w:rsidRDefault="00416284" w:rsidP="00416284">
            <w:pPr>
              <w:rPr>
                <w:bCs/>
                <w:sz w:val="19"/>
                <w:szCs w:val="19"/>
              </w:rPr>
            </w:pPr>
            <w:r w:rsidRPr="000615D2">
              <w:rPr>
                <w:bCs/>
                <w:sz w:val="19"/>
                <w:szCs w:val="19"/>
              </w:rPr>
              <w:t>86.5</w:t>
            </w:r>
          </w:p>
          <w:p w14:paraId="0E613CA9" w14:textId="77777777" w:rsidR="00416284" w:rsidRPr="000615D2" w:rsidRDefault="00416284" w:rsidP="00416284">
            <w:pPr>
              <w:rPr>
                <w:bCs/>
                <w:sz w:val="19"/>
                <w:szCs w:val="19"/>
              </w:rPr>
            </w:pPr>
            <w:r w:rsidRPr="000615D2">
              <w:rPr>
                <w:bCs/>
                <w:sz w:val="19"/>
                <w:szCs w:val="19"/>
              </w:rPr>
              <w:t>13.5</w:t>
            </w:r>
          </w:p>
        </w:tc>
        <w:tc>
          <w:tcPr>
            <w:tcW w:w="990" w:type="dxa"/>
          </w:tcPr>
          <w:p w14:paraId="4360D1D2" w14:textId="77777777" w:rsidR="00416284" w:rsidRPr="000615D2" w:rsidRDefault="00416284" w:rsidP="00416284">
            <w:pPr>
              <w:rPr>
                <w:bCs/>
                <w:sz w:val="19"/>
                <w:szCs w:val="19"/>
              </w:rPr>
            </w:pPr>
            <w:r w:rsidRPr="000615D2">
              <w:rPr>
                <w:bCs/>
                <w:sz w:val="19"/>
                <w:szCs w:val="19"/>
              </w:rPr>
              <w:t>341</w:t>
            </w:r>
          </w:p>
          <w:p w14:paraId="745E487E" w14:textId="77777777" w:rsidR="00416284" w:rsidRPr="000615D2" w:rsidRDefault="00416284" w:rsidP="00416284">
            <w:pPr>
              <w:rPr>
                <w:bCs/>
                <w:sz w:val="19"/>
                <w:szCs w:val="19"/>
              </w:rPr>
            </w:pPr>
            <w:r w:rsidRPr="000615D2">
              <w:rPr>
                <w:bCs/>
                <w:sz w:val="19"/>
                <w:szCs w:val="19"/>
              </w:rPr>
              <w:t>49</w:t>
            </w:r>
          </w:p>
        </w:tc>
        <w:tc>
          <w:tcPr>
            <w:tcW w:w="990" w:type="dxa"/>
          </w:tcPr>
          <w:p w14:paraId="600FF67E" w14:textId="77777777" w:rsidR="00416284" w:rsidRPr="000615D2" w:rsidRDefault="00416284" w:rsidP="00416284">
            <w:pPr>
              <w:rPr>
                <w:bCs/>
                <w:sz w:val="19"/>
                <w:szCs w:val="19"/>
              </w:rPr>
            </w:pPr>
            <w:r w:rsidRPr="000615D2">
              <w:rPr>
                <w:bCs/>
                <w:sz w:val="19"/>
                <w:szCs w:val="19"/>
              </w:rPr>
              <w:t>87.4</w:t>
            </w:r>
          </w:p>
          <w:p w14:paraId="5F702F31" w14:textId="77777777" w:rsidR="00416284" w:rsidRPr="000615D2" w:rsidRDefault="00416284" w:rsidP="00416284">
            <w:pPr>
              <w:rPr>
                <w:bCs/>
                <w:sz w:val="19"/>
                <w:szCs w:val="19"/>
              </w:rPr>
            </w:pPr>
            <w:r w:rsidRPr="000615D2">
              <w:rPr>
                <w:bCs/>
                <w:sz w:val="19"/>
                <w:szCs w:val="19"/>
              </w:rPr>
              <w:t>12.6</w:t>
            </w:r>
          </w:p>
        </w:tc>
        <w:tc>
          <w:tcPr>
            <w:tcW w:w="990" w:type="dxa"/>
          </w:tcPr>
          <w:p w14:paraId="6DCF4875" w14:textId="77777777" w:rsidR="00416284" w:rsidRPr="000615D2" w:rsidRDefault="00416284" w:rsidP="00416284">
            <w:pPr>
              <w:rPr>
                <w:bCs/>
                <w:sz w:val="19"/>
                <w:szCs w:val="19"/>
              </w:rPr>
            </w:pPr>
            <w:r w:rsidRPr="000615D2">
              <w:rPr>
                <w:bCs/>
                <w:sz w:val="19"/>
                <w:szCs w:val="19"/>
              </w:rPr>
              <w:t>1019</w:t>
            </w:r>
          </w:p>
          <w:p w14:paraId="441BB2A8" w14:textId="77777777" w:rsidR="00416284" w:rsidRPr="000615D2" w:rsidRDefault="00416284" w:rsidP="00416284">
            <w:pPr>
              <w:rPr>
                <w:bCs/>
                <w:sz w:val="19"/>
                <w:szCs w:val="19"/>
              </w:rPr>
            </w:pPr>
            <w:r w:rsidRPr="000615D2">
              <w:rPr>
                <w:bCs/>
                <w:sz w:val="19"/>
                <w:szCs w:val="19"/>
              </w:rPr>
              <w:t>155</w:t>
            </w:r>
          </w:p>
        </w:tc>
        <w:tc>
          <w:tcPr>
            <w:tcW w:w="990" w:type="dxa"/>
          </w:tcPr>
          <w:p w14:paraId="75A19E23" w14:textId="77777777" w:rsidR="00416284" w:rsidRPr="000615D2" w:rsidRDefault="00416284" w:rsidP="00416284">
            <w:pPr>
              <w:rPr>
                <w:bCs/>
                <w:sz w:val="19"/>
                <w:szCs w:val="19"/>
              </w:rPr>
            </w:pPr>
            <w:r w:rsidRPr="000615D2">
              <w:rPr>
                <w:bCs/>
                <w:sz w:val="19"/>
                <w:szCs w:val="19"/>
              </w:rPr>
              <w:t>86.8</w:t>
            </w:r>
          </w:p>
          <w:p w14:paraId="543C8D04" w14:textId="77777777" w:rsidR="00416284" w:rsidRPr="000615D2" w:rsidRDefault="00416284" w:rsidP="00416284">
            <w:pPr>
              <w:rPr>
                <w:bCs/>
                <w:sz w:val="19"/>
                <w:szCs w:val="19"/>
              </w:rPr>
            </w:pPr>
            <w:r w:rsidRPr="000615D2">
              <w:rPr>
                <w:bCs/>
                <w:sz w:val="19"/>
                <w:szCs w:val="19"/>
              </w:rPr>
              <w:t>13.2</w:t>
            </w:r>
          </w:p>
        </w:tc>
      </w:tr>
      <w:tr w:rsidR="00416284" w:rsidRPr="008E425A" w14:paraId="1F8A4F18" w14:textId="77777777" w:rsidTr="00870904">
        <w:tc>
          <w:tcPr>
            <w:tcW w:w="2875" w:type="dxa"/>
          </w:tcPr>
          <w:p w14:paraId="77CA9543" w14:textId="77777777" w:rsidR="00416284" w:rsidRPr="000615D2" w:rsidRDefault="00416284" w:rsidP="00416284">
            <w:pPr>
              <w:ind w:left="0"/>
              <w:rPr>
                <w:bCs/>
                <w:sz w:val="19"/>
                <w:szCs w:val="19"/>
              </w:rPr>
            </w:pPr>
            <w:r w:rsidRPr="000615D2">
              <w:rPr>
                <w:bCs/>
                <w:sz w:val="19"/>
                <w:szCs w:val="19"/>
              </w:rPr>
              <w:t>Carboplatin regimen (actual)</w:t>
            </w:r>
          </w:p>
          <w:p w14:paraId="31CD1B82" w14:textId="0CDFB7AD" w:rsidR="00416284" w:rsidRPr="000615D2" w:rsidRDefault="000615D2" w:rsidP="00416284">
            <w:pPr>
              <w:rPr>
                <w:bCs/>
                <w:sz w:val="19"/>
                <w:szCs w:val="19"/>
              </w:rPr>
            </w:pPr>
            <w:r>
              <w:rPr>
                <w:bCs/>
                <w:sz w:val="19"/>
                <w:szCs w:val="19"/>
              </w:rPr>
              <w:t>Once every three weeks</w:t>
            </w:r>
          </w:p>
          <w:p w14:paraId="24A520EC" w14:textId="77777777" w:rsidR="00416284" w:rsidRPr="000615D2" w:rsidRDefault="00416284" w:rsidP="00416284">
            <w:pPr>
              <w:rPr>
                <w:bCs/>
                <w:sz w:val="19"/>
                <w:szCs w:val="19"/>
              </w:rPr>
            </w:pPr>
            <w:r w:rsidRPr="000615D2">
              <w:rPr>
                <w:bCs/>
                <w:sz w:val="19"/>
                <w:szCs w:val="19"/>
              </w:rPr>
              <w:t>Weekly</w:t>
            </w:r>
          </w:p>
          <w:p w14:paraId="6DECB747" w14:textId="77777777" w:rsidR="00416284" w:rsidRPr="000615D2" w:rsidRDefault="00416284" w:rsidP="00416284">
            <w:pPr>
              <w:rPr>
                <w:bCs/>
                <w:sz w:val="19"/>
                <w:szCs w:val="19"/>
              </w:rPr>
            </w:pPr>
            <w:r w:rsidRPr="000615D2">
              <w:rPr>
                <w:bCs/>
                <w:sz w:val="19"/>
                <w:szCs w:val="19"/>
              </w:rPr>
              <w:t>Missing</w:t>
            </w:r>
          </w:p>
        </w:tc>
        <w:tc>
          <w:tcPr>
            <w:tcW w:w="900" w:type="dxa"/>
          </w:tcPr>
          <w:p w14:paraId="2D400BD1" w14:textId="77777777" w:rsidR="00416284" w:rsidRPr="000615D2" w:rsidRDefault="00416284" w:rsidP="00416284">
            <w:pPr>
              <w:rPr>
                <w:bCs/>
                <w:sz w:val="19"/>
                <w:szCs w:val="19"/>
              </w:rPr>
            </w:pPr>
          </w:p>
          <w:p w14:paraId="0D120F7F" w14:textId="77777777" w:rsidR="00416284" w:rsidRPr="000615D2" w:rsidRDefault="00416284" w:rsidP="00416284">
            <w:pPr>
              <w:rPr>
                <w:bCs/>
                <w:sz w:val="19"/>
                <w:szCs w:val="19"/>
              </w:rPr>
            </w:pPr>
            <w:r w:rsidRPr="000615D2">
              <w:rPr>
                <w:bCs/>
                <w:sz w:val="19"/>
                <w:szCs w:val="19"/>
              </w:rPr>
              <w:t>334</w:t>
            </w:r>
          </w:p>
          <w:p w14:paraId="08E921F4" w14:textId="77777777" w:rsidR="00416284" w:rsidRPr="000615D2" w:rsidRDefault="00416284" w:rsidP="00416284">
            <w:pPr>
              <w:rPr>
                <w:bCs/>
                <w:sz w:val="19"/>
                <w:szCs w:val="19"/>
              </w:rPr>
            </w:pPr>
            <w:r w:rsidRPr="000615D2">
              <w:rPr>
                <w:bCs/>
                <w:sz w:val="19"/>
                <w:szCs w:val="19"/>
              </w:rPr>
              <w:t>444</w:t>
            </w:r>
          </w:p>
          <w:p w14:paraId="72C8448F" w14:textId="77777777" w:rsidR="00416284" w:rsidRPr="000615D2" w:rsidRDefault="00416284" w:rsidP="00416284">
            <w:pPr>
              <w:rPr>
                <w:bCs/>
                <w:sz w:val="19"/>
                <w:szCs w:val="19"/>
              </w:rPr>
            </w:pPr>
            <w:r w:rsidRPr="000615D2">
              <w:rPr>
                <w:bCs/>
                <w:sz w:val="19"/>
                <w:szCs w:val="19"/>
              </w:rPr>
              <w:t>6</w:t>
            </w:r>
          </w:p>
        </w:tc>
        <w:tc>
          <w:tcPr>
            <w:tcW w:w="1080" w:type="dxa"/>
          </w:tcPr>
          <w:p w14:paraId="07FB27A0" w14:textId="77777777" w:rsidR="00416284" w:rsidRPr="000615D2" w:rsidRDefault="00416284" w:rsidP="00416284">
            <w:pPr>
              <w:rPr>
                <w:bCs/>
                <w:sz w:val="19"/>
                <w:szCs w:val="19"/>
              </w:rPr>
            </w:pPr>
          </w:p>
          <w:p w14:paraId="492BDA66" w14:textId="77777777" w:rsidR="00416284" w:rsidRPr="000615D2" w:rsidRDefault="00416284" w:rsidP="00416284">
            <w:pPr>
              <w:rPr>
                <w:bCs/>
                <w:sz w:val="19"/>
                <w:szCs w:val="19"/>
              </w:rPr>
            </w:pPr>
            <w:r w:rsidRPr="000615D2">
              <w:rPr>
                <w:bCs/>
                <w:sz w:val="19"/>
                <w:szCs w:val="19"/>
              </w:rPr>
              <w:t>42.6</w:t>
            </w:r>
          </w:p>
          <w:p w14:paraId="32665A84" w14:textId="77777777" w:rsidR="00416284" w:rsidRPr="000615D2" w:rsidRDefault="00416284" w:rsidP="00416284">
            <w:pPr>
              <w:rPr>
                <w:bCs/>
                <w:sz w:val="19"/>
                <w:szCs w:val="19"/>
              </w:rPr>
            </w:pPr>
            <w:r w:rsidRPr="000615D2">
              <w:rPr>
                <w:bCs/>
                <w:sz w:val="19"/>
                <w:szCs w:val="19"/>
              </w:rPr>
              <w:t>56.6</w:t>
            </w:r>
          </w:p>
          <w:p w14:paraId="1BAB3D2B" w14:textId="77777777" w:rsidR="00416284" w:rsidRPr="000615D2" w:rsidRDefault="00416284" w:rsidP="00416284">
            <w:pPr>
              <w:rPr>
                <w:bCs/>
                <w:sz w:val="19"/>
                <w:szCs w:val="19"/>
              </w:rPr>
            </w:pPr>
            <w:r w:rsidRPr="000615D2">
              <w:rPr>
                <w:bCs/>
                <w:sz w:val="19"/>
                <w:szCs w:val="19"/>
              </w:rPr>
              <w:t>0.8</w:t>
            </w:r>
          </w:p>
        </w:tc>
        <w:tc>
          <w:tcPr>
            <w:tcW w:w="990" w:type="dxa"/>
          </w:tcPr>
          <w:p w14:paraId="13564B7A" w14:textId="77777777" w:rsidR="00416284" w:rsidRPr="000615D2" w:rsidRDefault="00416284" w:rsidP="00416284">
            <w:pPr>
              <w:rPr>
                <w:bCs/>
                <w:sz w:val="19"/>
                <w:szCs w:val="19"/>
              </w:rPr>
            </w:pPr>
          </w:p>
          <w:p w14:paraId="709A4B47" w14:textId="77777777" w:rsidR="00416284" w:rsidRPr="000615D2" w:rsidRDefault="00416284" w:rsidP="00416284">
            <w:pPr>
              <w:rPr>
                <w:bCs/>
                <w:sz w:val="19"/>
                <w:szCs w:val="19"/>
              </w:rPr>
            </w:pPr>
            <w:r w:rsidRPr="000615D2">
              <w:rPr>
                <w:bCs/>
                <w:sz w:val="19"/>
                <w:szCs w:val="19"/>
              </w:rPr>
              <w:t>167</w:t>
            </w:r>
          </w:p>
          <w:p w14:paraId="6A46D954" w14:textId="77777777" w:rsidR="00416284" w:rsidRPr="000615D2" w:rsidRDefault="00416284" w:rsidP="00416284">
            <w:pPr>
              <w:rPr>
                <w:bCs/>
                <w:sz w:val="19"/>
                <w:szCs w:val="19"/>
              </w:rPr>
            </w:pPr>
            <w:r w:rsidRPr="000615D2">
              <w:rPr>
                <w:bCs/>
                <w:sz w:val="19"/>
                <w:szCs w:val="19"/>
              </w:rPr>
              <w:t>220</w:t>
            </w:r>
          </w:p>
          <w:p w14:paraId="3B0C5324" w14:textId="77777777" w:rsidR="00416284" w:rsidRPr="000615D2" w:rsidRDefault="00416284" w:rsidP="00416284">
            <w:pPr>
              <w:rPr>
                <w:bCs/>
                <w:sz w:val="19"/>
                <w:szCs w:val="19"/>
              </w:rPr>
            </w:pPr>
            <w:r w:rsidRPr="000615D2">
              <w:rPr>
                <w:bCs/>
                <w:sz w:val="19"/>
                <w:szCs w:val="19"/>
              </w:rPr>
              <w:t>3</w:t>
            </w:r>
          </w:p>
        </w:tc>
        <w:tc>
          <w:tcPr>
            <w:tcW w:w="990" w:type="dxa"/>
          </w:tcPr>
          <w:p w14:paraId="62DE6DEF" w14:textId="77777777" w:rsidR="00416284" w:rsidRPr="000615D2" w:rsidRDefault="00416284" w:rsidP="00416284">
            <w:pPr>
              <w:rPr>
                <w:bCs/>
                <w:sz w:val="19"/>
                <w:szCs w:val="19"/>
              </w:rPr>
            </w:pPr>
          </w:p>
          <w:p w14:paraId="0A2C4C35" w14:textId="77777777" w:rsidR="00416284" w:rsidRPr="000615D2" w:rsidRDefault="00416284" w:rsidP="00416284">
            <w:pPr>
              <w:rPr>
                <w:bCs/>
                <w:sz w:val="19"/>
                <w:szCs w:val="19"/>
              </w:rPr>
            </w:pPr>
            <w:r w:rsidRPr="000615D2">
              <w:rPr>
                <w:bCs/>
                <w:sz w:val="19"/>
                <w:szCs w:val="19"/>
              </w:rPr>
              <w:t>42.8</w:t>
            </w:r>
          </w:p>
          <w:p w14:paraId="607453AF" w14:textId="77777777" w:rsidR="00416284" w:rsidRPr="000615D2" w:rsidRDefault="00416284" w:rsidP="00416284">
            <w:pPr>
              <w:rPr>
                <w:bCs/>
                <w:sz w:val="19"/>
                <w:szCs w:val="19"/>
              </w:rPr>
            </w:pPr>
            <w:r w:rsidRPr="000615D2">
              <w:rPr>
                <w:bCs/>
                <w:sz w:val="19"/>
                <w:szCs w:val="19"/>
              </w:rPr>
              <w:t>56.4</w:t>
            </w:r>
          </w:p>
          <w:p w14:paraId="69BB56E2" w14:textId="77777777" w:rsidR="00416284" w:rsidRPr="000615D2" w:rsidRDefault="00416284" w:rsidP="00416284">
            <w:pPr>
              <w:rPr>
                <w:bCs/>
                <w:sz w:val="19"/>
                <w:szCs w:val="19"/>
              </w:rPr>
            </w:pPr>
            <w:r w:rsidRPr="000615D2">
              <w:rPr>
                <w:bCs/>
                <w:sz w:val="19"/>
                <w:szCs w:val="19"/>
              </w:rPr>
              <w:t>0.8</w:t>
            </w:r>
          </w:p>
        </w:tc>
        <w:tc>
          <w:tcPr>
            <w:tcW w:w="990" w:type="dxa"/>
          </w:tcPr>
          <w:p w14:paraId="53011509" w14:textId="77777777" w:rsidR="00416284" w:rsidRPr="000615D2" w:rsidRDefault="00416284" w:rsidP="00416284">
            <w:pPr>
              <w:rPr>
                <w:bCs/>
                <w:sz w:val="19"/>
                <w:szCs w:val="19"/>
              </w:rPr>
            </w:pPr>
          </w:p>
          <w:p w14:paraId="6B90DA8D" w14:textId="77777777" w:rsidR="00416284" w:rsidRPr="000615D2" w:rsidRDefault="00416284" w:rsidP="00416284">
            <w:pPr>
              <w:rPr>
                <w:bCs/>
                <w:sz w:val="19"/>
                <w:szCs w:val="19"/>
              </w:rPr>
            </w:pPr>
            <w:r w:rsidRPr="000615D2">
              <w:rPr>
                <w:bCs/>
                <w:sz w:val="19"/>
                <w:szCs w:val="19"/>
              </w:rPr>
              <w:t>501</w:t>
            </w:r>
          </w:p>
          <w:p w14:paraId="2F1D3CB9" w14:textId="77777777" w:rsidR="00416284" w:rsidRPr="000615D2" w:rsidRDefault="00416284" w:rsidP="00416284">
            <w:pPr>
              <w:rPr>
                <w:bCs/>
                <w:sz w:val="19"/>
                <w:szCs w:val="19"/>
              </w:rPr>
            </w:pPr>
            <w:r w:rsidRPr="000615D2">
              <w:rPr>
                <w:bCs/>
                <w:sz w:val="19"/>
                <w:szCs w:val="19"/>
              </w:rPr>
              <w:t>664</w:t>
            </w:r>
          </w:p>
          <w:p w14:paraId="0FAF5575" w14:textId="77777777" w:rsidR="00416284" w:rsidRPr="000615D2" w:rsidRDefault="00416284" w:rsidP="00416284">
            <w:pPr>
              <w:rPr>
                <w:bCs/>
                <w:sz w:val="19"/>
                <w:szCs w:val="19"/>
              </w:rPr>
            </w:pPr>
            <w:r w:rsidRPr="000615D2">
              <w:rPr>
                <w:bCs/>
                <w:sz w:val="19"/>
                <w:szCs w:val="19"/>
              </w:rPr>
              <w:t>9</w:t>
            </w:r>
          </w:p>
        </w:tc>
        <w:tc>
          <w:tcPr>
            <w:tcW w:w="990" w:type="dxa"/>
          </w:tcPr>
          <w:p w14:paraId="546E3196" w14:textId="77777777" w:rsidR="00416284" w:rsidRPr="000615D2" w:rsidRDefault="00416284" w:rsidP="00416284">
            <w:pPr>
              <w:rPr>
                <w:bCs/>
                <w:sz w:val="19"/>
                <w:szCs w:val="19"/>
              </w:rPr>
            </w:pPr>
          </w:p>
          <w:p w14:paraId="2271174B" w14:textId="77777777" w:rsidR="00416284" w:rsidRPr="000615D2" w:rsidRDefault="00416284" w:rsidP="00416284">
            <w:pPr>
              <w:rPr>
                <w:bCs/>
                <w:sz w:val="19"/>
                <w:szCs w:val="19"/>
              </w:rPr>
            </w:pPr>
            <w:r w:rsidRPr="000615D2">
              <w:rPr>
                <w:bCs/>
                <w:sz w:val="19"/>
                <w:szCs w:val="19"/>
              </w:rPr>
              <w:t>42.7</w:t>
            </w:r>
          </w:p>
          <w:p w14:paraId="67975CE1" w14:textId="77777777" w:rsidR="00416284" w:rsidRPr="000615D2" w:rsidRDefault="00416284" w:rsidP="00416284">
            <w:pPr>
              <w:rPr>
                <w:bCs/>
                <w:sz w:val="19"/>
                <w:szCs w:val="19"/>
              </w:rPr>
            </w:pPr>
            <w:r w:rsidRPr="000615D2">
              <w:rPr>
                <w:bCs/>
                <w:sz w:val="19"/>
                <w:szCs w:val="19"/>
              </w:rPr>
              <w:t>56.6</w:t>
            </w:r>
          </w:p>
          <w:p w14:paraId="34D30C44" w14:textId="77777777" w:rsidR="00416284" w:rsidRPr="000615D2" w:rsidRDefault="00416284" w:rsidP="00416284">
            <w:pPr>
              <w:rPr>
                <w:bCs/>
                <w:sz w:val="19"/>
                <w:szCs w:val="19"/>
              </w:rPr>
            </w:pPr>
            <w:r w:rsidRPr="000615D2">
              <w:rPr>
                <w:bCs/>
                <w:sz w:val="19"/>
                <w:szCs w:val="19"/>
              </w:rPr>
              <w:t>0.8</w:t>
            </w:r>
          </w:p>
        </w:tc>
      </w:tr>
      <w:tr w:rsidR="00416284" w:rsidRPr="008E425A" w14:paraId="1E8180BF" w14:textId="77777777" w:rsidTr="00870904">
        <w:tc>
          <w:tcPr>
            <w:tcW w:w="2875" w:type="dxa"/>
          </w:tcPr>
          <w:p w14:paraId="1808FCA6" w14:textId="77777777" w:rsidR="00416284" w:rsidRPr="000615D2" w:rsidRDefault="00416284" w:rsidP="00416284">
            <w:pPr>
              <w:ind w:left="0"/>
              <w:rPr>
                <w:bCs/>
                <w:sz w:val="19"/>
                <w:szCs w:val="19"/>
              </w:rPr>
            </w:pPr>
            <w:r w:rsidRPr="000615D2">
              <w:rPr>
                <w:bCs/>
                <w:sz w:val="19"/>
                <w:szCs w:val="19"/>
              </w:rPr>
              <w:t>Tumour size T1/T2</w:t>
            </w:r>
          </w:p>
          <w:p w14:paraId="2BD1373C" w14:textId="77777777" w:rsidR="00416284" w:rsidRPr="000615D2" w:rsidRDefault="00416284" w:rsidP="00416284">
            <w:pPr>
              <w:ind w:left="0"/>
              <w:rPr>
                <w:bCs/>
                <w:sz w:val="19"/>
                <w:szCs w:val="19"/>
              </w:rPr>
            </w:pPr>
            <w:r w:rsidRPr="000615D2">
              <w:rPr>
                <w:bCs/>
                <w:sz w:val="19"/>
                <w:szCs w:val="19"/>
              </w:rPr>
              <w:t>Tumour size T2/T4</w:t>
            </w:r>
          </w:p>
        </w:tc>
        <w:tc>
          <w:tcPr>
            <w:tcW w:w="900" w:type="dxa"/>
          </w:tcPr>
          <w:p w14:paraId="1440C4DA" w14:textId="77777777" w:rsidR="00416284" w:rsidRPr="000615D2" w:rsidRDefault="00416284" w:rsidP="00416284">
            <w:pPr>
              <w:rPr>
                <w:bCs/>
                <w:sz w:val="19"/>
                <w:szCs w:val="19"/>
              </w:rPr>
            </w:pPr>
            <w:r w:rsidRPr="000615D2">
              <w:rPr>
                <w:bCs/>
                <w:sz w:val="19"/>
                <w:szCs w:val="19"/>
              </w:rPr>
              <w:t>580</w:t>
            </w:r>
          </w:p>
          <w:p w14:paraId="13CCA0B0" w14:textId="77777777" w:rsidR="00416284" w:rsidRPr="000615D2" w:rsidRDefault="00416284" w:rsidP="00416284">
            <w:pPr>
              <w:rPr>
                <w:bCs/>
                <w:sz w:val="19"/>
                <w:szCs w:val="19"/>
              </w:rPr>
            </w:pPr>
            <w:r w:rsidRPr="000615D2">
              <w:rPr>
                <w:bCs/>
                <w:sz w:val="19"/>
                <w:szCs w:val="19"/>
              </w:rPr>
              <w:t>204</w:t>
            </w:r>
          </w:p>
        </w:tc>
        <w:tc>
          <w:tcPr>
            <w:tcW w:w="1080" w:type="dxa"/>
          </w:tcPr>
          <w:p w14:paraId="2C3D29F9" w14:textId="77777777" w:rsidR="00416284" w:rsidRPr="000615D2" w:rsidRDefault="00416284" w:rsidP="00416284">
            <w:pPr>
              <w:rPr>
                <w:bCs/>
                <w:sz w:val="19"/>
                <w:szCs w:val="19"/>
              </w:rPr>
            </w:pPr>
            <w:r w:rsidRPr="000615D2">
              <w:rPr>
                <w:bCs/>
                <w:sz w:val="19"/>
                <w:szCs w:val="19"/>
              </w:rPr>
              <w:t>74.0</w:t>
            </w:r>
          </w:p>
          <w:p w14:paraId="41800B7A" w14:textId="77777777" w:rsidR="00416284" w:rsidRPr="000615D2" w:rsidRDefault="00416284" w:rsidP="00416284">
            <w:pPr>
              <w:rPr>
                <w:bCs/>
                <w:sz w:val="19"/>
                <w:szCs w:val="19"/>
              </w:rPr>
            </w:pPr>
            <w:r w:rsidRPr="000615D2">
              <w:rPr>
                <w:bCs/>
                <w:sz w:val="19"/>
                <w:szCs w:val="19"/>
              </w:rPr>
              <w:t>26.0</w:t>
            </w:r>
          </w:p>
        </w:tc>
        <w:tc>
          <w:tcPr>
            <w:tcW w:w="990" w:type="dxa"/>
          </w:tcPr>
          <w:p w14:paraId="68450EE0" w14:textId="77777777" w:rsidR="00416284" w:rsidRPr="000615D2" w:rsidRDefault="00416284" w:rsidP="00416284">
            <w:pPr>
              <w:rPr>
                <w:bCs/>
                <w:sz w:val="19"/>
                <w:szCs w:val="19"/>
              </w:rPr>
            </w:pPr>
            <w:r w:rsidRPr="000615D2">
              <w:rPr>
                <w:bCs/>
                <w:sz w:val="19"/>
                <w:szCs w:val="19"/>
              </w:rPr>
              <w:t>290</w:t>
            </w:r>
          </w:p>
          <w:p w14:paraId="3C58931F" w14:textId="77777777" w:rsidR="00416284" w:rsidRPr="000615D2" w:rsidRDefault="00416284" w:rsidP="00416284">
            <w:pPr>
              <w:rPr>
                <w:bCs/>
                <w:sz w:val="19"/>
                <w:szCs w:val="19"/>
              </w:rPr>
            </w:pPr>
            <w:r w:rsidRPr="000615D2">
              <w:rPr>
                <w:bCs/>
                <w:sz w:val="19"/>
                <w:szCs w:val="19"/>
              </w:rPr>
              <w:t>100</w:t>
            </w:r>
          </w:p>
        </w:tc>
        <w:tc>
          <w:tcPr>
            <w:tcW w:w="990" w:type="dxa"/>
          </w:tcPr>
          <w:p w14:paraId="2D10EDBF" w14:textId="77777777" w:rsidR="00416284" w:rsidRPr="000615D2" w:rsidRDefault="00416284" w:rsidP="00416284">
            <w:pPr>
              <w:rPr>
                <w:bCs/>
                <w:sz w:val="19"/>
                <w:szCs w:val="19"/>
              </w:rPr>
            </w:pPr>
            <w:r w:rsidRPr="000615D2">
              <w:rPr>
                <w:bCs/>
                <w:sz w:val="19"/>
                <w:szCs w:val="19"/>
              </w:rPr>
              <w:t>74.4</w:t>
            </w:r>
          </w:p>
          <w:p w14:paraId="7D7D77EC" w14:textId="77777777" w:rsidR="00416284" w:rsidRPr="000615D2" w:rsidRDefault="00416284" w:rsidP="00416284">
            <w:pPr>
              <w:rPr>
                <w:bCs/>
                <w:sz w:val="19"/>
                <w:szCs w:val="19"/>
              </w:rPr>
            </w:pPr>
            <w:r w:rsidRPr="000615D2">
              <w:rPr>
                <w:bCs/>
                <w:sz w:val="19"/>
                <w:szCs w:val="19"/>
              </w:rPr>
              <w:t>25.6</w:t>
            </w:r>
          </w:p>
        </w:tc>
        <w:tc>
          <w:tcPr>
            <w:tcW w:w="990" w:type="dxa"/>
          </w:tcPr>
          <w:p w14:paraId="516E9A23" w14:textId="77777777" w:rsidR="00416284" w:rsidRPr="000615D2" w:rsidRDefault="00416284" w:rsidP="00416284">
            <w:pPr>
              <w:rPr>
                <w:bCs/>
                <w:sz w:val="19"/>
                <w:szCs w:val="19"/>
              </w:rPr>
            </w:pPr>
            <w:r w:rsidRPr="000615D2">
              <w:rPr>
                <w:bCs/>
                <w:sz w:val="19"/>
                <w:szCs w:val="19"/>
              </w:rPr>
              <w:t>870</w:t>
            </w:r>
          </w:p>
          <w:p w14:paraId="1B1BFEDE" w14:textId="77777777" w:rsidR="00416284" w:rsidRPr="000615D2" w:rsidRDefault="00416284" w:rsidP="00416284">
            <w:pPr>
              <w:rPr>
                <w:bCs/>
                <w:sz w:val="19"/>
                <w:szCs w:val="19"/>
              </w:rPr>
            </w:pPr>
            <w:r w:rsidRPr="000615D2">
              <w:rPr>
                <w:bCs/>
                <w:sz w:val="19"/>
                <w:szCs w:val="19"/>
              </w:rPr>
              <w:t>304</w:t>
            </w:r>
          </w:p>
        </w:tc>
        <w:tc>
          <w:tcPr>
            <w:tcW w:w="990" w:type="dxa"/>
          </w:tcPr>
          <w:p w14:paraId="1C0D4F6F" w14:textId="77777777" w:rsidR="00416284" w:rsidRPr="000615D2" w:rsidRDefault="00416284" w:rsidP="00416284">
            <w:pPr>
              <w:rPr>
                <w:bCs/>
                <w:sz w:val="19"/>
                <w:szCs w:val="19"/>
              </w:rPr>
            </w:pPr>
            <w:r w:rsidRPr="000615D2">
              <w:rPr>
                <w:bCs/>
                <w:sz w:val="19"/>
                <w:szCs w:val="19"/>
              </w:rPr>
              <w:t>74.1</w:t>
            </w:r>
          </w:p>
          <w:p w14:paraId="45AD256C" w14:textId="77777777" w:rsidR="00416284" w:rsidRPr="000615D2" w:rsidRDefault="00416284" w:rsidP="00416284">
            <w:pPr>
              <w:rPr>
                <w:bCs/>
                <w:sz w:val="19"/>
                <w:szCs w:val="19"/>
              </w:rPr>
            </w:pPr>
            <w:r w:rsidRPr="000615D2">
              <w:rPr>
                <w:bCs/>
                <w:sz w:val="19"/>
                <w:szCs w:val="19"/>
              </w:rPr>
              <w:t>25.9</w:t>
            </w:r>
          </w:p>
        </w:tc>
      </w:tr>
      <w:tr w:rsidR="00416284" w:rsidRPr="008E425A" w14:paraId="46AF62AC" w14:textId="77777777" w:rsidTr="00870904">
        <w:tc>
          <w:tcPr>
            <w:tcW w:w="2875" w:type="dxa"/>
          </w:tcPr>
          <w:p w14:paraId="6934D110" w14:textId="77777777" w:rsidR="00416284" w:rsidRPr="000615D2" w:rsidRDefault="00416284" w:rsidP="00416284">
            <w:pPr>
              <w:ind w:left="0"/>
              <w:rPr>
                <w:bCs/>
                <w:sz w:val="19"/>
                <w:szCs w:val="19"/>
              </w:rPr>
            </w:pPr>
            <w:r w:rsidRPr="000615D2">
              <w:rPr>
                <w:bCs/>
                <w:sz w:val="19"/>
                <w:szCs w:val="19"/>
              </w:rPr>
              <w:t>Nodes positive</w:t>
            </w:r>
          </w:p>
          <w:p w14:paraId="2A453D10" w14:textId="77777777" w:rsidR="00416284" w:rsidRPr="000615D2" w:rsidRDefault="00416284" w:rsidP="00416284">
            <w:pPr>
              <w:ind w:left="0"/>
              <w:rPr>
                <w:bCs/>
                <w:sz w:val="19"/>
                <w:szCs w:val="19"/>
              </w:rPr>
            </w:pPr>
            <w:r w:rsidRPr="000615D2">
              <w:rPr>
                <w:bCs/>
                <w:sz w:val="19"/>
                <w:szCs w:val="19"/>
              </w:rPr>
              <w:t>Nodes negative</w:t>
            </w:r>
          </w:p>
        </w:tc>
        <w:tc>
          <w:tcPr>
            <w:tcW w:w="900" w:type="dxa"/>
          </w:tcPr>
          <w:p w14:paraId="3D445805" w14:textId="77777777" w:rsidR="00416284" w:rsidRPr="000615D2" w:rsidRDefault="00416284" w:rsidP="00416284">
            <w:pPr>
              <w:rPr>
                <w:bCs/>
                <w:sz w:val="19"/>
                <w:szCs w:val="19"/>
              </w:rPr>
            </w:pPr>
            <w:r w:rsidRPr="000615D2">
              <w:rPr>
                <w:bCs/>
                <w:sz w:val="19"/>
                <w:szCs w:val="19"/>
              </w:rPr>
              <w:t>405</w:t>
            </w:r>
          </w:p>
          <w:p w14:paraId="01F17D0E" w14:textId="77777777" w:rsidR="00416284" w:rsidRPr="000615D2" w:rsidRDefault="00416284" w:rsidP="00416284">
            <w:pPr>
              <w:rPr>
                <w:bCs/>
                <w:sz w:val="19"/>
                <w:szCs w:val="19"/>
              </w:rPr>
            </w:pPr>
            <w:r w:rsidRPr="000615D2">
              <w:rPr>
                <w:bCs/>
                <w:sz w:val="19"/>
                <w:szCs w:val="19"/>
              </w:rPr>
              <w:t>379</w:t>
            </w:r>
          </w:p>
        </w:tc>
        <w:tc>
          <w:tcPr>
            <w:tcW w:w="1080" w:type="dxa"/>
          </w:tcPr>
          <w:p w14:paraId="28572F45" w14:textId="77777777" w:rsidR="00416284" w:rsidRPr="000615D2" w:rsidRDefault="00416284" w:rsidP="00416284">
            <w:pPr>
              <w:rPr>
                <w:bCs/>
                <w:sz w:val="19"/>
                <w:szCs w:val="19"/>
              </w:rPr>
            </w:pPr>
            <w:r w:rsidRPr="000615D2">
              <w:rPr>
                <w:bCs/>
                <w:sz w:val="19"/>
                <w:szCs w:val="19"/>
              </w:rPr>
              <w:t>51.7</w:t>
            </w:r>
          </w:p>
          <w:p w14:paraId="33BD31DA" w14:textId="77777777" w:rsidR="00416284" w:rsidRPr="000615D2" w:rsidRDefault="00416284" w:rsidP="00416284">
            <w:pPr>
              <w:rPr>
                <w:bCs/>
                <w:sz w:val="19"/>
                <w:szCs w:val="19"/>
              </w:rPr>
            </w:pPr>
            <w:r w:rsidRPr="000615D2">
              <w:rPr>
                <w:bCs/>
                <w:sz w:val="19"/>
                <w:szCs w:val="19"/>
              </w:rPr>
              <w:t>48.3</w:t>
            </w:r>
          </w:p>
        </w:tc>
        <w:tc>
          <w:tcPr>
            <w:tcW w:w="990" w:type="dxa"/>
          </w:tcPr>
          <w:p w14:paraId="7C2E431F" w14:textId="77777777" w:rsidR="00416284" w:rsidRPr="000615D2" w:rsidRDefault="00416284" w:rsidP="00416284">
            <w:pPr>
              <w:rPr>
                <w:bCs/>
                <w:sz w:val="19"/>
                <w:szCs w:val="19"/>
              </w:rPr>
            </w:pPr>
            <w:r w:rsidRPr="000615D2">
              <w:rPr>
                <w:bCs/>
                <w:sz w:val="19"/>
                <w:szCs w:val="19"/>
              </w:rPr>
              <w:t>200</w:t>
            </w:r>
          </w:p>
          <w:p w14:paraId="15D1EEAE" w14:textId="77777777" w:rsidR="00416284" w:rsidRPr="000615D2" w:rsidRDefault="00416284" w:rsidP="00416284">
            <w:pPr>
              <w:rPr>
                <w:bCs/>
                <w:sz w:val="19"/>
                <w:szCs w:val="19"/>
              </w:rPr>
            </w:pPr>
            <w:r w:rsidRPr="000615D2">
              <w:rPr>
                <w:bCs/>
                <w:sz w:val="19"/>
                <w:szCs w:val="19"/>
              </w:rPr>
              <w:t>190</w:t>
            </w:r>
          </w:p>
        </w:tc>
        <w:tc>
          <w:tcPr>
            <w:tcW w:w="990" w:type="dxa"/>
          </w:tcPr>
          <w:p w14:paraId="31BE4AC6" w14:textId="77777777" w:rsidR="00416284" w:rsidRPr="000615D2" w:rsidRDefault="00416284" w:rsidP="00416284">
            <w:pPr>
              <w:rPr>
                <w:bCs/>
                <w:sz w:val="19"/>
                <w:szCs w:val="19"/>
              </w:rPr>
            </w:pPr>
            <w:r w:rsidRPr="000615D2">
              <w:rPr>
                <w:bCs/>
                <w:sz w:val="19"/>
                <w:szCs w:val="19"/>
              </w:rPr>
              <w:t>51.3</w:t>
            </w:r>
          </w:p>
          <w:p w14:paraId="6C47654B" w14:textId="77777777" w:rsidR="00416284" w:rsidRPr="000615D2" w:rsidRDefault="00416284" w:rsidP="00416284">
            <w:pPr>
              <w:rPr>
                <w:bCs/>
                <w:sz w:val="19"/>
                <w:szCs w:val="19"/>
              </w:rPr>
            </w:pPr>
            <w:r w:rsidRPr="000615D2">
              <w:rPr>
                <w:bCs/>
                <w:sz w:val="19"/>
                <w:szCs w:val="19"/>
              </w:rPr>
              <w:t>48.7</w:t>
            </w:r>
          </w:p>
        </w:tc>
        <w:tc>
          <w:tcPr>
            <w:tcW w:w="990" w:type="dxa"/>
          </w:tcPr>
          <w:p w14:paraId="0A05E682" w14:textId="77777777" w:rsidR="00416284" w:rsidRPr="000615D2" w:rsidRDefault="00416284" w:rsidP="00416284">
            <w:pPr>
              <w:rPr>
                <w:bCs/>
                <w:sz w:val="19"/>
                <w:szCs w:val="19"/>
              </w:rPr>
            </w:pPr>
            <w:r w:rsidRPr="000615D2">
              <w:rPr>
                <w:bCs/>
                <w:sz w:val="19"/>
                <w:szCs w:val="19"/>
              </w:rPr>
              <w:t>605</w:t>
            </w:r>
          </w:p>
          <w:p w14:paraId="1F68D13C" w14:textId="77777777" w:rsidR="00416284" w:rsidRPr="000615D2" w:rsidRDefault="00416284" w:rsidP="00416284">
            <w:pPr>
              <w:rPr>
                <w:bCs/>
                <w:sz w:val="19"/>
                <w:szCs w:val="19"/>
              </w:rPr>
            </w:pPr>
            <w:r w:rsidRPr="000615D2">
              <w:rPr>
                <w:bCs/>
                <w:sz w:val="19"/>
                <w:szCs w:val="19"/>
              </w:rPr>
              <w:t>569</w:t>
            </w:r>
          </w:p>
        </w:tc>
        <w:tc>
          <w:tcPr>
            <w:tcW w:w="990" w:type="dxa"/>
          </w:tcPr>
          <w:p w14:paraId="132FB3A1" w14:textId="77777777" w:rsidR="00416284" w:rsidRPr="000615D2" w:rsidRDefault="00416284" w:rsidP="00416284">
            <w:pPr>
              <w:rPr>
                <w:bCs/>
                <w:sz w:val="19"/>
                <w:szCs w:val="19"/>
              </w:rPr>
            </w:pPr>
            <w:r w:rsidRPr="000615D2">
              <w:rPr>
                <w:bCs/>
                <w:sz w:val="19"/>
                <w:szCs w:val="19"/>
              </w:rPr>
              <w:t>51.5</w:t>
            </w:r>
          </w:p>
          <w:p w14:paraId="280AF03F" w14:textId="77777777" w:rsidR="00416284" w:rsidRPr="000615D2" w:rsidRDefault="00416284" w:rsidP="00416284">
            <w:pPr>
              <w:rPr>
                <w:bCs/>
                <w:sz w:val="19"/>
                <w:szCs w:val="19"/>
              </w:rPr>
            </w:pPr>
            <w:r w:rsidRPr="000615D2">
              <w:rPr>
                <w:bCs/>
                <w:sz w:val="19"/>
                <w:szCs w:val="19"/>
              </w:rPr>
              <w:t>48.5</w:t>
            </w:r>
          </w:p>
        </w:tc>
      </w:tr>
      <w:tr w:rsidR="00416284" w:rsidRPr="008E425A" w14:paraId="4C05993F" w14:textId="77777777" w:rsidTr="00870904">
        <w:tc>
          <w:tcPr>
            <w:tcW w:w="2875" w:type="dxa"/>
          </w:tcPr>
          <w:p w14:paraId="51694CC1" w14:textId="77777777" w:rsidR="00416284" w:rsidRPr="000615D2" w:rsidRDefault="00416284" w:rsidP="00416284">
            <w:pPr>
              <w:ind w:left="0"/>
              <w:rPr>
                <w:bCs/>
                <w:sz w:val="19"/>
                <w:szCs w:val="19"/>
              </w:rPr>
            </w:pPr>
            <w:r w:rsidRPr="000615D2">
              <w:rPr>
                <w:bCs/>
                <w:sz w:val="19"/>
                <w:szCs w:val="19"/>
              </w:rPr>
              <w:t>PD-L1 CPS ≥ 1</w:t>
            </w:r>
          </w:p>
          <w:p w14:paraId="4FB27402" w14:textId="77777777" w:rsidR="00416284" w:rsidRPr="000615D2" w:rsidRDefault="00416284" w:rsidP="00416284">
            <w:pPr>
              <w:ind w:left="0"/>
              <w:rPr>
                <w:bCs/>
                <w:sz w:val="19"/>
                <w:szCs w:val="19"/>
              </w:rPr>
            </w:pPr>
            <w:r w:rsidRPr="000615D2">
              <w:rPr>
                <w:bCs/>
                <w:sz w:val="19"/>
                <w:szCs w:val="19"/>
              </w:rPr>
              <w:lastRenderedPageBreak/>
              <w:t>PD-L1 CPS &lt; 1</w:t>
            </w:r>
          </w:p>
          <w:p w14:paraId="0C196026" w14:textId="77777777" w:rsidR="00416284" w:rsidRPr="000615D2" w:rsidRDefault="00416284" w:rsidP="00416284">
            <w:pPr>
              <w:ind w:left="0"/>
              <w:rPr>
                <w:bCs/>
                <w:sz w:val="19"/>
                <w:szCs w:val="19"/>
              </w:rPr>
            </w:pPr>
            <w:r w:rsidRPr="000615D2">
              <w:rPr>
                <w:bCs/>
                <w:sz w:val="19"/>
                <w:szCs w:val="19"/>
              </w:rPr>
              <w:t>Unknown</w:t>
            </w:r>
          </w:p>
        </w:tc>
        <w:tc>
          <w:tcPr>
            <w:tcW w:w="900" w:type="dxa"/>
          </w:tcPr>
          <w:p w14:paraId="448A491A" w14:textId="77777777" w:rsidR="00416284" w:rsidRPr="000615D2" w:rsidRDefault="00416284" w:rsidP="00416284">
            <w:pPr>
              <w:rPr>
                <w:bCs/>
                <w:sz w:val="19"/>
                <w:szCs w:val="19"/>
              </w:rPr>
            </w:pPr>
            <w:r w:rsidRPr="000615D2">
              <w:rPr>
                <w:bCs/>
                <w:sz w:val="19"/>
                <w:szCs w:val="19"/>
              </w:rPr>
              <w:lastRenderedPageBreak/>
              <w:t>656</w:t>
            </w:r>
          </w:p>
          <w:p w14:paraId="0823463C" w14:textId="77777777" w:rsidR="00416284" w:rsidRPr="000615D2" w:rsidRDefault="00416284" w:rsidP="00416284">
            <w:pPr>
              <w:rPr>
                <w:bCs/>
                <w:sz w:val="19"/>
                <w:szCs w:val="19"/>
              </w:rPr>
            </w:pPr>
            <w:r w:rsidRPr="000615D2">
              <w:rPr>
                <w:bCs/>
                <w:sz w:val="19"/>
                <w:szCs w:val="19"/>
              </w:rPr>
              <w:lastRenderedPageBreak/>
              <w:t>128</w:t>
            </w:r>
          </w:p>
          <w:p w14:paraId="4C4A32D4" w14:textId="77777777" w:rsidR="00416284" w:rsidRPr="000615D2" w:rsidRDefault="00416284" w:rsidP="00416284">
            <w:pPr>
              <w:rPr>
                <w:bCs/>
                <w:sz w:val="19"/>
                <w:szCs w:val="19"/>
              </w:rPr>
            </w:pPr>
            <w:r w:rsidRPr="000615D2">
              <w:rPr>
                <w:bCs/>
                <w:sz w:val="19"/>
                <w:szCs w:val="19"/>
              </w:rPr>
              <w:t>0</w:t>
            </w:r>
          </w:p>
        </w:tc>
        <w:tc>
          <w:tcPr>
            <w:tcW w:w="1080" w:type="dxa"/>
          </w:tcPr>
          <w:p w14:paraId="558CD059" w14:textId="77777777" w:rsidR="00416284" w:rsidRPr="000615D2" w:rsidRDefault="00416284" w:rsidP="00416284">
            <w:pPr>
              <w:rPr>
                <w:bCs/>
                <w:sz w:val="19"/>
                <w:szCs w:val="19"/>
              </w:rPr>
            </w:pPr>
            <w:r w:rsidRPr="000615D2">
              <w:rPr>
                <w:bCs/>
                <w:sz w:val="19"/>
                <w:szCs w:val="19"/>
              </w:rPr>
              <w:lastRenderedPageBreak/>
              <w:t>83.7</w:t>
            </w:r>
          </w:p>
          <w:p w14:paraId="1621BE4D" w14:textId="77777777" w:rsidR="00416284" w:rsidRPr="000615D2" w:rsidRDefault="00416284" w:rsidP="00416284">
            <w:pPr>
              <w:rPr>
                <w:bCs/>
                <w:sz w:val="19"/>
                <w:szCs w:val="19"/>
              </w:rPr>
            </w:pPr>
            <w:r w:rsidRPr="000615D2">
              <w:rPr>
                <w:bCs/>
                <w:sz w:val="19"/>
                <w:szCs w:val="19"/>
              </w:rPr>
              <w:lastRenderedPageBreak/>
              <w:t>16.3</w:t>
            </w:r>
          </w:p>
          <w:p w14:paraId="278E4CE4" w14:textId="77777777" w:rsidR="00416284" w:rsidRPr="000615D2" w:rsidRDefault="00416284" w:rsidP="00416284">
            <w:pPr>
              <w:rPr>
                <w:bCs/>
                <w:sz w:val="19"/>
                <w:szCs w:val="19"/>
              </w:rPr>
            </w:pPr>
            <w:r w:rsidRPr="000615D2">
              <w:rPr>
                <w:bCs/>
                <w:sz w:val="19"/>
                <w:szCs w:val="19"/>
              </w:rPr>
              <w:t>0</w:t>
            </w:r>
          </w:p>
        </w:tc>
        <w:tc>
          <w:tcPr>
            <w:tcW w:w="990" w:type="dxa"/>
          </w:tcPr>
          <w:p w14:paraId="19289428" w14:textId="77777777" w:rsidR="00416284" w:rsidRPr="000615D2" w:rsidRDefault="00416284" w:rsidP="00416284">
            <w:pPr>
              <w:rPr>
                <w:bCs/>
                <w:sz w:val="19"/>
                <w:szCs w:val="19"/>
              </w:rPr>
            </w:pPr>
            <w:r w:rsidRPr="000615D2">
              <w:rPr>
                <w:bCs/>
                <w:sz w:val="19"/>
                <w:szCs w:val="19"/>
              </w:rPr>
              <w:lastRenderedPageBreak/>
              <w:t>317</w:t>
            </w:r>
          </w:p>
          <w:p w14:paraId="44C88764" w14:textId="77777777" w:rsidR="00416284" w:rsidRPr="000615D2" w:rsidRDefault="00416284" w:rsidP="00416284">
            <w:pPr>
              <w:rPr>
                <w:bCs/>
                <w:sz w:val="19"/>
                <w:szCs w:val="19"/>
              </w:rPr>
            </w:pPr>
            <w:r w:rsidRPr="000615D2">
              <w:rPr>
                <w:bCs/>
                <w:sz w:val="19"/>
                <w:szCs w:val="19"/>
              </w:rPr>
              <w:lastRenderedPageBreak/>
              <w:t>69</w:t>
            </w:r>
          </w:p>
          <w:p w14:paraId="5BFEDE65" w14:textId="77777777" w:rsidR="00416284" w:rsidRPr="000615D2" w:rsidRDefault="00416284" w:rsidP="00416284">
            <w:pPr>
              <w:rPr>
                <w:bCs/>
                <w:sz w:val="19"/>
                <w:szCs w:val="19"/>
              </w:rPr>
            </w:pPr>
            <w:r w:rsidRPr="000615D2">
              <w:rPr>
                <w:bCs/>
                <w:sz w:val="19"/>
                <w:szCs w:val="19"/>
              </w:rPr>
              <w:t>4</w:t>
            </w:r>
          </w:p>
        </w:tc>
        <w:tc>
          <w:tcPr>
            <w:tcW w:w="990" w:type="dxa"/>
          </w:tcPr>
          <w:p w14:paraId="5BA6A514" w14:textId="77777777" w:rsidR="00416284" w:rsidRPr="000615D2" w:rsidRDefault="00416284" w:rsidP="00416284">
            <w:pPr>
              <w:rPr>
                <w:bCs/>
                <w:sz w:val="19"/>
                <w:szCs w:val="19"/>
              </w:rPr>
            </w:pPr>
            <w:r w:rsidRPr="000615D2">
              <w:rPr>
                <w:bCs/>
                <w:sz w:val="19"/>
                <w:szCs w:val="19"/>
              </w:rPr>
              <w:lastRenderedPageBreak/>
              <w:t>81.3</w:t>
            </w:r>
          </w:p>
          <w:p w14:paraId="2317C8AF" w14:textId="77777777" w:rsidR="00416284" w:rsidRPr="000615D2" w:rsidRDefault="00416284" w:rsidP="00416284">
            <w:pPr>
              <w:rPr>
                <w:bCs/>
                <w:sz w:val="19"/>
                <w:szCs w:val="19"/>
              </w:rPr>
            </w:pPr>
            <w:r w:rsidRPr="000615D2">
              <w:rPr>
                <w:bCs/>
                <w:sz w:val="19"/>
                <w:szCs w:val="19"/>
              </w:rPr>
              <w:lastRenderedPageBreak/>
              <w:t>17.7</w:t>
            </w:r>
          </w:p>
          <w:p w14:paraId="627AA1F0" w14:textId="77777777" w:rsidR="00416284" w:rsidRPr="000615D2" w:rsidRDefault="00416284" w:rsidP="00416284">
            <w:pPr>
              <w:rPr>
                <w:bCs/>
                <w:sz w:val="19"/>
                <w:szCs w:val="19"/>
              </w:rPr>
            </w:pPr>
            <w:r w:rsidRPr="000615D2">
              <w:rPr>
                <w:bCs/>
                <w:sz w:val="19"/>
                <w:szCs w:val="19"/>
              </w:rPr>
              <w:t>1.0</w:t>
            </w:r>
          </w:p>
        </w:tc>
        <w:tc>
          <w:tcPr>
            <w:tcW w:w="990" w:type="dxa"/>
          </w:tcPr>
          <w:p w14:paraId="15A34F27" w14:textId="77777777" w:rsidR="00416284" w:rsidRPr="000615D2" w:rsidRDefault="00416284" w:rsidP="00416284">
            <w:pPr>
              <w:rPr>
                <w:bCs/>
                <w:sz w:val="19"/>
                <w:szCs w:val="19"/>
              </w:rPr>
            </w:pPr>
            <w:r w:rsidRPr="000615D2">
              <w:rPr>
                <w:bCs/>
                <w:sz w:val="19"/>
                <w:szCs w:val="19"/>
              </w:rPr>
              <w:lastRenderedPageBreak/>
              <w:t>973</w:t>
            </w:r>
          </w:p>
          <w:p w14:paraId="35205247" w14:textId="77777777" w:rsidR="00416284" w:rsidRPr="000615D2" w:rsidRDefault="00416284" w:rsidP="00416284">
            <w:pPr>
              <w:rPr>
                <w:bCs/>
                <w:sz w:val="19"/>
                <w:szCs w:val="19"/>
              </w:rPr>
            </w:pPr>
            <w:r w:rsidRPr="000615D2">
              <w:rPr>
                <w:bCs/>
                <w:sz w:val="19"/>
                <w:szCs w:val="19"/>
              </w:rPr>
              <w:lastRenderedPageBreak/>
              <w:t>197</w:t>
            </w:r>
          </w:p>
          <w:p w14:paraId="34012FBB" w14:textId="77777777" w:rsidR="00416284" w:rsidRPr="000615D2" w:rsidRDefault="00416284" w:rsidP="00416284">
            <w:pPr>
              <w:rPr>
                <w:bCs/>
                <w:sz w:val="19"/>
                <w:szCs w:val="19"/>
              </w:rPr>
            </w:pPr>
            <w:r w:rsidRPr="000615D2">
              <w:rPr>
                <w:bCs/>
                <w:sz w:val="19"/>
                <w:szCs w:val="19"/>
              </w:rPr>
              <w:t>4</w:t>
            </w:r>
          </w:p>
        </w:tc>
        <w:tc>
          <w:tcPr>
            <w:tcW w:w="990" w:type="dxa"/>
          </w:tcPr>
          <w:p w14:paraId="2C90ECC8" w14:textId="77777777" w:rsidR="00416284" w:rsidRPr="000615D2" w:rsidRDefault="00416284" w:rsidP="00416284">
            <w:pPr>
              <w:rPr>
                <w:bCs/>
                <w:sz w:val="19"/>
                <w:szCs w:val="19"/>
              </w:rPr>
            </w:pPr>
            <w:r w:rsidRPr="000615D2">
              <w:rPr>
                <w:bCs/>
                <w:sz w:val="19"/>
                <w:szCs w:val="19"/>
              </w:rPr>
              <w:lastRenderedPageBreak/>
              <w:t>82.9</w:t>
            </w:r>
          </w:p>
          <w:p w14:paraId="4ED871F2" w14:textId="77777777" w:rsidR="00416284" w:rsidRPr="000615D2" w:rsidRDefault="00416284" w:rsidP="00416284">
            <w:pPr>
              <w:rPr>
                <w:bCs/>
                <w:sz w:val="19"/>
                <w:szCs w:val="19"/>
              </w:rPr>
            </w:pPr>
            <w:r w:rsidRPr="000615D2">
              <w:rPr>
                <w:bCs/>
                <w:sz w:val="19"/>
                <w:szCs w:val="19"/>
              </w:rPr>
              <w:lastRenderedPageBreak/>
              <w:t>16.8</w:t>
            </w:r>
          </w:p>
          <w:p w14:paraId="60984114" w14:textId="77777777" w:rsidR="00416284" w:rsidRPr="000615D2" w:rsidRDefault="00416284" w:rsidP="00416284">
            <w:pPr>
              <w:rPr>
                <w:bCs/>
                <w:sz w:val="19"/>
                <w:szCs w:val="19"/>
              </w:rPr>
            </w:pPr>
            <w:r w:rsidRPr="000615D2">
              <w:rPr>
                <w:bCs/>
                <w:sz w:val="19"/>
                <w:szCs w:val="19"/>
              </w:rPr>
              <w:t>0.3</w:t>
            </w:r>
          </w:p>
        </w:tc>
      </w:tr>
    </w:tbl>
    <w:bookmarkEnd w:id="57"/>
    <w:p w14:paraId="39C52E94" w14:textId="165D7F4C" w:rsidR="00EE6863" w:rsidRDefault="00EE6863" w:rsidP="00870904">
      <w:pPr>
        <w:pStyle w:val="TableDescription"/>
      </w:pPr>
      <w:r>
        <w:lastRenderedPageBreak/>
        <w:t>For definitions of tumour size;</w:t>
      </w:r>
      <w:r w:rsidRPr="00870904">
        <w:rPr>
          <w:vertAlign w:val="superscript"/>
        </w:rPr>
        <w:fldChar w:fldCharType="begin"/>
      </w:r>
      <w:r w:rsidRPr="00870904">
        <w:rPr>
          <w:vertAlign w:val="superscript"/>
        </w:rPr>
        <w:instrText xml:space="preserve"> NOTEREF _Ref134090899 \h  \* MERGEFORMAT </w:instrText>
      </w:r>
      <w:r w:rsidRPr="00870904">
        <w:rPr>
          <w:vertAlign w:val="superscript"/>
        </w:rPr>
      </w:r>
      <w:r w:rsidRPr="00870904">
        <w:rPr>
          <w:vertAlign w:val="superscript"/>
        </w:rPr>
        <w:fldChar w:fldCharType="separate"/>
      </w:r>
      <w:r w:rsidR="00A02570">
        <w:rPr>
          <w:vertAlign w:val="superscript"/>
        </w:rPr>
        <w:t>15</w:t>
      </w:r>
      <w:r w:rsidRPr="00870904">
        <w:rPr>
          <w:vertAlign w:val="superscript"/>
        </w:rPr>
        <w:fldChar w:fldCharType="end"/>
      </w:r>
      <w:r>
        <w:t xml:space="preserve"> ECOG performance status scores;</w:t>
      </w:r>
      <w:r w:rsidRPr="00870904">
        <w:rPr>
          <w:vertAlign w:val="superscript"/>
        </w:rPr>
        <w:fldChar w:fldCharType="begin"/>
      </w:r>
      <w:r w:rsidRPr="00870904">
        <w:rPr>
          <w:vertAlign w:val="superscript"/>
        </w:rPr>
        <w:instrText xml:space="preserve"> NOTEREF _Ref134092388 \h  \* MERGEFORMAT </w:instrText>
      </w:r>
      <w:r w:rsidRPr="00870904">
        <w:rPr>
          <w:vertAlign w:val="superscript"/>
        </w:rPr>
      </w:r>
      <w:r w:rsidRPr="00870904">
        <w:rPr>
          <w:vertAlign w:val="superscript"/>
        </w:rPr>
        <w:fldChar w:fldCharType="separate"/>
      </w:r>
      <w:r w:rsidR="00A02570">
        <w:rPr>
          <w:vertAlign w:val="superscript"/>
        </w:rPr>
        <w:t>18</w:t>
      </w:r>
      <w:r w:rsidRPr="00870904">
        <w:rPr>
          <w:vertAlign w:val="superscript"/>
        </w:rPr>
        <w:fldChar w:fldCharType="end"/>
      </w:r>
      <w:r>
        <w:t xml:space="preserve"> and combined positive scores (CPS),</w:t>
      </w:r>
      <w:r w:rsidRPr="00870904">
        <w:rPr>
          <w:vertAlign w:val="superscript"/>
        </w:rPr>
        <w:fldChar w:fldCharType="begin"/>
      </w:r>
      <w:r w:rsidRPr="00870904">
        <w:rPr>
          <w:vertAlign w:val="superscript"/>
        </w:rPr>
        <w:instrText xml:space="preserve"> NOTEREF _Ref134099386 \h  \* MERGEFORMAT </w:instrText>
      </w:r>
      <w:r w:rsidRPr="00870904">
        <w:rPr>
          <w:vertAlign w:val="superscript"/>
        </w:rPr>
      </w:r>
      <w:r w:rsidRPr="00870904">
        <w:rPr>
          <w:vertAlign w:val="superscript"/>
        </w:rPr>
        <w:fldChar w:fldCharType="separate"/>
      </w:r>
      <w:r w:rsidR="00A02570">
        <w:rPr>
          <w:vertAlign w:val="superscript"/>
        </w:rPr>
        <w:t>23</w:t>
      </w:r>
      <w:r w:rsidRPr="00870904">
        <w:rPr>
          <w:vertAlign w:val="superscript"/>
        </w:rPr>
        <w:fldChar w:fldCharType="end"/>
      </w:r>
      <w:r>
        <w:t xml:space="preserve"> see the relevant footnotes.</w:t>
      </w:r>
    </w:p>
    <w:p w14:paraId="33423D15" w14:textId="1CD530FE" w:rsidR="000615D2" w:rsidRDefault="000615D2" w:rsidP="000615D2">
      <w:r>
        <w:t xml:space="preserve">Concomitant systemic corticosteroids were received by a similar proportion of patients in each group: </w:t>
      </w:r>
      <w:r w:rsidR="000E4EE0">
        <w:t>pembrolizumab</w:t>
      </w:r>
      <w:r>
        <w:t xml:space="preserve"> 98.3%, placebo 97.2%. The proportion of patients receiving adjuvant radiotherapy was somewhat imbalanced, with 57.9% in the </w:t>
      </w:r>
      <w:r w:rsidR="000E4EE0">
        <w:t>pembrolizumab</w:t>
      </w:r>
      <w:r>
        <w:t xml:space="preserve"> group and 66.9% in the placebo group.</w:t>
      </w:r>
    </w:p>
    <w:p w14:paraId="1B3B7BD2" w14:textId="3AF53024" w:rsidR="00CF69AF" w:rsidRDefault="00CF69AF" w:rsidP="00870904">
      <w:pPr>
        <w:pStyle w:val="Heading5"/>
      </w:pPr>
      <w:r>
        <w:t>Efficacy</w:t>
      </w:r>
    </w:p>
    <w:p w14:paraId="2CBF464B" w14:textId="2B9CACAF" w:rsidR="00DE02FD" w:rsidRPr="000615D2" w:rsidRDefault="000615D2" w:rsidP="00A34B07">
      <w:pPr>
        <w:pStyle w:val="Heading6"/>
      </w:pPr>
      <w:r w:rsidRPr="000615D2">
        <w:t>Primary endpoints (dual)</w:t>
      </w:r>
    </w:p>
    <w:p w14:paraId="0303CA61" w14:textId="6DE50FA8" w:rsidR="00BD1579" w:rsidRDefault="000615D2" w:rsidP="00BF2685">
      <w:r w:rsidRPr="000615D2">
        <w:t xml:space="preserve">The success criterion for </w:t>
      </w:r>
      <w:r w:rsidR="00BD1579">
        <w:t>pathological complete response (</w:t>
      </w:r>
      <w:proofErr w:type="spellStart"/>
      <w:r w:rsidRPr="000615D2">
        <w:t>pCR</w:t>
      </w:r>
      <w:proofErr w:type="spellEnd"/>
      <w:r w:rsidR="00BD1579">
        <w:t xml:space="preserve">) of </w:t>
      </w:r>
      <w:r w:rsidRPr="000615D2">
        <w:t>ypT0/Tis ypN0</w:t>
      </w:r>
      <w:r w:rsidR="00BD1579">
        <w:t xml:space="preserve"> (see </w:t>
      </w:r>
      <w:r w:rsidR="00BD1579">
        <w:fldChar w:fldCharType="begin"/>
      </w:r>
      <w:r w:rsidR="00BD1579">
        <w:instrText xml:space="preserve"> REF _Ref127187923 \h </w:instrText>
      </w:r>
      <w:r w:rsidR="00BD1579">
        <w:fldChar w:fldCharType="separate"/>
      </w:r>
      <w:r w:rsidR="00A02570">
        <w:t xml:space="preserve">Table </w:t>
      </w:r>
      <w:r w:rsidR="00A02570">
        <w:rPr>
          <w:noProof/>
        </w:rPr>
        <w:t>4</w:t>
      </w:r>
      <w:r w:rsidR="00BD1579">
        <w:fldChar w:fldCharType="end"/>
      </w:r>
      <w:r w:rsidR="00BD1579">
        <w:t xml:space="preserve"> for definitions</w:t>
      </w:r>
      <w:r w:rsidRPr="000615D2">
        <w:t xml:space="preserve">) was met at </w:t>
      </w:r>
      <w:r w:rsidR="00527CFE">
        <w:t>the first interim analysis point (</w:t>
      </w:r>
      <w:r w:rsidRPr="000615D2">
        <w:t>IA1</w:t>
      </w:r>
      <w:r w:rsidR="00527CFE">
        <w:t>)</w:t>
      </w:r>
      <w:r w:rsidRPr="000615D2">
        <w:t xml:space="preserve">, with an increase in </w:t>
      </w:r>
      <w:proofErr w:type="spellStart"/>
      <w:r w:rsidRPr="000615D2">
        <w:t>pCR</w:t>
      </w:r>
      <w:proofErr w:type="spellEnd"/>
      <w:r w:rsidRPr="000615D2">
        <w:t xml:space="preserve"> rate for </w:t>
      </w:r>
      <w:r w:rsidR="000E4EE0">
        <w:t>pembrolizumab</w:t>
      </w:r>
      <w:r w:rsidRPr="000615D2">
        <w:t xml:space="preserve"> </w:t>
      </w:r>
      <w:r w:rsidR="004F3758">
        <w:t>and</w:t>
      </w:r>
      <w:r w:rsidRPr="000615D2">
        <w:t xml:space="preserve"> chemo</w:t>
      </w:r>
      <w:r w:rsidR="004F3758">
        <w:t>therapy</w:t>
      </w:r>
      <w:r w:rsidRPr="000615D2">
        <w:t xml:space="preserve"> compared with placebo </w:t>
      </w:r>
      <w:r w:rsidR="004F3758">
        <w:t>and</w:t>
      </w:r>
      <w:r w:rsidRPr="000615D2">
        <w:t xml:space="preserve"> chemo</w:t>
      </w:r>
      <w:r>
        <w:t>thera</w:t>
      </w:r>
      <w:r w:rsidR="004F3758">
        <w:t xml:space="preserve">py </w:t>
      </w:r>
      <w:r w:rsidR="00BD1579">
        <w:t>(</w:t>
      </w:r>
      <w:r w:rsidRPr="000615D2">
        <w:t xml:space="preserve">rate difference 13.6% (95% </w:t>
      </w:r>
      <w:r w:rsidR="00A93A88">
        <w:t>confidence interval (CI)</w:t>
      </w:r>
      <w:r w:rsidRPr="000615D2">
        <w:t>: 5.4, 21.8), p</w:t>
      </w:r>
      <w:r w:rsidR="00BD1579">
        <w:t> </w:t>
      </w:r>
      <w:r w:rsidRPr="000615D2">
        <w:t>=</w:t>
      </w:r>
      <w:r w:rsidR="00BD1579">
        <w:t> </w:t>
      </w:r>
      <w:r w:rsidRPr="000615D2">
        <w:t>0.00055</w:t>
      </w:r>
      <w:r w:rsidR="00BD1579">
        <w:t>)</w:t>
      </w:r>
      <w:r w:rsidRPr="000615D2">
        <w:t xml:space="preserve">. This remained statistically significant at IA2 (the final analysis of </w:t>
      </w:r>
      <w:proofErr w:type="spellStart"/>
      <w:r w:rsidRPr="000615D2">
        <w:t>pCR</w:t>
      </w:r>
      <w:proofErr w:type="spellEnd"/>
      <w:r w:rsidRPr="000615D2">
        <w:t>).</w:t>
      </w:r>
    </w:p>
    <w:p w14:paraId="15BAF556" w14:textId="6E2CD39D" w:rsidR="00DE02FD" w:rsidRDefault="000615D2" w:rsidP="00BF2685">
      <w:r w:rsidRPr="000615D2">
        <w:t xml:space="preserve">Analysis of </w:t>
      </w:r>
      <w:proofErr w:type="spellStart"/>
      <w:r w:rsidRPr="000615D2">
        <w:t>pCR</w:t>
      </w:r>
      <w:proofErr w:type="spellEnd"/>
      <w:r w:rsidRPr="000615D2">
        <w:t xml:space="preserve"> at IA4 was not subject to formal testing but supportive estimates were provided using data from all randomised subjects. The rate difference in </w:t>
      </w:r>
      <w:proofErr w:type="spellStart"/>
      <w:r w:rsidRPr="000615D2">
        <w:t>pCR</w:t>
      </w:r>
      <w:proofErr w:type="spellEnd"/>
      <w:r w:rsidRPr="000615D2">
        <w:t xml:space="preserve"> is noted to have become smaller with each additional analysis, as the proportion of the population with data increased (see </w:t>
      </w:r>
      <w:r w:rsidR="004F3758">
        <w:fldChar w:fldCharType="begin"/>
      </w:r>
      <w:r w:rsidR="004F3758">
        <w:instrText xml:space="preserve"> REF _Ref127189987 \h </w:instrText>
      </w:r>
      <w:r w:rsidR="004F3758">
        <w:fldChar w:fldCharType="separate"/>
      </w:r>
      <w:r w:rsidR="00A02570">
        <w:t xml:space="preserve">Table </w:t>
      </w:r>
      <w:r w:rsidR="00A02570">
        <w:rPr>
          <w:noProof/>
        </w:rPr>
        <w:t>7</w:t>
      </w:r>
      <w:r w:rsidR="004F3758">
        <w:fldChar w:fldCharType="end"/>
      </w:r>
      <w:r w:rsidRPr="000615D2">
        <w:t>)</w:t>
      </w:r>
      <w:r w:rsidR="00465424">
        <w:t>.</w:t>
      </w:r>
    </w:p>
    <w:p w14:paraId="5FBB235A" w14:textId="63FD55A1" w:rsidR="000615D2" w:rsidRDefault="000615D2" w:rsidP="000615D2">
      <w:pPr>
        <w:pStyle w:val="TableTitle"/>
      </w:pPr>
      <w:bookmarkStart w:id="58" w:name="_Ref127189987"/>
      <w:r>
        <w:t xml:space="preserve">Table </w:t>
      </w:r>
      <w:r>
        <w:fldChar w:fldCharType="begin"/>
      </w:r>
      <w:r>
        <w:instrText>SEQ Table \* ARABIC</w:instrText>
      </w:r>
      <w:r>
        <w:fldChar w:fldCharType="separate"/>
      </w:r>
      <w:r w:rsidR="00A02570">
        <w:rPr>
          <w:noProof/>
        </w:rPr>
        <w:t>7</w:t>
      </w:r>
      <w:r>
        <w:fldChar w:fldCharType="end"/>
      </w:r>
      <w:bookmarkEnd w:id="58"/>
      <w:r>
        <w:t xml:space="preserve">: </w:t>
      </w:r>
      <w:r w:rsidR="00BD1579">
        <w:t xml:space="preserve">Study KN-522 (KEYNOTE 522 trial) </w:t>
      </w:r>
      <w:r>
        <w:t>Sum</w:t>
      </w:r>
      <w:r w:rsidRPr="000615D2">
        <w:t xml:space="preserve">mary of </w:t>
      </w:r>
      <w:r w:rsidR="00DB22F1">
        <w:t>pathological complete response</w:t>
      </w:r>
      <w:r w:rsidRPr="000615D2">
        <w:t xml:space="preserve"> (ypT0/Tis ypN0) results</w:t>
      </w:r>
      <w:r>
        <w:t xml:space="preserve"> for the</w:t>
      </w:r>
      <w:r w:rsidR="009425AA">
        <w:t xml:space="preserve"> intent</w:t>
      </w:r>
      <w:r>
        <w:t xml:space="preserve"> to treat population</w:t>
      </w:r>
    </w:p>
    <w:p w14:paraId="118039BA" w14:textId="7250560B" w:rsidR="000615D2" w:rsidRDefault="000615D2" w:rsidP="000615D2">
      <w:r>
        <w:rPr>
          <w:noProof/>
          <w:lang w:val="en-GB" w:eastAsia="en-GB"/>
        </w:rPr>
        <w:drawing>
          <wp:inline distT="0" distB="0" distL="0" distR="0" wp14:anchorId="1CECAA60" wp14:editId="53ADF342">
            <wp:extent cx="5400040" cy="1965960"/>
            <wp:effectExtent l="0" t="0" r="0" b="0"/>
            <wp:docPr id="4" name="Picture 4" descr="This table is a summary of pathological complete response (ypT0/Tis ypN0) results for the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table is a summary of pathological complete response (ypT0/Tis ypN0) results for the intention to treat population"/>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400040" cy="1965960"/>
                    </a:xfrm>
                    <a:prstGeom prst="rect">
                      <a:avLst/>
                    </a:prstGeom>
                  </pic:spPr>
                </pic:pic>
              </a:graphicData>
            </a:graphic>
          </wp:inline>
        </w:drawing>
      </w:r>
    </w:p>
    <w:p w14:paraId="4B30E6C1" w14:textId="1D5D8791" w:rsidR="00BD1579" w:rsidRDefault="000615D2" w:rsidP="000615D2">
      <w:pPr>
        <w:pStyle w:val="TableDescription"/>
      </w:pPr>
      <w:r>
        <w:t xml:space="preserve">Abbreviations: CI = confidence interval; IA – interim analysis; NAC – neoadjuvant chemotherapy; </w:t>
      </w:r>
      <w:proofErr w:type="spellStart"/>
      <w:r>
        <w:t>pCR</w:t>
      </w:r>
      <w:proofErr w:type="spellEnd"/>
      <w:r>
        <w:t xml:space="preserve"> = pathological complete response; ypT0/Tis ypN</w:t>
      </w:r>
      <w:r w:rsidR="00311DD7">
        <w:t>0</w:t>
      </w:r>
      <w:r>
        <w:t xml:space="preserve"> = no invasive residual in breast or nodes; non</w:t>
      </w:r>
      <w:r w:rsidR="008C3786">
        <w:t>-</w:t>
      </w:r>
      <w:r>
        <w:t>invasive breast residuals allowed</w:t>
      </w:r>
    </w:p>
    <w:p w14:paraId="371B032A" w14:textId="77280C82" w:rsidR="000615D2" w:rsidRDefault="00BD1579" w:rsidP="000615D2">
      <w:pPr>
        <w:pStyle w:val="TableDescription"/>
      </w:pPr>
      <w:r>
        <w:t xml:space="preserve">See </w:t>
      </w:r>
      <w:r>
        <w:fldChar w:fldCharType="begin"/>
      </w:r>
      <w:r>
        <w:instrText xml:space="preserve"> REF _Ref127187923 \h </w:instrText>
      </w:r>
      <w:r>
        <w:fldChar w:fldCharType="separate"/>
      </w:r>
      <w:r w:rsidR="00A02570">
        <w:t xml:space="preserve">Table </w:t>
      </w:r>
      <w:r w:rsidR="00A02570">
        <w:rPr>
          <w:noProof/>
        </w:rPr>
        <w:t>4</w:t>
      </w:r>
      <w:r>
        <w:fldChar w:fldCharType="end"/>
      </w:r>
      <w:r>
        <w:t xml:space="preserve"> for definition of </w:t>
      </w:r>
      <w:proofErr w:type="spellStart"/>
      <w:r w:rsidR="00EE6863">
        <w:t>pCR</w:t>
      </w:r>
      <w:proofErr w:type="spellEnd"/>
      <w:r w:rsidR="00EE6863">
        <w:t xml:space="preserve"> </w:t>
      </w:r>
      <w:r>
        <w:t>response.</w:t>
      </w:r>
    </w:p>
    <w:p w14:paraId="1B044521" w14:textId="0D360554" w:rsidR="000615D2" w:rsidRDefault="000615D2" w:rsidP="000615D2">
      <w:pPr>
        <w:pStyle w:val="TableDescription"/>
      </w:pPr>
      <w:r w:rsidRPr="000615D2">
        <w:rPr>
          <w:vertAlign w:val="superscript"/>
        </w:rPr>
        <w:t>a</w:t>
      </w:r>
      <w:r>
        <w:rPr>
          <w:vertAlign w:val="superscript"/>
        </w:rPr>
        <w:t xml:space="preserve"> </w:t>
      </w:r>
      <w:r>
        <w:t xml:space="preserve">First 602 participants randomly assigned to study treatment who were eligible for the analysis of </w:t>
      </w:r>
      <w:proofErr w:type="spellStart"/>
      <w:r>
        <w:t>pCR</w:t>
      </w:r>
      <w:proofErr w:type="spellEnd"/>
      <w:r>
        <w:t xml:space="preserve"> at IA1 (24 September 2018 data cut</w:t>
      </w:r>
      <w:r w:rsidR="00465424">
        <w:t>-</w:t>
      </w:r>
      <w:r>
        <w:t>off).</w:t>
      </w:r>
    </w:p>
    <w:p w14:paraId="677CA0CD" w14:textId="4DF20F58" w:rsidR="000615D2" w:rsidRDefault="000615D2" w:rsidP="000615D2">
      <w:pPr>
        <w:pStyle w:val="TableDescription"/>
      </w:pPr>
      <w:r w:rsidRPr="000615D2">
        <w:rPr>
          <w:vertAlign w:val="superscript"/>
        </w:rPr>
        <w:t>b</w:t>
      </w:r>
      <w:r>
        <w:rPr>
          <w:vertAlign w:val="superscript"/>
        </w:rPr>
        <w:t xml:space="preserve"> </w:t>
      </w:r>
      <w:r>
        <w:t xml:space="preserve">Based on </w:t>
      </w:r>
      <w:r w:rsidR="00311DD7">
        <w:t>M</w:t>
      </w:r>
      <w:r w:rsidR="00311DD7" w:rsidRPr="00311DD7">
        <w:t>iettinen</w:t>
      </w:r>
      <w:r w:rsidR="00311DD7" w:rsidRPr="00311DD7" w:rsidDel="00311DD7">
        <w:t xml:space="preserve"> </w:t>
      </w:r>
      <w:r>
        <w:t xml:space="preserve">&amp; </w:t>
      </w:r>
      <w:proofErr w:type="spellStart"/>
      <w:r>
        <w:t>Nurminen</w:t>
      </w:r>
      <w:proofErr w:type="spellEnd"/>
      <w:r>
        <w:t xml:space="preserve"> method stratified by nodal status (positive versus negative), </w:t>
      </w:r>
      <w:proofErr w:type="spellStart"/>
      <w:r>
        <w:t>tumor</w:t>
      </w:r>
      <w:proofErr w:type="spellEnd"/>
      <w:r>
        <w:t xml:space="preserve"> size (T1/T2 versus T3/T4), and choice of carboplatin (</w:t>
      </w:r>
      <w:proofErr w:type="spellStart"/>
      <w:r>
        <w:t>Cb</w:t>
      </w:r>
      <w:proofErr w:type="spellEnd"/>
      <w:r>
        <w:t>) (once every three weeks versus weekly).</w:t>
      </w:r>
    </w:p>
    <w:p w14:paraId="0F29268C" w14:textId="1F337F04" w:rsidR="000615D2" w:rsidRDefault="000615D2" w:rsidP="000615D2">
      <w:pPr>
        <w:pStyle w:val="TableDescription"/>
      </w:pPr>
      <w:r w:rsidRPr="000615D2">
        <w:rPr>
          <w:vertAlign w:val="superscript"/>
        </w:rPr>
        <w:t>c</w:t>
      </w:r>
      <w:r>
        <w:rPr>
          <w:vertAlign w:val="superscript"/>
        </w:rPr>
        <w:t xml:space="preserve"> </w:t>
      </w:r>
      <w:r>
        <w:t xml:space="preserve">One-sided p-value for testing </w:t>
      </w:r>
      <w:r w:rsidR="00311DD7">
        <w:t>H0</w:t>
      </w:r>
      <w:r>
        <w:t>: difference in % = 0 versus H1: difference in % &gt; 0. The result was statistically significant compared with the prespecified p value boundary of 0.003.</w:t>
      </w:r>
    </w:p>
    <w:p w14:paraId="2AFE3A48" w14:textId="39279110" w:rsidR="000615D2" w:rsidRDefault="000615D2" w:rsidP="000615D2">
      <w:pPr>
        <w:pStyle w:val="TableDescription"/>
      </w:pPr>
      <w:r w:rsidRPr="000615D2">
        <w:rPr>
          <w:vertAlign w:val="superscript"/>
        </w:rPr>
        <w:lastRenderedPageBreak/>
        <w:t>d</w:t>
      </w:r>
      <w:r>
        <w:rPr>
          <w:vertAlign w:val="superscript"/>
        </w:rPr>
        <w:t xml:space="preserve"> </w:t>
      </w:r>
      <w:r>
        <w:t xml:space="preserve">First 1002 participants randomly assigned to study treatment who were eligible for the analysis of </w:t>
      </w:r>
      <w:proofErr w:type="spellStart"/>
      <w:r>
        <w:t>pCR</w:t>
      </w:r>
      <w:proofErr w:type="spellEnd"/>
      <w:r>
        <w:t xml:space="preserve"> at IA2 (24 April 2019 data </w:t>
      </w:r>
      <w:proofErr w:type="spellStart"/>
      <w:r>
        <w:t>cutoff</w:t>
      </w:r>
      <w:proofErr w:type="spellEnd"/>
      <w:r>
        <w:t>).</w:t>
      </w:r>
    </w:p>
    <w:p w14:paraId="3DF4F2A5" w14:textId="232E33EB" w:rsidR="000615D2" w:rsidRDefault="000615D2" w:rsidP="000615D2">
      <w:pPr>
        <w:pStyle w:val="TableDescription"/>
      </w:pPr>
      <w:r w:rsidRPr="00FD0662">
        <w:rPr>
          <w:vertAlign w:val="superscript"/>
        </w:rPr>
        <w:t>e</w:t>
      </w:r>
      <w:r w:rsidR="00FD0662">
        <w:t xml:space="preserve"> KEYNOTE-522 met the success criterion for the primary hypothesis of </w:t>
      </w:r>
      <w:proofErr w:type="spellStart"/>
      <w:r w:rsidR="00FD0662">
        <w:t>pCR</w:t>
      </w:r>
      <w:proofErr w:type="spellEnd"/>
      <w:r w:rsidR="00FD0662">
        <w:t xml:space="preserve"> at IA1.</w:t>
      </w:r>
      <w:r w:rsidR="007E32CD">
        <w:t xml:space="preserve"> </w:t>
      </w:r>
      <w:r w:rsidR="00FD0662">
        <w:t>At I</w:t>
      </w:r>
      <w:r w:rsidR="00250490">
        <w:t>A</w:t>
      </w:r>
      <w:r w:rsidR="00FD0662">
        <w:t>2, the updated data continue to be statistically significant (prespecified p value boundary of 0.0028).</w:t>
      </w:r>
    </w:p>
    <w:p w14:paraId="0D1BFCEF" w14:textId="586A864C" w:rsidR="00FD0662" w:rsidRDefault="00FD0662" w:rsidP="000615D2">
      <w:pPr>
        <w:pStyle w:val="TableDescription"/>
      </w:pPr>
      <w:r w:rsidRPr="00FD0662">
        <w:rPr>
          <w:vertAlign w:val="superscript"/>
        </w:rPr>
        <w:t>f</w:t>
      </w:r>
      <w:r>
        <w:t xml:space="preserve"> All participants in ITT population (n = 1174) (23 March 2021 data </w:t>
      </w:r>
      <w:proofErr w:type="spellStart"/>
      <w:r>
        <w:t>cutoff</w:t>
      </w:r>
      <w:proofErr w:type="spellEnd"/>
      <w:r>
        <w:t>)</w:t>
      </w:r>
    </w:p>
    <w:p w14:paraId="09AF09CC" w14:textId="13DA216C" w:rsidR="00FD0662" w:rsidRDefault="00FD0662" w:rsidP="000615D2">
      <w:pPr>
        <w:pStyle w:val="TableDescription"/>
      </w:pPr>
      <w:r w:rsidRPr="00FD0662">
        <w:rPr>
          <w:vertAlign w:val="superscript"/>
        </w:rPr>
        <w:t>g</w:t>
      </w:r>
      <w:r>
        <w:t xml:space="preserve"> Per the statistical analysis plan, </w:t>
      </w:r>
      <w:proofErr w:type="spellStart"/>
      <w:r>
        <w:t>pCR</w:t>
      </w:r>
      <w:proofErr w:type="spellEnd"/>
      <w:r>
        <w:t xml:space="preserve"> was not formally tested at IA4.</w:t>
      </w:r>
      <w:r w:rsidR="007E32CD">
        <w:t xml:space="preserve"> </w:t>
      </w:r>
      <w:r>
        <w:t>Updated data are provided for estimation purposes.</w:t>
      </w:r>
    </w:p>
    <w:p w14:paraId="5C253481" w14:textId="0D4D5AC3" w:rsidR="000615D2" w:rsidRDefault="00FD0662" w:rsidP="00FD0662">
      <w:r w:rsidRPr="00FD0662">
        <w:t xml:space="preserve">Analyses of the primary endpoint were generally </w:t>
      </w:r>
      <w:r w:rsidRPr="004F3758">
        <w:t>consistent across subgroups, although the point estimates favoured placebo for ECOG PS = 1</w:t>
      </w:r>
      <w:r w:rsidR="00BD1579">
        <w:t xml:space="preserve"> </w:t>
      </w:r>
      <w:r w:rsidRPr="004F3758">
        <w:t xml:space="preserve">and for </w:t>
      </w:r>
      <w:r w:rsidR="00BD1579">
        <w:t>HER2</w:t>
      </w:r>
      <w:r w:rsidRPr="004F3758">
        <w:t xml:space="preserve"> status </w:t>
      </w:r>
      <w:r w:rsidR="00BD1579">
        <w:t xml:space="preserve">of </w:t>
      </w:r>
      <w:r w:rsidRPr="004F3758">
        <w:t>2+ by</w:t>
      </w:r>
      <w:r w:rsidR="00F606C3">
        <w:t xml:space="preserve"> immunohistochemistry (</w:t>
      </w:r>
      <w:r w:rsidR="004F3758" w:rsidRPr="004F3758">
        <w:t>IHC</w:t>
      </w:r>
      <w:r w:rsidR="00F606C3">
        <w:t xml:space="preserve">) </w:t>
      </w:r>
      <w:r w:rsidR="007029EC">
        <w:t xml:space="preserve">fluorescence </w:t>
      </w:r>
      <w:r w:rsidR="007029EC" w:rsidRPr="00A34B07">
        <w:rPr>
          <w:i/>
          <w:iCs/>
        </w:rPr>
        <w:t>in situ</w:t>
      </w:r>
      <w:r w:rsidR="007029EC">
        <w:t xml:space="preserve"> hybridisation negative</w:t>
      </w:r>
      <w:r w:rsidR="004F3758" w:rsidRPr="004F3758">
        <w:t xml:space="preserve"> </w:t>
      </w:r>
      <w:r w:rsidRPr="004F3758">
        <w:t>(FISH-).</w:t>
      </w:r>
      <w:r w:rsidRPr="00FD0662">
        <w:t xml:space="preserve"> Interpretation of these outliers is limited by the lower patient numbers in these subgroups. The point estimates in those who were PD-L1 </w:t>
      </w:r>
      <w:proofErr w:type="gramStart"/>
      <w:r w:rsidRPr="00FD0662">
        <w:t>positive</w:t>
      </w:r>
      <w:proofErr w:type="gramEnd"/>
      <w:r w:rsidRPr="00FD0662">
        <w:t xml:space="preserve"> and negative were similar. The subgroup analysis pattern was generally similar between IA1, IA2 and IA4 (shown below for IA4</w:t>
      </w:r>
      <w:r w:rsidR="004F3758">
        <w:t xml:space="preserve"> in</w:t>
      </w:r>
      <w:r w:rsidR="007029EC">
        <w:t xml:space="preserve"> </w:t>
      </w:r>
      <w:r w:rsidR="007029EC">
        <w:fldChar w:fldCharType="begin"/>
      </w:r>
      <w:r w:rsidR="007029EC">
        <w:instrText xml:space="preserve"> REF _Ref127787266 \h </w:instrText>
      </w:r>
      <w:r w:rsidR="007029EC">
        <w:fldChar w:fldCharType="separate"/>
      </w:r>
      <w:r w:rsidR="00A02570">
        <w:t xml:space="preserve">Figure </w:t>
      </w:r>
      <w:r w:rsidR="00A02570">
        <w:rPr>
          <w:noProof/>
        </w:rPr>
        <w:t>2</w:t>
      </w:r>
      <w:r w:rsidR="007029EC">
        <w:fldChar w:fldCharType="end"/>
      </w:r>
      <w:r w:rsidRPr="00FD0662">
        <w:t>)</w:t>
      </w:r>
      <w:r w:rsidR="00BD1579">
        <w:t>.</w:t>
      </w:r>
    </w:p>
    <w:p w14:paraId="600EED6F" w14:textId="43DFBA3A" w:rsidR="00FD0662" w:rsidRDefault="00FD0662" w:rsidP="00FD0662">
      <w:pPr>
        <w:pStyle w:val="FigureTitle"/>
      </w:pPr>
      <w:bookmarkStart w:id="59" w:name="_Ref127787266"/>
      <w:bookmarkStart w:id="60" w:name="_Ref127190171"/>
      <w:r>
        <w:t xml:space="preserve">Figure </w:t>
      </w:r>
      <w:r>
        <w:fldChar w:fldCharType="begin"/>
      </w:r>
      <w:r>
        <w:instrText>SEQ Figure \* ARABIC</w:instrText>
      </w:r>
      <w:r>
        <w:fldChar w:fldCharType="separate"/>
      </w:r>
      <w:r w:rsidR="00A02570">
        <w:rPr>
          <w:noProof/>
        </w:rPr>
        <w:t>2</w:t>
      </w:r>
      <w:r>
        <w:fldChar w:fldCharType="end"/>
      </w:r>
      <w:bookmarkEnd w:id="59"/>
      <w:r>
        <w:t xml:space="preserve">: </w:t>
      </w:r>
      <w:r w:rsidR="00BD1579">
        <w:t xml:space="preserve">Study KN-522 (KEYNOTE 522 trial) </w:t>
      </w:r>
      <w:r w:rsidR="00DB22F1">
        <w:t>Pathological complete response</w:t>
      </w:r>
      <w:r w:rsidRPr="00FD0662">
        <w:t xml:space="preserve"> subgroup analysis (IA4) </w:t>
      </w:r>
      <w:r>
        <w:t>for the</w:t>
      </w:r>
      <w:r w:rsidR="009425AA">
        <w:t xml:space="preserve"> intent</w:t>
      </w:r>
      <w:r>
        <w:t xml:space="preserve"> to treat population</w:t>
      </w:r>
      <w:bookmarkEnd w:id="60"/>
    </w:p>
    <w:p w14:paraId="211053F3" w14:textId="117B1849" w:rsidR="005F24B2" w:rsidRDefault="005F24B2" w:rsidP="00FD0662">
      <w:pPr>
        <w:pStyle w:val="FigureTitle"/>
      </w:pPr>
      <w:r>
        <w:rPr>
          <w:noProof/>
          <w:lang w:val="en-GB" w:eastAsia="en-GB"/>
        </w:rPr>
        <w:drawing>
          <wp:inline distT="0" distB="0" distL="0" distR="0" wp14:anchorId="5A2AE479" wp14:editId="53F873D6">
            <wp:extent cx="5400040" cy="4294505"/>
            <wp:effectExtent l="0" t="0" r="0" b="0"/>
            <wp:docPr id="27" name="Picture 27" descr="This figure shows the pathological complete response subgroup analysis (IA4) for the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figure shows the pathological complete response subgroup analysis (IA4) for the intention to treat population"/>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5400040" cy="4294505"/>
                    </a:xfrm>
                    <a:prstGeom prst="rect">
                      <a:avLst/>
                    </a:prstGeom>
                  </pic:spPr>
                </pic:pic>
              </a:graphicData>
            </a:graphic>
          </wp:inline>
        </w:drawing>
      </w:r>
    </w:p>
    <w:p w14:paraId="3CFE7EE2" w14:textId="37EAB24E" w:rsidR="00EF09D1" w:rsidRDefault="00EF09D1" w:rsidP="00EF09D1">
      <w:pPr>
        <w:pStyle w:val="FigureDescription"/>
        <w:rPr>
          <w:szCs w:val="19"/>
        </w:rPr>
      </w:pPr>
      <w:r w:rsidRPr="003F060F">
        <w:rPr>
          <w:szCs w:val="19"/>
        </w:rPr>
        <w:t xml:space="preserve">Abbreviations: MK = MK-3475 (pembrolizumab), </w:t>
      </w:r>
      <w:proofErr w:type="spellStart"/>
      <w:r w:rsidRPr="003F060F">
        <w:rPr>
          <w:szCs w:val="19"/>
        </w:rPr>
        <w:t>Pbo</w:t>
      </w:r>
      <w:proofErr w:type="spellEnd"/>
      <w:r w:rsidRPr="003F060F">
        <w:rPr>
          <w:szCs w:val="19"/>
        </w:rPr>
        <w:t xml:space="preserve"> = placebo, </w:t>
      </w:r>
      <w:r w:rsidR="00E82FEF" w:rsidRPr="003F060F">
        <w:rPr>
          <w:szCs w:val="19"/>
        </w:rPr>
        <w:t xml:space="preserve">chemo = chemotherapy, </w:t>
      </w:r>
      <w:proofErr w:type="spellStart"/>
      <w:r w:rsidRPr="003F060F">
        <w:rPr>
          <w:szCs w:val="19"/>
        </w:rPr>
        <w:t>pCR</w:t>
      </w:r>
      <w:proofErr w:type="spellEnd"/>
      <w:r w:rsidRPr="003F060F">
        <w:rPr>
          <w:szCs w:val="19"/>
        </w:rPr>
        <w:t xml:space="preserve"> = pathological complete response, CI = confidence interval, PD-L1 = programmed cell death ligand-1, CPS = combined positive score, HER2 = human epidermal growth factor receptor 2, IHC = im</w:t>
      </w:r>
      <w:r w:rsidRPr="00D73E45">
        <w:rPr>
          <w:szCs w:val="19"/>
        </w:rPr>
        <w:t>munohistochemistry.</w:t>
      </w:r>
    </w:p>
    <w:p w14:paraId="41C729FC" w14:textId="2D6163A6" w:rsidR="00EE6863" w:rsidRDefault="00EE6863" w:rsidP="00870904">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21575ABB" w14:textId="1140B585" w:rsidR="00A00A82" w:rsidRPr="003F060F" w:rsidRDefault="00A00A82" w:rsidP="00EF09D1">
      <w:pPr>
        <w:pStyle w:val="FigureDescription"/>
        <w:rPr>
          <w:szCs w:val="19"/>
        </w:rPr>
      </w:pPr>
      <w:r>
        <w:t xml:space="preserve">Analysis in the overall population and PD-L1 subgroup is based on stratified Miettinen &amp; </w:t>
      </w:r>
      <w:proofErr w:type="spellStart"/>
      <w:r>
        <w:t>Nurminen</w:t>
      </w:r>
      <w:proofErr w:type="spellEnd"/>
      <w:r>
        <w:t xml:space="preserve"> method); for other subgroups, analysis is based on the unstratified Miettinen &amp; </w:t>
      </w:r>
      <w:proofErr w:type="spellStart"/>
      <w:r>
        <w:t>Nurminen</w:t>
      </w:r>
      <w:proofErr w:type="spellEnd"/>
      <w:r>
        <w:t xml:space="preserve"> method.</w:t>
      </w:r>
    </w:p>
    <w:p w14:paraId="5D5AA095" w14:textId="4954F2E4" w:rsidR="00FD0662" w:rsidRDefault="00E53242" w:rsidP="00870904">
      <w:pPr>
        <w:pStyle w:val="Heading6"/>
      </w:pPr>
      <w:r>
        <w:lastRenderedPageBreak/>
        <w:t>Event-free survival</w:t>
      </w:r>
    </w:p>
    <w:p w14:paraId="3A4940E9" w14:textId="1C573616" w:rsidR="00FD0662" w:rsidRDefault="00FD0662" w:rsidP="00FD0662">
      <w:r w:rsidRPr="00FD0662">
        <w:t xml:space="preserve">The success criterion for </w:t>
      </w:r>
      <w:r w:rsidR="00E53242">
        <w:t>event-free survival</w:t>
      </w:r>
      <w:r w:rsidRPr="00FD0662">
        <w:t xml:space="preserve"> </w:t>
      </w:r>
      <w:r w:rsidR="00A34B07">
        <w:t xml:space="preserve">(EFS) </w:t>
      </w:r>
      <w:r w:rsidRPr="00FD0662">
        <w:t xml:space="preserve">was met at </w:t>
      </w:r>
      <w:r w:rsidR="00465424">
        <w:t>the fourth interim analysis (</w:t>
      </w:r>
      <w:r w:rsidRPr="00FD0662">
        <w:t>IA4</w:t>
      </w:r>
      <w:r w:rsidR="00465424">
        <w:t>)</w:t>
      </w:r>
      <w:r w:rsidRPr="00FD0662">
        <w:t>, with a 37% reduction in the risk of disease progression precluding definitive surgery, recurrence, second primary malignancy, or death for pembrolizumab compared with placebo;</w:t>
      </w:r>
      <w:r w:rsidR="004F3758">
        <w:t xml:space="preserve"> The</w:t>
      </w:r>
      <w:r w:rsidRPr="00FD0662">
        <w:t xml:space="preserve"> </w:t>
      </w:r>
      <w:r w:rsidR="00A34B07">
        <w:t>hazard ratio</w:t>
      </w:r>
      <w:r w:rsidRPr="00FD0662">
        <w:t xml:space="preserve"> </w:t>
      </w:r>
      <w:r w:rsidR="004F3758">
        <w:t>was</w:t>
      </w:r>
      <w:r w:rsidRPr="00FD0662">
        <w:t xml:space="preserve"> 0.63 (95% CI: 0.48, 0.82), with a one-sided p-value of 0.0003093 which crossed the efficacy boundary</w:t>
      </w:r>
      <w:r w:rsidR="004F3758">
        <w:t xml:space="preserve"> (see </w:t>
      </w:r>
      <w:r w:rsidR="004F3758">
        <w:fldChar w:fldCharType="begin"/>
      </w:r>
      <w:r w:rsidR="004F3758">
        <w:instrText xml:space="preserve"> REF _Ref127190371 \h </w:instrText>
      </w:r>
      <w:r w:rsidR="004F3758">
        <w:fldChar w:fldCharType="separate"/>
      </w:r>
      <w:r w:rsidR="00A02570">
        <w:t xml:space="preserve">Table </w:t>
      </w:r>
      <w:r w:rsidR="00A02570">
        <w:rPr>
          <w:noProof/>
        </w:rPr>
        <w:t>8</w:t>
      </w:r>
      <w:r w:rsidR="004F3758">
        <w:fldChar w:fldCharType="end"/>
      </w:r>
      <w:r w:rsidR="005F24B2">
        <w:t>)</w:t>
      </w:r>
      <w:r w:rsidRPr="00FD0662">
        <w:t>. The point estimate was consistent with IA2 (0.63) and IA3 (0.65).</w:t>
      </w:r>
    </w:p>
    <w:p w14:paraId="12704D34" w14:textId="5260D94D" w:rsidR="00FD0662" w:rsidRDefault="00FD0662" w:rsidP="00FD0662">
      <w:pPr>
        <w:pStyle w:val="TableTitle"/>
      </w:pPr>
      <w:bookmarkStart w:id="61" w:name="_Ref127190371"/>
      <w:bookmarkStart w:id="62" w:name="_Ref127190365"/>
      <w:r>
        <w:t xml:space="preserve">Table </w:t>
      </w:r>
      <w:r>
        <w:fldChar w:fldCharType="begin"/>
      </w:r>
      <w:r>
        <w:instrText>SEQ Table \* ARABIC</w:instrText>
      </w:r>
      <w:r>
        <w:fldChar w:fldCharType="separate"/>
      </w:r>
      <w:r w:rsidR="00A02570">
        <w:rPr>
          <w:noProof/>
        </w:rPr>
        <w:t>8</w:t>
      </w:r>
      <w:r>
        <w:fldChar w:fldCharType="end"/>
      </w:r>
      <w:bookmarkEnd w:id="61"/>
      <w:r>
        <w:t xml:space="preserve">: </w:t>
      </w:r>
      <w:r w:rsidR="00465424">
        <w:t xml:space="preserve">Study KN-522 (KEYNOTE 522 trial) </w:t>
      </w:r>
      <w:r w:rsidRPr="00FD0662">
        <w:t xml:space="preserve">Summary of </w:t>
      </w:r>
      <w:r w:rsidR="00E53242">
        <w:t>event-free survival</w:t>
      </w:r>
      <w:r w:rsidRPr="00FD0662">
        <w:t xml:space="preserve"> results (IA4)</w:t>
      </w:r>
      <w:r>
        <w:t xml:space="preserve"> for the</w:t>
      </w:r>
      <w:r w:rsidR="009425AA">
        <w:t xml:space="preserve"> intent</w:t>
      </w:r>
      <w:r>
        <w:t xml:space="preserve"> to treat population</w:t>
      </w:r>
      <w:bookmarkEnd w:id="62"/>
    </w:p>
    <w:p w14:paraId="19EA10A5" w14:textId="041BD850" w:rsidR="00FD0662" w:rsidRDefault="00FD0662" w:rsidP="00FD0662">
      <w:r>
        <w:rPr>
          <w:noProof/>
          <w:lang w:val="en-GB" w:eastAsia="en-GB"/>
        </w:rPr>
        <w:drawing>
          <wp:inline distT="0" distB="0" distL="0" distR="0" wp14:anchorId="41E5BE5F" wp14:editId="2F0D3571">
            <wp:extent cx="5400040" cy="1506855"/>
            <wp:effectExtent l="0" t="0" r="0" b="0"/>
            <wp:docPr id="9" name="Picture 9" descr="This table is a summary of event free survival results (IA4) for the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table is a summary of event free survival results (IA4) for the intention to treat population"/>
                    <pic:cNvPicPr/>
                  </pic:nvPicPr>
                  <pic:blipFill>
                    <a:blip r:embed="rId31"/>
                    <a:stretch>
                      <a:fillRect/>
                    </a:stretch>
                  </pic:blipFill>
                  <pic:spPr>
                    <a:xfrm>
                      <a:off x="0" y="0"/>
                      <a:ext cx="5400040" cy="1506855"/>
                    </a:xfrm>
                    <a:prstGeom prst="rect">
                      <a:avLst/>
                    </a:prstGeom>
                  </pic:spPr>
                </pic:pic>
              </a:graphicData>
            </a:graphic>
          </wp:inline>
        </w:drawing>
      </w:r>
    </w:p>
    <w:p w14:paraId="77CD7A5C" w14:textId="6BDF36CF" w:rsidR="00EE6863" w:rsidRDefault="00092D38" w:rsidP="00092D38">
      <w:pPr>
        <w:pStyle w:val="TableDescription"/>
      </w:pPr>
      <w:r>
        <w:t xml:space="preserve">Abbreviations: CI = confidence interval; EFS = </w:t>
      </w:r>
      <w:r w:rsidR="00E53242">
        <w:t>event-free survival</w:t>
      </w:r>
      <w:r>
        <w:t>; NAC = neoadjuvant chemotherapy</w:t>
      </w:r>
    </w:p>
    <w:p w14:paraId="066480FD" w14:textId="77777777" w:rsidR="00EE6863" w:rsidRDefault="00EE6863" w:rsidP="00EE6863">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03454082" w14:textId="1BE945ED" w:rsidR="00EE6863" w:rsidRDefault="00540C60" w:rsidP="00092D38">
      <w:pPr>
        <w:pStyle w:val="TableDescription"/>
      </w:pPr>
      <w:r>
        <w:t xml:space="preserve">For definitions of tumour </w:t>
      </w:r>
      <w:proofErr w:type="gramStart"/>
      <w:r>
        <w:t>size;</w:t>
      </w:r>
      <w:proofErr w:type="gramEnd"/>
      <w:r>
        <w:rPr>
          <w:vertAlign w:val="superscript"/>
        </w:rPr>
        <w:fldChar w:fldCharType="begin"/>
      </w:r>
      <w:r>
        <w:rPr>
          <w:vertAlign w:val="superscript"/>
        </w:rPr>
        <w:instrText xml:space="preserve"> NOTEREF _Ref134090899 \h  \* MERGEFORMAT </w:instrText>
      </w:r>
      <w:r>
        <w:rPr>
          <w:vertAlign w:val="superscript"/>
        </w:rPr>
      </w:r>
      <w:r>
        <w:rPr>
          <w:vertAlign w:val="superscript"/>
        </w:rPr>
        <w:fldChar w:fldCharType="separate"/>
      </w:r>
      <w:r w:rsidR="00A02570">
        <w:rPr>
          <w:vertAlign w:val="superscript"/>
        </w:rPr>
        <w:t>15</w:t>
      </w:r>
      <w:r>
        <w:rPr>
          <w:vertAlign w:val="superscript"/>
        </w:rPr>
        <w:fldChar w:fldCharType="end"/>
      </w:r>
      <w:r>
        <w:t xml:space="preserve"> see the relevant footnote.</w:t>
      </w:r>
    </w:p>
    <w:p w14:paraId="37A51C8E" w14:textId="01F4CB92" w:rsidR="00092D38" w:rsidRDefault="00092D38" w:rsidP="00092D38">
      <w:pPr>
        <w:pStyle w:val="TableDescription"/>
      </w:pPr>
      <w:r w:rsidRPr="00E3677E">
        <w:rPr>
          <w:vertAlign w:val="superscript"/>
        </w:rPr>
        <w:t>a</w:t>
      </w:r>
      <w:r w:rsidR="00E3677E">
        <w:rPr>
          <w:vertAlign w:val="superscript"/>
        </w:rPr>
        <w:t xml:space="preserve"> </w:t>
      </w:r>
      <w:r w:rsidR="00E3677E">
        <w:t xml:space="preserve">Based on Cox regression model with </w:t>
      </w:r>
      <w:proofErr w:type="spellStart"/>
      <w:r w:rsidR="00E3677E">
        <w:t>Ef</w:t>
      </w:r>
      <w:r w:rsidR="00101792">
        <w:t>r</w:t>
      </w:r>
      <w:r w:rsidR="00E3677E">
        <w:t>ons</w:t>
      </w:r>
      <w:proofErr w:type="spellEnd"/>
      <w:r w:rsidR="00E3677E">
        <w:t xml:space="preserve">’ method of tie handling with treatment as a covariate by nodal status (positive versus negative), </w:t>
      </w:r>
      <w:proofErr w:type="spellStart"/>
      <w:r w:rsidR="00E3677E">
        <w:t>tumor</w:t>
      </w:r>
      <w:proofErr w:type="spellEnd"/>
      <w:r w:rsidR="00E3677E">
        <w:t xml:space="preserve"> size (T1/T2 versus T3/T4) and choice of carboplatin (</w:t>
      </w:r>
      <w:proofErr w:type="spellStart"/>
      <w:r w:rsidR="00E3677E">
        <w:t>Cb</w:t>
      </w:r>
      <w:proofErr w:type="spellEnd"/>
      <w:r w:rsidR="00E3677E">
        <w:t>) (every three weeks versus weekly)</w:t>
      </w:r>
    </w:p>
    <w:p w14:paraId="72222255" w14:textId="6CD10E94" w:rsidR="00E3677E" w:rsidRDefault="00E3677E" w:rsidP="00092D38">
      <w:pPr>
        <w:pStyle w:val="TableDescription"/>
      </w:pPr>
      <w:r w:rsidRPr="00E3677E">
        <w:rPr>
          <w:vertAlign w:val="superscript"/>
        </w:rPr>
        <w:t>b</w:t>
      </w:r>
      <w:r>
        <w:rPr>
          <w:vertAlign w:val="superscript"/>
        </w:rPr>
        <w:t xml:space="preserve"> </w:t>
      </w:r>
      <w:r>
        <w:t xml:space="preserve">One-sided p value based on log-rank test by nodal status (positive versus negative), </w:t>
      </w:r>
      <w:proofErr w:type="spellStart"/>
      <w:r>
        <w:t>tumor</w:t>
      </w:r>
      <w:proofErr w:type="spellEnd"/>
      <w:r>
        <w:t xml:space="preserve"> size (T1/T2 versus T3/T4) and choice of carboplatin (</w:t>
      </w:r>
      <w:proofErr w:type="spellStart"/>
      <w:r>
        <w:t>Cb</w:t>
      </w:r>
      <w:proofErr w:type="spellEnd"/>
      <w:r>
        <w:t>) (every three weeks versus weekly).</w:t>
      </w:r>
      <w:r w:rsidR="007E32CD">
        <w:t xml:space="preserve"> </w:t>
      </w:r>
      <w:r>
        <w:t xml:space="preserve">The result was statistically significant compared with the prespecified </w:t>
      </w:r>
      <w:r w:rsidR="00E82FEF">
        <w:t>p-</w:t>
      </w:r>
      <w:r>
        <w:t>value boundary of 0.0051941.</w:t>
      </w:r>
    </w:p>
    <w:p w14:paraId="62DD795F" w14:textId="50BBC56C" w:rsidR="00E3677E" w:rsidRDefault="00E3677E" w:rsidP="00092D38">
      <w:pPr>
        <w:pStyle w:val="TableDescription"/>
      </w:pPr>
      <w:r>
        <w:t xml:space="preserve">The database </w:t>
      </w:r>
      <w:proofErr w:type="spellStart"/>
      <w:r>
        <w:t>cutoff</w:t>
      </w:r>
      <w:proofErr w:type="spellEnd"/>
      <w:r>
        <w:t xml:space="preserve"> date was 23 March 2021.</w:t>
      </w:r>
    </w:p>
    <w:p w14:paraId="645E962A" w14:textId="4078D8A4" w:rsidR="00E3677E" w:rsidRDefault="00E3677E" w:rsidP="00E3677E">
      <w:pPr>
        <w:pStyle w:val="FigureTitle"/>
      </w:pPr>
      <w:r w:rsidRPr="005F24B2">
        <w:lastRenderedPageBreak/>
        <w:t xml:space="preserve">Figure </w:t>
      </w:r>
      <w:r>
        <w:fldChar w:fldCharType="begin"/>
      </w:r>
      <w:r>
        <w:instrText>SEQ Figure \* ARABIC</w:instrText>
      </w:r>
      <w:r>
        <w:fldChar w:fldCharType="separate"/>
      </w:r>
      <w:r w:rsidR="00A02570">
        <w:rPr>
          <w:noProof/>
        </w:rPr>
        <w:t>3</w:t>
      </w:r>
      <w:r>
        <w:fldChar w:fldCharType="end"/>
      </w:r>
      <w:r w:rsidRPr="005F24B2">
        <w:t xml:space="preserve">: </w:t>
      </w:r>
      <w:r w:rsidR="00465424">
        <w:t xml:space="preserve">Study KN-522 (KEYNOTE 522 trial) </w:t>
      </w:r>
      <w:r w:rsidRPr="005F24B2">
        <w:t xml:space="preserve">Kaplan-Meier estimates of </w:t>
      </w:r>
      <w:r w:rsidR="00E53242">
        <w:t>event-free survival</w:t>
      </w:r>
      <w:r w:rsidRPr="005F24B2">
        <w:t xml:space="preserve"> (IA4) for the</w:t>
      </w:r>
      <w:r w:rsidR="009425AA">
        <w:t xml:space="preserve"> intent</w:t>
      </w:r>
      <w:r w:rsidRPr="005F24B2">
        <w:t xml:space="preserve"> to treat population</w:t>
      </w:r>
    </w:p>
    <w:p w14:paraId="5B9A29F3" w14:textId="73525115" w:rsidR="005F24B2" w:rsidRDefault="005F24B2" w:rsidP="00E3677E">
      <w:pPr>
        <w:pStyle w:val="FigureTitle"/>
      </w:pPr>
      <w:r>
        <w:rPr>
          <w:noProof/>
          <w:lang w:val="en-GB" w:eastAsia="en-GB"/>
        </w:rPr>
        <w:drawing>
          <wp:inline distT="0" distB="0" distL="0" distR="0" wp14:anchorId="36FC051F" wp14:editId="039F8CA6">
            <wp:extent cx="5400040" cy="3455035"/>
            <wp:effectExtent l="0" t="0" r="0" b="0"/>
            <wp:docPr id="260" name="Picture 260" descr="This figure shows the Kaplan-Meier estimates of event free survival (IA4) for the intention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This figure shows the Kaplan-Meier estimates of event free survival (IA4) for the intention to treat population"/>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5400040" cy="3455035"/>
                    </a:xfrm>
                    <a:prstGeom prst="rect">
                      <a:avLst/>
                    </a:prstGeom>
                  </pic:spPr>
                </pic:pic>
              </a:graphicData>
            </a:graphic>
          </wp:inline>
        </w:drawing>
      </w:r>
    </w:p>
    <w:p w14:paraId="37FD9382" w14:textId="01DE32C4" w:rsidR="00887BAF" w:rsidRDefault="00887BAF" w:rsidP="00887BAF">
      <w:pPr>
        <w:pStyle w:val="FigureDescription"/>
      </w:pPr>
      <w:r w:rsidRPr="00887BAF">
        <w:t>Abbreviation: MK-347</w:t>
      </w:r>
      <w:r w:rsidR="00E82FEF">
        <w:t>5</w:t>
      </w:r>
      <w:r w:rsidRPr="00887BAF">
        <w:t xml:space="preserve"> = </w:t>
      </w:r>
      <w:r w:rsidR="00540C60">
        <w:t xml:space="preserve">drug development code for </w:t>
      </w:r>
      <w:r w:rsidRPr="00887BAF">
        <w:t>pembrolizumab</w:t>
      </w:r>
    </w:p>
    <w:p w14:paraId="20184EB8" w14:textId="410E5313" w:rsidR="00540C60" w:rsidRPr="00887BAF" w:rsidRDefault="00540C60" w:rsidP="00870904">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52742F1E" w14:textId="09D09A36" w:rsidR="00FD0662" w:rsidRDefault="00E3677E" w:rsidP="00FD0662">
      <w:r w:rsidRPr="00E3677E">
        <w:t xml:space="preserve">The most common </w:t>
      </w:r>
      <w:r w:rsidR="00A34B07">
        <w:t>EFS</w:t>
      </w:r>
      <w:r w:rsidRPr="00E3677E">
        <w:t xml:space="preserve"> event in both arms was ‘distant recurrence’, followed by ‘local recurrence’. Those with ‘positive margin at last surgery’ formed a minority of EFS events, so if some of these did not represent true progression, it was unlikely to substantially influence the outcome. This was supported by a sensitivity analysis excluding these events: </w:t>
      </w:r>
      <w:r w:rsidR="00A34B07">
        <w:t>hazard ratio</w:t>
      </w:r>
      <w:r w:rsidRPr="00E3677E">
        <w:t xml:space="preserve"> </w:t>
      </w:r>
      <w:r w:rsidR="004F3758">
        <w:t xml:space="preserve">= </w:t>
      </w:r>
      <w:r w:rsidRPr="00E3677E">
        <w:t xml:space="preserve">0.65 (95% CI: 0.50, 0.85), which was consistent with the primary endpoint. The breakdown of events is shown </w:t>
      </w:r>
      <w:r w:rsidR="004F3758">
        <w:t xml:space="preserve">in </w:t>
      </w:r>
      <w:r w:rsidR="004F3758">
        <w:fldChar w:fldCharType="begin"/>
      </w:r>
      <w:r w:rsidR="004F3758">
        <w:instrText xml:space="preserve"> REF _Ref127190453 \h </w:instrText>
      </w:r>
      <w:r w:rsidR="004F3758">
        <w:fldChar w:fldCharType="separate"/>
      </w:r>
      <w:r w:rsidR="00A02570">
        <w:t xml:space="preserve">Table </w:t>
      </w:r>
      <w:r w:rsidR="00A02570">
        <w:rPr>
          <w:noProof/>
        </w:rPr>
        <w:t>9</w:t>
      </w:r>
      <w:r w:rsidR="004F3758">
        <w:fldChar w:fldCharType="end"/>
      </w:r>
      <w:r w:rsidR="00465424">
        <w:t>, below.</w:t>
      </w:r>
    </w:p>
    <w:p w14:paraId="021C579D" w14:textId="1CB93777" w:rsidR="00E3677E" w:rsidRDefault="00E3677E" w:rsidP="00E3677E">
      <w:pPr>
        <w:pStyle w:val="TableTitle"/>
      </w:pPr>
      <w:bookmarkStart w:id="63" w:name="_Ref127190453"/>
      <w:r>
        <w:t xml:space="preserve">Table </w:t>
      </w:r>
      <w:r>
        <w:fldChar w:fldCharType="begin"/>
      </w:r>
      <w:r>
        <w:instrText>SEQ Table \* ARABIC</w:instrText>
      </w:r>
      <w:r>
        <w:fldChar w:fldCharType="separate"/>
      </w:r>
      <w:r w:rsidR="00A02570">
        <w:rPr>
          <w:noProof/>
        </w:rPr>
        <w:t>9</w:t>
      </w:r>
      <w:r>
        <w:fldChar w:fldCharType="end"/>
      </w:r>
      <w:bookmarkEnd w:id="63"/>
      <w:r>
        <w:t xml:space="preserve">: </w:t>
      </w:r>
      <w:r w:rsidR="00465424">
        <w:t xml:space="preserve">Study KN-522 (KEYNOTE 522 trial) </w:t>
      </w:r>
      <w:r>
        <w:t xml:space="preserve">Summary of </w:t>
      </w:r>
      <w:r w:rsidR="00E53242">
        <w:t>event-free survival</w:t>
      </w:r>
      <w:r>
        <w:t xml:space="preserve"> events </w:t>
      </w:r>
      <w:r w:rsidR="00DB22F1">
        <w:t>for the</w:t>
      </w:r>
      <w:r w:rsidR="009425AA">
        <w:t xml:space="preserve"> intent</w:t>
      </w:r>
      <w:r w:rsidR="00DB22F1">
        <w:t xml:space="preserve"> to treat population </w:t>
      </w:r>
      <w:r w:rsidR="00D06F01">
        <w:t>(IA4)</w:t>
      </w:r>
    </w:p>
    <w:p w14:paraId="7ACEF74D" w14:textId="46ACED5E" w:rsidR="00E3677E" w:rsidRDefault="00E3677E" w:rsidP="004F05B7">
      <w:r>
        <w:rPr>
          <w:noProof/>
          <w:lang w:val="en-GB" w:eastAsia="en-GB"/>
        </w:rPr>
        <w:drawing>
          <wp:inline distT="0" distB="0" distL="0" distR="0" wp14:anchorId="15B9DC70" wp14:editId="36029734">
            <wp:extent cx="5400040" cy="2204720"/>
            <wp:effectExtent l="0" t="0" r="0" b="5080"/>
            <wp:docPr id="12" name="Picture 12" descr="This table is a summary of event free survival events for the intention to treat population at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table is a summary of event free survival events for the intention to treat population at IA4."/>
                    <pic:cNvPicPr/>
                  </pic:nvPicPr>
                  <pic:blipFill>
                    <a:blip r:embed="rId34"/>
                    <a:stretch>
                      <a:fillRect/>
                    </a:stretch>
                  </pic:blipFill>
                  <pic:spPr>
                    <a:xfrm>
                      <a:off x="0" y="0"/>
                      <a:ext cx="5400040" cy="2204720"/>
                    </a:xfrm>
                    <a:prstGeom prst="rect">
                      <a:avLst/>
                    </a:prstGeom>
                  </pic:spPr>
                </pic:pic>
              </a:graphicData>
            </a:graphic>
          </wp:inline>
        </w:drawing>
      </w:r>
    </w:p>
    <w:p w14:paraId="16E07225" w14:textId="6B7BA982" w:rsidR="00540C60" w:rsidRDefault="00E3677E" w:rsidP="00E3677E">
      <w:pPr>
        <w:pStyle w:val="TableDescription"/>
      </w:pPr>
      <w:r>
        <w:t xml:space="preserve">Abbreviations: EFS = </w:t>
      </w:r>
      <w:r w:rsidR="00E53242">
        <w:t>event-free survival</w:t>
      </w:r>
      <w:r>
        <w:t xml:space="preserve">; ITT = intent to treat; </w:t>
      </w:r>
      <w:r w:rsidR="00465424">
        <w:t xml:space="preserve">NAC = neoadjuvant chemotherapy; </w:t>
      </w:r>
      <w:r>
        <w:t>PD</w:t>
      </w:r>
      <w:r w:rsidR="00465424">
        <w:t> </w:t>
      </w:r>
      <w:r>
        <w:t>=</w:t>
      </w:r>
      <w:r w:rsidR="00465424">
        <w:t> </w:t>
      </w:r>
      <w:r>
        <w:t>progressive disease</w:t>
      </w:r>
    </w:p>
    <w:p w14:paraId="50AAFDA5" w14:textId="77777777" w:rsidR="00540C60" w:rsidRDefault="00540C60">
      <w:pPr>
        <w:pStyle w:val="TableDescription"/>
        <w:rPr>
          <w:vertAlign w:val="superscript"/>
        </w:rPr>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27C2E7FC" w14:textId="13E8CFC0" w:rsidR="00E3677E" w:rsidRDefault="00E3677E">
      <w:pPr>
        <w:pStyle w:val="TableDescription"/>
      </w:pPr>
      <w:r w:rsidRPr="00E3677E">
        <w:rPr>
          <w:vertAlign w:val="superscript"/>
        </w:rPr>
        <w:lastRenderedPageBreak/>
        <w:t>a</w:t>
      </w:r>
      <w:r w:rsidR="00A34B07">
        <w:rPr>
          <w:vertAlign w:val="superscript"/>
        </w:rPr>
        <w:t xml:space="preserve"> </w:t>
      </w:r>
      <w:r>
        <w:t>Progression of disease that precludes definitive surgery includes Local PD Precludes Surgery; Local PD Precludes Definitive Surgery, Distant PD, and Positive Margin at Last Surgery.</w:t>
      </w:r>
      <w:r w:rsidR="00875788">
        <w:br/>
      </w:r>
      <w:r>
        <w:t xml:space="preserve">Database </w:t>
      </w:r>
      <w:proofErr w:type="spellStart"/>
      <w:r>
        <w:t>cutoff</w:t>
      </w:r>
      <w:proofErr w:type="spellEnd"/>
      <w:r>
        <w:t xml:space="preserve"> date: 23 March 2021</w:t>
      </w:r>
    </w:p>
    <w:p w14:paraId="1A776C0E" w14:textId="6093197D" w:rsidR="00FD0662" w:rsidRDefault="00E3677E" w:rsidP="00FD0662">
      <w:r w:rsidRPr="00E3677E">
        <w:t>EFS was generally consistent across subgroups</w:t>
      </w:r>
      <w:r w:rsidR="005F24B2">
        <w:t xml:space="preserve"> (see </w:t>
      </w:r>
      <w:r w:rsidR="005F24B2">
        <w:fldChar w:fldCharType="begin"/>
      </w:r>
      <w:r w:rsidR="005F24B2">
        <w:instrText xml:space="preserve"> REF _Ref127788305 \h </w:instrText>
      </w:r>
      <w:r w:rsidR="005F24B2">
        <w:fldChar w:fldCharType="separate"/>
      </w:r>
      <w:r w:rsidR="00A02570">
        <w:t xml:space="preserve">Figure </w:t>
      </w:r>
      <w:r w:rsidR="00A02570">
        <w:rPr>
          <w:noProof/>
        </w:rPr>
        <w:t>4</w:t>
      </w:r>
      <w:r w:rsidR="005F24B2">
        <w:fldChar w:fldCharType="end"/>
      </w:r>
      <w:r w:rsidR="005F24B2">
        <w:t>).</w:t>
      </w:r>
    </w:p>
    <w:p w14:paraId="136DC74C" w14:textId="737207C2" w:rsidR="00E3677E" w:rsidRDefault="00E3677E" w:rsidP="00E3677E">
      <w:pPr>
        <w:pStyle w:val="FigureTitle"/>
      </w:pPr>
      <w:bookmarkStart w:id="64" w:name="_Ref127788305"/>
      <w:r>
        <w:t xml:space="preserve">Figure </w:t>
      </w:r>
      <w:r>
        <w:fldChar w:fldCharType="begin"/>
      </w:r>
      <w:r>
        <w:instrText>SEQ Figure \* ARABIC</w:instrText>
      </w:r>
      <w:r>
        <w:fldChar w:fldCharType="separate"/>
      </w:r>
      <w:r w:rsidR="00A02570">
        <w:rPr>
          <w:noProof/>
        </w:rPr>
        <w:t>4</w:t>
      </w:r>
      <w:r>
        <w:fldChar w:fldCharType="end"/>
      </w:r>
      <w:bookmarkEnd w:id="64"/>
      <w:r>
        <w:t xml:space="preserve">: </w:t>
      </w:r>
      <w:r w:rsidR="00465424">
        <w:t xml:space="preserve">Study KN-522 (KEYNOTE 522 trial) </w:t>
      </w:r>
      <w:r w:rsidR="00E53242">
        <w:t>Event-free survival</w:t>
      </w:r>
      <w:r>
        <w:t xml:space="preserve"> by subgroups</w:t>
      </w:r>
      <w:r w:rsidR="00D06F01">
        <w:t xml:space="preserve"> for the</w:t>
      </w:r>
      <w:r w:rsidR="009425AA">
        <w:t xml:space="preserve"> intent</w:t>
      </w:r>
      <w:r w:rsidR="00D06F01">
        <w:t xml:space="preserve"> to treat population (IA4)</w:t>
      </w:r>
    </w:p>
    <w:p w14:paraId="52CC8E3A" w14:textId="0206CBE7" w:rsidR="00E3677E" w:rsidRDefault="00E3677E" w:rsidP="00FD0662">
      <w:r>
        <w:rPr>
          <w:noProof/>
          <w:lang w:val="en-GB" w:eastAsia="en-GB"/>
        </w:rPr>
        <w:drawing>
          <wp:inline distT="0" distB="0" distL="0" distR="0" wp14:anchorId="4D9EA38E" wp14:editId="5A52E82A">
            <wp:extent cx="5400040" cy="4264025"/>
            <wp:effectExtent l="0" t="0" r="0" b="3175"/>
            <wp:docPr id="13" name="Picture 13" descr="This figure shows event free survival by subgroups for the intention to treat population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shows event free survival by subgroups for the intention to treat population (IA4)."/>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5400040" cy="4264025"/>
                    </a:xfrm>
                    <a:prstGeom prst="rect">
                      <a:avLst/>
                    </a:prstGeom>
                  </pic:spPr>
                </pic:pic>
              </a:graphicData>
            </a:graphic>
          </wp:inline>
        </w:drawing>
      </w:r>
    </w:p>
    <w:p w14:paraId="59C90C1F" w14:textId="57627DB2" w:rsidR="00875788" w:rsidRDefault="00875788" w:rsidP="00EF09D1">
      <w:pPr>
        <w:pStyle w:val="FigureDescription"/>
        <w:rPr>
          <w:szCs w:val="19"/>
        </w:rPr>
      </w:pPr>
      <w:r w:rsidRPr="000C7CC7">
        <w:rPr>
          <w:szCs w:val="19"/>
        </w:rPr>
        <w:t xml:space="preserve">Abbreviations: </w:t>
      </w:r>
      <w:r w:rsidR="00EF09D1" w:rsidRPr="00870904">
        <w:rPr>
          <w:szCs w:val="19"/>
        </w:rPr>
        <w:t>MK = MK-3475 (pembrolizumab</w:t>
      </w:r>
      <w:r w:rsidR="00887BAF" w:rsidRPr="00870904">
        <w:rPr>
          <w:szCs w:val="19"/>
        </w:rPr>
        <w:t>)</w:t>
      </w:r>
      <w:r w:rsidR="00EF09D1" w:rsidRPr="00870904">
        <w:rPr>
          <w:szCs w:val="19"/>
        </w:rPr>
        <w:t>,</w:t>
      </w:r>
      <w:r w:rsidR="00EF09D1" w:rsidRPr="000C7CC7">
        <w:rPr>
          <w:szCs w:val="19"/>
        </w:rPr>
        <w:t xml:space="preserve"> </w:t>
      </w:r>
      <w:proofErr w:type="spellStart"/>
      <w:r w:rsidR="00EF09D1" w:rsidRPr="000C7CC7">
        <w:rPr>
          <w:szCs w:val="19"/>
        </w:rPr>
        <w:t>Pbo</w:t>
      </w:r>
      <w:proofErr w:type="spellEnd"/>
      <w:r w:rsidR="00EF09D1" w:rsidRPr="000C7CC7">
        <w:rPr>
          <w:szCs w:val="19"/>
        </w:rPr>
        <w:t xml:space="preserve"> = placebo, </w:t>
      </w:r>
      <w:r w:rsidR="00C246DD" w:rsidRPr="000C7CC7">
        <w:rPr>
          <w:szCs w:val="19"/>
        </w:rPr>
        <w:t xml:space="preserve">chemo = chemotherapy, </w:t>
      </w:r>
      <w:r w:rsidR="00EF09D1" w:rsidRPr="000C7CC7">
        <w:rPr>
          <w:szCs w:val="19"/>
        </w:rPr>
        <w:t>HR = hazard ratio</w:t>
      </w:r>
      <w:r w:rsidR="00C246DD" w:rsidRPr="000C7CC7">
        <w:rPr>
          <w:szCs w:val="19"/>
        </w:rPr>
        <w:t>,</w:t>
      </w:r>
      <w:r w:rsidR="00EF09D1" w:rsidRPr="000C7CC7">
        <w:rPr>
          <w:szCs w:val="19"/>
        </w:rPr>
        <w:t xml:space="preserve"> CI = confidence interval, PD-L1 = programmed cell death ligand-1, CPS = combined positive score, HER2 = human epidermal growth factor receptor 2, IHC = immunohistochemistry.</w:t>
      </w:r>
    </w:p>
    <w:p w14:paraId="04DA1942" w14:textId="08580E12" w:rsidR="00540C60" w:rsidRDefault="00540C60" w:rsidP="00540C60">
      <w:pPr>
        <w:pStyle w:val="TableDescription"/>
      </w:pPr>
      <w:r>
        <w:t>For definitions of tumour size and nodal status;</w:t>
      </w:r>
      <w:r>
        <w:rPr>
          <w:vertAlign w:val="superscript"/>
        </w:rPr>
        <w:fldChar w:fldCharType="begin"/>
      </w:r>
      <w:r>
        <w:rPr>
          <w:vertAlign w:val="superscript"/>
        </w:rPr>
        <w:instrText xml:space="preserve"> NOTEREF _Ref134090899 \h  \* MERGEFORMAT </w:instrText>
      </w:r>
      <w:r>
        <w:rPr>
          <w:vertAlign w:val="superscript"/>
        </w:rPr>
      </w:r>
      <w:r>
        <w:rPr>
          <w:vertAlign w:val="superscript"/>
        </w:rPr>
        <w:fldChar w:fldCharType="separate"/>
      </w:r>
      <w:r w:rsidR="00A02570">
        <w:rPr>
          <w:vertAlign w:val="superscript"/>
        </w:rPr>
        <w:t>15</w:t>
      </w:r>
      <w:r>
        <w:rPr>
          <w:vertAlign w:val="superscript"/>
        </w:rPr>
        <w:fldChar w:fldCharType="end"/>
      </w:r>
      <w:r>
        <w:t xml:space="preserve"> ECOG performance status scores;</w:t>
      </w:r>
      <w:r>
        <w:rPr>
          <w:vertAlign w:val="superscript"/>
        </w:rPr>
        <w:fldChar w:fldCharType="begin"/>
      </w:r>
      <w:r>
        <w:rPr>
          <w:vertAlign w:val="superscript"/>
        </w:rPr>
        <w:instrText xml:space="preserve"> NOTEREF _Ref134092388 \h  \* MERGEFORMAT </w:instrText>
      </w:r>
      <w:r>
        <w:rPr>
          <w:vertAlign w:val="superscript"/>
        </w:rPr>
      </w:r>
      <w:r>
        <w:rPr>
          <w:vertAlign w:val="superscript"/>
        </w:rPr>
        <w:fldChar w:fldCharType="separate"/>
      </w:r>
      <w:r w:rsidR="00A02570">
        <w:rPr>
          <w:vertAlign w:val="superscript"/>
        </w:rPr>
        <w:t>18</w:t>
      </w:r>
      <w:r>
        <w:rPr>
          <w:vertAlign w:val="superscript"/>
        </w:rPr>
        <w:fldChar w:fldCharType="end"/>
      </w:r>
      <w:r>
        <w:t xml:space="preserve"> and combined positive scores (CPS),</w:t>
      </w:r>
      <w:r>
        <w:rPr>
          <w:vertAlign w:val="superscript"/>
        </w:rPr>
        <w:fldChar w:fldCharType="begin"/>
      </w:r>
      <w:r>
        <w:rPr>
          <w:vertAlign w:val="superscript"/>
        </w:rPr>
        <w:instrText xml:space="preserve"> NOTEREF _Ref134099386 \h  \* MERGEFORMAT </w:instrText>
      </w:r>
      <w:r>
        <w:rPr>
          <w:vertAlign w:val="superscript"/>
        </w:rPr>
      </w:r>
      <w:r>
        <w:rPr>
          <w:vertAlign w:val="superscript"/>
        </w:rPr>
        <w:fldChar w:fldCharType="separate"/>
      </w:r>
      <w:r w:rsidR="00A02570">
        <w:rPr>
          <w:vertAlign w:val="superscript"/>
        </w:rPr>
        <w:t>23</w:t>
      </w:r>
      <w:r>
        <w:rPr>
          <w:vertAlign w:val="superscript"/>
        </w:rPr>
        <w:fldChar w:fldCharType="end"/>
      </w:r>
      <w:r>
        <w:t xml:space="preserve"> see the relevant footnotes.</w:t>
      </w:r>
    </w:p>
    <w:p w14:paraId="25E940EA" w14:textId="15060668" w:rsidR="00540C60" w:rsidRPr="000C7CC7" w:rsidRDefault="00540C60" w:rsidP="00870904">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47A826FE" w14:textId="787CE8FB" w:rsidR="000C7CC7" w:rsidRDefault="000C7CC7" w:rsidP="00EF09D1">
      <w:pPr>
        <w:pStyle w:val="FigureDescription"/>
      </w:pPr>
      <w:r w:rsidRPr="000C7CC7">
        <w:rPr>
          <w:szCs w:val="19"/>
        </w:rPr>
        <w:t>Analysis (HR and 95% CI) in the overall population and PD-L1 subgroup is based on stratified Cox model; for other subgroups, analysis is based on the unstratified Cox model.</w:t>
      </w:r>
    </w:p>
    <w:p w14:paraId="29CE2643" w14:textId="77777777" w:rsidR="002D7FFB" w:rsidRDefault="00E3677E" w:rsidP="00A34B07">
      <w:pPr>
        <w:pStyle w:val="Heading6"/>
      </w:pPr>
      <w:r w:rsidRPr="00E3677E">
        <w:t>Key secondary endpoint</w:t>
      </w:r>
    </w:p>
    <w:p w14:paraId="2C0A62CB" w14:textId="3B002E97" w:rsidR="00FD0662" w:rsidRDefault="00E3677E" w:rsidP="00FD0662">
      <w:r w:rsidRPr="00E3677E">
        <w:t>O</w:t>
      </w:r>
      <w:r w:rsidR="005F24B2">
        <w:t xml:space="preserve">verall survival </w:t>
      </w:r>
      <w:r w:rsidRPr="00E3677E">
        <w:t>was formally assessed at IA4</w:t>
      </w:r>
      <w:r w:rsidR="00465424">
        <w:t xml:space="preserve"> analysis</w:t>
      </w:r>
      <w:r w:rsidRPr="00E3677E">
        <w:t xml:space="preserve"> according to the prespecified </w:t>
      </w:r>
      <w:proofErr w:type="gramStart"/>
      <w:r w:rsidRPr="00E3677E">
        <w:t>plan, since</w:t>
      </w:r>
      <w:proofErr w:type="gramEnd"/>
      <w:r w:rsidRPr="00E3677E">
        <w:t xml:space="preserve"> the null hypothesis was rejected for EFS at this analysis. The information fraction was </w:t>
      </w:r>
      <w:r w:rsidR="004F3758">
        <w:t xml:space="preserve">approximately </w:t>
      </w:r>
      <w:r w:rsidRPr="00E3677E">
        <w:t>45% of the events needed</w:t>
      </w:r>
      <w:r>
        <w:t xml:space="preserve"> </w:t>
      </w:r>
      <w:r w:rsidRPr="00E3677E">
        <w:t>for final analysis (135</w:t>
      </w:r>
      <w:r w:rsidR="004F3758">
        <w:t xml:space="preserve"> out of </w:t>
      </w:r>
      <w:r w:rsidRPr="00E3677E">
        <w:t>297), and the observed p</w:t>
      </w:r>
      <w:r w:rsidR="00003DBB">
        <w:t>-</w:t>
      </w:r>
      <w:r w:rsidRPr="00E3677E">
        <w:t>value did not cross the boundary for efficacy:</w:t>
      </w:r>
      <w:r w:rsidR="00A056E9">
        <w:t xml:space="preserve"> hazard ratio</w:t>
      </w:r>
      <w:r w:rsidRPr="00E3677E">
        <w:t xml:space="preserve"> = 0.72 (95% CI: 0.51, 1.02), p</w:t>
      </w:r>
      <w:r w:rsidR="004F3758">
        <w:t> </w:t>
      </w:r>
      <w:r w:rsidRPr="00E3677E">
        <w:t>= 0.0321377.</w:t>
      </w:r>
      <w:r w:rsidR="007E32CD">
        <w:t xml:space="preserve"> </w:t>
      </w:r>
      <w:r w:rsidR="004F3758">
        <w:t xml:space="preserve">See </w:t>
      </w:r>
      <w:r w:rsidR="004F3758">
        <w:fldChar w:fldCharType="begin"/>
      </w:r>
      <w:r w:rsidR="004F3758">
        <w:instrText xml:space="preserve"> REF _Ref127190578 \h </w:instrText>
      </w:r>
      <w:r w:rsidR="004F3758">
        <w:fldChar w:fldCharType="separate"/>
      </w:r>
      <w:r w:rsidR="00A02570">
        <w:t xml:space="preserve">Table </w:t>
      </w:r>
      <w:r w:rsidR="00A02570">
        <w:rPr>
          <w:noProof/>
        </w:rPr>
        <w:t>10</w:t>
      </w:r>
      <w:r w:rsidR="004F3758">
        <w:fldChar w:fldCharType="end"/>
      </w:r>
      <w:r w:rsidR="005D1D9C">
        <w:t xml:space="preserve"> and</w:t>
      </w:r>
      <w:r w:rsidR="00DB34B8">
        <w:t xml:space="preserve"> </w:t>
      </w:r>
      <w:r w:rsidR="00DB34B8" w:rsidRPr="00DB34B8">
        <w:fldChar w:fldCharType="begin"/>
      </w:r>
      <w:r w:rsidR="00DB34B8" w:rsidRPr="00DB34B8">
        <w:instrText xml:space="preserve"> REF _Ref127190621 \h </w:instrText>
      </w:r>
      <w:r w:rsidR="00DB34B8">
        <w:instrText xml:space="preserve"> \* MERGEFORMAT </w:instrText>
      </w:r>
      <w:r w:rsidR="00DB34B8" w:rsidRPr="00DB34B8">
        <w:fldChar w:fldCharType="separate"/>
      </w:r>
      <w:r w:rsidR="00A02570" w:rsidRPr="00DB34B8">
        <w:t xml:space="preserve">Figure </w:t>
      </w:r>
      <w:r w:rsidR="00A02570">
        <w:rPr>
          <w:noProof/>
        </w:rPr>
        <w:t>5</w:t>
      </w:r>
      <w:r w:rsidR="00DB34B8" w:rsidRPr="00DB34B8">
        <w:fldChar w:fldCharType="end"/>
      </w:r>
      <w:r w:rsidR="00465424">
        <w:t>, below</w:t>
      </w:r>
      <w:r w:rsidR="004F3758" w:rsidRPr="00DB34B8">
        <w:t>.</w:t>
      </w:r>
    </w:p>
    <w:p w14:paraId="77E5FCE7" w14:textId="08CDBB08" w:rsidR="00E3677E" w:rsidRDefault="00E3677E" w:rsidP="00E3677E">
      <w:pPr>
        <w:pStyle w:val="TableTitle"/>
      </w:pPr>
      <w:bookmarkStart w:id="65" w:name="_Ref127190578"/>
      <w:r>
        <w:lastRenderedPageBreak/>
        <w:t xml:space="preserve">Table </w:t>
      </w:r>
      <w:r>
        <w:fldChar w:fldCharType="begin"/>
      </w:r>
      <w:r>
        <w:instrText>SEQ Table \* ARABIC</w:instrText>
      </w:r>
      <w:r>
        <w:fldChar w:fldCharType="separate"/>
      </w:r>
      <w:r w:rsidR="00A02570">
        <w:rPr>
          <w:noProof/>
        </w:rPr>
        <w:t>10</w:t>
      </w:r>
      <w:r>
        <w:fldChar w:fldCharType="end"/>
      </w:r>
      <w:bookmarkEnd w:id="65"/>
      <w:r>
        <w:t xml:space="preserve">: </w:t>
      </w:r>
      <w:r w:rsidR="00465424">
        <w:t xml:space="preserve">Study KN-522 (KEYNOTE 522 trial) </w:t>
      </w:r>
      <w:r>
        <w:t xml:space="preserve">Summary of </w:t>
      </w:r>
      <w:r w:rsidR="00D06F01">
        <w:t>overall survival for the</w:t>
      </w:r>
      <w:r w:rsidR="009425AA">
        <w:t xml:space="preserve"> intent</w:t>
      </w:r>
      <w:r w:rsidR="00D06F01">
        <w:t xml:space="preserve"> to treat population </w:t>
      </w:r>
      <w:r>
        <w:t>(IA4)</w:t>
      </w:r>
    </w:p>
    <w:p w14:paraId="3B0C9B3B" w14:textId="1EC8CFA6" w:rsidR="00E3677E" w:rsidRDefault="00E3677E" w:rsidP="004F05B7">
      <w:r>
        <w:rPr>
          <w:noProof/>
          <w:lang w:val="en-GB" w:eastAsia="en-GB"/>
        </w:rPr>
        <w:drawing>
          <wp:inline distT="0" distB="0" distL="0" distR="0" wp14:anchorId="18D2C7D5" wp14:editId="7D447069">
            <wp:extent cx="5400040" cy="1443355"/>
            <wp:effectExtent l="0" t="0" r="0" b="4445"/>
            <wp:docPr id="22" name="Picture 22" descr="This table is a summary of overall survival for the intention to treat population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table is a summary of overall survival for the intention to treat population (IA4)"/>
                    <pic:cNvPicPr/>
                  </pic:nvPicPr>
                  <pic:blipFill>
                    <a:blip r:embed="rId37"/>
                    <a:stretch>
                      <a:fillRect/>
                    </a:stretch>
                  </pic:blipFill>
                  <pic:spPr>
                    <a:xfrm>
                      <a:off x="0" y="0"/>
                      <a:ext cx="5400040" cy="1443355"/>
                    </a:xfrm>
                    <a:prstGeom prst="rect">
                      <a:avLst/>
                    </a:prstGeom>
                  </pic:spPr>
                </pic:pic>
              </a:graphicData>
            </a:graphic>
          </wp:inline>
        </w:drawing>
      </w:r>
    </w:p>
    <w:p w14:paraId="41CCAF66" w14:textId="38F0D6AC" w:rsidR="00E3677E" w:rsidRDefault="00E3677E" w:rsidP="00E3677E">
      <w:pPr>
        <w:pStyle w:val="TableDescription"/>
      </w:pPr>
      <w:r>
        <w:t>Abbreviations: CI = confidence interval</w:t>
      </w:r>
      <w:r w:rsidR="00540C60">
        <w:t>;</w:t>
      </w:r>
      <w:r>
        <w:t xml:space="preserve"> OS = overall survival; NAC = neoadjuvant chemotherapy.</w:t>
      </w:r>
    </w:p>
    <w:p w14:paraId="39060085" w14:textId="29B6B052" w:rsidR="00540C60" w:rsidRDefault="00540C60" w:rsidP="00540C60">
      <w:pPr>
        <w:pStyle w:val="TableDescription"/>
      </w:pPr>
      <w:r>
        <w:t>For definitions of tumour size;</w:t>
      </w:r>
      <w:r>
        <w:rPr>
          <w:vertAlign w:val="superscript"/>
        </w:rPr>
        <w:fldChar w:fldCharType="begin"/>
      </w:r>
      <w:r>
        <w:rPr>
          <w:vertAlign w:val="superscript"/>
        </w:rPr>
        <w:instrText xml:space="preserve"> NOTEREF _Ref134090899 \h  \* MERGEFORMAT </w:instrText>
      </w:r>
      <w:r>
        <w:rPr>
          <w:vertAlign w:val="superscript"/>
        </w:rPr>
      </w:r>
      <w:r>
        <w:rPr>
          <w:vertAlign w:val="superscript"/>
        </w:rPr>
        <w:fldChar w:fldCharType="separate"/>
      </w:r>
      <w:r w:rsidR="00A02570">
        <w:rPr>
          <w:vertAlign w:val="superscript"/>
        </w:rPr>
        <w:t>15</w:t>
      </w:r>
      <w:r>
        <w:rPr>
          <w:vertAlign w:val="superscript"/>
        </w:rPr>
        <w:fldChar w:fldCharType="end"/>
      </w:r>
      <w:r>
        <w:t xml:space="preserve"> ECOG performance status scores;</w:t>
      </w:r>
      <w:r>
        <w:rPr>
          <w:vertAlign w:val="superscript"/>
        </w:rPr>
        <w:fldChar w:fldCharType="begin"/>
      </w:r>
      <w:r>
        <w:rPr>
          <w:vertAlign w:val="superscript"/>
        </w:rPr>
        <w:instrText xml:space="preserve"> NOTEREF _Ref134092388 \h  \* MERGEFORMAT </w:instrText>
      </w:r>
      <w:r>
        <w:rPr>
          <w:vertAlign w:val="superscript"/>
        </w:rPr>
      </w:r>
      <w:r>
        <w:rPr>
          <w:vertAlign w:val="superscript"/>
        </w:rPr>
        <w:fldChar w:fldCharType="separate"/>
      </w:r>
      <w:r w:rsidR="00A02570">
        <w:rPr>
          <w:vertAlign w:val="superscript"/>
        </w:rPr>
        <w:t>18</w:t>
      </w:r>
      <w:r>
        <w:rPr>
          <w:vertAlign w:val="superscript"/>
        </w:rPr>
        <w:fldChar w:fldCharType="end"/>
      </w:r>
      <w:r>
        <w:t xml:space="preserve"> and combined positive scores (CPS),</w:t>
      </w:r>
      <w:r>
        <w:rPr>
          <w:vertAlign w:val="superscript"/>
        </w:rPr>
        <w:fldChar w:fldCharType="begin"/>
      </w:r>
      <w:r>
        <w:rPr>
          <w:vertAlign w:val="superscript"/>
        </w:rPr>
        <w:instrText xml:space="preserve"> NOTEREF _Ref134099386 \h  \* MERGEFORMAT </w:instrText>
      </w:r>
      <w:r>
        <w:rPr>
          <w:vertAlign w:val="superscript"/>
        </w:rPr>
      </w:r>
      <w:r>
        <w:rPr>
          <w:vertAlign w:val="superscript"/>
        </w:rPr>
        <w:fldChar w:fldCharType="separate"/>
      </w:r>
      <w:r w:rsidR="00A02570">
        <w:rPr>
          <w:vertAlign w:val="superscript"/>
        </w:rPr>
        <w:t>23</w:t>
      </w:r>
      <w:r>
        <w:rPr>
          <w:vertAlign w:val="superscript"/>
        </w:rPr>
        <w:fldChar w:fldCharType="end"/>
      </w:r>
      <w:r>
        <w:t xml:space="preserve"> see the relevant footnotes.</w:t>
      </w:r>
    </w:p>
    <w:p w14:paraId="11C612B4" w14:textId="26BB433F" w:rsidR="00540C60" w:rsidRDefault="00540C60" w:rsidP="00E3677E">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19286241" w14:textId="0A6868AB" w:rsidR="00E3677E" w:rsidRDefault="00E3677E" w:rsidP="00E3677E">
      <w:pPr>
        <w:pStyle w:val="TableDescription"/>
      </w:pPr>
      <w:r w:rsidRPr="00E3677E">
        <w:rPr>
          <w:vertAlign w:val="superscript"/>
        </w:rPr>
        <w:t>a</w:t>
      </w:r>
      <w:r>
        <w:t xml:space="preserve"> Based on Cox regression model with </w:t>
      </w:r>
      <w:proofErr w:type="spellStart"/>
      <w:r w:rsidR="00101792">
        <w:t>Efron</w:t>
      </w:r>
      <w:r>
        <w:t>’</w:t>
      </w:r>
      <w:r w:rsidR="00101792">
        <w:t>s</w:t>
      </w:r>
      <w:proofErr w:type="spellEnd"/>
      <w:r>
        <w:t xml:space="preserve"> method of tie handling with treatment as a covariate by nodal status (positive versus negative), tumo</w:t>
      </w:r>
      <w:r w:rsidR="00465424">
        <w:t>u</w:t>
      </w:r>
      <w:r>
        <w:t>r size (T1/T2 versus T3/T4) and choice of carboplatin (</w:t>
      </w:r>
      <w:proofErr w:type="spellStart"/>
      <w:r>
        <w:t>Cb</w:t>
      </w:r>
      <w:proofErr w:type="spellEnd"/>
      <w:r>
        <w:t>) (every three weeks versus weekly).</w:t>
      </w:r>
    </w:p>
    <w:p w14:paraId="349CBD9D" w14:textId="628415FA" w:rsidR="002D7FFB" w:rsidRDefault="00E3677E" w:rsidP="00E3677E">
      <w:pPr>
        <w:pStyle w:val="TableDescription"/>
      </w:pPr>
      <w:r w:rsidRPr="00E3677E">
        <w:rPr>
          <w:vertAlign w:val="superscript"/>
        </w:rPr>
        <w:t>b</w:t>
      </w:r>
      <w:r>
        <w:rPr>
          <w:vertAlign w:val="superscript"/>
        </w:rPr>
        <w:t xml:space="preserve"> </w:t>
      </w:r>
      <w:r>
        <w:t xml:space="preserve">One-sided p value based on log-rank test by nodal status (positive versus negative), </w:t>
      </w:r>
      <w:r w:rsidR="00540C60">
        <w:t>tumour</w:t>
      </w:r>
      <w:r>
        <w:t xml:space="preserve"> size (T1/T2 versus T3/T4) and choice of carboplatin (</w:t>
      </w:r>
      <w:proofErr w:type="spellStart"/>
      <w:r>
        <w:t>Cb</w:t>
      </w:r>
      <w:proofErr w:type="spellEnd"/>
      <w:r>
        <w:t>) (every three weeks versus weekly).</w:t>
      </w:r>
    </w:p>
    <w:p w14:paraId="0541F4E8" w14:textId="004BF7F5" w:rsidR="00E3677E" w:rsidRDefault="00E3677E" w:rsidP="00E3677E">
      <w:pPr>
        <w:pStyle w:val="TableDescription"/>
      </w:pPr>
      <w:r>
        <w:t>Database cut</w:t>
      </w:r>
      <w:r w:rsidR="00465424">
        <w:t>-</w:t>
      </w:r>
      <w:r>
        <w:t>off date: 23 March 2021</w:t>
      </w:r>
    </w:p>
    <w:p w14:paraId="5437ABC8" w14:textId="6C4D5FFE" w:rsidR="00E3677E" w:rsidRDefault="00E3677E" w:rsidP="00E3677E">
      <w:pPr>
        <w:pStyle w:val="FigureTitle"/>
      </w:pPr>
      <w:bookmarkStart w:id="66" w:name="_Ref127190621"/>
      <w:r w:rsidRPr="00DB34B8">
        <w:t xml:space="preserve">Figure </w:t>
      </w:r>
      <w:r>
        <w:fldChar w:fldCharType="begin"/>
      </w:r>
      <w:r>
        <w:instrText>SEQ Figure \* ARABIC</w:instrText>
      </w:r>
      <w:r>
        <w:fldChar w:fldCharType="separate"/>
      </w:r>
      <w:r w:rsidR="00A02570">
        <w:rPr>
          <w:noProof/>
        </w:rPr>
        <w:t>5</w:t>
      </w:r>
      <w:r>
        <w:fldChar w:fldCharType="end"/>
      </w:r>
      <w:bookmarkEnd w:id="66"/>
      <w:r w:rsidRPr="00DB34B8">
        <w:t xml:space="preserve">: </w:t>
      </w:r>
      <w:r w:rsidR="00465424">
        <w:t xml:space="preserve">Study KN-522 (KEYNOTE 522 trial) </w:t>
      </w:r>
      <w:r w:rsidRPr="00DB34B8">
        <w:t xml:space="preserve">Kaplan-Meier estimate of </w:t>
      </w:r>
      <w:r w:rsidR="00D06F01">
        <w:t>overall survival for the</w:t>
      </w:r>
      <w:r w:rsidR="009425AA">
        <w:t xml:space="preserve"> intent</w:t>
      </w:r>
      <w:r w:rsidR="00D06F01">
        <w:t xml:space="preserve"> to treat population (</w:t>
      </w:r>
      <w:r w:rsidRPr="00DB34B8">
        <w:t>IA4)</w:t>
      </w:r>
    </w:p>
    <w:p w14:paraId="40C6804C" w14:textId="50CDDA56" w:rsidR="00DB34B8" w:rsidRDefault="00DB34B8" w:rsidP="00E3677E">
      <w:pPr>
        <w:pStyle w:val="FigureTitle"/>
      </w:pPr>
      <w:r>
        <w:rPr>
          <w:noProof/>
          <w:lang w:val="en-GB" w:eastAsia="en-GB"/>
        </w:rPr>
        <w:drawing>
          <wp:inline distT="0" distB="0" distL="0" distR="0" wp14:anchorId="20E3F03F" wp14:editId="644FDEB9">
            <wp:extent cx="4554444" cy="2902226"/>
            <wp:effectExtent l="0" t="0" r="0" b="0"/>
            <wp:docPr id="261" name="Picture 261" descr="This figure is a Kaplan-Meier estimate of overall survival for the intention to treat population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his figure is a Kaplan-Meier estimate of overall survival for the intention to treat population (IA4)"/>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4563983" cy="2908305"/>
                    </a:xfrm>
                    <a:prstGeom prst="rect">
                      <a:avLst/>
                    </a:prstGeom>
                  </pic:spPr>
                </pic:pic>
              </a:graphicData>
            </a:graphic>
          </wp:inline>
        </w:drawing>
      </w:r>
    </w:p>
    <w:p w14:paraId="043DE485" w14:textId="7BC08D08" w:rsidR="00887BAF" w:rsidRDefault="00887BAF" w:rsidP="004F05B7">
      <w:pPr>
        <w:pStyle w:val="FigureDescription"/>
      </w:pPr>
      <w:r w:rsidRPr="00887BAF">
        <w:t>Abbreviation: M</w:t>
      </w:r>
      <w:r>
        <w:t>K</w:t>
      </w:r>
      <w:r w:rsidRPr="00887BAF">
        <w:t>-3475</w:t>
      </w:r>
      <w:r>
        <w:t xml:space="preserve"> = </w:t>
      </w:r>
      <w:r w:rsidR="00540C60">
        <w:t xml:space="preserve">drug development code for </w:t>
      </w:r>
      <w:r w:rsidRPr="00887BAF">
        <w:t>pembrolizumab</w:t>
      </w:r>
    </w:p>
    <w:p w14:paraId="268A6C81" w14:textId="5F44CB13" w:rsidR="00540C60" w:rsidRPr="00870904" w:rsidRDefault="00540C60" w:rsidP="004F05B7">
      <w:pPr>
        <w:pStyle w:val="FigureDescription"/>
        <w:rPr>
          <w:b/>
        </w:rPr>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67A2A8AD" w14:textId="7BB585B9" w:rsidR="00FD0662" w:rsidRDefault="00E3677E" w:rsidP="00E3677E">
      <w:r w:rsidRPr="00E3677E">
        <w:t xml:space="preserve">Subgroup analyses were generally consistent with the </w:t>
      </w:r>
      <w:r w:rsidR="00A34B07">
        <w:t>intent to treat</w:t>
      </w:r>
      <w:r w:rsidRPr="00E3677E">
        <w:t xml:space="preserve"> </w:t>
      </w:r>
      <w:r w:rsidR="00A34B07">
        <w:t xml:space="preserve">population </w:t>
      </w:r>
      <w:r w:rsidRPr="00E3677E">
        <w:t>analysis.</w:t>
      </w:r>
    </w:p>
    <w:p w14:paraId="741FB0E5" w14:textId="77777777" w:rsidR="00E3677E" w:rsidRPr="00E3677E" w:rsidRDefault="00E3677E" w:rsidP="00A34B07">
      <w:pPr>
        <w:pStyle w:val="Heading6"/>
      </w:pPr>
      <w:r w:rsidRPr="00E3677E">
        <w:t>Other secondary endpoints</w:t>
      </w:r>
    </w:p>
    <w:p w14:paraId="7FE64AD7" w14:textId="1019F6B8" w:rsidR="00E3677E" w:rsidRDefault="00E3677E" w:rsidP="00E3677E">
      <w:r>
        <w:t>These endpoints were not under multiplicity control and will only be mentioned briefly here.</w:t>
      </w:r>
    </w:p>
    <w:p w14:paraId="2EF9A30F" w14:textId="3CBBE29F" w:rsidR="00E3677E" w:rsidRPr="00870904" w:rsidRDefault="00540C60" w:rsidP="00870904">
      <w:pPr>
        <w:pStyle w:val="Heading7"/>
        <w:rPr>
          <w:i/>
        </w:rPr>
      </w:pPr>
      <w:r w:rsidRPr="00870904">
        <w:rPr>
          <w:i/>
          <w:sz w:val="22"/>
        </w:rPr>
        <w:lastRenderedPageBreak/>
        <w:t>Pathological complete response (</w:t>
      </w:r>
      <w:proofErr w:type="spellStart"/>
      <w:r w:rsidR="00E3677E" w:rsidRPr="00870904">
        <w:rPr>
          <w:i/>
          <w:sz w:val="22"/>
        </w:rPr>
        <w:t>pCR</w:t>
      </w:r>
      <w:proofErr w:type="spellEnd"/>
      <w:r w:rsidRPr="00870904">
        <w:rPr>
          <w:i/>
          <w:sz w:val="22"/>
        </w:rPr>
        <w:t>)</w:t>
      </w:r>
      <w:r w:rsidR="00E3677E" w:rsidRPr="00870904">
        <w:rPr>
          <w:i/>
          <w:sz w:val="22"/>
        </w:rPr>
        <w:t xml:space="preserve"> using alternative definitions</w:t>
      </w:r>
    </w:p>
    <w:p w14:paraId="4F1AAD76" w14:textId="293D8F8A" w:rsidR="00E3677E" w:rsidRDefault="00E3677E" w:rsidP="00E3677E">
      <w:r>
        <w:t xml:space="preserve">Analyses of </w:t>
      </w:r>
      <w:proofErr w:type="spellStart"/>
      <w:r>
        <w:t>pCR</w:t>
      </w:r>
      <w:proofErr w:type="spellEnd"/>
      <w:r>
        <w:t xml:space="preserve"> using alternative definitions ypT0 ypN0 and ypT0/Tis were consistent with the primary endpoint</w:t>
      </w:r>
      <w:r w:rsidR="00465424">
        <w:t xml:space="preserve"> (see </w:t>
      </w:r>
      <w:r w:rsidR="00465424">
        <w:fldChar w:fldCharType="begin"/>
      </w:r>
      <w:r w:rsidR="00465424">
        <w:instrText xml:space="preserve"> REF _Ref127187923 \h </w:instrText>
      </w:r>
      <w:r w:rsidR="00465424">
        <w:fldChar w:fldCharType="separate"/>
      </w:r>
      <w:r w:rsidR="00A02570">
        <w:t xml:space="preserve">Table </w:t>
      </w:r>
      <w:r w:rsidR="00A02570">
        <w:rPr>
          <w:noProof/>
        </w:rPr>
        <w:t>4</w:t>
      </w:r>
      <w:r w:rsidR="00465424">
        <w:fldChar w:fldCharType="end"/>
      </w:r>
      <w:r w:rsidR="00465424">
        <w:t xml:space="preserve"> for definitions</w:t>
      </w:r>
      <w:r w:rsidR="00540C60">
        <w:t xml:space="preserve"> of </w:t>
      </w:r>
      <w:proofErr w:type="spellStart"/>
      <w:r w:rsidR="00540C60">
        <w:t>pCR</w:t>
      </w:r>
      <w:proofErr w:type="spellEnd"/>
      <w:r w:rsidR="00465424">
        <w:t>)</w:t>
      </w:r>
      <w:r>
        <w:t>.</w:t>
      </w:r>
    </w:p>
    <w:p w14:paraId="38820496" w14:textId="77777777" w:rsidR="00E3677E" w:rsidRPr="00870904" w:rsidRDefault="00E3677E" w:rsidP="00870904">
      <w:pPr>
        <w:pStyle w:val="Heading7"/>
        <w:rPr>
          <w:i/>
        </w:rPr>
      </w:pPr>
      <w:r w:rsidRPr="00870904">
        <w:rPr>
          <w:i/>
          <w:sz w:val="22"/>
        </w:rPr>
        <w:t>Key endpoints by PD-L1 status</w:t>
      </w:r>
    </w:p>
    <w:p w14:paraId="6ADADEC8" w14:textId="21D47009" w:rsidR="00E3677E" w:rsidRDefault="00E3677E" w:rsidP="00E3677E">
      <w:r>
        <w:t>Analyses in participants with tumours that expressed PD-L1 (CPS ≥</w:t>
      </w:r>
      <w:r w:rsidR="00A34B07">
        <w:t xml:space="preserve"> </w:t>
      </w:r>
      <w:r>
        <w:t xml:space="preserve">1) were all consistent with the </w:t>
      </w:r>
      <w:r w:rsidR="00A34B07">
        <w:t xml:space="preserve">intent to treat (ITT) </w:t>
      </w:r>
      <w:r>
        <w:t>analysis. This is not surprising, given this group comprised 82.9% of the ITT population. The analyses in those with CPS &lt; 1 were also generally consistent with the ITT analyses</w:t>
      </w:r>
      <w:r w:rsidR="005D1D9C">
        <w:t xml:space="preserve"> (see </w:t>
      </w:r>
      <w:r w:rsidR="005D1D9C">
        <w:fldChar w:fldCharType="begin"/>
      </w:r>
      <w:r w:rsidR="005D1D9C">
        <w:instrText xml:space="preserve"> REF _Ref127190683 \h </w:instrText>
      </w:r>
      <w:r w:rsidR="005D1D9C">
        <w:fldChar w:fldCharType="separate"/>
      </w:r>
      <w:r w:rsidR="00A02570">
        <w:t xml:space="preserve">Table </w:t>
      </w:r>
      <w:r w:rsidR="00A02570">
        <w:rPr>
          <w:noProof/>
        </w:rPr>
        <w:t>11</w:t>
      </w:r>
      <w:r w:rsidR="005D1D9C">
        <w:fldChar w:fldCharType="end"/>
      </w:r>
      <w:r w:rsidR="005D1D9C">
        <w:t>).</w:t>
      </w:r>
    </w:p>
    <w:p w14:paraId="4E5EBD6F" w14:textId="4A60E5BA" w:rsidR="00E3677E" w:rsidRDefault="00E3677E" w:rsidP="00E3677E">
      <w:pPr>
        <w:pStyle w:val="TableTitle"/>
      </w:pPr>
      <w:bookmarkStart w:id="67" w:name="_Ref127190683"/>
      <w:r>
        <w:t xml:space="preserve">Table </w:t>
      </w:r>
      <w:r>
        <w:fldChar w:fldCharType="begin"/>
      </w:r>
      <w:r>
        <w:instrText>SEQ Table \* ARABIC</w:instrText>
      </w:r>
      <w:r>
        <w:fldChar w:fldCharType="separate"/>
      </w:r>
      <w:r w:rsidR="00A02570">
        <w:rPr>
          <w:noProof/>
        </w:rPr>
        <w:t>11</w:t>
      </w:r>
      <w:r>
        <w:fldChar w:fldCharType="end"/>
      </w:r>
      <w:bookmarkEnd w:id="67"/>
      <w:r>
        <w:t>:</w:t>
      </w:r>
      <w:r w:rsidRPr="00E3677E">
        <w:t xml:space="preserve"> </w:t>
      </w:r>
      <w:r w:rsidR="00465424">
        <w:t xml:space="preserve">Study KN-522 (KEYNOTE 522 trial) </w:t>
      </w:r>
      <w:r>
        <w:t>Key endpoints by PD-L1 expression status (IA4)</w:t>
      </w:r>
    </w:p>
    <w:tbl>
      <w:tblPr>
        <w:tblStyle w:val="TableTGAblue"/>
        <w:tblW w:w="8810" w:type="dxa"/>
        <w:tblLayout w:type="fixed"/>
        <w:tblLook w:val="04A0" w:firstRow="1" w:lastRow="0" w:firstColumn="1" w:lastColumn="0" w:noHBand="0" w:noVBand="1"/>
      </w:tblPr>
      <w:tblGrid>
        <w:gridCol w:w="2936"/>
        <w:gridCol w:w="2937"/>
        <w:gridCol w:w="2937"/>
      </w:tblGrid>
      <w:tr w:rsidR="00E3677E" w14:paraId="3FAC18B6" w14:textId="77777777" w:rsidTr="00870904">
        <w:trPr>
          <w:cnfStyle w:val="100000000000" w:firstRow="1" w:lastRow="0" w:firstColumn="0" w:lastColumn="0" w:oddVBand="0" w:evenVBand="0" w:oddHBand="0" w:evenHBand="0" w:firstRowFirstColumn="0" w:firstRowLastColumn="0" w:lastRowFirstColumn="0" w:lastRowLastColumn="0"/>
          <w:trHeight w:val="369"/>
        </w:trPr>
        <w:tc>
          <w:tcPr>
            <w:tcW w:w="0" w:type="dxa"/>
            <w:vAlign w:val="center"/>
          </w:tcPr>
          <w:p w14:paraId="5905B653" w14:textId="77777777" w:rsidR="00E3677E" w:rsidRDefault="00E3677E" w:rsidP="00870904">
            <w:pPr>
              <w:spacing w:before="0"/>
              <w:jc w:val="center"/>
            </w:pPr>
            <w:r>
              <w:t>Endpoint</w:t>
            </w:r>
          </w:p>
        </w:tc>
        <w:tc>
          <w:tcPr>
            <w:tcW w:w="0" w:type="dxa"/>
            <w:vAlign w:val="center"/>
          </w:tcPr>
          <w:p w14:paraId="4B306B23" w14:textId="77777777" w:rsidR="00E3677E" w:rsidRDefault="00E3677E" w:rsidP="00870904">
            <w:pPr>
              <w:spacing w:before="0"/>
              <w:jc w:val="center"/>
            </w:pPr>
            <w:r>
              <w:t>CPS ≥ 1</w:t>
            </w:r>
          </w:p>
        </w:tc>
        <w:tc>
          <w:tcPr>
            <w:tcW w:w="0" w:type="dxa"/>
            <w:vAlign w:val="center"/>
          </w:tcPr>
          <w:p w14:paraId="1B8B0784" w14:textId="77777777" w:rsidR="00E3677E" w:rsidRDefault="00E3677E" w:rsidP="00870904">
            <w:pPr>
              <w:spacing w:before="0"/>
              <w:jc w:val="center"/>
            </w:pPr>
            <w:r>
              <w:t>CPS &lt; 1</w:t>
            </w:r>
          </w:p>
        </w:tc>
      </w:tr>
      <w:tr w:rsidR="00E3677E" w14:paraId="78691689" w14:textId="77777777" w:rsidTr="00870904">
        <w:trPr>
          <w:trHeight w:val="839"/>
        </w:trPr>
        <w:tc>
          <w:tcPr>
            <w:tcW w:w="0" w:type="dxa"/>
            <w:vAlign w:val="center"/>
          </w:tcPr>
          <w:p w14:paraId="483CDC14" w14:textId="77777777" w:rsidR="00E3677E" w:rsidRDefault="00E3677E" w:rsidP="00870904">
            <w:pPr>
              <w:spacing w:before="0"/>
              <w:jc w:val="center"/>
            </w:pPr>
            <w:proofErr w:type="spellStart"/>
            <w:r>
              <w:t>pCR</w:t>
            </w:r>
            <w:proofErr w:type="spellEnd"/>
            <w:r>
              <w:t xml:space="preserve"> rate difference (95% CI)</w:t>
            </w:r>
          </w:p>
        </w:tc>
        <w:tc>
          <w:tcPr>
            <w:tcW w:w="0" w:type="dxa"/>
            <w:vAlign w:val="center"/>
          </w:tcPr>
          <w:p w14:paraId="61D3BC90" w14:textId="77777777" w:rsidR="00E3677E" w:rsidRDefault="00E3677E" w:rsidP="00870904">
            <w:pPr>
              <w:spacing w:before="0"/>
              <w:jc w:val="center"/>
            </w:pPr>
            <w:r>
              <w:t>7.8% (1.4, 14.2)</w:t>
            </w:r>
          </w:p>
        </w:tc>
        <w:tc>
          <w:tcPr>
            <w:tcW w:w="0" w:type="dxa"/>
            <w:vAlign w:val="center"/>
          </w:tcPr>
          <w:p w14:paraId="12F5BD3A" w14:textId="77777777" w:rsidR="00E3677E" w:rsidRDefault="00E3677E" w:rsidP="00870904">
            <w:pPr>
              <w:spacing w:before="0"/>
              <w:jc w:val="center"/>
            </w:pPr>
            <w:r>
              <w:t>7.1% (-7.8, 21.1)</w:t>
            </w:r>
          </w:p>
        </w:tc>
      </w:tr>
      <w:tr w:rsidR="00E3677E" w14:paraId="42005A00" w14:textId="77777777" w:rsidTr="00870904">
        <w:trPr>
          <w:trHeight w:val="611"/>
        </w:trPr>
        <w:tc>
          <w:tcPr>
            <w:tcW w:w="0" w:type="dxa"/>
            <w:vAlign w:val="center"/>
          </w:tcPr>
          <w:p w14:paraId="72927602" w14:textId="77777777" w:rsidR="00E3677E" w:rsidRDefault="00E3677E" w:rsidP="00870904">
            <w:pPr>
              <w:spacing w:before="0"/>
              <w:jc w:val="center"/>
            </w:pPr>
            <w:r>
              <w:t>EFS hazard ratio (95% CI)</w:t>
            </w:r>
          </w:p>
        </w:tc>
        <w:tc>
          <w:tcPr>
            <w:tcW w:w="0" w:type="dxa"/>
            <w:vAlign w:val="center"/>
          </w:tcPr>
          <w:p w14:paraId="77C62ED2" w14:textId="77777777" w:rsidR="00E3677E" w:rsidRDefault="00E3677E" w:rsidP="00870904">
            <w:pPr>
              <w:spacing w:before="0"/>
              <w:jc w:val="center"/>
            </w:pPr>
            <w:r>
              <w:t>0.67 (0.49, 0.92)</w:t>
            </w:r>
          </w:p>
        </w:tc>
        <w:tc>
          <w:tcPr>
            <w:tcW w:w="0" w:type="dxa"/>
            <w:vAlign w:val="center"/>
          </w:tcPr>
          <w:p w14:paraId="08FF377D" w14:textId="77777777" w:rsidR="00E3677E" w:rsidRDefault="00E3677E" w:rsidP="00870904">
            <w:pPr>
              <w:spacing w:before="0"/>
              <w:jc w:val="center"/>
            </w:pPr>
            <w:r>
              <w:t>0.48 (0.28, 0.85)</w:t>
            </w:r>
          </w:p>
        </w:tc>
      </w:tr>
    </w:tbl>
    <w:p w14:paraId="48710ABB" w14:textId="29C44724" w:rsidR="00540C60" w:rsidRDefault="00540C60" w:rsidP="00870904">
      <w:pPr>
        <w:pStyle w:val="TableDescription"/>
      </w:pPr>
      <w:r>
        <w:t xml:space="preserve">Abbreviations: CPS = combined positive score; EFS = event-free survival; </w:t>
      </w:r>
      <w:proofErr w:type="spellStart"/>
      <w:r>
        <w:t>pCR</w:t>
      </w:r>
      <w:proofErr w:type="spellEnd"/>
      <w:r>
        <w:t xml:space="preserve"> = pathological complete response.</w:t>
      </w:r>
    </w:p>
    <w:p w14:paraId="0713F5BA" w14:textId="6096F489" w:rsidR="00540C60" w:rsidRDefault="00540C60" w:rsidP="00540C60">
      <w:pPr>
        <w:pStyle w:val="TableDescription"/>
      </w:pPr>
      <w:r>
        <w:t>For definitions of combined positive scores (CPS),</w:t>
      </w:r>
      <w:r>
        <w:rPr>
          <w:vertAlign w:val="superscript"/>
        </w:rPr>
        <w:fldChar w:fldCharType="begin"/>
      </w:r>
      <w:r>
        <w:rPr>
          <w:vertAlign w:val="superscript"/>
        </w:rPr>
        <w:instrText xml:space="preserve"> NOTEREF _Ref134099386 \h  \* MERGEFORMAT </w:instrText>
      </w:r>
      <w:r>
        <w:rPr>
          <w:vertAlign w:val="superscript"/>
        </w:rPr>
      </w:r>
      <w:r>
        <w:rPr>
          <w:vertAlign w:val="superscript"/>
        </w:rPr>
        <w:fldChar w:fldCharType="separate"/>
      </w:r>
      <w:r w:rsidR="00A02570">
        <w:rPr>
          <w:vertAlign w:val="superscript"/>
        </w:rPr>
        <w:t>23</w:t>
      </w:r>
      <w:r>
        <w:rPr>
          <w:vertAlign w:val="superscript"/>
        </w:rPr>
        <w:fldChar w:fldCharType="end"/>
      </w:r>
      <w:r>
        <w:t xml:space="preserve"> see the relevant footnote. For definition of pathological complete response (</w:t>
      </w:r>
      <w:proofErr w:type="spellStart"/>
      <w:r>
        <w:t>pCR</w:t>
      </w:r>
      <w:proofErr w:type="spellEnd"/>
      <w:r>
        <w:t xml:space="preserve">) see </w:t>
      </w:r>
      <w:r>
        <w:fldChar w:fldCharType="begin"/>
      </w:r>
      <w:r>
        <w:instrText xml:space="preserve"> REF _Ref127187923 \h </w:instrText>
      </w:r>
      <w:r>
        <w:fldChar w:fldCharType="separate"/>
      </w:r>
      <w:r w:rsidR="00A02570">
        <w:t xml:space="preserve">Table </w:t>
      </w:r>
      <w:r w:rsidR="00A02570">
        <w:rPr>
          <w:noProof/>
        </w:rPr>
        <w:t>4</w:t>
      </w:r>
      <w:r>
        <w:fldChar w:fldCharType="end"/>
      </w:r>
      <w:r>
        <w:t>.</w:t>
      </w:r>
    </w:p>
    <w:p w14:paraId="69EA04AC" w14:textId="55457038" w:rsidR="00540C60" w:rsidRDefault="00540C60" w:rsidP="005471F0">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6305D8AC" w14:textId="73A97EC4" w:rsidR="002D7FFB" w:rsidRPr="005471F0" w:rsidRDefault="00E3677E" w:rsidP="005471F0">
      <w:pPr>
        <w:pStyle w:val="Heading7"/>
        <w:rPr>
          <w:i/>
        </w:rPr>
      </w:pPr>
      <w:r w:rsidRPr="005471F0">
        <w:rPr>
          <w:i/>
          <w:sz w:val="22"/>
        </w:rPr>
        <w:t>Patient reported outcomes</w:t>
      </w:r>
    </w:p>
    <w:p w14:paraId="6E236079" w14:textId="77777777" w:rsidR="002D7FFB" w:rsidRDefault="00E3677E" w:rsidP="00E3677E">
      <w:r>
        <w:t xml:space="preserve">There was no prespecified definition for a clinically relevant between-group difference in the longitudinal analysis of </w:t>
      </w:r>
      <w:r w:rsidR="005D1D9C">
        <w:t>patient reported outcome</w:t>
      </w:r>
      <w:r>
        <w:t xml:space="preserve"> score changes over time.</w:t>
      </w:r>
    </w:p>
    <w:p w14:paraId="3F0E9A78" w14:textId="72562702" w:rsidR="00E3677E" w:rsidRDefault="00E3677E" w:rsidP="00E3677E">
      <w:r>
        <w:t xml:space="preserve">The </w:t>
      </w:r>
      <w:r w:rsidR="00DB34B8">
        <w:t xml:space="preserve">EORTC QLQ-BR23 </w:t>
      </w:r>
      <w:r>
        <w:t>has been validated for use across all stages of breast cancer.</w:t>
      </w:r>
    </w:p>
    <w:p w14:paraId="4BB8B4C8" w14:textId="77777777" w:rsidR="002D7FFB" w:rsidRDefault="005D1D9C" w:rsidP="00E3677E">
      <w:r>
        <w:t>Patient reported outcomes</w:t>
      </w:r>
      <w:r w:rsidR="00E3677E">
        <w:t xml:space="preserve"> were assessed in both the neoadjuvant and adjuvant phases, and scores were overall generally similar between </w:t>
      </w:r>
      <w:r w:rsidR="000E4EE0">
        <w:t>pembrolizumab</w:t>
      </w:r>
      <w:r w:rsidR="00E3677E">
        <w:t xml:space="preserve"> and placebo groups. </w:t>
      </w:r>
      <w:r>
        <w:t>The d</w:t>
      </w:r>
      <w:r w:rsidR="00E3677E">
        <w:t xml:space="preserve">ifference between groups in </w:t>
      </w:r>
      <w:r>
        <w:t>least squares</w:t>
      </w:r>
      <w:r w:rsidR="00E3677E">
        <w:t xml:space="preserve"> mean change from baseline in EORTC QLQ-C30 global scores and EORTC QLQ-BR23 scores in both treatment phases were small (</w:t>
      </w:r>
      <w:r>
        <w:t xml:space="preserve">approximately </w:t>
      </w:r>
      <w:r w:rsidR="00E3677E">
        <w:t>≤ 1) and the confidence intervals crossed zero.</w:t>
      </w:r>
    </w:p>
    <w:p w14:paraId="0629F1B3" w14:textId="5E38FFC3" w:rsidR="008E10C6" w:rsidRDefault="008E10C6" w:rsidP="008E10C6">
      <w:pPr>
        <w:pStyle w:val="Heading5"/>
      </w:pPr>
      <w:r>
        <w:t>Safety</w:t>
      </w:r>
    </w:p>
    <w:p w14:paraId="678B77B3" w14:textId="77777777" w:rsidR="00812BA1" w:rsidRDefault="00812BA1" w:rsidP="00812BA1">
      <w:pPr>
        <w:pStyle w:val="Heading6"/>
      </w:pPr>
      <w:r>
        <w:t>Exposure</w:t>
      </w:r>
    </w:p>
    <w:p w14:paraId="6C7C0409" w14:textId="2D9C6B8A" w:rsidR="00812BA1" w:rsidRDefault="00812BA1" w:rsidP="00812BA1">
      <w:r>
        <w:t>The median duration of exposure to study drugs across both phases of the study was 58.1</w:t>
      </w:r>
      <w:r w:rsidR="00DB34B8">
        <w:t> </w:t>
      </w:r>
      <w:r w:rsidR="0035252E">
        <w:t>weeks</w:t>
      </w:r>
      <w:r>
        <w:t xml:space="preserve">: </w:t>
      </w:r>
      <w:r w:rsidR="000E4EE0">
        <w:t>pembrolizumab</w:t>
      </w:r>
      <w:r w:rsidR="003109ED">
        <w:t xml:space="preserve"> (57.9 </w:t>
      </w:r>
      <w:r w:rsidR="0035252E">
        <w:t>weeks</w:t>
      </w:r>
      <w:r w:rsidR="003109ED">
        <w:t>)</w:t>
      </w:r>
      <w:r>
        <w:t>, and placebo</w:t>
      </w:r>
      <w:r w:rsidR="003109ED">
        <w:t xml:space="preserve"> (59.1 </w:t>
      </w:r>
      <w:r w:rsidR="0035252E">
        <w:t>weeks</w:t>
      </w:r>
      <w:r w:rsidR="003109ED">
        <w:t xml:space="preserve">) with a </w:t>
      </w:r>
      <w:r>
        <w:t>median of 17</w:t>
      </w:r>
      <w:r w:rsidR="00465424">
        <w:t> </w:t>
      </w:r>
      <w:r>
        <w:t>administration</w:t>
      </w:r>
      <w:r w:rsidR="00465424">
        <w:t xml:space="preserve"> of study drug</w:t>
      </w:r>
      <w:r>
        <w:t>. Exposure to chemotherapy was very similar in both groups.</w:t>
      </w:r>
    </w:p>
    <w:p w14:paraId="6CB3D0B1" w14:textId="7D6CFF78" w:rsidR="00812BA1" w:rsidRDefault="00812BA1" w:rsidP="00812BA1">
      <w:r>
        <w:t xml:space="preserve">No patient remained on </w:t>
      </w:r>
      <w:r w:rsidR="003109ED">
        <w:t>pembrolizumab</w:t>
      </w:r>
      <w:r>
        <w:t xml:space="preserve"> at </w:t>
      </w:r>
      <w:r w:rsidR="00465424">
        <w:t>the fourth interim analysis (</w:t>
      </w:r>
      <w:r>
        <w:t>IA4</w:t>
      </w:r>
      <w:r w:rsidR="00465424">
        <w:t>)</w:t>
      </w:r>
      <w:r>
        <w:t>.</w:t>
      </w:r>
    </w:p>
    <w:p w14:paraId="6F81B1CD" w14:textId="4972C2A4" w:rsidR="002D7FFB" w:rsidRDefault="002F7A26" w:rsidP="00812BA1">
      <w:r>
        <w:t>It is noted</w:t>
      </w:r>
      <w:r w:rsidR="00812BA1">
        <w:t xml:space="preserve"> that the safety population included all subjects who received at least one </w:t>
      </w:r>
      <w:r w:rsidR="0035252E">
        <w:t>study treatment</w:t>
      </w:r>
      <w:r w:rsidR="00812BA1">
        <w:t xml:space="preserve"> </w:t>
      </w:r>
      <w:r w:rsidR="00BB562E">
        <w:t xml:space="preserve">including </w:t>
      </w:r>
      <w:r w:rsidR="00812BA1">
        <w:t>any study drug</w:t>
      </w:r>
      <w:r w:rsidR="00402019">
        <w:t xml:space="preserve"> and surgery</w:t>
      </w:r>
      <w:r w:rsidR="00812BA1">
        <w:t xml:space="preserve"> (n = 1172). Of these, 1167 received at least one dose of </w:t>
      </w:r>
      <w:r w:rsidR="000E4EE0">
        <w:t>pembrolizumab</w:t>
      </w:r>
      <w:r w:rsidR="00812BA1">
        <w:t xml:space="preserve"> (n = 778) or placebo (n = 389) respectively. This small difference (1167 </w:t>
      </w:r>
      <w:r w:rsidR="00201D23">
        <w:t>versus</w:t>
      </w:r>
      <w:r w:rsidR="00812BA1">
        <w:t xml:space="preserve"> 1172) is unlikely to influence the results for comparisons between </w:t>
      </w:r>
      <w:r w:rsidR="000E4EE0">
        <w:t>pembrolizumab</w:t>
      </w:r>
      <w:r w:rsidR="00812BA1">
        <w:t xml:space="preserve"> and placebo.</w:t>
      </w:r>
    </w:p>
    <w:p w14:paraId="1DD3BEFF" w14:textId="580AC3B8" w:rsidR="00812BA1" w:rsidRDefault="00540C60" w:rsidP="00812BA1">
      <w:pPr>
        <w:pStyle w:val="Heading6"/>
      </w:pPr>
      <w:r>
        <w:lastRenderedPageBreak/>
        <w:t>Safety overview</w:t>
      </w:r>
    </w:p>
    <w:p w14:paraId="353B70E8" w14:textId="47A90EEC" w:rsidR="008E10C6" w:rsidRDefault="00812BA1" w:rsidP="00812BA1">
      <w:r>
        <w:t xml:space="preserve">Overall </w:t>
      </w:r>
      <w:r w:rsidR="00CA6C4A">
        <w:t>adverse events (AE)</w:t>
      </w:r>
      <w:r>
        <w:t xml:space="preserve"> across both treatment phases are summarised </w:t>
      </w:r>
      <w:r w:rsidR="00F23C09">
        <w:t xml:space="preserve">in </w:t>
      </w:r>
      <w:r w:rsidR="00F23C09">
        <w:fldChar w:fldCharType="begin"/>
      </w:r>
      <w:r w:rsidR="00F23C09">
        <w:instrText xml:space="preserve"> REF _Ref127191345 \h </w:instrText>
      </w:r>
      <w:r w:rsidR="00F23C09">
        <w:fldChar w:fldCharType="separate"/>
      </w:r>
      <w:r w:rsidR="00A02570">
        <w:t xml:space="preserve">Table </w:t>
      </w:r>
      <w:r w:rsidR="00A02570">
        <w:rPr>
          <w:noProof/>
        </w:rPr>
        <w:t>12</w:t>
      </w:r>
      <w:r w:rsidR="00F23C09">
        <w:fldChar w:fldCharType="end"/>
      </w:r>
      <w:r>
        <w:t>. Events in all categories were generally more frequent during the neoadjuvant than the adjuvant phase.</w:t>
      </w:r>
    </w:p>
    <w:p w14:paraId="5A021899" w14:textId="56D80DF5" w:rsidR="00812BA1" w:rsidRDefault="00812BA1" w:rsidP="00812BA1">
      <w:pPr>
        <w:pStyle w:val="TableTitle"/>
      </w:pPr>
      <w:bookmarkStart w:id="68" w:name="_Ref127191345"/>
      <w:r>
        <w:t xml:space="preserve">Table </w:t>
      </w:r>
      <w:r>
        <w:fldChar w:fldCharType="begin"/>
      </w:r>
      <w:r>
        <w:instrText>SEQ Table \* ARABIC</w:instrText>
      </w:r>
      <w:r>
        <w:fldChar w:fldCharType="separate"/>
      </w:r>
      <w:r w:rsidR="00A02570">
        <w:rPr>
          <w:noProof/>
        </w:rPr>
        <w:t>12</w:t>
      </w:r>
      <w:r>
        <w:fldChar w:fldCharType="end"/>
      </w:r>
      <w:bookmarkEnd w:id="68"/>
      <w:r w:rsidR="00465424">
        <w:t>:</w:t>
      </w:r>
      <w:r>
        <w:t xml:space="preserve"> </w:t>
      </w:r>
      <w:r w:rsidR="00465424">
        <w:t xml:space="preserve">Study KN-522 (KEYNOTE 522 trial) </w:t>
      </w:r>
      <w:r>
        <w:t>A</w:t>
      </w:r>
      <w:r w:rsidR="00D06F01">
        <w:t>dverse event</w:t>
      </w:r>
      <w:r>
        <w:t xml:space="preserve"> summary</w:t>
      </w:r>
      <w:r w:rsidR="00D06F01">
        <w:t xml:space="preserve"> of </w:t>
      </w:r>
      <w:r>
        <w:t xml:space="preserve">combined neoadjuvant and adjuvant phases </w:t>
      </w:r>
      <w:r w:rsidR="00D06F01">
        <w:t xml:space="preserve">for all subjects as treated </w:t>
      </w:r>
      <w:r>
        <w:t>(IA4)</w:t>
      </w:r>
    </w:p>
    <w:p w14:paraId="1D768C63" w14:textId="77D56B34" w:rsidR="00812BA1" w:rsidRDefault="00DB34B8" w:rsidP="00812BA1">
      <w:r>
        <w:rPr>
          <w:noProof/>
          <w:lang w:val="en-GB" w:eastAsia="en-GB"/>
        </w:rPr>
        <w:drawing>
          <wp:inline distT="0" distB="0" distL="0" distR="0" wp14:anchorId="262770E8" wp14:editId="72BBF93A">
            <wp:extent cx="5653454" cy="3391806"/>
            <wp:effectExtent l="0" t="0" r="4445" b="0"/>
            <wp:docPr id="262" name="Picture 262" descr="This table is an adverse event summary of  combined neoadjuvant and adjuvant phases for all subjects as treated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This table is an adverse event summary of  combined neoadjuvant and adjuvant phases for all subjects as treated (IA4)"/>
                    <pic:cNvPicPr/>
                  </pic:nvPicPr>
                  <pic:blipFill>
                    <a:blip r:embed="rId40"/>
                    <a:stretch>
                      <a:fillRect/>
                    </a:stretch>
                  </pic:blipFill>
                  <pic:spPr>
                    <a:xfrm>
                      <a:off x="0" y="0"/>
                      <a:ext cx="5666296" cy="3399511"/>
                    </a:xfrm>
                    <a:prstGeom prst="rect">
                      <a:avLst/>
                    </a:prstGeom>
                  </pic:spPr>
                </pic:pic>
              </a:graphicData>
            </a:graphic>
          </wp:inline>
        </w:drawing>
      </w:r>
    </w:p>
    <w:p w14:paraId="5038DC90" w14:textId="5934784D" w:rsidR="00DB34B8" w:rsidRDefault="00DB34B8" w:rsidP="00DB34B8">
      <w:pPr>
        <w:pStyle w:val="TableDescription"/>
      </w:pPr>
      <w:r w:rsidRPr="00DB34B8">
        <w:rPr>
          <w:vertAlign w:val="superscript"/>
        </w:rPr>
        <w:t>a</w:t>
      </w:r>
      <w:r>
        <w:rPr>
          <w:vertAlign w:val="superscript"/>
        </w:rPr>
        <w:t xml:space="preserve"> </w:t>
      </w:r>
      <w:r>
        <w:t>Determined by the investigator to be related to the drug.</w:t>
      </w:r>
    </w:p>
    <w:p w14:paraId="00415DA8" w14:textId="4CF80254" w:rsidR="00DB34B8" w:rsidRDefault="00DB34B8" w:rsidP="00DB34B8">
      <w:pPr>
        <w:pStyle w:val="TableDescription"/>
      </w:pPr>
      <w:r w:rsidRPr="00DB34B8">
        <w:rPr>
          <w:vertAlign w:val="superscript"/>
        </w:rPr>
        <w:t>b</w:t>
      </w:r>
      <w:r>
        <w:rPr>
          <w:vertAlign w:val="superscript"/>
        </w:rPr>
        <w:t xml:space="preserve"> </w:t>
      </w:r>
      <w:r>
        <w:t xml:space="preserve">Defined as an action taken of dose reduced, drug </w:t>
      </w:r>
      <w:proofErr w:type="gramStart"/>
      <w:r>
        <w:t>interrupted</w:t>
      </w:r>
      <w:proofErr w:type="gramEnd"/>
      <w:r>
        <w:t xml:space="preserve"> or drug withdrawn</w:t>
      </w:r>
    </w:p>
    <w:p w14:paraId="7625E57D" w14:textId="35058B69" w:rsidR="00DB34B8" w:rsidRDefault="00DB34B8" w:rsidP="00DB34B8">
      <w:pPr>
        <w:pStyle w:val="TableDescription"/>
      </w:pPr>
      <w:r>
        <w:t>Notes: Grades are based on NCI CTCA version 4.0</w:t>
      </w:r>
    </w:p>
    <w:p w14:paraId="30C20B3E" w14:textId="62A06306" w:rsidR="00484093" w:rsidRDefault="00484093" w:rsidP="00DB34B8">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506F8B53" w14:textId="77777777" w:rsidR="002D7FFB" w:rsidRDefault="00DB34B8" w:rsidP="00DB34B8">
      <w:pPr>
        <w:pStyle w:val="TableDescription"/>
      </w:pPr>
      <w:r>
        <w:t>Included adverse events started from the first treatment including definitive surgery and radiation therapy and up to 30 days of the last treatment including definitive surgery and radiation therapy for the non-serious adverse events and up to 90 days of the last treatment including definitive surgery and radiation therapy for the serious adverse events.</w:t>
      </w:r>
    </w:p>
    <w:p w14:paraId="6AE72462" w14:textId="77777777" w:rsidR="002D7FFB" w:rsidRDefault="00DB34B8" w:rsidP="00DB34B8">
      <w:pPr>
        <w:pStyle w:val="TableDescription"/>
      </w:pPr>
      <w:r>
        <w:t>MedDRA preferred terms ‘Neoplasm Progression’, ‘Malignant Neoplasm Progression’ and ‘Disease progression’ not related to the drug are excluded.</w:t>
      </w:r>
    </w:p>
    <w:p w14:paraId="4A9F0F32" w14:textId="253918D5" w:rsidR="00DB34B8" w:rsidRPr="00DB34B8" w:rsidRDefault="00DB34B8" w:rsidP="00DB34B8">
      <w:pPr>
        <w:pStyle w:val="TableDescription"/>
      </w:pPr>
      <w:r>
        <w:t>Database cut</w:t>
      </w:r>
      <w:r w:rsidR="00465424">
        <w:t>-</w:t>
      </w:r>
      <w:r>
        <w:t>off date 23 March 2021</w:t>
      </w:r>
    </w:p>
    <w:p w14:paraId="7DA31147" w14:textId="77777777" w:rsidR="002D7FFB" w:rsidRDefault="00812BA1" w:rsidP="00812BA1">
      <w:pPr>
        <w:pStyle w:val="Heading6"/>
      </w:pPr>
      <w:r>
        <w:t>Adverse events</w:t>
      </w:r>
    </w:p>
    <w:p w14:paraId="2AC1CD48" w14:textId="1E056D4B" w:rsidR="002D7FFB" w:rsidRDefault="00812BA1" w:rsidP="00812BA1">
      <w:r>
        <w:t xml:space="preserve">Across the neoadjuvant and adjuvant treatment phases combined, the </w:t>
      </w:r>
      <w:proofErr w:type="gramStart"/>
      <w:r>
        <w:t>most commonly reported</w:t>
      </w:r>
      <w:proofErr w:type="gramEnd"/>
      <w:r>
        <w:t xml:space="preserve"> AE</w:t>
      </w:r>
      <w:r w:rsidR="00465424">
        <w:t>s</w:t>
      </w:r>
      <w:r>
        <w:t xml:space="preserve"> were nausea (66.5%), alopecia (60.0%), anaemia (59.0%), neutropenia (48.3%) and fatigue (45.5%). These were reported with a similar frequency in both treatment arms. This patt</w:t>
      </w:r>
      <w:r w:rsidR="003109ED">
        <w:t>e</w:t>
      </w:r>
      <w:r>
        <w:t>rn was similar in the neoadjuvant phase.</w:t>
      </w:r>
    </w:p>
    <w:p w14:paraId="16F88A66" w14:textId="58AB0AD6" w:rsidR="00812BA1" w:rsidRDefault="00812BA1" w:rsidP="00812BA1">
      <w:r>
        <w:t>In the adjuvant phase, AE</w:t>
      </w:r>
      <w:r w:rsidR="00465424">
        <w:t>s</w:t>
      </w:r>
      <w:r>
        <w:t xml:space="preserve"> were somewhat less frequent (proportion of subjects: </w:t>
      </w:r>
      <w:r w:rsidR="000E4EE0">
        <w:t>pembrolizumab</w:t>
      </w:r>
      <w:r>
        <w:t xml:space="preserve"> 92.2%, placebo 88.8%) and the pattern of Preferred Terms </w:t>
      </w:r>
      <w:r w:rsidR="00D821D8">
        <w:t xml:space="preserve">(PT) </w:t>
      </w:r>
      <w:r>
        <w:t xml:space="preserve">differed. The </w:t>
      </w:r>
      <w:proofErr w:type="gramStart"/>
      <w:r>
        <w:t>most commonly reported</w:t>
      </w:r>
      <w:proofErr w:type="gramEnd"/>
      <w:r>
        <w:t xml:space="preserve"> events in the adjuvant phase were radiation skin injury (19.9%), arthralgia (18.8%), headache (9.2%), diarrhoea (8.8%) and fatigue (8.8%). These most frequent events had generally similar incidence in both arms.</w:t>
      </w:r>
    </w:p>
    <w:p w14:paraId="0C78CB97" w14:textId="0E4E3988" w:rsidR="002D7FFB" w:rsidRDefault="00812BA1" w:rsidP="00812BA1">
      <w:r>
        <w:lastRenderedPageBreak/>
        <w:t xml:space="preserve">Most </w:t>
      </w:r>
      <w:r w:rsidR="003109ED">
        <w:t>AE</w:t>
      </w:r>
      <w:r w:rsidR="00643C27">
        <w:t>s</w:t>
      </w:r>
      <w:r>
        <w:t xml:space="preserve"> occurred in the first </w:t>
      </w:r>
      <w:r w:rsidR="00F23C09">
        <w:t>three</w:t>
      </w:r>
      <w:r>
        <w:t xml:space="preserve"> months of study initiation. The exposure</w:t>
      </w:r>
      <w:r w:rsidR="00D821D8">
        <w:t xml:space="preserve"> </w:t>
      </w:r>
      <w:r>
        <w:t>adjusted event rate declined thereafter.</w:t>
      </w:r>
    </w:p>
    <w:p w14:paraId="1B99F7F9" w14:textId="6B907B2C" w:rsidR="00812BA1" w:rsidRDefault="00812BA1" w:rsidP="00812BA1">
      <w:r>
        <w:t xml:space="preserve">The </w:t>
      </w:r>
      <w:r w:rsidR="003109ED">
        <w:t>AE</w:t>
      </w:r>
      <w:r w:rsidR="00465424">
        <w:t>s</w:t>
      </w:r>
      <w:r>
        <w:t xml:space="preserve"> with the biggest imbalance between treatment groups across both treatment phases are presented below, sorted by risk difference. The biggest imbalances (</w:t>
      </w:r>
      <w:r w:rsidR="000E4EE0">
        <w:t>pembrolizumab</w:t>
      </w:r>
      <w:r>
        <w:t xml:space="preserve"> </w:t>
      </w:r>
      <w:r w:rsidR="00F23C09">
        <w:t>greater than</w:t>
      </w:r>
      <w:r>
        <w:t xml:space="preserve"> placebo, sorted by decreasing difference in absolute incidence) were observed for events of pyrexia (9.7%), hypothyroidism (9.4%), diarrhoea (6.4%), rash (6.2%), and decreased appetite (6%).</w:t>
      </w:r>
    </w:p>
    <w:p w14:paraId="471370A1" w14:textId="70780D16" w:rsidR="008E10C6" w:rsidRDefault="00812BA1" w:rsidP="00812BA1">
      <w:r>
        <w:t xml:space="preserve">During the adjuvant phase, the risk differences between treatment groups for common </w:t>
      </w:r>
      <w:r w:rsidR="003109ED">
        <w:t>AE</w:t>
      </w:r>
      <w:r w:rsidR="00465424">
        <w:t>s</w:t>
      </w:r>
      <w:r>
        <w:t xml:space="preserve"> were all below 5%.</w:t>
      </w:r>
    </w:p>
    <w:p w14:paraId="6CD7A59D" w14:textId="51EBC4D1" w:rsidR="00812BA1" w:rsidRDefault="00812BA1" w:rsidP="00812BA1">
      <w:pPr>
        <w:pStyle w:val="FigureTitle"/>
      </w:pPr>
      <w:r>
        <w:t xml:space="preserve">Figure </w:t>
      </w:r>
      <w:r>
        <w:fldChar w:fldCharType="begin"/>
      </w:r>
      <w:r>
        <w:instrText>SEQ Figure \* ARABIC</w:instrText>
      </w:r>
      <w:r>
        <w:fldChar w:fldCharType="separate"/>
      </w:r>
      <w:r w:rsidR="00A02570">
        <w:rPr>
          <w:noProof/>
        </w:rPr>
        <w:t>6</w:t>
      </w:r>
      <w:r>
        <w:fldChar w:fldCharType="end"/>
      </w:r>
      <w:r w:rsidR="00EF09D1">
        <w:rPr>
          <w:noProof/>
        </w:rPr>
        <w:t>:</w:t>
      </w:r>
      <w:r>
        <w:t xml:space="preserve"> </w:t>
      </w:r>
      <w:r w:rsidR="00465424">
        <w:t xml:space="preserve">Study KN-522 (KEYNOTE 522 trial) </w:t>
      </w:r>
      <w:r>
        <w:t xml:space="preserve">Between-treatment comparisons in </w:t>
      </w:r>
      <w:r w:rsidR="00D06F01">
        <w:t>adverse event</w:t>
      </w:r>
      <w:r>
        <w:t xml:space="preserve">s (incidence ≥ 15% in either group), sorted by risk difference, across </w:t>
      </w:r>
      <w:r w:rsidR="0041358A">
        <w:t xml:space="preserve">combined </w:t>
      </w:r>
      <w:r>
        <w:t>phases (</w:t>
      </w:r>
      <w:r w:rsidR="00D06F01">
        <w:t>all subjects as treated</w:t>
      </w:r>
      <w:r>
        <w:t>) (IA4)</w:t>
      </w:r>
    </w:p>
    <w:p w14:paraId="32E59B7A" w14:textId="177D9A4F" w:rsidR="00EF09D1" w:rsidRDefault="00EF09D1" w:rsidP="00812BA1">
      <w:pPr>
        <w:pStyle w:val="FigureTitle"/>
      </w:pPr>
      <w:r>
        <w:rPr>
          <w:noProof/>
          <w:lang w:val="en-GB" w:eastAsia="en-GB"/>
        </w:rPr>
        <w:drawing>
          <wp:inline distT="0" distB="0" distL="0" distR="0" wp14:anchorId="48959341" wp14:editId="7C04367B">
            <wp:extent cx="5400040" cy="3425825"/>
            <wp:effectExtent l="0" t="0" r="0" b="3175"/>
            <wp:docPr id="8" name="Picture 8" descr="This figure shows the between-treatment comparisons in adverse events (incidence ≥ 15% in either group), sorted by risk difference, across both phases (all subjects as treated)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shows the between-treatment comparisons in adverse events (incidence ≥ 15% in either group), sorted by risk difference, across both phases (all subjects as treated) (IA4)"/>
                    <pic:cNvPicPr/>
                  </pic:nvPicPr>
                  <pic:blipFill>
                    <a:blip r:embed="rId41"/>
                    <a:stretch>
                      <a:fillRect/>
                    </a:stretch>
                  </pic:blipFill>
                  <pic:spPr>
                    <a:xfrm>
                      <a:off x="0" y="0"/>
                      <a:ext cx="5400040" cy="3425825"/>
                    </a:xfrm>
                    <a:prstGeom prst="rect">
                      <a:avLst/>
                    </a:prstGeom>
                  </pic:spPr>
                </pic:pic>
              </a:graphicData>
            </a:graphic>
          </wp:inline>
        </w:drawing>
      </w:r>
    </w:p>
    <w:p w14:paraId="280375D4" w14:textId="395E90D2" w:rsidR="00812BA1" w:rsidRDefault="0047703B" w:rsidP="004F05B7">
      <w:pPr>
        <w:pStyle w:val="FigureDescription"/>
      </w:pPr>
      <w:r>
        <w:t>Note:</w:t>
      </w:r>
      <w:r w:rsidR="00812BA1">
        <w:t xml:space="preserve"> </w:t>
      </w:r>
      <w:r w:rsidR="00484093">
        <w:t xml:space="preserve">CI = confidence interval; </w:t>
      </w:r>
      <w:r w:rsidR="00812BA1">
        <w:t xml:space="preserve">MK = MK-3475 </w:t>
      </w:r>
      <w:r w:rsidR="00EF09D1">
        <w:t>(</w:t>
      </w:r>
      <w:r w:rsidR="00484093">
        <w:t xml:space="preserve">drug development code for </w:t>
      </w:r>
      <w:r w:rsidR="00812BA1">
        <w:t>pembrolizumab</w:t>
      </w:r>
      <w:r w:rsidR="00EF09D1">
        <w:t>)</w:t>
      </w:r>
      <w:r w:rsidR="00812BA1">
        <w:t xml:space="preserve">; </w:t>
      </w:r>
      <w:proofErr w:type="spellStart"/>
      <w:r w:rsidR="00812BA1">
        <w:t>Pbo</w:t>
      </w:r>
      <w:proofErr w:type="spellEnd"/>
      <w:r w:rsidR="00812BA1">
        <w:t xml:space="preserve"> = placebo</w:t>
      </w:r>
      <w:r w:rsidR="00887BAF">
        <w:t>, chemo = chemotherapy, AE</w:t>
      </w:r>
      <w:r w:rsidR="00484093">
        <w:t> </w:t>
      </w:r>
      <w:r w:rsidR="00887BAF">
        <w:t>= adverse events</w:t>
      </w:r>
    </w:p>
    <w:p w14:paraId="18609FD2" w14:textId="1C8A787B" w:rsidR="00484093" w:rsidRPr="005471F0" w:rsidRDefault="00484093" w:rsidP="004F05B7">
      <w:pPr>
        <w:pStyle w:val="Figur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3945023E" w14:textId="26E52FF0" w:rsidR="00812BA1" w:rsidRDefault="00812BA1" w:rsidP="00812BA1">
      <w:pPr>
        <w:pStyle w:val="Heading6"/>
      </w:pPr>
      <w:r>
        <w:t xml:space="preserve">Treatment-related </w:t>
      </w:r>
      <w:r w:rsidR="00F23C09">
        <w:t>adver</w:t>
      </w:r>
      <w:r>
        <w:t>s</w:t>
      </w:r>
      <w:r w:rsidR="00F23C09">
        <w:t>e events</w:t>
      </w:r>
    </w:p>
    <w:p w14:paraId="24FAA016" w14:textId="642F6A65" w:rsidR="002D7FFB" w:rsidRDefault="00812BA1" w:rsidP="00812BA1">
      <w:r>
        <w:t>The overall incidence of treatment</w:t>
      </w:r>
      <w:r w:rsidR="00972C10">
        <w:t>-</w:t>
      </w:r>
      <w:r>
        <w:t>related AE</w:t>
      </w:r>
      <w:r w:rsidR="00972C10">
        <w:t>s</w:t>
      </w:r>
      <w:r>
        <w:t xml:space="preserve"> was similar between both groups. The frequencies of each event were generally similar between both groups</w:t>
      </w:r>
      <w:r w:rsidR="007A6670">
        <w:t xml:space="preserve"> (see </w:t>
      </w:r>
      <w:r w:rsidR="007A6670">
        <w:fldChar w:fldCharType="begin"/>
      </w:r>
      <w:r w:rsidR="007A6670">
        <w:instrText xml:space="preserve"> REF _Ref127191915 \h </w:instrText>
      </w:r>
      <w:r w:rsidR="007A6670">
        <w:fldChar w:fldCharType="separate"/>
      </w:r>
      <w:r w:rsidR="00A02570">
        <w:t xml:space="preserve">Table </w:t>
      </w:r>
      <w:r w:rsidR="00A02570">
        <w:rPr>
          <w:noProof/>
        </w:rPr>
        <w:t>13</w:t>
      </w:r>
      <w:r w:rsidR="007A6670">
        <w:fldChar w:fldCharType="end"/>
      </w:r>
      <w:r w:rsidR="007A6670">
        <w:t>)</w:t>
      </w:r>
      <w:r>
        <w:t>.</w:t>
      </w:r>
    </w:p>
    <w:p w14:paraId="01543166" w14:textId="640AC289" w:rsidR="00F23C09" w:rsidRDefault="00F23C09" w:rsidP="00F23C09">
      <w:pPr>
        <w:pStyle w:val="TableTitle"/>
      </w:pPr>
      <w:bookmarkStart w:id="69" w:name="_Ref127191915"/>
      <w:r>
        <w:lastRenderedPageBreak/>
        <w:t xml:space="preserve">Table </w:t>
      </w:r>
      <w:r>
        <w:fldChar w:fldCharType="begin"/>
      </w:r>
      <w:r>
        <w:instrText>SEQ Table \* ARABIC</w:instrText>
      </w:r>
      <w:r>
        <w:fldChar w:fldCharType="separate"/>
      </w:r>
      <w:r w:rsidR="00A02570">
        <w:rPr>
          <w:noProof/>
        </w:rPr>
        <w:t>13</w:t>
      </w:r>
      <w:r>
        <w:fldChar w:fldCharType="end"/>
      </w:r>
      <w:bookmarkEnd w:id="69"/>
      <w:r w:rsidR="004D1D24">
        <w:rPr>
          <w:noProof/>
        </w:rPr>
        <w:t>:</w:t>
      </w:r>
      <w:r>
        <w:t xml:space="preserve"> </w:t>
      </w:r>
      <w:r w:rsidR="00972C10">
        <w:t xml:space="preserve">Study KN-522 (KEYNOTE 522 trial) </w:t>
      </w:r>
      <w:r w:rsidRPr="00F23C09">
        <w:t xml:space="preserve">Treatment-related </w:t>
      </w:r>
      <w:r w:rsidR="00D06F01">
        <w:t>adverse event</w:t>
      </w:r>
      <w:r w:rsidRPr="00F23C09">
        <w:t>s by decreasing incidence (10 most frequent</w:t>
      </w:r>
      <w:r w:rsidR="00972C10">
        <w:t xml:space="preserve"> events</w:t>
      </w:r>
      <w:r w:rsidRPr="00F23C09">
        <w:t>)</w:t>
      </w:r>
      <w:r w:rsidR="00484093">
        <w:t>;</w:t>
      </w:r>
      <w:r w:rsidRPr="00F23C09">
        <w:t xml:space="preserve"> combined </w:t>
      </w:r>
      <w:r w:rsidR="00484093">
        <w:t xml:space="preserve">study </w:t>
      </w:r>
      <w:r w:rsidRPr="00F23C09">
        <w:t>phases (</w:t>
      </w:r>
      <w:r w:rsidR="00D06F01">
        <w:t>all subjects as treated</w:t>
      </w:r>
      <w:r w:rsidR="00484093">
        <w:t xml:space="preserve">; </w:t>
      </w:r>
      <w:r w:rsidRPr="00F23C09">
        <w:t>IA4)</w:t>
      </w:r>
    </w:p>
    <w:p w14:paraId="29E28EAF" w14:textId="4E7FAEF0" w:rsidR="0047703B" w:rsidRDefault="0047703B" w:rsidP="00F23C09">
      <w:pPr>
        <w:pStyle w:val="TableTitle"/>
      </w:pPr>
      <w:r>
        <w:rPr>
          <w:noProof/>
          <w:lang w:val="en-GB" w:eastAsia="en-GB"/>
        </w:rPr>
        <w:drawing>
          <wp:inline distT="0" distB="0" distL="0" distR="0" wp14:anchorId="1366F965" wp14:editId="3A54588B">
            <wp:extent cx="5400040" cy="2924175"/>
            <wp:effectExtent l="0" t="0" r="0" b="9525"/>
            <wp:docPr id="268" name="Picture 268" descr="This table shows treatment-related adverse events by decreasing incidence (top 10 most frequent), combined phases (all subjects as treated)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This table shows treatment-related adverse events by decreasing incidence (top 10 most frequent), combined phases (all subjects as treated) (IA4)"/>
                    <pic:cNvPicPr/>
                  </pic:nvPicPr>
                  <pic:blipFill>
                    <a:blip r:embed="rId42"/>
                    <a:stretch>
                      <a:fillRect/>
                    </a:stretch>
                  </pic:blipFill>
                  <pic:spPr>
                    <a:xfrm>
                      <a:off x="0" y="0"/>
                      <a:ext cx="5400040" cy="2924175"/>
                    </a:xfrm>
                    <a:prstGeom prst="rect">
                      <a:avLst/>
                    </a:prstGeom>
                  </pic:spPr>
                </pic:pic>
              </a:graphicData>
            </a:graphic>
          </wp:inline>
        </w:drawing>
      </w:r>
    </w:p>
    <w:p w14:paraId="5156395D" w14:textId="77777777" w:rsidR="00484093" w:rsidRDefault="0047703B" w:rsidP="00812BA1">
      <w:pPr>
        <w:pStyle w:val="TableDescription"/>
      </w:pPr>
      <w:r>
        <w:t xml:space="preserve">Notes: </w:t>
      </w:r>
      <w:r w:rsidR="00812BA1">
        <w:t xml:space="preserve">MK-3475 = </w:t>
      </w:r>
      <w:r w:rsidR="00484093">
        <w:t xml:space="preserve">drug development code for </w:t>
      </w:r>
      <w:r w:rsidR="00812BA1">
        <w:t>pembrolizumab.</w:t>
      </w:r>
    </w:p>
    <w:p w14:paraId="291384BA" w14:textId="015F51BB" w:rsidR="00812BA1" w:rsidRDefault="00812BA1" w:rsidP="00812BA1">
      <w:pPr>
        <w:pStyle w:val="TableDescription"/>
      </w:pPr>
      <w:r>
        <w:t>Original table (incidence ≥ 5%) has been edited for brevity.</w:t>
      </w:r>
    </w:p>
    <w:p w14:paraId="4472DCE2" w14:textId="3BE0E3E0" w:rsidR="00484093" w:rsidRDefault="00484093" w:rsidP="00812BA1">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0B8BC498" w14:textId="315A37AC" w:rsidR="00812BA1" w:rsidRDefault="00812BA1" w:rsidP="00812BA1">
      <w:r>
        <w:t>The overall incidence of drug</w:t>
      </w:r>
      <w:r w:rsidR="00972C10">
        <w:t>-</w:t>
      </w:r>
      <w:r>
        <w:t>related AE</w:t>
      </w:r>
      <w:r w:rsidR="00972C10">
        <w:t>s</w:t>
      </w:r>
      <w:r>
        <w:t xml:space="preserve"> as determined by the investigator during the adjuvant phase was generally similar between the pembrolizumab group (53.7%) and the placebo group (48.6%). The most frequent were arthralgia (</w:t>
      </w:r>
      <w:r w:rsidR="000E4EE0">
        <w:t>pembrolizumab</w:t>
      </w:r>
      <w:r>
        <w:t xml:space="preserve"> 8.5%, placebo 6.9%), asthenia (</w:t>
      </w:r>
      <w:r w:rsidR="000E4EE0">
        <w:t>pembrolizumab</w:t>
      </w:r>
      <w:r>
        <w:t xml:space="preserve"> 4.6%, placebo 5.1%), rash (</w:t>
      </w:r>
      <w:r w:rsidR="000E4EE0">
        <w:t>pembrolizumab</w:t>
      </w:r>
      <w:r>
        <w:t xml:space="preserve"> 6.0%, placebo 2.4%) and pruritis (</w:t>
      </w:r>
      <w:r w:rsidR="000E4EE0">
        <w:t>pembrolizumab</w:t>
      </w:r>
      <w:r>
        <w:t xml:space="preserve"> 5.1%, placebo 2.1%).</w:t>
      </w:r>
    </w:p>
    <w:p w14:paraId="440F1483" w14:textId="582BF120" w:rsidR="00812BA1" w:rsidRDefault="00812BA1" w:rsidP="00812BA1">
      <w:pPr>
        <w:pStyle w:val="Heading6"/>
      </w:pPr>
      <w:r>
        <w:t>Grade 3</w:t>
      </w:r>
      <w:r w:rsidR="00F23C09">
        <w:t xml:space="preserve"> </w:t>
      </w:r>
      <w:r w:rsidR="00002DD5">
        <w:t>to</w:t>
      </w:r>
      <w:r w:rsidR="00F23C09">
        <w:t xml:space="preserve"> </w:t>
      </w:r>
      <w:r>
        <w:t xml:space="preserve">5 </w:t>
      </w:r>
      <w:r w:rsidR="00F23C09">
        <w:t>adverse events</w:t>
      </w:r>
    </w:p>
    <w:p w14:paraId="2F2DCEE6" w14:textId="3A5C206D" w:rsidR="00812BA1" w:rsidRDefault="00812BA1" w:rsidP="00812BA1">
      <w:r>
        <w:t xml:space="preserve">Across the combined treatment phases, the incidence of </w:t>
      </w:r>
      <w:r w:rsidR="00F23C09">
        <w:t>G</w:t>
      </w:r>
      <w:r>
        <w:t xml:space="preserve">rade </w:t>
      </w:r>
      <w:r w:rsidR="00002DD5">
        <w:t>3 to 5</w:t>
      </w:r>
      <w:r>
        <w:t xml:space="preserve"> AE was similar in the </w:t>
      </w:r>
      <w:r w:rsidR="000E4EE0">
        <w:t>pembrolizumab</w:t>
      </w:r>
      <w:r>
        <w:t xml:space="preserve"> (82.4%) and placebo (78.7%) groups. The biggest imbalances (</w:t>
      </w:r>
      <w:r w:rsidR="000E4EE0">
        <w:t>pembrolizumab</w:t>
      </w:r>
      <w:r>
        <w:t xml:space="preserve"> </w:t>
      </w:r>
      <w:r w:rsidR="007A6670">
        <w:t>greater than</w:t>
      </w:r>
      <w:r>
        <w:t xml:space="preserve"> placebo, absolute difference in incidence) were observed for anaemia (3.</w:t>
      </w:r>
      <w:r w:rsidR="00643C27">
        <w:t>9</w:t>
      </w:r>
      <w:r>
        <w:t xml:space="preserve">%) and </w:t>
      </w:r>
      <w:r w:rsidR="007A6670">
        <w:t>alanine aminotransferase</w:t>
      </w:r>
      <w:r>
        <w:t xml:space="preserve"> increased (3.6%). The most frequent events are summarised </w:t>
      </w:r>
      <w:r w:rsidR="007A6670">
        <w:t xml:space="preserve">in </w:t>
      </w:r>
      <w:r w:rsidR="003109ED">
        <w:fldChar w:fldCharType="begin"/>
      </w:r>
      <w:r w:rsidR="003109ED">
        <w:instrText xml:space="preserve"> REF _Ref130217743 \h </w:instrText>
      </w:r>
      <w:r w:rsidR="003109ED">
        <w:fldChar w:fldCharType="separate"/>
      </w:r>
      <w:r w:rsidR="00A02570">
        <w:t xml:space="preserve">Table </w:t>
      </w:r>
      <w:r w:rsidR="00A02570">
        <w:rPr>
          <w:noProof/>
        </w:rPr>
        <w:t>14</w:t>
      </w:r>
      <w:r w:rsidR="003109ED">
        <w:fldChar w:fldCharType="end"/>
      </w:r>
      <w:r w:rsidR="003109ED">
        <w:t>.</w:t>
      </w:r>
    </w:p>
    <w:p w14:paraId="0A56ACCA" w14:textId="31E77276" w:rsidR="00972C10" w:rsidRDefault="00972C10" w:rsidP="005471F0">
      <w:pPr>
        <w:spacing w:before="0" w:after="200" w:line="0" w:lineRule="auto"/>
      </w:pPr>
      <w:r>
        <w:br w:type="page"/>
      </w:r>
    </w:p>
    <w:p w14:paraId="3C85EE3D" w14:textId="41A8CA28" w:rsidR="007A6670" w:rsidRDefault="007A6670" w:rsidP="007A6670">
      <w:pPr>
        <w:pStyle w:val="TableTitle"/>
      </w:pPr>
      <w:bookmarkStart w:id="70" w:name="_Ref130217743"/>
      <w:r>
        <w:lastRenderedPageBreak/>
        <w:t xml:space="preserve">Table </w:t>
      </w:r>
      <w:r>
        <w:fldChar w:fldCharType="begin"/>
      </w:r>
      <w:r>
        <w:instrText>SEQ Table \* ARABIC</w:instrText>
      </w:r>
      <w:r>
        <w:fldChar w:fldCharType="separate"/>
      </w:r>
      <w:r w:rsidR="00A02570">
        <w:rPr>
          <w:noProof/>
        </w:rPr>
        <w:t>14</w:t>
      </w:r>
      <w:r>
        <w:fldChar w:fldCharType="end"/>
      </w:r>
      <w:bookmarkEnd w:id="70"/>
      <w:r w:rsidR="004D1D24">
        <w:rPr>
          <w:noProof/>
        </w:rPr>
        <w:t>:</w:t>
      </w:r>
      <w:r>
        <w:t xml:space="preserve"> </w:t>
      </w:r>
      <w:r w:rsidR="00972C10">
        <w:t xml:space="preserve">Study KN-522 (KEYNOTE 522 trial) </w:t>
      </w:r>
      <w:r w:rsidRPr="007A6670">
        <w:t xml:space="preserve">Grade </w:t>
      </w:r>
      <w:r w:rsidR="00002DD5">
        <w:t>3 to 5</w:t>
      </w:r>
      <w:r w:rsidRPr="007A6670">
        <w:t xml:space="preserve"> </w:t>
      </w:r>
      <w:r w:rsidR="00D06F01">
        <w:t>adverse event</w:t>
      </w:r>
      <w:r w:rsidRPr="007A6670">
        <w:t xml:space="preserve">s (incidence ≥ 5%) across </w:t>
      </w:r>
      <w:r w:rsidR="0041358A">
        <w:t>combined</w:t>
      </w:r>
      <w:r w:rsidR="00CB54B0">
        <w:t xml:space="preserve"> </w:t>
      </w:r>
      <w:r w:rsidRPr="007A6670">
        <w:t xml:space="preserve">phases </w:t>
      </w:r>
      <w:r w:rsidR="00D06F01">
        <w:t>(all subjects as treated</w:t>
      </w:r>
      <w:r w:rsidR="00D06F01" w:rsidRPr="00F23C09">
        <w:t>) (IA4)</w:t>
      </w:r>
    </w:p>
    <w:p w14:paraId="3EDC94F8" w14:textId="277A75B5" w:rsidR="0047703B" w:rsidRDefault="0047703B" w:rsidP="007A6670">
      <w:pPr>
        <w:pStyle w:val="TableTitle"/>
      </w:pPr>
      <w:r>
        <w:rPr>
          <w:noProof/>
          <w:lang w:val="en-GB" w:eastAsia="en-GB"/>
        </w:rPr>
        <w:drawing>
          <wp:inline distT="0" distB="0" distL="0" distR="0" wp14:anchorId="200266D0" wp14:editId="2BD5C783">
            <wp:extent cx="5400040" cy="2282190"/>
            <wp:effectExtent l="0" t="0" r="0" b="3810"/>
            <wp:docPr id="269" name="Picture 269" descr="This table shows Grade 3 to 5 adverse events (incidence ≥ 5%) across both treatment phases (all subjects as treated)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descr="This table shows Grade 3 to 5 adverse events (incidence ≥ 5%) across both treatment phases (all subjects as treated) (IA4)"/>
                    <pic:cNvPicPr/>
                  </pic:nvPicPr>
                  <pic:blipFill>
                    <a:blip r:embed="rId43"/>
                    <a:stretch>
                      <a:fillRect/>
                    </a:stretch>
                  </pic:blipFill>
                  <pic:spPr>
                    <a:xfrm>
                      <a:off x="0" y="0"/>
                      <a:ext cx="5400040" cy="2282190"/>
                    </a:xfrm>
                    <a:prstGeom prst="rect">
                      <a:avLst/>
                    </a:prstGeom>
                  </pic:spPr>
                </pic:pic>
              </a:graphicData>
            </a:graphic>
          </wp:inline>
        </w:drawing>
      </w:r>
    </w:p>
    <w:p w14:paraId="23DCB938" w14:textId="77777777" w:rsidR="00484093" w:rsidRDefault="0047703B" w:rsidP="0047703B">
      <w:pPr>
        <w:pStyle w:val="TableDescription"/>
      </w:pPr>
      <w:r>
        <w:t xml:space="preserve">Notes: </w:t>
      </w:r>
      <w:r w:rsidR="00484093">
        <w:t>MK-3475 = drug development code for pembrolizumab.</w:t>
      </w:r>
    </w:p>
    <w:p w14:paraId="7FF72B74" w14:textId="273B2A91" w:rsidR="0047703B" w:rsidRDefault="0047703B" w:rsidP="0047703B">
      <w:pPr>
        <w:pStyle w:val="TableDescription"/>
      </w:pPr>
      <w:r>
        <w:t>Every participant is counted a single time for each applicable specific adverse event.</w:t>
      </w:r>
    </w:p>
    <w:p w14:paraId="0D2CC66C" w14:textId="2D6D8A3B" w:rsidR="00484093" w:rsidRDefault="00484093" w:rsidP="0047703B">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7FD2E679" w14:textId="69D73294" w:rsidR="0047703B" w:rsidRDefault="0047703B" w:rsidP="0047703B">
      <w:pPr>
        <w:pStyle w:val="TableDescription"/>
      </w:pPr>
      <w:r>
        <w:t>A specific adverse event appears on this report only if its incidence in one or more of the columns meets the incidence criterion in the report title, after rounding.</w:t>
      </w:r>
    </w:p>
    <w:p w14:paraId="0CCED03E" w14:textId="1DF9279B" w:rsidR="0047703B" w:rsidRDefault="0047703B" w:rsidP="0047703B">
      <w:pPr>
        <w:pStyle w:val="TableDescription"/>
      </w:pPr>
      <w:r>
        <w:t>Included adverse events started from the first treatment including definitive surgery and radiation therapy and up to 30 days of the last treatment including definitive surgery and radiation therapy for the nonserious adverse events and up to 90 days of the last treatment including definitive surgery and radiation therapy for the serious adverse events.</w:t>
      </w:r>
    </w:p>
    <w:p w14:paraId="751783E2" w14:textId="77777777" w:rsidR="0047703B" w:rsidRDefault="0047703B" w:rsidP="0047703B">
      <w:pPr>
        <w:pStyle w:val="TableDescription"/>
      </w:pPr>
      <w:r>
        <w:t>Grades are based on NCI CTCAE version 4.0.</w:t>
      </w:r>
    </w:p>
    <w:p w14:paraId="740733B5" w14:textId="4BD8464A" w:rsidR="0047703B" w:rsidRDefault="0047703B" w:rsidP="0047703B">
      <w:pPr>
        <w:pStyle w:val="TableDescription"/>
      </w:pPr>
      <w:r>
        <w:t xml:space="preserve">MedDRA preferred terms </w:t>
      </w:r>
      <w:r w:rsidR="00972C10">
        <w:t>‘</w:t>
      </w:r>
      <w:r>
        <w:t>Neoplasm progression</w:t>
      </w:r>
      <w:r w:rsidR="00972C10">
        <w:t>’</w:t>
      </w:r>
      <w:r>
        <w:t xml:space="preserve">, </w:t>
      </w:r>
      <w:r w:rsidR="00972C10">
        <w:t>‘</w:t>
      </w:r>
      <w:r>
        <w:t>Malignant neoplasm progression</w:t>
      </w:r>
      <w:r w:rsidR="00972C10">
        <w:t>’</w:t>
      </w:r>
      <w:r>
        <w:t xml:space="preserve"> and </w:t>
      </w:r>
      <w:r w:rsidR="00972C10">
        <w:t>‘</w:t>
      </w:r>
      <w:r>
        <w:t>Disease progression</w:t>
      </w:r>
      <w:r w:rsidR="00972C10">
        <w:t>’</w:t>
      </w:r>
      <w:r>
        <w:t xml:space="preserve"> not related to the drug are excluded.</w:t>
      </w:r>
    </w:p>
    <w:p w14:paraId="41D4EFA6" w14:textId="461F3F36" w:rsidR="00812BA1" w:rsidRDefault="0047703B" w:rsidP="0047703B">
      <w:pPr>
        <w:pStyle w:val="TableDescription"/>
      </w:pPr>
      <w:r>
        <w:t>Database Cut</w:t>
      </w:r>
      <w:r w:rsidR="00484093">
        <w:t>-</w:t>
      </w:r>
      <w:r>
        <w:t>off Date: 23</w:t>
      </w:r>
      <w:r w:rsidR="00972C10">
        <w:t xml:space="preserve"> March </w:t>
      </w:r>
      <w:r>
        <w:t>2021</w:t>
      </w:r>
    </w:p>
    <w:p w14:paraId="469491FD" w14:textId="37C8D5F5" w:rsidR="00812BA1" w:rsidRDefault="00812BA1" w:rsidP="00812BA1">
      <w:r w:rsidRPr="00812BA1">
        <w:t xml:space="preserve">Grade </w:t>
      </w:r>
      <w:r w:rsidR="00002DD5">
        <w:t>3 to 5</w:t>
      </w:r>
      <w:r w:rsidRPr="00812BA1">
        <w:t xml:space="preserve"> </w:t>
      </w:r>
      <w:r w:rsidR="003109ED">
        <w:t>AE</w:t>
      </w:r>
      <w:r w:rsidR="00972C10">
        <w:t xml:space="preserve">s </w:t>
      </w:r>
      <w:r w:rsidRPr="00812BA1">
        <w:t>were infrequent during the adjuvant phase (</w:t>
      </w:r>
      <w:r w:rsidR="000E4EE0">
        <w:t>pembrolizumab</w:t>
      </w:r>
      <w:r w:rsidRPr="00812BA1">
        <w:t xml:space="preserve"> 15.0%, placebo 11.5%). The most frequent was radiation skin injury (0.9%). No </w:t>
      </w:r>
      <w:r w:rsidR="00D821D8">
        <w:t>PT</w:t>
      </w:r>
      <w:r w:rsidRPr="00812BA1">
        <w:t xml:space="preserve"> had an incidence </w:t>
      </w:r>
      <w:r w:rsidR="007A6670">
        <w:t>greater th</w:t>
      </w:r>
      <w:r w:rsidR="00D821D8">
        <w:t>a</w:t>
      </w:r>
      <w:r w:rsidR="007A6670">
        <w:t>n</w:t>
      </w:r>
      <w:r w:rsidRPr="00812BA1">
        <w:t xml:space="preserve"> 1% in either arm.</w:t>
      </w:r>
    </w:p>
    <w:p w14:paraId="419605EB" w14:textId="77777777" w:rsidR="002D7FFB" w:rsidRDefault="00812BA1" w:rsidP="00812BA1">
      <w:pPr>
        <w:pStyle w:val="Heading6"/>
      </w:pPr>
      <w:r>
        <w:t>Serious adverse events</w:t>
      </w:r>
    </w:p>
    <w:p w14:paraId="13330193" w14:textId="61986821" w:rsidR="00812BA1" w:rsidRDefault="00812BA1" w:rsidP="00812BA1">
      <w:r>
        <w:t>Across both treatment phases,</w:t>
      </w:r>
      <w:r w:rsidR="007A6670">
        <w:t xml:space="preserve"> serious adverse events (</w:t>
      </w:r>
      <w:r>
        <w:t>SAE</w:t>
      </w:r>
      <w:r w:rsidR="00972C10">
        <w:t>s</w:t>
      </w:r>
      <w:r w:rsidR="007A6670">
        <w:t>)</w:t>
      </w:r>
      <w:r>
        <w:t xml:space="preserve"> were more frequently reported with </w:t>
      </w:r>
      <w:r w:rsidR="000E4EE0">
        <w:t>pembrolizumab</w:t>
      </w:r>
      <w:r>
        <w:t xml:space="preserve"> (43.6%) than placebo (28.5%). The ten most frequently reported S</w:t>
      </w:r>
      <w:r w:rsidR="003109ED">
        <w:t>AE</w:t>
      </w:r>
      <w:r w:rsidR="00972C10">
        <w:t>s</w:t>
      </w:r>
      <w:r>
        <w:t xml:space="preserve"> are presented </w:t>
      </w:r>
      <w:r w:rsidR="007A6670">
        <w:t xml:space="preserve">in </w:t>
      </w:r>
      <w:r w:rsidR="007A6670">
        <w:fldChar w:fldCharType="begin"/>
      </w:r>
      <w:r w:rsidR="007A6670">
        <w:instrText xml:space="preserve"> REF _Ref127192174 \h </w:instrText>
      </w:r>
      <w:r w:rsidR="007A6670">
        <w:fldChar w:fldCharType="separate"/>
      </w:r>
      <w:r w:rsidR="00A02570">
        <w:t xml:space="preserve">Table </w:t>
      </w:r>
      <w:r w:rsidR="00A02570">
        <w:rPr>
          <w:noProof/>
        </w:rPr>
        <w:t>15</w:t>
      </w:r>
      <w:r w:rsidR="007A6670">
        <w:fldChar w:fldCharType="end"/>
      </w:r>
      <w:r>
        <w:t>. The event with the biggest imbalance (</w:t>
      </w:r>
      <w:r w:rsidR="000E4EE0">
        <w:t>pembrolizumab</w:t>
      </w:r>
      <w:r>
        <w:t xml:space="preserve"> </w:t>
      </w:r>
      <w:r w:rsidR="007A6670">
        <w:t>greater than</w:t>
      </w:r>
      <w:r>
        <w:t xml:space="preserve"> placebo) was pyrexia (absolute incidence difference 3.2%). No new safety concerns were suggested.</w:t>
      </w:r>
    </w:p>
    <w:p w14:paraId="17DB0A92" w14:textId="3B75389B" w:rsidR="00812BA1" w:rsidRDefault="00812BA1" w:rsidP="00812BA1">
      <w:pPr>
        <w:pStyle w:val="TableTitle"/>
      </w:pPr>
      <w:bookmarkStart w:id="71" w:name="_Ref127192174"/>
      <w:r>
        <w:lastRenderedPageBreak/>
        <w:t xml:space="preserve">Table </w:t>
      </w:r>
      <w:r>
        <w:fldChar w:fldCharType="begin"/>
      </w:r>
      <w:r>
        <w:instrText>SEQ Table \* ARABIC</w:instrText>
      </w:r>
      <w:r>
        <w:fldChar w:fldCharType="separate"/>
      </w:r>
      <w:r w:rsidR="00A02570">
        <w:rPr>
          <w:noProof/>
        </w:rPr>
        <w:t>15</w:t>
      </w:r>
      <w:r>
        <w:fldChar w:fldCharType="end"/>
      </w:r>
      <w:bookmarkEnd w:id="71"/>
      <w:r w:rsidR="004D1D24">
        <w:rPr>
          <w:noProof/>
        </w:rPr>
        <w:t>:</w:t>
      </w:r>
      <w:r>
        <w:t xml:space="preserve"> </w:t>
      </w:r>
      <w:r w:rsidR="00972C10">
        <w:t xml:space="preserve">Study KN-522 (KEYNOTE 522 trial) </w:t>
      </w:r>
      <w:r>
        <w:t>Participants with</w:t>
      </w:r>
      <w:r w:rsidR="00D06F01">
        <w:t xml:space="preserve"> serious adverse event</w:t>
      </w:r>
      <w:r>
        <w:t>s (10 most frequent</w:t>
      </w:r>
      <w:r w:rsidR="00972C10">
        <w:t xml:space="preserve"> events</w:t>
      </w:r>
      <w:r>
        <w:t>) across combined phases (</w:t>
      </w:r>
      <w:r w:rsidR="00D06F01">
        <w:t>all subjects as treated</w:t>
      </w:r>
      <w:r>
        <w:t>) (IA4)</w:t>
      </w:r>
    </w:p>
    <w:p w14:paraId="56084F67" w14:textId="1AA2C592" w:rsidR="00812BA1" w:rsidRDefault="00812BA1" w:rsidP="00812BA1">
      <w:r w:rsidRPr="00985A56">
        <w:rPr>
          <w:noProof/>
          <w:lang w:val="en-GB" w:eastAsia="en-GB"/>
        </w:rPr>
        <w:drawing>
          <wp:inline distT="0" distB="0" distL="0" distR="0" wp14:anchorId="76F96841" wp14:editId="246B3BAF">
            <wp:extent cx="4921200" cy="2656800"/>
            <wp:effectExtent l="0" t="0" r="0" b="0"/>
            <wp:docPr id="21" name="Picture 21" descr="This table shows participants with serious adverse events (top 10 most frequent) across combined phases (all subjects as treated)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table shows participants with serious adverse events (top 10 most frequent) across combined phases (all subjects as treated) (IA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21200" cy="2656800"/>
                    </a:xfrm>
                    <a:prstGeom prst="rect">
                      <a:avLst/>
                    </a:prstGeom>
                    <a:noFill/>
                    <a:ln>
                      <a:noFill/>
                    </a:ln>
                  </pic:spPr>
                </pic:pic>
              </a:graphicData>
            </a:graphic>
          </wp:inline>
        </w:drawing>
      </w:r>
    </w:p>
    <w:p w14:paraId="3C19BDD9" w14:textId="52116CB8" w:rsidR="00484093" w:rsidRDefault="00812BA1" w:rsidP="00812BA1">
      <w:pPr>
        <w:pStyle w:val="TableDescription"/>
      </w:pPr>
      <w:r>
        <w:t>N</w:t>
      </w:r>
      <w:r w:rsidR="007A6670">
        <w:t>ote</w:t>
      </w:r>
      <w:r w:rsidR="00484093">
        <w:t>: MK-3475 = drug development code for pembrolizumab</w:t>
      </w:r>
    </w:p>
    <w:p w14:paraId="0D52FCC5" w14:textId="12A8DAAF" w:rsidR="00484093" w:rsidRDefault="00484093" w:rsidP="00812BA1">
      <w:pPr>
        <w:pStyle w:val="TableDescription"/>
      </w:pPr>
      <w:r>
        <w:t>Serious adverse events (</w:t>
      </w:r>
      <w:r w:rsidR="00812BA1" w:rsidRPr="00812BA1">
        <w:t>S</w:t>
      </w:r>
      <w:r w:rsidR="003109ED">
        <w:t>AE</w:t>
      </w:r>
      <w:r w:rsidR="00972C10">
        <w:t>s</w:t>
      </w:r>
      <w:r>
        <w:t>)</w:t>
      </w:r>
      <w:r w:rsidR="00812BA1">
        <w:t xml:space="preserve"> are reported up to 90 days after last dose of study drug.</w:t>
      </w:r>
    </w:p>
    <w:p w14:paraId="360BF2FE" w14:textId="14E61C1F" w:rsidR="00812BA1" w:rsidRDefault="00812BA1" w:rsidP="00812BA1">
      <w:pPr>
        <w:pStyle w:val="TableDescription"/>
      </w:pPr>
      <w:r>
        <w:t>Original table (with all events) has been edited for brevity.</w:t>
      </w:r>
    </w:p>
    <w:p w14:paraId="2AE980D6" w14:textId="13793FBB" w:rsidR="00484093" w:rsidRDefault="00484093" w:rsidP="00812BA1">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71821F25" w14:textId="2BA7AD56" w:rsidR="00812BA1" w:rsidRDefault="00812BA1" w:rsidP="00812BA1">
      <w:r w:rsidRPr="00812BA1">
        <w:t>S</w:t>
      </w:r>
      <w:r w:rsidR="003109ED">
        <w:t>AE</w:t>
      </w:r>
      <w:r w:rsidR="00972C10">
        <w:t>s</w:t>
      </w:r>
      <w:r w:rsidRPr="00812BA1">
        <w:t xml:space="preserve"> were infrequent during the adjuvant treatment phase (</w:t>
      </w:r>
      <w:r w:rsidR="000E4EE0">
        <w:t>pembrolizumab</w:t>
      </w:r>
      <w:r w:rsidRPr="00812BA1">
        <w:t xml:space="preserve"> 7.0%, placebo 4.2%). The most common events were pneumonia (</w:t>
      </w:r>
      <w:r w:rsidR="000E4EE0">
        <w:t>pembrolizumab</w:t>
      </w:r>
      <w:r w:rsidRPr="00812BA1">
        <w:t xml:space="preserve"> 0.5%, placebo 0.6%) and pneumonitis (</w:t>
      </w:r>
      <w:r w:rsidR="000E4EE0">
        <w:t>pembrolizumab</w:t>
      </w:r>
      <w:r w:rsidRPr="00812BA1">
        <w:t xml:space="preserve"> 0.7%, placebo 0.3%).</w:t>
      </w:r>
    </w:p>
    <w:p w14:paraId="784EF46A" w14:textId="77777777" w:rsidR="00812BA1" w:rsidRDefault="00812BA1" w:rsidP="00812BA1">
      <w:pPr>
        <w:pStyle w:val="Heading6"/>
      </w:pPr>
      <w:r>
        <w:t>Deaths</w:t>
      </w:r>
    </w:p>
    <w:p w14:paraId="08037F4C" w14:textId="5F1A17EA" w:rsidR="00812BA1" w:rsidRDefault="00812BA1" w:rsidP="00812BA1">
      <w:r>
        <w:t xml:space="preserve">Deaths due to </w:t>
      </w:r>
      <w:r w:rsidR="003109ED">
        <w:t>adverse events</w:t>
      </w:r>
      <w:r>
        <w:t xml:space="preserve"> were more frequently reported with </w:t>
      </w:r>
      <w:r w:rsidR="000E4EE0">
        <w:t>pembrolizumab</w:t>
      </w:r>
      <w:r>
        <w:t xml:space="preserve"> (</w:t>
      </w:r>
      <w:r w:rsidR="007A6670">
        <w:t>seven</w:t>
      </w:r>
      <w:r>
        <w:t xml:space="preserve"> </w:t>
      </w:r>
      <w:r w:rsidR="00DF5CBC">
        <w:t>(</w:t>
      </w:r>
      <w:r>
        <w:t>0.9%</w:t>
      </w:r>
      <w:r w:rsidR="00DF5CBC">
        <w:t>)</w:t>
      </w:r>
      <w:r>
        <w:t>) than with placebo (</w:t>
      </w:r>
      <w:r w:rsidR="007A6670">
        <w:t xml:space="preserve">one </w:t>
      </w:r>
      <w:r w:rsidR="00DF5CBC">
        <w:t>(</w:t>
      </w:r>
      <w:r>
        <w:t>0.3%</w:t>
      </w:r>
      <w:r w:rsidR="00DF5CBC">
        <w:t>)</w:t>
      </w:r>
      <w:r>
        <w:t xml:space="preserve">). Of these deaths, </w:t>
      </w:r>
      <w:r w:rsidR="007A6670">
        <w:t>four</w:t>
      </w:r>
      <w:r>
        <w:t xml:space="preserve"> and </w:t>
      </w:r>
      <w:r w:rsidR="007A6670">
        <w:t>one,</w:t>
      </w:r>
      <w:r>
        <w:t xml:space="preserve"> respectively</w:t>
      </w:r>
      <w:r w:rsidR="007A6670">
        <w:t>,</w:t>
      </w:r>
      <w:r>
        <w:t xml:space="preserve"> were considered treatment</w:t>
      </w:r>
      <w:r w:rsidR="007A6670">
        <w:t xml:space="preserve"> </w:t>
      </w:r>
      <w:r>
        <w:t>related (</w:t>
      </w:r>
      <w:r w:rsidR="007A6670">
        <w:t xml:space="preserve">that is, </w:t>
      </w:r>
      <w:r>
        <w:t xml:space="preserve">to </w:t>
      </w:r>
      <w:r w:rsidR="000E4EE0">
        <w:t>pembrolizumab</w:t>
      </w:r>
      <w:r w:rsidR="00DF5CBC">
        <w:t>/</w:t>
      </w:r>
      <w:r>
        <w:t>placebo or chemo</w:t>
      </w:r>
      <w:r w:rsidR="007A6670">
        <w:t>therapy</w:t>
      </w:r>
      <w:r>
        <w:t>)</w:t>
      </w:r>
      <w:r w:rsidR="00882C22">
        <w:t xml:space="preserve"> by investigator</w:t>
      </w:r>
      <w:r>
        <w:t xml:space="preserve">. </w:t>
      </w:r>
      <w:r w:rsidR="007A6670">
        <w:t>Three</w:t>
      </w:r>
      <w:r>
        <w:t xml:space="preserve"> deaths were considered related to pembrolizumab. No individual </w:t>
      </w:r>
      <w:r w:rsidR="00D821D8">
        <w:t>PT</w:t>
      </w:r>
      <w:r>
        <w:t xml:space="preserve"> was reported more than once. No new safety concerns were suggested.</w:t>
      </w:r>
    </w:p>
    <w:p w14:paraId="1BD0A92B" w14:textId="77777777" w:rsidR="002D7FFB" w:rsidRDefault="00812BA1" w:rsidP="00812BA1">
      <w:r>
        <w:t>Most deaths (</w:t>
      </w:r>
      <w:r w:rsidR="007A6670">
        <w:t xml:space="preserve">six </w:t>
      </w:r>
      <w:r>
        <w:t xml:space="preserve">of </w:t>
      </w:r>
      <w:r w:rsidR="007A6670">
        <w:t>eight</w:t>
      </w:r>
      <w:r>
        <w:t xml:space="preserve">) were reported during the neoadjuvant phase. </w:t>
      </w:r>
      <w:r w:rsidR="007A6670">
        <w:t>Two</w:t>
      </w:r>
      <w:r>
        <w:t xml:space="preserve"> (both in the </w:t>
      </w:r>
      <w:r w:rsidR="000E4EE0">
        <w:t>pembrolizumab</w:t>
      </w:r>
      <w:r>
        <w:t xml:space="preserve"> group) were reported in the adjuvant phase.</w:t>
      </w:r>
    </w:p>
    <w:p w14:paraId="44C61F9D" w14:textId="77777777" w:rsidR="002D7FFB" w:rsidRDefault="00812BA1" w:rsidP="00812BA1">
      <w:r>
        <w:t xml:space="preserve">Review of the narratives suggests </w:t>
      </w:r>
      <w:r w:rsidR="007A6670">
        <w:t>four</w:t>
      </w:r>
      <w:r>
        <w:t xml:space="preserve"> of the </w:t>
      </w:r>
      <w:r w:rsidR="007A6670">
        <w:t>seven</w:t>
      </w:r>
      <w:r>
        <w:t xml:space="preserve"> deaths in the pembrolizumab group were potentially immune</w:t>
      </w:r>
      <w:r w:rsidR="007A6670">
        <w:t xml:space="preserve"> </w:t>
      </w:r>
      <w:r>
        <w:t xml:space="preserve">mediated (shock </w:t>
      </w:r>
      <w:r w:rsidR="00DF5CBC">
        <w:t>(</w:t>
      </w:r>
      <w:r>
        <w:t>with adrenal insufficienc</w:t>
      </w:r>
      <w:r w:rsidR="00DF5CBC">
        <w:t>y)</w:t>
      </w:r>
      <w:r>
        <w:t xml:space="preserve">, pneumonitis, sudden death </w:t>
      </w:r>
      <w:r w:rsidR="00DF5CBC">
        <w:t>(</w:t>
      </w:r>
      <w:r>
        <w:t>with hepatitis</w:t>
      </w:r>
      <w:r w:rsidR="00DF5CBC">
        <w:t>)</w:t>
      </w:r>
      <w:r>
        <w:t xml:space="preserve"> and autoimmune encephalitis).</w:t>
      </w:r>
    </w:p>
    <w:p w14:paraId="7D1B362F" w14:textId="70E22E4F" w:rsidR="00812BA1" w:rsidRDefault="00812BA1" w:rsidP="00812BA1">
      <w:r>
        <w:t>The death due to shock occurred in a patient one day following breast conserving surgery. This patient was found to have a cortisol level of 3 nmol/L (ref</w:t>
      </w:r>
      <w:r w:rsidR="002600B0">
        <w:t>erence</w:t>
      </w:r>
      <w:r>
        <w:t xml:space="preserve"> range: 172</w:t>
      </w:r>
      <w:r w:rsidR="00972C10">
        <w:t xml:space="preserve"> to </w:t>
      </w:r>
      <w:r>
        <w:t>497</w:t>
      </w:r>
      <w:r w:rsidR="002600B0">
        <w:t> nmol/L</w:t>
      </w:r>
      <w:r>
        <w:t>) 21 days pre-operatively, suggestive of possible pembrolizumab-related adrenal insufficiency, although this was confounded by concomitant dexamethasone for chemotherapy-induced nausea and vomiting. Pulmonary thromboembolism could also not be excluded in this case. Note that preoperative cortisol measurement was added with Protocol Amendment 2 (probably after this event</w:t>
      </w:r>
      <w:r w:rsidR="00972C10">
        <w:t xml:space="preserve">; </w:t>
      </w:r>
      <w:r>
        <w:t xml:space="preserve">the narrative was not dated so this cannot be ascertained from the </w:t>
      </w:r>
      <w:r w:rsidR="00972C10">
        <w:t>data supplied by sponsor</w:t>
      </w:r>
      <w:r>
        <w:t>).</w:t>
      </w:r>
    </w:p>
    <w:p w14:paraId="0DD3033A" w14:textId="4E9C3F9B" w:rsidR="00DF5CBC" w:rsidRDefault="00DF5CBC" w:rsidP="00DF5CBC">
      <w:pPr>
        <w:pStyle w:val="TableTitle"/>
      </w:pPr>
      <w:r>
        <w:lastRenderedPageBreak/>
        <w:t xml:space="preserve">Table </w:t>
      </w:r>
      <w:r>
        <w:fldChar w:fldCharType="begin"/>
      </w:r>
      <w:r>
        <w:instrText>SEQ Table \* ARABIC</w:instrText>
      </w:r>
      <w:r>
        <w:fldChar w:fldCharType="separate"/>
      </w:r>
      <w:r w:rsidR="00A02570">
        <w:rPr>
          <w:noProof/>
        </w:rPr>
        <w:t>16</w:t>
      </w:r>
      <w:r>
        <w:fldChar w:fldCharType="end"/>
      </w:r>
      <w:r w:rsidR="004D1D24">
        <w:rPr>
          <w:noProof/>
        </w:rPr>
        <w:t>:</w:t>
      </w:r>
      <w:r>
        <w:t xml:space="preserve"> </w:t>
      </w:r>
      <w:r w:rsidR="00972C10">
        <w:t xml:space="preserve">Study KN-522 (KEYNOTE 522 trial) </w:t>
      </w:r>
      <w:r w:rsidRPr="00DF5CBC">
        <w:t xml:space="preserve">Participants with </w:t>
      </w:r>
      <w:r w:rsidR="002600B0">
        <w:t>adverse</w:t>
      </w:r>
      <w:r w:rsidR="00D06F01">
        <w:t xml:space="preserve"> event</w:t>
      </w:r>
      <w:r w:rsidRPr="00DF5CBC">
        <w:t xml:space="preserve">s leading to death; combined phases </w:t>
      </w:r>
      <w:r w:rsidR="00D06F01" w:rsidRPr="00D06F01">
        <w:t>(all subjects as treated</w:t>
      </w:r>
      <w:r w:rsidRPr="00DF5CBC">
        <w:t>) (IA4)</w:t>
      </w:r>
    </w:p>
    <w:p w14:paraId="65EFC403" w14:textId="477B350A" w:rsidR="00812BA1" w:rsidRDefault="00812BA1" w:rsidP="00812BA1">
      <w:r w:rsidRPr="001D6765">
        <w:rPr>
          <w:noProof/>
          <w:lang w:val="en-GB" w:eastAsia="en-GB"/>
        </w:rPr>
        <w:drawing>
          <wp:inline distT="0" distB="0" distL="0" distR="0" wp14:anchorId="16FFBBE1" wp14:editId="11AF270D">
            <wp:extent cx="4993200" cy="2707200"/>
            <wp:effectExtent l="0" t="0" r="0" b="0"/>
            <wp:docPr id="20" name="Picture 20" descr="Table 16: Study KN-522 (KEYNOTE 522 trial) Participants with adverse events leading to death; combined phases (all subjects as treated)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16: Study KN-522 (KEYNOTE 522 trial) Participants with adverse events leading to death; combined phases (all subjects as treated) (IA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3200" cy="2707200"/>
                    </a:xfrm>
                    <a:prstGeom prst="rect">
                      <a:avLst/>
                    </a:prstGeom>
                    <a:noFill/>
                    <a:ln>
                      <a:noFill/>
                    </a:ln>
                  </pic:spPr>
                </pic:pic>
              </a:graphicData>
            </a:graphic>
          </wp:inline>
        </w:drawing>
      </w:r>
    </w:p>
    <w:p w14:paraId="4962E3D6" w14:textId="3EB85045" w:rsidR="00484093" w:rsidRDefault="00484093" w:rsidP="005471F0">
      <w:pPr>
        <w:pStyle w:val="TableDescription"/>
      </w:pPr>
      <w:r>
        <w:t>MK-3475 = drug development code for pembrolizumab.</w:t>
      </w:r>
    </w:p>
    <w:p w14:paraId="5CAE8DBC" w14:textId="696E5940" w:rsidR="00484093" w:rsidRDefault="00484093" w:rsidP="005471F0">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55BCF851" w14:textId="5841C6C2" w:rsidR="00812BA1" w:rsidRDefault="00812BA1" w:rsidP="00812BA1">
      <w:pPr>
        <w:pStyle w:val="Heading6"/>
      </w:pPr>
      <w:r>
        <w:t xml:space="preserve">Discontinuation due to </w:t>
      </w:r>
      <w:r w:rsidR="00DF5CBC">
        <w:t>adverse events</w:t>
      </w:r>
    </w:p>
    <w:p w14:paraId="4D8F2F0A" w14:textId="738F86F3" w:rsidR="00812BA1" w:rsidRDefault="00812BA1" w:rsidP="00812BA1">
      <w:r>
        <w:t xml:space="preserve">Discontinuation of study treatment due to </w:t>
      </w:r>
      <w:r w:rsidR="002600B0">
        <w:t>adverse events</w:t>
      </w:r>
      <w:r w:rsidR="00EF3EF6">
        <w:t xml:space="preserve"> (AE</w:t>
      </w:r>
      <w:r w:rsidR="00972C10">
        <w:t>s</w:t>
      </w:r>
      <w:r w:rsidR="00EF3EF6">
        <w:t>)</w:t>
      </w:r>
      <w:r>
        <w:t xml:space="preserve"> across both study phases was more frequent in the </w:t>
      </w:r>
      <w:r w:rsidR="000E4EE0">
        <w:t>pembrolizumab</w:t>
      </w:r>
      <w:r>
        <w:t xml:space="preserve"> arm than the placebo arm. Participants with one or more AE leading to:</w:t>
      </w:r>
    </w:p>
    <w:p w14:paraId="090C76E4" w14:textId="1E29CE5F" w:rsidR="00812BA1" w:rsidRDefault="00812BA1" w:rsidP="00812BA1">
      <w:pPr>
        <w:pStyle w:val="ListBullet"/>
      </w:pPr>
      <w:r>
        <w:t xml:space="preserve">Discontinuation of </w:t>
      </w:r>
      <w:r w:rsidR="000E4EE0">
        <w:t>pembrolizumab</w:t>
      </w:r>
      <w:r>
        <w:t xml:space="preserve">/placebo only: </w:t>
      </w:r>
      <w:r w:rsidR="000E4EE0">
        <w:t>pembrolizumab</w:t>
      </w:r>
      <w:r>
        <w:t xml:space="preserve"> 20.1%, placebo 8.0%</w:t>
      </w:r>
      <w:r w:rsidR="003436D2">
        <w:t xml:space="preserve"> (for adverse events)</w:t>
      </w:r>
    </w:p>
    <w:p w14:paraId="3E39BDA7" w14:textId="7222AC23" w:rsidR="00812BA1" w:rsidRDefault="00812BA1" w:rsidP="00812BA1">
      <w:pPr>
        <w:pStyle w:val="ListBullet"/>
      </w:pPr>
      <w:r>
        <w:t xml:space="preserve">Discontinuation of neoadjuvant chemotherapy: </w:t>
      </w:r>
      <w:r w:rsidR="000E4EE0">
        <w:t>pembrolizumab</w:t>
      </w:r>
      <w:r>
        <w:t xml:space="preserve"> arm </w:t>
      </w:r>
      <w:r w:rsidR="009B06ED">
        <w:t>16.6</w:t>
      </w:r>
      <w:r>
        <w:t>%, placebo arm 10.</w:t>
      </w:r>
      <w:r w:rsidR="009B06ED">
        <w:t>3</w:t>
      </w:r>
      <w:r>
        <w:t>%</w:t>
      </w:r>
      <w:r w:rsidR="003436D2">
        <w:t xml:space="preserve"> (for drug related adverse events)</w:t>
      </w:r>
    </w:p>
    <w:p w14:paraId="439AD419" w14:textId="0B8613A1" w:rsidR="002D7FFB" w:rsidRDefault="00812BA1" w:rsidP="00812BA1">
      <w:r>
        <w:t xml:space="preserve">The higher rate of discontinuation of study intervention in the </w:t>
      </w:r>
      <w:r w:rsidR="000E4EE0">
        <w:t>pembrolizumab</w:t>
      </w:r>
      <w:r>
        <w:t xml:space="preserve"> group was primarily driven by events that each occurred in </w:t>
      </w:r>
      <w:r w:rsidR="00DF5CBC">
        <w:t>less than</w:t>
      </w:r>
      <w:r>
        <w:t xml:space="preserve"> 1% of participants. The most common were </w:t>
      </w:r>
      <w:r w:rsidR="00B15E60">
        <w:t xml:space="preserve">alanine aminotransferase </w:t>
      </w:r>
      <w:r>
        <w:t>increase (</w:t>
      </w:r>
      <w:r w:rsidR="000E4EE0">
        <w:t>pembrolizumab</w:t>
      </w:r>
      <w:r>
        <w:t xml:space="preserve"> 3.1%, placebo 1.3%), neutropoenia (</w:t>
      </w:r>
      <w:r w:rsidR="000E4EE0">
        <w:t>pembrolizumab</w:t>
      </w:r>
      <w:r>
        <w:t xml:space="preserve"> 2.0%, placebo 1.5%) and </w:t>
      </w:r>
      <w:r w:rsidR="00DF5CBC">
        <w:t>aspartate transaminase</w:t>
      </w:r>
      <w:r>
        <w:t xml:space="preserve"> increase (</w:t>
      </w:r>
      <w:r w:rsidR="000E4EE0">
        <w:t>pembrolizumab</w:t>
      </w:r>
      <w:r>
        <w:t xml:space="preserve"> 1.8%, placebo 0%).</w:t>
      </w:r>
    </w:p>
    <w:p w14:paraId="7F1EE25D" w14:textId="43B62D72" w:rsidR="00812BA1" w:rsidRDefault="00812BA1" w:rsidP="00812BA1">
      <w:r>
        <w:t xml:space="preserve">Dose modifications due to </w:t>
      </w:r>
      <w:r w:rsidR="003109ED">
        <w:t>AE</w:t>
      </w:r>
      <w:r w:rsidR="00972C10">
        <w:t>s</w:t>
      </w:r>
      <w:r>
        <w:t xml:space="preserve"> were generally similar in both arms.</w:t>
      </w:r>
    </w:p>
    <w:p w14:paraId="179BCC42" w14:textId="47D83BCB" w:rsidR="00DF5CBC" w:rsidRDefault="003109ED" w:rsidP="00812BA1">
      <w:r>
        <w:t>AE</w:t>
      </w:r>
      <w:r w:rsidR="00DF5CBC" w:rsidRPr="00DF5CBC">
        <w:t xml:space="preserve"> leading to discontinuation of study treatment were less frequent during the adjuvant </w:t>
      </w:r>
      <w:r w:rsidR="00DF5CBC" w:rsidRPr="002600B0">
        <w:t xml:space="preserve">phase: </w:t>
      </w:r>
      <w:r w:rsidR="003017B4" w:rsidRPr="002600B0">
        <w:t>pembrolizumab</w:t>
      </w:r>
      <w:r w:rsidR="00DF5CBC" w:rsidRPr="002600B0">
        <w:t xml:space="preserve"> 5.4%, placebo 2.4%.</w:t>
      </w:r>
    </w:p>
    <w:p w14:paraId="2E7C24B4" w14:textId="135347D2" w:rsidR="00DF5CBC" w:rsidRDefault="00DF5CBC" w:rsidP="00BA2BC1">
      <w:pPr>
        <w:pStyle w:val="Heading6"/>
      </w:pPr>
      <w:r>
        <w:t xml:space="preserve">Adverse events of special </w:t>
      </w:r>
      <w:r w:rsidR="00D06F01">
        <w:t>interest</w:t>
      </w:r>
    </w:p>
    <w:p w14:paraId="6B98E2BB" w14:textId="24FBB900" w:rsidR="00DF5CBC" w:rsidRDefault="00DF5CBC" w:rsidP="00DF5CBC">
      <w:r>
        <w:t>Adverse events of special interest (</w:t>
      </w:r>
      <w:r w:rsidR="003E7169">
        <w:t>AESI</w:t>
      </w:r>
      <w:r>
        <w:t>) are immune-mediated events and infusion-related reactions associated with pembrolizumab.</w:t>
      </w:r>
    </w:p>
    <w:p w14:paraId="633F1BDD" w14:textId="3D30089B" w:rsidR="00DF5CBC" w:rsidRDefault="00DF5CBC" w:rsidP="00DF5CBC">
      <w:r>
        <w:t xml:space="preserve">The types of </w:t>
      </w:r>
      <w:r w:rsidR="003E7169">
        <w:t>AESI</w:t>
      </w:r>
      <w:r>
        <w:t xml:space="preserve"> reported in the </w:t>
      </w:r>
      <w:r w:rsidR="003017B4">
        <w:t>pembrolizumab</w:t>
      </w:r>
      <w:r>
        <w:t xml:space="preserve"> group were consistent with the known safety profile of pembrolizumab monotherapy. As expected, </w:t>
      </w:r>
      <w:r w:rsidR="003E7169">
        <w:t>AESI</w:t>
      </w:r>
      <w:r>
        <w:t xml:space="preserve"> were more frequent in the </w:t>
      </w:r>
      <w:r w:rsidR="003017B4">
        <w:t>pembrolizumab</w:t>
      </w:r>
      <w:r>
        <w:t xml:space="preserve"> group (43.6%) than the placebo group (21.9%). The most common were infusion reactions (</w:t>
      </w:r>
      <w:r w:rsidR="003017B4">
        <w:t>pembrolizumab</w:t>
      </w:r>
      <w:r>
        <w:t xml:space="preserve"> 18.0%, placebo 11.6%) and hypothyroidism (</w:t>
      </w:r>
      <w:r w:rsidR="003017B4">
        <w:t>pembrolizumab</w:t>
      </w:r>
      <w:r>
        <w:t xml:space="preserve"> 15.1%, placebo 5.7%).</w:t>
      </w:r>
    </w:p>
    <w:p w14:paraId="071CD7E9" w14:textId="014037C9" w:rsidR="00DF5CBC" w:rsidRDefault="00D06F01" w:rsidP="00DF5CBC">
      <w:r>
        <w:t xml:space="preserve">In the pembrolizumab arm, </w:t>
      </w:r>
      <w:r w:rsidR="00DF5CBC">
        <w:t>114</w:t>
      </w:r>
      <w:r w:rsidR="00EF3EF6">
        <w:t xml:space="preserve"> out of </w:t>
      </w:r>
      <w:r w:rsidR="00DF5CBC">
        <w:t xml:space="preserve">118 of the hypothyroidism events were </w:t>
      </w:r>
      <w:r w:rsidR="003017B4">
        <w:t>G</w:t>
      </w:r>
      <w:r w:rsidR="00DF5CBC">
        <w:t>rade</w:t>
      </w:r>
      <w:r w:rsidR="00972C10">
        <w:t>s</w:t>
      </w:r>
      <w:r w:rsidR="00DF5CBC">
        <w:t xml:space="preserve"> 1</w:t>
      </w:r>
      <w:r w:rsidR="00002DD5">
        <w:t xml:space="preserve"> to </w:t>
      </w:r>
      <w:r w:rsidR="00DF5CBC">
        <w:t>2</w:t>
      </w:r>
      <w:r>
        <w:t>.</w:t>
      </w:r>
      <w:r w:rsidR="007E32CD">
        <w:t xml:space="preserve"> </w:t>
      </w:r>
      <w:r>
        <w:t xml:space="preserve">Four </w:t>
      </w:r>
      <w:r w:rsidR="00DF5CBC">
        <w:t xml:space="preserve">were </w:t>
      </w:r>
      <w:r w:rsidR="003017B4">
        <w:t>Grade</w:t>
      </w:r>
      <w:r w:rsidR="00DF5CBC">
        <w:t xml:space="preserve"> 3</w:t>
      </w:r>
      <w:r w:rsidR="00972C10">
        <w:t xml:space="preserve"> events</w:t>
      </w:r>
      <w:r w:rsidR="00DF5CBC">
        <w:t>.</w:t>
      </w:r>
    </w:p>
    <w:p w14:paraId="135ABE5A" w14:textId="53073068" w:rsidR="00DF5CBC" w:rsidRDefault="00DF5CBC" w:rsidP="00DF5CBC">
      <w:r>
        <w:lastRenderedPageBreak/>
        <w:t xml:space="preserve">Grade </w:t>
      </w:r>
      <w:r w:rsidR="00002DD5">
        <w:t>3 to 5</w:t>
      </w:r>
      <w:r>
        <w:t xml:space="preserve"> </w:t>
      </w:r>
      <w:r w:rsidR="003E7169">
        <w:t>AESI</w:t>
      </w:r>
      <w:r>
        <w:t xml:space="preserve"> were reported in the following proportions of subjects:</w:t>
      </w:r>
      <w:r w:rsidR="00D06F01">
        <w:t xml:space="preserve"> </w:t>
      </w:r>
      <w:r w:rsidR="003017B4">
        <w:t>pembrolizumab</w:t>
      </w:r>
      <w:r>
        <w:t xml:space="preserve"> 14.9%, placebo 2.1%. Grade 4 infusion reactions in the </w:t>
      </w:r>
      <w:r w:rsidR="003017B4">
        <w:t>pembrolizumab</w:t>
      </w:r>
      <w:r>
        <w:t xml:space="preserve"> arm included </w:t>
      </w:r>
      <w:r w:rsidR="00BB70A8">
        <w:t>three</w:t>
      </w:r>
      <w:r>
        <w:t xml:space="preserve"> subjects with cytokine release syndrome and </w:t>
      </w:r>
      <w:r w:rsidR="00BB70A8">
        <w:t>two</w:t>
      </w:r>
      <w:r>
        <w:t xml:space="preserve"> subjects with anaphylactic reaction. The remaining infusion reactions were </w:t>
      </w:r>
      <w:r w:rsidR="003017B4">
        <w:t>Grade</w:t>
      </w:r>
      <w:r>
        <w:t xml:space="preserve"> 1</w:t>
      </w:r>
      <w:r w:rsidR="00BB70A8">
        <w:t xml:space="preserve"> to </w:t>
      </w:r>
      <w:r>
        <w:t xml:space="preserve">3. Severe skin reactions in the </w:t>
      </w:r>
      <w:r w:rsidR="003017B4">
        <w:t>pembrolizumab</w:t>
      </w:r>
      <w:r>
        <w:t xml:space="preserve"> arm included </w:t>
      </w:r>
      <w:r w:rsidR="00BB70A8">
        <w:t>one</w:t>
      </w:r>
      <w:r>
        <w:t xml:space="preserve"> </w:t>
      </w:r>
      <w:r w:rsidR="003017B4">
        <w:t>Grade</w:t>
      </w:r>
      <w:r>
        <w:t xml:space="preserve"> 4 erythema multiforme and </w:t>
      </w:r>
      <w:r w:rsidR="00BB70A8">
        <w:t>one</w:t>
      </w:r>
      <w:r>
        <w:t xml:space="preserve"> </w:t>
      </w:r>
      <w:r w:rsidR="003017B4">
        <w:t>Grade</w:t>
      </w:r>
      <w:r>
        <w:t xml:space="preserve"> 4 Stevens-Johnson syndrome, the remaining 43 subjects had </w:t>
      </w:r>
      <w:r w:rsidR="003017B4">
        <w:t>Grade</w:t>
      </w:r>
      <w:r>
        <w:t xml:space="preserve"> 1</w:t>
      </w:r>
      <w:r w:rsidR="00BB70A8">
        <w:t xml:space="preserve"> to </w:t>
      </w:r>
      <w:r>
        <w:t>3 events.</w:t>
      </w:r>
    </w:p>
    <w:p w14:paraId="571D73EC" w14:textId="3BF3D478" w:rsidR="00BA2BC1" w:rsidRDefault="00BA2BC1" w:rsidP="00BA2BC1">
      <w:pPr>
        <w:pStyle w:val="TableTitle"/>
      </w:pPr>
      <w:r>
        <w:t xml:space="preserve">Table </w:t>
      </w:r>
      <w:r>
        <w:fldChar w:fldCharType="begin"/>
      </w:r>
      <w:r>
        <w:instrText>SEQ Table \* ARABIC</w:instrText>
      </w:r>
      <w:r>
        <w:fldChar w:fldCharType="separate"/>
      </w:r>
      <w:r w:rsidR="00A02570">
        <w:rPr>
          <w:noProof/>
        </w:rPr>
        <w:t>17</w:t>
      </w:r>
      <w:r>
        <w:fldChar w:fldCharType="end"/>
      </w:r>
      <w:r w:rsidR="004D1D24">
        <w:rPr>
          <w:noProof/>
        </w:rPr>
        <w:t>:</w:t>
      </w:r>
      <w:r>
        <w:t xml:space="preserve"> </w:t>
      </w:r>
      <w:r w:rsidR="00972C10">
        <w:t xml:space="preserve">Study KN-522 (KEYNOTE 522 trial) </w:t>
      </w:r>
      <w:r>
        <w:t xml:space="preserve">Subjects with </w:t>
      </w:r>
      <w:r w:rsidR="00D06F01">
        <w:t xml:space="preserve">adverse events of special interest </w:t>
      </w:r>
      <w:r>
        <w:t>across combined phases (</w:t>
      </w:r>
      <w:r w:rsidR="00D06F01" w:rsidRPr="00D06F01">
        <w:t>all subjects as treated</w:t>
      </w:r>
      <w:r>
        <w:t>) (IA4)</w:t>
      </w:r>
    </w:p>
    <w:p w14:paraId="4467A478" w14:textId="067598E1" w:rsidR="00BA2BC1" w:rsidRDefault="00BA2BC1" w:rsidP="00DF5CBC">
      <w:r w:rsidRPr="002673A2">
        <w:rPr>
          <w:noProof/>
          <w:lang w:val="en-GB" w:eastAsia="en-GB"/>
        </w:rPr>
        <w:drawing>
          <wp:inline distT="0" distB="0" distL="0" distR="0" wp14:anchorId="13055A3B" wp14:editId="1902CD55">
            <wp:extent cx="5400040" cy="3889991"/>
            <wp:effectExtent l="0" t="0" r="0" b="0"/>
            <wp:docPr id="5" name="Picture 5" descr="This table shows subjects with adverse events of special interest across combined study phases (all subjects as treated) (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table shows subjects with adverse events of special interest across combined study phases (all subjects as treated) (IA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040" cy="3889991"/>
                    </a:xfrm>
                    <a:prstGeom prst="rect">
                      <a:avLst/>
                    </a:prstGeom>
                    <a:noFill/>
                    <a:ln>
                      <a:noFill/>
                    </a:ln>
                  </pic:spPr>
                </pic:pic>
              </a:graphicData>
            </a:graphic>
          </wp:inline>
        </w:drawing>
      </w:r>
    </w:p>
    <w:p w14:paraId="6876A995" w14:textId="4A9823E2" w:rsidR="002600B0" w:rsidRDefault="002600B0" w:rsidP="00DF5CBC">
      <w:r w:rsidRPr="002673A2">
        <w:rPr>
          <w:noProof/>
          <w:lang w:val="en-GB" w:eastAsia="en-GB"/>
        </w:rPr>
        <w:drawing>
          <wp:inline distT="0" distB="0" distL="0" distR="0" wp14:anchorId="67E476C3" wp14:editId="52703F74">
            <wp:extent cx="5400040" cy="852543"/>
            <wp:effectExtent l="0" t="0" r="0" b="5080"/>
            <wp:docPr id="23" name="Picture 23" descr="Table 17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17 continued"/>
                    <pic:cNvPicPr>
                      <a:picLocks noChangeAspect="1" noChangeArrowheads="1"/>
                    </pic:cNvPicPr>
                  </pic:nvPicPr>
                  <pic:blipFill rotWithShape="1">
                    <a:blip r:embed="rId47">
                      <a:extLst>
                        <a:ext uri="{28A0092B-C50C-407E-A947-70E740481C1C}">
                          <a14:useLocalDpi xmlns:a14="http://schemas.microsoft.com/office/drawing/2010/main" val="0"/>
                        </a:ext>
                      </a:extLst>
                    </a:blip>
                    <a:srcRect t="5006"/>
                    <a:stretch/>
                  </pic:blipFill>
                  <pic:spPr bwMode="auto">
                    <a:xfrm>
                      <a:off x="0" y="0"/>
                      <a:ext cx="5400040" cy="852543"/>
                    </a:xfrm>
                    <a:prstGeom prst="rect">
                      <a:avLst/>
                    </a:prstGeom>
                    <a:noFill/>
                    <a:ln>
                      <a:noFill/>
                    </a:ln>
                    <a:extLst>
                      <a:ext uri="{53640926-AAD7-44D8-BBD7-CCE9431645EC}">
                        <a14:shadowObscured xmlns:a14="http://schemas.microsoft.com/office/drawing/2010/main"/>
                      </a:ext>
                    </a:extLst>
                  </pic:spPr>
                </pic:pic>
              </a:graphicData>
            </a:graphic>
          </wp:inline>
        </w:drawing>
      </w:r>
    </w:p>
    <w:p w14:paraId="49A56CEB" w14:textId="71774152" w:rsidR="00B24AB1" w:rsidRDefault="00B24AB1" w:rsidP="00B24AB1">
      <w:pPr>
        <w:pStyle w:val="TableDescription"/>
      </w:pPr>
      <w:r>
        <w:t xml:space="preserve">Abbreviations: </w:t>
      </w:r>
      <w:r w:rsidR="00484093">
        <w:t xml:space="preserve">MK-3475 = drug development code for pembrolizumab; </w:t>
      </w:r>
      <w:r>
        <w:t xml:space="preserve">NAC = </w:t>
      </w:r>
      <w:r w:rsidR="00484093">
        <w:t>n</w:t>
      </w:r>
      <w:r>
        <w:t>eoadjuvant chemotherapy</w:t>
      </w:r>
    </w:p>
    <w:p w14:paraId="3457DF58" w14:textId="2B28A4C7" w:rsidR="00484093" w:rsidRDefault="00484093" w:rsidP="00B24AB1">
      <w:pPr>
        <w:pStyle w:val="TableDescription"/>
      </w:pPr>
      <w:r>
        <w:t xml:space="preserve">For the fourth Interim Analysis (IA4) for event-free survival, the criteria for conduct of analysis </w:t>
      </w:r>
      <w:proofErr w:type="gramStart"/>
      <w:r>
        <w:t>is</w:t>
      </w:r>
      <w:proofErr w:type="gramEnd"/>
      <w:r>
        <w:t xml:space="preserve"> that the interim analysis is due to be carried out approximately 48 months after the first subject enrolment.</w:t>
      </w:r>
    </w:p>
    <w:p w14:paraId="2DCEB919" w14:textId="6EF20D74" w:rsidR="00BA2BC1" w:rsidRPr="00D93F36" w:rsidRDefault="003E7169" w:rsidP="00BA2BC1">
      <w:r>
        <w:t>AESI</w:t>
      </w:r>
      <w:r w:rsidR="00BA2BC1">
        <w:t xml:space="preserve"> were less frequent during the adjuvant phase: </w:t>
      </w:r>
      <w:r w:rsidR="003017B4">
        <w:t>pembrolizumab</w:t>
      </w:r>
      <w:r w:rsidR="00BA2BC1">
        <w:t xml:space="preserve"> 10.2%, placebo 6.0%. The most common was hypothyroidism: </w:t>
      </w:r>
      <w:r w:rsidR="003017B4">
        <w:t>pembrolizumab</w:t>
      </w:r>
      <w:r w:rsidR="00BA2BC1">
        <w:t xml:space="preserve"> 2.9%, placebo 3.6%.</w:t>
      </w:r>
    </w:p>
    <w:p w14:paraId="1C2469C5" w14:textId="54BDF88B" w:rsidR="00BA2BC1" w:rsidRDefault="00BA2BC1" w:rsidP="00BA2BC1">
      <w:pPr>
        <w:pStyle w:val="Heading6"/>
      </w:pPr>
      <w:r>
        <w:t>A</w:t>
      </w:r>
      <w:r w:rsidR="00BB70A8">
        <w:t>dverse events</w:t>
      </w:r>
      <w:r>
        <w:t xml:space="preserve"> in special populations</w:t>
      </w:r>
    </w:p>
    <w:p w14:paraId="7620D84D" w14:textId="61B3EDCD" w:rsidR="002D7FFB" w:rsidRDefault="00BA2BC1" w:rsidP="00BA2BC1">
      <w:pPr>
        <w:pStyle w:val="Heading7"/>
        <w:rPr>
          <w:sz w:val="22"/>
          <w:szCs w:val="22"/>
        </w:rPr>
      </w:pPr>
      <w:r w:rsidRPr="00B24AB1">
        <w:rPr>
          <w:sz w:val="22"/>
          <w:szCs w:val="22"/>
        </w:rPr>
        <w:t>A</w:t>
      </w:r>
      <w:r w:rsidR="00972C10">
        <w:rPr>
          <w:sz w:val="22"/>
          <w:szCs w:val="22"/>
        </w:rPr>
        <w:t>dvanced age</w:t>
      </w:r>
    </w:p>
    <w:p w14:paraId="1EAE14BB" w14:textId="3366D47F" w:rsidR="00972C10" w:rsidRDefault="00BA2BC1" w:rsidP="00BA2BC1">
      <w:r>
        <w:t xml:space="preserve">In the </w:t>
      </w:r>
      <w:r w:rsidR="003017B4">
        <w:t>pembrolizumab</w:t>
      </w:r>
      <w:r>
        <w:t xml:space="preserve"> group, the following event categories were all more common in those </w:t>
      </w:r>
      <w:r w:rsidR="001A0209">
        <w:t>older than</w:t>
      </w:r>
      <w:r>
        <w:t xml:space="preserve"> 65</w:t>
      </w:r>
      <w:r w:rsidR="001A0209">
        <w:t xml:space="preserve"> years</w:t>
      </w:r>
      <w:r>
        <w:t xml:space="preserve"> than in those aged under 65: </w:t>
      </w:r>
      <w:r w:rsidR="003017B4">
        <w:t>Grade</w:t>
      </w:r>
      <w:r>
        <w:t xml:space="preserve"> </w:t>
      </w:r>
      <w:r w:rsidR="00002DD5">
        <w:t>3 to 5</w:t>
      </w:r>
      <w:r>
        <w:t xml:space="preserve"> </w:t>
      </w:r>
      <w:r w:rsidR="003109ED">
        <w:t>AE</w:t>
      </w:r>
      <w:r w:rsidR="00972C10">
        <w:t>s</w:t>
      </w:r>
      <w:r>
        <w:t xml:space="preserve"> (86.9% </w:t>
      </w:r>
      <w:r w:rsidR="003017B4">
        <w:t>versus</w:t>
      </w:r>
      <w:r>
        <w:t xml:space="preserve"> 81.8%), S</w:t>
      </w:r>
      <w:r w:rsidR="003109ED">
        <w:t>AE</w:t>
      </w:r>
      <w:r w:rsidR="00972C10">
        <w:t>s</w:t>
      </w:r>
      <w:r>
        <w:t xml:space="preserve"> (53.6% </w:t>
      </w:r>
      <w:r w:rsidR="003017B4">
        <w:t>versus</w:t>
      </w:r>
      <w:r>
        <w:t xml:space="preserve"> 42.3%), dose modification due to </w:t>
      </w:r>
      <w:r w:rsidR="003109ED">
        <w:t>AE</w:t>
      </w:r>
      <w:r w:rsidR="00972C10">
        <w:t>s</w:t>
      </w:r>
      <w:r>
        <w:t xml:space="preserve"> (86.9% </w:t>
      </w:r>
      <w:r w:rsidR="003017B4">
        <w:t>versus</w:t>
      </w:r>
      <w:r>
        <w:t xml:space="preserve"> 81.7%), deaths (2.4% </w:t>
      </w:r>
      <w:r w:rsidR="003017B4">
        <w:t>versus</w:t>
      </w:r>
      <w:r>
        <w:t xml:space="preserve"> 0.7%) and discontinuations due to </w:t>
      </w:r>
      <w:r w:rsidR="003109ED">
        <w:t>AE</w:t>
      </w:r>
      <w:r w:rsidR="00972C10">
        <w:t>s</w:t>
      </w:r>
      <w:r>
        <w:t xml:space="preserve"> (44.0% </w:t>
      </w:r>
      <w:r w:rsidR="003017B4">
        <w:t>versus</w:t>
      </w:r>
      <w:r>
        <w:t xml:space="preserve"> 28.2%); however, the data should be interpreted with caution due to the low number of </w:t>
      </w:r>
      <w:r>
        <w:lastRenderedPageBreak/>
        <w:t xml:space="preserve">participants (n = 84; 10.7%) in the </w:t>
      </w:r>
      <w:r w:rsidR="001A0209">
        <w:t>greater than</w:t>
      </w:r>
      <w:r>
        <w:t xml:space="preserve"> 65 years age category in the </w:t>
      </w:r>
      <w:r w:rsidR="003017B4">
        <w:t>pembrolizumab</w:t>
      </w:r>
      <w:r>
        <w:t xml:space="preserve"> group.</w:t>
      </w:r>
    </w:p>
    <w:p w14:paraId="0E8C4275" w14:textId="11AB65E1" w:rsidR="00BA2BC1" w:rsidRDefault="00BA2BC1" w:rsidP="00BA2BC1">
      <w:r>
        <w:t>Similar trends were not consistently observed in the placebo group (but again, interpretation is limited by low numbers of participants aged over 65).</w:t>
      </w:r>
    </w:p>
    <w:p w14:paraId="6A87EEB2" w14:textId="77777777" w:rsidR="00972C10" w:rsidRDefault="00972C10" w:rsidP="00BA2BC1">
      <w:pPr>
        <w:pStyle w:val="Heading7"/>
        <w:rPr>
          <w:sz w:val="22"/>
          <w:szCs w:val="22"/>
        </w:rPr>
      </w:pPr>
      <w:bookmarkStart w:id="72" w:name="_Hlk131156474"/>
      <w:r>
        <w:rPr>
          <w:sz w:val="22"/>
          <w:szCs w:val="22"/>
        </w:rPr>
        <w:t>Performance status</w:t>
      </w:r>
    </w:p>
    <w:p w14:paraId="28931250" w14:textId="1A3005D6" w:rsidR="00BA2BC1" w:rsidRDefault="00972C10" w:rsidP="00BA2BC1">
      <w:r>
        <w:t xml:space="preserve">Comparing those with an </w:t>
      </w:r>
      <w:r w:rsidR="00BA2BC1" w:rsidRPr="00B24AB1">
        <w:t xml:space="preserve">ECOG </w:t>
      </w:r>
      <w:r>
        <w:t xml:space="preserve">performance status </w:t>
      </w:r>
      <w:r w:rsidR="00F250D5">
        <w:t xml:space="preserve">(PS) </w:t>
      </w:r>
      <w:r>
        <w:t xml:space="preserve">of </w:t>
      </w:r>
      <w:r w:rsidR="00BA2BC1" w:rsidRPr="00B24AB1">
        <w:t xml:space="preserve">1 </w:t>
      </w:r>
      <w:r w:rsidR="003017B4" w:rsidRPr="00B24AB1">
        <w:t>versus</w:t>
      </w:r>
      <w:r w:rsidR="00BA2BC1" w:rsidRPr="00B24AB1">
        <w:t xml:space="preserve"> 0</w:t>
      </w:r>
      <w:r>
        <w:t>;</w:t>
      </w:r>
      <w:r w:rsidRPr="005471F0">
        <w:rPr>
          <w:vertAlign w:val="superscript"/>
        </w:rPr>
        <w:fldChar w:fldCharType="begin"/>
      </w:r>
      <w:r w:rsidRPr="005471F0">
        <w:rPr>
          <w:vertAlign w:val="superscript"/>
        </w:rPr>
        <w:instrText xml:space="preserve"> NOTEREF _Ref134092388 \h </w:instrText>
      </w:r>
      <w:r>
        <w:rPr>
          <w:vertAlign w:val="superscript"/>
        </w:rPr>
        <w:instrText xml:space="preserve"> \* MERGEFORMAT </w:instrText>
      </w:r>
      <w:r w:rsidRPr="005471F0">
        <w:rPr>
          <w:vertAlign w:val="superscript"/>
        </w:rPr>
      </w:r>
      <w:r w:rsidRPr="005471F0">
        <w:rPr>
          <w:vertAlign w:val="superscript"/>
        </w:rPr>
        <w:fldChar w:fldCharType="separate"/>
      </w:r>
      <w:r w:rsidR="00A02570">
        <w:rPr>
          <w:vertAlign w:val="superscript"/>
        </w:rPr>
        <w:t>18</w:t>
      </w:r>
      <w:r w:rsidRPr="005471F0">
        <w:rPr>
          <w:vertAlign w:val="superscript"/>
        </w:rPr>
        <w:fldChar w:fldCharType="end"/>
      </w:r>
      <w:r>
        <w:t xml:space="preserve"> i</w:t>
      </w:r>
      <w:bookmarkEnd w:id="72"/>
      <w:r w:rsidR="00BA2BC1">
        <w:t xml:space="preserve">n the </w:t>
      </w:r>
      <w:r w:rsidR="003017B4">
        <w:t>pembrolizumab</w:t>
      </w:r>
      <w:r w:rsidR="00BA2BC1">
        <w:t xml:space="preserve"> group, </w:t>
      </w:r>
      <w:r w:rsidR="003017B4">
        <w:t>Grade</w:t>
      </w:r>
      <w:r w:rsidR="00BA2BC1">
        <w:t xml:space="preserve"> </w:t>
      </w:r>
      <w:r w:rsidR="00002DD5">
        <w:t>3 to 5</w:t>
      </w:r>
      <w:r w:rsidR="00BA2BC1">
        <w:t xml:space="preserve"> </w:t>
      </w:r>
      <w:r w:rsidR="003109ED">
        <w:t>AE</w:t>
      </w:r>
      <w:r>
        <w:t>s</w:t>
      </w:r>
      <w:r w:rsidR="00BA2BC1">
        <w:t xml:space="preserve"> (</w:t>
      </w:r>
      <w:r w:rsidR="00535E33">
        <w:t>90.6</w:t>
      </w:r>
      <w:r w:rsidR="00BA2BC1">
        <w:t xml:space="preserve">% </w:t>
      </w:r>
      <w:r w:rsidR="003017B4">
        <w:t>versus</w:t>
      </w:r>
      <w:r w:rsidR="00BA2BC1">
        <w:t xml:space="preserve"> </w:t>
      </w:r>
      <w:r w:rsidR="00535E33">
        <w:t>81.1</w:t>
      </w:r>
      <w:r w:rsidR="00BA2BC1">
        <w:t>%), S</w:t>
      </w:r>
      <w:r w:rsidR="003109ED">
        <w:t>AE</w:t>
      </w:r>
      <w:r>
        <w:t>s</w:t>
      </w:r>
      <w:r w:rsidR="00BA2BC1">
        <w:t xml:space="preserve"> (</w:t>
      </w:r>
      <w:r w:rsidR="00535E33">
        <w:t>48.1</w:t>
      </w:r>
      <w:r w:rsidR="00BA2BC1">
        <w:t xml:space="preserve">% </w:t>
      </w:r>
      <w:r w:rsidR="003017B4">
        <w:t>versus</w:t>
      </w:r>
      <w:r w:rsidR="00BA2BC1">
        <w:t xml:space="preserve"> </w:t>
      </w:r>
      <w:r w:rsidR="00535E33">
        <w:t>42.8</w:t>
      </w:r>
      <w:r w:rsidR="00BA2BC1">
        <w:t xml:space="preserve">%), dose modification due to </w:t>
      </w:r>
      <w:r w:rsidR="003109ED">
        <w:t>AE</w:t>
      </w:r>
      <w:r>
        <w:t>s</w:t>
      </w:r>
      <w:r w:rsidR="00BA2BC1">
        <w:t xml:space="preserve"> (</w:t>
      </w:r>
      <w:r w:rsidR="00535E33">
        <w:t>85.8</w:t>
      </w:r>
      <w:r w:rsidR="00BA2BC1">
        <w:t xml:space="preserve">% </w:t>
      </w:r>
      <w:r w:rsidR="003017B4">
        <w:t>versus</w:t>
      </w:r>
      <w:r w:rsidR="00BA2BC1">
        <w:t xml:space="preserve"> </w:t>
      </w:r>
      <w:r w:rsidR="00535E33">
        <w:t>81.7</w:t>
      </w:r>
      <w:r w:rsidR="00BA2BC1">
        <w:t xml:space="preserve">%), and deaths (2.8% </w:t>
      </w:r>
      <w:r w:rsidR="003017B4">
        <w:t>versus</w:t>
      </w:r>
      <w:r w:rsidR="00BA2BC1">
        <w:t xml:space="preserve"> 0.</w:t>
      </w:r>
      <w:r w:rsidR="00535E33">
        <w:t>6</w:t>
      </w:r>
      <w:r w:rsidR="00BA2BC1">
        <w:t>%) were all more common in those with ECOG PS = 1 compared with those with ECOG PS = 0. A similar pattern was generally observed in the placebo group.</w:t>
      </w:r>
    </w:p>
    <w:p w14:paraId="333747D2" w14:textId="05654D17" w:rsidR="00F250D5" w:rsidRDefault="00F250D5" w:rsidP="005471F0">
      <w:pPr>
        <w:pStyle w:val="Heading3"/>
      </w:pPr>
      <w:r>
        <w:t>Indication: Locally recurrent or metastatic triple negative breast cancer</w:t>
      </w:r>
    </w:p>
    <w:p w14:paraId="1A4B1A57" w14:textId="1AD28439" w:rsidR="00F250D5" w:rsidRDefault="00F250D5">
      <w:r>
        <w:t>Study KN-355 (also known as the KEYNOTE 355) and Study KN-199 (the KEYNOTE 199 trial, providing supportive data) were considered by the Delegate for ev</w:t>
      </w:r>
      <w:r w:rsidR="007D54ED">
        <w:t>aluation of efficacy and safety for the following part of the proposed indications:</w:t>
      </w:r>
    </w:p>
    <w:p w14:paraId="25722942" w14:textId="77777777" w:rsidR="007D54ED" w:rsidRDefault="007D54ED" w:rsidP="007D54ED">
      <w:pPr>
        <w:keepNext/>
        <w:ind w:left="720"/>
        <w:rPr>
          <w:b/>
          <w:bCs/>
          <w:i/>
          <w:iCs/>
        </w:rPr>
      </w:pPr>
      <w:r>
        <w:rPr>
          <w:b/>
          <w:bCs/>
          <w:i/>
          <w:iCs/>
        </w:rPr>
        <w:t>Triple-Negative Breast Cancer (TNBC)</w:t>
      </w:r>
    </w:p>
    <w:p w14:paraId="6F1DCC2C" w14:textId="4A48275F" w:rsidR="007D54ED" w:rsidRPr="005471F0" w:rsidRDefault="007D54ED" w:rsidP="005471F0">
      <w:pPr>
        <w:ind w:left="720"/>
        <w:rPr>
          <w:i/>
          <w:iCs/>
        </w:rPr>
      </w:pPr>
      <w:r>
        <w:rPr>
          <w:i/>
          <w:iCs/>
        </w:rPr>
        <w:t>Keytruda (pembrolizumab), in combination with chemotherapy, is indicated for the treatment of patients with locally recurrent unresectable or metastatic TNBC whose tumours express PD-L1 (CPS ≥ 10) as determined by a validated test.</w:t>
      </w:r>
    </w:p>
    <w:p w14:paraId="7D91C41F" w14:textId="1F6DCFA2" w:rsidR="00BA2BC1" w:rsidRDefault="00953F9B" w:rsidP="00BA2BC1">
      <w:pPr>
        <w:pStyle w:val="Heading4"/>
      </w:pPr>
      <w:r>
        <w:t xml:space="preserve">Study KN-355 </w:t>
      </w:r>
      <w:r w:rsidR="00F250D5">
        <w:t>(KEYNOTE 355 trial)</w:t>
      </w:r>
    </w:p>
    <w:p w14:paraId="3B573127" w14:textId="149DDC6B" w:rsidR="002D7FFB" w:rsidRDefault="00F250D5" w:rsidP="00BA2BC1">
      <w:pPr>
        <w:pStyle w:val="Heading5"/>
      </w:pPr>
      <w:r>
        <w:t>Study overview</w:t>
      </w:r>
    </w:p>
    <w:p w14:paraId="3AAA3B23" w14:textId="77777777" w:rsidR="002D7FFB" w:rsidRDefault="00BA2BC1" w:rsidP="00BA2BC1">
      <w:r>
        <w:t>Data were submitted from the final analysis (</w:t>
      </w:r>
      <w:r w:rsidR="00B15E60">
        <w:t>final analysis</w:t>
      </w:r>
      <w:r>
        <w:t xml:space="preserve">; </w:t>
      </w:r>
      <w:r w:rsidR="00B15E60">
        <w:t>data cut-off</w:t>
      </w:r>
      <w:r>
        <w:t xml:space="preserve"> 15 Jun</w:t>
      </w:r>
      <w:r w:rsidR="00B15E60">
        <w:t>e</w:t>
      </w:r>
      <w:r>
        <w:t xml:space="preserve"> 2021) of </w:t>
      </w:r>
      <w:r w:rsidR="00953F9B">
        <w:t>Study KN-355</w:t>
      </w:r>
      <w:r>
        <w:t>. Earlier analyses have been published.</w:t>
      </w:r>
      <w:r w:rsidR="00953F9B">
        <w:rPr>
          <w:rStyle w:val="FootnoteReference"/>
        </w:rPr>
        <w:footnoteReference w:id="25"/>
      </w:r>
    </w:p>
    <w:p w14:paraId="179003A6" w14:textId="77777777" w:rsidR="00F250D5" w:rsidRDefault="00953F9B" w:rsidP="00BA2BC1">
      <w:r>
        <w:t>Study KN-355</w:t>
      </w:r>
      <w:r w:rsidR="00BA2BC1">
        <w:t xml:space="preserve"> is a randomised (</w:t>
      </w:r>
      <w:r w:rsidR="00F250D5">
        <w:t xml:space="preserve">in a </w:t>
      </w:r>
      <w:r w:rsidR="00BA2BC1">
        <w:t>2:1</w:t>
      </w:r>
      <w:r w:rsidR="00F250D5">
        <w:t xml:space="preserve"> ratio</w:t>
      </w:r>
      <w:r w:rsidR="00BA2BC1">
        <w:t>), double</w:t>
      </w:r>
      <w:r>
        <w:t xml:space="preserve"> </w:t>
      </w:r>
      <w:r w:rsidR="00BA2BC1">
        <w:t>blind, placebo</w:t>
      </w:r>
      <w:r w:rsidR="001A0209">
        <w:t>-</w:t>
      </w:r>
      <w:r w:rsidR="00BA2BC1">
        <w:t>controlled study comparing pembrolizumab with placebo as add-on to chemotherapy (paclitaxel, nab-</w:t>
      </w:r>
      <w:proofErr w:type="gramStart"/>
      <w:r w:rsidR="00BA2BC1">
        <w:t>paclitaxel</w:t>
      </w:r>
      <w:proofErr w:type="gramEnd"/>
      <w:r w:rsidR="00BA2BC1">
        <w:t xml:space="preserve"> or gemcitabine/carboplatin).</w:t>
      </w:r>
    </w:p>
    <w:p w14:paraId="6B83AA60" w14:textId="5FE45E07" w:rsidR="00F250D5" w:rsidRDefault="00BA2BC1" w:rsidP="00BA2BC1">
      <w:r>
        <w:t>Eligible patients were adults with previously untreated, locally recurrent, inoperable or metastatic TNBC (centrally confirmed), with ECOG PS 0</w:t>
      </w:r>
      <w:r w:rsidR="00F250D5">
        <w:t xml:space="preserve"> or </w:t>
      </w:r>
      <w:r>
        <w:t>1</w:t>
      </w:r>
      <w:r w:rsidR="00F250D5">
        <w:t>;</w:t>
      </w:r>
      <w:r w:rsidR="00F250D5" w:rsidRPr="005471F0">
        <w:rPr>
          <w:vertAlign w:val="superscript"/>
        </w:rPr>
        <w:fldChar w:fldCharType="begin"/>
      </w:r>
      <w:r w:rsidR="00F250D5" w:rsidRPr="005471F0">
        <w:rPr>
          <w:vertAlign w:val="superscript"/>
        </w:rPr>
        <w:instrText xml:space="preserve"> NOTEREF _Ref134092388 \h </w:instrText>
      </w:r>
      <w:r w:rsidR="00F250D5">
        <w:rPr>
          <w:vertAlign w:val="superscript"/>
        </w:rPr>
        <w:instrText xml:space="preserve"> \* MERGEFORMAT </w:instrText>
      </w:r>
      <w:r w:rsidR="00F250D5" w:rsidRPr="005471F0">
        <w:rPr>
          <w:vertAlign w:val="superscript"/>
        </w:rPr>
      </w:r>
      <w:r w:rsidR="00F250D5" w:rsidRPr="005471F0">
        <w:rPr>
          <w:vertAlign w:val="superscript"/>
        </w:rPr>
        <w:fldChar w:fldCharType="separate"/>
      </w:r>
      <w:r w:rsidR="00A02570">
        <w:rPr>
          <w:vertAlign w:val="superscript"/>
        </w:rPr>
        <w:t>18</w:t>
      </w:r>
      <w:r w:rsidR="00F250D5" w:rsidRPr="005471F0">
        <w:rPr>
          <w:vertAlign w:val="superscript"/>
        </w:rPr>
        <w:fldChar w:fldCharType="end"/>
      </w:r>
      <w:r>
        <w:t xml:space="preserve"> and measurable disease per RECIST 1.1 by local review.</w:t>
      </w:r>
      <w:r w:rsidR="00F250D5" w:rsidRPr="00F25CAE">
        <w:rPr>
          <w:vertAlign w:val="superscript"/>
        </w:rPr>
        <w:fldChar w:fldCharType="begin"/>
      </w:r>
      <w:r w:rsidR="00F250D5" w:rsidRPr="00F25CAE">
        <w:rPr>
          <w:vertAlign w:val="superscript"/>
        </w:rPr>
        <w:instrText xml:space="preserve"> NOTEREF _Ref134095812 \h </w:instrText>
      </w:r>
      <w:r w:rsidR="00F250D5">
        <w:rPr>
          <w:vertAlign w:val="superscript"/>
        </w:rPr>
        <w:instrText xml:space="preserve"> \* MERGEFORMAT </w:instrText>
      </w:r>
      <w:r w:rsidR="00F250D5" w:rsidRPr="00F25CAE">
        <w:rPr>
          <w:vertAlign w:val="superscript"/>
        </w:rPr>
      </w:r>
      <w:r w:rsidR="00F250D5" w:rsidRPr="00F25CAE">
        <w:rPr>
          <w:vertAlign w:val="superscript"/>
        </w:rPr>
        <w:fldChar w:fldCharType="separate"/>
      </w:r>
      <w:r w:rsidR="00A02570">
        <w:rPr>
          <w:vertAlign w:val="superscript"/>
        </w:rPr>
        <w:t>16</w:t>
      </w:r>
      <w:r w:rsidR="00F250D5" w:rsidRPr="00F25CAE">
        <w:rPr>
          <w:vertAlign w:val="superscript"/>
        </w:rPr>
        <w:fldChar w:fldCharType="end"/>
      </w:r>
      <w:r>
        <w:t xml:space="preserve"> Patients were enrolled regardless of tumour PD-L1 expression status, which was centrally assessed using the PD-L1 IHC 22C3 </w:t>
      </w:r>
      <w:proofErr w:type="spellStart"/>
      <w:r>
        <w:t>pharmDx</w:t>
      </w:r>
      <w:proofErr w:type="spellEnd"/>
      <w:r>
        <w:t xml:space="preserve"> assay. Previous treatment for </w:t>
      </w:r>
      <w:r w:rsidR="00953F9B">
        <w:t>S</w:t>
      </w:r>
      <w:r>
        <w:t>tage 1</w:t>
      </w:r>
      <w:r w:rsidR="00953F9B">
        <w:t xml:space="preserve"> </w:t>
      </w:r>
      <w:r w:rsidR="00FA69AC">
        <w:t xml:space="preserve">to </w:t>
      </w:r>
      <w:r>
        <w:t xml:space="preserve">3 cancer with curative intent was allowed if </w:t>
      </w:r>
      <w:r w:rsidR="00953F9B">
        <w:t>greater than</w:t>
      </w:r>
      <w:r>
        <w:t xml:space="preserve"> </w:t>
      </w:r>
      <w:r w:rsidR="00FA69AC">
        <w:t>six</w:t>
      </w:r>
      <w:r>
        <w:t xml:space="preserve"> months had elapsed before the first documented local or distant recurrence.</w:t>
      </w:r>
    </w:p>
    <w:p w14:paraId="2726C3A9" w14:textId="6C2B7ED2" w:rsidR="00BA2BC1" w:rsidRDefault="00BA2BC1" w:rsidP="00BA2BC1">
      <w:r>
        <w:t>Exclusion criteria were generally consistent with other pembrolizumab trials</w:t>
      </w:r>
      <w:r w:rsidR="00953F9B">
        <w:t>.</w:t>
      </w:r>
      <w:r>
        <w:t xml:space="preserve"> Patients with active </w:t>
      </w:r>
      <w:r w:rsidR="00953F9B">
        <w:t>central nervous system</w:t>
      </w:r>
      <w:r>
        <w:t xml:space="preserve"> metastases were excluded (known, stable metastases were allowed). Systemic steroid therapy was excluded.</w:t>
      </w:r>
    </w:p>
    <w:p w14:paraId="6FBB8A4F" w14:textId="72285356" w:rsidR="00BA2BC1" w:rsidRDefault="00BA2BC1" w:rsidP="00BA2BC1">
      <w:pPr>
        <w:pStyle w:val="FigureTitle"/>
      </w:pPr>
      <w:r>
        <w:lastRenderedPageBreak/>
        <w:t xml:space="preserve">Figure </w:t>
      </w:r>
      <w:r>
        <w:fldChar w:fldCharType="begin"/>
      </w:r>
      <w:r>
        <w:instrText>SEQ Figure \* ARABIC</w:instrText>
      </w:r>
      <w:r>
        <w:fldChar w:fldCharType="separate"/>
      </w:r>
      <w:r w:rsidR="00A02570">
        <w:rPr>
          <w:noProof/>
        </w:rPr>
        <w:t>7</w:t>
      </w:r>
      <w:r>
        <w:fldChar w:fldCharType="end"/>
      </w:r>
      <w:r w:rsidR="004D1D24">
        <w:rPr>
          <w:noProof/>
        </w:rPr>
        <w:t>:</w:t>
      </w:r>
      <w:r>
        <w:t xml:space="preserve"> </w:t>
      </w:r>
      <w:r w:rsidR="00953F9B">
        <w:t>Study KN-355</w:t>
      </w:r>
      <w:r>
        <w:t xml:space="preserve"> </w:t>
      </w:r>
      <w:r w:rsidR="00F250D5">
        <w:t xml:space="preserve">(KEYNOTE 355 trial) </w:t>
      </w:r>
      <w:r>
        <w:t>Study design</w:t>
      </w:r>
    </w:p>
    <w:p w14:paraId="08B5E0DA" w14:textId="6FC5E3A3" w:rsidR="00BA2BC1" w:rsidRDefault="00015D70" w:rsidP="00BA2BC1">
      <w:r>
        <w:rPr>
          <w:noProof/>
          <w:lang w:val="en-GB" w:eastAsia="en-GB"/>
        </w:rPr>
        <w:drawing>
          <wp:inline distT="0" distB="0" distL="0" distR="0" wp14:anchorId="1765ADFB" wp14:editId="5AA130DA">
            <wp:extent cx="5400040" cy="2787015"/>
            <wp:effectExtent l="0" t="0" r="0" b="0"/>
            <wp:docPr id="1" name="Picture 1" descr="This figure shows a summary of the Study KN-355 study design. The figure shows the eligibility criteria, the two arms: arm 1 = pembrolizumab and chemotherapy, arm 2 =  placebo and chemotherapy, the continued treatment phase and follow-up stage. See text below for furthe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shows a summary of the Study KN-355 study design. The figure shows the eligibility criteria, the two arms: arm 1 = pembrolizumab and chemotherapy, arm 2 =  placebo and chemotherapy, the continued treatment phase and follow-up stage. See text below for further details."/>
                    <pic:cNvPicPr/>
                  </pic:nvPicPr>
                  <pic:blipFill>
                    <a:blip r:embed="rId48"/>
                    <a:stretch>
                      <a:fillRect/>
                    </a:stretch>
                  </pic:blipFill>
                  <pic:spPr>
                    <a:xfrm>
                      <a:off x="0" y="0"/>
                      <a:ext cx="5400040" cy="2787015"/>
                    </a:xfrm>
                    <a:prstGeom prst="rect">
                      <a:avLst/>
                    </a:prstGeom>
                  </pic:spPr>
                </pic:pic>
              </a:graphicData>
            </a:graphic>
          </wp:inline>
        </w:drawing>
      </w:r>
    </w:p>
    <w:p w14:paraId="3B440434" w14:textId="06D8329E" w:rsidR="001A0209" w:rsidRDefault="001A0209" w:rsidP="004F05B7">
      <w:pPr>
        <w:pStyle w:val="FigureDescription"/>
      </w:pPr>
      <w:r>
        <w:t>Abbreviations: CNS = central nervous system; CPS = combined positive score; PD-L1 = programmed cell death ligand 1; TNBC = triple negative breast cancer</w:t>
      </w:r>
    </w:p>
    <w:p w14:paraId="2F1A8A34" w14:textId="56F82841" w:rsidR="00484093" w:rsidRDefault="00484093" w:rsidP="004F05B7">
      <w:pPr>
        <w:pStyle w:val="FigureDescription"/>
      </w:pPr>
      <w:r>
        <w:t>For definitions of combined positive scores (CPS),</w:t>
      </w:r>
      <w:r>
        <w:rPr>
          <w:vertAlign w:val="superscript"/>
        </w:rPr>
        <w:fldChar w:fldCharType="begin"/>
      </w:r>
      <w:r>
        <w:rPr>
          <w:vertAlign w:val="superscript"/>
        </w:rPr>
        <w:instrText xml:space="preserve"> NOTEREF _Ref134099386 \h  \* MERGEFORMAT </w:instrText>
      </w:r>
      <w:r>
        <w:rPr>
          <w:vertAlign w:val="superscript"/>
        </w:rPr>
      </w:r>
      <w:r>
        <w:rPr>
          <w:vertAlign w:val="superscript"/>
        </w:rPr>
        <w:fldChar w:fldCharType="separate"/>
      </w:r>
      <w:r w:rsidR="00A02570">
        <w:rPr>
          <w:vertAlign w:val="superscript"/>
        </w:rPr>
        <w:t>23</w:t>
      </w:r>
      <w:r>
        <w:rPr>
          <w:vertAlign w:val="superscript"/>
        </w:rPr>
        <w:fldChar w:fldCharType="end"/>
      </w:r>
      <w:r>
        <w:t xml:space="preserve"> see the relevant footnote.</w:t>
      </w:r>
    </w:p>
    <w:p w14:paraId="74A23559" w14:textId="3BCBF31C" w:rsidR="001A0209" w:rsidRDefault="001A0209" w:rsidP="004F05B7">
      <w:pPr>
        <w:pStyle w:val="FigureDescription"/>
      </w:pPr>
      <w:r>
        <w:t>* Paclitaxel, nab-paclitaxel, or gemcitabine/carboplatin</w:t>
      </w:r>
    </w:p>
    <w:p w14:paraId="1A3A4441" w14:textId="5CE85261" w:rsidR="001A0209" w:rsidRDefault="001A0209" w:rsidP="004F05B7">
      <w:pPr>
        <w:pStyle w:val="FigureDescription"/>
      </w:pPr>
      <w:r>
        <w:t>** Normal saline</w:t>
      </w:r>
    </w:p>
    <w:p w14:paraId="57AD4A4C" w14:textId="35FFFE0F" w:rsidR="001A0209" w:rsidRDefault="001A0209" w:rsidP="004F05B7">
      <w:pPr>
        <w:pStyle w:val="FigureDescription"/>
      </w:pPr>
      <w:r>
        <w:t># Treatment was to continue until confirmation of disease progression or cessation of study treatment.</w:t>
      </w:r>
    </w:p>
    <w:p w14:paraId="5ED5EE4A" w14:textId="092D2D2B" w:rsidR="002D7FFB" w:rsidRDefault="00BA2BC1" w:rsidP="00BA2BC1">
      <w:r>
        <w:t>Randomisation was stratified by the type of on-study chemotherapy therapy received (</w:t>
      </w:r>
      <w:proofErr w:type="spellStart"/>
      <w:r>
        <w:t>taxane</w:t>
      </w:r>
      <w:proofErr w:type="spellEnd"/>
      <w:r>
        <w:t xml:space="preserve"> or gemcitabine-carboplatin), tumour PD-L1 expression at </w:t>
      </w:r>
      <w:r w:rsidR="00953F9B">
        <w:t>B</w:t>
      </w:r>
      <w:r>
        <w:t>aseline (CPS ≥</w:t>
      </w:r>
      <w:r w:rsidR="00FA69AC">
        <w:t xml:space="preserve"> </w:t>
      </w:r>
      <w:r>
        <w:t>1 or CPS</w:t>
      </w:r>
      <w:r w:rsidR="001A0209">
        <w:t> </w:t>
      </w:r>
      <w:r>
        <w:t>&lt;</w:t>
      </w:r>
      <w:r w:rsidR="00FA69AC">
        <w:t xml:space="preserve"> </w:t>
      </w:r>
      <w:r>
        <w:t>1)</w:t>
      </w:r>
      <w:r w:rsidR="00484093">
        <w:t>;</w:t>
      </w:r>
      <w:r w:rsidR="00484093" w:rsidRPr="005471F0">
        <w:rPr>
          <w:vertAlign w:val="superscript"/>
        </w:rPr>
        <w:fldChar w:fldCharType="begin"/>
      </w:r>
      <w:r w:rsidR="00484093" w:rsidRPr="005471F0">
        <w:rPr>
          <w:vertAlign w:val="superscript"/>
        </w:rPr>
        <w:instrText xml:space="preserve"> NOTEREF _Ref134099386 \h </w:instrText>
      </w:r>
      <w:r w:rsidR="00484093">
        <w:rPr>
          <w:vertAlign w:val="superscript"/>
        </w:rPr>
        <w:instrText xml:space="preserve"> \* MERGEFORMAT </w:instrText>
      </w:r>
      <w:r w:rsidR="00484093" w:rsidRPr="005471F0">
        <w:rPr>
          <w:vertAlign w:val="superscript"/>
        </w:rPr>
      </w:r>
      <w:r w:rsidR="00484093" w:rsidRPr="005471F0">
        <w:rPr>
          <w:vertAlign w:val="superscript"/>
        </w:rPr>
        <w:fldChar w:fldCharType="separate"/>
      </w:r>
      <w:r w:rsidR="00A02570">
        <w:rPr>
          <w:vertAlign w:val="superscript"/>
        </w:rPr>
        <w:t>23</w:t>
      </w:r>
      <w:r w:rsidR="00484093" w:rsidRPr="005471F0">
        <w:rPr>
          <w:vertAlign w:val="superscript"/>
        </w:rPr>
        <w:fldChar w:fldCharType="end"/>
      </w:r>
      <w:r>
        <w:t xml:space="preserve"> and previous treatment with the same class of chemotherapy in the neoadjuvant or adjuvant setting (yes/no).</w:t>
      </w:r>
    </w:p>
    <w:p w14:paraId="5AB6CFDE" w14:textId="1B0483A3" w:rsidR="008F20C5" w:rsidRDefault="008F20C5" w:rsidP="005471F0">
      <w:pPr>
        <w:pStyle w:val="Heading6"/>
      </w:pPr>
      <w:r>
        <w:t>Study treatments</w:t>
      </w:r>
    </w:p>
    <w:p w14:paraId="20937F05" w14:textId="6FC9ABC1" w:rsidR="00BA2BC1" w:rsidRDefault="00BA2BC1" w:rsidP="00BA2BC1">
      <w:r>
        <w:t>Patients received either blinded pembrolizumab 200 mg</w:t>
      </w:r>
      <w:r w:rsidR="00953F9B">
        <w:t xml:space="preserve"> intravenously (IV) once every three weeks</w:t>
      </w:r>
      <w:r>
        <w:t xml:space="preserve"> (n = 566) or saline placebo (n = 281), plus one of the </w:t>
      </w:r>
      <w:r w:rsidR="00953F9B">
        <w:t>three</w:t>
      </w:r>
      <w:r>
        <w:t xml:space="preserve"> open</w:t>
      </w:r>
      <w:r w:rsidR="00953F9B">
        <w:t xml:space="preserve"> </w:t>
      </w:r>
      <w:r>
        <w:t xml:space="preserve">label chemotherapy regimens listed below (per </w:t>
      </w:r>
      <w:r w:rsidR="008F20C5">
        <w:t>i</w:t>
      </w:r>
      <w:r>
        <w:t>nvestigator discretion):</w:t>
      </w:r>
    </w:p>
    <w:p w14:paraId="557CA38E" w14:textId="03319411" w:rsidR="00BA2BC1" w:rsidRDefault="00BA2BC1" w:rsidP="003017B4">
      <w:pPr>
        <w:pStyle w:val="ListBullet"/>
      </w:pPr>
      <w:r>
        <w:t>Nab-paclitaxel 100 mg/m</w:t>
      </w:r>
      <w:r w:rsidRPr="00953F9B">
        <w:rPr>
          <w:vertAlign w:val="superscript"/>
        </w:rPr>
        <w:t>2</w:t>
      </w:r>
      <w:r>
        <w:t xml:space="preserve"> IV infusion on </w:t>
      </w:r>
      <w:r w:rsidR="00953F9B">
        <w:t>D</w:t>
      </w:r>
      <w:r>
        <w:t>ays 1, 8, and 15, every 28 days</w:t>
      </w:r>
      <w:r w:rsidR="001A0209">
        <w:t>.</w:t>
      </w:r>
    </w:p>
    <w:p w14:paraId="299B5607" w14:textId="2009F199" w:rsidR="00BA2BC1" w:rsidRDefault="00BA2BC1" w:rsidP="003017B4">
      <w:pPr>
        <w:pStyle w:val="ListBullet"/>
      </w:pPr>
      <w:r>
        <w:t>Paclitaxel 90 mg/m</w:t>
      </w:r>
      <w:r w:rsidRPr="00953F9B">
        <w:rPr>
          <w:vertAlign w:val="superscript"/>
        </w:rPr>
        <w:t>2</w:t>
      </w:r>
      <w:r>
        <w:t xml:space="preserve"> IV infusion on </w:t>
      </w:r>
      <w:r w:rsidR="00953F9B">
        <w:t>D</w:t>
      </w:r>
      <w:r>
        <w:t>ays 1, 8, and 15, every 28 days</w:t>
      </w:r>
      <w:r w:rsidR="001A0209">
        <w:t>.</w:t>
      </w:r>
    </w:p>
    <w:p w14:paraId="47402368" w14:textId="26CF0BC4" w:rsidR="00BA2BC1" w:rsidRDefault="00BA2BC1" w:rsidP="003017B4">
      <w:pPr>
        <w:pStyle w:val="ListBullet"/>
      </w:pPr>
      <w:r>
        <w:t>Gemcitabine/carboplatin 1000 mg/m</w:t>
      </w:r>
      <w:r w:rsidRPr="00953F9B">
        <w:rPr>
          <w:vertAlign w:val="superscript"/>
        </w:rPr>
        <w:t>2</w:t>
      </w:r>
      <w:r>
        <w:t xml:space="preserve"> and </w:t>
      </w:r>
      <w:r w:rsidR="00E012C7">
        <w:t xml:space="preserve">area under the </w:t>
      </w:r>
      <w:r w:rsidR="00484093">
        <w:t xml:space="preserve">concentration-time </w:t>
      </w:r>
      <w:r w:rsidR="00E012C7">
        <w:t>curve (AU</w:t>
      </w:r>
      <w:r>
        <w:t>C</w:t>
      </w:r>
      <w:r w:rsidR="00E012C7">
        <w:t>)</w:t>
      </w:r>
      <w:r w:rsidR="00484093">
        <w:t xml:space="preserve"> in plasma of</w:t>
      </w:r>
      <w:r>
        <w:t xml:space="preserve"> 2, respectively</w:t>
      </w:r>
      <w:r w:rsidR="00E012C7">
        <w:t>,</w:t>
      </w:r>
      <w:r>
        <w:t xml:space="preserve"> IV infusion on </w:t>
      </w:r>
      <w:r w:rsidR="00E012C7">
        <w:t>D</w:t>
      </w:r>
      <w:r>
        <w:t>ays 1 and 8, every 21 days</w:t>
      </w:r>
      <w:r w:rsidR="001A0209">
        <w:t>.</w:t>
      </w:r>
    </w:p>
    <w:p w14:paraId="029B36F5" w14:textId="7EDAF3C3" w:rsidR="00BA2BC1" w:rsidRDefault="003017B4" w:rsidP="00BA2BC1">
      <w:r>
        <w:t>Pembrolizumab</w:t>
      </w:r>
      <w:r w:rsidR="00FA69AC">
        <w:t xml:space="preserve"> and </w:t>
      </w:r>
      <w:r w:rsidR="00BA2BC1">
        <w:t xml:space="preserve">placebo </w:t>
      </w:r>
      <w:r w:rsidR="001A0209">
        <w:t xml:space="preserve">were </w:t>
      </w:r>
      <w:r w:rsidR="00BA2BC1">
        <w:t xml:space="preserve">continued up to 35 administrations, until confirmed progression or unacceptable toxicity. Tumour assessments were performed centrally every </w:t>
      </w:r>
      <w:r w:rsidR="00FA69AC">
        <w:t>eight</w:t>
      </w:r>
      <w:r w:rsidR="00BA2BC1">
        <w:t xml:space="preserve"> weeks until Week 24, then every 9 weeks during the first year and every 12</w:t>
      </w:r>
      <w:r w:rsidR="00FA69AC">
        <w:t> </w:t>
      </w:r>
      <w:r w:rsidR="00BA2BC1">
        <w:t>weeks thereafter.</w:t>
      </w:r>
    </w:p>
    <w:p w14:paraId="30C686B6" w14:textId="4AC1099B" w:rsidR="008F20C5" w:rsidRPr="00870904" w:rsidRDefault="008F20C5" w:rsidP="005471F0">
      <w:pPr>
        <w:pStyle w:val="Heading6"/>
      </w:pPr>
      <w:r>
        <w:t>Study endpoints</w:t>
      </w:r>
    </w:p>
    <w:p w14:paraId="1798173E" w14:textId="232E1C3F" w:rsidR="00BA2BC1" w:rsidRDefault="00BA2BC1" w:rsidP="00BA2BC1">
      <w:r>
        <w:t xml:space="preserve">There were dual primary endpoints: </w:t>
      </w:r>
      <w:r w:rsidR="001A0209">
        <w:t>progression free survival</w:t>
      </w:r>
      <w:r>
        <w:t xml:space="preserve"> (met at IA2) and </w:t>
      </w:r>
      <w:r w:rsidR="001A0209">
        <w:t>overall survival</w:t>
      </w:r>
      <w:r>
        <w:t xml:space="preserve"> (met at the</w:t>
      </w:r>
      <w:r w:rsidR="001A0209">
        <w:t xml:space="preserve"> final analysis</w:t>
      </w:r>
      <w:r>
        <w:t xml:space="preserve">). Endpoints (aside from </w:t>
      </w:r>
      <w:r w:rsidR="001A0209">
        <w:t>overall survival</w:t>
      </w:r>
      <w:r>
        <w:t>) were assessed by blinded independent central review using RECIST 1.1.</w:t>
      </w:r>
    </w:p>
    <w:p w14:paraId="3AFE60B3" w14:textId="64267361" w:rsidR="008F20C5" w:rsidRDefault="008F20C5" w:rsidP="005471F0">
      <w:pPr>
        <w:pStyle w:val="Heading6"/>
      </w:pPr>
      <w:r>
        <w:t>Statistical analysis</w:t>
      </w:r>
    </w:p>
    <w:p w14:paraId="7895FF79" w14:textId="77777777" w:rsidR="002D7FFB" w:rsidRDefault="00BA2BC1" w:rsidP="00BA2BC1">
      <w:r>
        <w:t>The statistical methods</w:t>
      </w:r>
      <w:r w:rsidR="00E012C7">
        <w:t xml:space="preserve"> were provided. </w:t>
      </w:r>
      <w:r>
        <w:t xml:space="preserve">Originally, the primary endpoints were to be tested in both the CPS </w:t>
      </w:r>
      <w:r w:rsidR="00FA69AC">
        <w:t>&gt;</w:t>
      </w:r>
      <w:r w:rsidR="00E012C7">
        <w:t xml:space="preserve"> </w:t>
      </w:r>
      <w:r>
        <w:t xml:space="preserve">1 and the </w:t>
      </w:r>
      <w:r w:rsidR="001A0209">
        <w:t>intent to treat</w:t>
      </w:r>
      <w:r w:rsidR="00555A02">
        <w:t xml:space="preserve"> (ITT)</w:t>
      </w:r>
      <w:r>
        <w:t xml:space="preserve"> populations. Of note, a protocol </w:t>
      </w:r>
      <w:r>
        <w:lastRenderedPageBreak/>
        <w:t>amendment (</w:t>
      </w:r>
      <w:r w:rsidR="00E012C7">
        <w:t>Amendment 5</w:t>
      </w:r>
      <w:r>
        <w:t>) made just prior to IA2 introduced formal testing of the primary and secondary endpoints in patients with a higher CPS cut</w:t>
      </w:r>
      <w:r w:rsidR="00E012C7">
        <w:t>-</w:t>
      </w:r>
      <w:r>
        <w:t>off of ≥ 10. The multiplicity strategy was updated to test this group first, and there was also an extension of follow</w:t>
      </w:r>
      <w:r w:rsidR="00E012C7">
        <w:t xml:space="preserve"> </w:t>
      </w:r>
      <w:r>
        <w:t xml:space="preserve">up to ensure adequate power (as the CPS ≥ 10 group formed a smaller proportion of the overall population). The amendment was based on emerging evidence from </w:t>
      </w:r>
      <w:r w:rsidR="00E012C7">
        <w:t>S</w:t>
      </w:r>
      <w:r>
        <w:t>tudies KN-119 and IMpassion130</w:t>
      </w:r>
      <w:r w:rsidR="00FA69AC">
        <w:t xml:space="preserve"> trial</w:t>
      </w:r>
      <w:r>
        <w:t xml:space="preserve">, which demonstrated enriched treatment effects with greater PD-L1 expression. It was made while the </w:t>
      </w:r>
      <w:r w:rsidR="00E012C7">
        <w:t>s</w:t>
      </w:r>
      <w:r>
        <w:t xml:space="preserve">ponsor was still blinded to the results of IA1. A Bonferroni approach eliminated the alpha that had been already spent at IA1. The CPS </w:t>
      </w:r>
      <w:proofErr w:type="spellStart"/>
      <w:r>
        <w:t>cutoff</w:t>
      </w:r>
      <w:proofErr w:type="spellEnd"/>
      <w:r>
        <w:t xml:space="preserve"> of 10 was not a stratification factor, but the proportion of patients in each arm with CPS ≥ 10 was similar: </w:t>
      </w:r>
      <w:r w:rsidR="003017B4">
        <w:t>pembrolizumab</w:t>
      </w:r>
      <w:r>
        <w:t xml:space="preserve"> 38.9%, placebo 36.7% (38.1% overall).</w:t>
      </w:r>
    </w:p>
    <w:p w14:paraId="3D65CB06" w14:textId="77777777" w:rsidR="002D7FFB" w:rsidRDefault="00BA2BC1" w:rsidP="00BA2BC1">
      <w:r>
        <w:t>Groups were generally balanced with respect to demographics and prognostic baseline characteristics in the</w:t>
      </w:r>
      <w:r w:rsidR="001A0209">
        <w:t xml:space="preserve"> </w:t>
      </w:r>
      <w:r w:rsidR="00555A02">
        <w:t>ITT</w:t>
      </w:r>
      <w:r w:rsidR="001A0209">
        <w:t xml:space="preserve"> population</w:t>
      </w:r>
      <w:r>
        <w:t>. These were somewhat less balanced among the cohort with CPS ≥ 10, as expected since this was not a stratification factor. The imbalance does not seem large enough to substantially influence the results.</w:t>
      </w:r>
    </w:p>
    <w:p w14:paraId="08C5634E" w14:textId="2D76B0B5" w:rsidR="00BA2BC1" w:rsidRDefault="00BA2BC1" w:rsidP="00BA2BC1">
      <w:r>
        <w:t>Among the ITT population, 75.1% had CPS ≥ 1 and 24.9% had CPS &lt; 1.</w:t>
      </w:r>
    </w:p>
    <w:p w14:paraId="177F49CE" w14:textId="70033365" w:rsidR="00BA2BC1" w:rsidRDefault="00BA2BC1" w:rsidP="00BA2BC1">
      <w:r>
        <w:t>All patients were women (although men were eligible), with median age 53 years. Among the efficacy population (CPS ≥ 10), 68.9% were White. Gemcitabine</w:t>
      </w:r>
      <w:r w:rsidR="00FA69AC">
        <w:t>/</w:t>
      </w:r>
      <w:r>
        <w:t xml:space="preserve">carboplatin was the most common chemotherapy regime (56.2%), followed by nab-paclitaxel (30.1%) and paclitaxel (13.7%). </w:t>
      </w:r>
      <w:r w:rsidR="00522362">
        <w:t>P</w:t>
      </w:r>
      <w:r>
        <w:t>rior treatment with the same class of chemotherapy in the neoadjuvant or adjuvant setting</w:t>
      </w:r>
      <w:r w:rsidR="00522362">
        <w:t xml:space="preserve"> occurred in 18.9% of the patients</w:t>
      </w:r>
      <w:r>
        <w:t xml:space="preserve">. </w:t>
      </w:r>
      <w:r w:rsidR="00555A02">
        <w:t>The portion of patients that had a</w:t>
      </w:r>
      <w:r>
        <w:t>ny prior neoadjuvant or adjuvant chemotherapy</w:t>
      </w:r>
      <w:r w:rsidR="00522362">
        <w:t xml:space="preserve"> </w:t>
      </w:r>
      <w:r w:rsidR="00555A02">
        <w:t>was</w:t>
      </w:r>
      <w:r w:rsidR="00522362">
        <w:t xml:space="preserve"> 59.</w:t>
      </w:r>
      <w:r w:rsidR="001A3DC8">
        <w:t>8</w:t>
      </w:r>
      <w:r w:rsidR="00522362">
        <w:t>%</w:t>
      </w:r>
      <w:r>
        <w:t xml:space="preserve">. 60.6% had ECOG PS = 0. Most patients had metastatic TNBC (recurrent [63.7%] or </w:t>
      </w:r>
      <w:r w:rsidRPr="00E012C7">
        <w:rPr>
          <w:i/>
          <w:iCs/>
        </w:rPr>
        <w:t>de novo</w:t>
      </w:r>
      <w:r>
        <w:t xml:space="preserve"> [32.3%]) at </w:t>
      </w:r>
      <w:r w:rsidR="00E012C7">
        <w:t>B</w:t>
      </w:r>
      <w:r>
        <w:t>aseline. A minority of patients (4.0%) had locally recurrent inoperable disease.</w:t>
      </w:r>
    </w:p>
    <w:p w14:paraId="093F2C98" w14:textId="4A1C9C78" w:rsidR="00BA2BC1" w:rsidRDefault="00BA2BC1" w:rsidP="00BA2BC1">
      <w:r>
        <w:t xml:space="preserve">Complete </w:t>
      </w:r>
      <w:r w:rsidRPr="00E012C7">
        <w:rPr>
          <w:i/>
          <w:iCs/>
        </w:rPr>
        <w:t>BRCA</w:t>
      </w:r>
      <w:r>
        <w:t xml:space="preserve"> mutational status data are not yet available.</w:t>
      </w:r>
      <w:r w:rsidR="002D7FFB">
        <w:t xml:space="preserve"> </w:t>
      </w:r>
      <w:r w:rsidR="00522362">
        <w:t xml:space="preserve">Seventeen </w:t>
      </w:r>
      <w:r>
        <w:t xml:space="preserve">of 100 patients with available data are known to be </w:t>
      </w:r>
      <w:r w:rsidRPr="00E012C7">
        <w:rPr>
          <w:i/>
          <w:iCs/>
        </w:rPr>
        <w:t xml:space="preserve">BRCA </w:t>
      </w:r>
      <w:r>
        <w:t>mutation positive.</w:t>
      </w:r>
    </w:p>
    <w:p w14:paraId="0EC61EA4" w14:textId="3C1975AC" w:rsidR="000A27BD" w:rsidRDefault="00BA2BC1" w:rsidP="00BA2BC1">
      <w:r>
        <w:t xml:space="preserve">Demographic and baseline characteristics for the ITT population were </w:t>
      </w:r>
      <w:proofErr w:type="gramStart"/>
      <w:r>
        <w:t>similar to</w:t>
      </w:r>
      <w:proofErr w:type="gramEnd"/>
      <w:r>
        <w:t xml:space="preserve"> those with CPS ≥ 10.</w:t>
      </w:r>
    </w:p>
    <w:p w14:paraId="37C420F3" w14:textId="440E7806" w:rsidR="00F250D5" w:rsidRDefault="00F250D5" w:rsidP="005471F0">
      <w:pPr>
        <w:pStyle w:val="Heading5"/>
      </w:pPr>
      <w:r>
        <w:t>Efficacy</w:t>
      </w:r>
    </w:p>
    <w:p w14:paraId="78455BC5" w14:textId="77777777" w:rsidR="00BA2BC1" w:rsidRDefault="00BA2BC1" w:rsidP="00BA2BC1">
      <w:pPr>
        <w:pStyle w:val="Heading6"/>
      </w:pPr>
      <w:r>
        <w:t>Primary efficacy results</w:t>
      </w:r>
    </w:p>
    <w:p w14:paraId="17DE7A52" w14:textId="252A7F26" w:rsidR="00BA2BC1" w:rsidRDefault="00BA2BC1" w:rsidP="00BA2BC1">
      <w:pPr>
        <w:rPr>
          <w:lang w:eastAsia="ja-JP"/>
        </w:rPr>
      </w:pPr>
      <w:r>
        <w:rPr>
          <w:lang w:eastAsia="ja-JP"/>
        </w:rPr>
        <w:t>At the final analysis, the median duration of follow-up in the ITT population was 16.7</w:t>
      </w:r>
      <w:r w:rsidR="00FA69AC">
        <w:rPr>
          <w:lang w:eastAsia="ja-JP"/>
        </w:rPr>
        <w:t> </w:t>
      </w:r>
      <w:r>
        <w:rPr>
          <w:lang w:eastAsia="ja-JP"/>
        </w:rPr>
        <w:t xml:space="preserve">months, which was similar for both treatment groups. It was 17.0 months in participants with PD-L1 </w:t>
      </w:r>
      <w:r w:rsidR="008F20C5">
        <w:rPr>
          <w:lang w:eastAsia="ja-JP"/>
        </w:rPr>
        <w:t>combined positive score (</w:t>
      </w:r>
      <w:r>
        <w:rPr>
          <w:lang w:eastAsia="ja-JP"/>
        </w:rPr>
        <w:t>CPS</w:t>
      </w:r>
      <w:r w:rsidR="008F20C5">
        <w:rPr>
          <w:lang w:eastAsia="ja-JP"/>
        </w:rPr>
        <w:t>)</w:t>
      </w:r>
      <w:r>
        <w:rPr>
          <w:lang w:eastAsia="ja-JP"/>
        </w:rPr>
        <w:t xml:space="preserve"> ≥</w:t>
      </w:r>
      <w:r w:rsidR="00E012C7">
        <w:rPr>
          <w:lang w:eastAsia="ja-JP"/>
        </w:rPr>
        <w:t xml:space="preserve"> </w:t>
      </w:r>
      <w:r>
        <w:rPr>
          <w:lang w:eastAsia="ja-JP"/>
        </w:rPr>
        <w:t>1 and 20.2 months in participants with PD-L1 CPS ≥</w:t>
      </w:r>
      <w:r w:rsidR="00E012C7">
        <w:rPr>
          <w:lang w:eastAsia="ja-JP"/>
        </w:rPr>
        <w:t xml:space="preserve"> </w:t>
      </w:r>
      <w:r>
        <w:rPr>
          <w:lang w:eastAsia="ja-JP"/>
        </w:rPr>
        <w:t>10.</w:t>
      </w:r>
      <w:r w:rsidR="008F20C5" w:rsidRPr="005471F0">
        <w:rPr>
          <w:vertAlign w:val="superscript"/>
          <w:lang w:eastAsia="ja-JP"/>
        </w:rPr>
        <w:fldChar w:fldCharType="begin"/>
      </w:r>
      <w:r w:rsidR="008F20C5" w:rsidRPr="005471F0">
        <w:rPr>
          <w:vertAlign w:val="superscript"/>
          <w:lang w:eastAsia="ja-JP"/>
        </w:rPr>
        <w:instrText xml:space="preserve"> NOTEREF _Ref134099386 \h </w:instrText>
      </w:r>
      <w:r w:rsidR="008F20C5">
        <w:rPr>
          <w:vertAlign w:val="superscript"/>
          <w:lang w:eastAsia="ja-JP"/>
        </w:rPr>
        <w:instrText xml:space="preserve"> \* MERGEFORMAT </w:instrText>
      </w:r>
      <w:r w:rsidR="008F20C5" w:rsidRPr="005471F0">
        <w:rPr>
          <w:vertAlign w:val="superscript"/>
          <w:lang w:eastAsia="ja-JP"/>
        </w:rPr>
      </w:r>
      <w:r w:rsidR="008F20C5" w:rsidRPr="005471F0">
        <w:rPr>
          <w:vertAlign w:val="superscript"/>
          <w:lang w:eastAsia="ja-JP"/>
        </w:rPr>
        <w:fldChar w:fldCharType="separate"/>
      </w:r>
      <w:r w:rsidR="00A02570">
        <w:rPr>
          <w:vertAlign w:val="superscript"/>
          <w:lang w:eastAsia="ja-JP"/>
        </w:rPr>
        <w:t>23</w:t>
      </w:r>
      <w:r w:rsidR="008F20C5" w:rsidRPr="005471F0">
        <w:rPr>
          <w:vertAlign w:val="superscript"/>
          <w:lang w:eastAsia="ja-JP"/>
        </w:rPr>
        <w:fldChar w:fldCharType="end"/>
      </w:r>
    </w:p>
    <w:p w14:paraId="4D07690A" w14:textId="45D797B0" w:rsidR="00BA2BC1" w:rsidRDefault="2B499A94" w:rsidP="00BA2BC1">
      <w:r>
        <w:t xml:space="preserve">The success criterion for </w:t>
      </w:r>
      <w:r w:rsidR="5C628741">
        <w:t>p</w:t>
      </w:r>
      <w:r w:rsidR="6D6415BD">
        <w:t>rogression</w:t>
      </w:r>
      <w:r w:rsidR="00555A02">
        <w:t xml:space="preserve"> free survival (PFS)</w:t>
      </w:r>
      <w:r w:rsidR="00BA2BC1">
        <w:t xml:space="preserve"> (for CPS ≥ 10) was met at IA2</w:t>
      </w:r>
      <w:r w:rsidR="008F20C5">
        <w:t xml:space="preserve"> analysis</w:t>
      </w:r>
      <w:r w:rsidR="00BA2BC1">
        <w:t xml:space="preserve">, with a </w:t>
      </w:r>
      <w:r w:rsidR="00555A02">
        <w:t>hazard ratio</w:t>
      </w:r>
      <w:r w:rsidR="00BA2BC1" w:rsidRPr="004C300F">
        <w:t xml:space="preserve"> of 0.65 (95% CI: 0.49, 0.86, 1-sided p=0.0012</w:t>
      </w:r>
      <w:r w:rsidR="00BA2BC1">
        <w:t xml:space="preserve">). PFS events were reported in 61.8% of patients with </w:t>
      </w:r>
      <w:r w:rsidR="003017B4">
        <w:t>pembrolizumab</w:t>
      </w:r>
      <w:r w:rsidR="00BA2BC1">
        <w:t xml:space="preserve"> and 76.7% with placebo, with a median PFS of 9.7 months and 5.6 months, respectively. At the final analysis, the </w:t>
      </w:r>
      <w:r w:rsidR="00A056E9">
        <w:t>hazard ratio</w:t>
      </w:r>
      <w:r w:rsidR="00BA2BC1">
        <w:t xml:space="preserve"> for PFS (0.66) remained consistent with IA2.</w:t>
      </w:r>
    </w:p>
    <w:p w14:paraId="305588E3" w14:textId="01CDC615" w:rsidR="00BA2BC1" w:rsidRDefault="28B9F2A5" w:rsidP="00BA2BC1">
      <w:r>
        <w:t>The success criterion for o</w:t>
      </w:r>
      <w:r w:rsidR="7ED68E4F">
        <w:t>verall</w:t>
      </w:r>
      <w:r w:rsidR="44E9978C">
        <w:t xml:space="preserve"> </w:t>
      </w:r>
      <w:r w:rsidR="33588834">
        <w:t>survival</w:t>
      </w:r>
      <w:r w:rsidR="00BA2BC1">
        <w:t xml:space="preserve"> (for CPS ≥ 10) was met at the final analysis, with 155 events (70.5%) in the </w:t>
      </w:r>
      <w:r w:rsidR="003017B4">
        <w:t>pembrolizumab</w:t>
      </w:r>
      <w:r w:rsidR="00BA2BC1">
        <w:t xml:space="preserve"> arm and 84 (81.6%) in the placebo arm;</w:t>
      </w:r>
      <w:r w:rsidR="00A056E9">
        <w:t xml:space="preserve"> hazard ratio</w:t>
      </w:r>
      <w:r w:rsidR="00BA2BC1" w:rsidRPr="00BB20F2">
        <w:t xml:space="preserve"> </w:t>
      </w:r>
      <w:r w:rsidR="00BA2BC1">
        <w:t xml:space="preserve">= </w:t>
      </w:r>
      <w:r w:rsidR="00BA2BC1" w:rsidRPr="00BB20F2">
        <w:t>0.73 (95% CI: 0.55, 0.95, 1-sided p=0.0093)</w:t>
      </w:r>
      <w:r w:rsidR="00BA2BC1">
        <w:t>.</w:t>
      </w:r>
    </w:p>
    <w:p w14:paraId="5C7147A7" w14:textId="743721C3" w:rsidR="00BA2BC1" w:rsidRDefault="00BA2BC1" w:rsidP="00BA2BC1">
      <w:r>
        <w:t>Objective response rate differences did not meet criteria for efficacy.</w:t>
      </w:r>
    </w:p>
    <w:p w14:paraId="00D6ADAF" w14:textId="72197931" w:rsidR="00BA2BC1" w:rsidRDefault="00BA2BC1" w:rsidP="00BA2BC1">
      <w:r>
        <w:t>F</w:t>
      </w:r>
      <w:r w:rsidR="00555A02">
        <w:t>inal analysis</w:t>
      </w:r>
      <w:r>
        <w:t xml:space="preserve"> results are summarised </w:t>
      </w:r>
      <w:r w:rsidR="00555A02">
        <w:t xml:space="preserve">in </w:t>
      </w:r>
      <w:r w:rsidR="00555A02">
        <w:fldChar w:fldCharType="begin"/>
      </w:r>
      <w:r w:rsidR="00555A02">
        <w:instrText xml:space="preserve"> REF _Ref130220307 \h </w:instrText>
      </w:r>
      <w:r w:rsidR="00555A02">
        <w:fldChar w:fldCharType="separate"/>
      </w:r>
      <w:r w:rsidR="00A02570">
        <w:t xml:space="preserve">Table </w:t>
      </w:r>
      <w:r w:rsidR="00A02570">
        <w:rPr>
          <w:noProof/>
        </w:rPr>
        <w:t>18</w:t>
      </w:r>
      <w:r w:rsidR="00555A02">
        <w:fldChar w:fldCharType="end"/>
      </w:r>
      <w:r w:rsidR="00555A02">
        <w:t>.</w:t>
      </w:r>
    </w:p>
    <w:p w14:paraId="02D38950" w14:textId="09307A96" w:rsidR="00555A02" w:rsidRDefault="00555A02" w:rsidP="00555A02">
      <w:pPr>
        <w:pStyle w:val="TableTitle"/>
      </w:pPr>
      <w:bookmarkStart w:id="73" w:name="_Ref130220307"/>
      <w:r>
        <w:lastRenderedPageBreak/>
        <w:t xml:space="preserve">Table </w:t>
      </w:r>
      <w:r>
        <w:fldChar w:fldCharType="begin"/>
      </w:r>
      <w:r>
        <w:instrText>SEQ Table \* ARABIC</w:instrText>
      </w:r>
      <w:r>
        <w:fldChar w:fldCharType="separate"/>
      </w:r>
      <w:r w:rsidR="00A02570">
        <w:rPr>
          <w:noProof/>
        </w:rPr>
        <w:t>18</w:t>
      </w:r>
      <w:r>
        <w:fldChar w:fldCharType="end"/>
      </w:r>
      <w:bookmarkEnd w:id="73"/>
      <w:r>
        <w:t xml:space="preserve">: </w:t>
      </w:r>
      <w:r w:rsidR="008F20C5">
        <w:t xml:space="preserve">Study KN-355 (KEYNOTE 355 trial) </w:t>
      </w:r>
      <w:r>
        <w:t xml:space="preserve">Summary of efficacy in participants with CPS ≥ 10; </w:t>
      </w:r>
      <w:r w:rsidR="00887BAF">
        <w:t>f</w:t>
      </w:r>
      <w:r>
        <w:t>inal analysis (ITT)</w:t>
      </w:r>
    </w:p>
    <w:p w14:paraId="7329B887" w14:textId="1CC14E4D" w:rsidR="00BA2BC1" w:rsidRDefault="00555A02" w:rsidP="00BA2BC1">
      <w:r>
        <w:rPr>
          <w:noProof/>
          <w:lang w:val="en-GB" w:eastAsia="en-GB"/>
        </w:rPr>
        <w:drawing>
          <wp:inline distT="0" distB="0" distL="0" distR="0" wp14:anchorId="3EE5A14F" wp14:editId="43F557BA">
            <wp:extent cx="5400040" cy="2764155"/>
            <wp:effectExtent l="0" t="0" r="0" b="0"/>
            <wp:docPr id="3" name="Picture 3" descr="This table shows a summary of efficacy in participants with CPS ≥ 10; Final analysi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table shows a summary of efficacy in participants with CPS ≥ 10; Final analysis (ITT)."/>
                    <pic:cNvPicPr/>
                  </pic:nvPicPr>
                  <pic:blipFill>
                    <a:blip r:embed="rId49"/>
                    <a:stretch>
                      <a:fillRect/>
                    </a:stretch>
                  </pic:blipFill>
                  <pic:spPr>
                    <a:xfrm>
                      <a:off x="0" y="0"/>
                      <a:ext cx="5400040" cy="2764155"/>
                    </a:xfrm>
                    <a:prstGeom prst="rect">
                      <a:avLst/>
                    </a:prstGeom>
                  </pic:spPr>
                </pic:pic>
              </a:graphicData>
            </a:graphic>
          </wp:inline>
        </w:drawing>
      </w:r>
    </w:p>
    <w:p w14:paraId="62400DB6" w14:textId="38769D17" w:rsidR="00BA2BC1" w:rsidRDefault="00555A02" w:rsidP="00555A02">
      <w:pPr>
        <w:pStyle w:val="TableDescription"/>
      </w:pPr>
      <w:r>
        <w:t>Abbreviations:</w:t>
      </w:r>
      <w:r w:rsidR="00BA2BC1">
        <w:t xml:space="preserve"> </w:t>
      </w:r>
      <w:r w:rsidR="003F0108">
        <w:t xml:space="preserve">CI = confidence interval; </w:t>
      </w:r>
      <w:r w:rsidR="00BA2BC1">
        <w:t>DOR = duration of response; ORR = objective response rate</w:t>
      </w:r>
      <w:r>
        <w:t>; OS = overall survival; PFS = progression free survival</w:t>
      </w:r>
    </w:p>
    <w:p w14:paraId="4E5AECF6" w14:textId="77777777" w:rsidR="00BA2BC1" w:rsidRDefault="00BA2BC1" w:rsidP="003017B4">
      <w:pPr>
        <w:pStyle w:val="TableDescription"/>
      </w:pPr>
      <w:r>
        <w:t>Confirmed responses are included.</w:t>
      </w:r>
    </w:p>
    <w:p w14:paraId="11417E26" w14:textId="2F608EB4" w:rsidR="00BA2BC1" w:rsidRDefault="00972C10" w:rsidP="003017B4">
      <w:pPr>
        <w:pStyle w:val="TableDescription"/>
      </w:pPr>
      <w:r>
        <w:t>‘</w:t>
      </w:r>
      <w:r w:rsidR="00BA2BC1">
        <w:t>+</w:t>
      </w:r>
      <w:r>
        <w:t>’</w:t>
      </w:r>
      <w:r w:rsidR="00BA2BC1">
        <w:t xml:space="preserve"> indicates there is no progressive disease by the time of last disease assessment.</w:t>
      </w:r>
    </w:p>
    <w:p w14:paraId="1891370C" w14:textId="77777777" w:rsidR="00BA2BC1" w:rsidRDefault="00BA2BC1" w:rsidP="003017B4">
      <w:pPr>
        <w:pStyle w:val="TableDescription"/>
      </w:pPr>
      <w:r w:rsidRPr="00555A02">
        <w:rPr>
          <w:vertAlign w:val="superscript"/>
        </w:rPr>
        <w:t>a</w:t>
      </w:r>
      <w:r>
        <w:t xml:space="preserve"> </w:t>
      </w:r>
      <w:proofErr w:type="gramStart"/>
      <w:r>
        <w:t>From</w:t>
      </w:r>
      <w:proofErr w:type="gramEnd"/>
      <w:r>
        <w:t xml:space="preserve"> product-limit (Kaplan-Meier) method for censored data.</w:t>
      </w:r>
    </w:p>
    <w:p w14:paraId="15F98687" w14:textId="2C7E8C91" w:rsidR="00BA2BC1" w:rsidRDefault="00BA2BC1" w:rsidP="003017B4">
      <w:pPr>
        <w:pStyle w:val="TableDescription"/>
      </w:pPr>
      <w:r w:rsidRPr="00555A02">
        <w:rPr>
          <w:vertAlign w:val="superscript"/>
        </w:rPr>
        <w:t>b</w:t>
      </w:r>
      <w:r>
        <w:t xml:space="preserve"> Based on Cox regression model with </w:t>
      </w:r>
      <w:proofErr w:type="spellStart"/>
      <w:r>
        <w:t>Efron’s</w:t>
      </w:r>
      <w:proofErr w:type="spellEnd"/>
      <w:r>
        <w:t xml:space="preserve"> method of tie handling with treatment as a covariate stratified by chemotherapy on study (</w:t>
      </w:r>
      <w:proofErr w:type="spellStart"/>
      <w:r>
        <w:t>taxane</w:t>
      </w:r>
      <w:proofErr w:type="spellEnd"/>
      <w:r>
        <w:t xml:space="preserve"> vs gemcitabine/carboplatin) and prior treatment with same class of chemotherapy in the (neo)adjuvant setting (yes </w:t>
      </w:r>
      <w:r w:rsidR="003017B4">
        <w:t>versus</w:t>
      </w:r>
      <w:r>
        <w:t xml:space="preserve"> no).</w:t>
      </w:r>
    </w:p>
    <w:p w14:paraId="20AAA13E" w14:textId="4582CEFD" w:rsidR="00BA2BC1" w:rsidRDefault="00BA2BC1" w:rsidP="003017B4">
      <w:pPr>
        <w:pStyle w:val="TableDescription"/>
      </w:pPr>
      <w:r w:rsidRPr="00555A02">
        <w:rPr>
          <w:vertAlign w:val="superscript"/>
        </w:rPr>
        <w:t>c</w:t>
      </w:r>
      <w:r>
        <w:t xml:space="preserve"> One-sided p-value based on log-rank test stratified by chemotherapy on study (</w:t>
      </w:r>
      <w:proofErr w:type="spellStart"/>
      <w:r>
        <w:t>taxane</w:t>
      </w:r>
      <w:proofErr w:type="spellEnd"/>
      <w:r>
        <w:t xml:space="preserve"> </w:t>
      </w:r>
      <w:r w:rsidR="003017B4">
        <w:t>versus</w:t>
      </w:r>
      <w:r>
        <w:t xml:space="preserve"> gemcitabine/carboplatin) and prior treatment with same class of chemotherapy in the (neo)adjuvant setting (yes </w:t>
      </w:r>
      <w:r w:rsidR="003017B4">
        <w:t>versus</w:t>
      </w:r>
      <w:r>
        <w:t xml:space="preserve"> no).</w:t>
      </w:r>
    </w:p>
    <w:p w14:paraId="4CF883D7" w14:textId="77777777" w:rsidR="00BA2BC1" w:rsidRDefault="00BA2BC1" w:rsidP="003017B4">
      <w:pPr>
        <w:pStyle w:val="TableDescription"/>
      </w:pPr>
      <w:r w:rsidRPr="00555A02">
        <w:rPr>
          <w:vertAlign w:val="superscript"/>
        </w:rPr>
        <w:t>d</w:t>
      </w:r>
      <w:r>
        <w:t xml:space="preserve"> </w:t>
      </w:r>
      <w:proofErr w:type="gramStart"/>
      <w:r>
        <w:t>The</w:t>
      </w:r>
      <w:proofErr w:type="gramEnd"/>
      <w:r>
        <w:t xml:space="preserve"> multiplicity-adjusted one-sided nominal alpha level was 0.0113.</w:t>
      </w:r>
    </w:p>
    <w:p w14:paraId="74E6B169" w14:textId="77777777" w:rsidR="00BA2BC1" w:rsidRDefault="00BA2BC1" w:rsidP="003017B4">
      <w:pPr>
        <w:pStyle w:val="TableDescription"/>
      </w:pPr>
      <w:r w:rsidRPr="00555A02">
        <w:rPr>
          <w:vertAlign w:val="superscript"/>
        </w:rPr>
        <w:t>e</w:t>
      </w:r>
      <w:r>
        <w:t xml:space="preserve"> Based on the binomial exact confidence interval method for binomial data.</w:t>
      </w:r>
    </w:p>
    <w:p w14:paraId="5130EEF9" w14:textId="3F8FD7ED" w:rsidR="00BA2BC1" w:rsidRDefault="00BA2BC1" w:rsidP="003017B4">
      <w:pPr>
        <w:pStyle w:val="TableDescription"/>
      </w:pPr>
      <w:r w:rsidRPr="00555A02">
        <w:rPr>
          <w:vertAlign w:val="superscript"/>
        </w:rPr>
        <w:t>f</w:t>
      </w:r>
      <w:r>
        <w:t xml:space="preserve"> Based on Miettinen &amp; </w:t>
      </w:r>
      <w:proofErr w:type="spellStart"/>
      <w:r>
        <w:t>Nurminen</w:t>
      </w:r>
      <w:proofErr w:type="spellEnd"/>
      <w:r>
        <w:t xml:space="preserve"> method stratified by chemotherapy on study (</w:t>
      </w:r>
      <w:proofErr w:type="spellStart"/>
      <w:r>
        <w:t>taxane</w:t>
      </w:r>
      <w:proofErr w:type="spellEnd"/>
      <w:r>
        <w:t xml:space="preserve"> </w:t>
      </w:r>
      <w:r w:rsidR="003017B4">
        <w:t>versus</w:t>
      </w:r>
      <w:r>
        <w:t xml:space="preserve"> gemcitabine/carboplatin) and prior treatment with same class of chemotherapy in the (neo)adjuvant setting (yes </w:t>
      </w:r>
      <w:r w:rsidR="003017B4">
        <w:t>versus</w:t>
      </w:r>
      <w:r>
        <w:t xml:space="preserve"> no).</w:t>
      </w:r>
    </w:p>
    <w:p w14:paraId="5525D837" w14:textId="7F39E71C" w:rsidR="00BA2BC1" w:rsidRDefault="00BA2BC1" w:rsidP="00555A02">
      <w:pPr>
        <w:pStyle w:val="TableDescription"/>
      </w:pPr>
      <w:r>
        <w:t xml:space="preserve">Data </w:t>
      </w:r>
      <w:proofErr w:type="spellStart"/>
      <w:r>
        <w:t>cutoff</w:t>
      </w:r>
      <w:proofErr w:type="spellEnd"/>
      <w:r w:rsidR="00555A02">
        <w:t xml:space="preserve">: </w:t>
      </w:r>
      <w:r>
        <w:t>15</w:t>
      </w:r>
      <w:r w:rsidR="00555A02">
        <w:t xml:space="preserve"> June 2021</w:t>
      </w:r>
    </w:p>
    <w:p w14:paraId="3D73C8E2" w14:textId="1AE8BC81" w:rsidR="008F20C5" w:rsidRDefault="008F20C5" w:rsidP="005471F0">
      <w:pPr>
        <w:pStyle w:val="Heading6"/>
      </w:pPr>
      <w:r>
        <w:t>Subgroup analysis</w:t>
      </w:r>
    </w:p>
    <w:p w14:paraId="4787E5EF" w14:textId="1C4DAA5C" w:rsidR="002D7FFB" w:rsidRDefault="00BA2BC1" w:rsidP="00BA2BC1">
      <w:r>
        <w:t xml:space="preserve">Analyses of </w:t>
      </w:r>
      <w:r w:rsidR="00555A02">
        <w:t xml:space="preserve">overall survival </w:t>
      </w:r>
      <w:r>
        <w:t xml:space="preserve">and </w:t>
      </w:r>
      <w:r w:rsidR="00555A02">
        <w:t>progression</w:t>
      </w:r>
      <w:r w:rsidR="003F0108">
        <w:t>-</w:t>
      </w:r>
      <w:r w:rsidR="00555A02">
        <w:t>free survival (PFS)</w:t>
      </w:r>
      <w:r>
        <w:t xml:space="preserve"> appeared generally consistent across subgroups</w:t>
      </w:r>
      <w:r w:rsidR="00380311">
        <w:t>.</w:t>
      </w:r>
      <w:r w:rsidR="00E012C7">
        <w:t xml:space="preserve"> </w:t>
      </w:r>
      <w:r w:rsidR="00380311">
        <w:t>The</w:t>
      </w:r>
      <w:r w:rsidR="002A5D64">
        <w:t xml:space="preserve"> </w:t>
      </w:r>
      <w:r w:rsidR="00380311">
        <w:t xml:space="preserve">point estimates of the </w:t>
      </w:r>
      <w:r w:rsidR="002A5D64">
        <w:t>hazard ratio</w:t>
      </w:r>
      <w:r w:rsidR="00380311">
        <w:t>s</w:t>
      </w:r>
      <w:r w:rsidR="002A5D64">
        <w:t xml:space="preserve"> for patients receiving gemcitabine/carboplatin were closer to one compared with patients receiving </w:t>
      </w:r>
      <w:proofErr w:type="spellStart"/>
      <w:r w:rsidR="002A5D64">
        <w:t>taxanes</w:t>
      </w:r>
      <w:proofErr w:type="spellEnd"/>
      <w:r w:rsidR="002A5D64">
        <w:t>.</w:t>
      </w:r>
      <w:r w:rsidR="00380311">
        <w:t xml:space="preserve"> </w:t>
      </w:r>
      <w:r w:rsidR="00380311" w:rsidRPr="00380311">
        <w:t>However, these subgroups were not individually powered to demonstrate a treatment effect by chemotherapy partner, and the results of this subgroup analysis should be interpreted with caution.</w:t>
      </w:r>
    </w:p>
    <w:p w14:paraId="083D0A7C" w14:textId="15BD592C" w:rsidR="00BA2BC1" w:rsidRDefault="00BA2BC1" w:rsidP="00BA2BC1">
      <w:r>
        <w:t xml:space="preserve">The success criteria were </w:t>
      </w:r>
      <w:r w:rsidRPr="00E012C7">
        <w:t xml:space="preserve">not </w:t>
      </w:r>
      <w:r>
        <w:t xml:space="preserve">met for the analyses of PFS and </w:t>
      </w:r>
      <w:r w:rsidR="00E25D6F">
        <w:t xml:space="preserve">overall survival </w:t>
      </w:r>
      <w:r>
        <w:t>in patients with CPS ≥ 1, so per the multiplicity schema, these outcomes were not subject to formal statistical testing for the full ITT population (</w:t>
      </w:r>
      <w:r w:rsidR="003017B4">
        <w:t>that is</w:t>
      </w:r>
      <w:r>
        <w:t>, all participants regardless of PD-L1 expression status).</w:t>
      </w:r>
    </w:p>
    <w:p w14:paraId="28C7E9A0" w14:textId="3B0DE7D1" w:rsidR="00BA2BC1" w:rsidRDefault="00BA2BC1" w:rsidP="00BA2BC1">
      <w:r>
        <w:t>The primary efficacy results are compared below by PD-L1 expression status</w:t>
      </w:r>
      <w:r w:rsidR="00E012C7">
        <w:t xml:space="preserve"> in </w:t>
      </w:r>
      <w:r w:rsidR="00555A02">
        <w:fldChar w:fldCharType="begin"/>
      </w:r>
      <w:r w:rsidR="00555A02">
        <w:instrText xml:space="preserve"> REF _Ref130220527 \h </w:instrText>
      </w:r>
      <w:r w:rsidR="00555A02">
        <w:fldChar w:fldCharType="separate"/>
      </w:r>
      <w:r w:rsidR="00A02570">
        <w:t xml:space="preserve">Table </w:t>
      </w:r>
      <w:r w:rsidR="00A02570">
        <w:rPr>
          <w:noProof/>
        </w:rPr>
        <w:t>19</w:t>
      </w:r>
      <w:r w:rsidR="00555A02">
        <w:fldChar w:fldCharType="end"/>
      </w:r>
      <w:r w:rsidR="00E25D6F">
        <w:t>.</w:t>
      </w:r>
    </w:p>
    <w:p w14:paraId="57D2314C" w14:textId="4FD00BE6" w:rsidR="00BA2BC1" w:rsidRDefault="00BA2BC1" w:rsidP="00BA2BC1">
      <w:pPr>
        <w:pStyle w:val="TableTitle"/>
      </w:pPr>
      <w:bookmarkStart w:id="74" w:name="_Ref130220527"/>
      <w:r>
        <w:lastRenderedPageBreak/>
        <w:t xml:space="preserve">Table </w:t>
      </w:r>
      <w:r>
        <w:fldChar w:fldCharType="begin"/>
      </w:r>
      <w:r>
        <w:instrText>SEQ Table \* ARABIC</w:instrText>
      </w:r>
      <w:r>
        <w:fldChar w:fldCharType="separate"/>
      </w:r>
      <w:r w:rsidR="00A02570">
        <w:rPr>
          <w:noProof/>
        </w:rPr>
        <w:t>19</w:t>
      </w:r>
      <w:r>
        <w:fldChar w:fldCharType="end"/>
      </w:r>
      <w:bookmarkEnd w:id="74"/>
      <w:r w:rsidR="00F71757">
        <w:rPr>
          <w:noProof/>
        </w:rPr>
        <w:t>:</w:t>
      </w:r>
      <w:r>
        <w:t xml:space="preserve"> </w:t>
      </w:r>
      <w:r w:rsidR="008F20C5">
        <w:t>Study KN-355 (KEYNOTE 355</w:t>
      </w:r>
      <w:r w:rsidR="00E25D6F">
        <w:t>)</w:t>
      </w:r>
      <w:r w:rsidR="008F20C5">
        <w:t xml:space="preserve"> trial </w:t>
      </w:r>
      <w:r>
        <w:t>Primary efficacy results by PD-L1 expression status</w:t>
      </w:r>
    </w:p>
    <w:tbl>
      <w:tblPr>
        <w:tblStyle w:val="TableTGAblue2"/>
        <w:tblW w:w="0" w:type="auto"/>
        <w:tblLook w:val="04A0" w:firstRow="1" w:lastRow="0" w:firstColumn="1" w:lastColumn="0" w:noHBand="0" w:noVBand="1"/>
      </w:tblPr>
      <w:tblGrid>
        <w:gridCol w:w="1653"/>
        <w:gridCol w:w="1204"/>
        <w:gridCol w:w="1088"/>
        <w:gridCol w:w="1205"/>
        <w:gridCol w:w="826"/>
        <w:gridCol w:w="262"/>
        <w:gridCol w:w="1204"/>
        <w:gridCol w:w="1042"/>
      </w:tblGrid>
      <w:tr w:rsidR="00BA2BC1" w:rsidRPr="00F36855" w14:paraId="188E2948" w14:textId="77777777" w:rsidTr="008E4C16">
        <w:trPr>
          <w:cnfStyle w:val="100000000000" w:firstRow="1" w:lastRow="0" w:firstColumn="0" w:lastColumn="0" w:oddVBand="0" w:evenVBand="0" w:oddHBand="0" w:evenHBand="0" w:firstRowFirstColumn="0" w:firstRowLastColumn="0" w:lastRowFirstColumn="0" w:lastRowLastColumn="0"/>
        </w:trPr>
        <w:tc>
          <w:tcPr>
            <w:tcW w:w="1833" w:type="dxa"/>
            <w:vMerge w:val="restart"/>
          </w:tcPr>
          <w:p w14:paraId="35BA2739" w14:textId="77777777" w:rsidR="00BA2BC1" w:rsidRPr="00F36855" w:rsidRDefault="00BA2BC1" w:rsidP="008E4C16">
            <w:pPr>
              <w:keepLines/>
              <w:autoSpaceDE w:val="0"/>
              <w:autoSpaceDN w:val="0"/>
              <w:adjustRightInd w:val="0"/>
              <w:spacing w:before="0" w:after="0" w:line="276" w:lineRule="auto"/>
              <w:jc w:val="center"/>
              <w:rPr>
                <w:rFonts w:asciiTheme="minorHAnsi" w:hAnsiTheme="minorHAnsi"/>
                <w:bCs/>
                <w:sz w:val="18"/>
                <w:szCs w:val="18"/>
              </w:rPr>
            </w:pPr>
          </w:p>
        </w:tc>
        <w:tc>
          <w:tcPr>
            <w:tcW w:w="2410" w:type="dxa"/>
            <w:gridSpan w:val="2"/>
          </w:tcPr>
          <w:p w14:paraId="417F7DCA" w14:textId="77777777" w:rsidR="00BA2BC1" w:rsidRPr="00F36855" w:rsidRDefault="00BA2BC1" w:rsidP="008E4C16">
            <w:pPr>
              <w:keepLines/>
              <w:autoSpaceDE w:val="0"/>
              <w:autoSpaceDN w:val="0"/>
              <w:adjustRightInd w:val="0"/>
              <w:spacing w:before="0" w:after="0" w:line="276" w:lineRule="auto"/>
              <w:jc w:val="center"/>
              <w:rPr>
                <w:rFonts w:asciiTheme="minorHAnsi" w:hAnsiTheme="minorHAnsi"/>
                <w:sz w:val="18"/>
                <w:szCs w:val="18"/>
              </w:rPr>
            </w:pPr>
            <w:r w:rsidRPr="001E767A">
              <w:rPr>
                <w:rFonts w:asciiTheme="minorHAnsi" w:hAnsiTheme="minorHAnsi"/>
                <w:sz w:val="18"/>
                <w:szCs w:val="18"/>
              </w:rPr>
              <w:t>CPS</w:t>
            </w:r>
            <w:r w:rsidRPr="00F36855">
              <w:rPr>
                <w:rFonts w:asciiTheme="minorHAnsi" w:hAnsiTheme="minorHAnsi"/>
                <w:sz w:val="18"/>
                <w:szCs w:val="18"/>
              </w:rPr>
              <w:t xml:space="preserve"> </w:t>
            </w:r>
            <w:r w:rsidRPr="00F36855">
              <w:rPr>
                <w:rFonts w:asciiTheme="minorHAnsi" w:hAnsiTheme="minorHAnsi" w:cs="Calibri"/>
                <w:sz w:val="18"/>
                <w:szCs w:val="18"/>
              </w:rPr>
              <w:t>≥</w:t>
            </w:r>
            <w:r w:rsidRPr="001E767A">
              <w:rPr>
                <w:rFonts w:asciiTheme="minorHAnsi" w:hAnsiTheme="minorHAnsi" w:cs="Calibri"/>
                <w:sz w:val="18"/>
                <w:szCs w:val="18"/>
              </w:rPr>
              <w:t xml:space="preserve"> </w:t>
            </w:r>
            <w:r w:rsidRPr="00F36855">
              <w:rPr>
                <w:rFonts w:asciiTheme="minorHAnsi" w:hAnsiTheme="minorHAnsi"/>
                <w:sz w:val="18"/>
                <w:szCs w:val="18"/>
              </w:rPr>
              <w:t>10</w:t>
            </w:r>
          </w:p>
        </w:tc>
        <w:tc>
          <w:tcPr>
            <w:tcW w:w="2123" w:type="dxa"/>
            <w:gridSpan w:val="2"/>
          </w:tcPr>
          <w:p w14:paraId="53097E2E" w14:textId="77777777" w:rsidR="00BA2BC1" w:rsidRPr="00F36855" w:rsidRDefault="00BA2BC1" w:rsidP="008E4C16">
            <w:pPr>
              <w:keepLines/>
              <w:autoSpaceDE w:val="0"/>
              <w:autoSpaceDN w:val="0"/>
              <w:adjustRightInd w:val="0"/>
              <w:spacing w:before="0" w:after="0" w:line="276" w:lineRule="auto"/>
              <w:jc w:val="center"/>
              <w:rPr>
                <w:rFonts w:asciiTheme="minorHAnsi" w:hAnsiTheme="minorHAnsi"/>
                <w:sz w:val="18"/>
                <w:szCs w:val="18"/>
              </w:rPr>
            </w:pPr>
            <w:r w:rsidRPr="001E767A">
              <w:rPr>
                <w:rFonts w:asciiTheme="minorHAnsi" w:hAnsiTheme="minorHAnsi"/>
                <w:sz w:val="18"/>
                <w:szCs w:val="18"/>
              </w:rPr>
              <w:t>CPS</w:t>
            </w:r>
            <w:r w:rsidRPr="00F36855">
              <w:rPr>
                <w:rFonts w:asciiTheme="minorHAnsi" w:hAnsiTheme="minorHAnsi"/>
                <w:sz w:val="18"/>
                <w:szCs w:val="18"/>
              </w:rPr>
              <w:t xml:space="preserve"> </w:t>
            </w:r>
            <w:r w:rsidRPr="00F36855">
              <w:rPr>
                <w:rFonts w:asciiTheme="minorHAnsi" w:hAnsiTheme="minorHAnsi" w:cs="Calibri"/>
                <w:sz w:val="18"/>
                <w:szCs w:val="18"/>
              </w:rPr>
              <w:t>≥</w:t>
            </w:r>
            <w:r w:rsidRPr="001E767A">
              <w:rPr>
                <w:rFonts w:asciiTheme="minorHAnsi" w:hAnsiTheme="minorHAnsi" w:cs="Calibri"/>
                <w:sz w:val="18"/>
                <w:szCs w:val="18"/>
              </w:rPr>
              <w:t xml:space="preserve"> </w:t>
            </w:r>
            <w:r w:rsidRPr="00F36855">
              <w:rPr>
                <w:rFonts w:asciiTheme="minorHAnsi" w:hAnsiTheme="minorHAnsi"/>
                <w:sz w:val="18"/>
                <w:szCs w:val="18"/>
              </w:rPr>
              <w:t>1</w:t>
            </w:r>
          </w:p>
        </w:tc>
        <w:tc>
          <w:tcPr>
            <w:tcW w:w="2640" w:type="dxa"/>
            <w:gridSpan w:val="3"/>
          </w:tcPr>
          <w:p w14:paraId="2E3A95B6" w14:textId="77777777" w:rsidR="00BA2BC1" w:rsidRPr="00F36855" w:rsidRDefault="00BA2BC1" w:rsidP="008E4C16">
            <w:pPr>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ITT</w:t>
            </w:r>
          </w:p>
        </w:tc>
      </w:tr>
      <w:tr w:rsidR="00BA2BC1" w:rsidRPr="001E767A" w14:paraId="2C49A4DF" w14:textId="77777777" w:rsidTr="008E4C16">
        <w:tc>
          <w:tcPr>
            <w:tcW w:w="1833" w:type="dxa"/>
            <w:vMerge/>
          </w:tcPr>
          <w:p w14:paraId="20D2718C"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p>
        </w:tc>
        <w:tc>
          <w:tcPr>
            <w:tcW w:w="1276" w:type="dxa"/>
            <w:shd w:val="clear" w:color="auto" w:fill="006EA8"/>
          </w:tcPr>
          <w:p w14:paraId="445AB8CA"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proofErr w:type="spellStart"/>
            <w:r w:rsidRPr="00F36855">
              <w:rPr>
                <w:rFonts w:asciiTheme="minorHAnsi" w:hAnsiTheme="minorHAnsi"/>
                <w:b/>
                <w:bCs/>
                <w:color w:val="FFFFFF"/>
                <w:sz w:val="18"/>
                <w:szCs w:val="18"/>
              </w:rPr>
              <w:t>Pembro</w:t>
            </w:r>
            <w:proofErr w:type="spellEnd"/>
          </w:p>
          <w:p w14:paraId="676FE84F" w14:textId="77777777" w:rsidR="00BA2BC1" w:rsidRPr="00B116F9"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F36855">
              <w:rPr>
                <w:rFonts w:asciiTheme="minorHAnsi" w:hAnsiTheme="minorHAnsi"/>
                <w:b/>
                <w:bCs/>
                <w:color w:val="FFFFFF"/>
                <w:sz w:val="18"/>
                <w:szCs w:val="18"/>
              </w:rPr>
              <w:t>+chemo</w:t>
            </w:r>
          </w:p>
          <w:p w14:paraId="4B30111D"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B116F9">
              <w:rPr>
                <w:rFonts w:asciiTheme="minorHAnsi" w:hAnsiTheme="minorHAnsi"/>
                <w:b/>
                <w:bCs/>
                <w:color w:val="FFFFFF"/>
                <w:sz w:val="18"/>
                <w:szCs w:val="18"/>
              </w:rPr>
              <w:t>N=220</w:t>
            </w:r>
          </w:p>
        </w:tc>
        <w:tc>
          <w:tcPr>
            <w:tcW w:w="1134" w:type="dxa"/>
            <w:shd w:val="clear" w:color="auto" w:fill="006EA8"/>
          </w:tcPr>
          <w:p w14:paraId="0E0D6D6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F36855">
              <w:rPr>
                <w:rFonts w:asciiTheme="minorHAnsi" w:hAnsiTheme="minorHAnsi"/>
                <w:b/>
                <w:bCs/>
                <w:color w:val="FFFFFF"/>
                <w:sz w:val="18"/>
                <w:szCs w:val="18"/>
              </w:rPr>
              <w:t>PLB</w:t>
            </w:r>
          </w:p>
          <w:p w14:paraId="342A3F5D" w14:textId="77777777" w:rsidR="00BA2BC1" w:rsidRPr="00B116F9"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F36855">
              <w:rPr>
                <w:rFonts w:asciiTheme="minorHAnsi" w:hAnsiTheme="minorHAnsi"/>
                <w:b/>
                <w:bCs/>
                <w:color w:val="FFFFFF"/>
                <w:sz w:val="18"/>
                <w:szCs w:val="18"/>
              </w:rPr>
              <w:t>+chemo</w:t>
            </w:r>
          </w:p>
          <w:p w14:paraId="53CDA8CD"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B116F9">
              <w:rPr>
                <w:rFonts w:asciiTheme="minorHAnsi" w:hAnsiTheme="minorHAnsi"/>
                <w:b/>
                <w:bCs/>
                <w:color w:val="FFFFFF"/>
                <w:sz w:val="18"/>
                <w:szCs w:val="18"/>
              </w:rPr>
              <w:t>N=103</w:t>
            </w:r>
          </w:p>
        </w:tc>
        <w:tc>
          <w:tcPr>
            <w:tcW w:w="1276" w:type="dxa"/>
            <w:shd w:val="clear" w:color="auto" w:fill="006EA8"/>
          </w:tcPr>
          <w:p w14:paraId="13D1AE65"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proofErr w:type="spellStart"/>
            <w:r w:rsidRPr="00F36855">
              <w:rPr>
                <w:rFonts w:asciiTheme="minorHAnsi" w:hAnsiTheme="minorHAnsi"/>
                <w:b/>
                <w:bCs/>
                <w:color w:val="FFFFFF"/>
                <w:sz w:val="18"/>
                <w:szCs w:val="18"/>
              </w:rPr>
              <w:t>Pembro</w:t>
            </w:r>
            <w:proofErr w:type="spellEnd"/>
          </w:p>
          <w:p w14:paraId="6E1C1E13" w14:textId="77777777" w:rsidR="00BA2BC1"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F36855">
              <w:rPr>
                <w:rFonts w:asciiTheme="minorHAnsi" w:hAnsiTheme="minorHAnsi"/>
                <w:b/>
                <w:bCs/>
                <w:color w:val="FFFFFF"/>
                <w:sz w:val="18"/>
                <w:szCs w:val="18"/>
              </w:rPr>
              <w:t>+chemo</w:t>
            </w:r>
          </w:p>
          <w:p w14:paraId="47BAA062"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N=425</w:t>
            </w:r>
          </w:p>
        </w:tc>
        <w:tc>
          <w:tcPr>
            <w:tcW w:w="1134" w:type="dxa"/>
            <w:gridSpan w:val="2"/>
            <w:shd w:val="clear" w:color="auto" w:fill="006EA8"/>
          </w:tcPr>
          <w:p w14:paraId="5DA7B59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F36855">
              <w:rPr>
                <w:rFonts w:asciiTheme="minorHAnsi" w:hAnsiTheme="minorHAnsi"/>
                <w:b/>
                <w:bCs/>
                <w:color w:val="FFFFFF"/>
                <w:sz w:val="18"/>
                <w:szCs w:val="18"/>
              </w:rPr>
              <w:t>PLB</w:t>
            </w:r>
          </w:p>
          <w:p w14:paraId="05EDD0C7" w14:textId="77777777" w:rsidR="00BA2BC1"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F36855">
              <w:rPr>
                <w:rFonts w:asciiTheme="minorHAnsi" w:hAnsiTheme="minorHAnsi"/>
                <w:b/>
                <w:bCs/>
                <w:color w:val="FFFFFF"/>
                <w:sz w:val="18"/>
                <w:szCs w:val="18"/>
              </w:rPr>
              <w:t>+chemo</w:t>
            </w:r>
          </w:p>
          <w:p w14:paraId="0F6F05E3"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N=211</w:t>
            </w:r>
          </w:p>
        </w:tc>
        <w:tc>
          <w:tcPr>
            <w:tcW w:w="1275" w:type="dxa"/>
            <w:shd w:val="clear" w:color="auto" w:fill="006EA8"/>
          </w:tcPr>
          <w:p w14:paraId="314193A8"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proofErr w:type="spellStart"/>
            <w:r w:rsidRPr="00F36855">
              <w:rPr>
                <w:rFonts w:asciiTheme="minorHAnsi" w:hAnsiTheme="minorHAnsi"/>
                <w:b/>
                <w:bCs/>
                <w:color w:val="FFFFFF"/>
                <w:sz w:val="18"/>
                <w:szCs w:val="18"/>
              </w:rPr>
              <w:t>Pembro</w:t>
            </w:r>
            <w:proofErr w:type="spellEnd"/>
          </w:p>
          <w:p w14:paraId="3BCA64BB" w14:textId="77777777" w:rsidR="00BA2BC1"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F36855">
              <w:rPr>
                <w:rFonts w:asciiTheme="minorHAnsi" w:hAnsiTheme="minorHAnsi"/>
                <w:b/>
                <w:bCs/>
                <w:color w:val="FFFFFF"/>
                <w:sz w:val="18"/>
                <w:szCs w:val="18"/>
              </w:rPr>
              <w:t>+chemo</w:t>
            </w:r>
          </w:p>
          <w:p w14:paraId="5E872576"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N=566</w:t>
            </w:r>
          </w:p>
        </w:tc>
        <w:tc>
          <w:tcPr>
            <w:tcW w:w="1078" w:type="dxa"/>
            <w:shd w:val="clear" w:color="auto" w:fill="006EA8"/>
          </w:tcPr>
          <w:p w14:paraId="01B4FD4F"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F36855">
              <w:rPr>
                <w:rFonts w:asciiTheme="minorHAnsi" w:hAnsiTheme="minorHAnsi"/>
                <w:b/>
                <w:bCs/>
                <w:color w:val="FFFFFF"/>
                <w:sz w:val="18"/>
                <w:szCs w:val="18"/>
              </w:rPr>
              <w:t>PLB</w:t>
            </w:r>
          </w:p>
          <w:p w14:paraId="17666039" w14:textId="77777777" w:rsidR="00BA2BC1"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F36855">
              <w:rPr>
                <w:rFonts w:asciiTheme="minorHAnsi" w:hAnsiTheme="minorHAnsi"/>
                <w:b/>
                <w:bCs/>
                <w:color w:val="FFFFFF"/>
                <w:sz w:val="18"/>
                <w:szCs w:val="18"/>
              </w:rPr>
              <w:t>+chemo</w:t>
            </w:r>
          </w:p>
          <w:p w14:paraId="4D8617BE"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N=281</w:t>
            </w:r>
          </w:p>
        </w:tc>
      </w:tr>
      <w:tr w:rsidR="00BA2BC1" w:rsidRPr="00F36855" w14:paraId="58EB9583" w14:textId="77777777" w:rsidTr="008E4C16">
        <w:trPr>
          <w:trHeight w:val="514"/>
        </w:trPr>
        <w:tc>
          <w:tcPr>
            <w:tcW w:w="9006" w:type="dxa"/>
            <w:gridSpan w:val="8"/>
            <w:vAlign w:val="bottom"/>
          </w:tcPr>
          <w:p w14:paraId="2046D87A" w14:textId="73CFFCD8" w:rsidR="00BA2BC1" w:rsidRPr="00F36855" w:rsidRDefault="00BA2BC1" w:rsidP="008E4C16">
            <w:pPr>
              <w:keepNext/>
              <w:keepLines/>
              <w:autoSpaceDE w:val="0"/>
              <w:autoSpaceDN w:val="0"/>
              <w:adjustRightInd w:val="0"/>
              <w:spacing w:before="0" w:after="0" w:line="276" w:lineRule="auto"/>
              <w:rPr>
                <w:rFonts w:asciiTheme="minorHAnsi" w:hAnsiTheme="minorHAnsi"/>
                <w:b/>
                <w:bCs/>
                <w:sz w:val="18"/>
                <w:szCs w:val="18"/>
              </w:rPr>
            </w:pPr>
            <w:r w:rsidRPr="00F36855">
              <w:rPr>
                <w:rFonts w:asciiTheme="minorHAnsi" w:hAnsiTheme="minorHAnsi"/>
                <w:b/>
                <w:bCs/>
                <w:sz w:val="18"/>
                <w:szCs w:val="18"/>
              </w:rPr>
              <w:t>P</w:t>
            </w:r>
            <w:r w:rsidR="00887BAF">
              <w:rPr>
                <w:rFonts w:asciiTheme="minorHAnsi" w:hAnsiTheme="minorHAnsi"/>
                <w:b/>
                <w:bCs/>
                <w:sz w:val="18"/>
                <w:szCs w:val="18"/>
              </w:rPr>
              <w:t>rogression free survival</w:t>
            </w:r>
            <w:r w:rsidRPr="001E767A">
              <w:rPr>
                <w:rFonts w:asciiTheme="minorHAnsi" w:hAnsiTheme="minorHAnsi"/>
                <w:b/>
                <w:bCs/>
                <w:sz w:val="18"/>
                <w:szCs w:val="18"/>
              </w:rPr>
              <w:t xml:space="preserve"> (IA2)</w:t>
            </w:r>
          </w:p>
        </w:tc>
      </w:tr>
      <w:tr w:rsidR="00BA2BC1" w:rsidRPr="00F36855" w14:paraId="0B1667AF" w14:textId="77777777" w:rsidTr="008E4C16">
        <w:tc>
          <w:tcPr>
            <w:tcW w:w="1833" w:type="dxa"/>
          </w:tcPr>
          <w:p w14:paraId="60D3B095" w14:textId="7F575243" w:rsidR="00BA2BC1" w:rsidRPr="00041642" w:rsidRDefault="00BA2BC1" w:rsidP="008E4C16">
            <w:pPr>
              <w:keepNext/>
              <w:keepLines/>
              <w:autoSpaceDE w:val="0"/>
              <w:autoSpaceDN w:val="0"/>
              <w:adjustRightInd w:val="0"/>
              <w:spacing w:before="0" w:after="0" w:line="276" w:lineRule="auto"/>
              <w:jc w:val="center"/>
              <w:rPr>
                <w:rFonts w:asciiTheme="minorHAnsi" w:hAnsiTheme="minorHAnsi"/>
                <w:sz w:val="18"/>
                <w:szCs w:val="18"/>
                <w:vertAlign w:val="superscript"/>
              </w:rPr>
            </w:pPr>
            <w:r w:rsidRPr="00F36855">
              <w:rPr>
                <w:rFonts w:asciiTheme="minorHAnsi" w:hAnsiTheme="minorHAnsi"/>
                <w:sz w:val="18"/>
                <w:szCs w:val="18"/>
              </w:rPr>
              <w:t xml:space="preserve">Median, months (95% </w:t>
            </w:r>
            <w:proofErr w:type="gramStart"/>
            <w:r w:rsidRPr="00F36855">
              <w:rPr>
                <w:rFonts w:asciiTheme="minorHAnsi" w:hAnsiTheme="minorHAnsi"/>
                <w:sz w:val="18"/>
                <w:szCs w:val="18"/>
              </w:rPr>
              <w:t>CI)</w:t>
            </w:r>
            <w:r w:rsidR="005D2723">
              <w:rPr>
                <w:rFonts w:asciiTheme="minorHAnsi" w:hAnsiTheme="minorHAnsi"/>
                <w:sz w:val="18"/>
                <w:szCs w:val="18"/>
                <w:vertAlign w:val="superscript"/>
              </w:rPr>
              <w:t>a</w:t>
            </w:r>
            <w:proofErr w:type="gramEnd"/>
          </w:p>
        </w:tc>
        <w:tc>
          <w:tcPr>
            <w:tcW w:w="1276" w:type="dxa"/>
          </w:tcPr>
          <w:p w14:paraId="104F1DDA"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9.7</w:t>
            </w:r>
          </w:p>
          <w:p w14:paraId="5286D9D4" w14:textId="438CEC39"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(7.6, 11.3)</w:t>
            </w:r>
          </w:p>
        </w:tc>
        <w:tc>
          <w:tcPr>
            <w:tcW w:w="1134" w:type="dxa"/>
          </w:tcPr>
          <w:p w14:paraId="118992BC"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5.6</w:t>
            </w:r>
          </w:p>
          <w:p w14:paraId="5CC994C3" w14:textId="4638F130"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(5.3, 7.5)</w:t>
            </w:r>
          </w:p>
        </w:tc>
        <w:tc>
          <w:tcPr>
            <w:tcW w:w="1276" w:type="dxa"/>
          </w:tcPr>
          <w:p w14:paraId="4FE7EBB6"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7.6</w:t>
            </w:r>
          </w:p>
          <w:p w14:paraId="518A9889" w14:textId="65CEF708"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(6.6, 8.0)</w:t>
            </w:r>
          </w:p>
        </w:tc>
        <w:tc>
          <w:tcPr>
            <w:tcW w:w="1134" w:type="dxa"/>
            <w:gridSpan w:val="2"/>
          </w:tcPr>
          <w:p w14:paraId="37CFF05C"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5.6</w:t>
            </w:r>
          </w:p>
          <w:p w14:paraId="2CF86D39" w14:textId="0F4A7DFC"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(5.4, 7.4)</w:t>
            </w:r>
          </w:p>
        </w:tc>
        <w:tc>
          <w:tcPr>
            <w:tcW w:w="1275" w:type="dxa"/>
          </w:tcPr>
          <w:p w14:paraId="4AE00BC0"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7.5</w:t>
            </w:r>
          </w:p>
          <w:p w14:paraId="252F649C" w14:textId="3F44BBA9"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(6.3, 7.7)</w:t>
            </w:r>
          </w:p>
        </w:tc>
        <w:tc>
          <w:tcPr>
            <w:tcW w:w="1078" w:type="dxa"/>
          </w:tcPr>
          <w:p w14:paraId="0CE4040A"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5.6</w:t>
            </w:r>
          </w:p>
          <w:p w14:paraId="1DB38588" w14:textId="102F97EC"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(5.4, 7.3)</w:t>
            </w:r>
          </w:p>
        </w:tc>
      </w:tr>
      <w:tr w:rsidR="00BA2BC1" w:rsidRPr="00F36855" w14:paraId="34FF0360" w14:textId="77777777" w:rsidTr="008E4C16">
        <w:tc>
          <w:tcPr>
            <w:tcW w:w="1833" w:type="dxa"/>
          </w:tcPr>
          <w:p w14:paraId="75945DAB" w14:textId="20A4191A" w:rsidR="00BA2BC1" w:rsidRPr="00041642" w:rsidRDefault="00BA2BC1" w:rsidP="008E4C16">
            <w:pPr>
              <w:keepNext/>
              <w:keepLines/>
              <w:autoSpaceDE w:val="0"/>
              <w:autoSpaceDN w:val="0"/>
              <w:adjustRightInd w:val="0"/>
              <w:spacing w:before="0" w:after="0" w:line="276" w:lineRule="auto"/>
              <w:jc w:val="center"/>
              <w:rPr>
                <w:rFonts w:asciiTheme="minorHAnsi" w:hAnsiTheme="minorHAnsi"/>
                <w:sz w:val="18"/>
                <w:szCs w:val="18"/>
                <w:vertAlign w:val="superscript"/>
              </w:rPr>
            </w:pPr>
            <w:r w:rsidRPr="00F36855">
              <w:rPr>
                <w:rFonts w:asciiTheme="minorHAnsi" w:hAnsiTheme="minorHAnsi"/>
                <w:sz w:val="18"/>
                <w:szCs w:val="18"/>
              </w:rPr>
              <w:t xml:space="preserve">HR (95% </w:t>
            </w:r>
            <w:proofErr w:type="gramStart"/>
            <w:r w:rsidRPr="00F36855">
              <w:rPr>
                <w:rFonts w:asciiTheme="minorHAnsi" w:hAnsiTheme="minorHAnsi"/>
                <w:sz w:val="18"/>
                <w:szCs w:val="18"/>
              </w:rPr>
              <w:t>CI)</w:t>
            </w:r>
            <w:r w:rsidR="005D2723" w:rsidRPr="00041642">
              <w:rPr>
                <w:rFonts w:asciiTheme="minorHAnsi" w:hAnsiTheme="minorHAnsi"/>
                <w:sz w:val="18"/>
                <w:szCs w:val="18"/>
                <w:vertAlign w:val="superscript"/>
              </w:rPr>
              <w:t>b</w:t>
            </w:r>
            <w:proofErr w:type="gramEnd"/>
          </w:p>
          <w:p w14:paraId="57DA52B2" w14:textId="5263C3CD" w:rsidR="00BA2BC1" w:rsidRPr="00041642" w:rsidRDefault="00BA2BC1" w:rsidP="008E4C16">
            <w:pPr>
              <w:keepNext/>
              <w:keepLines/>
              <w:autoSpaceDE w:val="0"/>
              <w:autoSpaceDN w:val="0"/>
              <w:adjustRightInd w:val="0"/>
              <w:spacing w:before="0" w:after="0" w:line="276" w:lineRule="auto"/>
              <w:jc w:val="center"/>
              <w:rPr>
                <w:rFonts w:asciiTheme="minorHAnsi" w:hAnsiTheme="minorHAnsi"/>
                <w:sz w:val="18"/>
                <w:szCs w:val="18"/>
                <w:vertAlign w:val="superscript"/>
              </w:rPr>
            </w:pPr>
            <w:r w:rsidRPr="00F36855">
              <w:rPr>
                <w:rFonts w:asciiTheme="minorHAnsi" w:hAnsiTheme="minorHAnsi"/>
                <w:sz w:val="18"/>
                <w:szCs w:val="18"/>
              </w:rPr>
              <w:t xml:space="preserve">P </w:t>
            </w:r>
            <w:proofErr w:type="spellStart"/>
            <w:r w:rsidRPr="00F36855">
              <w:rPr>
                <w:rFonts w:asciiTheme="minorHAnsi" w:hAnsiTheme="minorHAnsi"/>
                <w:sz w:val="18"/>
                <w:szCs w:val="18"/>
              </w:rPr>
              <w:t>value</w:t>
            </w:r>
            <w:r w:rsidR="005D2723">
              <w:rPr>
                <w:rFonts w:asciiTheme="minorHAnsi" w:hAnsiTheme="minorHAnsi"/>
                <w:sz w:val="18"/>
                <w:szCs w:val="18"/>
                <w:vertAlign w:val="superscript"/>
              </w:rPr>
              <w:t>c</w:t>
            </w:r>
            <w:proofErr w:type="spellEnd"/>
          </w:p>
        </w:tc>
        <w:tc>
          <w:tcPr>
            <w:tcW w:w="2410" w:type="dxa"/>
            <w:gridSpan w:val="2"/>
          </w:tcPr>
          <w:p w14:paraId="6DA34DF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sz w:val="18"/>
                <w:szCs w:val="18"/>
              </w:rPr>
            </w:pPr>
            <w:r w:rsidRPr="00F36855">
              <w:rPr>
                <w:rFonts w:asciiTheme="minorHAnsi" w:hAnsiTheme="minorHAnsi"/>
                <w:b/>
                <w:bCs/>
                <w:sz w:val="18"/>
                <w:szCs w:val="18"/>
              </w:rPr>
              <w:t>0.65 (0.49, 0.86)</w:t>
            </w:r>
          </w:p>
          <w:p w14:paraId="2CF27AEF"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b/>
                <w:bCs/>
                <w:sz w:val="18"/>
                <w:szCs w:val="18"/>
              </w:rPr>
              <w:t>0.0012</w:t>
            </w:r>
          </w:p>
        </w:tc>
        <w:tc>
          <w:tcPr>
            <w:tcW w:w="2410" w:type="dxa"/>
            <w:gridSpan w:val="3"/>
          </w:tcPr>
          <w:p w14:paraId="6D62EEE0"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0.74 (0.61, 0.90)</w:t>
            </w:r>
          </w:p>
          <w:p w14:paraId="0772EF3B"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0.0014</w:t>
            </w:r>
          </w:p>
        </w:tc>
        <w:tc>
          <w:tcPr>
            <w:tcW w:w="2353" w:type="dxa"/>
            <w:gridSpan w:val="2"/>
          </w:tcPr>
          <w:p w14:paraId="5F50549E"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0.82 (0.69, 0.97)</w:t>
            </w:r>
          </w:p>
          <w:p w14:paraId="27CB155B"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0.0112</w:t>
            </w:r>
            <w:r w:rsidRPr="005D084B">
              <w:rPr>
                <w:rFonts w:asciiTheme="minorHAnsi" w:hAnsiTheme="minorHAnsi"/>
                <w:sz w:val="18"/>
                <w:szCs w:val="18"/>
              </w:rPr>
              <w:t xml:space="preserve"> (nominal)</w:t>
            </w:r>
          </w:p>
        </w:tc>
      </w:tr>
      <w:tr w:rsidR="00BA2BC1" w:rsidRPr="00F36855" w14:paraId="1236DDA5" w14:textId="77777777" w:rsidTr="008E4C16">
        <w:tc>
          <w:tcPr>
            <w:tcW w:w="1833" w:type="dxa"/>
          </w:tcPr>
          <w:p w14:paraId="36314002"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Rate (%) at 12 months (95% CI)</w:t>
            </w:r>
          </w:p>
        </w:tc>
        <w:tc>
          <w:tcPr>
            <w:tcW w:w="1276" w:type="dxa"/>
          </w:tcPr>
          <w:p w14:paraId="1A71672B"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39 (32, 46)</w:t>
            </w:r>
          </w:p>
        </w:tc>
        <w:tc>
          <w:tcPr>
            <w:tcW w:w="1134" w:type="dxa"/>
          </w:tcPr>
          <w:p w14:paraId="0B8F9951"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23 (15, 32)</w:t>
            </w:r>
          </w:p>
        </w:tc>
        <w:tc>
          <w:tcPr>
            <w:tcW w:w="1276" w:type="dxa"/>
          </w:tcPr>
          <w:p w14:paraId="1EF970D9"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32 (27, 37)</w:t>
            </w:r>
          </w:p>
        </w:tc>
        <w:tc>
          <w:tcPr>
            <w:tcW w:w="1134" w:type="dxa"/>
            <w:gridSpan w:val="2"/>
          </w:tcPr>
          <w:p w14:paraId="626B060D"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19 (14, 26)</w:t>
            </w:r>
          </w:p>
        </w:tc>
        <w:tc>
          <w:tcPr>
            <w:tcW w:w="1275" w:type="dxa"/>
          </w:tcPr>
          <w:p w14:paraId="3ED41D07"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30 (26, 34)</w:t>
            </w:r>
          </w:p>
        </w:tc>
        <w:tc>
          <w:tcPr>
            <w:tcW w:w="1078" w:type="dxa"/>
          </w:tcPr>
          <w:p w14:paraId="6A6A7C7E"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21 (16, 27)</w:t>
            </w:r>
          </w:p>
        </w:tc>
      </w:tr>
      <w:tr w:rsidR="00BA2BC1" w:rsidRPr="00F36855" w14:paraId="3836CC00" w14:textId="77777777" w:rsidTr="008E4C16">
        <w:trPr>
          <w:trHeight w:val="588"/>
        </w:trPr>
        <w:tc>
          <w:tcPr>
            <w:tcW w:w="9006" w:type="dxa"/>
            <w:gridSpan w:val="8"/>
            <w:vAlign w:val="bottom"/>
          </w:tcPr>
          <w:p w14:paraId="5DE1BDAF" w14:textId="392F72E0" w:rsidR="00BA2BC1" w:rsidRPr="00F36855" w:rsidRDefault="00BA2BC1" w:rsidP="008E4C16">
            <w:pPr>
              <w:keepNext/>
              <w:keepLines/>
              <w:autoSpaceDE w:val="0"/>
              <w:autoSpaceDN w:val="0"/>
              <w:adjustRightInd w:val="0"/>
              <w:spacing w:before="0" w:after="0" w:line="276" w:lineRule="auto"/>
              <w:rPr>
                <w:rFonts w:asciiTheme="minorHAnsi" w:hAnsiTheme="minorHAnsi"/>
                <w:b/>
                <w:bCs/>
                <w:sz w:val="18"/>
                <w:szCs w:val="18"/>
              </w:rPr>
            </w:pPr>
            <w:r w:rsidRPr="00F36855">
              <w:rPr>
                <w:rFonts w:asciiTheme="minorHAnsi" w:hAnsiTheme="minorHAnsi"/>
                <w:b/>
                <w:bCs/>
                <w:sz w:val="18"/>
                <w:szCs w:val="18"/>
              </w:rPr>
              <w:t>O</w:t>
            </w:r>
            <w:r w:rsidR="00887BAF">
              <w:rPr>
                <w:rFonts w:asciiTheme="minorHAnsi" w:hAnsiTheme="minorHAnsi"/>
                <w:b/>
                <w:bCs/>
                <w:sz w:val="18"/>
                <w:szCs w:val="18"/>
              </w:rPr>
              <w:t>verall survival</w:t>
            </w:r>
            <w:r w:rsidRPr="005D084B">
              <w:rPr>
                <w:rFonts w:asciiTheme="minorHAnsi" w:hAnsiTheme="minorHAnsi"/>
                <w:b/>
                <w:bCs/>
                <w:sz w:val="18"/>
                <w:szCs w:val="18"/>
              </w:rPr>
              <w:t xml:space="preserve"> (FA)</w:t>
            </w:r>
          </w:p>
        </w:tc>
      </w:tr>
      <w:tr w:rsidR="00BA2BC1" w:rsidRPr="00F36855" w14:paraId="0FC304CF" w14:textId="77777777" w:rsidTr="008E4C16">
        <w:tc>
          <w:tcPr>
            <w:tcW w:w="1833" w:type="dxa"/>
          </w:tcPr>
          <w:p w14:paraId="293CE548" w14:textId="2CF0ED34"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 xml:space="preserve">Median, months (95% </w:t>
            </w:r>
            <w:proofErr w:type="gramStart"/>
            <w:r w:rsidRPr="00F36855">
              <w:rPr>
                <w:rFonts w:asciiTheme="minorHAnsi" w:hAnsiTheme="minorHAnsi"/>
                <w:sz w:val="18"/>
                <w:szCs w:val="18"/>
              </w:rPr>
              <w:t>CI)</w:t>
            </w:r>
            <w:r w:rsidR="005D2723">
              <w:rPr>
                <w:rFonts w:asciiTheme="minorHAnsi" w:hAnsiTheme="minorHAnsi"/>
                <w:sz w:val="18"/>
                <w:szCs w:val="18"/>
                <w:vertAlign w:val="superscript"/>
              </w:rPr>
              <w:t>a</w:t>
            </w:r>
            <w:proofErr w:type="gramEnd"/>
          </w:p>
        </w:tc>
        <w:tc>
          <w:tcPr>
            <w:tcW w:w="1276" w:type="dxa"/>
          </w:tcPr>
          <w:p w14:paraId="2034C75C"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23.0</w:t>
            </w:r>
          </w:p>
          <w:p w14:paraId="23D0E3D9"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(19.0, 26.3)</w:t>
            </w:r>
          </w:p>
        </w:tc>
        <w:tc>
          <w:tcPr>
            <w:tcW w:w="1134" w:type="dxa"/>
          </w:tcPr>
          <w:p w14:paraId="1FC1C3FE"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16.1</w:t>
            </w:r>
          </w:p>
          <w:p w14:paraId="678897AD"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(12.6, 18.8)</w:t>
            </w:r>
          </w:p>
        </w:tc>
        <w:tc>
          <w:tcPr>
            <w:tcW w:w="1276" w:type="dxa"/>
          </w:tcPr>
          <w:p w14:paraId="7FEE6A80"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17.6</w:t>
            </w:r>
          </w:p>
          <w:p w14:paraId="064ED81C" w14:textId="227BBC2A"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(15.5, 19.5)</w:t>
            </w:r>
          </w:p>
        </w:tc>
        <w:tc>
          <w:tcPr>
            <w:tcW w:w="1134" w:type="dxa"/>
            <w:gridSpan w:val="2"/>
          </w:tcPr>
          <w:p w14:paraId="19C5690A"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16.0</w:t>
            </w:r>
          </w:p>
          <w:p w14:paraId="455B6752"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(12.8, 17.4)</w:t>
            </w:r>
          </w:p>
        </w:tc>
        <w:tc>
          <w:tcPr>
            <w:tcW w:w="1275" w:type="dxa"/>
          </w:tcPr>
          <w:p w14:paraId="47FD6846"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17.2</w:t>
            </w:r>
          </w:p>
          <w:p w14:paraId="75535EA9" w14:textId="7878A922"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(15.3, 19.0)</w:t>
            </w:r>
          </w:p>
        </w:tc>
        <w:tc>
          <w:tcPr>
            <w:tcW w:w="1078" w:type="dxa"/>
          </w:tcPr>
          <w:p w14:paraId="1E655E4A"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15.5</w:t>
            </w:r>
          </w:p>
          <w:p w14:paraId="73654989" w14:textId="5F96270F"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(13.9, 17.2)</w:t>
            </w:r>
          </w:p>
        </w:tc>
      </w:tr>
      <w:tr w:rsidR="00BA2BC1" w:rsidRPr="00F36855" w14:paraId="333328D2" w14:textId="77777777" w:rsidTr="008E4C16">
        <w:tc>
          <w:tcPr>
            <w:tcW w:w="1833" w:type="dxa"/>
          </w:tcPr>
          <w:p w14:paraId="479C2C60" w14:textId="729AE35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 xml:space="preserve">HR (95% </w:t>
            </w:r>
            <w:proofErr w:type="gramStart"/>
            <w:r w:rsidRPr="00F36855">
              <w:rPr>
                <w:rFonts w:asciiTheme="minorHAnsi" w:hAnsiTheme="minorHAnsi"/>
                <w:sz w:val="18"/>
                <w:szCs w:val="18"/>
              </w:rPr>
              <w:t>CI)</w:t>
            </w:r>
            <w:r w:rsidR="005D2723" w:rsidRPr="00AB0688">
              <w:rPr>
                <w:rFonts w:asciiTheme="minorHAnsi" w:hAnsiTheme="minorHAnsi"/>
                <w:sz w:val="18"/>
                <w:szCs w:val="18"/>
                <w:vertAlign w:val="superscript"/>
              </w:rPr>
              <w:t>b</w:t>
            </w:r>
            <w:proofErr w:type="gramEnd"/>
          </w:p>
          <w:p w14:paraId="4D5F3B09" w14:textId="0FDB733A"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 xml:space="preserve">P </w:t>
            </w:r>
            <w:proofErr w:type="spellStart"/>
            <w:r w:rsidRPr="00F36855">
              <w:rPr>
                <w:rFonts w:asciiTheme="minorHAnsi" w:hAnsiTheme="minorHAnsi"/>
                <w:sz w:val="18"/>
                <w:szCs w:val="18"/>
              </w:rPr>
              <w:t>value</w:t>
            </w:r>
            <w:r w:rsidR="005D2723">
              <w:rPr>
                <w:rFonts w:asciiTheme="minorHAnsi" w:hAnsiTheme="minorHAnsi"/>
                <w:sz w:val="18"/>
                <w:szCs w:val="18"/>
                <w:vertAlign w:val="superscript"/>
              </w:rPr>
              <w:t>c</w:t>
            </w:r>
            <w:proofErr w:type="spellEnd"/>
          </w:p>
        </w:tc>
        <w:tc>
          <w:tcPr>
            <w:tcW w:w="2410" w:type="dxa"/>
            <w:gridSpan w:val="2"/>
          </w:tcPr>
          <w:p w14:paraId="5968B22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sz w:val="18"/>
                <w:szCs w:val="18"/>
              </w:rPr>
            </w:pPr>
            <w:r w:rsidRPr="00F36855">
              <w:rPr>
                <w:rFonts w:asciiTheme="minorHAnsi" w:hAnsiTheme="minorHAnsi"/>
                <w:b/>
                <w:bCs/>
                <w:sz w:val="18"/>
                <w:szCs w:val="18"/>
              </w:rPr>
              <w:t>0.73 (0.55, 0.95)</w:t>
            </w:r>
          </w:p>
          <w:p w14:paraId="2087022C"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b/>
                <w:bCs/>
                <w:sz w:val="18"/>
                <w:szCs w:val="18"/>
              </w:rPr>
              <w:t>0.0093</w:t>
            </w:r>
          </w:p>
        </w:tc>
        <w:tc>
          <w:tcPr>
            <w:tcW w:w="2410" w:type="dxa"/>
            <w:gridSpan w:val="3"/>
          </w:tcPr>
          <w:p w14:paraId="766B0575"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0.86 (0.72, 1.04)</w:t>
            </w:r>
          </w:p>
          <w:p w14:paraId="02BD518B"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0.0563</w:t>
            </w:r>
          </w:p>
        </w:tc>
        <w:tc>
          <w:tcPr>
            <w:tcW w:w="2353" w:type="dxa"/>
            <w:gridSpan w:val="2"/>
          </w:tcPr>
          <w:p w14:paraId="33EDF4AC"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0.89 (0.76, 1.05)</w:t>
            </w:r>
          </w:p>
          <w:p w14:paraId="4AD046A6"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0.0797</w:t>
            </w:r>
            <w:r w:rsidRPr="005D084B">
              <w:rPr>
                <w:rFonts w:asciiTheme="minorHAnsi" w:hAnsiTheme="minorHAnsi"/>
                <w:sz w:val="18"/>
                <w:szCs w:val="18"/>
              </w:rPr>
              <w:t xml:space="preserve"> (nominal)</w:t>
            </w:r>
          </w:p>
        </w:tc>
      </w:tr>
      <w:tr w:rsidR="00BA2BC1" w:rsidRPr="001E767A" w14:paraId="16374FE1" w14:textId="77777777" w:rsidTr="008E4C16">
        <w:tc>
          <w:tcPr>
            <w:tcW w:w="1833" w:type="dxa"/>
          </w:tcPr>
          <w:p w14:paraId="4CB1C3F3"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Rate (%) at 6 months (95% CI)</w:t>
            </w:r>
          </w:p>
        </w:tc>
        <w:tc>
          <w:tcPr>
            <w:tcW w:w="1276" w:type="dxa"/>
          </w:tcPr>
          <w:p w14:paraId="5AB71BF0"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89 (84, 92)</w:t>
            </w:r>
          </w:p>
        </w:tc>
        <w:tc>
          <w:tcPr>
            <w:tcW w:w="1134" w:type="dxa"/>
          </w:tcPr>
          <w:p w14:paraId="3DB7BE26"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88 (80, 93)</w:t>
            </w:r>
          </w:p>
        </w:tc>
        <w:tc>
          <w:tcPr>
            <w:tcW w:w="1276" w:type="dxa"/>
          </w:tcPr>
          <w:p w14:paraId="4D068A3A"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87 (83, 90)</w:t>
            </w:r>
          </w:p>
        </w:tc>
        <w:tc>
          <w:tcPr>
            <w:tcW w:w="1134" w:type="dxa"/>
            <w:gridSpan w:val="2"/>
          </w:tcPr>
          <w:p w14:paraId="0EF1A56B"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89 (84, 93)</w:t>
            </w:r>
          </w:p>
        </w:tc>
        <w:tc>
          <w:tcPr>
            <w:tcW w:w="1275" w:type="dxa"/>
          </w:tcPr>
          <w:p w14:paraId="6763C53F"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86 (83, 89)</w:t>
            </w:r>
          </w:p>
        </w:tc>
        <w:tc>
          <w:tcPr>
            <w:tcW w:w="1078" w:type="dxa"/>
          </w:tcPr>
          <w:p w14:paraId="7992F7BF"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88 (83, 91)</w:t>
            </w:r>
          </w:p>
        </w:tc>
      </w:tr>
      <w:tr w:rsidR="00BA2BC1" w:rsidRPr="001E767A" w14:paraId="46E4C860" w14:textId="77777777" w:rsidTr="008E4C16">
        <w:tc>
          <w:tcPr>
            <w:tcW w:w="1833" w:type="dxa"/>
          </w:tcPr>
          <w:p w14:paraId="63001705"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Rate (%) at 12 months (95% CI)</w:t>
            </w:r>
          </w:p>
        </w:tc>
        <w:tc>
          <w:tcPr>
            <w:tcW w:w="1276" w:type="dxa"/>
          </w:tcPr>
          <w:p w14:paraId="15800212"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71 (64, 76)</w:t>
            </w:r>
          </w:p>
        </w:tc>
        <w:tc>
          <w:tcPr>
            <w:tcW w:w="1134" w:type="dxa"/>
          </w:tcPr>
          <w:p w14:paraId="6ADC2B8D"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64 (54, 73)</w:t>
            </w:r>
          </w:p>
        </w:tc>
        <w:tc>
          <w:tcPr>
            <w:tcW w:w="1276" w:type="dxa"/>
          </w:tcPr>
          <w:p w14:paraId="1B7FB736"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64 (60, 69)</w:t>
            </w:r>
          </w:p>
        </w:tc>
        <w:tc>
          <w:tcPr>
            <w:tcW w:w="1134" w:type="dxa"/>
            <w:gridSpan w:val="2"/>
          </w:tcPr>
          <w:p w14:paraId="0DA4572E"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63 (56, 70)</w:t>
            </w:r>
          </w:p>
        </w:tc>
        <w:tc>
          <w:tcPr>
            <w:tcW w:w="1275" w:type="dxa"/>
          </w:tcPr>
          <w:p w14:paraId="74B13AE7"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65 (60, 68)</w:t>
            </w:r>
          </w:p>
        </w:tc>
        <w:tc>
          <w:tcPr>
            <w:tcW w:w="1078" w:type="dxa"/>
          </w:tcPr>
          <w:p w14:paraId="4E2D9CCA"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62 (56, 68)</w:t>
            </w:r>
          </w:p>
        </w:tc>
      </w:tr>
      <w:tr w:rsidR="00BA2BC1" w:rsidRPr="001E767A" w14:paraId="7F6D8EF3" w14:textId="77777777" w:rsidTr="008E4C16">
        <w:tc>
          <w:tcPr>
            <w:tcW w:w="1833" w:type="dxa"/>
          </w:tcPr>
          <w:p w14:paraId="51E7E04B"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Rate (%) at 18 months (95% CI)</w:t>
            </w:r>
          </w:p>
        </w:tc>
        <w:tc>
          <w:tcPr>
            <w:tcW w:w="1276" w:type="dxa"/>
          </w:tcPr>
          <w:p w14:paraId="479479C8"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58 (51, 65)</w:t>
            </w:r>
          </w:p>
        </w:tc>
        <w:tc>
          <w:tcPr>
            <w:tcW w:w="1134" w:type="dxa"/>
          </w:tcPr>
          <w:p w14:paraId="2610D403"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45 (35, 54)</w:t>
            </w:r>
          </w:p>
        </w:tc>
        <w:tc>
          <w:tcPr>
            <w:tcW w:w="1276" w:type="dxa"/>
          </w:tcPr>
          <w:p w14:paraId="6EA22F35"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48 (44, 53)</w:t>
            </w:r>
          </w:p>
        </w:tc>
        <w:tc>
          <w:tcPr>
            <w:tcW w:w="1134" w:type="dxa"/>
            <w:gridSpan w:val="2"/>
          </w:tcPr>
          <w:p w14:paraId="5EFA065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41 (35, 48)</w:t>
            </w:r>
          </w:p>
        </w:tc>
        <w:tc>
          <w:tcPr>
            <w:tcW w:w="1275" w:type="dxa"/>
          </w:tcPr>
          <w:p w14:paraId="38D1AAF2"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48 (44, 52)</w:t>
            </w:r>
          </w:p>
        </w:tc>
        <w:tc>
          <w:tcPr>
            <w:tcW w:w="1078" w:type="dxa"/>
          </w:tcPr>
          <w:p w14:paraId="5E97C501"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42 (36, 48)</w:t>
            </w:r>
          </w:p>
        </w:tc>
      </w:tr>
      <w:tr w:rsidR="00BA2BC1" w:rsidRPr="001E767A" w14:paraId="70A80831" w14:textId="77777777" w:rsidTr="008E4C16">
        <w:tc>
          <w:tcPr>
            <w:tcW w:w="1833" w:type="dxa"/>
          </w:tcPr>
          <w:p w14:paraId="29120D72"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Rate (%) at 24 months (95% CI)</w:t>
            </w:r>
          </w:p>
        </w:tc>
        <w:tc>
          <w:tcPr>
            <w:tcW w:w="1276" w:type="dxa"/>
          </w:tcPr>
          <w:p w14:paraId="349A89FC"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48 (41, 55)</w:t>
            </w:r>
          </w:p>
        </w:tc>
        <w:tc>
          <w:tcPr>
            <w:tcW w:w="1134" w:type="dxa"/>
          </w:tcPr>
          <w:p w14:paraId="27AC4B89"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34 (25, 43)</w:t>
            </w:r>
          </w:p>
        </w:tc>
        <w:tc>
          <w:tcPr>
            <w:tcW w:w="1276" w:type="dxa"/>
          </w:tcPr>
          <w:p w14:paraId="17DA8915"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38 (33, 42)</w:t>
            </w:r>
          </w:p>
        </w:tc>
        <w:tc>
          <w:tcPr>
            <w:tcW w:w="1134" w:type="dxa"/>
            <w:gridSpan w:val="2"/>
          </w:tcPr>
          <w:p w14:paraId="35C9BAF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30 (24, 36)</w:t>
            </w:r>
          </w:p>
        </w:tc>
        <w:tc>
          <w:tcPr>
            <w:tcW w:w="1275" w:type="dxa"/>
          </w:tcPr>
          <w:p w14:paraId="1715F1B1"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36 (32, 40)</w:t>
            </w:r>
          </w:p>
        </w:tc>
        <w:tc>
          <w:tcPr>
            <w:tcW w:w="1078" w:type="dxa"/>
          </w:tcPr>
          <w:p w14:paraId="3FE5DEFB"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30 (25, 36)</w:t>
            </w:r>
          </w:p>
        </w:tc>
      </w:tr>
    </w:tbl>
    <w:p w14:paraId="3D6FC35D" w14:textId="597E775F" w:rsidR="002D7A83" w:rsidRDefault="00555A02" w:rsidP="004F05B7">
      <w:pPr>
        <w:pStyle w:val="TableDescription"/>
      </w:pPr>
      <w:r>
        <w:t xml:space="preserve">Abbreviations: </w:t>
      </w:r>
      <w:r w:rsidR="00BA2BC1" w:rsidRPr="00F36855">
        <w:t>PLB = placebo</w:t>
      </w:r>
      <w:r w:rsidR="002D7A83">
        <w:t xml:space="preserve">; </w:t>
      </w:r>
      <w:proofErr w:type="spellStart"/>
      <w:r w:rsidR="002D7A83">
        <w:t>Pembro</w:t>
      </w:r>
      <w:proofErr w:type="spellEnd"/>
      <w:r w:rsidR="002D7A83">
        <w:t xml:space="preserve"> = pembrolizumab; Chemo = chemotherapy; </w:t>
      </w:r>
      <w:r w:rsidR="003F0108">
        <w:t xml:space="preserve">CI = confidence interval; </w:t>
      </w:r>
      <w:r w:rsidR="002D7A83">
        <w:t>CPS = Combined Positive Score;</w:t>
      </w:r>
      <w:r w:rsidR="003F0108">
        <w:t xml:space="preserve"> HR = hazard ratio;</w:t>
      </w:r>
      <w:r w:rsidR="002D7A83">
        <w:t xml:space="preserve"> ITT = intent to treat; PFD = progression free survival; OS</w:t>
      </w:r>
      <w:r w:rsidR="003F0108">
        <w:t> </w:t>
      </w:r>
      <w:r w:rsidR="002D7A83">
        <w:t>=</w:t>
      </w:r>
      <w:r w:rsidR="003F0108">
        <w:t> </w:t>
      </w:r>
      <w:r w:rsidR="002D7A83">
        <w:t xml:space="preserve">overall survival; </w:t>
      </w:r>
      <w:r w:rsidR="002D7A83" w:rsidRPr="00887BAF">
        <w:t>FA</w:t>
      </w:r>
      <w:r w:rsidR="002D7A83">
        <w:t xml:space="preserve"> = final analysis</w:t>
      </w:r>
    </w:p>
    <w:p w14:paraId="794F24CD" w14:textId="7F2A30E4" w:rsidR="00BA2BC1" w:rsidRDefault="002D7A83" w:rsidP="004F05B7">
      <w:pPr>
        <w:pStyle w:val="TableDescription"/>
      </w:pPr>
      <w:r>
        <w:t>Note:</w:t>
      </w:r>
      <w:r w:rsidR="00BA2BC1" w:rsidRPr="00F36855">
        <w:t xml:space="preserve"> </w:t>
      </w:r>
      <w:r w:rsidR="00BA2BC1" w:rsidRPr="005D084B">
        <w:rPr>
          <w:b/>
          <w:bCs/>
        </w:rPr>
        <w:t>Bold text</w:t>
      </w:r>
      <w:r w:rsidR="00BA2BC1" w:rsidRPr="00F36855">
        <w:t xml:space="preserve"> = statistically significant per prespecified significance bounds</w:t>
      </w:r>
    </w:p>
    <w:p w14:paraId="10A28CDF" w14:textId="6A5C94F1" w:rsidR="003F0108" w:rsidRPr="005471F0" w:rsidRDefault="003F0108" w:rsidP="004F05B7">
      <w:pPr>
        <w:pStyle w:val="TableDescription"/>
      </w:pPr>
      <w:r>
        <w:t>For definition of combined positive scores (CPS),</w:t>
      </w:r>
      <w:r>
        <w:rPr>
          <w:vertAlign w:val="superscript"/>
        </w:rPr>
        <w:fldChar w:fldCharType="begin"/>
      </w:r>
      <w:r>
        <w:rPr>
          <w:vertAlign w:val="superscript"/>
        </w:rPr>
        <w:instrText xml:space="preserve"> NOTEREF _Ref134099386 \h  \* MERGEFORMAT </w:instrText>
      </w:r>
      <w:r>
        <w:rPr>
          <w:vertAlign w:val="superscript"/>
        </w:rPr>
      </w:r>
      <w:r>
        <w:rPr>
          <w:vertAlign w:val="superscript"/>
        </w:rPr>
        <w:fldChar w:fldCharType="separate"/>
      </w:r>
      <w:r w:rsidR="00A02570">
        <w:rPr>
          <w:vertAlign w:val="superscript"/>
        </w:rPr>
        <w:t>23</w:t>
      </w:r>
      <w:r>
        <w:rPr>
          <w:vertAlign w:val="superscript"/>
        </w:rPr>
        <w:fldChar w:fldCharType="end"/>
      </w:r>
      <w:r>
        <w:t xml:space="preserve"> see the relevant footnote.</w:t>
      </w:r>
    </w:p>
    <w:p w14:paraId="2A0EC44E" w14:textId="77777777" w:rsidR="005F5600" w:rsidRDefault="005F5600" w:rsidP="004F05B7">
      <w:pPr>
        <w:pStyle w:val="TableDescription"/>
      </w:pPr>
      <w:bookmarkStart w:id="75" w:name="_Hlk130769168"/>
      <w:r>
        <w:rPr>
          <w:vertAlign w:val="superscript"/>
        </w:rPr>
        <w:t xml:space="preserve">a </w:t>
      </w:r>
      <w:proofErr w:type="gramStart"/>
      <w:r>
        <w:t>From</w:t>
      </w:r>
      <w:proofErr w:type="gramEnd"/>
      <w:r>
        <w:t xml:space="preserve"> product-limit (Kaplan-Meier) method for censored data.</w:t>
      </w:r>
    </w:p>
    <w:p w14:paraId="138DB1E4" w14:textId="77777777" w:rsidR="005F5600" w:rsidRDefault="005F5600" w:rsidP="004F05B7">
      <w:pPr>
        <w:pStyle w:val="TableDescription"/>
      </w:pPr>
      <w:r>
        <w:rPr>
          <w:vertAlign w:val="superscript"/>
        </w:rPr>
        <w:t xml:space="preserve">b </w:t>
      </w:r>
      <w:r>
        <w:t xml:space="preserve">Based on a stratified Cox regression model with </w:t>
      </w:r>
      <w:proofErr w:type="spellStart"/>
      <w:r>
        <w:t>Efron’s</w:t>
      </w:r>
      <w:proofErr w:type="spellEnd"/>
      <w:r>
        <w:t xml:space="preserve"> method of tie handling.</w:t>
      </w:r>
    </w:p>
    <w:p w14:paraId="3DEE2B3B" w14:textId="77777777" w:rsidR="005F5600" w:rsidRDefault="005F5600" w:rsidP="004F05B7">
      <w:pPr>
        <w:pStyle w:val="TableDescription"/>
      </w:pPr>
      <w:r>
        <w:rPr>
          <w:vertAlign w:val="superscript"/>
          <w:lang w:val="en-US"/>
        </w:rPr>
        <w:t>c</w:t>
      </w:r>
      <w:r>
        <w:rPr>
          <w:vertAlign w:val="superscript"/>
        </w:rPr>
        <w:t xml:space="preserve"> </w:t>
      </w:r>
      <w:r>
        <w:t>One-sided p-value based on a stratified log-rank test.</w:t>
      </w:r>
    </w:p>
    <w:bookmarkEnd w:id="75"/>
    <w:p w14:paraId="0D3E7AF6" w14:textId="77777777" w:rsidR="005D2723" w:rsidRPr="00F36855" w:rsidRDefault="005D2723" w:rsidP="00BA2BC1">
      <w:pPr>
        <w:rPr>
          <w:sz w:val="18"/>
          <w:szCs w:val="18"/>
        </w:rPr>
      </w:pPr>
    </w:p>
    <w:p w14:paraId="6C43C6FA" w14:textId="7818DBAD" w:rsidR="00BA2BC1" w:rsidRDefault="00BA2BC1" w:rsidP="00BA2BC1">
      <w:pPr>
        <w:pStyle w:val="FigureTitle"/>
      </w:pPr>
      <w:r>
        <w:lastRenderedPageBreak/>
        <w:t xml:space="preserve">Figure </w:t>
      </w:r>
      <w:r>
        <w:fldChar w:fldCharType="begin"/>
      </w:r>
      <w:r>
        <w:instrText>SEQ Figure \* ARABIC</w:instrText>
      </w:r>
      <w:r>
        <w:fldChar w:fldCharType="separate"/>
      </w:r>
      <w:r w:rsidR="00A02570">
        <w:rPr>
          <w:noProof/>
        </w:rPr>
        <w:t>8</w:t>
      </w:r>
      <w:r>
        <w:fldChar w:fldCharType="end"/>
      </w:r>
      <w:r w:rsidR="00F71757">
        <w:rPr>
          <w:noProof/>
        </w:rPr>
        <w:t>:</w:t>
      </w:r>
      <w:r>
        <w:t xml:space="preserve"> </w:t>
      </w:r>
      <w:r w:rsidR="00E25D6F">
        <w:t xml:space="preserve">Study KN-355 (KEYNOTE 355 trial) </w:t>
      </w:r>
      <w:r>
        <w:t xml:space="preserve">Kaplan-Meier estimates of </w:t>
      </w:r>
      <w:r w:rsidR="00F71757">
        <w:t>overall survival</w:t>
      </w:r>
      <w:r>
        <w:t xml:space="preserve"> in subjects with CPS ≥ 10 (ITT) (</w:t>
      </w:r>
      <w:r w:rsidR="00F71757">
        <w:t>final analysis</w:t>
      </w:r>
      <w:r>
        <w:t>)</w:t>
      </w:r>
    </w:p>
    <w:p w14:paraId="7F35646B" w14:textId="03B7BA37" w:rsidR="00BA2BC1" w:rsidRDefault="00F71757" w:rsidP="00BA2BC1">
      <w:r>
        <w:rPr>
          <w:noProof/>
          <w:lang w:val="en-GB" w:eastAsia="en-GB"/>
        </w:rPr>
        <w:drawing>
          <wp:inline distT="0" distB="0" distL="0" distR="0" wp14:anchorId="4E1FB889" wp14:editId="38EDFC12">
            <wp:extent cx="5400040" cy="4258310"/>
            <wp:effectExtent l="0" t="0" r="0" b="8890"/>
            <wp:docPr id="10" name="Picture 10" descr="This figure shows Kaplan-Meier estimates of overall survival in subjects with CPS ≥ 10 in the intent to treat population at the final analysis.  The graph shows the percentage of overall survival versus time in months for the two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figure shows Kaplan-Meier estimates of overall survival in subjects with CPS ≥ 10 in the intent to treat population at the final analysis.  The graph shows the percentage of overall survival versus time in months for the two arms."/>
                    <pic:cNvPicPr/>
                  </pic:nvPicPr>
                  <pic:blipFill>
                    <a:blip r:embed="rId50"/>
                    <a:stretch>
                      <a:fillRect/>
                    </a:stretch>
                  </pic:blipFill>
                  <pic:spPr>
                    <a:xfrm>
                      <a:off x="0" y="0"/>
                      <a:ext cx="5400040" cy="4258310"/>
                    </a:xfrm>
                    <a:prstGeom prst="rect">
                      <a:avLst/>
                    </a:prstGeom>
                  </pic:spPr>
                </pic:pic>
              </a:graphicData>
            </a:graphic>
          </wp:inline>
        </w:drawing>
      </w:r>
    </w:p>
    <w:p w14:paraId="3E5A69F6" w14:textId="77777777" w:rsidR="00BA2BC1" w:rsidRDefault="00BA2BC1" w:rsidP="00BA2BC1"/>
    <w:p w14:paraId="2D9FDD68" w14:textId="02A24DA5" w:rsidR="00BA2BC1" w:rsidRDefault="00BA2BC1" w:rsidP="00BA2BC1">
      <w:pPr>
        <w:pStyle w:val="FigureTitle"/>
      </w:pPr>
      <w:r>
        <w:lastRenderedPageBreak/>
        <w:t xml:space="preserve">Figure </w:t>
      </w:r>
      <w:r>
        <w:fldChar w:fldCharType="begin"/>
      </w:r>
      <w:r>
        <w:instrText>SEQ Figure \* ARABIC</w:instrText>
      </w:r>
      <w:r>
        <w:fldChar w:fldCharType="separate"/>
      </w:r>
      <w:r w:rsidR="00A02570">
        <w:rPr>
          <w:noProof/>
        </w:rPr>
        <w:t>9</w:t>
      </w:r>
      <w:r>
        <w:fldChar w:fldCharType="end"/>
      </w:r>
      <w:r w:rsidR="00F71757">
        <w:rPr>
          <w:noProof/>
        </w:rPr>
        <w:t>:</w:t>
      </w:r>
      <w:r>
        <w:t xml:space="preserve"> </w:t>
      </w:r>
      <w:r w:rsidR="00E25D6F">
        <w:t xml:space="preserve">Study KN-355 (KEYNOTE 355 trial) </w:t>
      </w:r>
      <w:r>
        <w:t xml:space="preserve">Kaplan-Meier estimates of </w:t>
      </w:r>
      <w:r w:rsidR="00F71757">
        <w:t>progression free survival</w:t>
      </w:r>
      <w:r>
        <w:t xml:space="preserve"> by </w:t>
      </w:r>
      <w:r w:rsidR="00E25D6F">
        <w:t>b</w:t>
      </w:r>
      <w:r w:rsidR="00F71757">
        <w:t>linded independent central radiology review</w:t>
      </w:r>
      <w:r>
        <w:t xml:space="preserve"> assessment per RECIST 1.1; subjects with CPS</w:t>
      </w:r>
      <w:r w:rsidR="00887BAF">
        <w:t> </w:t>
      </w:r>
      <w:r>
        <w:t>≥ 10 (ITT) (IA2)</w:t>
      </w:r>
    </w:p>
    <w:p w14:paraId="68FDACDB" w14:textId="7D2A0437" w:rsidR="00BA2BC1" w:rsidRDefault="00BA2BC1" w:rsidP="00BA2BC1">
      <w:pPr>
        <w:pStyle w:val="FigureTitle"/>
      </w:pPr>
      <w:r w:rsidRPr="005E4043">
        <w:rPr>
          <w:noProof/>
          <w:lang w:val="en-GB" w:eastAsia="en-GB"/>
        </w:rPr>
        <w:drawing>
          <wp:inline distT="0" distB="0" distL="0" distR="0" wp14:anchorId="277BEC93" wp14:editId="488FE698">
            <wp:extent cx="5282119" cy="4233109"/>
            <wp:effectExtent l="0" t="0" r="0" b="0"/>
            <wp:docPr id="259" name="Picture 259" descr="This figure shows Kaplan-Meier estimates of progression free survival by Blinded independent central radiology review assessment per RECIST 1.1; subjects with CPS ≥ 10 in the intent to treat population at the second interim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This figure shows Kaplan-Meier estimates of progression free survival by Blinded independent central radiology review assessment per RECIST 1.1; subjects with CPS ≥ 10 in the intent to treat population at the second interim analysi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86892" cy="4236934"/>
                    </a:xfrm>
                    <a:prstGeom prst="rect">
                      <a:avLst/>
                    </a:prstGeom>
                    <a:noFill/>
                    <a:ln>
                      <a:noFill/>
                    </a:ln>
                  </pic:spPr>
                </pic:pic>
              </a:graphicData>
            </a:graphic>
          </wp:inline>
        </w:drawing>
      </w:r>
    </w:p>
    <w:p w14:paraId="4FF0B8B3" w14:textId="7CCACDF8" w:rsidR="003F0108" w:rsidRDefault="003F0108" w:rsidP="00DC4F08">
      <w:pPr>
        <w:pStyle w:val="FigureDescription"/>
      </w:pPr>
      <w:r>
        <w:t>For definition of combined positive scores (CPS),</w:t>
      </w:r>
      <w:r>
        <w:rPr>
          <w:vertAlign w:val="superscript"/>
        </w:rPr>
        <w:fldChar w:fldCharType="begin"/>
      </w:r>
      <w:r>
        <w:rPr>
          <w:vertAlign w:val="superscript"/>
        </w:rPr>
        <w:instrText xml:space="preserve"> NOTEREF _Ref134099386 \h  \* MERGEFORMAT </w:instrText>
      </w:r>
      <w:r>
        <w:rPr>
          <w:vertAlign w:val="superscript"/>
        </w:rPr>
      </w:r>
      <w:r>
        <w:rPr>
          <w:vertAlign w:val="superscript"/>
        </w:rPr>
        <w:fldChar w:fldCharType="separate"/>
      </w:r>
      <w:r w:rsidR="00A02570">
        <w:rPr>
          <w:vertAlign w:val="superscript"/>
        </w:rPr>
        <w:t>23</w:t>
      </w:r>
      <w:r>
        <w:rPr>
          <w:vertAlign w:val="superscript"/>
        </w:rPr>
        <w:fldChar w:fldCharType="end"/>
      </w:r>
      <w:r>
        <w:t xml:space="preserve"> see the relevant footnote.</w:t>
      </w:r>
    </w:p>
    <w:p w14:paraId="724CFDCA" w14:textId="46A08C34" w:rsidR="00BA2BC1" w:rsidRDefault="00FA69AC" w:rsidP="005471F0">
      <w:pPr>
        <w:pStyle w:val="Heading4"/>
      </w:pPr>
      <w:r>
        <w:t xml:space="preserve">Study </w:t>
      </w:r>
      <w:r w:rsidR="00BA2BC1">
        <w:t>KN-119</w:t>
      </w:r>
      <w:r w:rsidR="00670B6A">
        <w:t xml:space="preserve"> (KEYNOTE 119 trial)</w:t>
      </w:r>
    </w:p>
    <w:p w14:paraId="17C305CF" w14:textId="05A250AF" w:rsidR="00670B6A" w:rsidRPr="00870904" w:rsidRDefault="00670B6A" w:rsidP="005471F0">
      <w:pPr>
        <w:pStyle w:val="Heading5"/>
      </w:pPr>
      <w:r>
        <w:t>Study overview</w:t>
      </w:r>
    </w:p>
    <w:p w14:paraId="55695509" w14:textId="77777777" w:rsidR="002D7FFB" w:rsidRDefault="002D7A83" w:rsidP="00BA2BC1">
      <w:r>
        <w:t>Study KN-119</w:t>
      </w:r>
      <w:r w:rsidR="00BA2BC1">
        <w:t xml:space="preserve"> was a randomised, open-label, Phase III trial of pembrolizumab </w:t>
      </w:r>
      <w:r w:rsidR="003017B4">
        <w:t>versus</w:t>
      </w:r>
      <w:r w:rsidR="00BA2BC1">
        <w:t xml:space="preserve"> single</w:t>
      </w:r>
      <w:r w:rsidR="00E012C7">
        <w:t xml:space="preserve"> </w:t>
      </w:r>
      <w:r w:rsidR="00BA2BC1">
        <w:t>drug chemotherapy in patients with metastatic TNBC who had already received one or two previous systemic therapies for m</w:t>
      </w:r>
      <w:r>
        <w:t xml:space="preserve">etastatic </w:t>
      </w:r>
      <w:r w:rsidR="00BA2BC1">
        <w:t xml:space="preserve">TNBC and had previously received an anthracycline and/or </w:t>
      </w:r>
      <w:proofErr w:type="spellStart"/>
      <w:r w:rsidR="00BA2BC1">
        <w:t>taxane</w:t>
      </w:r>
      <w:proofErr w:type="spellEnd"/>
      <w:r w:rsidR="00BA2BC1">
        <w:t xml:space="preserve"> in the (neo)adjuvant or metastatic setting.</w:t>
      </w:r>
    </w:p>
    <w:p w14:paraId="49BEC227" w14:textId="73C20D74" w:rsidR="002D7FFB" w:rsidRDefault="00BA2BC1" w:rsidP="00BA2BC1">
      <w:r>
        <w:t xml:space="preserve">Patients received pembrolizumab 200 mg </w:t>
      </w:r>
      <w:r w:rsidR="00E012C7">
        <w:t>once every three weeks</w:t>
      </w:r>
      <w:r>
        <w:t xml:space="preserve"> (n = 312) or </w:t>
      </w:r>
      <w:r w:rsidR="00670B6A">
        <w:t xml:space="preserve">treatment (chemotherapy) of </w:t>
      </w:r>
      <w:r>
        <w:t>physician’s choice (TPC</w:t>
      </w:r>
      <w:r w:rsidR="00670B6A">
        <w:t xml:space="preserve">; </w:t>
      </w:r>
      <w:r>
        <w:t xml:space="preserve">capecitabine or </w:t>
      </w:r>
      <w:proofErr w:type="spellStart"/>
      <w:r>
        <w:t>eribulin</w:t>
      </w:r>
      <w:proofErr w:type="spellEnd"/>
      <w:r>
        <w:t xml:space="preserve"> or gemcitabine or vinorelbine) (n</w:t>
      </w:r>
      <w:r w:rsidR="002D7A83">
        <w:t> </w:t>
      </w:r>
      <w:r>
        <w:t>= 310), continued until disease progression or unacceptable toxicity.</w:t>
      </w:r>
    </w:p>
    <w:p w14:paraId="32C54912" w14:textId="77777777" w:rsidR="002D7FFB" w:rsidRDefault="006A6DD4" w:rsidP="00BA2BC1">
      <w:r>
        <w:t xml:space="preserve">Of the participants, </w:t>
      </w:r>
      <w:r w:rsidR="00BA2BC1">
        <w:t>99.7% of participants were women (</w:t>
      </w:r>
      <w:r w:rsidR="002D7A83">
        <w:t>two</w:t>
      </w:r>
      <w:r w:rsidR="00BA2BC1">
        <w:t xml:space="preserve"> were men, both assigned to TPC), with median age 52 years. 58.4% were White. 65.1% had PD-L1 CPS ≥ 1 and 31.2% had CPS ≥ 10.</w:t>
      </w:r>
    </w:p>
    <w:p w14:paraId="36FEA2D0" w14:textId="7DDC7E36" w:rsidR="002D7FFB" w:rsidRDefault="00BA2BC1" w:rsidP="00BA2BC1">
      <w:r>
        <w:t xml:space="preserve">Most patients discontinued treatment due to progressive disease. Discontinuations due to </w:t>
      </w:r>
      <w:r w:rsidR="002D7A83">
        <w:t>adverse events</w:t>
      </w:r>
      <w:r>
        <w:t xml:space="preserve"> were similar in each arm (</w:t>
      </w:r>
      <w:r w:rsidR="003017B4">
        <w:t>pembrolizumab</w:t>
      </w:r>
      <w:r>
        <w:t xml:space="preserve"> 4.5% and TPC 5.</w:t>
      </w:r>
      <w:r w:rsidR="004F1931">
        <w:t>5</w:t>
      </w:r>
      <w:r>
        <w:t>%).</w:t>
      </w:r>
    </w:p>
    <w:p w14:paraId="7949584E" w14:textId="065A8ED2" w:rsidR="00BA2BC1" w:rsidRDefault="00BA2BC1" w:rsidP="00BA2BC1">
      <w:r>
        <w:t>Median duration of follow up at the final analysis (</w:t>
      </w:r>
      <w:r w:rsidR="002D7A83">
        <w:t xml:space="preserve">data cut off: </w:t>
      </w:r>
      <w:r>
        <w:t>11 Apr</w:t>
      </w:r>
      <w:r w:rsidR="002D7A83">
        <w:t xml:space="preserve">il </w:t>
      </w:r>
      <w:r>
        <w:t>2019) was 9.9</w:t>
      </w:r>
      <w:r w:rsidR="002D7A83">
        <w:t> </w:t>
      </w:r>
      <w:r>
        <w:t xml:space="preserve">months for </w:t>
      </w:r>
      <w:r w:rsidR="003017B4">
        <w:t>pembrolizumab</w:t>
      </w:r>
      <w:r>
        <w:t xml:space="preserve"> and 10.9 months for the TPC arm.</w:t>
      </w:r>
    </w:p>
    <w:p w14:paraId="5B25B254" w14:textId="1443B7DD" w:rsidR="00670B6A" w:rsidRDefault="00670B6A" w:rsidP="005471F0">
      <w:pPr>
        <w:pStyle w:val="Heading5"/>
      </w:pPr>
      <w:r>
        <w:lastRenderedPageBreak/>
        <w:t>Efficacy</w:t>
      </w:r>
    </w:p>
    <w:p w14:paraId="05884750" w14:textId="293388B1" w:rsidR="00BA2BC1" w:rsidRPr="00BE5C3B" w:rsidRDefault="4F12048B" w:rsidP="00BA2BC1">
      <w:r>
        <w:t>The success criterion for t</w:t>
      </w:r>
      <w:r w:rsidR="00BA2BC1">
        <w:t xml:space="preserve">he primary efficacy endpoint of </w:t>
      </w:r>
      <w:r w:rsidR="002D7A83">
        <w:t>overall survival</w:t>
      </w:r>
      <w:r w:rsidR="00BA2BC1">
        <w:t xml:space="preserve"> was not met, either in patients with CPS</w:t>
      </w:r>
      <w:r w:rsidR="002D7A83">
        <w:t> </w:t>
      </w:r>
      <w:r w:rsidR="00BA2BC1">
        <w:t xml:space="preserve">≥ 10, CPS ≥ 1, or in all participants. There was an apparent trend for lower hazard ratio with greater PD-L1 expression. Results are shown </w:t>
      </w:r>
      <w:r w:rsidR="002D7A83">
        <w:t xml:space="preserve">in </w:t>
      </w:r>
      <w:r w:rsidR="002D7A83">
        <w:fldChar w:fldCharType="begin"/>
      </w:r>
      <w:r w:rsidR="002D7A83">
        <w:instrText xml:space="preserve"> REF _Ref130221824 \h </w:instrText>
      </w:r>
      <w:r w:rsidR="002D7A83">
        <w:fldChar w:fldCharType="separate"/>
      </w:r>
      <w:r w:rsidR="00A02570">
        <w:t xml:space="preserve">Table </w:t>
      </w:r>
      <w:r w:rsidR="00A02570">
        <w:rPr>
          <w:noProof/>
        </w:rPr>
        <w:t>20</w:t>
      </w:r>
      <w:r w:rsidR="002D7A83">
        <w:fldChar w:fldCharType="end"/>
      </w:r>
      <w:r w:rsidR="002D7A83">
        <w:t>.</w:t>
      </w:r>
    </w:p>
    <w:p w14:paraId="76E9ABED" w14:textId="1D1CC520" w:rsidR="00BA2BC1" w:rsidRDefault="00BA2BC1" w:rsidP="00BA2BC1">
      <w:pPr>
        <w:pStyle w:val="TableTitle"/>
      </w:pPr>
      <w:bookmarkStart w:id="76" w:name="_Ref130221824"/>
      <w:r>
        <w:t xml:space="preserve">Table </w:t>
      </w:r>
      <w:r>
        <w:fldChar w:fldCharType="begin"/>
      </w:r>
      <w:r>
        <w:instrText>SEQ Table \* ARABIC</w:instrText>
      </w:r>
      <w:r>
        <w:fldChar w:fldCharType="separate"/>
      </w:r>
      <w:r w:rsidR="00A02570">
        <w:rPr>
          <w:noProof/>
        </w:rPr>
        <w:t>20</w:t>
      </w:r>
      <w:r>
        <w:fldChar w:fldCharType="end"/>
      </w:r>
      <w:bookmarkEnd w:id="76"/>
      <w:r w:rsidR="00BB7D6C">
        <w:rPr>
          <w:noProof/>
        </w:rPr>
        <w:t>:</w:t>
      </w:r>
      <w:r>
        <w:t xml:space="preserve"> </w:t>
      </w:r>
      <w:r w:rsidR="00670B6A">
        <w:t xml:space="preserve">Study KN-119 (KEYNOTE 119 trial) </w:t>
      </w:r>
      <w:r>
        <w:t xml:space="preserve">Summary of </w:t>
      </w:r>
      <w:r w:rsidR="00670B6A">
        <w:t>o</w:t>
      </w:r>
      <w:r>
        <w:t xml:space="preserve">verall </w:t>
      </w:r>
      <w:r w:rsidR="00670B6A">
        <w:t>s</w:t>
      </w:r>
      <w:r>
        <w:t>urvival (</w:t>
      </w:r>
      <w:r w:rsidR="00670B6A">
        <w:t>f</w:t>
      </w:r>
      <w:r w:rsidR="00887BAF">
        <w:t xml:space="preserve">inal </w:t>
      </w:r>
      <w:r w:rsidR="00670B6A">
        <w:t>a</w:t>
      </w:r>
      <w:r w:rsidR="00887BAF">
        <w:t xml:space="preserve">nalysis; </w:t>
      </w:r>
      <w:r w:rsidR="00670B6A">
        <w:t>d</w:t>
      </w:r>
      <w:r w:rsidR="00887BAF">
        <w:t>ata cut-off</w:t>
      </w:r>
      <w:r>
        <w:t xml:space="preserve"> 11 Apr</w:t>
      </w:r>
      <w:r w:rsidR="00887BAF">
        <w:t>il</w:t>
      </w:r>
      <w:r>
        <w:t xml:space="preserve"> 2019)</w:t>
      </w:r>
    </w:p>
    <w:tbl>
      <w:tblPr>
        <w:tblStyle w:val="TableTGAblue2"/>
        <w:tblW w:w="0" w:type="auto"/>
        <w:tblLook w:val="04A0" w:firstRow="1" w:lastRow="0" w:firstColumn="1" w:lastColumn="0" w:noHBand="0" w:noVBand="1"/>
      </w:tblPr>
      <w:tblGrid>
        <w:gridCol w:w="1677"/>
        <w:gridCol w:w="1214"/>
        <w:gridCol w:w="1060"/>
        <w:gridCol w:w="1214"/>
        <w:gridCol w:w="815"/>
        <w:gridCol w:w="262"/>
        <w:gridCol w:w="1213"/>
        <w:gridCol w:w="1029"/>
      </w:tblGrid>
      <w:tr w:rsidR="00BA2BC1" w:rsidRPr="00F36855" w14:paraId="6D3B7D0D" w14:textId="77777777" w:rsidTr="008E4C16">
        <w:trPr>
          <w:cnfStyle w:val="100000000000" w:firstRow="1" w:lastRow="0" w:firstColumn="0" w:lastColumn="0" w:oddVBand="0" w:evenVBand="0" w:oddHBand="0" w:evenHBand="0" w:firstRowFirstColumn="0" w:firstRowLastColumn="0" w:lastRowFirstColumn="0" w:lastRowLastColumn="0"/>
        </w:trPr>
        <w:tc>
          <w:tcPr>
            <w:tcW w:w="1833" w:type="dxa"/>
            <w:vMerge w:val="restart"/>
          </w:tcPr>
          <w:p w14:paraId="7D758B9F" w14:textId="77777777" w:rsidR="00BA2BC1" w:rsidRPr="00F36855" w:rsidRDefault="00BA2BC1" w:rsidP="008E4C16">
            <w:pPr>
              <w:keepLines/>
              <w:autoSpaceDE w:val="0"/>
              <w:autoSpaceDN w:val="0"/>
              <w:adjustRightInd w:val="0"/>
              <w:spacing w:before="0" w:after="0" w:line="276" w:lineRule="auto"/>
              <w:jc w:val="center"/>
              <w:rPr>
                <w:rFonts w:asciiTheme="minorHAnsi" w:hAnsiTheme="minorHAnsi"/>
                <w:bCs/>
                <w:sz w:val="18"/>
                <w:szCs w:val="18"/>
              </w:rPr>
            </w:pPr>
          </w:p>
        </w:tc>
        <w:tc>
          <w:tcPr>
            <w:tcW w:w="2410" w:type="dxa"/>
            <w:gridSpan w:val="2"/>
          </w:tcPr>
          <w:p w14:paraId="217A3B97" w14:textId="77777777" w:rsidR="00BA2BC1" w:rsidRPr="00F36855" w:rsidRDefault="00BA2BC1" w:rsidP="008E4C16">
            <w:pPr>
              <w:keepLines/>
              <w:autoSpaceDE w:val="0"/>
              <w:autoSpaceDN w:val="0"/>
              <w:adjustRightInd w:val="0"/>
              <w:spacing w:before="0" w:after="0" w:line="276" w:lineRule="auto"/>
              <w:jc w:val="center"/>
              <w:rPr>
                <w:rFonts w:asciiTheme="minorHAnsi" w:hAnsiTheme="minorHAnsi"/>
                <w:sz w:val="18"/>
                <w:szCs w:val="18"/>
              </w:rPr>
            </w:pPr>
            <w:r w:rsidRPr="001E767A">
              <w:rPr>
                <w:rFonts w:asciiTheme="minorHAnsi" w:hAnsiTheme="minorHAnsi"/>
                <w:sz w:val="18"/>
                <w:szCs w:val="18"/>
              </w:rPr>
              <w:t>CPS</w:t>
            </w:r>
            <w:r w:rsidRPr="00F36855">
              <w:rPr>
                <w:rFonts w:asciiTheme="minorHAnsi" w:hAnsiTheme="minorHAnsi"/>
                <w:sz w:val="18"/>
                <w:szCs w:val="18"/>
              </w:rPr>
              <w:t xml:space="preserve"> </w:t>
            </w:r>
            <w:r w:rsidRPr="00F36855">
              <w:rPr>
                <w:rFonts w:asciiTheme="minorHAnsi" w:hAnsiTheme="minorHAnsi" w:cs="Calibri"/>
                <w:sz w:val="18"/>
                <w:szCs w:val="18"/>
              </w:rPr>
              <w:t>≥</w:t>
            </w:r>
            <w:r w:rsidRPr="001E767A">
              <w:rPr>
                <w:rFonts w:asciiTheme="minorHAnsi" w:hAnsiTheme="minorHAnsi" w:cs="Calibri"/>
                <w:sz w:val="18"/>
                <w:szCs w:val="18"/>
              </w:rPr>
              <w:t xml:space="preserve"> </w:t>
            </w:r>
            <w:r w:rsidRPr="00F36855">
              <w:rPr>
                <w:rFonts w:asciiTheme="minorHAnsi" w:hAnsiTheme="minorHAnsi"/>
                <w:sz w:val="18"/>
                <w:szCs w:val="18"/>
              </w:rPr>
              <w:t>10</w:t>
            </w:r>
          </w:p>
        </w:tc>
        <w:tc>
          <w:tcPr>
            <w:tcW w:w="2123" w:type="dxa"/>
            <w:gridSpan w:val="2"/>
          </w:tcPr>
          <w:p w14:paraId="694CC7D3" w14:textId="77777777" w:rsidR="00BA2BC1" w:rsidRPr="00F36855" w:rsidRDefault="00BA2BC1" w:rsidP="008E4C16">
            <w:pPr>
              <w:keepLines/>
              <w:autoSpaceDE w:val="0"/>
              <w:autoSpaceDN w:val="0"/>
              <w:adjustRightInd w:val="0"/>
              <w:spacing w:before="0" w:after="0" w:line="276" w:lineRule="auto"/>
              <w:jc w:val="center"/>
              <w:rPr>
                <w:rFonts w:asciiTheme="minorHAnsi" w:hAnsiTheme="minorHAnsi"/>
                <w:sz w:val="18"/>
                <w:szCs w:val="18"/>
              </w:rPr>
            </w:pPr>
            <w:r w:rsidRPr="001E767A">
              <w:rPr>
                <w:rFonts w:asciiTheme="minorHAnsi" w:hAnsiTheme="minorHAnsi"/>
                <w:sz w:val="18"/>
                <w:szCs w:val="18"/>
              </w:rPr>
              <w:t>CPS</w:t>
            </w:r>
            <w:r w:rsidRPr="00F36855">
              <w:rPr>
                <w:rFonts w:asciiTheme="minorHAnsi" w:hAnsiTheme="minorHAnsi"/>
                <w:sz w:val="18"/>
                <w:szCs w:val="18"/>
              </w:rPr>
              <w:t xml:space="preserve"> </w:t>
            </w:r>
            <w:r w:rsidRPr="00F36855">
              <w:rPr>
                <w:rFonts w:asciiTheme="minorHAnsi" w:hAnsiTheme="minorHAnsi" w:cs="Calibri"/>
                <w:sz w:val="18"/>
                <w:szCs w:val="18"/>
              </w:rPr>
              <w:t>≥</w:t>
            </w:r>
            <w:r w:rsidRPr="001E767A">
              <w:rPr>
                <w:rFonts w:asciiTheme="minorHAnsi" w:hAnsiTheme="minorHAnsi" w:cs="Calibri"/>
                <w:sz w:val="18"/>
                <w:szCs w:val="18"/>
              </w:rPr>
              <w:t xml:space="preserve"> </w:t>
            </w:r>
            <w:r w:rsidRPr="00F36855">
              <w:rPr>
                <w:rFonts w:asciiTheme="minorHAnsi" w:hAnsiTheme="minorHAnsi"/>
                <w:sz w:val="18"/>
                <w:szCs w:val="18"/>
              </w:rPr>
              <w:t>1</w:t>
            </w:r>
          </w:p>
        </w:tc>
        <w:tc>
          <w:tcPr>
            <w:tcW w:w="2640" w:type="dxa"/>
            <w:gridSpan w:val="3"/>
          </w:tcPr>
          <w:p w14:paraId="419ADDCB" w14:textId="77777777" w:rsidR="00BA2BC1" w:rsidRPr="00F36855" w:rsidRDefault="00BA2BC1" w:rsidP="008E4C16">
            <w:pPr>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ITT</w:t>
            </w:r>
          </w:p>
        </w:tc>
      </w:tr>
      <w:tr w:rsidR="00BA2BC1" w:rsidRPr="001E767A" w14:paraId="72F049DF" w14:textId="77777777" w:rsidTr="008E4C16">
        <w:tc>
          <w:tcPr>
            <w:tcW w:w="1833" w:type="dxa"/>
            <w:vMerge/>
          </w:tcPr>
          <w:p w14:paraId="1E39406E"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p>
        </w:tc>
        <w:tc>
          <w:tcPr>
            <w:tcW w:w="1276" w:type="dxa"/>
            <w:shd w:val="clear" w:color="auto" w:fill="006EA8"/>
          </w:tcPr>
          <w:p w14:paraId="1569743C" w14:textId="77777777" w:rsidR="00BA2BC1" w:rsidRPr="00B116F9"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proofErr w:type="spellStart"/>
            <w:r w:rsidRPr="00F36855">
              <w:rPr>
                <w:rFonts w:asciiTheme="minorHAnsi" w:hAnsiTheme="minorHAnsi"/>
                <w:b/>
                <w:bCs/>
                <w:color w:val="FFFFFF"/>
                <w:sz w:val="18"/>
                <w:szCs w:val="18"/>
              </w:rPr>
              <w:t>Pembro</w:t>
            </w:r>
            <w:proofErr w:type="spellEnd"/>
          </w:p>
          <w:p w14:paraId="099CE516"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B116F9">
              <w:rPr>
                <w:rFonts w:asciiTheme="minorHAnsi" w:hAnsiTheme="minorHAnsi"/>
                <w:b/>
                <w:bCs/>
                <w:color w:val="FFFFFF"/>
                <w:sz w:val="18"/>
                <w:szCs w:val="18"/>
              </w:rPr>
              <w:t>N=</w:t>
            </w:r>
            <w:r>
              <w:rPr>
                <w:rFonts w:asciiTheme="minorHAnsi" w:hAnsiTheme="minorHAnsi"/>
                <w:b/>
                <w:bCs/>
                <w:color w:val="FFFFFF"/>
                <w:sz w:val="18"/>
                <w:szCs w:val="18"/>
              </w:rPr>
              <w:t>96</w:t>
            </w:r>
          </w:p>
        </w:tc>
        <w:tc>
          <w:tcPr>
            <w:tcW w:w="1134" w:type="dxa"/>
            <w:shd w:val="clear" w:color="auto" w:fill="006EA8"/>
          </w:tcPr>
          <w:p w14:paraId="630D34D0" w14:textId="77777777" w:rsidR="00BA2BC1" w:rsidRPr="00B116F9"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TPC</w:t>
            </w:r>
          </w:p>
          <w:p w14:paraId="0CAFF5C5"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sidRPr="00B116F9">
              <w:rPr>
                <w:rFonts w:asciiTheme="minorHAnsi" w:hAnsiTheme="minorHAnsi"/>
                <w:b/>
                <w:bCs/>
                <w:color w:val="FFFFFF"/>
                <w:sz w:val="18"/>
                <w:szCs w:val="18"/>
              </w:rPr>
              <w:t>N=</w:t>
            </w:r>
            <w:r>
              <w:rPr>
                <w:rFonts w:asciiTheme="minorHAnsi" w:hAnsiTheme="minorHAnsi"/>
                <w:b/>
                <w:bCs/>
                <w:color w:val="FFFFFF"/>
                <w:sz w:val="18"/>
                <w:szCs w:val="18"/>
              </w:rPr>
              <w:t>98</w:t>
            </w:r>
          </w:p>
        </w:tc>
        <w:tc>
          <w:tcPr>
            <w:tcW w:w="1276" w:type="dxa"/>
            <w:shd w:val="clear" w:color="auto" w:fill="006EA8"/>
          </w:tcPr>
          <w:p w14:paraId="557430C0"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proofErr w:type="spellStart"/>
            <w:r w:rsidRPr="00F36855">
              <w:rPr>
                <w:rFonts w:asciiTheme="minorHAnsi" w:hAnsiTheme="minorHAnsi"/>
                <w:b/>
                <w:bCs/>
                <w:color w:val="FFFFFF"/>
                <w:sz w:val="18"/>
                <w:szCs w:val="18"/>
              </w:rPr>
              <w:t>Pembro</w:t>
            </w:r>
            <w:proofErr w:type="spellEnd"/>
          </w:p>
          <w:p w14:paraId="657F19B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N=203</w:t>
            </w:r>
          </w:p>
        </w:tc>
        <w:tc>
          <w:tcPr>
            <w:tcW w:w="1134" w:type="dxa"/>
            <w:gridSpan w:val="2"/>
            <w:shd w:val="clear" w:color="auto" w:fill="006EA8"/>
          </w:tcPr>
          <w:p w14:paraId="5809F411"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TPC</w:t>
            </w:r>
          </w:p>
          <w:p w14:paraId="10E51CAD"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N=202</w:t>
            </w:r>
          </w:p>
        </w:tc>
        <w:tc>
          <w:tcPr>
            <w:tcW w:w="1275" w:type="dxa"/>
            <w:shd w:val="clear" w:color="auto" w:fill="006EA8"/>
          </w:tcPr>
          <w:p w14:paraId="4089CCEC"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proofErr w:type="spellStart"/>
            <w:r w:rsidRPr="00F36855">
              <w:rPr>
                <w:rFonts w:asciiTheme="minorHAnsi" w:hAnsiTheme="minorHAnsi"/>
                <w:b/>
                <w:bCs/>
                <w:color w:val="FFFFFF"/>
                <w:sz w:val="18"/>
                <w:szCs w:val="18"/>
              </w:rPr>
              <w:t>Pembro</w:t>
            </w:r>
            <w:proofErr w:type="spellEnd"/>
          </w:p>
          <w:p w14:paraId="01875CCB"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N=312</w:t>
            </w:r>
          </w:p>
        </w:tc>
        <w:tc>
          <w:tcPr>
            <w:tcW w:w="1078" w:type="dxa"/>
            <w:shd w:val="clear" w:color="auto" w:fill="006EA8"/>
          </w:tcPr>
          <w:p w14:paraId="40FF902B" w14:textId="77777777" w:rsidR="00BA2BC1"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TPC</w:t>
            </w:r>
          </w:p>
          <w:p w14:paraId="274A92D9"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b/>
                <w:bCs/>
                <w:color w:val="FFFFFF"/>
                <w:sz w:val="18"/>
                <w:szCs w:val="18"/>
              </w:rPr>
            </w:pPr>
            <w:r>
              <w:rPr>
                <w:rFonts w:asciiTheme="minorHAnsi" w:hAnsiTheme="minorHAnsi"/>
                <w:b/>
                <w:bCs/>
                <w:color w:val="FFFFFF"/>
                <w:sz w:val="18"/>
                <w:szCs w:val="18"/>
              </w:rPr>
              <w:t>N=310</w:t>
            </w:r>
          </w:p>
        </w:tc>
      </w:tr>
      <w:tr w:rsidR="00BA2BC1" w:rsidRPr="00F36855" w14:paraId="7B25B6EE" w14:textId="77777777" w:rsidTr="008E4C16">
        <w:trPr>
          <w:trHeight w:val="514"/>
        </w:trPr>
        <w:tc>
          <w:tcPr>
            <w:tcW w:w="9006" w:type="dxa"/>
            <w:gridSpan w:val="8"/>
            <w:vAlign w:val="bottom"/>
          </w:tcPr>
          <w:p w14:paraId="074EF550" w14:textId="3AFCB7E5" w:rsidR="00BA2BC1" w:rsidRPr="00F36855" w:rsidRDefault="00BA2BC1" w:rsidP="008E4C16">
            <w:pPr>
              <w:keepNext/>
              <w:keepLines/>
              <w:autoSpaceDE w:val="0"/>
              <w:autoSpaceDN w:val="0"/>
              <w:adjustRightInd w:val="0"/>
              <w:spacing w:before="0" w:after="0" w:line="276" w:lineRule="auto"/>
              <w:rPr>
                <w:rFonts w:asciiTheme="minorHAnsi" w:hAnsiTheme="minorHAnsi"/>
                <w:b/>
                <w:bCs/>
                <w:sz w:val="18"/>
                <w:szCs w:val="18"/>
              </w:rPr>
            </w:pPr>
            <w:r>
              <w:rPr>
                <w:rFonts w:asciiTheme="minorHAnsi" w:hAnsiTheme="minorHAnsi"/>
                <w:b/>
                <w:bCs/>
                <w:sz w:val="18"/>
                <w:szCs w:val="18"/>
              </w:rPr>
              <w:t>O</w:t>
            </w:r>
            <w:r w:rsidR="00670B6A">
              <w:rPr>
                <w:rFonts w:asciiTheme="minorHAnsi" w:hAnsiTheme="minorHAnsi"/>
                <w:b/>
                <w:bCs/>
                <w:sz w:val="18"/>
                <w:szCs w:val="18"/>
              </w:rPr>
              <w:t>verall survival</w:t>
            </w:r>
          </w:p>
        </w:tc>
      </w:tr>
      <w:tr w:rsidR="00BA2BC1" w:rsidRPr="00F36855" w14:paraId="1CEA3C3F" w14:textId="77777777" w:rsidTr="008E4C16">
        <w:tc>
          <w:tcPr>
            <w:tcW w:w="1833" w:type="dxa"/>
          </w:tcPr>
          <w:p w14:paraId="70E7C37E" w14:textId="3FA06CF1"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 xml:space="preserve">Median, months (95% </w:t>
            </w:r>
            <w:proofErr w:type="gramStart"/>
            <w:r w:rsidRPr="00F36855">
              <w:rPr>
                <w:rFonts w:asciiTheme="minorHAnsi" w:hAnsiTheme="minorHAnsi"/>
                <w:sz w:val="18"/>
                <w:szCs w:val="18"/>
              </w:rPr>
              <w:t>CI)</w:t>
            </w:r>
            <w:r w:rsidR="00A42425">
              <w:rPr>
                <w:rFonts w:asciiTheme="minorHAnsi" w:hAnsiTheme="minorHAnsi"/>
                <w:sz w:val="18"/>
                <w:szCs w:val="18"/>
                <w:vertAlign w:val="superscript"/>
              </w:rPr>
              <w:t>a</w:t>
            </w:r>
            <w:proofErr w:type="gramEnd"/>
          </w:p>
        </w:tc>
        <w:tc>
          <w:tcPr>
            <w:tcW w:w="1276" w:type="dxa"/>
          </w:tcPr>
          <w:p w14:paraId="08883053"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rFonts w:asciiTheme="minorHAnsi" w:hAnsiTheme="minorHAnsi"/>
                <w:sz w:val="18"/>
                <w:szCs w:val="18"/>
              </w:rPr>
              <w:t>12.7</w:t>
            </w:r>
          </w:p>
          <w:p w14:paraId="6AD7D1B5" w14:textId="61B8C5C6"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w:t>
            </w:r>
            <w:r w:rsidRPr="008840D7">
              <w:rPr>
                <w:rFonts w:asciiTheme="minorHAnsi" w:hAnsiTheme="minorHAnsi"/>
                <w:sz w:val="18"/>
                <w:szCs w:val="18"/>
              </w:rPr>
              <w:t>9.9, 16.3</w:t>
            </w:r>
            <w:r w:rsidRPr="00F36855">
              <w:rPr>
                <w:rFonts w:asciiTheme="minorHAnsi" w:hAnsiTheme="minorHAnsi"/>
                <w:sz w:val="18"/>
                <w:szCs w:val="18"/>
              </w:rPr>
              <w:t>)</w:t>
            </w:r>
          </w:p>
        </w:tc>
        <w:tc>
          <w:tcPr>
            <w:tcW w:w="1134" w:type="dxa"/>
          </w:tcPr>
          <w:p w14:paraId="3B43EB44" w14:textId="77777777" w:rsidR="002D7FFB"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rFonts w:asciiTheme="minorHAnsi" w:hAnsiTheme="minorHAnsi"/>
                <w:sz w:val="18"/>
                <w:szCs w:val="18"/>
              </w:rPr>
              <w:t>11.6</w:t>
            </w:r>
          </w:p>
          <w:p w14:paraId="1510857A" w14:textId="6BB28923"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w:t>
            </w:r>
            <w:r w:rsidRPr="008840D7">
              <w:rPr>
                <w:rFonts w:asciiTheme="minorHAnsi" w:hAnsiTheme="minorHAnsi"/>
                <w:sz w:val="18"/>
                <w:szCs w:val="18"/>
              </w:rPr>
              <w:t>8.3, 13.7</w:t>
            </w:r>
            <w:r w:rsidRPr="00F36855">
              <w:rPr>
                <w:rFonts w:asciiTheme="minorHAnsi" w:hAnsiTheme="minorHAnsi"/>
                <w:sz w:val="18"/>
                <w:szCs w:val="18"/>
              </w:rPr>
              <w:t>)</w:t>
            </w:r>
          </w:p>
        </w:tc>
        <w:tc>
          <w:tcPr>
            <w:tcW w:w="1276" w:type="dxa"/>
          </w:tcPr>
          <w:p w14:paraId="35DD489A"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rFonts w:asciiTheme="minorHAnsi" w:hAnsiTheme="minorHAnsi"/>
                <w:sz w:val="18"/>
                <w:szCs w:val="18"/>
              </w:rPr>
              <w:t>10.7</w:t>
            </w:r>
          </w:p>
          <w:p w14:paraId="05370707"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w:t>
            </w:r>
            <w:r w:rsidRPr="008840D7">
              <w:rPr>
                <w:rFonts w:asciiTheme="minorHAnsi" w:hAnsiTheme="minorHAnsi"/>
                <w:sz w:val="18"/>
                <w:szCs w:val="18"/>
              </w:rPr>
              <w:t>9.3, 12.5</w:t>
            </w:r>
            <w:r w:rsidRPr="00F36855">
              <w:rPr>
                <w:rFonts w:asciiTheme="minorHAnsi" w:hAnsiTheme="minorHAnsi"/>
                <w:sz w:val="18"/>
                <w:szCs w:val="18"/>
              </w:rPr>
              <w:t>)</w:t>
            </w:r>
          </w:p>
        </w:tc>
        <w:tc>
          <w:tcPr>
            <w:tcW w:w="1134" w:type="dxa"/>
            <w:gridSpan w:val="2"/>
          </w:tcPr>
          <w:p w14:paraId="2B154B2C"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rFonts w:asciiTheme="minorHAnsi" w:hAnsiTheme="minorHAnsi"/>
                <w:sz w:val="18"/>
                <w:szCs w:val="18"/>
              </w:rPr>
              <w:t>10.2</w:t>
            </w:r>
          </w:p>
          <w:p w14:paraId="6AF1903A"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w:t>
            </w:r>
            <w:r w:rsidRPr="008840D7">
              <w:rPr>
                <w:rFonts w:asciiTheme="minorHAnsi" w:hAnsiTheme="minorHAnsi"/>
                <w:sz w:val="18"/>
                <w:szCs w:val="18"/>
              </w:rPr>
              <w:t>7.9, 12.6</w:t>
            </w:r>
            <w:r w:rsidRPr="00F36855">
              <w:rPr>
                <w:rFonts w:asciiTheme="minorHAnsi" w:hAnsiTheme="minorHAnsi"/>
                <w:sz w:val="18"/>
                <w:szCs w:val="18"/>
              </w:rPr>
              <w:t>)</w:t>
            </w:r>
          </w:p>
        </w:tc>
        <w:tc>
          <w:tcPr>
            <w:tcW w:w="1275" w:type="dxa"/>
          </w:tcPr>
          <w:p w14:paraId="5036F895"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Pr>
                <w:rFonts w:asciiTheme="minorHAnsi" w:hAnsiTheme="minorHAnsi"/>
                <w:sz w:val="18"/>
                <w:szCs w:val="18"/>
              </w:rPr>
              <w:t>9.9</w:t>
            </w:r>
          </w:p>
          <w:p w14:paraId="67EB3B2D"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w:t>
            </w:r>
            <w:r>
              <w:rPr>
                <w:rFonts w:asciiTheme="minorHAnsi" w:hAnsiTheme="minorHAnsi"/>
                <w:sz w:val="18"/>
                <w:szCs w:val="18"/>
              </w:rPr>
              <w:t>8.3, 11.4</w:t>
            </w:r>
            <w:r w:rsidRPr="00F36855">
              <w:rPr>
                <w:rFonts w:asciiTheme="minorHAnsi" w:hAnsiTheme="minorHAnsi"/>
                <w:sz w:val="18"/>
                <w:szCs w:val="18"/>
              </w:rPr>
              <w:t>)</w:t>
            </w:r>
          </w:p>
        </w:tc>
        <w:tc>
          <w:tcPr>
            <w:tcW w:w="1078" w:type="dxa"/>
          </w:tcPr>
          <w:p w14:paraId="464A1F63" w14:textId="77777777" w:rsidR="00BA2BC1"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Pr>
                <w:rFonts w:asciiTheme="minorHAnsi" w:hAnsiTheme="minorHAnsi"/>
                <w:sz w:val="18"/>
                <w:szCs w:val="18"/>
              </w:rPr>
              <w:t>10.8</w:t>
            </w:r>
          </w:p>
          <w:p w14:paraId="24A30457"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Pr>
                <w:rFonts w:asciiTheme="minorHAnsi" w:hAnsiTheme="minorHAnsi"/>
                <w:sz w:val="18"/>
                <w:szCs w:val="18"/>
              </w:rPr>
              <w:t>(9.1, 12.6)</w:t>
            </w:r>
          </w:p>
        </w:tc>
      </w:tr>
      <w:tr w:rsidR="00BA2BC1" w:rsidRPr="00F36855" w14:paraId="42C480DC" w14:textId="77777777" w:rsidTr="008E4C16">
        <w:tc>
          <w:tcPr>
            <w:tcW w:w="1833" w:type="dxa"/>
          </w:tcPr>
          <w:p w14:paraId="61161108" w14:textId="41E5DCF4"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 xml:space="preserve">HR (95% </w:t>
            </w:r>
            <w:proofErr w:type="gramStart"/>
            <w:r w:rsidRPr="00F36855">
              <w:rPr>
                <w:rFonts w:asciiTheme="minorHAnsi" w:hAnsiTheme="minorHAnsi"/>
                <w:sz w:val="18"/>
                <w:szCs w:val="18"/>
              </w:rPr>
              <w:t>CI)</w:t>
            </w:r>
            <w:r w:rsidR="00AC74EA" w:rsidRPr="00AC74EA">
              <w:rPr>
                <w:rFonts w:asciiTheme="minorHAnsi" w:hAnsiTheme="minorHAnsi"/>
                <w:sz w:val="18"/>
                <w:szCs w:val="18"/>
                <w:vertAlign w:val="superscript"/>
              </w:rPr>
              <w:t>b</w:t>
            </w:r>
            <w:proofErr w:type="gramEnd"/>
          </w:p>
          <w:p w14:paraId="26983913" w14:textId="687FDCAA"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 xml:space="preserve">P </w:t>
            </w:r>
            <w:proofErr w:type="spellStart"/>
            <w:r w:rsidRPr="00F36855">
              <w:rPr>
                <w:rFonts w:asciiTheme="minorHAnsi" w:hAnsiTheme="minorHAnsi"/>
                <w:sz w:val="18"/>
                <w:szCs w:val="18"/>
              </w:rPr>
              <w:t>value</w:t>
            </w:r>
            <w:r w:rsidR="00AC74EA">
              <w:rPr>
                <w:rFonts w:asciiTheme="minorHAnsi" w:hAnsiTheme="minorHAnsi"/>
                <w:sz w:val="18"/>
                <w:szCs w:val="18"/>
                <w:vertAlign w:val="superscript"/>
              </w:rPr>
              <w:t>c</w:t>
            </w:r>
            <w:proofErr w:type="spellEnd"/>
          </w:p>
        </w:tc>
        <w:tc>
          <w:tcPr>
            <w:tcW w:w="2410" w:type="dxa"/>
            <w:gridSpan w:val="2"/>
          </w:tcPr>
          <w:p w14:paraId="5FFCC919" w14:textId="77777777" w:rsidR="002D7FFB" w:rsidRDefault="00BA2BC1" w:rsidP="008E4C16">
            <w:pPr>
              <w:keepNext/>
              <w:keepLines/>
              <w:autoSpaceDE w:val="0"/>
              <w:autoSpaceDN w:val="0"/>
              <w:adjustRightInd w:val="0"/>
              <w:spacing w:before="0" w:after="0" w:line="276" w:lineRule="auto"/>
              <w:jc w:val="center"/>
              <w:rPr>
                <w:sz w:val="18"/>
                <w:szCs w:val="18"/>
              </w:rPr>
            </w:pPr>
            <w:r w:rsidRPr="008840D7">
              <w:rPr>
                <w:sz w:val="18"/>
                <w:szCs w:val="18"/>
              </w:rPr>
              <w:t>0.78 (0.57, 1.06)</w:t>
            </w:r>
          </w:p>
          <w:p w14:paraId="76032DD2" w14:textId="37A56ABE"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sz w:val="18"/>
                <w:szCs w:val="18"/>
              </w:rPr>
              <w:t>p = 0.0574</w:t>
            </w:r>
          </w:p>
        </w:tc>
        <w:tc>
          <w:tcPr>
            <w:tcW w:w="2410" w:type="dxa"/>
            <w:gridSpan w:val="3"/>
          </w:tcPr>
          <w:p w14:paraId="7301C281" w14:textId="77777777" w:rsidR="00BA2BC1" w:rsidRPr="008840D7" w:rsidRDefault="00BA2BC1" w:rsidP="008E4C16">
            <w:pPr>
              <w:keepNext/>
              <w:keepLines/>
              <w:autoSpaceDE w:val="0"/>
              <w:autoSpaceDN w:val="0"/>
              <w:adjustRightInd w:val="0"/>
              <w:spacing w:before="0" w:after="0" w:line="276" w:lineRule="auto"/>
              <w:jc w:val="center"/>
              <w:rPr>
                <w:sz w:val="18"/>
                <w:szCs w:val="18"/>
                <w:lang w:eastAsia="ja-JP"/>
              </w:rPr>
            </w:pPr>
            <w:r w:rsidRPr="008840D7">
              <w:rPr>
                <w:sz w:val="18"/>
                <w:szCs w:val="18"/>
                <w:lang w:eastAsia="ja-JP"/>
              </w:rPr>
              <w:t>0.86 (0.69, 1.06)</w:t>
            </w:r>
          </w:p>
          <w:p w14:paraId="258FBA63"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sz w:val="18"/>
                <w:szCs w:val="18"/>
                <w:lang w:eastAsia="ja-JP"/>
              </w:rPr>
              <w:t xml:space="preserve"> p = 0.0728</w:t>
            </w:r>
          </w:p>
        </w:tc>
        <w:tc>
          <w:tcPr>
            <w:tcW w:w="2353" w:type="dxa"/>
            <w:gridSpan w:val="2"/>
          </w:tcPr>
          <w:p w14:paraId="15EE349F" w14:textId="77777777" w:rsidR="00BA2BC1" w:rsidRDefault="00BA2BC1" w:rsidP="008E4C16">
            <w:pPr>
              <w:keepNext/>
              <w:keepLines/>
              <w:autoSpaceDE w:val="0"/>
              <w:autoSpaceDN w:val="0"/>
              <w:adjustRightInd w:val="0"/>
              <w:spacing w:before="0" w:after="0" w:line="276" w:lineRule="auto"/>
              <w:jc w:val="center"/>
              <w:rPr>
                <w:sz w:val="18"/>
                <w:szCs w:val="18"/>
                <w:lang w:eastAsia="ja-JP"/>
              </w:rPr>
            </w:pPr>
            <w:r w:rsidRPr="0010205D">
              <w:rPr>
                <w:sz w:val="18"/>
                <w:szCs w:val="18"/>
                <w:lang w:eastAsia="ja-JP"/>
              </w:rPr>
              <w:t>0.97 (0.82, 1.15</w:t>
            </w:r>
            <w:r>
              <w:rPr>
                <w:sz w:val="18"/>
                <w:szCs w:val="18"/>
                <w:lang w:eastAsia="ja-JP"/>
              </w:rPr>
              <w:t>)</w:t>
            </w:r>
          </w:p>
          <w:p w14:paraId="6E65644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10205D">
              <w:rPr>
                <w:sz w:val="18"/>
                <w:szCs w:val="18"/>
                <w:lang w:eastAsia="ja-JP"/>
              </w:rPr>
              <w:t xml:space="preserve"> p </w:t>
            </w:r>
            <w:r>
              <w:rPr>
                <w:sz w:val="18"/>
                <w:szCs w:val="18"/>
                <w:lang w:eastAsia="ja-JP"/>
              </w:rPr>
              <w:t>=</w:t>
            </w:r>
            <w:r w:rsidRPr="0010205D">
              <w:rPr>
                <w:sz w:val="18"/>
                <w:szCs w:val="18"/>
                <w:lang w:eastAsia="ja-JP"/>
              </w:rPr>
              <w:t xml:space="preserve"> 0.</w:t>
            </w:r>
            <w:r>
              <w:rPr>
                <w:sz w:val="18"/>
                <w:szCs w:val="18"/>
                <w:lang w:eastAsia="ja-JP"/>
              </w:rPr>
              <w:t>3802</w:t>
            </w:r>
          </w:p>
        </w:tc>
      </w:tr>
      <w:tr w:rsidR="00BA2BC1" w:rsidRPr="00F36855" w14:paraId="2FE54E2C" w14:textId="77777777" w:rsidTr="008E4C16">
        <w:tc>
          <w:tcPr>
            <w:tcW w:w="1833" w:type="dxa"/>
          </w:tcPr>
          <w:p w14:paraId="0790510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F36855">
              <w:rPr>
                <w:rFonts w:asciiTheme="minorHAnsi" w:hAnsiTheme="minorHAnsi"/>
                <w:sz w:val="18"/>
                <w:szCs w:val="18"/>
              </w:rPr>
              <w:t xml:space="preserve">Rate (%) at </w:t>
            </w:r>
            <w:r>
              <w:rPr>
                <w:rFonts w:asciiTheme="minorHAnsi" w:hAnsiTheme="minorHAnsi"/>
                <w:sz w:val="18"/>
                <w:szCs w:val="18"/>
              </w:rPr>
              <w:t>21</w:t>
            </w:r>
            <w:r w:rsidRPr="00F36855">
              <w:rPr>
                <w:rFonts w:asciiTheme="minorHAnsi" w:hAnsiTheme="minorHAnsi"/>
                <w:sz w:val="18"/>
                <w:szCs w:val="18"/>
              </w:rPr>
              <w:t xml:space="preserve"> months (95% CI)</w:t>
            </w:r>
          </w:p>
        </w:tc>
        <w:tc>
          <w:tcPr>
            <w:tcW w:w="1276" w:type="dxa"/>
          </w:tcPr>
          <w:p w14:paraId="4680B8CE"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rFonts w:asciiTheme="minorHAnsi" w:hAnsiTheme="minorHAnsi"/>
                <w:sz w:val="18"/>
                <w:szCs w:val="18"/>
              </w:rPr>
              <w:t>27</w:t>
            </w:r>
            <w:r w:rsidRPr="00F36855">
              <w:rPr>
                <w:rFonts w:asciiTheme="minorHAnsi" w:hAnsiTheme="minorHAnsi"/>
                <w:sz w:val="18"/>
                <w:szCs w:val="18"/>
              </w:rPr>
              <w:t xml:space="preserve"> (</w:t>
            </w:r>
            <w:r w:rsidRPr="008840D7">
              <w:rPr>
                <w:rFonts w:asciiTheme="minorHAnsi" w:hAnsiTheme="minorHAnsi"/>
                <w:sz w:val="18"/>
                <w:szCs w:val="18"/>
              </w:rPr>
              <w:t>19, 36</w:t>
            </w:r>
            <w:r w:rsidRPr="00F36855">
              <w:rPr>
                <w:rFonts w:asciiTheme="minorHAnsi" w:hAnsiTheme="minorHAnsi"/>
                <w:sz w:val="18"/>
                <w:szCs w:val="18"/>
              </w:rPr>
              <w:t>)</w:t>
            </w:r>
          </w:p>
        </w:tc>
        <w:tc>
          <w:tcPr>
            <w:tcW w:w="1134" w:type="dxa"/>
          </w:tcPr>
          <w:p w14:paraId="533E9312"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rFonts w:asciiTheme="minorHAnsi" w:hAnsiTheme="minorHAnsi"/>
                <w:sz w:val="18"/>
                <w:szCs w:val="18"/>
              </w:rPr>
              <w:t>25 (17, 34)</w:t>
            </w:r>
          </w:p>
        </w:tc>
        <w:tc>
          <w:tcPr>
            <w:tcW w:w="1276" w:type="dxa"/>
          </w:tcPr>
          <w:p w14:paraId="229D0A62"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rFonts w:asciiTheme="minorHAnsi" w:hAnsiTheme="minorHAnsi"/>
                <w:sz w:val="18"/>
                <w:szCs w:val="18"/>
              </w:rPr>
              <w:t xml:space="preserve">24 </w:t>
            </w:r>
            <w:r w:rsidRPr="00F36855">
              <w:rPr>
                <w:rFonts w:asciiTheme="minorHAnsi" w:hAnsiTheme="minorHAnsi"/>
                <w:sz w:val="18"/>
                <w:szCs w:val="18"/>
              </w:rPr>
              <w:t>(</w:t>
            </w:r>
            <w:r w:rsidRPr="008840D7">
              <w:rPr>
                <w:rFonts w:asciiTheme="minorHAnsi" w:hAnsiTheme="minorHAnsi"/>
                <w:sz w:val="18"/>
                <w:szCs w:val="18"/>
              </w:rPr>
              <w:t>18, 30</w:t>
            </w:r>
            <w:r w:rsidRPr="00F36855">
              <w:rPr>
                <w:rFonts w:asciiTheme="minorHAnsi" w:hAnsiTheme="minorHAnsi"/>
                <w:sz w:val="18"/>
                <w:szCs w:val="18"/>
              </w:rPr>
              <w:t>)</w:t>
            </w:r>
          </w:p>
        </w:tc>
        <w:tc>
          <w:tcPr>
            <w:tcW w:w="1134" w:type="dxa"/>
            <w:gridSpan w:val="2"/>
          </w:tcPr>
          <w:p w14:paraId="7DA41A34"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sidRPr="008840D7">
              <w:rPr>
                <w:rFonts w:asciiTheme="minorHAnsi" w:hAnsiTheme="minorHAnsi"/>
                <w:sz w:val="18"/>
                <w:szCs w:val="18"/>
              </w:rPr>
              <w:t>21</w:t>
            </w:r>
            <w:r w:rsidRPr="00F36855">
              <w:rPr>
                <w:rFonts w:asciiTheme="minorHAnsi" w:hAnsiTheme="minorHAnsi"/>
                <w:sz w:val="18"/>
                <w:szCs w:val="18"/>
              </w:rPr>
              <w:t xml:space="preserve"> (</w:t>
            </w:r>
            <w:r w:rsidRPr="008840D7">
              <w:rPr>
                <w:rFonts w:asciiTheme="minorHAnsi" w:hAnsiTheme="minorHAnsi"/>
                <w:sz w:val="18"/>
                <w:szCs w:val="18"/>
              </w:rPr>
              <w:t>16, 27</w:t>
            </w:r>
            <w:r w:rsidRPr="00F36855">
              <w:rPr>
                <w:rFonts w:asciiTheme="minorHAnsi" w:hAnsiTheme="minorHAnsi"/>
                <w:sz w:val="18"/>
                <w:szCs w:val="18"/>
              </w:rPr>
              <w:t>)</w:t>
            </w:r>
          </w:p>
        </w:tc>
        <w:tc>
          <w:tcPr>
            <w:tcW w:w="1275" w:type="dxa"/>
          </w:tcPr>
          <w:p w14:paraId="1B8E3D78"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Pr>
                <w:rFonts w:asciiTheme="minorHAnsi" w:hAnsiTheme="minorHAnsi"/>
                <w:sz w:val="18"/>
                <w:szCs w:val="18"/>
              </w:rPr>
              <w:t>24</w:t>
            </w:r>
            <w:r w:rsidRPr="00F36855">
              <w:rPr>
                <w:rFonts w:asciiTheme="minorHAnsi" w:hAnsiTheme="minorHAnsi"/>
                <w:sz w:val="18"/>
                <w:szCs w:val="18"/>
              </w:rPr>
              <w:t xml:space="preserve"> (</w:t>
            </w:r>
            <w:r>
              <w:rPr>
                <w:rFonts w:asciiTheme="minorHAnsi" w:hAnsiTheme="minorHAnsi"/>
                <w:sz w:val="18"/>
                <w:szCs w:val="18"/>
              </w:rPr>
              <w:t>19, 28</w:t>
            </w:r>
            <w:r w:rsidRPr="00F36855">
              <w:rPr>
                <w:rFonts w:asciiTheme="minorHAnsi" w:hAnsiTheme="minorHAnsi"/>
                <w:sz w:val="18"/>
                <w:szCs w:val="18"/>
              </w:rPr>
              <w:t>)</w:t>
            </w:r>
          </w:p>
        </w:tc>
        <w:tc>
          <w:tcPr>
            <w:tcW w:w="1078" w:type="dxa"/>
          </w:tcPr>
          <w:p w14:paraId="3AD8F2BF" w14:textId="77777777" w:rsidR="00BA2BC1" w:rsidRPr="00F36855" w:rsidRDefault="00BA2BC1" w:rsidP="008E4C16">
            <w:pPr>
              <w:keepNext/>
              <w:keepLines/>
              <w:autoSpaceDE w:val="0"/>
              <w:autoSpaceDN w:val="0"/>
              <w:adjustRightInd w:val="0"/>
              <w:spacing w:before="0" w:after="0" w:line="276" w:lineRule="auto"/>
              <w:jc w:val="center"/>
              <w:rPr>
                <w:rFonts w:asciiTheme="minorHAnsi" w:hAnsiTheme="minorHAnsi"/>
                <w:sz w:val="18"/>
                <w:szCs w:val="18"/>
              </w:rPr>
            </w:pPr>
            <w:r>
              <w:rPr>
                <w:rFonts w:asciiTheme="minorHAnsi" w:hAnsiTheme="minorHAnsi"/>
                <w:sz w:val="18"/>
                <w:szCs w:val="18"/>
              </w:rPr>
              <w:t>24 (19, 29)</w:t>
            </w:r>
          </w:p>
        </w:tc>
      </w:tr>
    </w:tbl>
    <w:p w14:paraId="0AF4BE16" w14:textId="5CD075FF" w:rsidR="00BA2BC1" w:rsidRDefault="002D7A83" w:rsidP="00DC4F08">
      <w:pPr>
        <w:pStyle w:val="TableDescription"/>
      </w:pPr>
      <w:r>
        <w:t xml:space="preserve">Abbreviations: CPS = Combined Positive Score; ITT = intent to treat; </w:t>
      </w:r>
      <w:proofErr w:type="spellStart"/>
      <w:r>
        <w:t>Pembro</w:t>
      </w:r>
      <w:proofErr w:type="spellEnd"/>
      <w:r>
        <w:t xml:space="preserve"> = pembrolizumab; </w:t>
      </w:r>
      <w:r w:rsidR="00BA2BC1" w:rsidRPr="008840D7">
        <w:t xml:space="preserve">TPC = </w:t>
      </w:r>
      <w:r w:rsidR="003F0108">
        <w:t xml:space="preserve">treatment (chemotherapy) of </w:t>
      </w:r>
      <w:proofErr w:type="gramStart"/>
      <w:r w:rsidR="003F0108">
        <w:t>physicians</w:t>
      </w:r>
      <w:proofErr w:type="gramEnd"/>
      <w:r w:rsidR="003F0108">
        <w:t xml:space="preserve"> choice;</w:t>
      </w:r>
      <w:r>
        <w:t xml:space="preserve"> OS = overall survival; HR = hazard ratio</w:t>
      </w:r>
    </w:p>
    <w:p w14:paraId="6C7E0366" w14:textId="77777777" w:rsidR="001B3480" w:rsidRPr="00040859" w:rsidRDefault="001B3480" w:rsidP="00DC4F08">
      <w:pPr>
        <w:pStyle w:val="TableDescription"/>
      </w:pPr>
      <w:r w:rsidRPr="00040859">
        <w:rPr>
          <w:vertAlign w:val="superscript"/>
        </w:rPr>
        <w:t xml:space="preserve">a </w:t>
      </w:r>
      <w:proofErr w:type="gramStart"/>
      <w:r w:rsidRPr="00040859">
        <w:t>From</w:t>
      </w:r>
      <w:proofErr w:type="gramEnd"/>
      <w:r w:rsidRPr="00040859">
        <w:t xml:space="preserve"> product-limit (Kaplan-Meier) method for censored data.</w:t>
      </w:r>
    </w:p>
    <w:p w14:paraId="3955529F" w14:textId="77777777" w:rsidR="001B3480" w:rsidRPr="00040859" w:rsidRDefault="001B3480" w:rsidP="00DC4F08">
      <w:pPr>
        <w:pStyle w:val="TableDescription"/>
      </w:pPr>
      <w:r w:rsidRPr="00040859">
        <w:rPr>
          <w:vertAlign w:val="superscript"/>
        </w:rPr>
        <w:t xml:space="preserve">b </w:t>
      </w:r>
      <w:r w:rsidRPr="00040859">
        <w:t xml:space="preserve">Based on a stratified Cox regression model with </w:t>
      </w:r>
      <w:proofErr w:type="spellStart"/>
      <w:r w:rsidRPr="00040859">
        <w:t>Efron’s</w:t>
      </w:r>
      <w:proofErr w:type="spellEnd"/>
      <w:r w:rsidRPr="00040859">
        <w:t xml:space="preserve"> method of tie handling.</w:t>
      </w:r>
    </w:p>
    <w:p w14:paraId="4E80E181" w14:textId="521F180D" w:rsidR="0037103D" w:rsidRDefault="001B3480" w:rsidP="00DC4F08">
      <w:pPr>
        <w:pStyle w:val="TableDescription"/>
      </w:pPr>
      <w:r w:rsidRPr="00040859">
        <w:rPr>
          <w:vertAlign w:val="superscript"/>
          <w:lang w:val="en-US"/>
        </w:rPr>
        <w:t>c</w:t>
      </w:r>
      <w:r w:rsidRPr="00040859">
        <w:rPr>
          <w:vertAlign w:val="superscript"/>
        </w:rPr>
        <w:t xml:space="preserve"> </w:t>
      </w:r>
      <w:r w:rsidRPr="00040859">
        <w:t>One-sided p-value based on a stratified log-rank test.</w:t>
      </w:r>
    </w:p>
    <w:p w14:paraId="472DE6DD" w14:textId="5DAFD420" w:rsidR="00670B6A" w:rsidRDefault="00BA2BC1" w:rsidP="005471F0">
      <w:pPr>
        <w:pStyle w:val="Heading4"/>
      </w:pPr>
      <w:r>
        <w:t>Safety</w:t>
      </w:r>
    </w:p>
    <w:p w14:paraId="21493754" w14:textId="5D2B5106" w:rsidR="00BA2BC1" w:rsidRDefault="00670B6A">
      <w:pPr>
        <w:pStyle w:val="Heading5"/>
      </w:pPr>
      <w:r>
        <w:t>Studies providing safety data</w:t>
      </w:r>
    </w:p>
    <w:p w14:paraId="5D32E68F" w14:textId="6DBC58B4" w:rsidR="002D7FFB" w:rsidRDefault="00BA2BC1" w:rsidP="00BA2BC1">
      <w:r>
        <w:t xml:space="preserve">Safety data for pembrolizumab were presented compared with placebo as add-on to chemotherapy in </w:t>
      </w:r>
      <w:r w:rsidR="00953F9B">
        <w:t>Study KN-355</w:t>
      </w:r>
      <w:r w:rsidR="00670B6A">
        <w:t xml:space="preserve"> (KEYNOTE 355 trial)</w:t>
      </w:r>
      <w:r>
        <w:t xml:space="preserve">. There were also integrated analyses of safety comparing these data </w:t>
      </w:r>
      <w:r w:rsidR="006860F5">
        <w:t xml:space="preserve">from Study KN-355, </w:t>
      </w:r>
      <w:r>
        <w:t>with pooled safety data</w:t>
      </w:r>
      <w:r w:rsidR="006860F5">
        <w:t xml:space="preserve">. The </w:t>
      </w:r>
      <w:r w:rsidR="004A6CD7">
        <w:t>‘</w:t>
      </w:r>
      <w:r w:rsidR="006860F5">
        <w:t xml:space="preserve">pooled </w:t>
      </w:r>
      <w:proofErr w:type="spellStart"/>
      <w:r w:rsidR="006860F5">
        <w:t>mTNBC</w:t>
      </w:r>
      <w:proofErr w:type="spellEnd"/>
      <w:r w:rsidR="006860F5">
        <w:t xml:space="preserve"> dataset</w:t>
      </w:r>
      <w:r w:rsidR="004A6CD7">
        <w:t>’</w:t>
      </w:r>
      <w:r>
        <w:t xml:space="preserve"> for pembrolizumab used as monotherapy </w:t>
      </w:r>
      <w:r w:rsidR="006860F5">
        <w:t xml:space="preserve">for metastatic TNBC </w:t>
      </w:r>
      <w:r w:rsidR="004A6CD7">
        <w:t xml:space="preserve">comprised of </w:t>
      </w:r>
      <w:r w:rsidR="006860F5">
        <w:t>populations from</w:t>
      </w:r>
      <w:r>
        <w:t xml:space="preserve"> </w:t>
      </w:r>
      <w:r w:rsidR="006A6DD4">
        <w:t>Stud</w:t>
      </w:r>
      <w:r w:rsidR="002D7A83">
        <w:t>y</w:t>
      </w:r>
      <w:r w:rsidR="00670B6A">
        <w:t> </w:t>
      </w:r>
      <w:r>
        <w:t>KN</w:t>
      </w:r>
      <w:r w:rsidR="002D7A83">
        <w:noBreakHyphen/>
      </w:r>
      <w:r>
        <w:t>012</w:t>
      </w:r>
      <w:r w:rsidR="00670B6A">
        <w:t xml:space="preserve"> (KEYNOTE 12 trial)</w:t>
      </w:r>
      <w:r>
        <w:t xml:space="preserve">, </w:t>
      </w:r>
      <w:r w:rsidR="002D7A83">
        <w:t xml:space="preserve">Study </w:t>
      </w:r>
      <w:r w:rsidR="006A6DD4">
        <w:t>KN</w:t>
      </w:r>
      <w:r>
        <w:t>-086</w:t>
      </w:r>
      <w:r w:rsidR="00670B6A">
        <w:t xml:space="preserve"> (KEYNOTE 86 trial)</w:t>
      </w:r>
      <w:r>
        <w:t xml:space="preserve"> and </w:t>
      </w:r>
      <w:r w:rsidR="002D7A83">
        <w:t xml:space="preserve">Study </w:t>
      </w:r>
      <w:r w:rsidR="006A6DD4">
        <w:t>KN</w:t>
      </w:r>
      <w:r>
        <w:t>-119</w:t>
      </w:r>
      <w:r w:rsidR="00670B6A">
        <w:t xml:space="preserve"> (KEYNOTE 119 trial)</w:t>
      </w:r>
      <w:r w:rsidR="004A6CD7">
        <w:t>.</w:t>
      </w:r>
      <w:r>
        <w:t xml:space="preserve"> </w:t>
      </w:r>
      <w:r w:rsidR="004A6CD7">
        <w:t>T</w:t>
      </w:r>
      <w:r>
        <w:t>he</w:t>
      </w:r>
      <w:r w:rsidR="002D7A83">
        <w:t xml:space="preserve"> </w:t>
      </w:r>
      <w:r w:rsidR="004A6CD7">
        <w:t>‘</w:t>
      </w:r>
      <w:r w:rsidR="002D7A83">
        <w:t>reference safety dataset</w:t>
      </w:r>
      <w:r w:rsidR="004A6CD7">
        <w:t>’</w:t>
      </w:r>
      <w:r>
        <w:t xml:space="preserve"> </w:t>
      </w:r>
      <w:r w:rsidR="004A6CD7">
        <w:t>comprised of populations treated with</w:t>
      </w:r>
      <w:r>
        <w:t xml:space="preserve"> pembrolizumab used as monotherapy in melanoma and </w:t>
      </w:r>
      <w:r w:rsidR="00EF3EF6">
        <w:t>non-small cell lung cancer (</w:t>
      </w:r>
      <w:r>
        <w:t>NSCLC</w:t>
      </w:r>
      <w:r w:rsidR="00EF3EF6">
        <w:t>)</w:t>
      </w:r>
      <w:r>
        <w:t>.</w:t>
      </w:r>
    </w:p>
    <w:p w14:paraId="479630FF" w14:textId="6E749F1B" w:rsidR="00670B6A" w:rsidRDefault="00670B6A" w:rsidP="005471F0">
      <w:pPr>
        <w:pStyle w:val="Heading5"/>
      </w:pPr>
      <w:r>
        <w:t>Study KN-355 (KEYNOTE 355 trial)</w:t>
      </w:r>
    </w:p>
    <w:p w14:paraId="0B08BD55" w14:textId="4BE93779" w:rsidR="00670B6A" w:rsidRPr="00870904" w:rsidRDefault="00670B6A" w:rsidP="005471F0">
      <w:pPr>
        <w:pStyle w:val="Heading6"/>
      </w:pPr>
      <w:r>
        <w:t>Exposure</w:t>
      </w:r>
    </w:p>
    <w:p w14:paraId="6EE4E3B5" w14:textId="562B25C1" w:rsidR="00BA2BC1" w:rsidRDefault="00BA2BC1" w:rsidP="00BA2BC1">
      <w:r>
        <w:t xml:space="preserve">Median exposure to pembrolizumab in </w:t>
      </w:r>
      <w:r w:rsidR="00953F9B">
        <w:t>Study KN-355</w:t>
      </w:r>
      <w:r>
        <w:t xml:space="preserve"> was 6.2 months, which was longer than placebo (5.3 months), pembrolizumab monotherapy in </w:t>
      </w:r>
      <w:r w:rsidR="002D7A83">
        <w:t xml:space="preserve">metastatic </w:t>
      </w:r>
      <w:r>
        <w:t xml:space="preserve">TNBC (2.1 months) and pembrolizumab in the </w:t>
      </w:r>
      <w:r w:rsidR="002D7A83">
        <w:t xml:space="preserve">reference safety data set </w:t>
      </w:r>
      <w:r>
        <w:t xml:space="preserve">(4.2 months). Patients in </w:t>
      </w:r>
      <w:r w:rsidR="00953F9B">
        <w:t>Study</w:t>
      </w:r>
      <w:r w:rsidR="006860F5">
        <w:t> </w:t>
      </w:r>
      <w:r w:rsidR="00953F9B">
        <w:t>KN</w:t>
      </w:r>
      <w:r w:rsidR="00EF3EF6">
        <w:t> </w:t>
      </w:r>
      <w:r w:rsidR="00953F9B">
        <w:t>355</w:t>
      </w:r>
      <w:r>
        <w:t xml:space="preserve"> were younger compared with the </w:t>
      </w:r>
      <w:r w:rsidR="002D7A83">
        <w:t>reference safety data set</w:t>
      </w:r>
      <w:r>
        <w:t xml:space="preserve">: 77.0% aged </w:t>
      </w:r>
      <w:r w:rsidR="00002DD5">
        <w:t>less than</w:t>
      </w:r>
      <w:r>
        <w:t xml:space="preserve"> 65 years </w:t>
      </w:r>
      <w:r w:rsidR="003017B4">
        <w:t>versus</w:t>
      </w:r>
      <w:r>
        <w:t xml:space="preserve"> 56.7% aged </w:t>
      </w:r>
      <w:r w:rsidR="00002DD5">
        <w:t>less than</w:t>
      </w:r>
      <w:r>
        <w:t xml:space="preserve"> 65</w:t>
      </w:r>
      <w:r w:rsidR="00002DD5">
        <w:t> </w:t>
      </w:r>
      <w:r>
        <w:t>years.</w:t>
      </w:r>
    </w:p>
    <w:p w14:paraId="5E0090E3" w14:textId="2389AB2A" w:rsidR="00BA2BC1" w:rsidRDefault="004A6CD7" w:rsidP="006A6DD4">
      <w:pPr>
        <w:pStyle w:val="Heading6"/>
      </w:pPr>
      <w:r>
        <w:t>Safety overview</w:t>
      </w:r>
    </w:p>
    <w:p w14:paraId="70B7695D" w14:textId="3ABB153B" w:rsidR="006860F5" w:rsidRDefault="003109ED" w:rsidP="00BA2BC1">
      <w:r>
        <w:t>A</w:t>
      </w:r>
      <w:r w:rsidR="00EF3EF6">
        <w:t>dverse events</w:t>
      </w:r>
      <w:r w:rsidR="00BA2BC1">
        <w:t xml:space="preserve"> in each category are summarised below (</w:t>
      </w:r>
      <w:r w:rsidR="00EF3EF6">
        <w:fldChar w:fldCharType="begin"/>
      </w:r>
      <w:r w:rsidR="00EF3EF6">
        <w:instrText xml:space="preserve"> REF _Ref102394419 \h </w:instrText>
      </w:r>
      <w:r w:rsidR="00EF3EF6">
        <w:fldChar w:fldCharType="separate"/>
      </w:r>
      <w:r w:rsidR="00A02570">
        <w:t xml:space="preserve">Table </w:t>
      </w:r>
      <w:r w:rsidR="00A02570">
        <w:rPr>
          <w:noProof/>
        </w:rPr>
        <w:t>21</w:t>
      </w:r>
      <w:r w:rsidR="00EF3EF6">
        <w:fldChar w:fldCharType="end"/>
      </w:r>
      <w:r w:rsidR="00BA2BC1">
        <w:t xml:space="preserve">) except for </w:t>
      </w:r>
      <w:r w:rsidR="006860F5">
        <w:t>adverse events of special interest (</w:t>
      </w:r>
      <w:r w:rsidR="003E7169">
        <w:t>AESI</w:t>
      </w:r>
      <w:r w:rsidR="006860F5">
        <w:t>)</w:t>
      </w:r>
      <w:r w:rsidR="00BA2BC1">
        <w:t xml:space="preserve">, which are summarised in </w:t>
      </w:r>
      <w:r w:rsidR="00887BAF">
        <w:fldChar w:fldCharType="begin"/>
      </w:r>
      <w:r w:rsidR="00887BAF">
        <w:instrText xml:space="preserve"> REF _Ref101270784 \h </w:instrText>
      </w:r>
      <w:r w:rsidR="00887BAF">
        <w:fldChar w:fldCharType="separate"/>
      </w:r>
      <w:r w:rsidR="00A02570">
        <w:t xml:space="preserve">Table </w:t>
      </w:r>
      <w:r w:rsidR="00A02570">
        <w:rPr>
          <w:noProof/>
        </w:rPr>
        <w:t>22</w:t>
      </w:r>
      <w:r w:rsidR="00887BAF">
        <w:fldChar w:fldCharType="end"/>
      </w:r>
      <w:r w:rsidR="00BA2BC1">
        <w:t xml:space="preserve">. In </w:t>
      </w:r>
      <w:r w:rsidR="00953F9B">
        <w:t>Study KN-355</w:t>
      </w:r>
      <w:r w:rsidR="00BA2BC1">
        <w:t xml:space="preserve">, the pattern is notable for numeric increases in </w:t>
      </w:r>
      <w:r w:rsidR="003017B4">
        <w:t>Grade</w:t>
      </w:r>
      <w:r w:rsidR="00BA2BC1">
        <w:t xml:space="preserve"> 3</w:t>
      </w:r>
      <w:r w:rsidR="00002DD5">
        <w:t xml:space="preserve"> to</w:t>
      </w:r>
      <w:r w:rsidR="00EF3EF6">
        <w:t xml:space="preserve"> </w:t>
      </w:r>
      <w:r w:rsidR="00BA2BC1">
        <w:t xml:space="preserve">5 </w:t>
      </w:r>
      <w:r>
        <w:t>AE</w:t>
      </w:r>
      <w:r w:rsidR="00BA2BC1">
        <w:t xml:space="preserve">, dose modification due to </w:t>
      </w:r>
      <w:r w:rsidR="006860F5">
        <w:t>adverse events (</w:t>
      </w:r>
      <w:r>
        <w:t>AE</w:t>
      </w:r>
      <w:r w:rsidR="006860F5">
        <w:t>)</w:t>
      </w:r>
      <w:r w:rsidR="00BA2BC1">
        <w:t xml:space="preserve">, </w:t>
      </w:r>
      <w:r w:rsidR="006860F5">
        <w:t>serious adverse events (</w:t>
      </w:r>
      <w:r w:rsidR="00BA2BC1">
        <w:t>S</w:t>
      </w:r>
      <w:r>
        <w:t>AE</w:t>
      </w:r>
      <w:r w:rsidR="006860F5">
        <w:t>s)</w:t>
      </w:r>
      <w:r w:rsidR="00BA2BC1">
        <w:t xml:space="preserve">, deaths, and discontinuations due to </w:t>
      </w:r>
      <w:r>
        <w:t>AE</w:t>
      </w:r>
      <w:r w:rsidR="006860F5">
        <w:t>s</w:t>
      </w:r>
      <w:r w:rsidR="00BA2BC1">
        <w:t xml:space="preserve"> for </w:t>
      </w:r>
      <w:r w:rsidR="003017B4">
        <w:t>pembrolizumab</w:t>
      </w:r>
      <w:r w:rsidR="00BA2BC1">
        <w:t xml:space="preserve"> compared with placebo.</w:t>
      </w:r>
    </w:p>
    <w:p w14:paraId="2B5508F5" w14:textId="6387EB8B" w:rsidR="00BA2BC1" w:rsidRDefault="00BA2BC1" w:rsidP="00BA2BC1">
      <w:r>
        <w:lastRenderedPageBreak/>
        <w:t xml:space="preserve">The data from </w:t>
      </w:r>
      <w:r w:rsidR="00953F9B">
        <w:t>Study KN-355</w:t>
      </w:r>
      <w:r>
        <w:t xml:space="preserve"> are the most relevant to consider for the proposed indication, because they allow assessment of the relative toxicity of pembrolizumab and placebo in patients receiving concomitant chemotherapy.</w:t>
      </w:r>
    </w:p>
    <w:p w14:paraId="68DEED30" w14:textId="7B22DA1E" w:rsidR="002D7FFB" w:rsidRDefault="00BA2BC1" w:rsidP="00BA2BC1">
      <w:r>
        <w:t>The incidence of S</w:t>
      </w:r>
      <w:r w:rsidR="003109ED">
        <w:t>AE</w:t>
      </w:r>
      <w:r w:rsidR="006860F5">
        <w:t>s</w:t>
      </w:r>
      <w:r>
        <w:t xml:space="preserve"> and deaths for </w:t>
      </w:r>
      <w:r w:rsidR="003017B4">
        <w:t>pembrolizumab</w:t>
      </w:r>
      <w:r>
        <w:t xml:space="preserve"> in </w:t>
      </w:r>
      <w:r w:rsidR="00953F9B">
        <w:t>Study KN-355</w:t>
      </w:r>
      <w:r>
        <w:t xml:space="preserve"> was slightly lower than in the </w:t>
      </w:r>
      <w:r w:rsidR="002D7A83">
        <w:t>reference safety data set</w:t>
      </w:r>
      <w:r>
        <w:t xml:space="preserve">, while the incidence of </w:t>
      </w:r>
      <w:r w:rsidR="003017B4">
        <w:t>Grade</w:t>
      </w:r>
      <w:r>
        <w:t xml:space="preserve"> 3</w:t>
      </w:r>
      <w:r w:rsidR="00002DD5">
        <w:t xml:space="preserve"> to </w:t>
      </w:r>
      <w:r>
        <w:t xml:space="preserve">5 </w:t>
      </w:r>
      <w:r w:rsidR="003109ED">
        <w:t>AE</w:t>
      </w:r>
      <w:r w:rsidR="006860F5">
        <w:t>s</w:t>
      </w:r>
      <w:r>
        <w:t xml:space="preserve"> and dose modification due to </w:t>
      </w:r>
      <w:r w:rsidR="003109ED">
        <w:t>AE</w:t>
      </w:r>
      <w:r>
        <w:t xml:space="preserve"> was considerably higher compared with the </w:t>
      </w:r>
      <w:r w:rsidR="002D7A83">
        <w:t>reference safety data set</w:t>
      </w:r>
      <w:r>
        <w:t xml:space="preserve">. </w:t>
      </w:r>
      <w:r w:rsidR="003E7169">
        <w:t>AESI</w:t>
      </w:r>
      <w:r w:rsidR="006860F5">
        <w:t>s</w:t>
      </w:r>
      <w:r>
        <w:t xml:space="preserve"> were somewhat more frequent compared with the </w:t>
      </w:r>
      <w:r w:rsidR="002D7A83">
        <w:t xml:space="preserve">reference safety data set </w:t>
      </w:r>
      <w:r>
        <w:t>(</w:t>
      </w:r>
      <w:r w:rsidR="00EF3EF6">
        <w:fldChar w:fldCharType="begin"/>
      </w:r>
      <w:r w:rsidR="00EF3EF6">
        <w:instrText xml:space="preserve"> REF _Ref101270784 \h </w:instrText>
      </w:r>
      <w:r w:rsidR="00EF3EF6">
        <w:fldChar w:fldCharType="separate"/>
      </w:r>
      <w:r w:rsidR="00FB26DF">
        <w:t xml:space="preserve">Table </w:t>
      </w:r>
      <w:r w:rsidR="00FB26DF">
        <w:rPr>
          <w:noProof/>
        </w:rPr>
        <w:t>22</w:t>
      </w:r>
      <w:r w:rsidR="00EF3EF6">
        <w:fldChar w:fldCharType="end"/>
      </w:r>
      <w:r>
        <w:t xml:space="preserve">). Note that the datasets are not directly comparable, as the </w:t>
      </w:r>
      <w:r w:rsidR="002D7A83">
        <w:t xml:space="preserve">reference safety data set </w:t>
      </w:r>
      <w:r>
        <w:t>included patients treated with pembrolizumab as monotherapy, over a shorter duration, in older patients, with different cancer types.</w:t>
      </w:r>
    </w:p>
    <w:p w14:paraId="1855A4FB" w14:textId="04C3DC16" w:rsidR="00BA2BC1" w:rsidRDefault="00BA2BC1" w:rsidP="00BA2BC1">
      <w:r>
        <w:t>Overall, safety for the proposed indication was consistent with the known profile of pembrolizumab and no new concerns were identified.</w:t>
      </w:r>
    </w:p>
    <w:p w14:paraId="298362C4" w14:textId="3D023A7F" w:rsidR="00BA2BC1" w:rsidRDefault="00BA2BC1" w:rsidP="00BA2BC1">
      <w:pPr>
        <w:pStyle w:val="TableTitle"/>
      </w:pPr>
      <w:bookmarkStart w:id="77" w:name="_Ref102394419"/>
      <w:r>
        <w:t xml:space="preserve">Table </w:t>
      </w:r>
      <w:r>
        <w:fldChar w:fldCharType="begin"/>
      </w:r>
      <w:r>
        <w:instrText>SEQ Table \* ARABIC</w:instrText>
      </w:r>
      <w:r>
        <w:fldChar w:fldCharType="separate"/>
      </w:r>
      <w:r w:rsidR="00A02570">
        <w:rPr>
          <w:noProof/>
        </w:rPr>
        <w:t>21</w:t>
      </w:r>
      <w:r>
        <w:fldChar w:fldCharType="end"/>
      </w:r>
      <w:bookmarkEnd w:id="77"/>
      <w:r w:rsidR="00F71757">
        <w:rPr>
          <w:noProof/>
        </w:rPr>
        <w:t>:</w:t>
      </w:r>
      <w:r>
        <w:t xml:space="preserve"> Summary of </w:t>
      </w:r>
      <w:r w:rsidR="006860F5">
        <w:t xml:space="preserve">safety events </w:t>
      </w:r>
      <w:r>
        <w:t xml:space="preserve">across </w:t>
      </w:r>
      <w:r w:rsidR="004A6CD7">
        <w:t xml:space="preserve">Study KN-355, plus ‘pooled </w:t>
      </w:r>
      <w:proofErr w:type="spellStart"/>
      <w:r w:rsidR="004A6CD7">
        <w:t>mTNBC</w:t>
      </w:r>
      <w:proofErr w:type="spellEnd"/>
      <w:r w:rsidR="004A6CD7">
        <w:t>’ and ‘reference safety’ datasets</w:t>
      </w:r>
      <w:r w:rsidR="00683ECB">
        <w:t xml:space="preserve"> (all subjects as treated)</w:t>
      </w:r>
      <w:r w:rsidR="002D7FFB" w:rsidRPr="002D7FFB">
        <w:rPr>
          <w:noProof/>
        </w:rPr>
        <w:t xml:space="preserve"> </w:t>
      </w:r>
      <w:r w:rsidR="3D99468A">
        <w:rPr>
          <w:noProof/>
          <w:lang w:val="en-GB" w:eastAsia="en-GB"/>
        </w:rPr>
        <w:drawing>
          <wp:inline distT="0" distB="0" distL="0" distR="0" wp14:anchorId="53A92184" wp14:editId="49725717">
            <wp:extent cx="5406888" cy="5543586"/>
            <wp:effectExtent l="0" t="0" r="3810" b="0"/>
            <wp:docPr id="16" name="Picture 16" descr="This table is a summary of safety across the four datasets (all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2">
                      <a:extLst>
                        <a:ext uri="{28A0092B-C50C-407E-A947-70E740481C1C}">
                          <a14:useLocalDpi xmlns:a14="http://schemas.microsoft.com/office/drawing/2010/main" val="0"/>
                        </a:ext>
                      </a:extLst>
                    </a:blip>
                    <a:stretch>
                      <a:fillRect/>
                    </a:stretch>
                  </pic:blipFill>
                  <pic:spPr>
                    <a:xfrm>
                      <a:off x="0" y="0"/>
                      <a:ext cx="5406888" cy="5543586"/>
                    </a:xfrm>
                    <a:prstGeom prst="rect">
                      <a:avLst/>
                    </a:prstGeom>
                  </pic:spPr>
                </pic:pic>
              </a:graphicData>
            </a:graphic>
          </wp:inline>
        </w:drawing>
      </w:r>
    </w:p>
    <w:p w14:paraId="5EDDBAE3" w14:textId="312DB145" w:rsidR="00B07034" w:rsidRDefault="00B07034" w:rsidP="002D7FFB"/>
    <w:p w14:paraId="542BA5C5" w14:textId="4A404011" w:rsidR="00BA2BC1" w:rsidRDefault="00887BAF" w:rsidP="00B07034">
      <w:pPr>
        <w:pStyle w:val="TableTitle"/>
      </w:pPr>
      <w:r>
        <w:lastRenderedPageBreak/>
        <w:fldChar w:fldCharType="begin"/>
      </w:r>
      <w:r>
        <w:rPr>
          <w:noProof/>
        </w:rPr>
        <w:instrText xml:space="preserve"> REF _Ref102394419 \h </w:instrText>
      </w:r>
      <w:r>
        <w:fldChar w:fldCharType="separate"/>
      </w:r>
      <w:r w:rsidR="00A02570">
        <w:t xml:space="preserve">Table </w:t>
      </w:r>
      <w:r w:rsidR="00A02570">
        <w:rPr>
          <w:noProof/>
        </w:rPr>
        <w:t>21</w:t>
      </w:r>
      <w:r>
        <w:fldChar w:fldCharType="end"/>
      </w:r>
      <w:r w:rsidR="00F71757">
        <w:rPr>
          <w:noProof/>
        </w:rPr>
        <w:t>:</w:t>
      </w:r>
      <w:r w:rsidR="00B07034">
        <w:t xml:space="preserve"> </w:t>
      </w:r>
      <w:r w:rsidR="004A6CD7">
        <w:t xml:space="preserve">Summary of safety events across Study KN-355, plus ‘pooled </w:t>
      </w:r>
      <w:proofErr w:type="spellStart"/>
      <w:r w:rsidR="004A6CD7">
        <w:t>mTNBC</w:t>
      </w:r>
      <w:proofErr w:type="spellEnd"/>
      <w:r w:rsidR="004A6CD7">
        <w:t>’ and ‘reference safety’ datasets (all subjects as treated)</w:t>
      </w:r>
    </w:p>
    <w:p w14:paraId="01478342" w14:textId="74DF93CC" w:rsidR="00B07034" w:rsidRDefault="00B07034" w:rsidP="00B07034">
      <w:pPr>
        <w:pStyle w:val="TableDescription"/>
      </w:pPr>
      <w:r>
        <w:rPr>
          <w:noProof/>
          <w:lang w:val="en-GB" w:eastAsia="en-GB"/>
        </w:rPr>
        <w:drawing>
          <wp:inline distT="0" distB="0" distL="0" distR="0" wp14:anchorId="4035E7DB" wp14:editId="5F95E26A">
            <wp:extent cx="5400040" cy="4184015"/>
            <wp:effectExtent l="0" t="0" r="0" b="6985"/>
            <wp:docPr id="15" name="Picture 15" descr="This is continuation of the the table showing a summary of safety across the four datasets (all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s continuation of the the table showing a summary of safety across the four datasets (all subjects as treated)."/>
                    <pic:cNvPicPr/>
                  </pic:nvPicPr>
                  <pic:blipFill>
                    <a:blip r:embed="rId53"/>
                    <a:stretch>
                      <a:fillRect/>
                    </a:stretch>
                  </pic:blipFill>
                  <pic:spPr>
                    <a:xfrm>
                      <a:off x="0" y="0"/>
                      <a:ext cx="5400040" cy="4184015"/>
                    </a:xfrm>
                    <a:prstGeom prst="rect">
                      <a:avLst/>
                    </a:prstGeom>
                  </pic:spPr>
                </pic:pic>
              </a:graphicData>
            </a:graphic>
          </wp:inline>
        </w:drawing>
      </w:r>
      <w:r>
        <w:t xml:space="preserve">Note: </w:t>
      </w:r>
      <w:r w:rsidRPr="00046A90">
        <w:t>T</w:t>
      </w:r>
      <w:r w:rsidRPr="008C341B">
        <w:t xml:space="preserve">he table includes data for </w:t>
      </w:r>
      <w:r>
        <w:t>an</w:t>
      </w:r>
      <w:r w:rsidRPr="008C341B">
        <w:t xml:space="preserve"> additional 34 patients who received pembrolizumab during the safety run-in phase of </w:t>
      </w:r>
      <w:r>
        <w:t xml:space="preserve">Study KN-355 </w:t>
      </w:r>
      <w:r w:rsidRPr="008C341B">
        <w:t>(AKA Part 1).</w:t>
      </w:r>
      <w:r>
        <w:t xml:space="preserve"> This part of the study was unblinded and open-label, and in view of small numbers will not be considered further. Data in this Overview are quoted for Part 2 subjects only, unless stated otherwise.</w:t>
      </w:r>
    </w:p>
    <w:p w14:paraId="0B01C864" w14:textId="70FD71F2" w:rsidR="00BA2BC1" w:rsidRPr="00BA2BC1" w:rsidRDefault="006A6DD4" w:rsidP="00BA2BC1">
      <w:pPr>
        <w:pStyle w:val="Heading6"/>
      </w:pPr>
      <w:r>
        <w:t>Adverse events</w:t>
      </w:r>
    </w:p>
    <w:p w14:paraId="5E716238" w14:textId="58D40106" w:rsidR="00BA2BC1" w:rsidRDefault="00BA2BC1" w:rsidP="00BA2BC1">
      <w:r>
        <w:t xml:space="preserve">The most frequently reported </w:t>
      </w:r>
      <w:r w:rsidR="00EF3EF6">
        <w:t>adverse event</w:t>
      </w:r>
      <w:r w:rsidR="004A6CD7">
        <w:t>s</w:t>
      </w:r>
      <w:r w:rsidR="00EF3EF6">
        <w:t xml:space="preserve"> (AE</w:t>
      </w:r>
      <w:r w:rsidR="004A6CD7">
        <w:t>s</w:t>
      </w:r>
      <w:r w:rsidR="00EF3EF6">
        <w:t>)</w:t>
      </w:r>
      <w:r>
        <w:t xml:space="preserve"> in </w:t>
      </w:r>
      <w:r w:rsidR="00953F9B">
        <w:t>Study KN-355</w:t>
      </w:r>
      <w:r>
        <w:t xml:space="preserve"> were anaemia, nausea, neutropenia, </w:t>
      </w:r>
      <w:proofErr w:type="gramStart"/>
      <w:r>
        <w:t>alopecia</w:t>
      </w:r>
      <w:proofErr w:type="gramEnd"/>
      <w:r>
        <w:t xml:space="preserve"> and fatigue, with a similar frequency in the </w:t>
      </w:r>
      <w:r w:rsidR="003017B4">
        <w:t>pembrolizumab</w:t>
      </w:r>
      <w:r>
        <w:t xml:space="preserve"> and placebo groups.</w:t>
      </w:r>
    </w:p>
    <w:p w14:paraId="3ED1D988" w14:textId="673F670F" w:rsidR="00BA2BC1" w:rsidRDefault="00BA2BC1" w:rsidP="00BA2BC1">
      <w:r>
        <w:t xml:space="preserve">The </w:t>
      </w:r>
      <w:r w:rsidR="004A6CD7">
        <w:t xml:space="preserve">adverse event </w:t>
      </w:r>
      <w:r>
        <w:t>with the biggest imbalance in incidence (</w:t>
      </w:r>
      <w:r w:rsidR="003017B4">
        <w:t>pembrolizumab</w:t>
      </w:r>
      <w:r>
        <w:t xml:space="preserve"> </w:t>
      </w:r>
      <w:r w:rsidR="00EF3EF6">
        <w:t>greater than</w:t>
      </w:r>
      <w:r>
        <w:t xml:space="preserve"> placebo) were hypothyroidism (15.8% </w:t>
      </w:r>
      <w:r w:rsidR="003017B4">
        <w:t>versus</w:t>
      </w:r>
      <w:r>
        <w:t xml:space="preserve"> 3.2%), rash (19.6% </w:t>
      </w:r>
      <w:r w:rsidR="003017B4">
        <w:t>versus</w:t>
      </w:r>
      <w:r>
        <w:t xml:space="preserve"> 12.1%), </w:t>
      </w:r>
      <w:r w:rsidR="00EF3EF6">
        <w:t>a</w:t>
      </w:r>
      <w:r w:rsidR="00EF3EF6" w:rsidRPr="00EF3EF6">
        <w:t>spartate aminotransferase</w:t>
      </w:r>
      <w:r>
        <w:t xml:space="preserve"> increase (23.8% </w:t>
      </w:r>
      <w:r w:rsidR="003017B4">
        <w:t>versus</w:t>
      </w:r>
      <w:r>
        <w:t xml:space="preserve"> 16.7%) and decreased appetite (21.4% </w:t>
      </w:r>
      <w:r w:rsidR="003017B4">
        <w:t>versus</w:t>
      </w:r>
      <w:r>
        <w:t xml:space="preserve"> 14.2%).</w:t>
      </w:r>
    </w:p>
    <w:p w14:paraId="1393126C" w14:textId="2113BAF4" w:rsidR="00BA2BC1" w:rsidRDefault="00BA2BC1" w:rsidP="00BA2BC1">
      <w:pPr>
        <w:pStyle w:val="Heading6"/>
      </w:pPr>
      <w:r>
        <w:t>Grade 3</w:t>
      </w:r>
      <w:r w:rsidR="006A6DD4">
        <w:t xml:space="preserve"> </w:t>
      </w:r>
      <w:r w:rsidR="00002DD5">
        <w:t>to</w:t>
      </w:r>
      <w:r w:rsidR="006A6DD4">
        <w:t xml:space="preserve"> </w:t>
      </w:r>
      <w:r>
        <w:t xml:space="preserve">5 </w:t>
      </w:r>
      <w:r w:rsidR="006A6DD4">
        <w:t>adverse events</w:t>
      </w:r>
    </w:p>
    <w:p w14:paraId="2F8E8994" w14:textId="77777777" w:rsidR="002D7FFB" w:rsidRDefault="00BA2BC1" w:rsidP="00BA2BC1">
      <w:r>
        <w:t>Grade 3</w:t>
      </w:r>
      <w:r w:rsidR="006A6DD4">
        <w:t xml:space="preserve"> </w:t>
      </w:r>
      <w:r w:rsidR="00002DD5">
        <w:t>to</w:t>
      </w:r>
      <w:r w:rsidR="006A6DD4">
        <w:t xml:space="preserve"> </w:t>
      </w:r>
      <w:r>
        <w:t xml:space="preserve">5 </w:t>
      </w:r>
      <w:r w:rsidR="003109ED">
        <w:t>AE</w:t>
      </w:r>
      <w:r>
        <w:t xml:space="preserve"> were more frequently reported with </w:t>
      </w:r>
      <w:r w:rsidR="003017B4">
        <w:t>pembrolizumab</w:t>
      </w:r>
      <w:r>
        <w:t xml:space="preserve"> (77.9%) than placebo (73.7%) in </w:t>
      </w:r>
      <w:r w:rsidR="00953F9B">
        <w:t>Study KN-355</w:t>
      </w:r>
      <w:r>
        <w:t xml:space="preserve">. Imbalances between </w:t>
      </w:r>
      <w:r w:rsidR="003017B4">
        <w:t>pembrolizumab</w:t>
      </w:r>
      <w:r>
        <w:t xml:space="preserve"> and placebo for individual </w:t>
      </w:r>
      <w:r w:rsidR="003017B4">
        <w:t>Grade</w:t>
      </w:r>
      <w:r>
        <w:t xml:space="preserve"> 3</w:t>
      </w:r>
      <w:r w:rsidR="006A6DD4">
        <w:t xml:space="preserve"> </w:t>
      </w:r>
      <w:r w:rsidR="00002DD5">
        <w:t>to</w:t>
      </w:r>
      <w:r w:rsidR="006A6DD4">
        <w:t xml:space="preserve"> </w:t>
      </w:r>
      <w:r>
        <w:t xml:space="preserve">5 </w:t>
      </w:r>
      <w:r w:rsidR="008A6A27">
        <w:t>Prefer Terms</w:t>
      </w:r>
      <w:r>
        <w:t xml:space="preserve"> were all small (</w:t>
      </w:r>
      <w:r w:rsidR="00002DD5">
        <w:t>&lt;</w:t>
      </w:r>
      <w:r w:rsidR="006A6DD4">
        <w:t xml:space="preserve"> </w:t>
      </w:r>
      <w:r>
        <w:t xml:space="preserve">5%). The most common events (neutropenia, anaemia, neutrophil count decreased, thrombocytopenia and white cell count decreased) were reported at a similar frequency for </w:t>
      </w:r>
      <w:r w:rsidR="003017B4">
        <w:t>pembrolizumab</w:t>
      </w:r>
      <w:r>
        <w:t xml:space="preserve"> and placebo in </w:t>
      </w:r>
      <w:r w:rsidR="00953F9B">
        <w:t>Study KN-355</w:t>
      </w:r>
      <w:r>
        <w:t>, and were infrequently reported in the monotherapy datasets, suggesting that these events reflected mainly the concomitant chemotherapy.</w:t>
      </w:r>
    </w:p>
    <w:p w14:paraId="1F45D02C" w14:textId="4B3E494A" w:rsidR="00BA2BC1" w:rsidRDefault="00BA2BC1" w:rsidP="00BA2BC1">
      <w:pPr>
        <w:pStyle w:val="Heading6"/>
      </w:pPr>
      <w:r>
        <w:t>S</w:t>
      </w:r>
      <w:r w:rsidR="006A6DD4">
        <w:t>erious adverse events</w:t>
      </w:r>
    </w:p>
    <w:p w14:paraId="6F02F542" w14:textId="64727003" w:rsidR="00BA2BC1" w:rsidRDefault="00BA2BC1" w:rsidP="00BA2BC1">
      <w:r>
        <w:t>S</w:t>
      </w:r>
      <w:r w:rsidR="008A6A27">
        <w:t>erious adverse events (SAE)</w:t>
      </w:r>
      <w:r>
        <w:t xml:space="preserve"> were reported in 30.1% of patients with </w:t>
      </w:r>
      <w:r w:rsidR="003017B4">
        <w:t>pembrolizumab</w:t>
      </w:r>
      <w:r>
        <w:t xml:space="preserve"> and 23.8% of patients with placebo in </w:t>
      </w:r>
      <w:r w:rsidR="00953F9B">
        <w:t>Study KN-355</w:t>
      </w:r>
      <w:r>
        <w:t xml:space="preserve">. The most frequent events in the </w:t>
      </w:r>
      <w:r w:rsidR="003017B4">
        <w:lastRenderedPageBreak/>
        <w:t>pembrolizumab</w:t>
      </w:r>
      <w:r>
        <w:t xml:space="preserve"> group (all 2% incidence) were anaemia, </w:t>
      </w:r>
      <w:proofErr w:type="gramStart"/>
      <w:r>
        <w:t>pneumonia</w:t>
      </w:r>
      <w:proofErr w:type="gramEnd"/>
      <w:r>
        <w:t xml:space="preserve"> and thrombocytopenia. The biggest imbalance (</w:t>
      </w:r>
      <w:r w:rsidR="003017B4">
        <w:t>pembrolizumab</w:t>
      </w:r>
      <w:r>
        <w:t xml:space="preserve"> &gt; placebo) in incidence was for events of pneumonitis (1.1% </w:t>
      </w:r>
      <w:r w:rsidR="003017B4">
        <w:t>versus</w:t>
      </w:r>
      <w:r>
        <w:t xml:space="preserve"> 0%). The types and incidence of other S</w:t>
      </w:r>
      <w:r w:rsidR="003109ED">
        <w:t>AE</w:t>
      </w:r>
      <w:r>
        <w:t xml:space="preserve"> was generally similar between the groups.</w:t>
      </w:r>
    </w:p>
    <w:p w14:paraId="30E110B6" w14:textId="77777777" w:rsidR="00BA2BC1" w:rsidRDefault="00BA2BC1" w:rsidP="00BA2BC1">
      <w:pPr>
        <w:pStyle w:val="Heading6"/>
      </w:pPr>
      <w:r>
        <w:t>Deaths</w:t>
      </w:r>
    </w:p>
    <w:p w14:paraId="72832D27" w14:textId="77777777" w:rsidR="002D7FFB" w:rsidRDefault="00BA2BC1" w:rsidP="00BA2BC1">
      <w:r>
        <w:t xml:space="preserve">There were 17 deaths (3.0%) in the </w:t>
      </w:r>
      <w:r w:rsidR="003017B4">
        <w:t>pembrolizumab</w:t>
      </w:r>
      <w:r>
        <w:t xml:space="preserve"> arm and </w:t>
      </w:r>
      <w:r w:rsidR="006A6DD4">
        <w:t>five</w:t>
      </w:r>
      <w:r>
        <w:t xml:space="preserve"> deaths (1.8%) in the placebo arm in </w:t>
      </w:r>
      <w:r w:rsidR="00953F9B">
        <w:t>Study KN-355</w:t>
      </w:r>
      <w:r>
        <w:t>. There was no clustering of P</w:t>
      </w:r>
      <w:r w:rsidR="008A6A27">
        <w:t>referred Terms</w:t>
      </w:r>
      <w:r>
        <w:t xml:space="preserve"> in either arm. </w:t>
      </w:r>
      <w:r w:rsidR="006A6DD4">
        <w:t xml:space="preserve">Two </w:t>
      </w:r>
      <w:r>
        <w:t xml:space="preserve">deaths, both in the </w:t>
      </w:r>
      <w:r w:rsidR="003017B4">
        <w:t>pembrolizumab</w:t>
      </w:r>
      <w:r>
        <w:t xml:space="preserve"> arm, were considered treatment</w:t>
      </w:r>
      <w:r w:rsidR="006A6DD4">
        <w:t xml:space="preserve"> </w:t>
      </w:r>
      <w:r>
        <w:t>related (acute kidney injury and pneumonia).</w:t>
      </w:r>
    </w:p>
    <w:p w14:paraId="626F2F04" w14:textId="3489525C" w:rsidR="00BA2BC1" w:rsidRDefault="00BA2BC1" w:rsidP="00BA2BC1">
      <w:pPr>
        <w:pStyle w:val="Heading6"/>
      </w:pPr>
      <w:r>
        <w:t>A</w:t>
      </w:r>
      <w:r w:rsidR="00002DD5">
        <w:t xml:space="preserve">dverse </w:t>
      </w:r>
      <w:r w:rsidR="004A6CD7">
        <w:t>e</w:t>
      </w:r>
      <w:r w:rsidR="00002DD5">
        <w:t>vents</w:t>
      </w:r>
      <w:r>
        <w:t xml:space="preserve"> leading to </w:t>
      </w:r>
      <w:r w:rsidR="004A6CD7">
        <w:t xml:space="preserve">treatment </w:t>
      </w:r>
      <w:r>
        <w:t>discontinuation</w:t>
      </w:r>
    </w:p>
    <w:p w14:paraId="5E6B9EA4" w14:textId="4ECD8D61" w:rsidR="00BA2BC1" w:rsidRDefault="00BA2BC1" w:rsidP="00BA2BC1">
      <w:r>
        <w:t xml:space="preserve">In </w:t>
      </w:r>
      <w:r w:rsidR="00953F9B">
        <w:t>Study KN-355</w:t>
      </w:r>
      <w:r>
        <w:t xml:space="preserve"> there were twice as many subjects with </w:t>
      </w:r>
      <w:r w:rsidR="008A6A27">
        <w:t>adverse events</w:t>
      </w:r>
      <w:r>
        <w:t xml:space="preserve"> leading to discontinuation of </w:t>
      </w:r>
      <w:r w:rsidR="003017B4">
        <w:t>pembrolizumab</w:t>
      </w:r>
      <w:r>
        <w:t xml:space="preserve">/placebo in the </w:t>
      </w:r>
      <w:r w:rsidR="003017B4">
        <w:t>pembrolizumab</w:t>
      </w:r>
      <w:r>
        <w:t xml:space="preserve"> arm (10.7%) than in the placebo arm (5.3%). The most common events (in the </w:t>
      </w:r>
      <w:r w:rsidR="003017B4">
        <w:t>pembrolizumab</w:t>
      </w:r>
      <w:r>
        <w:t xml:space="preserve"> arm </w:t>
      </w:r>
      <w:r w:rsidR="003017B4">
        <w:t>versus</w:t>
      </w:r>
      <w:r>
        <w:t xml:space="preserve"> placebo arm) were </w:t>
      </w:r>
      <w:r w:rsidR="008A6A27">
        <w:t>a</w:t>
      </w:r>
      <w:r w:rsidR="008A6A27" w:rsidRPr="008A6A27">
        <w:t>lanine aminotransferase</w:t>
      </w:r>
      <w:r>
        <w:t xml:space="preserve"> increase (2.1% </w:t>
      </w:r>
      <w:r w:rsidR="003017B4">
        <w:t>versus</w:t>
      </w:r>
      <w:r>
        <w:t xml:space="preserve"> 1.4%), </w:t>
      </w:r>
      <w:r w:rsidR="00EF3EF6">
        <w:t>a</w:t>
      </w:r>
      <w:r w:rsidR="00EF3EF6" w:rsidRPr="00EF3EF6">
        <w:t>spartate aminotransferase</w:t>
      </w:r>
      <w:r>
        <w:t xml:space="preserve"> increase (1.6% </w:t>
      </w:r>
      <w:r w:rsidR="003017B4">
        <w:t>versus</w:t>
      </w:r>
      <w:r>
        <w:t xml:space="preserve"> 0.7%) and pneumonitis (1.2% </w:t>
      </w:r>
      <w:r w:rsidR="003017B4">
        <w:t>versus</w:t>
      </w:r>
      <w:r>
        <w:t xml:space="preserve"> 0%).</w:t>
      </w:r>
    </w:p>
    <w:p w14:paraId="61B1F2E3" w14:textId="1E55DFB4" w:rsidR="00BA2BC1" w:rsidRDefault="003109ED" w:rsidP="00BA2BC1">
      <w:r>
        <w:t>A</w:t>
      </w:r>
      <w:r w:rsidR="008A6A27">
        <w:t xml:space="preserve">dverse events </w:t>
      </w:r>
      <w:r w:rsidR="00BA2BC1">
        <w:t xml:space="preserve">leading to discontinuation of chemotherapy were somewhat more common in the </w:t>
      </w:r>
      <w:r w:rsidR="003017B4">
        <w:t>pembrolizumab</w:t>
      </w:r>
      <w:r w:rsidR="00BA2BC1">
        <w:t xml:space="preserve"> arm compared with the placebo arm in </w:t>
      </w:r>
      <w:r w:rsidR="00953F9B">
        <w:t>Study KN-355</w:t>
      </w:r>
      <w:r w:rsidR="00BA2BC1">
        <w:t xml:space="preserve"> (14.9% </w:t>
      </w:r>
      <w:r w:rsidR="003017B4">
        <w:t>versus</w:t>
      </w:r>
      <w:r w:rsidR="00BA2BC1">
        <w:t xml:space="preserve"> 11.4%). The most common event leading to discontinuation of chemo</w:t>
      </w:r>
      <w:r w:rsidR="008A6A27">
        <w:t>therapy</w:t>
      </w:r>
      <w:r w:rsidR="00BA2BC1">
        <w:t xml:space="preserve"> was neutropenia (</w:t>
      </w:r>
      <w:r w:rsidR="003017B4">
        <w:t>pembrolizumab</w:t>
      </w:r>
      <w:r w:rsidR="00BA2BC1">
        <w:t xml:space="preserve"> 1.8% </w:t>
      </w:r>
      <w:r w:rsidR="003017B4">
        <w:t>versus</w:t>
      </w:r>
      <w:r w:rsidR="00BA2BC1">
        <w:t xml:space="preserve"> placebo 0.4%).</w:t>
      </w:r>
    </w:p>
    <w:p w14:paraId="02BFCB3B" w14:textId="63A8570F" w:rsidR="00BA2BC1" w:rsidRDefault="00002DD5" w:rsidP="00BA2BC1">
      <w:pPr>
        <w:pStyle w:val="Heading6"/>
      </w:pPr>
      <w:r w:rsidRPr="00002DD5">
        <w:t>Adverse events of special interest</w:t>
      </w:r>
    </w:p>
    <w:p w14:paraId="12E444F8" w14:textId="5D6CD164" w:rsidR="00BA2BC1" w:rsidRDefault="00BA2BC1" w:rsidP="00BA2BC1">
      <w:r>
        <w:t xml:space="preserve">The proportion of patients with </w:t>
      </w:r>
      <w:r w:rsidR="008A6A27">
        <w:t>adverse events of special interest (</w:t>
      </w:r>
      <w:r w:rsidR="003E7169">
        <w:t>AESI</w:t>
      </w:r>
      <w:r w:rsidR="008A6A27">
        <w:t>)</w:t>
      </w:r>
      <w:r>
        <w:t xml:space="preserve"> in </w:t>
      </w:r>
      <w:r w:rsidR="00953F9B">
        <w:t>Study KN</w:t>
      </w:r>
      <w:r w:rsidR="008A6A27">
        <w:noBreakHyphen/>
      </w:r>
      <w:r w:rsidR="00953F9B">
        <w:t>355</w:t>
      </w:r>
      <w:r>
        <w:t xml:space="preserve"> was 27.9% in the </w:t>
      </w:r>
      <w:r w:rsidR="003017B4">
        <w:t>pembrolizumab</w:t>
      </w:r>
      <w:r>
        <w:t xml:space="preserve"> arm and 11.0% in the placebo arm, with 5.7% and 0% respectively being of </w:t>
      </w:r>
      <w:r w:rsidR="003017B4">
        <w:t>Grade</w:t>
      </w:r>
      <w:r>
        <w:t xml:space="preserve"> 3</w:t>
      </w:r>
      <w:r w:rsidR="00002DD5">
        <w:t xml:space="preserve"> to </w:t>
      </w:r>
      <w:r>
        <w:t>5. The most common event categories (</w:t>
      </w:r>
      <w:r w:rsidR="003017B4">
        <w:t>pembrolizumab</w:t>
      </w:r>
      <w:r>
        <w:t xml:space="preserve"> </w:t>
      </w:r>
      <w:r w:rsidR="003017B4">
        <w:t>versus</w:t>
      </w:r>
      <w:r>
        <w:t xml:space="preserve"> placebo) were hypothyroidism (15.8% </w:t>
      </w:r>
      <w:r w:rsidR="003017B4">
        <w:t>versus</w:t>
      </w:r>
      <w:r>
        <w:t xml:space="preserve"> 3.2%), hyperthyroidism (4.3% </w:t>
      </w:r>
      <w:r w:rsidR="003017B4">
        <w:t>versus</w:t>
      </w:r>
      <w:r>
        <w:t xml:space="preserve"> 1.1%), infusion reactions (3.7% </w:t>
      </w:r>
      <w:r w:rsidR="003017B4">
        <w:t>versus</w:t>
      </w:r>
      <w:r>
        <w:t xml:space="preserve"> 5.0%) and pneumonitis (2.5% </w:t>
      </w:r>
      <w:r w:rsidR="003017B4">
        <w:t>versus</w:t>
      </w:r>
      <w:r>
        <w:t xml:space="preserve"> 0%).</w:t>
      </w:r>
    </w:p>
    <w:p w14:paraId="5A3689DA" w14:textId="11D9D426" w:rsidR="00BA2BC1" w:rsidRDefault="00BA2BC1" w:rsidP="00BA2BC1">
      <w:r>
        <w:t xml:space="preserve">No new </w:t>
      </w:r>
      <w:r w:rsidR="003E7169">
        <w:t>AESI</w:t>
      </w:r>
      <w:r>
        <w:t xml:space="preserve">s were identified in </w:t>
      </w:r>
      <w:r w:rsidR="00953F9B">
        <w:t>Study KN-355</w:t>
      </w:r>
      <w:r>
        <w:t>.</w:t>
      </w:r>
    </w:p>
    <w:p w14:paraId="3CCF9B77" w14:textId="2F4B046C" w:rsidR="003F0108" w:rsidRDefault="003E7169" w:rsidP="00BA2BC1">
      <w:r>
        <w:t>AESI</w:t>
      </w:r>
      <w:r w:rsidR="00BA2BC1">
        <w:t xml:space="preserve">s were more frequent in </w:t>
      </w:r>
      <w:r w:rsidR="00953F9B">
        <w:t>Study KN-355</w:t>
      </w:r>
      <w:r w:rsidR="00BA2BC1">
        <w:t xml:space="preserve"> compared with the </w:t>
      </w:r>
      <w:r w:rsidR="002D7A83">
        <w:t>reference safety data set</w:t>
      </w:r>
      <w:r w:rsidR="00BA2BC1">
        <w:t xml:space="preserve"> (2</w:t>
      </w:r>
      <w:r w:rsidR="00CD600D">
        <w:t>8.7</w:t>
      </w:r>
      <w:r w:rsidR="00BA2BC1">
        <w:t xml:space="preserve">% </w:t>
      </w:r>
      <w:r w:rsidR="00FA167A" w:rsidRPr="00FA167A">
        <w:t xml:space="preserve">including KN355 Part 1 and Part 2 subjects </w:t>
      </w:r>
      <w:r w:rsidR="003017B4">
        <w:t>versus</w:t>
      </w:r>
      <w:r w:rsidR="00BA2BC1">
        <w:t xml:space="preserve"> 21.4%), primarily driven by events of hypothyroidism (15.8% </w:t>
      </w:r>
      <w:r w:rsidR="003017B4">
        <w:t>versus</w:t>
      </w:r>
      <w:r w:rsidR="00BA2BC1">
        <w:t xml:space="preserve"> 8.5%; mostly </w:t>
      </w:r>
      <w:r w:rsidR="003017B4">
        <w:t>Grade</w:t>
      </w:r>
      <w:r w:rsidR="00BA2BC1">
        <w:t xml:space="preserve"> 1 or 2)</w:t>
      </w:r>
      <w:r w:rsidR="003F0108">
        <w:t>.</w:t>
      </w:r>
    </w:p>
    <w:p w14:paraId="06D89F19" w14:textId="6887929B" w:rsidR="00BA2BC1" w:rsidRDefault="003F0108" w:rsidP="005471F0">
      <w:pPr>
        <w:spacing w:before="0" w:after="200" w:line="0" w:lineRule="auto"/>
      </w:pPr>
      <w:r>
        <w:br w:type="page"/>
      </w:r>
    </w:p>
    <w:p w14:paraId="23249450" w14:textId="6CD37BAE" w:rsidR="00BA2BC1" w:rsidRDefault="00BA2BC1" w:rsidP="00BA2BC1">
      <w:pPr>
        <w:pStyle w:val="TableTitle"/>
      </w:pPr>
      <w:bookmarkStart w:id="78" w:name="_Ref101270784"/>
      <w:r>
        <w:lastRenderedPageBreak/>
        <w:t xml:space="preserve">Table </w:t>
      </w:r>
      <w:r>
        <w:fldChar w:fldCharType="begin"/>
      </w:r>
      <w:r>
        <w:instrText>SEQ Table \* ARABIC</w:instrText>
      </w:r>
      <w:r>
        <w:fldChar w:fldCharType="separate"/>
      </w:r>
      <w:r w:rsidR="00A02570">
        <w:rPr>
          <w:noProof/>
        </w:rPr>
        <w:t>22</w:t>
      </w:r>
      <w:r>
        <w:fldChar w:fldCharType="end"/>
      </w:r>
      <w:bookmarkEnd w:id="78"/>
      <w:r w:rsidR="00B160A1">
        <w:rPr>
          <w:noProof/>
        </w:rPr>
        <w:t>:</w:t>
      </w:r>
      <w:r>
        <w:t xml:space="preserve"> </w:t>
      </w:r>
      <w:r w:rsidR="004A6CD7">
        <w:t xml:space="preserve">Summary of adverse events of special interest across Study KN-355, plus ‘pooled </w:t>
      </w:r>
      <w:proofErr w:type="spellStart"/>
      <w:r w:rsidR="004A6CD7">
        <w:t>mTNBC</w:t>
      </w:r>
      <w:proofErr w:type="spellEnd"/>
      <w:r w:rsidR="004A6CD7">
        <w:t>’ and ‘reference safety’ datasets (all subjects as treated)</w:t>
      </w:r>
    </w:p>
    <w:p w14:paraId="7413FA3C" w14:textId="63B115B9" w:rsidR="00B160A1" w:rsidRDefault="00B160A1" w:rsidP="00B160A1">
      <w:r>
        <w:rPr>
          <w:noProof/>
          <w:lang w:val="en-GB" w:eastAsia="en-GB"/>
        </w:rPr>
        <w:drawing>
          <wp:inline distT="0" distB="0" distL="0" distR="0" wp14:anchorId="28DD29AE" wp14:editId="31763A39">
            <wp:extent cx="5400040" cy="2013924"/>
            <wp:effectExtent l="0" t="0" r="0" b="5715"/>
            <wp:docPr id="19" name="Picture 19" descr="This table shows a summary of adverse events of special interest for all subjects as t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table shows a summary of adverse events of special interest for all subjects as treated."/>
                    <pic:cNvPicPr/>
                  </pic:nvPicPr>
                  <pic:blipFill rotWithShape="1">
                    <a:blip r:embed="rId54"/>
                    <a:srcRect b="62022"/>
                    <a:stretch/>
                  </pic:blipFill>
                  <pic:spPr bwMode="auto">
                    <a:xfrm>
                      <a:off x="0" y="0"/>
                      <a:ext cx="5400040" cy="2013924"/>
                    </a:xfrm>
                    <a:prstGeom prst="rect">
                      <a:avLst/>
                    </a:prstGeom>
                    <a:ln>
                      <a:noFill/>
                    </a:ln>
                    <a:extLst>
                      <a:ext uri="{53640926-AAD7-44D8-BBD7-CCE9431645EC}">
                        <a14:shadowObscured xmlns:a14="http://schemas.microsoft.com/office/drawing/2010/main"/>
                      </a:ext>
                    </a:extLst>
                  </pic:spPr>
                </pic:pic>
              </a:graphicData>
            </a:graphic>
          </wp:inline>
        </w:drawing>
      </w:r>
    </w:p>
    <w:p w14:paraId="22919FAB" w14:textId="1B9B58C3" w:rsidR="00BA2BC1" w:rsidRDefault="00BA2BC1" w:rsidP="00DC4F08">
      <w:pPr>
        <w:pStyle w:val="TableDescription"/>
      </w:pPr>
      <w:r>
        <w:t>Note: table adapted for brevity. Includes subjects from Part 1 safety run-in (</w:t>
      </w:r>
      <w:r w:rsidR="00953F9B">
        <w:t>Study KN-355</w:t>
      </w:r>
      <w:r>
        <w:t>).</w:t>
      </w:r>
    </w:p>
    <w:p w14:paraId="31A902AA" w14:textId="1A1C7C34" w:rsidR="00B160A1" w:rsidRDefault="00B160A1" w:rsidP="00DC4F08">
      <w:pPr>
        <w:pStyle w:val="TableDescription"/>
      </w:pPr>
      <w:r w:rsidRPr="00B160A1">
        <w:t>† Determined by the investigator to be related to the drug.</w:t>
      </w:r>
    </w:p>
    <w:p w14:paraId="5655ED0D" w14:textId="77777777" w:rsidR="00B160A1" w:rsidRDefault="00B160A1" w:rsidP="00DC4F08">
      <w:pPr>
        <w:pStyle w:val="TableDescription"/>
      </w:pPr>
      <w:proofErr w:type="spellStart"/>
      <w:r w:rsidRPr="00B160A1">
        <w:rPr>
          <w:vertAlign w:val="superscript"/>
        </w:rPr>
        <w:t>i</w:t>
      </w:r>
      <w:proofErr w:type="spellEnd"/>
      <w:r>
        <w:t xml:space="preserve"> Includes all subjects who received at least one dose of pembrolizumab or chemotherapy in KN355.</w:t>
      </w:r>
    </w:p>
    <w:p w14:paraId="3973E663" w14:textId="77777777" w:rsidR="00B160A1" w:rsidRDefault="00B160A1" w:rsidP="00DC4F08">
      <w:pPr>
        <w:pStyle w:val="TableDescription"/>
      </w:pPr>
      <w:r w:rsidRPr="00B160A1">
        <w:rPr>
          <w:vertAlign w:val="superscript"/>
        </w:rPr>
        <w:t>j</w:t>
      </w:r>
      <w:r>
        <w:t xml:space="preserve"> Includes all subjects who received at least one dose of placebo or chemotherapy in KN355.</w:t>
      </w:r>
    </w:p>
    <w:p w14:paraId="2E5A3590" w14:textId="77777777" w:rsidR="00B160A1" w:rsidRDefault="00B160A1" w:rsidP="00DC4F08">
      <w:pPr>
        <w:pStyle w:val="TableDescription"/>
      </w:pPr>
      <w:r w:rsidRPr="00B160A1">
        <w:rPr>
          <w:vertAlign w:val="superscript"/>
        </w:rPr>
        <w:t>k</w:t>
      </w:r>
      <w:r>
        <w:t xml:space="preserve"> Includes all subjects who received at least one dose of pembrolizumab in KN012-Cohort A, KN086 and KN119.</w:t>
      </w:r>
    </w:p>
    <w:p w14:paraId="51D59109" w14:textId="5A19ED25" w:rsidR="00B160A1" w:rsidRDefault="00B160A1" w:rsidP="00DC4F08">
      <w:pPr>
        <w:pStyle w:val="TableDescription"/>
      </w:pPr>
      <w:r w:rsidRPr="00B160A1">
        <w:rPr>
          <w:vertAlign w:val="superscript"/>
        </w:rPr>
        <w:t>l</w:t>
      </w:r>
      <w:r>
        <w:t xml:space="preserve"> Includes all subjects who received at least one dose of pembrolizumab in KN001 Part B1, B2, B3, D, C, F1, F2, F3, KN002 (original phase), KN006, and KN010.</w:t>
      </w:r>
    </w:p>
    <w:p w14:paraId="065A3E94" w14:textId="1015892F" w:rsidR="00BA2BC1" w:rsidRPr="00E534B8" w:rsidRDefault="00BA2BC1" w:rsidP="00BA2BC1">
      <w:pPr>
        <w:pStyle w:val="Heading6"/>
      </w:pPr>
      <w:r>
        <w:t>A</w:t>
      </w:r>
      <w:r w:rsidR="00002DD5">
        <w:t>dverse events</w:t>
      </w:r>
      <w:r>
        <w:t xml:space="preserve"> in special populations</w:t>
      </w:r>
    </w:p>
    <w:p w14:paraId="4F1F6C7C" w14:textId="542D5552" w:rsidR="00BA2BC1" w:rsidRPr="00002DD5" w:rsidRDefault="004A6CD7" w:rsidP="00BA2BC1">
      <w:pPr>
        <w:pStyle w:val="Heading7"/>
        <w:rPr>
          <w:sz w:val="22"/>
          <w:szCs w:val="22"/>
        </w:rPr>
      </w:pPr>
      <w:r>
        <w:rPr>
          <w:sz w:val="22"/>
          <w:szCs w:val="22"/>
        </w:rPr>
        <w:t>Advanced age</w:t>
      </w:r>
    </w:p>
    <w:p w14:paraId="0391BE25" w14:textId="2F1CF101" w:rsidR="00BA2BC1" w:rsidRDefault="00BA2BC1" w:rsidP="00BA2BC1">
      <w:r>
        <w:t xml:space="preserve">The frequency of </w:t>
      </w:r>
      <w:r w:rsidR="0064482B">
        <w:t>adverse events</w:t>
      </w:r>
      <w:r>
        <w:t xml:space="preserve"> in each category in </w:t>
      </w:r>
      <w:r w:rsidR="00953F9B">
        <w:t>Study KN-355</w:t>
      </w:r>
      <w:r>
        <w:t xml:space="preserve"> was mostly similar in those </w:t>
      </w:r>
      <w:r w:rsidR="0064482B">
        <w:t>older than</w:t>
      </w:r>
      <w:r w:rsidR="00002DD5">
        <w:t xml:space="preserve"> </w:t>
      </w:r>
      <w:r>
        <w:t xml:space="preserve">65 </w:t>
      </w:r>
      <w:r w:rsidR="0064482B">
        <w:t xml:space="preserve">years </w:t>
      </w:r>
      <w:r>
        <w:t xml:space="preserve">and </w:t>
      </w:r>
      <w:r w:rsidR="0064482B">
        <w:t>younger than</w:t>
      </w:r>
      <w:r>
        <w:t xml:space="preserve"> 65 years. S</w:t>
      </w:r>
      <w:r w:rsidR="003109ED">
        <w:t>AE</w:t>
      </w:r>
      <w:r w:rsidR="004A6CD7">
        <w:t>s</w:t>
      </w:r>
      <w:r>
        <w:t>, deaths, dose modifications and discontinuations due to</w:t>
      </w:r>
      <w:r w:rsidR="0064482B">
        <w:t xml:space="preserve"> adverse events</w:t>
      </w:r>
      <w:r>
        <w:t xml:space="preserve"> were more frequent in those aged over 65, but this pattern was similar for the </w:t>
      </w:r>
      <w:r w:rsidR="003017B4">
        <w:t>pembrolizumab</w:t>
      </w:r>
      <w:r>
        <w:t xml:space="preserve"> and placebo groups, likely reflecting underlying risk.</w:t>
      </w:r>
    </w:p>
    <w:p w14:paraId="093856E7" w14:textId="06A9E67B" w:rsidR="00BA2BC1" w:rsidRPr="00002DD5" w:rsidRDefault="004A6CD7" w:rsidP="00BA2BC1">
      <w:pPr>
        <w:pStyle w:val="Heading7"/>
        <w:rPr>
          <w:sz w:val="22"/>
          <w:szCs w:val="22"/>
        </w:rPr>
      </w:pPr>
      <w:r>
        <w:rPr>
          <w:sz w:val="22"/>
          <w:szCs w:val="22"/>
        </w:rPr>
        <w:t>Performance status</w:t>
      </w:r>
    </w:p>
    <w:p w14:paraId="516A9E01" w14:textId="0B4C9CEE" w:rsidR="00BA2BC1" w:rsidRDefault="00BA2BC1" w:rsidP="00BA2BC1">
      <w:r>
        <w:t xml:space="preserve">The </w:t>
      </w:r>
      <w:r w:rsidR="0064482B">
        <w:t xml:space="preserve">adverse event </w:t>
      </w:r>
      <w:r>
        <w:t xml:space="preserve">profile in the </w:t>
      </w:r>
      <w:r w:rsidR="003017B4">
        <w:t>pembrolizumab</w:t>
      </w:r>
      <w:r>
        <w:t xml:space="preserve"> group was generally similar between participants who had an ECOG PS</w:t>
      </w:r>
      <w:r w:rsidR="00D43114">
        <w:t>;</w:t>
      </w:r>
      <w:r w:rsidR="00D43114" w:rsidRPr="005471F0">
        <w:rPr>
          <w:vertAlign w:val="superscript"/>
        </w:rPr>
        <w:fldChar w:fldCharType="begin"/>
      </w:r>
      <w:r w:rsidR="00D43114" w:rsidRPr="005471F0">
        <w:rPr>
          <w:vertAlign w:val="superscript"/>
        </w:rPr>
        <w:instrText xml:space="preserve"> NOTEREF _Ref134092388 \h </w:instrText>
      </w:r>
      <w:r w:rsidR="00D43114">
        <w:rPr>
          <w:vertAlign w:val="superscript"/>
        </w:rPr>
        <w:instrText xml:space="preserve"> \* MERGEFORMAT </w:instrText>
      </w:r>
      <w:r w:rsidR="00D43114" w:rsidRPr="005471F0">
        <w:rPr>
          <w:vertAlign w:val="superscript"/>
        </w:rPr>
      </w:r>
      <w:r w:rsidR="00D43114" w:rsidRPr="005471F0">
        <w:rPr>
          <w:vertAlign w:val="superscript"/>
        </w:rPr>
        <w:fldChar w:fldCharType="separate"/>
      </w:r>
      <w:r w:rsidR="00A02570">
        <w:rPr>
          <w:vertAlign w:val="superscript"/>
        </w:rPr>
        <w:t>18</w:t>
      </w:r>
      <w:r w:rsidR="00D43114" w:rsidRPr="005471F0">
        <w:rPr>
          <w:vertAlign w:val="superscript"/>
        </w:rPr>
        <w:fldChar w:fldCharType="end"/>
      </w:r>
      <w:r>
        <w:t xml:space="preserve"> of 0 or 1 at </w:t>
      </w:r>
      <w:r w:rsidR="00002DD5">
        <w:t>B</w:t>
      </w:r>
      <w:r>
        <w:t xml:space="preserve">aseline, except that the incidence of </w:t>
      </w:r>
      <w:r w:rsidR="003017B4">
        <w:t>Grade</w:t>
      </w:r>
      <w:r>
        <w:t xml:space="preserve"> 3 to 5 </w:t>
      </w:r>
      <w:r w:rsidR="003109ED">
        <w:t>AE</w:t>
      </w:r>
      <w:r w:rsidR="00D43114">
        <w:t>s</w:t>
      </w:r>
      <w:r>
        <w:t>, S</w:t>
      </w:r>
      <w:r w:rsidR="003109ED">
        <w:t>AE</w:t>
      </w:r>
      <w:r w:rsidR="00D43114">
        <w:t>s</w:t>
      </w:r>
      <w:r>
        <w:t>, and drug-related S</w:t>
      </w:r>
      <w:r w:rsidR="003109ED">
        <w:t>AE</w:t>
      </w:r>
      <w:r w:rsidR="00D43114">
        <w:t>s</w:t>
      </w:r>
      <w:r>
        <w:t xml:space="preserve"> in the </w:t>
      </w:r>
      <w:r w:rsidR="003017B4">
        <w:t>pembrolizumab</w:t>
      </w:r>
      <w:r>
        <w:t xml:space="preserve"> group was higher (≥</w:t>
      </w:r>
      <w:r w:rsidR="00D43114">
        <w:t> </w:t>
      </w:r>
      <w:r>
        <w:t xml:space="preserve">5% difference) in participants with ECOG PS of 1 at </w:t>
      </w:r>
      <w:r w:rsidR="0064482B">
        <w:t>B</w:t>
      </w:r>
      <w:r>
        <w:t>aseline. A similar pattern was observed in the placebo arm, likely reflecting underlying risk.</w:t>
      </w:r>
    </w:p>
    <w:p w14:paraId="3734E330" w14:textId="492F2FC3" w:rsidR="00BA2BC1" w:rsidRPr="00002DD5" w:rsidRDefault="00BA2BC1" w:rsidP="00BA2BC1">
      <w:pPr>
        <w:pStyle w:val="Heading7"/>
        <w:rPr>
          <w:sz w:val="22"/>
          <w:szCs w:val="22"/>
        </w:rPr>
      </w:pPr>
      <w:r w:rsidRPr="00002DD5">
        <w:rPr>
          <w:sz w:val="22"/>
          <w:szCs w:val="22"/>
        </w:rPr>
        <w:t>Pregnancy</w:t>
      </w:r>
    </w:p>
    <w:p w14:paraId="02FC77CA" w14:textId="2C58E0EA" w:rsidR="00BA2BC1" w:rsidRDefault="00BA2BC1" w:rsidP="00BA2BC1">
      <w:r>
        <w:t xml:space="preserve">No pregnancies were reported in </w:t>
      </w:r>
      <w:r w:rsidR="00953F9B">
        <w:t>Study KN-355</w:t>
      </w:r>
      <w:r>
        <w:t>.</w:t>
      </w:r>
    </w:p>
    <w:p w14:paraId="73225D86" w14:textId="77777777" w:rsidR="004A6CD7" w:rsidRDefault="004A6CD7" w:rsidP="005471F0">
      <w:pPr>
        <w:pStyle w:val="Heading5"/>
      </w:pPr>
      <w:r>
        <w:t>Post marketing data</w:t>
      </w:r>
    </w:p>
    <w:p w14:paraId="68B94872" w14:textId="5B81C575" w:rsidR="004A6CD7" w:rsidRDefault="004A6CD7" w:rsidP="00BA2BC1">
      <w:r>
        <w:t>Post-marketing data for the proposed indication were reviewed. Of 55 cases of interest, no new safety concerns were identified.</w:t>
      </w:r>
    </w:p>
    <w:p w14:paraId="06A36906" w14:textId="77777777" w:rsidR="008E7846" w:rsidRDefault="00386150" w:rsidP="007B6132">
      <w:pPr>
        <w:pStyle w:val="Heading3"/>
        <w:rPr>
          <w:lang w:eastAsia="en-AU"/>
        </w:rPr>
      </w:pPr>
      <w:bookmarkStart w:id="79" w:name="_Toc314842514"/>
      <w:bookmarkStart w:id="80" w:name="_Toc132283599"/>
      <w:r>
        <w:rPr>
          <w:lang w:eastAsia="en-AU"/>
        </w:rPr>
        <w:t>Risk m</w:t>
      </w:r>
      <w:r w:rsidR="008E7846">
        <w:rPr>
          <w:lang w:eastAsia="en-AU"/>
        </w:rPr>
        <w:t xml:space="preserve">anagement </w:t>
      </w:r>
      <w:r>
        <w:rPr>
          <w:lang w:eastAsia="en-AU"/>
        </w:rPr>
        <w:t>p</w:t>
      </w:r>
      <w:r w:rsidR="008E7846">
        <w:rPr>
          <w:lang w:eastAsia="en-AU"/>
        </w:rPr>
        <w:t>lan</w:t>
      </w:r>
      <w:bookmarkEnd w:id="79"/>
      <w:bookmarkEnd w:id="80"/>
    </w:p>
    <w:p w14:paraId="72AFCDFD" w14:textId="1C810614" w:rsidR="0074163C" w:rsidRDefault="00D43114" w:rsidP="0074163C">
      <w:bookmarkStart w:id="81" w:name="_Toc247691531"/>
      <w:bookmarkStart w:id="82" w:name="_Toc314842515"/>
      <w:bookmarkStart w:id="83" w:name="_Toc196046505"/>
      <w:bookmarkStart w:id="84" w:name="_Toc196046949"/>
      <w:r>
        <w:t>The submission of a new</w:t>
      </w:r>
      <w:r w:rsidR="00BA2BC1" w:rsidRPr="00BA2BC1">
        <w:t xml:space="preserve"> risk management plan is not required for this submission. </w:t>
      </w:r>
      <w:r w:rsidR="0074163C" w:rsidRPr="00BA2BC1">
        <w:t>The sponsor is required to comply with product vigilance and risk minimisation requirements.</w:t>
      </w:r>
    </w:p>
    <w:p w14:paraId="5D7E5BFE" w14:textId="77777777" w:rsidR="008E7846" w:rsidRDefault="00AA0ED0" w:rsidP="008E7846">
      <w:pPr>
        <w:pStyle w:val="Heading3"/>
      </w:pPr>
      <w:bookmarkStart w:id="85" w:name="_Toc132283600"/>
      <w:r>
        <w:lastRenderedPageBreak/>
        <w:t>Risk-benefit a</w:t>
      </w:r>
      <w:r w:rsidR="008E7846">
        <w:t>nalysis</w:t>
      </w:r>
      <w:bookmarkEnd w:id="81"/>
      <w:bookmarkEnd w:id="82"/>
      <w:bookmarkEnd w:id="85"/>
    </w:p>
    <w:p w14:paraId="539C0D7E" w14:textId="77777777" w:rsidR="0074163C" w:rsidRDefault="0074163C" w:rsidP="0074163C">
      <w:pPr>
        <w:pStyle w:val="Heading4"/>
      </w:pPr>
      <w:bookmarkStart w:id="86" w:name="_Toc98931932"/>
      <w:r>
        <w:t>Delegate’s considerations</w:t>
      </w:r>
      <w:bookmarkEnd w:id="86"/>
    </w:p>
    <w:p w14:paraId="796510D2" w14:textId="152D176D" w:rsidR="002D7FFB" w:rsidRDefault="000A27BD" w:rsidP="000A27BD">
      <w:r>
        <w:t xml:space="preserve">The </w:t>
      </w:r>
      <w:r w:rsidR="00927739">
        <w:t>s</w:t>
      </w:r>
      <w:r>
        <w:t xml:space="preserve">ponsor proposes an extension of indications for </w:t>
      </w:r>
      <w:r w:rsidR="00D75912">
        <w:t>Keytruda</w:t>
      </w:r>
      <w:r>
        <w:t xml:space="preserve"> to include the neoadjuvant and adjuvant treatment of early triple negative breast cancer</w:t>
      </w:r>
      <w:r w:rsidR="00927739">
        <w:t xml:space="preserve"> (TNBC</w:t>
      </w:r>
      <w:r w:rsidR="00591597">
        <w:t>)</w:t>
      </w:r>
      <w:r>
        <w:t xml:space="preserve"> and the treatment of locally recurrent, </w:t>
      </w:r>
      <w:proofErr w:type="gramStart"/>
      <w:r>
        <w:t>unresectable</w:t>
      </w:r>
      <w:proofErr w:type="gramEnd"/>
      <w:r>
        <w:t xml:space="preserve"> or metastatic TNBC. Both indications received </w:t>
      </w:r>
      <w:hyperlink r:id="rId55" w:history="1">
        <w:r w:rsidR="00D43114">
          <w:rPr>
            <w:rStyle w:val="Hyperlink"/>
          </w:rPr>
          <w:t>priority determination</w:t>
        </w:r>
      </w:hyperlink>
      <w:r w:rsidR="00D43114">
        <w:t xml:space="preserve"> </w:t>
      </w:r>
      <w:r>
        <w:t>for evaluation</w:t>
      </w:r>
      <w:r w:rsidR="00D43114">
        <w:t xml:space="preserve"> (see </w:t>
      </w:r>
      <w:r w:rsidR="00D43114" w:rsidRPr="005471F0">
        <w:rPr>
          <w:i/>
        </w:rPr>
        <w:fldChar w:fldCharType="begin"/>
      </w:r>
      <w:r w:rsidR="00D43114" w:rsidRPr="005471F0">
        <w:rPr>
          <w:i/>
        </w:rPr>
        <w:instrText xml:space="preserve"> REF _Ref134169345 \h </w:instrText>
      </w:r>
      <w:r w:rsidR="00D43114">
        <w:rPr>
          <w:i/>
        </w:rPr>
        <w:instrText xml:space="preserve"> \* MERGEFORMAT </w:instrText>
      </w:r>
      <w:r w:rsidR="00D43114" w:rsidRPr="005471F0">
        <w:rPr>
          <w:i/>
        </w:rPr>
      </w:r>
      <w:r w:rsidR="00D43114" w:rsidRPr="005471F0">
        <w:rPr>
          <w:i/>
        </w:rPr>
        <w:fldChar w:fldCharType="separate"/>
      </w:r>
      <w:r w:rsidR="00A02570" w:rsidRPr="00A02570">
        <w:rPr>
          <w:i/>
        </w:rPr>
        <w:t>Registration timeline</w:t>
      </w:r>
      <w:r w:rsidR="00D43114" w:rsidRPr="005471F0">
        <w:rPr>
          <w:i/>
        </w:rPr>
        <w:fldChar w:fldCharType="end"/>
      </w:r>
      <w:r w:rsidR="00D43114">
        <w:t>)</w:t>
      </w:r>
      <w:r>
        <w:t xml:space="preserve">. The submission was assessed as part of the </w:t>
      </w:r>
      <w:hyperlink r:id="rId56" w:history="1">
        <w:r w:rsidR="00D43114">
          <w:rPr>
            <w:rStyle w:val="Hyperlink"/>
          </w:rPr>
          <w:t>Project Orbis</w:t>
        </w:r>
      </w:hyperlink>
      <w:r w:rsidR="00D43114">
        <w:t xml:space="preserve"> </w:t>
      </w:r>
      <w:r>
        <w:t xml:space="preserve">collaboration with the US </w:t>
      </w:r>
      <w:r w:rsidR="00D43114">
        <w:t>Food and Drug Administration (</w:t>
      </w:r>
      <w:r>
        <w:t>FDA</w:t>
      </w:r>
      <w:r w:rsidR="00D43114">
        <w:t>)</w:t>
      </w:r>
      <w:r>
        <w:t xml:space="preserve">. Both indications are </w:t>
      </w:r>
      <w:r w:rsidR="00A056E9">
        <w:t xml:space="preserve">US </w:t>
      </w:r>
      <w:r>
        <w:t>FDA approved.</w:t>
      </w:r>
    </w:p>
    <w:p w14:paraId="1E28CE6A" w14:textId="7DE87694" w:rsidR="000A27BD" w:rsidRDefault="000A27BD" w:rsidP="000A27BD">
      <w:r>
        <w:t>Pembrolizumab is a monoclonal antibody which targets the PD-1 immune checkpoint receptor. It was first registered in Australia for the treatment of advanced melanoma in 2016.</w:t>
      </w:r>
      <w:r w:rsidR="002F634D" w:rsidRPr="00F25CAE">
        <w:rPr>
          <w:vertAlign w:val="superscript"/>
        </w:rPr>
        <w:fldChar w:fldCharType="begin"/>
      </w:r>
      <w:r w:rsidR="002F634D" w:rsidRPr="00F25CAE">
        <w:rPr>
          <w:vertAlign w:val="superscript"/>
        </w:rPr>
        <w:instrText xml:space="preserve"> NOTEREF _Ref134169587 \h </w:instrText>
      </w:r>
      <w:r w:rsidR="002F634D">
        <w:rPr>
          <w:vertAlign w:val="superscript"/>
        </w:rPr>
        <w:instrText xml:space="preserve"> \* MERGEFORMAT </w:instrText>
      </w:r>
      <w:r w:rsidR="002F634D" w:rsidRPr="00F25CAE">
        <w:rPr>
          <w:vertAlign w:val="superscript"/>
        </w:rPr>
      </w:r>
      <w:r w:rsidR="002F634D" w:rsidRPr="00F25CAE">
        <w:rPr>
          <w:vertAlign w:val="superscript"/>
        </w:rPr>
        <w:fldChar w:fldCharType="separate"/>
      </w:r>
      <w:r w:rsidR="00A02570">
        <w:rPr>
          <w:vertAlign w:val="superscript"/>
        </w:rPr>
        <w:t>12</w:t>
      </w:r>
      <w:r w:rsidR="002F634D" w:rsidRPr="00F25CAE">
        <w:rPr>
          <w:vertAlign w:val="superscript"/>
        </w:rPr>
        <w:fldChar w:fldCharType="end"/>
      </w:r>
      <w:r>
        <w:t xml:space="preserve"> There have been several subsequent extensions of indication in oncology. This would be the first specific breast cancer indication and the first neoadjuvant indication for pembrolizumab in Australia.</w:t>
      </w:r>
    </w:p>
    <w:p w14:paraId="3EEDD03A" w14:textId="791DF273" w:rsidR="00A034C8" w:rsidRDefault="00A034C8" w:rsidP="00591597">
      <w:pPr>
        <w:pStyle w:val="Heading5"/>
      </w:pPr>
      <w:r>
        <w:t>Neoadjuvant</w:t>
      </w:r>
      <w:r w:rsidR="00591597">
        <w:t xml:space="preserve"> and </w:t>
      </w:r>
      <w:r>
        <w:t xml:space="preserve">adjuvant treatment of early </w:t>
      </w:r>
      <w:r w:rsidR="002F634D">
        <w:t>triple negative breast cancer</w:t>
      </w:r>
    </w:p>
    <w:p w14:paraId="70E7BF74" w14:textId="5A19FEA1" w:rsidR="002D7FFB" w:rsidRDefault="00A034C8" w:rsidP="00A034C8">
      <w:r>
        <w:t>The proposed neoadjuvant</w:t>
      </w:r>
      <w:r w:rsidR="00591597">
        <w:t xml:space="preserve"> and </w:t>
      </w:r>
      <w:r>
        <w:t xml:space="preserve">adjuvant indication is supported by efficacy and safety data from the </w:t>
      </w:r>
      <w:r w:rsidR="0064482B">
        <w:t>fourth i</w:t>
      </w:r>
      <w:r>
        <w:t>nterim analysis (IA4) of Study KN-522</w:t>
      </w:r>
      <w:r w:rsidR="002F634D">
        <w:t>, also known as the KEYNOTE 522 trial</w:t>
      </w:r>
      <w:r>
        <w:t>.</w:t>
      </w:r>
      <w:bookmarkStart w:id="87" w:name="_Ref130225840"/>
      <w:r w:rsidR="00A056E9">
        <w:fldChar w:fldCharType="begin"/>
      </w:r>
      <w:r w:rsidR="00A056E9">
        <w:instrText xml:space="preserve"> NOTEREF _Ref130225847 \f \h </w:instrText>
      </w:r>
      <w:r w:rsidR="00A056E9">
        <w:fldChar w:fldCharType="separate"/>
      </w:r>
      <w:r w:rsidR="00A02570" w:rsidRPr="00A02570">
        <w:rPr>
          <w:rStyle w:val="FootnoteReference"/>
        </w:rPr>
        <w:t>14</w:t>
      </w:r>
      <w:r w:rsidR="00A056E9">
        <w:fldChar w:fldCharType="end"/>
      </w:r>
      <w:bookmarkEnd w:id="87"/>
      <w:r>
        <w:t xml:space="preserve"> This is an ongoing, pivotal Phase III study in which patients with early stage TNBC were randomised </w:t>
      </w:r>
      <w:r w:rsidR="002F634D">
        <w:t xml:space="preserve">in a </w:t>
      </w:r>
      <w:r>
        <w:t>2:1</w:t>
      </w:r>
      <w:r w:rsidR="002F634D">
        <w:t xml:space="preserve"> ratio</w:t>
      </w:r>
      <w:r>
        <w:t xml:space="preserve"> to receive neoadjuvant therapy with eight cycles of pembrolizumab (200 mg </w:t>
      </w:r>
      <w:r w:rsidR="00591597">
        <w:t>once every three weeks</w:t>
      </w:r>
      <w:r>
        <w:t xml:space="preserve">) plus chemotherapy (n = 784) or placebo plus chemotherapy (n = 390). After definitive surgery, the patients received adjuvant pembrolizumab or placebo every </w:t>
      </w:r>
      <w:r w:rsidR="00591597">
        <w:t>three</w:t>
      </w:r>
      <w:r>
        <w:t xml:space="preserve"> weeks for up to nine cycles.</w:t>
      </w:r>
    </w:p>
    <w:p w14:paraId="32BC5FED" w14:textId="304BA05E" w:rsidR="002D7FFB" w:rsidRDefault="00A034C8" w:rsidP="00A034C8">
      <w:r>
        <w:t>The primary endpoints were a pathological complete response (</w:t>
      </w:r>
      <w:proofErr w:type="spellStart"/>
      <w:r>
        <w:t>pCR</w:t>
      </w:r>
      <w:proofErr w:type="spellEnd"/>
      <w:r>
        <w:t xml:space="preserve">) at the time of definitive surgery and event-free survival in the </w:t>
      </w:r>
      <w:r w:rsidR="00756BF1">
        <w:t>intent to treat (</w:t>
      </w:r>
      <w:r>
        <w:t>ITT</w:t>
      </w:r>
      <w:r w:rsidR="00756BF1">
        <w:t>)</w:t>
      </w:r>
      <w:r>
        <w:t xml:space="preserve"> population</w:t>
      </w:r>
      <w:r w:rsidR="002F634D">
        <w:t xml:space="preserve"> (see </w:t>
      </w:r>
      <w:r>
        <w:t xml:space="preserve"> </w:t>
      </w:r>
      <w:r w:rsidR="002F634D">
        <w:fldChar w:fldCharType="begin"/>
      </w:r>
      <w:r w:rsidR="002F634D">
        <w:instrText xml:space="preserve"> REF _Ref127187923 \h </w:instrText>
      </w:r>
      <w:r w:rsidR="002F634D">
        <w:fldChar w:fldCharType="separate"/>
      </w:r>
      <w:r w:rsidR="00A02570">
        <w:t xml:space="preserve">Table </w:t>
      </w:r>
      <w:r w:rsidR="00A02570">
        <w:rPr>
          <w:noProof/>
        </w:rPr>
        <w:t>4</w:t>
      </w:r>
      <w:r w:rsidR="002F634D">
        <w:fldChar w:fldCharType="end"/>
      </w:r>
      <w:r w:rsidR="002F634D">
        <w:t xml:space="preserve"> for definitions of </w:t>
      </w:r>
      <w:proofErr w:type="spellStart"/>
      <w:r w:rsidR="002F634D">
        <w:t>pCR</w:t>
      </w:r>
      <w:proofErr w:type="spellEnd"/>
      <w:r w:rsidR="002F634D">
        <w:t xml:space="preserve">). </w:t>
      </w:r>
      <w:r>
        <w:t>These endpoints are acceptable and generally in line with guidance.</w:t>
      </w:r>
      <w:r w:rsidR="00591597">
        <w:rPr>
          <w:rStyle w:val="FootnoteReference"/>
        </w:rPr>
        <w:footnoteReference w:id="26"/>
      </w:r>
      <w:r>
        <w:t xml:space="preserve"> </w:t>
      </w:r>
      <w:proofErr w:type="spellStart"/>
      <w:r>
        <w:t>pCR</w:t>
      </w:r>
      <w:proofErr w:type="spellEnd"/>
      <w:r>
        <w:t xml:space="preserve"> is a surrogate efficacy endpoint which may not necessarily translate into </w:t>
      </w:r>
      <w:r w:rsidR="002F634D">
        <w:t xml:space="preserve">event-free survival </w:t>
      </w:r>
      <w:r>
        <w:t xml:space="preserve">or </w:t>
      </w:r>
      <w:r w:rsidR="0064482B">
        <w:t xml:space="preserve">overall survival </w:t>
      </w:r>
      <w:r>
        <w:t xml:space="preserve">benefit. Had the EFS data not been available for confirmation, the </w:t>
      </w:r>
      <w:proofErr w:type="spellStart"/>
      <w:r>
        <w:t>pCR</w:t>
      </w:r>
      <w:proofErr w:type="spellEnd"/>
      <w:r>
        <w:t xml:space="preserve"> data alone are unlikely to have been sufficient to support approval. It is noted that a submission to the </w:t>
      </w:r>
      <w:r w:rsidR="00A056E9">
        <w:t xml:space="preserve">US </w:t>
      </w:r>
      <w:r>
        <w:t xml:space="preserve">FDA based on an earlier analysis (before </w:t>
      </w:r>
      <w:r w:rsidR="002F634D">
        <w:t xml:space="preserve">the event-free survival endpoint </w:t>
      </w:r>
      <w:r>
        <w:t xml:space="preserve">was met) was deferred by the </w:t>
      </w:r>
      <w:r w:rsidR="00A056E9">
        <w:t xml:space="preserve">US </w:t>
      </w:r>
      <w:r>
        <w:t>FDA.</w:t>
      </w:r>
      <w:r w:rsidR="0064482B">
        <w:rPr>
          <w:rStyle w:val="FootnoteReference"/>
        </w:rPr>
        <w:footnoteReference w:id="27"/>
      </w:r>
    </w:p>
    <w:p w14:paraId="71B15355" w14:textId="324A51DD" w:rsidR="002D7FFB" w:rsidRDefault="00A034C8" w:rsidP="00A034C8">
      <w:r>
        <w:t xml:space="preserve">The trial population was generally representative of the expected Australian population to which the proposed indication applies. Patients were enrolled regardless of PD-L1 expression status, although most (82.9%) were positive (defined as </w:t>
      </w:r>
      <w:r w:rsidR="002F634D">
        <w:t>a combined positive score</w:t>
      </w:r>
      <w:r w:rsidR="002F634D" w:rsidRPr="005471F0">
        <w:rPr>
          <w:vertAlign w:val="superscript"/>
        </w:rPr>
        <w:fldChar w:fldCharType="begin"/>
      </w:r>
      <w:r w:rsidR="002F634D" w:rsidRPr="005471F0">
        <w:rPr>
          <w:vertAlign w:val="superscript"/>
        </w:rPr>
        <w:instrText xml:space="preserve"> NOTEREF _Ref134099386 \h </w:instrText>
      </w:r>
      <w:r w:rsidR="002F634D">
        <w:rPr>
          <w:vertAlign w:val="superscript"/>
        </w:rPr>
        <w:instrText xml:space="preserve"> \* MERGEFORMAT </w:instrText>
      </w:r>
      <w:r w:rsidR="002F634D" w:rsidRPr="005471F0">
        <w:rPr>
          <w:vertAlign w:val="superscript"/>
        </w:rPr>
      </w:r>
      <w:r w:rsidR="002F634D" w:rsidRPr="005471F0">
        <w:rPr>
          <w:vertAlign w:val="superscript"/>
        </w:rPr>
        <w:fldChar w:fldCharType="separate"/>
      </w:r>
      <w:r w:rsidR="00A02570">
        <w:rPr>
          <w:vertAlign w:val="superscript"/>
        </w:rPr>
        <w:t>23</w:t>
      </w:r>
      <w:r w:rsidR="002F634D" w:rsidRPr="005471F0">
        <w:rPr>
          <w:vertAlign w:val="superscript"/>
        </w:rPr>
        <w:fldChar w:fldCharType="end"/>
      </w:r>
      <w:r w:rsidR="002F634D">
        <w:t xml:space="preserve"> (</w:t>
      </w:r>
      <w:r>
        <w:t>CPS</w:t>
      </w:r>
      <w:r w:rsidR="002F634D">
        <w:t>)</w:t>
      </w:r>
      <w:r>
        <w:t xml:space="preserve"> ≥ 1).</w:t>
      </w:r>
    </w:p>
    <w:p w14:paraId="5F329FCF" w14:textId="10E7D3E2" w:rsidR="002D7FFB" w:rsidRDefault="00A034C8" w:rsidP="00A034C8">
      <w:r>
        <w:t xml:space="preserve">The success criterion for </w:t>
      </w:r>
      <w:proofErr w:type="spellStart"/>
      <w:r>
        <w:t>pCR</w:t>
      </w:r>
      <w:proofErr w:type="spellEnd"/>
      <w:r>
        <w:t xml:space="preserve"> was met at the first interim analysis (IA1), when 602 of 1174 participants </w:t>
      </w:r>
      <w:r w:rsidR="000679C6">
        <w:t xml:space="preserve">would have </w:t>
      </w:r>
      <w:r>
        <w:t xml:space="preserve">completed surgery. The </w:t>
      </w:r>
      <w:proofErr w:type="spellStart"/>
      <w:r>
        <w:t>pCR</w:t>
      </w:r>
      <w:proofErr w:type="spellEnd"/>
      <w:r>
        <w:t xml:space="preserve"> rate was 64.8% for </w:t>
      </w:r>
      <w:r w:rsidR="000E4EE0">
        <w:t>pembrolizumab</w:t>
      </w:r>
      <w:r>
        <w:t xml:space="preserve"> and 51.2% for placebo, </w:t>
      </w:r>
      <w:r w:rsidR="00591597">
        <w:t xml:space="preserve">with a </w:t>
      </w:r>
      <w:r>
        <w:t xml:space="preserve">rate difference </w:t>
      </w:r>
      <w:r w:rsidR="00591597">
        <w:t xml:space="preserve">of </w:t>
      </w:r>
      <w:r>
        <w:t xml:space="preserve">13.6% (95% CI: 5.4, 21.8), p = 0.00055. The </w:t>
      </w:r>
      <w:proofErr w:type="spellStart"/>
      <w:r>
        <w:t>pCR</w:t>
      </w:r>
      <w:proofErr w:type="spellEnd"/>
      <w:r>
        <w:t xml:space="preserve"> rate difference remained statistically significant at the multiplicity-controlled final analysis (IA2) when 1002 subjects were available, though this had reduced to 9.2% (95% CI: 2.8, 15.6) p = 0.00221. At IA4, when the complete ITT population was available, a supportive, descriptive analysis yielded a more modest </w:t>
      </w:r>
      <w:proofErr w:type="spellStart"/>
      <w:r>
        <w:t>pCR</w:t>
      </w:r>
      <w:proofErr w:type="spellEnd"/>
      <w:r>
        <w:t xml:space="preserve"> rate difference of 7.5% (95% CI: 1.6, 13.4).</w:t>
      </w:r>
    </w:p>
    <w:p w14:paraId="3D0C01DD" w14:textId="77777777" w:rsidR="002D7FFB" w:rsidRDefault="00A034C8" w:rsidP="00A034C8">
      <w:r>
        <w:t>Only the IA1 result is proposed for inclusion in the P</w:t>
      </w:r>
      <w:r w:rsidR="00591597">
        <w:t>roduct Information (PI)</w:t>
      </w:r>
      <w:r>
        <w:t xml:space="preserve">. Since the IA2 analysis of </w:t>
      </w:r>
      <w:proofErr w:type="spellStart"/>
      <w:r>
        <w:t>pCR</w:t>
      </w:r>
      <w:proofErr w:type="spellEnd"/>
      <w:r>
        <w:t xml:space="preserve"> included a greater proportion of subjects and was under multiplicity </w:t>
      </w:r>
      <w:r>
        <w:lastRenderedPageBreak/>
        <w:t xml:space="preserve">control, this is likely closer to the true result and should be included in the PI too. The IA4 analysis is also considered clinically relevant information which should be </w:t>
      </w:r>
      <w:r w:rsidRPr="00756BF1">
        <w:t xml:space="preserve">included in the PI, since it included the complete population and may be closer to the true result. Requests to this effect </w:t>
      </w:r>
      <w:r w:rsidR="00756BF1" w:rsidRPr="00756BF1">
        <w:t>were made</w:t>
      </w:r>
      <w:r w:rsidRPr="00756BF1">
        <w:t>. The</w:t>
      </w:r>
      <w:r>
        <w:t xml:space="preserve"> Delegate notes that only the IA4 analysis of </w:t>
      </w:r>
      <w:proofErr w:type="spellStart"/>
      <w:r>
        <w:t>pCR</w:t>
      </w:r>
      <w:proofErr w:type="spellEnd"/>
      <w:r>
        <w:t xml:space="preserve"> is included in the </w:t>
      </w:r>
      <w:r w:rsidR="00756BF1">
        <w:t>US</w:t>
      </w:r>
      <w:r>
        <w:t xml:space="preserve"> PI.</w:t>
      </w:r>
      <w:r w:rsidR="00591597">
        <w:rPr>
          <w:rStyle w:val="FootnoteReference"/>
        </w:rPr>
        <w:footnoteReference w:id="28"/>
      </w:r>
    </w:p>
    <w:p w14:paraId="58961499" w14:textId="2997ADF1" w:rsidR="002D7FFB" w:rsidRDefault="00A034C8" w:rsidP="00A034C8">
      <w:r>
        <w:t xml:space="preserve">The success criterion for </w:t>
      </w:r>
      <w:r w:rsidR="002F634D">
        <w:t xml:space="preserve">event-free survival </w:t>
      </w:r>
      <w:r>
        <w:t xml:space="preserve">was met at IA4, with a </w:t>
      </w:r>
      <w:r w:rsidR="00591597">
        <w:t>hazard ratio</w:t>
      </w:r>
      <w:r>
        <w:t xml:space="preserve"> of 0.63 (95% CI: 0.48, 0.82; p = 0.0003093) for a reduction in the risk of disease progression precluding definitive surgery, recurrence, second primary malignancy, or death for pembrolizumab compared with placebo. There were 123 (15.7%) patients with </w:t>
      </w:r>
      <w:r w:rsidR="002F634D">
        <w:t xml:space="preserve">event-free survival </w:t>
      </w:r>
      <w:r>
        <w:t xml:space="preserve">events in the </w:t>
      </w:r>
      <w:r w:rsidR="000E4EE0">
        <w:t>pembrolizumab</w:t>
      </w:r>
      <w:r>
        <w:t xml:space="preserve"> arm and 93 (23.8%) in the placebo arm. Median </w:t>
      </w:r>
      <w:r w:rsidR="002F634D">
        <w:t xml:space="preserve">event-free survival </w:t>
      </w:r>
      <w:r>
        <w:t>was not yet reached in either arm (future planned analyses are expected to be informative in this respect).</w:t>
      </w:r>
    </w:p>
    <w:p w14:paraId="6630E360" w14:textId="417C1609" w:rsidR="00A034C8" w:rsidRDefault="00A034C8" w:rsidP="00A034C8">
      <w:r>
        <w:t>Key secondary endpoint overall survival was not met at IA4, with data not yet mature (</w:t>
      </w:r>
      <w:r w:rsidR="00591597">
        <w:t xml:space="preserve">approximately </w:t>
      </w:r>
      <w:r>
        <w:t xml:space="preserve">45% of the information fraction available); however, the point estimate was below one and not suggestive of a detrimental effect of pembrolizumab on survival: </w:t>
      </w:r>
      <w:r w:rsidR="00756BF1">
        <w:t>hazard ratio</w:t>
      </w:r>
      <w:r>
        <w:t xml:space="preserve"> = 0.72 (95% CI: 0.51, 1.02), p = 0.0321377. There were 80 deaths (10.2%) in the </w:t>
      </w:r>
      <w:r w:rsidR="000E4EE0">
        <w:t>pembrolizumab</w:t>
      </w:r>
      <w:r>
        <w:t xml:space="preserve"> arm and 55 deaths (14.1%) in the placebo arm. A condition of registration is proposed for the </w:t>
      </w:r>
      <w:r w:rsidR="00591597">
        <w:t>s</w:t>
      </w:r>
      <w:r>
        <w:t xml:space="preserve">ponsor to submit the final analysis of </w:t>
      </w:r>
      <w:r w:rsidR="00591597">
        <w:t xml:space="preserve">Study </w:t>
      </w:r>
      <w:r>
        <w:t xml:space="preserve">KN-522, including any interim analysis at which </w:t>
      </w:r>
      <w:r w:rsidR="002F634D">
        <w:t xml:space="preserve">overall survival </w:t>
      </w:r>
      <w:r>
        <w:t xml:space="preserve">in the ITT population reaches statistical significance or the hazard ratio exceeds </w:t>
      </w:r>
      <w:r w:rsidR="00E15FCD">
        <w:t>one</w:t>
      </w:r>
      <w:r>
        <w:t>, are to be submitted when these become available.</w:t>
      </w:r>
    </w:p>
    <w:p w14:paraId="0CDB6470" w14:textId="786BD3E3" w:rsidR="002D7FFB" w:rsidRDefault="00A034C8" w:rsidP="00A034C8">
      <w:r>
        <w:t xml:space="preserve">Subgroup analyses of </w:t>
      </w:r>
      <w:proofErr w:type="spellStart"/>
      <w:r>
        <w:t>pCR</w:t>
      </w:r>
      <w:proofErr w:type="spellEnd"/>
      <w:r>
        <w:t xml:space="preserve">, </w:t>
      </w:r>
      <w:r w:rsidR="002F634D">
        <w:t xml:space="preserve">event-free survival </w:t>
      </w:r>
      <w:r>
        <w:t xml:space="preserve">and </w:t>
      </w:r>
      <w:r w:rsidR="002F634D">
        <w:t xml:space="preserve">overall survival </w:t>
      </w:r>
      <w:r>
        <w:t>were all generally consistent with the ITT analyses. These do not suggest a reduction of efficacy in patients with negative PD-L1 expression status (as defined by CPS &lt; 1), although such participants comprised only 16.8% of the study population and the study was not powered on this outcome. Results were also similar regardless of nodal status.</w:t>
      </w:r>
    </w:p>
    <w:p w14:paraId="00D3DD9E" w14:textId="0299396D" w:rsidR="002D7FFB" w:rsidRDefault="00A034C8" w:rsidP="00A034C8">
      <w:r>
        <w:t xml:space="preserve">The finding that results were consistent across PD-L1 expression subgroups differs from studies of this medication class in </w:t>
      </w:r>
      <w:r w:rsidR="002D7A83">
        <w:t xml:space="preserve">metastatic </w:t>
      </w:r>
      <w:r>
        <w:t>TNBC (</w:t>
      </w:r>
      <w:r w:rsidR="00591597">
        <w:t>for example,</w:t>
      </w:r>
      <w:r>
        <w:t xml:space="preserve"> </w:t>
      </w:r>
      <w:r w:rsidR="00591597">
        <w:t xml:space="preserve">Study </w:t>
      </w:r>
      <w:r>
        <w:t>KN-355</w:t>
      </w:r>
      <w:r w:rsidR="002F634D">
        <w:t xml:space="preserve"> (discussed above) and the</w:t>
      </w:r>
      <w:r>
        <w:t xml:space="preserve"> IMpassion130</w:t>
      </w:r>
      <w:r w:rsidR="00591597">
        <w:t xml:space="preserve"> trial</w:t>
      </w:r>
      <w:r>
        <w:t>)</w:t>
      </w:r>
      <w:r w:rsidR="002F634D">
        <w:t>;</w:t>
      </w:r>
      <w:bookmarkStart w:id="88" w:name="_Ref134170950"/>
      <w:r w:rsidR="002F634D">
        <w:rPr>
          <w:rStyle w:val="FootnoteReference"/>
        </w:rPr>
        <w:footnoteReference w:id="29"/>
      </w:r>
      <w:bookmarkEnd w:id="88"/>
      <w:r>
        <w:t xml:space="preserve"> which demonstrated survival benefits only in patients with higher levels of PD-L1 expression. This is an area of uncertainty. The disparate result of this study might be a chance finding, or it could be explained by differences in disease stage, PD-L1 assays, concomitant treatments, and other elements of study design. No further studies are planned for the proposed indication to address this uncertainty.</w:t>
      </w:r>
    </w:p>
    <w:p w14:paraId="5043B244" w14:textId="77777777" w:rsidR="002D7FFB" w:rsidRDefault="00A034C8" w:rsidP="00A034C8">
      <w:r>
        <w:t xml:space="preserve">Adjuvant radiotherapy (optional per protocol) was received by 57.9% of patients in the </w:t>
      </w:r>
      <w:r w:rsidR="000E4EE0">
        <w:t>pembrolizumab</w:t>
      </w:r>
      <w:r>
        <w:t xml:space="preserve"> group and 66.9% in the placebo group. This could have confounded the efficacy results, although the imbalance is likely to favour placebo.</w:t>
      </w:r>
    </w:p>
    <w:p w14:paraId="0669B26B" w14:textId="5AE9A3F4" w:rsidR="00A034C8" w:rsidRDefault="00A034C8" w:rsidP="00A034C8">
      <w:r>
        <w:t>Patient reported outcomes were assessed as a secondary endpoint outside of multiplicity control. They are therefore requested to be removed from the PI.</w:t>
      </w:r>
    </w:p>
    <w:p w14:paraId="2A3F992C" w14:textId="56CD3A40" w:rsidR="002D7FFB" w:rsidRDefault="00A034C8" w:rsidP="00A034C8">
      <w:r>
        <w:t xml:space="preserve">Almost all patients in each group reported at least one </w:t>
      </w:r>
      <w:r w:rsidR="00BC0957">
        <w:t>adverse event (AE)</w:t>
      </w:r>
      <w:r>
        <w:t xml:space="preserve">. The overall pattern was notable for an increase in </w:t>
      </w:r>
      <w:r w:rsidR="00BC0957">
        <w:t>serious adverse events (SAEs;</w:t>
      </w:r>
      <w:r>
        <w:t xml:space="preserve"> 43.6% </w:t>
      </w:r>
      <w:r w:rsidR="00201D23">
        <w:t>versus</w:t>
      </w:r>
      <w:r>
        <w:t xml:space="preserve"> 28.5%), discontinuations due to </w:t>
      </w:r>
      <w:r w:rsidR="003109ED">
        <w:t>AE</w:t>
      </w:r>
      <w:r w:rsidR="00BC0957">
        <w:t>s</w:t>
      </w:r>
      <w:r>
        <w:t xml:space="preserve"> (29.9% </w:t>
      </w:r>
      <w:r w:rsidR="00201D23">
        <w:t>versus</w:t>
      </w:r>
      <w:r>
        <w:t xml:space="preserve"> 15.4%) and deaths (0.9% </w:t>
      </w:r>
      <w:r w:rsidR="00201D23">
        <w:t>versus</w:t>
      </w:r>
      <w:r>
        <w:t xml:space="preserve"> 0.3%) in the </w:t>
      </w:r>
      <w:r w:rsidR="000E4EE0">
        <w:t>pembrolizumab</w:t>
      </w:r>
      <w:r>
        <w:t xml:space="preserve"> group compared with the placebo group. The most common </w:t>
      </w:r>
      <w:r w:rsidR="003109ED">
        <w:t>AE</w:t>
      </w:r>
      <w:r w:rsidR="00BC0957">
        <w:t>s</w:t>
      </w:r>
      <w:r>
        <w:t xml:space="preserve"> (nausea, alopecia, anaemia, </w:t>
      </w:r>
      <w:proofErr w:type="gramStart"/>
      <w:r>
        <w:t>neutropenia</w:t>
      </w:r>
      <w:proofErr w:type="gramEnd"/>
      <w:r>
        <w:t xml:space="preserve"> and fatigue) were reported with a similar frequency in </w:t>
      </w:r>
      <w:r>
        <w:lastRenderedPageBreak/>
        <w:t xml:space="preserve">each group, mainly reflecting the concomitant chemotherapy. Most </w:t>
      </w:r>
      <w:r w:rsidR="003109ED">
        <w:t>AE</w:t>
      </w:r>
      <w:r w:rsidR="00BC0957">
        <w:t>s</w:t>
      </w:r>
      <w:r>
        <w:t xml:space="preserve"> occurred during the first</w:t>
      </w:r>
      <w:r w:rsidR="00756BF1">
        <w:t xml:space="preserve"> three</w:t>
      </w:r>
      <w:r>
        <w:t xml:space="preserve"> months of treatment, declining in incidence thereafter.</w:t>
      </w:r>
    </w:p>
    <w:p w14:paraId="17BC02CC" w14:textId="26C6C65F" w:rsidR="002D7FFB" w:rsidRDefault="00A034C8" w:rsidP="00A034C8">
      <w:r>
        <w:t xml:space="preserve">The imbalance in </w:t>
      </w:r>
      <w:r w:rsidR="003109ED">
        <w:t>AE</w:t>
      </w:r>
      <w:r w:rsidR="00BC0957">
        <w:t>s</w:t>
      </w:r>
      <w:r>
        <w:t xml:space="preserve"> appeared to be primarily driven by increases in the </w:t>
      </w:r>
      <w:r w:rsidR="000E4EE0">
        <w:t>pembrolizumab</w:t>
      </w:r>
      <w:r>
        <w:t xml:space="preserve"> arm in </w:t>
      </w:r>
      <w:r w:rsidR="00756BF1">
        <w:t>adverse events of special interest (</w:t>
      </w:r>
      <w:r w:rsidR="003E7169">
        <w:t>AESI</w:t>
      </w:r>
      <w:r w:rsidR="00756BF1">
        <w:t>)</w:t>
      </w:r>
      <w:r>
        <w:t xml:space="preserve"> as a category (43.6% </w:t>
      </w:r>
      <w:r w:rsidR="00201D23">
        <w:t>versus</w:t>
      </w:r>
      <w:r>
        <w:t xml:space="preserve"> 21.9%), and by individual </w:t>
      </w:r>
      <w:r w:rsidR="00BC0957">
        <w:t xml:space="preserve">Preferred Terms </w:t>
      </w:r>
      <w:r>
        <w:t xml:space="preserve">of diarrhoea, rash, pyrexia, decreased appetite and hypothyroidism. The most common </w:t>
      </w:r>
      <w:r w:rsidR="003E7169">
        <w:t>AESI</w:t>
      </w:r>
      <w:r w:rsidR="00BC0957">
        <w:t>s</w:t>
      </w:r>
      <w:r>
        <w:t xml:space="preserve"> in the </w:t>
      </w:r>
      <w:r w:rsidR="000E4EE0">
        <w:t>pembrolizumab</w:t>
      </w:r>
      <w:r>
        <w:t xml:space="preserve"> group were infusion reactions (18.0%; with 0.6% </w:t>
      </w:r>
      <w:r w:rsidR="007A6670">
        <w:t>Grade</w:t>
      </w:r>
      <w:r>
        <w:t xml:space="preserve"> 4) and hypothyroidism (15.1%, most </w:t>
      </w:r>
      <w:r w:rsidR="007A6670">
        <w:t>Grade</w:t>
      </w:r>
      <w:r>
        <w:t xml:space="preserve"> 1</w:t>
      </w:r>
      <w:r w:rsidR="00002DD5">
        <w:t xml:space="preserve"> to </w:t>
      </w:r>
      <w:r>
        <w:t xml:space="preserve">2). The biggest imbalances in </w:t>
      </w:r>
      <w:r w:rsidR="007A6670">
        <w:t>Grade</w:t>
      </w:r>
      <w:r>
        <w:t xml:space="preserve"> </w:t>
      </w:r>
      <w:r w:rsidR="00002DD5">
        <w:t>3 to 5</w:t>
      </w:r>
      <w:r>
        <w:t xml:space="preserve"> </w:t>
      </w:r>
      <w:r w:rsidR="003109ED">
        <w:t>AE</w:t>
      </w:r>
      <w:r w:rsidR="00BC0957">
        <w:t>s</w:t>
      </w:r>
      <w:r>
        <w:t xml:space="preserve"> (</w:t>
      </w:r>
      <w:r w:rsidR="000E4EE0">
        <w:t>pembrolizumab</w:t>
      </w:r>
      <w:r>
        <w:t xml:space="preserve"> &gt; placebo) were observed for anaemia (19.5% </w:t>
      </w:r>
      <w:r w:rsidR="00201D23">
        <w:t>versus</w:t>
      </w:r>
      <w:r>
        <w:t xml:space="preserve"> 15.7%) and</w:t>
      </w:r>
      <w:r w:rsidR="00756BF1">
        <w:t xml:space="preserve"> alanine aminotransferase</w:t>
      </w:r>
      <w:r>
        <w:t xml:space="preserve"> increase (6.4% </w:t>
      </w:r>
      <w:r w:rsidR="00201D23">
        <w:t>versus</w:t>
      </w:r>
      <w:r>
        <w:t xml:space="preserve"> 2.8%). </w:t>
      </w:r>
      <w:r w:rsidR="00756BF1">
        <w:t>Four</w:t>
      </w:r>
      <w:r>
        <w:t xml:space="preserve"> of the</w:t>
      </w:r>
      <w:r w:rsidR="00756BF1">
        <w:t xml:space="preserve"> seven </w:t>
      </w:r>
      <w:r>
        <w:t>deaths in the pembrolizumab group were considered treatment-related, compared with one death in the placebo group.</w:t>
      </w:r>
    </w:p>
    <w:p w14:paraId="55CEDC8A" w14:textId="04C05752" w:rsidR="002D7FFB" w:rsidRDefault="00A034C8" w:rsidP="00A034C8">
      <w:r>
        <w:t xml:space="preserve">Adrenal insufficiency was observed in 20 (2.6%) patients in the </w:t>
      </w:r>
      <w:r w:rsidR="000E4EE0">
        <w:t>pembrolizumab</w:t>
      </w:r>
      <w:r>
        <w:t xml:space="preserve"> group (of which 12 had </w:t>
      </w:r>
      <w:r w:rsidR="007A6670">
        <w:t>Grade</w:t>
      </w:r>
      <w:r>
        <w:t xml:space="preserve"> 1</w:t>
      </w:r>
      <w:r w:rsidR="00002DD5">
        <w:t xml:space="preserve"> to </w:t>
      </w:r>
      <w:r>
        <w:t>2 events) and no patients in the placebo group. The events included a patient who died of shock post-operatively who was found to have a cortisol level of 3</w:t>
      </w:r>
      <w:r w:rsidR="008B24B4">
        <w:t> </w:t>
      </w:r>
      <w:r>
        <w:t xml:space="preserve">nmol/L 21 days pre-operatively. An assessment of causality was confounded by concomitant dexamethasone and multiple comorbid risk factors for surgical complications. While adrenal insufficiency is a known event with pembrolizumab and there is a current warning in </w:t>
      </w:r>
      <w:r w:rsidR="00BC0957">
        <w:t>s</w:t>
      </w:r>
      <w:r>
        <w:t>ection 4.4</w:t>
      </w:r>
      <w:r w:rsidR="00BC0957">
        <w:t xml:space="preserve"> (</w:t>
      </w:r>
      <w:r w:rsidR="00BC0957">
        <w:rPr>
          <w:i/>
        </w:rPr>
        <w:t>S</w:t>
      </w:r>
      <w:r w:rsidR="00BC0957" w:rsidRPr="005471F0">
        <w:rPr>
          <w:i/>
        </w:rPr>
        <w:t>pecial warnings and precautions for use</w:t>
      </w:r>
      <w:r w:rsidR="00BC0957">
        <w:rPr>
          <w:i/>
        </w:rPr>
        <w:t>)</w:t>
      </w:r>
      <w:r>
        <w:t xml:space="preserve"> </w:t>
      </w:r>
      <w:r w:rsidR="00BC0957">
        <w:t xml:space="preserve">of the Australian PI </w:t>
      </w:r>
      <w:r>
        <w:t>that patients should be monitored for its signs and symptoms, the Delegate requests this be strengthened. This is important since this will be the first neoadjuvant treatment indication for pembrolizumab, and the patients will (by definition) be anticipating surgery. Patients with adrenal insufficiency undergoing surgery are at risk of perioperative hypotensive crisis and death.</w:t>
      </w:r>
      <w:r w:rsidR="008B24B4">
        <w:rPr>
          <w:rStyle w:val="FootnoteReference"/>
        </w:rPr>
        <w:footnoteReference w:id="30"/>
      </w:r>
      <w:r>
        <w:t xml:space="preserve"> The </w:t>
      </w:r>
      <w:r w:rsidR="008B24B4">
        <w:t>s</w:t>
      </w:r>
      <w:r>
        <w:t>ponsor is requested to include a specific recommendation for pre-operative cortisol monitoring, in line with the US PI</w:t>
      </w:r>
      <w:r w:rsidR="008B24B4">
        <w:t>.</w:t>
      </w:r>
    </w:p>
    <w:p w14:paraId="2F3D86BB" w14:textId="3309ECC8" w:rsidR="002D7FFB" w:rsidRDefault="00A034C8" w:rsidP="00A034C8">
      <w:r>
        <w:t>Overall, the safety profile of pembrolizumab was consistent with its known safety profile and there were no new safety signals. Immune</w:t>
      </w:r>
      <w:r w:rsidR="00BC0957">
        <w:t>-</w:t>
      </w:r>
      <w:r>
        <w:t xml:space="preserve">related toxicity was mostly low grade but there was a small percentage (14.9%) with </w:t>
      </w:r>
      <w:r w:rsidR="007A6670">
        <w:t>Grade</w:t>
      </w:r>
      <w:r>
        <w:t xml:space="preserve"> </w:t>
      </w:r>
      <w:r w:rsidR="00002DD5">
        <w:t>3 to 5</w:t>
      </w:r>
      <w:r>
        <w:t xml:space="preserve"> </w:t>
      </w:r>
      <w:r w:rsidR="003E7169">
        <w:t>AESI</w:t>
      </w:r>
      <w:r w:rsidR="00BC0957">
        <w:t>s</w:t>
      </w:r>
      <w:r>
        <w:t>, and there was a numeric imbalance in deaths compared with placebo (</w:t>
      </w:r>
      <w:r w:rsidR="00756BF1">
        <w:t>seven</w:t>
      </w:r>
      <w:r>
        <w:t xml:space="preserve"> </w:t>
      </w:r>
      <w:r w:rsidR="00BC0957">
        <w:t>(</w:t>
      </w:r>
      <w:r>
        <w:t>0.9%</w:t>
      </w:r>
      <w:r w:rsidR="00BC0957">
        <w:t>)</w:t>
      </w:r>
      <w:r>
        <w:t xml:space="preserve"> </w:t>
      </w:r>
      <w:r w:rsidR="00201D23">
        <w:t>versus</w:t>
      </w:r>
      <w:r>
        <w:t xml:space="preserve"> </w:t>
      </w:r>
      <w:r w:rsidR="00756BF1">
        <w:t>one</w:t>
      </w:r>
      <w:r>
        <w:t xml:space="preserve"> </w:t>
      </w:r>
      <w:r w:rsidR="00BC0957">
        <w:t>(</w:t>
      </w:r>
      <w:r>
        <w:t>0.3%</w:t>
      </w:r>
      <w:r w:rsidR="00BC0957">
        <w:t>)</w:t>
      </w:r>
      <w:r>
        <w:t>). This is of concern in the neoadjuvant</w:t>
      </w:r>
      <w:r w:rsidR="008B24B4">
        <w:t xml:space="preserve"> and </w:t>
      </w:r>
      <w:r>
        <w:t>adjuvant setting, where the goal of treatment is curative and the impact of toxicities is high; however, when viewed in the context of the efficacy results and the poor underlying prognosis for TNBC, this increase in toxicity can be considered acceptable.</w:t>
      </w:r>
    </w:p>
    <w:p w14:paraId="70E3B455" w14:textId="70079596" w:rsidR="00A034C8" w:rsidRDefault="00A034C8" w:rsidP="00A034C8">
      <w:r>
        <w:t>Taken together, the Delegate considers these data are sufficient to support approval for the proposed indication. The uncertainty is that this is based on a single pivotal study</w:t>
      </w:r>
      <w:r w:rsidR="00BC0957">
        <w:t xml:space="preserve"> (Study KN-522)</w:t>
      </w:r>
      <w:r>
        <w:t xml:space="preserve">, considering the experience with atezolizumab has highlighted </w:t>
      </w:r>
      <w:proofErr w:type="gramStart"/>
      <w:r>
        <w:t>that results</w:t>
      </w:r>
      <w:proofErr w:type="gramEnd"/>
      <w:r>
        <w:t xml:space="preserve"> in the setting of TNBC may not necessarily be replicable (discussed further below).</w:t>
      </w:r>
    </w:p>
    <w:p w14:paraId="6A8A22F4" w14:textId="15AACB72" w:rsidR="00A034C8" w:rsidRDefault="00A034C8" w:rsidP="008B24B4">
      <w:pPr>
        <w:pStyle w:val="Heading5"/>
      </w:pPr>
      <w:r>
        <w:t xml:space="preserve">Locally recurrent, </w:t>
      </w:r>
      <w:proofErr w:type="gramStart"/>
      <w:r>
        <w:t>unresectable</w:t>
      </w:r>
      <w:proofErr w:type="gramEnd"/>
      <w:r>
        <w:t xml:space="preserve"> or metastatic </w:t>
      </w:r>
      <w:r w:rsidR="008B24B4">
        <w:t>triple negative breast cancer</w:t>
      </w:r>
    </w:p>
    <w:p w14:paraId="506BD111" w14:textId="1CD26C32" w:rsidR="00A034C8" w:rsidRDefault="00A034C8" w:rsidP="00A034C8">
      <w:r>
        <w:t>The proposed indication in locally recurrent</w:t>
      </w:r>
      <w:r w:rsidR="008B24B4">
        <w:t xml:space="preserve"> and </w:t>
      </w:r>
      <w:r>
        <w:t xml:space="preserve">metastatic TNBC is supported primarily by efficacy and safety data from the ongoing pivotal </w:t>
      </w:r>
      <w:r w:rsidR="00953F9B">
        <w:t>S</w:t>
      </w:r>
      <w:r>
        <w:t>tudy KN-355</w:t>
      </w:r>
      <w:r w:rsidR="00BC0957">
        <w:t xml:space="preserve"> (also known at the KEYNOTE 355 trial)</w:t>
      </w:r>
      <w:r>
        <w:t xml:space="preserve">. The </w:t>
      </w:r>
      <w:r w:rsidR="00BC0957">
        <w:t xml:space="preserve">TGA’s </w:t>
      </w:r>
      <w:r w:rsidR="008B24B4">
        <w:t>c</w:t>
      </w:r>
      <w:r>
        <w:t xml:space="preserve">linical </w:t>
      </w:r>
      <w:r w:rsidR="008B24B4">
        <w:t>e</w:t>
      </w:r>
      <w:r>
        <w:t>valuat</w:t>
      </w:r>
      <w:r w:rsidR="00BC0957">
        <w:t>ion</w:t>
      </w:r>
      <w:r>
        <w:t xml:space="preserve"> recommended approval of the proposed indication.</w:t>
      </w:r>
    </w:p>
    <w:p w14:paraId="53405EA1" w14:textId="683349EC" w:rsidR="00A034C8" w:rsidRDefault="00953F9B" w:rsidP="00A034C8">
      <w:r>
        <w:t>Study KN-355</w:t>
      </w:r>
      <w:r w:rsidR="00A034C8">
        <w:t xml:space="preserve"> is a randomised (</w:t>
      </w:r>
      <w:r w:rsidR="00BC0957">
        <w:t xml:space="preserve">in a </w:t>
      </w:r>
      <w:r w:rsidR="00A034C8">
        <w:t>2:1</w:t>
      </w:r>
      <w:r w:rsidR="00BC0957">
        <w:t xml:space="preserve"> ratio</w:t>
      </w:r>
      <w:r w:rsidR="00A034C8">
        <w:t xml:space="preserve">), double-blind, placebo-controlled study comparing pembrolizumab (n = 566) with placebo (n = 281) as add-on to chemotherapy in adults with previously untreated, locally recurrent, </w:t>
      </w:r>
      <w:proofErr w:type="gramStart"/>
      <w:r w:rsidR="00A034C8">
        <w:t>inoperable</w:t>
      </w:r>
      <w:proofErr w:type="gramEnd"/>
      <w:r w:rsidR="00A034C8">
        <w:t xml:space="preserve"> or metastatic TNBC. Patients were enrolled regardless of tumour PD-L1 expression status. Based on emerging evidence of improved outcomes for immunotherapy in TNBC with higher PD-L1 expression, a late protocol change led to formal testing of the primary endpoints first in patients with</w:t>
      </w:r>
      <w:r w:rsidR="00756BF1">
        <w:t xml:space="preserve"> </w:t>
      </w:r>
      <w:r w:rsidR="00BC0957">
        <w:t>c</w:t>
      </w:r>
      <w:r w:rsidR="00756BF1">
        <w:t xml:space="preserve">ombined </w:t>
      </w:r>
      <w:r w:rsidR="00BC0957">
        <w:t>p</w:t>
      </w:r>
      <w:r w:rsidR="00756BF1">
        <w:t xml:space="preserve">ositive </w:t>
      </w:r>
      <w:r w:rsidR="00BC0957">
        <w:t>s</w:t>
      </w:r>
      <w:r w:rsidR="00756BF1" w:rsidRPr="00E15FCD">
        <w:t>core (</w:t>
      </w:r>
      <w:r w:rsidR="00A034C8" w:rsidRPr="00E15FCD">
        <w:t>CPS</w:t>
      </w:r>
      <w:r w:rsidR="00756BF1" w:rsidRPr="00E15FCD">
        <w:t>)</w:t>
      </w:r>
      <w:r w:rsidR="00A034C8">
        <w:t xml:space="preserve"> ≥</w:t>
      </w:r>
      <w:r w:rsidR="008B24B4">
        <w:t> </w:t>
      </w:r>
      <w:r w:rsidR="00A034C8">
        <w:t>10.</w:t>
      </w:r>
      <w:r w:rsidR="00BC0957" w:rsidRPr="00F25CAE">
        <w:rPr>
          <w:vertAlign w:val="superscript"/>
        </w:rPr>
        <w:fldChar w:fldCharType="begin"/>
      </w:r>
      <w:r w:rsidR="00BC0957" w:rsidRPr="00F25CAE">
        <w:rPr>
          <w:vertAlign w:val="superscript"/>
        </w:rPr>
        <w:instrText xml:space="preserve"> NOTEREF _Ref134099386 \h </w:instrText>
      </w:r>
      <w:r w:rsidR="00BC0957">
        <w:rPr>
          <w:vertAlign w:val="superscript"/>
        </w:rPr>
        <w:instrText xml:space="preserve"> \* MERGEFORMAT </w:instrText>
      </w:r>
      <w:r w:rsidR="00BC0957" w:rsidRPr="00F25CAE">
        <w:rPr>
          <w:vertAlign w:val="superscript"/>
        </w:rPr>
      </w:r>
      <w:r w:rsidR="00BC0957" w:rsidRPr="00F25CAE">
        <w:rPr>
          <w:vertAlign w:val="superscript"/>
        </w:rPr>
        <w:fldChar w:fldCharType="separate"/>
      </w:r>
      <w:r w:rsidR="00A02570">
        <w:rPr>
          <w:vertAlign w:val="superscript"/>
        </w:rPr>
        <w:t>23</w:t>
      </w:r>
      <w:r w:rsidR="00BC0957" w:rsidRPr="00F25CAE">
        <w:rPr>
          <w:vertAlign w:val="superscript"/>
        </w:rPr>
        <w:fldChar w:fldCharType="end"/>
      </w:r>
      <w:r w:rsidR="00A034C8">
        <w:t xml:space="preserve"> Such patients comprised a balanced </w:t>
      </w:r>
      <w:r w:rsidR="00A034C8">
        <w:lastRenderedPageBreak/>
        <w:t xml:space="preserve">proportion of each treatment group: </w:t>
      </w:r>
      <w:r w:rsidR="000E4EE0">
        <w:t>pembrolizumab</w:t>
      </w:r>
      <w:r w:rsidR="00A034C8">
        <w:t xml:space="preserve"> 38.9% and placebo 36.7%. While the protocol change was clinically warranted and does not appear to substantially affect trial integrity (the </w:t>
      </w:r>
      <w:r w:rsidR="008B24B4">
        <w:t>s</w:t>
      </w:r>
      <w:r w:rsidR="00A034C8">
        <w:t>ponsor remained blinded to the preceding analysis), its scope and its timing (</w:t>
      </w:r>
      <w:r w:rsidR="008B24B4">
        <w:t>three</w:t>
      </w:r>
      <w:r w:rsidR="00A034C8">
        <w:t xml:space="preserve"> years after the trial commenced) do make the interpretation of the results more challenging. Had the change not been implemented, the study would have been negative (</w:t>
      </w:r>
      <w:r w:rsidR="003017B4">
        <w:t>that is</w:t>
      </w:r>
      <w:r w:rsidR="00A034C8">
        <w:t>, the primary endpoints would not have been met based on the original hypothesis testing in all patients and those with CPS ≥ 1).</w:t>
      </w:r>
    </w:p>
    <w:p w14:paraId="677B1E14" w14:textId="234D126E" w:rsidR="00A034C8" w:rsidRDefault="00A034C8" w:rsidP="00A034C8">
      <w:r>
        <w:t>The study population appeared broadly consistent with the intended population in Australia. No data were available in men. Gemcitabine</w:t>
      </w:r>
      <w:r w:rsidR="008B24B4">
        <w:t xml:space="preserve"> and </w:t>
      </w:r>
      <w:r>
        <w:t xml:space="preserve">carboplatin </w:t>
      </w:r>
      <w:proofErr w:type="gramStart"/>
      <w:r>
        <w:t>was</w:t>
      </w:r>
      <w:proofErr w:type="gramEnd"/>
      <w:r>
        <w:t xml:space="preserve"> the most common chemotherapy regime in the ITT population (54.7%), and this was used in 16 of the 20 participants recruited from sites in Australia. The </w:t>
      </w:r>
      <w:r w:rsidR="008B24B4">
        <w:t>s</w:t>
      </w:r>
      <w:r>
        <w:t>ponsor conducted a local chart review of patients with TNBC which was consistent with the chemotherapy regimens in the study but may be outdated (data from 2012</w:t>
      </w:r>
      <w:r w:rsidR="008B24B4">
        <w:t xml:space="preserve"> to 20</w:t>
      </w:r>
      <w:r>
        <w:t>15).</w:t>
      </w:r>
    </w:p>
    <w:p w14:paraId="03FB5D67" w14:textId="6BE06235" w:rsidR="002D7FFB" w:rsidRDefault="00A034C8" w:rsidP="00A034C8">
      <w:r>
        <w:t xml:space="preserve">The primary endpoints were both met in patients with CPS ≥ 10: </w:t>
      </w:r>
      <w:r w:rsidR="00BC0957">
        <w:t xml:space="preserve">progression-free survival </w:t>
      </w:r>
      <w:r>
        <w:t xml:space="preserve">was met at IA2, while OS was met at the final analysis. The </w:t>
      </w:r>
      <w:r w:rsidR="00756BF1">
        <w:t xml:space="preserve">hazard ratio </w:t>
      </w:r>
      <w:r>
        <w:t xml:space="preserve">for </w:t>
      </w:r>
      <w:r w:rsidR="00BC0957">
        <w:t xml:space="preserve">progression-free survival </w:t>
      </w:r>
      <w:r>
        <w:t>was 0.65 (95% CI: 0.49, 0.86) 1</w:t>
      </w:r>
      <w:r w:rsidR="008B24B4">
        <w:t xml:space="preserve"> </w:t>
      </w:r>
      <w:r>
        <w:t xml:space="preserve">sided p=0.0012, with a median </w:t>
      </w:r>
      <w:r w:rsidR="00BC0957">
        <w:t xml:space="preserve">progression-free survival </w:t>
      </w:r>
      <w:r>
        <w:t xml:space="preserve">gain of 4.1 months in the </w:t>
      </w:r>
      <w:r w:rsidR="000E4EE0">
        <w:t>pembrolizumab</w:t>
      </w:r>
      <w:r>
        <w:t xml:space="preserve"> group. The </w:t>
      </w:r>
      <w:r w:rsidR="00756BF1">
        <w:t>hazard ratio</w:t>
      </w:r>
      <w:r>
        <w:t xml:space="preserve"> for </w:t>
      </w:r>
      <w:r w:rsidR="00BC0957">
        <w:t xml:space="preserve">overall survival </w:t>
      </w:r>
      <w:r>
        <w:t xml:space="preserve">was 0.73 (95% CI: 0.55, 0.95) 1-sided p=0.0093, with a median </w:t>
      </w:r>
      <w:r w:rsidR="00BC0957">
        <w:t xml:space="preserve">overall survival </w:t>
      </w:r>
      <w:r>
        <w:t xml:space="preserve">gain of 6.9 months in the </w:t>
      </w:r>
      <w:r w:rsidR="000E4EE0">
        <w:t>pembrolizumab</w:t>
      </w:r>
      <w:r>
        <w:t xml:space="preserve"> arm. These results are clinically meaningful in the context of the intended population.</w:t>
      </w:r>
    </w:p>
    <w:p w14:paraId="52CA8A1B" w14:textId="12A7DD3F" w:rsidR="00A034C8" w:rsidRDefault="00A034C8" w:rsidP="00A034C8">
      <w:r>
        <w:t xml:space="preserve">Efficacy success criteria were not met for the analyses of </w:t>
      </w:r>
      <w:r w:rsidR="00BC0957">
        <w:t xml:space="preserve">progression-free survival </w:t>
      </w:r>
      <w:r>
        <w:t xml:space="preserve">and </w:t>
      </w:r>
      <w:r w:rsidR="00BC0957">
        <w:t xml:space="preserve">overall survival </w:t>
      </w:r>
      <w:r>
        <w:t>in patients with CPS ≥</w:t>
      </w:r>
      <w:r w:rsidR="00756BF1">
        <w:t> </w:t>
      </w:r>
      <w:r>
        <w:t xml:space="preserve">1, so these were not formally tested in the full ITT population (according to the statistical testing hierarchy). The hazard ratios remained below </w:t>
      </w:r>
      <w:r w:rsidR="00BC0957">
        <w:t>one</w:t>
      </w:r>
      <w:r>
        <w:t xml:space="preserve"> for both outcomes in both groups. It is appropriate that the indication is restricted to patients with CPS ≥ 10, per the </w:t>
      </w:r>
      <w:r w:rsidR="008B24B4">
        <w:t>s</w:t>
      </w:r>
      <w:r>
        <w:t xml:space="preserve">ponsor’s proposal, although its measurement is an area of uncertainty (see </w:t>
      </w:r>
      <w:r w:rsidR="00BC0957" w:rsidRPr="005471F0">
        <w:rPr>
          <w:i/>
        </w:rPr>
        <w:fldChar w:fldCharType="begin"/>
      </w:r>
      <w:r w:rsidR="00BC0957" w:rsidRPr="005471F0">
        <w:rPr>
          <w:i/>
        </w:rPr>
        <w:instrText xml:space="preserve"> REF _Ref134170761 \h </w:instrText>
      </w:r>
      <w:r w:rsidR="00BC0957">
        <w:rPr>
          <w:i/>
        </w:rPr>
        <w:instrText xml:space="preserve"> \* MERGEFORMAT </w:instrText>
      </w:r>
      <w:r w:rsidR="00BC0957" w:rsidRPr="005471F0">
        <w:rPr>
          <w:i/>
        </w:rPr>
      </w:r>
      <w:r w:rsidR="00BC0957" w:rsidRPr="005471F0">
        <w:rPr>
          <w:i/>
        </w:rPr>
        <w:fldChar w:fldCharType="separate"/>
      </w:r>
      <w:r w:rsidR="00A02570" w:rsidRPr="00A02570">
        <w:rPr>
          <w:i/>
        </w:rPr>
        <w:t>Companion diagnostic considerations</w:t>
      </w:r>
      <w:r w:rsidR="00BC0957" w:rsidRPr="005471F0">
        <w:rPr>
          <w:i/>
        </w:rPr>
        <w:fldChar w:fldCharType="end"/>
      </w:r>
      <w:r w:rsidR="00BC0957">
        <w:t>, below</w:t>
      </w:r>
      <w:r>
        <w:t>).</w:t>
      </w:r>
    </w:p>
    <w:p w14:paraId="3F21173C" w14:textId="77777777" w:rsidR="00A034C8" w:rsidRDefault="00A034C8" w:rsidP="00A034C8">
      <w:r>
        <w:t>Efficacy data were not available in men with TNBC; however, there does not seem to be any evidence barring extrapolation to this small population. The safety profile of pembrolizumab has been well established in men for other indications.</w:t>
      </w:r>
    </w:p>
    <w:p w14:paraId="73852213" w14:textId="38D9EF88" w:rsidR="00A034C8" w:rsidRDefault="00A034C8" w:rsidP="00A034C8">
      <w:r>
        <w:t>Subgroup analyses were suggestive of less benefit in patients treated with gemcitabine</w:t>
      </w:r>
      <w:r w:rsidR="008B24B4">
        <w:t xml:space="preserve"> and </w:t>
      </w:r>
      <w:r>
        <w:t xml:space="preserve">carboplatin compared with </w:t>
      </w:r>
      <w:proofErr w:type="spellStart"/>
      <w:r>
        <w:t>taxanes</w:t>
      </w:r>
      <w:proofErr w:type="spellEnd"/>
      <w:r>
        <w:t>; however, the study was not powered on the subgroup analyses and a chance finding cannot be excluded.</w:t>
      </w:r>
    </w:p>
    <w:p w14:paraId="55792577" w14:textId="46CAFAA9" w:rsidR="00A034C8" w:rsidRDefault="00A034C8" w:rsidP="00A034C8">
      <w:r>
        <w:t>Additional efficacy data (</w:t>
      </w:r>
      <w:r w:rsidR="008B24B4">
        <w:t xml:space="preserve">Study </w:t>
      </w:r>
      <w:r>
        <w:t>KN-119</w:t>
      </w:r>
      <w:r w:rsidR="00BC0957">
        <w:t xml:space="preserve"> (or the KEYNOTE 119 trial)</w:t>
      </w:r>
      <w:r>
        <w:t xml:space="preserve">) in patients with metastatic TNBC treated with pembrolizumab monotherapy in the </w:t>
      </w:r>
      <w:r w:rsidR="00756BF1">
        <w:t>second</w:t>
      </w:r>
      <w:r>
        <w:t xml:space="preserve"> or </w:t>
      </w:r>
      <w:r w:rsidR="00756BF1">
        <w:t>third</w:t>
      </w:r>
      <w:r>
        <w:t xml:space="preserve"> line setting showed no benefit in </w:t>
      </w:r>
      <w:r w:rsidR="00BC0957">
        <w:t xml:space="preserve">overall survival </w:t>
      </w:r>
      <w:r>
        <w:t xml:space="preserve">(the primary endpoint) compared with chemotherapy. There was a trend for lower hazard ratios with increasing PD-L1 expression, but none reached significance. Note that </w:t>
      </w:r>
      <w:r w:rsidR="008B24B4">
        <w:t>Study</w:t>
      </w:r>
      <w:r w:rsidR="00756BF1">
        <w:t> </w:t>
      </w:r>
      <w:r>
        <w:t xml:space="preserve">KN-119 was included in the dossier but was not specifically presented as supportive data by the </w:t>
      </w:r>
      <w:r w:rsidR="008B24B4">
        <w:t>s</w:t>
      </w:r>
      <w:r>
        <w:t xml:space="preserve">ponsor. The study is considered relevant by the Delegate. While this open-label study evaluated pembrolizumab monotherapy (and the proposed indication is for combination use with chemotherapy), the negative result casts doubt on the likely efficacy of treatment beyond first line. Considering also that only patients with previously untreated metastatic disease were eligible for </w:t>
      </w:r>
      <w:r w:rsidR="00953F9B">
        <w:t>Study KN-355</w:t>
      </w:r>
      <w:r>
        <w:t xml:space="preserve">, the </w:t>
      </w:r>
      <w:r w:rsidR="008B24B4">
        <w:t>s</w:t>
      </w:r>
      <w:r>
        <w:t>ponsor is requested to amend the proposed indication to exclude patients with prior therapy for metastatic disease. This is noted to be in line with the</w:t>
      </w:r>
      <w:r w:rsidR="00B15E60">
        <w:t xml:space="preserve"> European Medicines Agency (</w:t>
      </w:r>
      <w:r>
        <w:t>EMA</w:t>
      </w:r>
      <w:r w:rsidR="00B15E60">
        <w:t>)</w:t>
      </w:r>
      <w:r w:rsidR="008B24B4">
        <w:t xml:space="preserve"> </w:t>
      </w:r>
      <w:r>
        <w:t>approved indication.</w:t>
      </w:r>
    </w:p>
    <w:p w14:paraId="239F3C18" w14:textId="365AF37F" w:rsidR="00A034C8" w:rsidRDefault="00A034C8" w:rsidP="00A034C8">
      <w:r>
        <w:t xml:space="preserve">Safety for the proposed usage is supported primarily by data from </w:t>
      </w:r>
      <w:r w:rsidR="00953F9B">
        <w:t>Study KN-355</w:t>
      </w:r>
      <w:r>
        <w:t xml:space="preserve">, as well as pooled safety data from </w:t>
      </w:r>
      <w:r w:rsidR="008B24B4">
        <w:t>three</w:t>
      </w:r>
      <w:r>
        <w:t xml:space="preserve"> studies of patients treated with pembrolizumab monotherapy for metastatic TNBC, which were both compared with a reference safety database of pembrolizumab used as monotherapy in advanced melanoma and </w:t>
      </w:r>
      <w:r w:rsidR="00407EF6">
        <w:t>non-small cell lung cancer</w:t>
      </w:r>
      <w:r>
        <w:t>. Overall, safety for the proposed indication was consistent with the known profile of pembrolizumab and no new concerns were identified.</w:t>
      </w:r>
    </w:p>
    <w:p w14:paraId="2ED133D8" w14:textId="255065FF" w:rsidR="00A034C8" w:rsidRDefault="00A034C8" w:rsidP="00A034C8">
      <w:r>
        <w:lastRenderedPageBreak/>
        <w:t xml:space="preserve">Compared with placebo, the pattern was notable for a numeric increase in </w:t>
      </w:r>
      <w:r w:rsidR="007A6670">
        <w:t>Grade</w:t>
      </w:r>
      <w:r>
        <w:t xml:space="preserve"> </w:t>
      </w:r>
      <w:r w:rsidR="00002DD5">
        <w:t>3 to 5</w:t>
      </w:r>
      <w:r>
        <w:t xml:space="preserve"> </w:t>
      </w:r>
      <w:r w:rsidR="00407EF6">
        <w:t>AE</w:t>
      </w:r>
      <w:r w:rsidR="00EE3A1F">
        <w:t>s</w:t>
      </w:r>
      <w:r>
        <w:t xml:space="preserve">, dose modification due to </w:t>
      </w:r>
      <w:r w:rsidR="003109ED">
        <w:t>AE</w:t>
      </w:r>
      <w:r w:rsidR="00EE3A1F">
        <w:t>s</w:t>
      </w:r>
      <w:r>
        <w:t>, S</w:t>
      </w:r>
      <w:r w:rsidR="003109ED">
        <w:t>AE</w:t>
      </w:r>
      <w:r w:rsidR="00EE3A1F">
        <w:t>s</w:t>
      </w:r>
      <w:r>
        <w:t xml:space="preserve">, deaths, and discontinuations due to </w:t>
      </w:r>
      <w:r w:rsidR="003109ED">
        <w:t>AE</w:t>
      </w:r>
      <w:r w:rsidR="00EE3A1F">
        <w:t>s</w:t>
      </w:r>
      <w:r>
        <w:t xml:space="preserve"> for pembrolizumab. The difference seemed to be mainly driven by </w:t>
      </w:r>
      <w:r w:rsidR="003E7169">
        <w:t>AESI</w:t>
      </w:r>
      <w:r w:rsidR="00EE3A1F">
        <w:t>s</w:t>
      </w:r>
      <w:r>
        <w:t xml:space="preserve">, reported in 27.9% with </w:t>
      </w:r>
      <w:r w:rsidR="000E4EE0">
        <w:t>pembrolizumab</w:t>
      </w:r>
      <w:r>
        <w:t xml:space="preserve"> and 11.0% with placebo (most commonly hypothyroidism; 15.8% </w:t>
      </w:r>
      <w:r w:rsidR="00201D23">
        <w:t>versus</w:t>
      </w:r>
      <w:r>
        <w:t xml:space="preserve"> 3.2%). This increase in toxicity is expected and is considered acceptable in the context of the efficacy results, considering the otherwise poor prognosis.</w:t>
      </w:r>
    </w:p>
    <w:p w14:paraId="2ABEB81E" w14:textId="06DFB2FC" w:rsidR="00A034C8" w:rsidRDefault="00A034C8" w:rsidP="00A034C8">
      <w:r>
        <w:t xml:space="preserve">As expected, </w:t>
      </w:r>
      <w:r w:rsidR="003109ED">
        <w:t>AE</w:t>
      </w:r>
      <w:r w:rsidR="00EE3A1F">
        <w:t>s</w:t>
      </w:r>
      <w:r>
        <w:t xml:space="preserve"> tended to be less frequent with pembrolizumab used as monotherapy compared with pembrolizumab used with chemotherapy for the proposed indication (reflecting the added toxicity of the chemotherapy). S</w:t>
      </w:r>
      <w:r w:rsidR="003109ED">
        <w:t>AE</w:t>
      </w:r>
      <w:r w:rsidR="00EE3A1F">
        <w:t>s</w:t>
      </w:r>
      <w:r>
        <w:t xml:space="preserve"> and deaths were less frequently observed in </w:t>
      </w:r>
      <w:r w:rsidR="00953F9B">
        <w:t>Study KN-355</w:t>
      </w:r>
      <w:r>
        <w:t xml:space="preserve"> compared with the </w:t>
      </w:r>
      <w:r w:rsidR="002D7A83">
        <w:t>reference safety data set</w:t>
      </w:r>
      <w:r>
        <w:t xml:space="preserve">, despite longer exposure. This may be due to the younger age of participants compared with the </w:t>
      </w:r>
      <w:r w:rsidR="002D7A83">
        <w:t>reference safety data set</w:t>
      </w:r>
      <w:r>
        <w:t>.</w:t>
      </w:r>
    </w:p>
    <w:p w14:paraId="777FE38B" w14:textId="2DE85AE1" w:rsidR="00EE3A1F" w:rsidRDefault="00A034C8" w:rsidP="00A034C8">
      <w:r>
        <w:t xml:space="preserve">Overall, the Delegate considers the data are sufficient to support approval for the Delegate’s amended indication, although there are uncertainties. The main source of uncertainty is from studies in metastatic TNBC external to </w:t>
      </w:r>
      <w:r w:rsidR="00953F9B">
        <w:t>Study KN-355</w:t>
      </w:r>
      <w:r>
        <w:t xml:space="preserve">. Some of these demonstrated improved efficacy with greater PD-L1 expression, leading to the protocol change focusing on patients with CPS ≥ 10 in </w:t>
      </w:r>
      <w:r w:rsidR="00953F9B">
        <w:t>Study KN-355</w:t>
      </w:r>
      <w:r>
        <w:t xml:space="preserve">. In this regard, </w:t>
      </w:r>
      <w:r w:rsidR="00953F9B">
        <w:t>Study KN-355</w:t>
      </w:r>
      <w:r>
        <w:t xml:space="preserve"> was consistent, as the endpoints were met for those with CPS ≥ 10 (and not for those &lt;</w:t>
      </w:r>
      <w:r w:rsidR="008B24B4">
        <w:t> </w:t>
      </w:r>
      <w:r>
        <w:t xml:space="preserve">10); however, the contradictory results for the IMpassion130 </w:t>
      </w:r>
      <w:r w:rsidR="008B24B4">
        <w:t>trial</w:t>
      </w:r>
      <w:r w:rsidR="00EE3A1F">
        <w:t>;</w:t>
      </w:r>
      <w:r w:rsidR="00EE3A1F" w:rsidRPr="005471F0">
        <w:rPr>
          <w:vertAlign w:val="superscript"/>
        </w:rPr>
        <w:fldChar w:fldCharType="begin"/>
      </w:r>
      <w:r w:rsidR="00EE3A1F" w:rsidRPr="005471F0">
        <w:rPr>
          <w:vertAlign w:val="superscript"/>
        </w:rPr>
        <w:instrText xml:space="preserve"> NOTEREF _Ref134170950 \h </w:instrText>
      </w:r>
      <w:r w:rsidR="00EE3A1F">
        <w:rPr>
          <w:vertAlign w:val="superscript"/>
        </w:rPr>
        <w:instrText xml:space="preserve"> \* MERGEFORMAT </w:instrText>
      </w:r>
      <w:r w:rsidR="00EE3A1F" w:rsidRPr="005471F0">
        <w:rPr>
          <w:vertAlign w:val="superscript"/>
        </w:rPr>
      </w:r>
      <w:r w:rsidR="00EE3A1F" w:rsidRPr="005471F0">
        <w:rPr>
          <w:vertAlign w:val="superscript"/>
        </w:rPr>
        <w:fldChar w:fldCharType="separate"/>
      </w:r>
      <w:r w:rsidR="00A02570">
        <w:rPr>
          <w:vertAlign w:val="superscript"/>
        </w:rPr>
        <w:t>28</w:t>
      </w:r>
      <w:r w:rsidR="00EE3A1F" w:rsidRPr="005471F0">
        <w:rPr>
          <w:vertAlign w:val="superscript"/>
        </w:rPr>
        <w:fldChar w:fldCharType="end"/>
      </w:r>
      <w:r w:rsidR="008B24B4">
        <w:t xml:space="preserve"> </w:t>
      </w:r>
      <w:r>
        <w:t xml:space="preserve">and </w:t>
      </w:r>
      <w:r w:rsidR="00EE3A1F">
        <w:t xml:space="preserve">the </w:t>
      </w:r>
      <w:r w:rsidR="008B24B4">
        <w:t>IMpassion</w:t>
      </w:r>
      <w:r>
        <w:t>131</w:t>
      </w:r>
      <w:r w:rsidR="008B24B4">
        <w:t xml:space="preserve"> trial</w:t>
      </w:r>
      <w:r w:rsidR="00EE3A1F">
        <w:t>,</w:t>
      </w:r>
      <w:bookmarkStart w:id="89" w:name="_Ref134171701"/>
      <w:r w:rsidR="00EE3A1F">
        <w:rPr>
          <w:rStyle w:val="FootnoteReference"/>
        </w:rPr>
        <w:footnoteReference w:id="31"/>
      </w:r>
      <w:bookmarkEnd w:id="89"/>
      <w:r>
        <w:t xml:space="preserve"> of atezolizumab add further uncertainty in this space.</w:t>
      </w:r>
      <w:r w:rsidR="00407EF6">
        <w:fldChar w:fldCharType="begin"/>
      </w:r>
      <w:r w:rsidR="00407EF6">
        <w:instrText xml:space="preserve"> NOTEREF _Ref130224313 \f \h </w:instrText>
      </w:r>
      <w:r w:rsidR="00407EF6">
        <w:fldChar w:fldCharType="separate"/>
      </w:r>
      <w:r w:rsidR="00A02570" w:rsidRPr="00A02570">
        <w:rPr>
          <w:rStyle w:val="FootnoteReference"/>
        </w:rPr>
        <w:t>10</w:t>
      </w:r>
      <w:r w:rsidR="00407EF6">
        <w:fldChar w:fldCharType="end"/>
      </w:r>
      <w:r w:rsidR="00407EF6" w:rsidRPr="00407EF6">
        <w:rPr>
          <w:vertAlign w:val="superscript"/>
        </w:rPr>
        <w:t>,</w:t>
      </w:r>
      <w:r w:rsidR="00407EF6">
        <w:fldChar w:fldCharType="begin"/>
      </w:r>
      <w:r w:rsidR="00407EF6">
        <w:instrText xml:space="preserve"> NOTEREF _Ref130224327 \f \h </w:instrText>
      </w:r>
      <w:r w:rsidR="00407EF6">
        <w:fldChar w:fldCharType="separate"/>
      </w:r>
      <w:r w:rsidR="00A02570" w:rsidRPr="00A02570">
        <w:rPr>
          <w:rStyle w:val="FootnoteReference"/>
        </w:rPr>
        <w:t>11</w:t>
      </w:r>
      <w:r w:rsidR="00407EF6">
        <w:fldChar w:fldCharType="end"/>
      </w:r>
      <w:r>
        <w:t xml:space="preserve"> In addition, success was not demonstrated for pembrolizumab monotherapy in </w:t>
      </w:r>
      <w:r w:rsidR="00407EF6">
        <w:t>second or third</w:t>
      </w:r>
      <w:r w:rsidRPr="008B24B4">
        <w:rPr>
          <w:vertAlign w:val="superscript"/>
        </w:rPr>
        <w:t xml:space="preserve"> </w:t>
      </w:r>
      <w:r>
        <w:t xml:space="preserve">line in </w:t>
      </w:r>
      <w:r w:rsidR="008B24B4">
        <w:t xml:space="preserve">Study </w:t>
      </w:r>
      <w:r>
        <w:t>KN-119 (even for patients with CPS ≥ 10).</w:t>
      </w:r>
    </w:p>
    <w:p w14:paraId="39B4B3A3" w14:textId="3EB15DCC" w:rsidR="002D7FFB" w:rsidRDefault="00A034C8" w:rsidP="00A034C8">
      <w:r>
        <w:t>An additional Phase II/III study is planned in the same population (KEYLYNK-009</w:t>
      </w:r>
      <w:r w:rsidR="008B24B4">
        <w:t xml:space="preserve"> trial</w:t>
      </w:r>
      <w:r>
        <w:t>)</w:t>
      </w:r>
      <w:r w:rsidR="00EE3A1F">
        <w:t>;</w:t>
      </w:r>
      <w:r w:rsidR="00EE3A1F">
        <w:rPr>
          <w:rStyle w:val="FootnoteReference"/>
        </w:rPr>
        <w:footnoteReference w:id="32"/>
      </w:r>
      <w:r>
        <w:t xml:space="preserve"> but it has a different design (comparing </w:t>
      </w:r>
      <w:r w:rsidR="000E4EE0">
        <w:t>pembrolizumab</w:t>
      </w:r>
      <w:r>
        <w:t xml:space="preserve"> </w:t>
      </w:r>
      <w:r w:rsidR="008B24B4">
        <w:t>and</w:t>
      </w:r>
      <w:r>
        <w:t xml:space="preserve"> olaparib with </w:t>
      </w:r>
      <w:r w:rsidR="000E4EE0">
        <w:t>pembrolizumab</w:t>
      </w:r>
      <w:r>
        <w:t xml:space="preserve"> </w:t>
      </w:r>
      <w:r w:rsidR="008B24B4">
        <w:t>and</w:t>
      </w:r>
      <w:r>
        <w:t xml:space="preserve"> chemo</w:t>
      </w:r>
      <w:r w:rsidR="008B24B4">
        <w:t>therapy</w:t>
      </w:r>
      <w:r>
        <w:t xml:space="preserve"> following induction with </w:t>
      </w:r>
      <w:r w:rsidR="000E4EE0">
        <w:t>pembrolizumab</w:t>
      </w:r>
      <w:r>
        <w:t xml:space="preserve"> </w:t>
      </w:r>
      <w:r w:rsidR="008B24B4">
        <w:t xml:space="preserve">and </w:t>
      </w:r>
      <w:r w:rsidRPr="00380311">
        <w:t>chemo</w:t>
      </w:r>
      <w:r w:rsidR="008B24B4" w:rsidRPr="00380311">
        <w:t>therapy</w:t>
      </w:r>
      <w:r w:rsidRPr="00380311">
        <w:t>) and so</w:t>
      </w:r>
      <w:r w:rsidR="00864972" w:rsidRPr="00380311">
        <w:t xml:space="preserve"> </w:t>
      </w:r>
      <w:r w:rsidR="00864972" w:rsidRPr="005471F0">
        <w:t xml:space="preserve">is unlikely to </w:t>
      </w:r>
      <w:r w:rsidR="00864972" w:rsidRPr="00380311">
        <w:t xml:space="preserve">address these </w:t>
      </w:r>
      <w:r w:rsidR="00864972">
        <w:t>uncertainties.</w:t>
      </w:r>
    </w:p>
    <w:p w14:paraId="255F5F66" w14:textId="5D3AF422" w:rsidR="00A034C8" w:rsidRDefault="00A034C8" w:rsidP="008B24B4">
      <w:pPr>
        <w:pStyle w:val="Heading5"/>
      </w:pPr>
      <w:bookmarkStart w:id="90" w:name="_Ref134170761"/>
      <w:r>
        <w:t>Companion diagnostic considerations</w:t>
      </w:r>
      <w:bookmarkEnd w:id="90"/>
    </w:p>
    <w:p w14:paraId="56DB9CC0" w14:textId="4D94C426" w:rsidR="00A034C8" w:rsidRDefault="00A034C8" w:rsidP="00A034C8">
      <w:r>
        <w:t xml:space="preserve">PD-L1 expression status was determined centrally in both pivotal trials using the PD-L1 IHC 22C3 </w:t>
      </w:r>
      <w:proofErr w:type="spellStart"/>
      <w:r>
        <w:t>pharmDx</w:t>
      </w:r>
      <w:proofErr w:type="spellEnd"/>
      <w:r>
        <w:t xml:space="preserve"> kit (Agilent Technologies). Agilent’s commercially available PD-L1 IHC</w:t>
      </w:r>
      <w:r w:rsidR="00407EF6">
        <w:t> </w:t>
      </w:r>
      <w:r>
        <w:t xml:space="preserve">22C3 assay is TGA approved (ARTG ID 282596) for companion diagnostic use in NSCLC and urothelial carcinoma, and analytic use in melanoma. </w:t>
      </w:r>
      <w:r w:rsidR="00470696" w:rsidRPr="00470696">
        <w:t>Approval of t</w:t>
      </w:r>
      <w:r>
        <w:t>he intended</w:t>
      </w:r>
      <w:r w:rsidR="00EE3A1F">
        <w:t xml:space="preserve"> </w:t>
      </w:r>
      <w:r>
        <w:t>use for PD-L1 testing in patients with TNBC</w:t>
      </w:r>
      <w:r w:rsidR="00470696">
        <w:t xml:space="preserve"> is pending</w:t>
      </w:r>
      <w:r w:rsidR="00380311">
        <w:t xml:space="preserve"> at the time of the TGA review</w:t>
      </w:r>
      <w:r>
        <w:t>.</w:t>
      </w:r>
    </w:p>
    <w:p w14:paraId="421963A4" w14:textId="48CE33F0" w:rsidR="00A034C8" w:rsidRDefault="00A034C8" w:rsidP="00A034C8">
      <w:r>
        <w:t xml:space="preserve">According to the </w:t>
      </w:r>
      <w:r w:rsidR="00EE3A1F">
        <w:t>s</w:t>
      </w:r>
      <w:r>
        <w:t xml:space="preserve">ponsor, Australian pathologists generally prefer an alternative Laboratory Developed Test (LDT) platform (Ventana </w:t>
      </w:r>
      <w:proofErr w:type="spellStart"/>
      <w:r>
        <w:t>BenchMark</w:t>
      </w:r>
      <w:proofErr w:type="spellEnd"/>
      <w:r>
        <w:t>) over the Agilent test.</w:t>
      </w:r>
    </w:p>
    <w:p w14:paraId="45283561" w14:textId="70EDEE57" w:rsidR="002D7FFB" w:rsidRDefault="00A034C8" w:rsidP="00A034C8">
      <w:r>
        <w:t>Considering different PD-L1 assays are known to give potentially inconsistent results,</w:t>
      </w:r>
      <w:r w:rsidR="00470696">
        <w:rPr>
          <w:rStyle w:val="FootnoteReference"/>
        </w:rPr>
        <w:footnoteReference w:id="33"/>
      </w:r>
      <w:r>
        <w:t xml:space="preserve"> this lends some uncertainty to the expected efficacy in patients with locally recurrent unresectable or metastatic TNBC whose PD-L1 expression status is determined using assays other than the IHC 22C3 (</w:t>
      </w:r>
      <w:r w:rsidR="003017B4">
        <w:t>that is</w:t>
      </w:r>
      <w:r>
        <w:t xml:space="preserve">, if someone who would be found ineligible </w:t>
      </w:r>
      <w:r w:rsidR="00407EF6">
        <w:t>(</w:t>
      </w:r>
      <w:r>
        <w:t>CPS &lt;</w:t>
      </w:r>
      <w:r w:rsidR="00E01109">
        <w:t> </w:t>
      </w:r>
      <w:r>
        <w:t>10</w:t>
      </w:r>
      <w:r w:rsidR="00407EF6">
        <w:t>)</w:t>
      </w:r>
      <w:r>
        <w:t xml:space="preserve"> for treatment using IHC 22C3 is found eligible using other assays). It could also mean that some patients who would be eligible for therapy according to IHC 22C3 might miss out if another assay gave a different result. Analytical validity by comparison to IHC 22C3 </w:t>
      </w:r>
      <w:proofErr w:type="spellStart"/>
      <w:r>
        <w:lastRenderedPageBreak/>
        <w:t>pharmDx</w:t>
      </w:r>
      <w:proofErr w:type="spellEnd"/>
      <w:r>
        <w:t xml:space="preserve"> should be assessed if the use of another diagnostic to select patients for treatment under this indication is being considered.</w:t>
      </w:r>
    </w:p>
    <w:p w14:paraId="07732857" w14:textId="1C27ACC6" w:rsidR="00A034C8" w:rsidRDefault="00A034C8" w:rsidP="00A034C8">
      <w:r>
        <w:t xml:space="preserve">While the issue above is important, the approval status of the companion diagnostic is outside the scope of the present submission. Explicit directives regarding its use (such as ‘as determined by a validated test’ in the indication) are not required in the </w:t>
      </w:r>
      <w:r w:rsidR="00D75912">
        <w:t>Keytruda</w:t>
      </w:r>
      <w:r>
        <w:t xml:space="preserve"> PI. Adequate detail about the assay used in the trial has been included in section 5.1</w:t>
      </w:r>
      <w:r w:rsidR="00955F0C">
        <w:t xml:space="preserve"> (</w:t>
      </w:r>
      <w:r w:rsidR="00955F0C" w:rsidRPr="005471F0">
        <w:rPr>
          <w:i/>
        </w:rPr>
        <w:t>Pharmacodynamic properties</w:t>
      </w:r>
      <w:r w:rsidR="00955F0C">
        <w:t>) of the Australian PI</w:t>
      </w:r>
      <w:r>
        <w:t xml:space="preserve">. However, the Delegate recognises the </w:t>
      </w:r>
      <w:r w:rsidR="00E01109">
        <w:t>s</w:t>
      </w:r>
      <w:r>
        <w:t xml:space="preserve">ponsor’s position and agrees to keep the reference to the need for a validated test in the indication. </w:t>
      </w:r>
      <w:r w:rsidR="00380C3D">
        <w:t>It should be noted</w:t>
      </w:r>
      <w:r>
        <w:t xml:space="preserve"> that the TGA position on references to companion diagnostics within the indications may change in future.</w:t>
      </w:r>
    </w:p>
    <w:p w14:paraId="67DF3EA3" w14:textId="24C0C7D5" w:rsidR="00A034C8" w:rsidRDefault="00955F0C" w:rsidP="00E01109">
      <w:pPr>
        <w:pStyle w:val="Heading5"/>
      </w:pPr>
      <w:r>
        <w:t>Proposed dosage regimen</w:t>
      </w:r>
    </w:p>
    <w:p w14:paraId="08BB43B9" w14:textId="768E897B" w:rsidR="002D7FFB" w:rsidRDefault="00A034C8" w:rsidP="00A034C8">
      <w:r>
        <w:t>The proposed dosage for the new indications is 200 mg every 3 weeks or 400 mg</w:t>
      </w:r>
      <w:r w:rsidR="00E01109">
        <w:t xml:space="preserve"> once</w:t>
      </w:r>
      <w:r>
        <w:t xml:space="preserve"> every 6</w:t>
      </w:r>
      <w:r w:rsidR="00E01109">
        <w:t> </w:t>
      </w:r>
      <w:r>
        <w:t xml:space="preserve">weeks as an intravenous (IV) infusion over 30 minutes. In the pivotal studies </w:t>
      </w:r>
      <w:r w:rsidR="00953F9B">
        <w:t>Study KN-355</w:t>
      </w:r>
      <w:r>
        <w:t xml:space="preserve"> and </w:t>
      </w:r>
      <w:r w:rsidR="00E01109">
        <w:t xml:space="preserve">Study </w:t>
      </w:r>
      <w:r>
        <w:t>KN-522, the administered dose of pembrolizumab was 200 mg</w:t>
      </w:r>
      <w:r w:rsidR="00E01109">
        <w:t xml:space="preserve"> once every three weeks</w:t>
      </w:r>
      <w:r>
        <w:t xml:space="preserve">. There were no clinical data submitted for the proposed indications with 400 mg </w:t>
      </w:r>
      <w:r w:rsidR="00E01109">
        <w:t>once every six weeks</w:t>
      </w:r>
      <w:r>
        <w:t xml:space="preserve"> dosing.</w:t>
      </w:r>
    </w:p>
    <w:p w14:paraId="2225B8C4" w14:textId="2FD5893D" w:rsidR="00A034C8" w:rsidRDefault="00A034C8" w:rsidP="00A034C8">
      <w:r>
        <w:t>The alternative</w:t>
      </w:r>
      <w:r w:rsidR="00955F0C">
        <w:t xml:space="preserve"> of</w:t>
      </w:r>
      <w:r>
        <w:t xml:space="preserve"> 400 mg </w:t>
      </w:r>
      <w:r w:rsidR="00E01109">
        <w:t>once every six weeks</w:t>
      </w:r>
      <w:r>
        <w:t xml:space="preserve"> dosing regimen was approved </w:t>
      </w:r>
      <w:r w:rsidR="00955F0C">
        <w:t xml:space="preserve">by the TGA </w:t>
      </w:r>
      <w:r>
        <w:t>in October 2021 for all approved indications current at the time (</w:t>
      </w:r>
      <w:r w:rsidR="00955F0C">
        <w:t xml:space="preserve">via submission </w:t>
      </w:r>
      <w:r>
        <w:t>PM-2020-03028-1-4</w:t>
      </w:r>
      <w:proofErr w:type="gramStart"/>
      <w:r w:rsidR="00407EF6">
        <w:t>)</w:t>
      </w:r>
      <w:proofErr w:type="gramEnd"/>
      <w:r>
        <w:t xml:space="preserve"> but that approval did not apply prospectively to new indications. It was primarily supported by the </w:t>
      </w:r>
      <w:r w:rsidR="00E01109">
        <w:t>pharmacokinetic</w:t>
      </w:r>
      <w:r>
        <w:t xml:space="preserve"> study in advanced melanoma, </w:t>
      </w:r>
      <w:r w:rsidR="00955F0C">
        <w:t xml:space="preserve">Study KN-555 (the </w:t>
      </w:r>
      <w:r>
        <w:t>KEYNOTE-555</w:t>
      </w:r>
      <w:r w:rsidR="00E01109">
        <w:t xml:space="preserve"> trial</w:t>
      </w:r>
      <w:r w:rsidR="00955F0C">
        <w:t>)</w:t>
      </w:r>
      <w:r>
        <w:t>, as well as</w:t>
      </w:r>
      <w:r w:rsidR="00B15E60" w:rsidRPr="00B15E60">
        <w:t xml:space="preserve"> </w:t>
      </w:r>
      <w:r w:rsidR="00B15E60">
        <w:t>p</w:t>
      </w:r>
      <w:r w:rsidR="00B15E60" w:rsidRPr="00B15E60">
        <w:t xml:space="preserve">hysiological based pharmacokinetic </w:t>
      </w:r>
      <w:r>
        <w:t>modelling.</w:t>
      </w:r>
    </w:p>
    <w:p w14:paraId="1C2E0BA6" w14:textId="0F172930" w:rsidR="00A034C8" w:rsidRDefault="00B15E60" w:rsidP="00A034C8">
      <w:r>
        <w:t xml:space="preserve">The dosage, </w:t>
      </w:r>
      <w:r w:rsidR="00A034C8">
        <w:t xml:space="preserve">400 mg </w:t>
      </w:r>
      <w:r w:rsidR="00E01109">
        <w:t>once every six weeks</w:t>
      </w:r>
      <w:r w:rsidR="00A034C8">
        <w:t xml:space="preserve"> dosing is approved by the </w:t>
      </w:r>
      <w:r w:rsidR="00A056E9">
        <w:t xml:space="preserve">US </w:t>
      </w:r>
      <w:r w:rsidR="00A034C8">
        <w:t xml:space="preserve">FDA and </w:t>
      </w:r>
      <w:r w:rsidR="00A034C8" w:rsidRPr="00B15E60">
        <w:t>EMA</w:t>
      </w:r>
      <w:r w:rsidR="00A034C8">
        <w:t xml:space="preserve"> for their TNBC indications.</w:t>
      </w:r>
    </w:p>
    <w:p w14:paraId="0ECD7FBC" w14:textId="77777777" w:rsidR="002D7FFB" w:rsidRDefault="00A034C8" w:rsidP="00A034C8">
      <w:r>
        <w:t xml:space="preserve">In response to a Delegate query, the </w:t>
      </w:r>
      <w:r w:rsidR="00E01109">
        <w:t>s</w:t>
      </w:r>
      <w:r>
        <w:t xml:space="preserve">ponsor confirmed that they consider the justification for </w:t>
      </w:r>
      <w:r w:rsidR="00E01109">
        <w:t>once every six weeks</w:t>
      </w:r>
      <w:r>
        <w:t xml:space="preserve"> dosing outlined in PM-2020-03028-1-4 applies equally to TNBC. A summary of these data was submitted.</w:t>
      </w:r>
    </w:p>
    <w:p w14:paraId="62FC4562" w14:textId="1321B29A" w:rsidR="00A034C8" w:rsidRDefault="00A034C8" w:rsidP="00A034C8">
      <w:r>
        <w:t xml:space="preserve">After consideration of these data, the Delegate agrees that they apply equally to TNBC and the other indications for which </w:t>
      </w:r>
      <w:r w:rsidR="00E01109">
        <w:t>once every six weeks</w:t>
      </w:r>
      <w:r>
        <w:t xml:space="preserve"> dosing is already approved. The proposed 400 mg </w:t>
      </w:r>
      <w:r w:rsidR="00B15E60">
        <w:t>intravenously</w:t>
      </w:r>
      <w:r>
        <w:t xml:space="preserve"> </w:t>
      </w:r>
      <w:r w:rsidR="00E01109">
        <w:t>once every six weeks</w:t>
      </w:r>
      <w:r>
        <w:t xml:space="preserve"> alternate dosing regimen for the proposed new indications is acceptable. The uncertainty is that there are no clinical data for the proposed indications with </w:t>
      </w:r>
      <w:r w:rsidR="00E01109">
        <w:t>once every six weeks</w:t>
      </w:r>
      <w:r>
        <w:t xml:space="preserve"> dosing.</w:t>
      </w:r>
    </w:p>
    <w:p w14:paraId="29E29462" w14:textId="2186E041" w:rsidR="00A034C8" w:rsidRPr="000A27BD" w:rsidRDefault="00A034C8" w:rsidP="00A034C8">
      <w:r>
        <w:t xml:space="preserve">Note that use of this alternate regimen results in patients potentially receiving an extra 200 mg of pembrolizumab over the course of adjuvant treatment (5 x 400 mg </w:t>
      </w:r>
      <w:r w:rsidR="00E01109">
        <w:t>once every six weeks</w:t>
      </w:r>
      <w:r>
        <w:t xml:space="preserve"> </w:t>
      </w:r>
      <w:r w:rsidR="00201D23">
        <w:t>versus</w:t>
      </w:r>
      <w:r>
        <w:t xml:space="preserve"> 9 x 200 mg </w:t>
      </w:r>
      <w:r w:rsidR="00E01109">
        <w:t>once every three weeks</w:t>
      </w:r>
      <w:r>
        <w:t xml:space="preserve">) which was not tested in </w:t>
      </w:r>
      <w:r w:rsidR="00E01109">
        <w:br/>
        <w:t xml:space="preserve">Study </w:t>
      </w:r>
      <w:r>
        <w:t>KN-522. This is acceptable, considering the extra dose is marginal and the safety profile of pembrolizumab is well established over the proposed treatment duration.</w:t>
      </w:r>
    </w:p>
    <w:p w14:paraId="3AA90FE8" w14:textId="77777777" w:rsidR="0074163C" w:rsidRDefault="0074163C" w:rsidP="0074163C">
      <w:pPr>
        <w:pStyle w:val="Heading4"/>
      </w:pPr>
      <w:bookmarkStart w:id="91" w:name="_Toc98931933"/>
      <w:r w:rsidRPr="00D23139">
        <w:t>Proposed action</w:t>
      </w:r>
      <w:bookmarkEnd w:id="91"/>
    </w:p>
    <w:p w14:paraId="2720F6D5" w14:textId="1E35704E" w:rsidR="00A034C8" w:rsidRPr="00A034C8" w:rsidRDefault="00A034C8" w:rsidP="00A034C8">
      <w:r w:rsidRPr="00A034C8">
        <w:t xml:space="preserve">Overall, the Delegate considers the benefit-risk balance for the proposed indications (as amended by the Delegate) to be positive. Advice from the </w:t>
      </w:r>
      <w:r w:rsidR="00B15E60">
        <w:t>Advisory Committee on Medicines (</w:t>
      </w:r>
      <w:r w:rsidRPr="00A034C8">
        <w:t>ACM</w:t>
      </w:r>
      <w:r w:rsidR="00B15E60">
        <w:t>)</w:t>
      </w:r>
      <w:r w:rsidRPr="00A034C8">
        <w:t xml:space="preserve"> is sought as to whether the risk-benefit profile remains positive when taking into account the uncertainties detailed above, in particular the conflicting results of relevant studies external to this dossier and this product, IMpassion130</w:t>
      </w:r>
      <w:r w:rsidR="00E01109">
        <w:t xml:space="preserve"> trial</w:t>
      </w:r>
      <w:r w:rsidR="00955F0C">
        <w:t>;</w:t>
      </w:r>
      <w:r w:rsidR="00955F0C" w:rsidRPr="005471F0">
        <w:rPr>
          <w:vertAlign w:val="superscript"/>
        </w:rPr>
        <w:fldChar w:fldCharType="begin"/>
      </w:r>
      <w:r w:rsidR="00955F0C" w:rsidRPr="005471F0">
        <w:rPr>
          <w:vertAlign w:val="superscript"/>
        </w:rPr>
        <w:instrText xml:space="preserve"> NOTEREF _Ref134170950 \h </w:instrText>
      </w:r>
      <w:r w:rsidR="00955F0C">
        <w:rPr>
          <w:vertAlign w:val="superscript"/>
        </w:rPr>
        <w:instrText xml:space="preserve"> \* MERGEFORMAT </w:instrText>
      </w:r>
      <w:r w:rsidR="00955F0C" w:rsidRPr="005471F0">
        <w:rPr>
          <w:vertAlign w:val="superscript"/>
        </w:rPr>
      </w:r>
      <w:r w:rsidR="00955F0C" w:rsidRPr="005471F0">
        <w:rPr>
          <w:vertAlign w:val="superscript"/>
        </w:rPr>
        <w:fldChar w:fldCharType="separate"/>
      </w:r>
      <w:r w:rsidR="00A02570">
        <w:rPr>
          <w:vertAlign w:val="superscript"/>
        </w:rPr>
        <w:t>28</w:t>
      </w:r>
      <w:r w:rsidR="00955F0C" w:rsidRPr="005471F0">
        <w:rPr>
          <w:vertAlign w:val="superscript"/>
        </w:rPr>
        <w:fldChar w:fldCharType="end"/>
      </w:r>
      <w:r w:rsidRPr="00A034C8">
        <w:t xml:space="preserve"> and </w:t>
      </w:r>
      <w:r w:rsidR="00E01109">
        <w:t>IMpassion</w:t>
      </w:r>
      <w:r w:rsidRPr="00A034C8">
        <w:t>-131</w:t>
      </w:r>
      <w:r w:rsidR="00E01109">
        <w:t xml:space="preserve"> trial</w:t>
      </w:r>
      <w:r w:rsidRPr="00A034C8">
        <w:t>.</w:t>
      </w:r>
      <w:r w:rsidR="00955F0C" w:rsidRPr="00F25CAE">
        <w:rPr>
          <w:vertAlign w:val="superscript"/>
        </w:rPr>
        <w:fldChar w:fldCharType="begin"/>
      </w:r>
      <w:r w:rsidR="00955F0C" w:rsidRPr="00F25CAE">
        <w:rPr>
          <w:vertAlign w:val="superscript"/>
        </w:rPr>
        <w:instrText xml:space="preserve"> NOTEREF _Ref134171701 \h </w:instrText>
      </w:r>
      <w:r w:rsidR="00955F0C">
        <w:rPr>
          <w:vertAlign w:val="superscript"/>
        </w:rPr>
        <w:instrText xml:space="preserve"> \* MERGEFORMAT </w:instrText>
      </w:r>
      <w:r w:rsidR="00955F0C" w:rsidRPr="00F25CAE">
        <w:rPr>
          <w:vertAlign w:val="superscript"/>
        </w:rPr>
      </w:r>
      <w:r w:rsidR="00955F0C" w:rsidRPr="00F25CAE">
        <w:rPr>
          <w:vertAlign w:val="superscript"/>
        </w:rPr>
        <w:fldChar w:fldCharType="separate"/>
      </w:r>
      <w:r w:rsidR="00A02570">
        <w:rPr>
          <w:vertAlign w:val="superscript"/>
        </w:rPr>
        <w:t>30</w:t>
      </w:r>
      <w:r w:rsidR="00955F0C" w:rsidRPr="00F25CAE">
        <w:rPr>
          <w:vertAlign w:val="superscript"/>
        </w:rPr>
        <w:fldChar w:fldCharType="end"/>
      </w:r>
    </w:p>
    <w:p w14:paraId="2B27CE1E" w14:textId="77777777" w:rsidR="0074163C" w:rsidRPr="00F73346" w:rsidRDefault="0074163C" w:rsidP="0074163C">
      <w:pPr>
        <w:pStyle w:val="Heading4"/>
      </w:pPr>
      <w:bookmarkStart w:id="92" w:name="_Toc98931936"/>
      <w:bookmarkStart w:id="93" w:name="_Toc247691532"/>
      <w:bookmarkStart w:id="94" w:name="_Toc314842516"/>
      <w:bookmarkEnd w:id="37"/>
      <w:bookmarkEnd w:id="83"/>
      <w:bookmarkEnd w:id="84"/>
      <w:r w:rsidRPr="00F73346">
        <w:t>Advisory Committee considerations</w:t>
      </w:r>
      <w:bookmarkEnd w:id="92"/>
    </w:p>
    <w:p w14:paraId="311B26F2" w14:textId="4507A1BC" w:rsidR="0074163C" w:rsidRDefault="0074163C" w:rsidP="0074163C">
      <w:pPr>
        <w:rPr>
          <w:bCs/>
        </w:rPr>
      </w:pPr>
      <w:r w:rsidRPr="00456765">
        <w:rPr>
          <w:bCs/>
        </w:rPr>
        <w:t xml:space="preserve">The </w:t>
      </w:r>
      <w:hyperlink r:id="rId57" w:history="1">
        <w:r w:rsidRPr="00C65E63">
          <w:rPr>
            <w:rStyle w:val="Hyperlink"/>
            <w:szCs w:val="21"/>
          </w:rPr>
          <w:t>Advisory Committee on Medicines (ACM)</w:t>
        </w:r>
      </w:hyperlink>
      <w:r w:rsidR="00955F0C">
        <w:rPr>
          <w:color w:val="007099"/>
          <w:szCs w:val="21"/>
        </w:rPr>
        <w:t xml:space="preserve"> </w:t>
      </w:r>
      <w:r w:rsidRPr="00456765">
        <w:rPr>
          <w:bCs/>
        </w:rPr>
        <w:t>having considered the evaluations and the Delegate’s overview, as well as the sponsor’s response to these documents, advised the following</w:t>
      </w:r>
      <w:r>
        <w:rPr>
          <w:bCs/>
        </w:rPr>
        <w:t>.</w:t>
      </w:r>
    </w:p>
    <w:p w14:paraId="23FC57CA" w14:textId="77777777" w:rsidR="002D7FFB" w:rsidRDefault="00A034C8" w:rsidP="00E01109">
      <w:pPr>
        <w:pStyle w:val="Numberbullet0"/>
        <w:numPr>
          <w:ilvl w:val="0"/>
          <w:numId w:val="36"/>
        </w:numPr>
        <w:rPr>
          <w:b/>
          <w:bCs/>
          <w:i/>
          <w:iCs/>
        </w:rPr>
      </w:pPr>
      <w:r w:rsidRPr="00E01109">
        <w:rPr>
          <w:b/>
          <w:bCs/>
          <w:i/>
          <w:iCs/>
        </w:rPr>
        <w:lastRenderedPageBreak/>
        <w:t>Considering the uncertainty relating to the use of immunotherapy for TNBC, are the data sufficient to support approval of both indications?</w:t>
      </w:r>
    </w:p>
    <w:p w14:paraId="58C259AF" w14:textId="7CAA1534" w:rsidR="00A034C8" w:rsidRDefault="00A034C8" w:rsidP="00A034C8">
      <w:r>
        <w:t>The ACM considered the data sufficient to support the use of pembrolizumab with chemotherapy in the metastatic setting. The ACM advised that the clinical trials demonstrated complete metastatic response, though in patients who have had multiple lines of treatment the response may only last a few months. The ACM also considered the data to support the neoadjuvant indication to be sufficient due to the improved pathological complete response.</w:t>
      </w:r>
    </w:p>
    <w:p w14:paraId="32F77082" w14:textId="77777777" w:rsidR="00A034C8" w:rsidRDefault="00A034C8" w:rsidP="00A034C8">
      <w:r>
        <w:t>The ACM advised that for first line treatment in the metastatic setting, the optimal duration of treatment is unclear based on published clinical trial data. The ACM noted that some patients improved while taking pembrolizumab and obtained complete pathological and metabolic response in up to two cycles and did not continue the treatment thereafter. Therefore, questions on duration remain.</w:t>
      </w:r>
    </w:p>
    <w:p w14:paraId="59A3EE36" w14:textId="501684F0" w:rsidR="00A034C8" w:rsidRDefault="00A034C8" w:rsidP="00A034C8">
      <w:r>
        <w:t xml:space="preserve">The ACM noted the uncertainty in the relationship between programmed death ligand 1 (PD-L1) expression status and therapeutic efficacy of pembrolizumab as this relates to different clinical trials for another PD-L1 inhibitor (the </w:t>
      </w:r>
      <w:r w:rsidR="00955F0C" w:rsidRPr="00A034C8">
        <w:t>IMpassion130</w:t>
      </w:r>
      <w:r w:rsidR="00955F0C">
        <w:t xml:space="preserve"> trial;</w:t>
      </w:r>
      <w:r w:rsidR="00955F0C" w:rsidRPr="00AD515B">
        <w:rPr>
          <w:vertAlign w:val="superscript"/>
        </w:rPr>
        <w:fldChar w:fldCharType="begin"/>
      </w:r>
      <w:r w:rsidR="00955F0C" w:rsidRPr="00AD515B">
        <w:rPr>
          <w:vertAlign w:val="superscript"/>
        </w:rPr>
        <w:instrText xml:space="preserve"> NOTEREF _Ref134170950 \h </w:instrText>
      </w:r>
      <w:r w:rsidR="00955F0C">
        <w:rPr>
          <w:vertAlign w:val="superscript"/>
        </w:rPr>
        <w:instrText xml:space="preserve"> \* MERGEFORMAT </w:instrText>
      </w:r>
      <w:r w:rsidR="00955F0C" w:rsidRPr="00AD515B">
        <w:rPr>
          <w:vertAlign w:val="superscript"/>
        </w:rPr>
      </w:r>
      <w:r w:rsidR="00955F0C" w:rsidRPr="00AD515B">
        <w:rPr>
          <w:vertAlign w:val="superscript"/>
        </w:rPr>
        <w:fldChar w:fldCharType="separate"/>
      </w:r>
      <w:r w:rsidR="00A02570">
        <w:rPr>
          <w:vertAlign w:val="superscript"/>
        </w:rPr>
        <w:t>28</w:t>
      </w:r>
      <w:r w:rsidR="00955F0C" w:rsidRPr="00AD515B">
        <w:rPr>
          <w:vertAlign w:val="superscript"/>
        </w:rPr>
        <w:fldChar w:fldCharType="end"/>
      </w:r>
      <w:r w:rsidR="00955F0C" w:rsidRPr="00A034C8">
        <w:t xml:space="preserve"> and </w:t>
      </w:r>
      <w:r w:rsidR="00955F0C">
        <w:t>IMpassion</w:t>
      </w:r>
      <w:r w:rsidR="00955F0C" w:rsidRPr="00A034C8">
        <w:t>-131</w:t>
      </w:r>
      <w:r w:rsidR="00955F0C">
        <w:t xml:space="preserve"> trial)</w:t>
      </w:r>
      <w:r w:rsidR="00955F0C" w:rsidRPr="00AD515B">
        <w:rPr>
          <w:vertAlign w:val="superscript"/>
        </w:rPr>
        <w:fldChar w:fldCharType="begin"/>
      </w:r>
      <w:r w:rsidR="00955F0C" w:rsidRPr="00AD515B">
        <w:rPr>
          <w:vertAlign w:val="superscript"/>
        </w:rPr>
        <w:instrText xml:space="preserve"> NOTEREF _Ref134171701 \h </w:instrText>
      </w:r>
      <w:r w:rsidR="00955F0C">
        <w:rPr>
          <w:vertAlign w:val="superscript"/>
        </w:rPr>
        <w:instrText xml:space="preserve"> \* MERGEFORMAT </w:instrText>
      </w:r>
      <w:r w:rsidR="00955F0C" w:rsidRPr="00AD515B">
        <w:rPr>
          <w:vertAlign w:val="superscript"/>
        </w:rPr>
      </w:r>
      <w:r w:rsidR="00955F0C" w:rsidRPr="00AD515B">
        <w:rPr>
          <w:vertAlign w:val="superscript"/>
        </w:rPr>
        <w:fldChar w:fldCharType="separate"/>
      </w:r>
      <w:r w:rsidR="00A02570">
        <w:rPr>
          <w:vertAlign w:val="superscript"/>
        </w:rPr>
        <w:t>30</w:t>
      </w:r>
      <w:r w:rsidR="00955F0C" w:rsidRPr="00AD515B">
        <w:rPr>
          <w:vertAlign w:val="superscript"/>
        </w:rPr>
        <w:fldChar w:fldCharType="end"/>
      </w:r>
      <w:r w:rsidR="00955F0C">
        <w:t xml:space="preserve"> </w:t>
      </w:r>
      <w:r>
        <w:t>using different PD-L1 assays from those used in the KEYNOTE-522 and KEYNOTE-355 trials. The ACM noted that the findings in these other trials cannot necessarily be applied to the current studies.</w:t>
      </w:r>
    </w:p>
    <w:p w14:paraId="00F6764C" w14:textId="1F5E76A9" w:rsidR="00A034C8" w:rsidRPr="00E01109" w:rsidRDefault="00A034C8" w:rsidP="00E01109">
      <w:pPr>
        <w:pStyle w:val="Numberbullet0"/>
        <w:numPr>
          <w:ilvl w:val="0"/>
          <w:numId w:val="36"/>
        </w:numPr>
        <w:rPr>
          <w:b/>
          <w:bCs/>
          <w:i/>
          <w:iCs/>
        </w:rPr>
      </w:pPr>
      <w:r w:rsidRPr="00E01109">
        <w:rPr>
          <w:b/>
          <w:bCs/>
          <w:i/>
          <w:iCs/>
        </w:rPr>
        <w:t>Does the ACM agree with the Delegate’s amended indication to include only patients who have not received prior chemotherapy for metastatic disease?</w:t>
      </w:r>
    </w:p>
    <w:p w14:paraId="0A24EB93" w14:textId="77777777" w:rsidR="00A034C8" w:rsidRDefault="00A034C8" w:rsidP="00A034C8">
      <w:r>
        <w:t>The ACM agreed with the Delegate that the indication should be used with chemotherapy but not in heavily pre-treated patients.</w:t>
      </w:r>
    </w:p>
    <w:p w14:paraId="456E0F17" w14:textId="77777777" w:rsidR="00A034C8" w:rsidRDefault="00A034C8" w:rsidP="00A034C8">
      <w:r>
        <w:t xml:space="preserve">The ACM advised that stating ‘as determined by a validated test’ in the indication would be beneficial. The ACM was of the view that in circumstances where patient selection is determined by the outcome of a PD-L1 test, a validated test is important as it helps avoid unnecessary exposure to patients unlikely to respond to this treatment, or patients potentially missing out on this treatment option based on the outcome of a less sensitive, inappropriate or unvalidated assay. The ACM further noted that the term ‘validated test’ refers to both laboratory </w:t>
      </w:r>
      <w:proofErr w:type="gramStart"/>
      <w:r>
        <w:t>developed</w:t>
      </w:r>
      <w:proofErr w:type="gramEnd"/>
      <w:r>
        <w:t xml:space="preserve"> and commercial assays and the inclusion of this statement should not restrict usage to one form, rather any validated laboratory developed or commercial assay could be utilised.</w:t>
      </w:r>
    </w:p>
    <w:p w14:paraId="2C51FEE9" w14:textId="2A45BC89" w:rsidR="00A034C8" w:rsidRPr="00A034C8" w:rsidRDefault="00A034C8" w:rsidP="00A034C8">
      <w:r>
        <w:t xml:space="preserve">The KEYNOTE-522 and KEYNOTE-355 trials used a specific commercially developed assay for PD-L1 expression status; PD-L1 immunohistochemistry 22C3 </w:t>
      </w:r>
      <w:proofErr w:type="spellStart"/>
      <w:r>
        <w:t>pharmDx</w:t>
      </w:r>
      <w:proofErr w:type="spellEnd"/>
      <w:r>
        <w:t xml:space="preserve"> kit (Agilent Technologies). The ACM noted that this kit is not currently widely available in Australia. For PD-L1 testing of non-small cell lung cancer within Australia a laboratory developed test with the SP263 clone is commonly used, and this has shown approximate equivalency to 22C3 in assessing tumour cells. The ACM however advised that not all tests are interchangeable as different clones of PD-L1 antibodies are utilised within different tests and utilising a test not validated for TNBC may produce incorrect results. The ACM was of the view that for TNBC, there are currently no good data showing equivalency of the SP263 laboratory developed tests with the commercial 22C3 assays. It is anticipated that for this indication 22C3 laboratory developed tests may be developed, and these will require internal validation and appropriate quality assurance programs.</w:t>
      </w:r>
    </w:p>
    <w:p w14:paraId="12FF3848" w14:textId="77777777" w:rsidR="0074163C" w:rsidRPr="00F73346" w:rsidRDefault="0074163C" w:rsidP="0074163C">
      <w:pPr>
        <w:pStyle w:val="Heading5"/>
      </w:pPr>
      <w:r w:rsidRPr="00F73346">
        <w:t>Conclusion</w:t>
      </w:r>
    </w:p>
    <w:p w14:paraId="4080C8CB" w14:textId="71F5BEE2" w:rsidR="00A034C8" w:rsidRDefault="00A034C8" w:rsidP="00A034C8">
      <w:r>
        <w:t xml:space="preserve">The ACM considered this product to have an overall positive benefit-risk profile for the </w:t>
      </w:r>
      <w:r w:rsidR="009B4355">
        <w:t xml:space="preserve">following </w:t>
      </w:r>
      <w:r>
        <w:t>indication:</w:t>
      </w:r>
    </w:p>
    <w:p w14:paraId="27A3E3B2" w14:textId="77777777" w:rsidR="00A034C8" w:rsidRPr="00E01109" w:rsidRDefault="00A034C8" w:rsidP="00E01109">
      <w:pPr>
        <w:ind w:left="720"/>
        <w:rPr>
          <w:b/>
          <w:bCs/>
          <w:i/>
          <w:iCs/>
        </w:rPr>
      </w:pPr>
      <w:r w:rsidRPr="00E01109">
        <w:rPr>
          <w:b/>
          <w:bCs/>
          <w:i/>
          <w:iCs/>
        </w:rPr>
        <w:t>Triple-Negative Breast Cancer</w:t>
      </w:r>
    </w:p>
    <w:p w14:paraId="5562F63C" w14:textId="77777777" w:rsidR="00A034C8" w:rsidRPr="00E01109" w:rsidRDefault="00A034C8" w:rsidP="00E01109">
      <w:pPr>
        <w:ind w:left="720"/>
        <w:rPr>
          <w:i/>
          <w:iCs/>
        </w:rPr>
      </w:pPr>
      <w:r w:rsidRPr="00E01109">
        <w:rPr>
          <w:i/>
          <w:iCs/>
        </w:rPr>
        <w:lastRenderedPageBreak/>
        <w:t>Keytruda (pembrolizumab) is indicated for the treatment of patients with high-risk early-stage triple-negative breast cancer (TNBC) in combination with chemotherapy as neoadjuvant treatment, and then continued as monotherapy as adjuvant treatment after surgery.</w:t>
      </w:r>
    </w:p>
    <w:p w14:paraId="104280B8" w14:textId="4B50283A" w:rsidR="00A034C8" w:rsidRDefault="00A034C8" w:rsidP="00E01109">
      <w:pPr>
        <w:ind w:left="720"/>
        <w:rPr>
          <w:i/>
          <w:iCs/>
        </w:rPr>
      </w:pPr>
      <w:r w:rsidRPr="00E01109">
        <w:rPr>
          <w:i/>
          <w:iCs/>
        </w:rPr>
        <w:t>Keytruda (pembrolizumab), in combination with chemotherapy, is indicated for the treatment of patients with locally recurrent unresectable or metastatic TNBC whose tumours express PD-L1 (CPS ≥10) as determined by a validated test and who have not received prior chemotherapy for metastatic disease.</w:t>
      </w:r>
    </w:p>
    <w:p w14:paraId="505597F2" w14:textId="372D05C2" w:rsidR="009B4355" w:rsidRPr="009B4355" w:rsidRDefault="009B4355" w:rsidP="005471F0">
      <w:pPr>
        <w:spacing w:before="0" w:after="200" w:line="0" w:lineRule="auto"/>
      </w:pPr>
      <w:r>
        <w:br w:type="page"/>
      </w:r>
    </w:p>
    <w:p w14:paraId="7059ED46" w14:textId="29CED2BA" w:rsidR="008E7846" w:rsidRPr="002E238E" w:rsidRDefault="008E7846" w:rsidP="00A034C8">
      <w:pPr>
        <w:pStyle w:val="Heading2"/>
      </w:pPr>
      <w:bookmarkStart w:id="95" w:name="_Toc132283601"/>
      <w:r>
        <w:lastRenderedPageBreak/>
        <w:t>Outcome</w:t>
      </w:r>
      <w:bookmarkEnd w:id="93"/>
      <w:bookmarkEnd w:id="94"/>
      <w:bookmarkEnd w:id="95"/>
    </w:p>
    <w:p w14:paraId="44F0894B" w14:textId="09610031" w:rsidR="0074163C" w:rsidRDefault="0074163C" w:rsidP="0074163C">
      <w:bookmarkStart w:id="96" w:name="_Toc247691533"/>
      <w:bookmarkStart w:id="97" w:name="_Toc314842517"/>
      <w:r>
        <w:t xml:space="preserve">Based on a review of quality, </w:t>
      </w:r>
      <w:r w:rsidR="00CC5044">
        <w:t>safety,</w:t>
      </w:r>
      <w:r>
        <w:t xml:space="preserve"> and efficacy, the TGA approved the registration of </w:t>
      </w:r>
      <w:r w:rsidR="00A03414">
        <w:t>Keytruda</w:t>
      </w:r>
      <w:r w:rsidRPr="00250271">
        <w:t xml:space="preserve"> (</w:t>
      </w:r>
      <w:r w:rsidR="001149E0" w:rsidRPr="001149E0">
        <w:t>pembrolizumab</w:t>
      </w:r>
      <w:r w:rsidRPr="00250271">
        <w:t xml:space="preserve">) </w:t>
      </w:r>
      <w:r w:rsidR="001149E0">
        <w:t>1</w:t>
      </w:r>
      <w:r w:rsidR="001149E0" w:rsidRPr="002F4377">
        <w:t>00 mg/4 mL</w:t>
      </w:r>
      <w:r w:rsidRPr="00250271">
        <w:t xml:space="preserve">, </w:t>
      </w:r>
      <w:r w:rsidR="001149E0">
        <w:t>concentrated injection vial</w:t>
      </w:r>
      <w:r>
        <w:t>, for the following extension of indications or change in dose regime:</w:t>
      </w:r>
    </w:p>
    <w:p w14:paraId="07D995B3" w14:textId="77777777" w:rsidR="001149E0" w:rsidRPr="001149E0" w:rsidRDefault="001149E0" w:rsidP="001149E0">
      <w:pPr>
        <w:ind w:firstLine="720"/>
        <w:rPr>
          <w:b/>
          <w:bCs/>
          <w:i/>
          <w:iCs/>
        </w:rPr>
      </w:pPr>
      <w:r w:rsidRPr="001149E0">
        <w:rPr>
          <w:b/>
          <w:bCs/>
          <w:i/>
          <w:iCs/>
        </w:rPr>
        <w:t>Triple-Negative Breast Cancer</w:t>
      </w:r>
    </w:p>
    <w:p w14:paraId="6C3DC37F" w14:textId="6950FFF6" w:rsidR="001149E0" w:rsidRPr="001149E0" w:rsidRDefault="00D75912" w:rsidP="001149E0">
      <w:pPr>
        <w:ind w:left="720"/>
        <w:rPr>
          <w:i/>
          <w:iCs/>
        </w:rPr>
      </w:pPr>
      <w:r>
        <w:rPr>
          <w:i/>
          <w:iCs/>
        </w:rPr>
        <w:t>Keytruda</w:t>
      </w:r>
      <w:r w:rsidR="001149E0" w:rsidRPr="001149E0">
        <w:rPr>
          <w:i/>
          <w:iCs/>
        </w:rPr>
        <w:t xml:space="preserve"> (pembrolizumab) is indicated for the treatment of patients with high-risk early-stage triple-negative breast cancer (TNBC) in combination with chemotherapy as neoadjuvant treatment, and then continued as monotherapy as adjuvant treatment after surgery.</w:t>
      </w:r>
    </w:p>
    <w:p w14:paraId="5ACFED9E" w14:textId="637867FE" w:rsidR="0074163C" w:rsidRPr="001149E0" w:rsidRDefault="00D75912" w:rsidP="001149E0">
      <w:pPr>
        <w:ind w:left="720"/>
        <w:rPr>
          <w:i/>
          <w:iCs/>
        </w:rPr>
      </w:pPr>
      <w:r>
        <w:rPr>
          <w:i/>
          <w:iCs/>
        </w:rPr>
        <w:t>Keytruda</w:t>
      </w:r>
      <w:r w:rsidR="001149E0" w:rsidRPr="001149E0">
        <w:rPr>
          <w:i/>
          <w:iCs/>
        </w:rPr>
        <w:t xml:space="preserve"> (pembrolizumab), in combination with chemotherapy, is indicated for the treatment of patients with locally recurrent unresectable or metastatic TNBC whose tumours express PD-L1 (CPS ≥10) as determined by a validated test and who have not received prior chemotherapy for metastatic disease.</w:t>
      </w:r>
    </w:p>
    <w:p w14:paraId="7211078D" w14:textId="6EF86FE0" w:rsidR="0074163C" w:rsidRDefault="0074163C" w:rsidP="0074163C">
      <w:r>
        <w:t xml:space="preserve">As such, the full indications </w:t>
      </w:r>
      <w:proofErr w:type="gramStart"/>
      <w:r>
        <w:t>at this time</w:t>
      </w:r>
      <w:proofErr w:type="gramEnd"/>
      <w:r>
        <w:t xml:space="preserve"> were:</w:t>
      </w:r>
    </w:p>
    <w:p w14:paraId="1F48F337" w14:textId="77777777" w:rsidR="001149E0" w:rsidRPr="00D5671F" w:rsidRDefault="001149E0" w:rsidP="00D5671F">
      <w:pPr>
        <w:ind w:left="720"/>
        <w:rPr>
          <w:b/>
          <w:bCs/>
          <w:i/>
          <w:iCs/>
        </w:rPr>
      </w:pPr>
      <w:r w:rsidRPr="00D5671F">
        <w:rPr>
          <w:b/>
          <w:bCs/>
          <w:i/>
          <w:iCs/>
        </w:rPr>
        <w:t>Melanoma</w:t>
      </w:r>
    </w:p>
    <w:p w14:paraId="47306689" w14:textId="1D3A5D22" w:rsidR="001149E0" w:rsidRPr="00D5671F" w:rsidRDefault="00D75912" w:rsidP="00D5671F">
      <w:pPr>
        <w:ind w:left="720"/>
        <w:rPr>
          <w:i/>
          <w:iCs/>
        </w:rPr>
      </w:pPr>
      <w:r>
        <w:rPr>
          <w:i/>
          <w:iCs/>
        </w:rPr>
        <w:t>Keytruda</w:t>
      </w:r>
      <w:r w:rsidR="001149E0" w:rsidRPr="00D5671F">
        <w:rPr>
          <w:i/>
          <w:iCs/>
        </w:rPr>
        <w:t xml:space="preserve"> (pembrolizumab) is indicated as monotherapy for the treatment of unresectable or metastatic melanoma in adults.</w:t>
      </w:r>
    </w:p>
    <w:p w14:paraId="4BE8DF1B" w14:textId="63139D5E" w:rsidR="001149E0" w:rsidRPr="00D5671F" w:rsidRDefault="00D75912" w:rsidP="00D5671F">
      <w:pPr>
        <w:ind w:left="720"/>
        <w:rPr>
          <w:i/>
          <w:iCs/>
        </w:rPr>
      </w:pPr>
      <w:r>
        <w:rPr>
          <w:i/>
          <w:iCs/>
        </w:rPr>
        <w:t>Keytruda</w:t>
      </w:r>
      <w:r w:rsidR="001149E0" w:rsidRPr="00D5671F">
        <w:rPr>
          <w:i/>
          <w:iCs/>
        </w:rPr>
        <w:t xml:space="preserve"> (pembrolizumab) is indicated as monotherapy for the adjuvant treatment of patients with melanoma with lymph node involvement who have undergone complete resection.</w:t>
      </w:r>
    </w:p>
    <w:p w14:paraId="39848A2A" w14:textId="77777777" w:rsidR="001149E0" w:rsidRPr="00D5671F" w:rsidRDefault="001149E0" w:rsidP="00D5671F">
      <w:pPr>
        <w:ind w:left="720"/>
        <w:rPr>
          <w:b/>
          <w:bCs/>
          <w:i/>
          <w:iCs/>
        </w:rPr>
      </w:pPr>
      <w:r w:rsidRPr="00D5671F">
        <w:rPr>
          <w:b/>
          <w:bCs/>
          <w:i/>
          <w:iCs/>
        </w:rPr>
        <w:t>Non-small cell lung cancer (NSCLC)</w:t>
      </w:r>
    </w:p>
    <w:p w14:paraId="55E964C2" w14:textId="02890BF3" w:rsidR="001149E0" w:rsidRPr="00D5671F" w:rsidRDefault="00D75912" w:rsidP="00D5671F">
      <w:pPr>
        <w:ind w:left="720"/>
        <w:rPr>
          <w:i/>
          <w:iCs/>
        </w:rPr>
      </w:pPr>
      <w:r>
        <w:rPr>
          <w:i/>
          <w:iCs/>
        </w:rPr>
        <w:t>Keytruda</w:t>
      </w:r>
      <w:r w:rsidR="001149E0" w:rsidRPr="00D5671F">
        <w:rPr>
          <w:i/>
          <w:iCs/>
        </w:rPr>
        <w:t xml:space="preserve"> (pembrolizumab), in combination with pemetrexed and platinum chemotherapy, is indicated for the first-line treatment of patients with metastatic non-squamous NSCLC, with no EGFR or ALK genomic tumour aberrations.</w:t>
      </w:r>
    </w:p>
    <w:p w14:paraId="12078E3F" w14:textId="5E9C12DC" w:rsidR="001149E0" w:rsidRPr="00D5671F" w:rsidRDefault="00D75912" w:rsidP="00D5671F">
      <w:pPr>
        <w:ind w:left="720"/>
        <w:rPr>
          <w:i/>
          <w:iCs/>
        </w:rPr>
      </w:pPr>
      <w:r>
        <w:rPr>
          <w:i/>
          <w:iCs/>
        </w:rPr>
        <w:t>Keytruda</w:t>
      </w:r>
      <w:r w:rsidR="001149E0" w:rsidRPr="00D5671F">
        <w:rPr>
          <w:i/>
          <w:iCs/>
        </w:rPr>
        <w:t xml:space="preserve"> (pembrolizumab), in combination with carboplatin and either paclitaxel or nab</w:t>
      </w:r>
      <w:r w:rsidR="00D5671F">
        <w:rPr>
          <w:i/>
          <w:iCs/>
        </w:rPr>
        <w:t>-</w:t>
      </w:r>
      <w:r w:rsidR="001149E0" w:rsidRPr="00D5671F">
        <w:rPr>
          <w:i/>
          <w:iCs/>
        </w:rPr>
        <w:t>paclitaxel, is indicated for the first-line treatment of patients with metastatic squamous NSCLC.</w:t>
      </w:r>
    </w:p>
    <w:p w14:paraId="2A576847" w14:textId="248C7ADC" w:rsidR="001149E0" w:rsidRPr="00D5671F" w:rsidRDefault="00D75912" w:rsidP="00D5671F">
      <w:pPr>
        <w:ind w:left="720"/>
        <w:rPr>
          <w:i/>
          <w:iCs/>
        </w:rPr>
      </w:pPr>
      <w:r>
        <w:rPr>
          <w:i/>
          <w:iCs/>
        </w:rPr>
        <w:t>Keytruda</w:t>
      </w:r>
      <w:r w:rsidR="001149E0" w:rsidRPr="00D5671F">
        <w:rPr>
          <w:i/>
          <w:iCs/>
        </w:rPr>
        <w:t xml:space="preserve"> (pembrolizumab) is indicated as monotherapy for the first-line treatment of patients with NSCLC expressing PD-L1 [tumour proportion score (TPS) ≥1%] as determined by a validated test, with no EGFR or ALK genomic tumour aberrations, and is</w:t>
      </w:r>
    </w:p>
    <w:p w14:paraId="48F29F95" w14:textId="65D77FB3" w:rsidR="001149E0" w:rsidRPr="00D5671F" w:rsidRDefault="001149E0" w:rsidP="00D5671F">
      <w:pPr>
        <w:pStyle w:val="ListBullet"/>
        <w:ind w:left="1080"/>
        <w:rPr>
          <w:i/>
          <w:iCs/>
        </w:rPr>
      </w:pPr>
      <w:r w:rsidRPr="00D5671F">
        <w:rPr>
          <w:i/>
          <w:iCs/>
        </w:rPr>
        <w:t>stage III where patients are not candidates for surgical resection or definitive chemoradiation, or</w:t>
      </w:r>
    </w:p>
    <w:p w14:paraId="1EE0ECC6" w14:textId="03300FB7" w:rsidR="001149E0" w:rsidRPr="00D5671F" w:rsidRDefault="001149E0" w:rsidP="00D5671F">
      <w:pPr>
        <w:pStyle w:val="ListBullet"/>
        <w:ind w:left="1080"/>
        <w:rPr>
          <w:i/>
          <w:iCs/>
        </w:rPr>
      </w:pPr>
      <w:r w:rsidRPr="00D5671F">
        <w:rPr>
          <w:i/>
          <w:iCs/>
        </w:rPr>
        <w:t>metastatic.</w:t>
      </w:r>
    </w:p>
    <w:p w14:paraId="2A1AAAE7" w14:textId="546770A6" w:rsidR="001149E0" w:rsidRPr="00D5671F" w:rsidRDefault="00D75912" w:rsidP="00D5671F">
      <w:pPr>
        <w:ind w:left="720"/>
        <w:rPr>
          <w:i/>
          <w:iCs/>
        </w:rPr>
      </w:pPr>
      <w:r>
        <w:rPr>
          <w:i/>
          <w:iCs/>
        </w:rPr>
        <w:t>Keytruda</w:t>
      </w:r>
      <w:r w:rsidR="001149E0" w:rsidRPr="00D5671F">
        <w:rPr>
          <w:i/>
          <w:iCs/>
        </w:rPr>
        <w:t xml:space="preserve">® (pembrolizumab) is indicated as monotherapy for the treatment of patients with advanced NSCLC whose tumours express PD-L1 with a ≥1% TPS as determined by a validated test and who have received platinum-containing chemotherapy. Patients with EGFR or ALK genomic tumour aberrations should have received prior therapy for these aberrations prior to receiving </w:t>
      </w:r>
      <w:r>
        <w:rPr>
          <w:i/>
          <w:iCs/>
        </w:rPr>
        <w:t>Keytruda</w:t>
      </w:r>
      <w:r w:rsidR="001149E0" w:rsidRPr="00D5671F">
        <w:rPr>
          <w:i/>
          <w:iCs/>
        </w:rPr>
        <w:t>.</w:t>
      </w:r>
    </w:p>
    <w:p w14:paraId="0D4D0BF0" w14:textId="77777777" w:rsidR="001149E0" w:rsidRPr="00D5671F" w:rsidRDefault="001149E0" w:rsidP="00D5671F">
      <w:pPr>
        <w:ind w:left="720"/>
        <w:rPr>
          <w:b/>
          <w:bCs/>
          <w:i/>
          <w:iCs/>
        </w:rPr>
      </w:pPr>
      <w:r w:rsidRPr="00D5671F">
        <w:rPr>
          <w:b/>
          <w:bCs/>
          <w:i/>
          <w:iCs/>
        </w:rPr>
        <w:t>Head and Neck Squamous Cell Cancer (HNSCC)</w:t>
      </w:r>
    </w:p>
    <w:p w14:paraId="6AFAFDFC" w14:textId="3C521AD8" w:rsidR="001149E0" w:rsidRPr="00D5671F" w:rsidRDefault="00D75912" w:rsidP="00D5671F">
      <w:pPr>
        <w:ind w:left="720"/>
        <w:rPr>
          <w:i/>
          <w:iCs/>
        </w:rPr>
      </w:pPr>
      <w:r>
        <w:rPr>
          <w:i/>
          <w:iCs/>
        </w:rPr>
        <w:t>Keytruda</w:t>
      </w:r>
      <w:r w:rsidR="001149E0" w:rsidRPr="00D5671F">
        <w:rPr>
          <w:i/>
          <w:iCs/>
        </w:rPr>
        <w:t xml:space="preserve"> (pembrolizumab), as monotherapy or in combination with platinum and 5- fluorouracil (5-FU) chemotherapy, is indicated for the first-line treatment of patients with metastatic or unresectable recurrent HNSCC, and whose tumours express PD-L1 [Combined Positive Score (CPS) ≥1] as determined by a validated test.</w:t>
      </w:r>
    </w:p>
    <w:p w14:paraId="0AE47354" w14:textId="34DCB0E7" w:rsidR="001149E0" w:rsidRPr="00D5671F" w:rsidRDefault="00D75912" w:rsidP="00D5671F">
      <w:pPr>
        <w:ind w:left="720"/>
        <w:rPr>
          <w:i/>
          <w:iCs/>
        </w:rPr>
      </w:pPr>
      <w:r>
        <w:rPr>
          <w:i/>
          <w:iCs/>
        </w:rPr>
        <w:lastRenderedPageBreak/>
        <w:t>Keytruda</w:t>
      </w:r>
      <w:r w:rsidR="001149E0" w:rsidRPr="00D5671F">
        <w:rPr>
          <w:i/>
          <w:iCs/>
        </w:rPr>
        <w:t xml:space="preserve"> (pembrolizumab) is indicated as monotherapy for the treatment of patients with metastatic or unresectable recurrent HNSCC with disease progression on or after platinum containing chemotherapy and whose tumours express PD-L1 [Combined Positive Score (CPS) ≥1] as determined by a validated test.</w:t>
      </w:r>
    </w:p>
    <w:p w14:paraId="79290693" w14:textId="77777777" w:rsidR="001149E0" w:rsidRPr="00D5671F" w:rsidRDefault="001149E0" w:rsidP="00D5671F">
      <w:pPr>
        <w:ind w:left="720"/>
        <w:rPr>
          <w:b/>
          <w:bCs/>
          <w:i/>
          <w:iCs/>
        </w:rPr>
      </w:pPr>
      <w:r w:rsidRPr="00D5671F">
        <w:rPr>
          <w:b/>
          <w:bCs/>
          <w:i/>
          <w:iCs/>
        </w:rPr>
        <w:t>Classical Hodgkin Lymphoma (</w:t>
      </w:r>
      <w:proofErr w:type="spellStart"/>
      <w:r w:rsidRPr="00D5671F">
        <w:rPr>
          <w:b/>
          <w:bCs/>
          <w:i/>
          <w:iCs/>
        </w:rPr>
        <w:t>cHL</w:t>
      </w:r>
      <w:proofErr w:type="spellEnd"/>
      <w:r w:rsidRPr="00D5671F">
        <w:rPr>
          <w:b/>
          <w:bCs/>
          <w:i/>
          <w:iCs/>
        </w:rPr>
        <w:t>)</w:t>
      </w:r>
    </w:p>
    <w:p w14:paraId="0BE4EB94" w14:textId="117B5EFE" w:rsidR="001149E0" w:rsidRPr="00D5671F" w:rsidRDefault="00D75912" w:rsidP="00D5671F">
      <w:pPr>
        <w:ind w:left="720"/>
        <w:rPr>
          <w:i/>
          <w:iCs/>
        </w:rPr>
      </w:pPr>
      <w:r>
        <w:rPr>
          <w:i/>
          <w:iCs/>
        </w:rPr>
        <w:t>Keytruda</w:t>
      </w:r>
      <w:r w:rsidR="001149E0" w:rsidRPr="00D5671F">
        <w:rPr>
          <w:i/>
          <w:iCs/>
        </w:rPr>
        <w:t xml:space="preserve"> (pembrolizumab) is indicated as monotherapy for the treatment of adult and paediatric patients with relapsed or refractory classical Hodgkin Lymphoma (</w:t>
      </w:r>
      <w:proofErr w:type="spellStart"/>
      <w:r w:rsidR="001149E0" w:rsidRPr="00D5671F">
        <w:rPr>
          <w:i/>
          <w:iCs/>
        </w:rPr>
        <w:t>cHL</w:t>
      </w:r>
      <w:proofErr w:type="spellEnd"/>
      <w:r w:rsidR="001149E0" w:rsidRPr="00D5671F">
        <w:rPr>
          <w:i/>
          <w:iCs/>
        </w:rPr>
        <w:t>):</w:t>
      </w:r>
    </w:p>
    <w:p w14:paraId="682E543F" w14:textId="3E41E65F" w:rsidR="001149E0" w:rsidRPr="00D5671F" w:rsidRDefault="001149E0" w:rsidP="00D5671F">
      <w:pPr>
        <w:pStyle w:val="Numberbullet0"/>
        <w:numPr>
          <w:ilvl w:val="0"/>
          <w:numId w:val="35"/>
        </w:numPr>
        <w:ind w:left="1145"/>
        <w:rPr>
          <w:i/>
          <w:iCs/>
        </w:rPr>
      </w:pPr>
      <w:r w:rsidRPr="00D5671F">
        <w:rPr>
          <w:i/>
          <w:iCs/>
        </w:rPr>
        <w:t>following autologous stem cell transplant (ASCT) or</w:t>
      </w:r>
    </w:p>
    <w:p w14:paraId="6F45345C" w14:textId="5C3E0DFD" w:rsidR="001149E0" w:rsidRPr="00D5671F" w:rsidRDefault="001149E0" w:rsidP="00D5671F">
      <w:pPr>
        <w:pStyle w:val="Numberbullet0"/>
        <w:ind w:left="1145"/>
        <w:rPr>
          <w:i/>
          <w:iCs/>
        </w:rPr>
      </w:pPr>
      <w:r w:rsidRPr="00D5671F">
        <w:rPr>
          <w:i/>
          <w:iCs/>
        </w:rPr>
        <w:t>following at least two prior therapies when ASCT or multi-agent chemotherapy is not a treatment option.</w:t>
      </w:r>
    </w:p>
    <w:p w14:paraId="03E059AF" w14:textId="0CB522AD" w:rsidR="001149E0" w:rsidRPr="00D5671F" w:rsidRDefault="001149E0" w:rsidP="00D5671F">
      <w:pPr>
        <w:ind w:left="720"/>
        <w:rPr>
          <w:i/>
          <w:iCs/>
        </w:rPr>
      </w:pPr>
      <w:r w:rsidRPr="00D5671F">
        <w:rPr>
          <w:i/>
          <w:iCs/>
        </w:rPr>
        <w:t xml:space="preserve">The approval of this indication in paediatric patients is </w:t>
      </w:r>
      <w:proofErr w:type="gramStart"/>
      <w:r w:rsidRPr="00D5671F">
        <w:rPr>
          <w:i/>
          <w:iCs/>
        </w:rPr>
        <w:t>on the basis of</w:t>
      </w:r>
      <w:proofErr w:type="gramEnd"/>
      <w:r w:rsidRPr="00D5671F">
        <w:rPr>
          <w:i/>
          <w:iCs/>
        </w:rPr>
        <w:t xml:space="preserve"> objective response rate from patients aged 11 years and older from single arm trial data and extrapolation from adult data (see Section 5.1 PHARMACODYNAMIC PROPERTIES, Clinical Trials).</w:t>
      </w:r>
    </w:p>
    <w:p w14:paraId="0FBC9CC9" w14:textId="77777777" w:rsidR="001149E0" w:rsidRPr="00D5671F" w:rsidRDefault="001149E0" w:rsidP="00D5671F">
      <w:pPr>
        <w:ind w:left="720"/>
        <w:rPr>
          <w:b/>
          <w:bCs/>
          <w:i/>
          <w:iCs/>
        </w:rPr>
      </w:pPr>
      <w:r w:rsidRPr="00D5671F">
        <w:rPr>
          <w:b/>
          <w:bCs/>
          <w:i/>
          <w:iCs/>
        </w:rPr>
        <w:t>Primary mediastinal B-Cell Lymphoma (PMBCL)</w:t>
      </w:r>
    </w:p>
    <w:p w14:paraId="1C000305" w14:textId="6920A3D0" w:rsidR="001149E0" w:rsidRPr="00D5671F" w:rsidRDefault="00D75912" w:rsidP="00D5671F">
      <w:pPr>
        <w:ind w:left="720"/>
        <w:rPr>
          <w:i/>
          <w:iCs/>
        </w:rPr>
      </w:pPr>
      <w:r>
        <w:rPr>
          <w:i/>
          <w:iCs/>
        </w:rPr>
        <w:t>Keytruda</w:t>
      </w:r>
      <w:r w:rsidR="001149E0" w:rsidRPr="00D5671F">
        <w:rPr>
          <w:i/>
          <w:iCs/>
        </w:rPr>
        <w:t xml:space="preserve"> (pembrolizumab) is indicated for the treatment of adult and paediatric patients with refractory primary mediastinal B-cell lymphoma (PMBCL), or who have relapsed after 2 or more prior lines of therapy. The approval of this indication is </w:t>
      </w:r>
      <w:proofErr w:type="gramStart"/>
      <w:r w:rsidR="001149E0" w:rsidRPr="00D5671F">
        <w:rPr>
          <w:i/>
          <w:iCs/>
        </w:rPr>
        <w:t>on the basis of</w:t>
      </w:r>
      <w:proofErr w:type="gramEnd"/>
      <w:r w:rsidR="001149E0" w:rsidRPr="00D5671F">
        <w:rPr>
          <w:i/>
          <w:iCs/>
        </w:rPr>
        <w:t xml:space="preserve"> objective response rate (ORR) and duration of response from non-randomised studies. See Section 5.1 P</w:t>
      </w:r>
      <w:r w:rsidR="00E01109">
        <w:rPr>
          <w:i/>
          <w:iCs/>
        </w:rPr>
        <w:t>harmacodynamic Properties</w:t>
      </w:r>
      <w:r w:rsidR="001149E0" w:rsidRPr="00D5671F">
        <w:rPr>
          <w:i/>
          <w:iCs/>
        </w:rPr>
        <w:t>, Clinical Trials.</w:t>
      </w:r>
    </w:p>
    <w:p w14:paraId="1450EE67" w14:textId="77777777" w:rsidR="001149E0" w:rsidRPr="00D5671F" w:rsidRDefault="001149E0" w:rsidP="00D5671F">
      <w:pPr>
        <w:ind w:left="720"/>
        <w:rPr>
          <w:b/>
          <w:bCs/>
          <w:i/>
          <w:iCs/>
        </w:rPr>
      </w:pPr>
      <w:r w:rsidRPr="00D5671F">
        <w:rPr>
          <w:b/>
          <w:bCs/>
          <w:i/>
          <w:iCs/>
        </w:rPr>
        <w:t>Urothelial carcinoma</w:t>
      </w:r>
    </w:p>
    <w:p w14:paraId="43FA4989" w14:textId="2439428C" w:rsidR="001149E0" w:rsidRPr="00D5671F" w:rsidRDefault="00D75912" w:rsidP="00D5671F">
      <w:pPr>
        <w:ind w:left="720"/>
        <w:rPr>
          <w:i/>
          <w:iCs/>
        </w:rPr>
      </w:pPr>
      <w:r>
        <w:rPr>
          <w:i/>
          <w:iCs/>
        </w:rPr>
        <w:t>Keytruda</w:t>
      </w:r>
      <w:r w:rsidR="001149E0" w:rsidRPr="00D5671F">
        <w:rPr>
          <w:i/>
          <w:iCs/>
        </w:rPr>
        <w:t xml:space="preserve"> (pembrolizumab) is indicated as monotherapy for the treatment of patients with locally advanced or metastatic urothelial carcinoma who are not eligible for any platinum containing chemotherapy. This indication is approved based on overall response rate and duration of response in a single-arm study. Improvements in overall survival, progression-free survival, or health-related quality of life have not been established.</w:t>
      </w:r>
    </w:p>
    <w:p w14:paraId="7C814290" w14:textId="43BAC27C" w:rsidR="001149E0" w:rsidRPr="00D5671F" w:rsidRDefault="00D75912" w:rsidP="00D5671F">
      <w:pPr>
        <w:ind w:left="720"/>
        <w:rPr>
          <w:i/>
          <w:iCs/>
        </w:rPr>
      </w:pPr>
      <w:r>
        <w:rPr>
          <w:i/>
          <w:iCs/>
        </w:rPr>
        <w:t>Keytruda</w:t>
      </w:r>
      <w:r w:rsidR="001149E0" w:rsidRPr="00D5671F">
        <w:rPr>
          <w:i/>
          <w:iCs/>
        </w:rPr>
        <w:t xml:space="preserve"> (pembrolizumab) is indicated as monotherapy for the treatment of patients with locally advanced or metastatic urothelial carcinoma who have received platinum-containing chemotherapy.</w:t>
      </w:r>
    </w:p>
    <w:p w14:paraId="46C0BC1E" w14:textId="6EC3EFC7" w:rsidR="001149E0" w:rsidRPr="00D5671F" w:rsidRDefault="00D75912" w:rsidP="00D5671F">
      <w:pPr>
        <w:ind w:left="720"/>
        <w:rPr>
          <w:i/>
          <w:iCs/>
        </w:rPr>
      </w:pPr>
      <w:r>
        <w:rPr>
          <w:i/>
          <w:iCs/>
        </w:rPr>
        <w:t>Keytruda</w:t>
      </w:r>
      <w:r w:rsidR="001149E0" w:rsidRPr="00D5671F">
        <w:rPr>
          <w:i/>
          <w:iCs/>
        </w:rPr>
        <w:t xml:space="preserve"> (pembrolizumab) is indicated for the treatment of patients with Bacillus Calmette-Guerin (BCG)-unresponsive, high-risk, non-muscle invasive bladder cancer (NMIBC) with carcinoma in-situ (CIS) with or without papillary tumours who are ineligible for or have elected not to undergo cystectomy. This indication was approved via the provisional approval pathway based on complete response rate and duration of response. Continued approval of this indication depends on verification and description of benefit in confirmatory trials.</w:t>
      </w:r>
    </w:p>
    <w:p w14:paraId="1D20288C" w14:textId="77777777" w:rsidR="001149E0" w:rsidRPr="00D5671F" w:rsidRDefault="001149E0" w:rsidP="00D5671F">
      <w:pPr>
        <w:ind w:left="720"/>
        <w:rPr>
          <w:b/>
          <w:bCs/>
          <w:i/>
          <w:iCs/>
        </w:rPr>
      </w:pPr>
      <w:r w:rsidRPr="00D5671F">
        <w:rPr>
          <w:b/>
          <w:bCs/>
          <w:i/>
          <w:iCs/>
        </w:rPr>
        <w:t>Microsatellite instability-high (MSI-H) or mismatch repair deficient (</w:t>
      </w:r>
      <w:proofErr w:type="spellStart"/>
      <w:r w:rsidRPr="00D5671F">
        <w:rPr>
          <w:b/>
          <w:bCs/>
          <w:i/>
          <w:iCs/>
        </w:rPr>
        <w:t>dMMR</w:t>
      </w:r>
      <w:proofErr w:type="spellEnd"/>
      <w:r w:rsidRPr="00D5671F">
        <w:rPr>
          <w:b/>
          <w:bCs/>
          <w:i/>
          <w:iCs/>
        </w:rPr>
        <w:t>) cancer</w:t>
      </w:r>
    </w:p>
    <w:p w14:paraId="75C033DC" w14:textId="77777777" w:rsidR="001149E0" w:rsidRPr="00D5671F" w:rsidRDefault="001149E0" w:rsidP="00D5671F">
      <w:pPr>
        <w:ind w:left="720"/>
        <w:rPr>
          <w:i/>
          <w:iCs/>
        </w:rPr>
      </w:pPr>
      <w:r w:rsidRPr="00D5671F">
        <w:rPr>
          <w:i/>
          <w:iCs/>
        </w:rPr>
        <w:t>Colorectal (previously untreated)</w:t>
      </w:r>
    </w:p>
    <w:p w14:paraId="31700476" w14:textId="6DD2923C" w:rsidR="001149E0" w:rsidRPr="00D5671F" w:rsidRDefault="00D75912" w:rsidP="00D5671F">
      <w:pPr>
        <w:ind w:left="720"/>
        <w:rPr>
          <w:i/>
          <w:iCs/>
        </w:rPr>
      </w:pPr>
      <w:r>
        <w:rPr>
          <w:i/>
          <w:iCs/>
        </w:rPr>
        <w:t>Keytruda</w:t>
      </w:r>
      <w:r w:rsidR="001149E0" w:rsidRPr="00D5671F">
        <w:rPr>
          <w:i/>
          <w:iCs/>
        </w:rPr>
        <w:t xml:space="preserve"> (pembrolizumab) is indicated for the first-line treatment of patients with unresectable or metastatic colorectal cancer (CRC) that is MSI-H or </w:t>
      </w:r>
      <w:proofErr w:type="spellStart"/>
      <w:r w:rsidR="001149E0" w:rsidRPr="00D5671F">
        <w:rPr>
          <w:i/>
          <w:iCs/>
        </w:rPr>
        <w:t>dMMR</w:t>
      </w:r>
      <w:proofErr w:type="spellEnd"/>
      <w:r w:rsidR="001149E0" w:rsidRPr="00D5671F">
        <w:rPr>
          <w:i/>
          <w:iCs/>
        </w:rPr>
        <w:t xml:space="preserve"> as determined by a validated test.</w:t>
      </w:r>
    </w:p>
    <w:p w14:paraId="3167EBA0" w14:textId="77777777" w:rsidR="001149E0" w:rsidRPr="00D5671F" w:rsidRDefault="001149E0" w:rsidP="00D5671F">
      <w:pPr>
        <w:ind w:left="720"/>
        <w:rPr>
          <w:i/>
          <w:iCs/>
        </w:rPr>
      </w:pPr>
      <w:r w:rsidRPr="00D5671F">
        <w:rPr>
          <w:i/>
          <w:iCs/>
        </w:rPr>
        <w:t>Colorectal (previously treated)</w:t>
      </w:r>
    </w:p>
    <w:p w14:paraId="6727F2E8" w14:textId="42410C32" w:rsidR="001149E0" w:rsidRPr="00D5671F" w:rsidRDefault="00D75912" w:rsidP="00D5671F">
      <w:pPr>
        <w:ind w:left="720"/>
        <w:rPr>
          <w:i/>
          <w:iCs/>
        </w:rPr>
      </w:pPr>
      <w:r>
        <w:rPr>
          <w:i/>
          <w:iCs/>
        </w:rPr>
        <w:t>Keytruda</w:t>
      </w:r>
      <w:r w:rsidR="001149E0" w:rsidRPr="00D5671F">
        <w:rPr>
          <w:i/>
          <w:iCs/>
        </w:rPr>
        <w:t xml:space="preserve"> (pembrolizumab) is indicated in adult and paediatric patients for the treatment of unresectable or metastatic CRC that is MSI-H or </w:t>
      </w:r>
      <w:proofErr w:type="spellStart"/>
      <w:r w:rsidR="001149E0" w:rsidRPr="00D5671F">
        <w:rPr>
          <w:i/>
          <w:iCs/>
        </w:rPr>
        <w:t>dMMR</w:t>
      </w:r>
      <w:proofErr w:type="spellEnd"/>
      <w:r w:rsidR="001149E0" w:rsidRPr="00D5671F">
        <w:rPr>
          <w:i/>
          <w:iCs/>
        </w:rPr>
        <w:t xml:space="preserve"> as determined </w:t>
      </w:r>
      <w:r w:rsidR="001149E0" w:rsidRPr="00D5671F">
        <w:rPr>
          <w:i/>
          <w:iCs/>
        </w:rPr>
        <w:lastRenderedPageBreak/>
        <w:t>by a validated test, and that has progressed following treatment with a fluoropyrimidine, oxaliplatin, and irinotecan. This indication was approved via the provisional approval pathway, based on objective response rate and response duration in a single-arm trial. Continued approval for this indication depends on verification and description of clinical benefit in the confirmatory trials.</w:t>
      </w:r>
    </w:p>
    <w:p w14:paraId="029E9829" w14:textId="77777777" w:rsidR="001149E0" w:rsidRPr="00D5671F" w:rsidRDefault="001149E0" w:rsidP="00D5671F">
      <w:pPr>
        <w:ind w:left="720"/>
        <w:rPr>
          <w:i/>
          <w:iCs/>
        </w:rPr>
      </w:pPr>
      <w:r w:rsidRPr="00D5671F">
        <w:rPr>
          <w:i/>
          <w:iCs/>
        </w:rPr>
        <w:t>Non-colorectal</w:t>
      </w:r>
    </w:p>
    <w:p w14:paraId="1D45BD27" w14:textId="547DB281" w:rsidR="001149E0" w:rsidRPr="00D5671F" w:rsidRDefault="00D75912" w:rsidP="00D5671F">
      <w:pPr>
        <w:ind w:left="720"/>
        <w:rPr>
          <w:i/>
          <w:iCs/>
        </w:rPr>
      </w:pPr>
      <w:r>
        <w:rPr>
          <w:i/>
          <w:iCs/>
        </w:rPr>
        <w:t>Keytruda</w:t>
      </w:r>
      <w:r w:rsidR="001149E0" w:rsidRPr="00D5671F">
        <w:rPr>
          <w:i/>
          <w:iCs/>
        </w:rPr>
        <w:t xml:space="preserve"> (pembrolizumab) is indicated in adult and paediatric patients for the treatment of unresectable or metastatic solid tumours that are MSI-H or </w:t>
      </w:r>
      <w:proofErr w:type="spellStart"/>
      <w:r w:rsidR="001149E0" w:rsidRPr="00D5671F">
        <w:rPr>
          <w:i/>
          <w:iCs/>
        </w:rPr>
        <w:t>dMMR</w:t>
      </w:r>
      <w:proofErr w:type="spellEnd"/>
      <w:r w:rsidR="001149E0" w:rsidRPr="00D5671F">
        <w:rPr>
          <w:i/>
          <w:iCs/>
        </w:rPr>
        <w:t xml:space="preserve"> as determined by a validated test, that have progressed following prior treatment and when there are no satisfactory alternative treatment options. This indication was approved via the provisional approval pathway, based on the pooling of data on objective response rate and response duration across multiple different tissue types in a single-arm trial. Sample sizes for individual tissue types were too small to provide data on clinical utility of the MSI-H/</w:t>
      </w:r>
      <w:proofErr w:type="spellStart"/>
      <w:r w:rsidR="001149E0" w:rsidRPr="00D5671F">
        <w:rPr>
          <w:i/>
          <w:iCs/>
        </w:rPr>
        <w:t>dMMR</w:t>
      </w:r>
      <w:proofErr w:type="spellEnd"/>
      <w:r w:rsidR="001149E0" w:rsidRPr="00D5671F">
        <w:rPr>
          <w:i/>
          <w:iCs/>
        </w:rPr>
        <w:t xml:space="preserve"> tests for each of the tissue types, individually. The assumption that MSI-H/</w:t>
      </w:r>
      <w:proofErr w:type="spellStart"/>
      <w:r w:rsidR="001149E0" w:rsidRPr="00D5671F">
        <w:rPr>
          <w:i/>
          <w:iCs/>
        </w:rPr>
        <w:t>dMMR</w:t>
      </w:r>
      <w:proofErr w:type="spellEnd"/>
      <w:r w:rsidR="001149E0" w:rsidRPr="00D5671F">
        <w:rPr>
          <w:i/>
          <w:iCs/>
        </w:rPr>
        <w:t xml:space="preserve">-status is predictive of the treatment effect of </w:t>
      </w:r>
      <w:r>
        <w:rPr>
          <w:i/>
          <w:iCs/>
        </w:rPr>
        <w:t>Keytruda</w:t>
      </w:r>
      <w:r w:rsidR="001149E0" w:rsidRPr="00D5671F">
        <w:rPr>
          <w:i/>
          <w:iCs/>
        </w:rPr>
        <w:t xml:space="preserve"> for every tissue type has not been verified. Continued approval for this indication depends on verification and description of clinical benefit in the confirmatory trials.</w:t>
      </w:r>
    </w:p>
    <w:p w14:paraId="6706AD8F" w14:textId="19F82BE3" w:rsidR="001149E0" w:rsidRPr="00D5671F" w:rsidRDefault="001149E0" w:rsidP="00D5671F">
      <w:pPr>
        <w:ind w:left="720"/>
        <w:rPr>
          <w:i/>
          <w:iCs/>
        </w:rPr>
      </w:pPr>
      <w:r w:rsidRPr="00D5671F">
        <w:rPr>
          <w:i/>
          <w:iCs/>
        </w:rPr>
        <w:t xml:space="preserve">The safety and effectiveness of </w:t>
      </w:r>
      <w:r w:rsidR="00D75912">
        <w:rPr>
          <w:i/>
          <w:iCs/>
        </w:rPr>
        <w:t>Keytruda</w:t>
      </w:r>
      <w:r w:rsidRPr="00D5671F">
        <w:rPr>
          <w:i/>
          <w:iCs/>
        </w:rPr>
        <w:t xml:space="preserve"> in paediatric patients with MSI-H/</w:t>
      </w:r>
      <w:proofErr w:type="spellStart"/>
      <w:r w:rsidRPr="00D5671F">
        <w:rPr>
          <w:i/>
          <w:iCs/>
        </w:rPr>
        <w:t>dMMR</w:t>
      </w:r>
      <w:proofErr w:type="spellEnd"/>
      <w:r w:rsidRPr="00D5671F">
        <w:rPr>
          <w:i/>
          <w:iCs/>
        </w:rPr>
        <w:t xml:space="preserve"> central nervous system cancers have not been established.</w:t>
      </w:r>
    </w:p>
    <w:p w14:paraId="13C49972" w14:textId="77777777" w:rsidR="001149E0" w:rsidRPr="00D5671F" w:rsidRDefault="001149E0" w:rsidP="00D5671F">
      <w:pPr>
        <w:ind w:left="720"/>
        <w:rPr>
          <w:b/>
          <w:bCs/>
          <w:i/>
          <w:iCs/>
        </w:rPr>
      </w:pPr>
      <w:r w:rsidRPr="00D5671F">
        <w:rPr>
          <w:b/>
          <w:bCs/>
          <w:i/>
          <w:iCs/>
        </w:rPr>
        <w:t>Endometrial carcinoma</w:t>
      </w:r>
    </w:p>
    <w:p w14:paraId="748EA3F3" w14:textId="7535DE9E" w:rsidR="001149E0" w:rsidRPr="00D5671F" w:rsidRDefault="00D75912" w:rsidP="00D5671F">
      <w:pPr>
        <w:ind w:left="720"/>
        <w:rPr>
          <w:i/>
          <w:iCs/>
        </w:rPr>
      </w:pPr>
      <w:r>
        <w:rPr>
          <w:i/>
          <w:iCs/>
        </w:rPr>
        <w:t>Keytruda</w:t>
      </w:r>
      <w:r w:rsidR="001149E0" w:rsidRPr="00D5671F">
        <w:rPr>
          <w:i/>
          <w:iCs/>
        </w:rPr>
        <w:t xml:space="preserve"> (pembrolizumab), in combination with </w:t>
      </w:r>
      <w:proofErr w:type="spellStart"/>
      <w:r w:rsidR="001149E0" w:rsidRPr="00D5671F">
        <w:rPr>
          <w:i/>
          <w:iCs/>
        </w:rPr>
        <w:t>lenvatinib</w:t>
      </w:r>
      <w:proofErr w:type="spellEnd"/>
      <w:r w:rsidR="001149E0" w:rsidRPr="00D5671F">
        <w:rPr>
          <w:i/>
          <w:iCs/>
        </w:rPr>
        <w:t xml:space="preserve">, is indicated for the treatment of patients with advanced endometrial carcinoma that is not MSI-H or </w:t>
      </w:r>
      <w:proofErr w:type="spellStart"/>
      <w:r w:rsidR="001149E0" w:rsidRPr="00D5671F">
        <w:rPr>
          <w:i/>
          <w:iCs/>
        </w:rPr>
        <w:t>dMMR</w:t>
      </w:r>
      <w:proofErr w:type="spellEnd"/>
      <w:r w:rsidR="001149E0" w:rsidRPr="00D5671F">
        <w:rPr>
          <w:i/>
          <w:iCs/>
        </w:rPr>
        <w:t>, who have disease progression following prior systemic therapy in any setting and are not candidates for curative surgery or radiation.</w:t>
      </w:r>
    </w:p>
    <w:p w14:paraId="0648E9D2" w14:textId="77777777" w:rsidR="001149E0" w:rsidRPr="00D5671F" w:rsidRDefault="001149E0" w:rsidP="00D5671F">
      <w:pPr>
        <w:ind w:left="720"/>
        <w:rPr>
          <w:b/>
          <w:bCs/>
          <w:i/>
          <w:iCs/>
        </w:rPr>
      </w:pPr>
      <w:r w:rsidRPr="00D5671F">
        <w:rPr>
          <w:b/>
          <w:bCs/>
          <w:i/>
          <w:iCs/>
        </w:rPr>
        <w:t>Cervical Cancer</w:t>
      </w:r>
    </w:p>
    <w:p w14:paraId="363ED363" w14:textId="2EAA58D9" w:rsidR="001149E0" w:rsidRPr="00D5671F" w:rsidRDefault="00D75912" w:rsidP="00D5671F">
      <w:pPr>
        <w:ind w:left="720"/>
        <w:rPr>
          <w:i/>
          <w:iCs/>
        </w:rPr>
      </w:pPr>
      <w:r>
        <w:rPr>
          <w:i/>
          <w:iCs/>
        </w:rPr>
        <w:t>Keytruda</w:t>
      </w:r>
      <w:r w:rsidR="001149E0" w:rsidRPr="00D5671F">
        <w:rPr>
          <w:i/>
          <w:iCs/>
        </w:rPr>
        <w:t xml:space="preserve"> (pembrolizumab) in combination with platinum chemotherapy and paclitaxel, with or without bevacizumab, is indicated for the treatment of patients with persistent, recurrent, or metastatic cervical cancer whose tumours express PD-L1 [Combined Positive Score (CPS) ≥1] as determined by a validated test.</w:t>
      </w:r>
    </w:p>
    <w:p w14:paraId="23405C5A" w14:textId="77777777" w:rsidR="001149E0" w:rsidRPr="00D5671F" w:rsidRDefault="001149E0" w:rsidP="00D5671F">
      <w:pPr>
        <w:ind w:left="720"/>
        <w:rPr>
          <w:b/>
          <w:bCs/>
          <w:i/>
          <w:iCs/>
        </w:rPr>
      </w:pPr>
      <w:r w:rsidRPr="00D5671F">
        <w:rPr>
          <w:b/>
          <w:bCs/>
          <w:i/>
          <w:iCs/>
        </w:rPr>
        <w:t>Renal Cell Carcinoma (RCC)</w:t>
      </w:r>
    </w:p>
    <w:p w14:paraId="7723A4EF" w14:textId="581F43A3" w:rsidR="001149E0" w:rsidRPr="00D5671F" w:rsidRDefault="00D75912" w:rsidP="00D5671F">
      <w:pPr>
        <w:ind w:left="720"/>
        <w:rPr>
          <w:i/>
          <w:iCs/>
        </w:rPr>
      </w:pPr>
      <w:r>
        <w:rPr>
          <w:i/>
          <w:iCs/>
        </w:rPr>
        <w:t>Keytruda</w:t>
      </w:r>
      <w:r w:rsidR="001149E0" w:rsidRPr="00D5671F">
        <w:rPr>
          <w:i/>
          <w:iCs/>
        </w:rPr>
        <w:t xml:space="preserve"> (pembrolizumab), in combination with </w:t>
      </w:r>
      <w:proofErr w:type="spellStart"/>
      <w:r w:rsidR="001149E0" w:rsidRPr="00D5671F">
        <w:rPr>
          <w:i/>
          <w:iCs/>
        </w:rPr>
        <w:t>axitinib</w:t>
      </w:r>
      <w:proofErr w:type="spellEnd"/>
      <w:r w:rsidR="001149E0" w:rsidRPr="00D5671F">
        <w:rPr>
          <w:i/>
          <w:iCs/>
        </w:rPr>
        <w:t>, is indicated for the first-line treatment of patients with advanced renal cell carcinoma (RCC).</w:t>
      </w:r>
    </w:p>
    <w:p w14:paraId="2D7B6687" w14:textId="4272B701" w:rsidR="001149E0" w:rsidRPr="00D5671F" w:rsidRDefault="00D75912" w:rsidP="00D5671F">
      <w:pPr>
        <w:ind w:left="720"/>
        <w:rPr>
          <w:i/>
          <w:iCs/>
        </w:rPr>
      </w:pPr>
      <w:r>
        <w:rPr>
          <w:i/>
          <w:iCs/>
        </w:rPr>
        <w:t>Keytruda</w:t>
      </w:r>
      <w:r w:rsidR="001149E0" w:rsidRPr="00D5671F">
        <w:rPr>
          <w:i/>
          <w:iCs/>
        </w:rPr>
        <w:t xml:space="preserve"> in combination with LENVIMA® (</w:t>
      </w:r>
      <w:proofErr w:type="spellStart"/>
      <w:r w:rsidR="001149E0" w:rsidRPr="00D5671F">
        <w:rPr>
          <w:i/>
          <w:iCs/>
        </w:rPr>
        <w:t>lenvatinib</w:t>
      </w:r>
      <w:proofErr w:type="spellEnd"/>
      <w:r w:rsidR="001149E0" w:rsidRPr="00D5671F">
        <w:rPr>
          <w:i/>
          <w:iCs/>
        </w:rPr>
        <w:t>) is indicated for the first-line treatment of adult patients with advanced renal cell carcinoma (RCC).</w:t>
      </w:r>
    </w:p>
    <w:p w14:paraId="6C546618" w14:textId="77777777" w:rsidR="001149E0" w:rsidRPr="00D5671F" w:rsidRDefault="001149E0" w:rsidP="00D5671F">
      <w:pPr>
        <w:ind w:left="720"/>
        <w:rPr>
          <w:b/>
          <w:bCs/>
          <w:i/>
          <w:iCs/>
        </w:rPr>
      </w:pPr>
      <w:r w:rsidRPr="00D5671F">
        <w:rPr>
          <w:b/>
          <w:bCs/>
          <w:i/>
          <w:iCs/>
        </w:rPr>
        <w:t>Cutaneous Squamous Cell Carcinoma</w:t>
      </w:r>
    </w:p>
    <w:p w14:paraId="5978B667" w14:textId="45E385B1" w:rsidR="001149E0" w:rsidRPr="00D5671F" w:rsidRDefault="00D75912" w:rsidP="00D5671F">
      <w:pPr>
        <w:ind w:left="720"/>
        <w:rPr>
          <w:i/>
          <w:iCs/>
        </w:rPr>
      </w:pPr>
      <w:r>
        <w:rPr>
          <w:i/>
          <w:iCs/>
        </w:rPr>
        <w:t>Keytruda</w:t>
      </w:r>
      <w:r w:rsidR="001149E0" w:rsidRPr="00D5671F">
        <w:rPr>
          <w:i/>
          <w:iCs/>
        </w:rPr>
        <w:t xml:space="preserve"> (pembrolizumab) is indicated as monotherapy for the treatment of adult patients with recurrent or metastatic cutaneous squamous cell carcinoma (</w:t>
      </w:r>
      <w:proofErr w:type="spellStart"/>
      <w:r w:rsidR="001149E0" w:rsidRPr="00D5671F">
        <w:rPr>
          <w:i/>
          <w:iCs/>
        </w:rPr>
        <w:t>cSCC</w:t>
      </w:r>
      <w:proofErr w:type="spellEnd"/>
      <w:r w:rsidR="001149E0" w:rsidRPr="00D5671F">
        <w:rPr>
          <w:i/>
          <w:iCs/>
        </w:rPr>
        <w:t xml:space="preserve">) or locally advanced </w:t>
      </w:r>
      <w:proofErr w:type="spellStart"/>
      <w:r w:rsidR="001149E0" w:rsidRPr="00D5671F">
        <w:rPr>
          <w:i/>
          <w:iCs/>
        </w:rPr>
        <w:t>cSCC</w:t>
      </w:r>
      <w:proofErr w:type="spellEnd"/>
      <w:r w:rsidR="001149E0" w:rsidRPr="00D5671F">
        <w:rPr>
          <w:i/>
          <w:iCs/>
        </w:rPr>
        <w:t xml:space="preserve"> that is not curable by surgery or radiation. This indication was approved via the</w:t>
      </w:r>
    </w:p>
    <w:p w14:paraId="24EED58D" w14:textId="5869661B" w:rsidR="001149E0" w:rsidRPr="00D5671F" w:rsidRDefault="001149E0" w:rsidP="00D5671F">
      <w:pPr>
        <w:ind w:left="720"/>
        <w:rPr>
          <w:i/>
          <w:iCs/>
        </w:rPr>
      </w:pPr>
      <w:r w:rsidRPr="00D5671F">
        <w:rPr>
          <w:i/>
          <w:iCs/>
        </w:rPr>
        <w:t>provisional approval pathway based on objective response rate and duration of response from a single-arm study. Improvements in overall survival, progression-free survival, or health related quality of life have not been established. Full registration for this indication depends on submission of further clinical data to confirm the clinical benefit of the medicine.</w:t>
      </w:r>
    </w:p>
    <w:p w14:paraId="798341C2" w14:textId="77777777" w:rsidR="001149E0" w:rsidRPr="00D5671F" w:rsidRDefault="001149E0" w:rsidP="00D5671F">
      <w:pPr>
        <w:ind w:left="720"/>
        <w:rPr>
          <w:b/>
          <w:bCs/>
          <w:i/>
          <w:iCs/>
        </w:rPr>
      </w:pPr>
      <w:r w:rsidRPr="00D5671F">
        <w:rPr>
          <w:b/>
          <w:bCs/>
          <w:i/>
          <w:iCs/>
        </w:rPr>
        <w:t>Oesophageal Cancer</w:t>
      </w:r>
    </w:p>
    <w:p w14:paraId="358A83EF" w14:textId="448CB975" w:rsidR="001149E0" w:rsidRPr="00D5671F" w:rsidRDefault="00D75912" w:rsidP="00D5671F">
      <w:pPr>
        <w:ind w:left="720"/>
        <w:rPr>
          <w:i/>
          <w:iCs/>
        </w:rPr>
      </w:pPr>
      <w:r>
        <w:rPr>
          <w:i/>
          <w:iCs/>
        </w:rPr>
        <w:lastRenderedPageBreak/>
        <w:t>Keytruda</w:t>
      </w:r>
      <w:r w:rsidR="001149E0" w:rsidRPr="00D5671F">
        <w:rPr>
          <w:i/>
          <w:iCs/>
        </w:rPr>
        <w:t xml:space="preserve"> (pembrolizumab), in combination with platinum and fluoropyrimidine based chemotherapy, is indicated for the first-line treatment of patients with locally advanced or metastatic carcinoma of the oesophagus or HER2 negative gastroesophageal junction adenocarcinoma (tumour centre 1 to 5 centimetres above the gastroesophageal junction) that is not amenable to surgical resection or definitive chemoradiation.</w:t>
      </w:r>
    </w:p>
    <w:p w14:paraId="1DF446D6" w14:textId="77777777" w:rsidR="001149E0" w:rsidRPr="00D5671F" w:rsidRDefault="001149E0" w:rsidP="00D5671F">
      <w:pPr>
        <w:ind w:left="720"/>
        <w:rPr>
          <w:b/>
          <w:bCs/>
          <w:i/>
          <w:iCs/>
        </w:rPr>
      </w:pPr>
      <w:r w:rsidRPr="00D5671F">
        <w:rPr>
          <w:b/>
          <w:bCs/>
          <w:i/>
          <w:iCs/>
        </w:rPr>
        <w:t>Tumour Mutational Burden-High (TMB-H) cancer</w:t>
      </w:r>
    </w:p>
    <w:p w14:paraId="4609300E" w14:textId="35772001" w:rsidR="001149E0" w:rsidRPr="00D5671F" w:rsidRDefault="00D75912" w:rsidP="00D5671F">
      <w:pPr>
        <w:ind w:left="720"/>
        <w:rPr>
          <w:i/>
          <w:iCs/>
        </w:rPr>
      </w:pPr>
      <w:r>
        <w:rPr>
          <w:i/>
          <w:iCs/>
        </w:rPr>
        <w:t>Keytruda</w:t>
      </w:r>
      <w:r w:rsidR="001149E0" w:rsidRPr="00D5671F">
        <w:rPr>
          <w:i/>
          <w:iCs/>
        </w:rPr>
        <w:t xml:space="preserve"> (pembrolizumab) is indicated for the treatment of adult and paediatric patients with unresectable or metastatic tumour mutational burden-high (TMB-H) [≥</w:t>
      </w:r>
      <w:r w:rsidR="00E01109">
        <w:rPr>
          <w:i/>
          <w:iCs/>
        </w:rPr>
        <w:t xml:space="preserve"> </w:t>
      </w:r>
      <w:r w:rsidR="001149E0" w:rsidRPr="00D5671F">
        <w:rPr>
          <w:i/>
          <w:iCs/>
        </w:rPr>
        <w:t>10 mutations/</w:t>
      </w:r>
      <w:proofErr w:type="spellStart"/>
      <w:r w:rsidR="001149E0" w:rsidRPr="00D5671F">
        <w:rPr>
          <w:i/>
          <w:iCs/>
        </w:rPr>
        <w:t>megabase</w:t>
      </w:r>
      <w:proofErr w:type="spellEnd"/>
      <w:r w:rsidR="001149E0" w:rsidRPr="00D5671F">
        <w:rPr>
          <w:i/>
          <w:iCs/>
        </w:rPr>
        <w:t xml:space="preserve"> (mut/Mb)] solid tumours, as determined by a validated test, that have progressed following prior treatment and who have no satisfactory alternative treatment options. This indication was approved via the provisional approval pathway, based on the pooling of data on objective response rate and response duration across multiple different tissue types in a single-arm trial. The assumption that TMB-H status is predictive of the treatment effect of </w:t>
      </w:r>
      <w:r>
        <w:rPr>
          <w:i/>
          <w:iCs/>
        </w:rPr>
        <w:t>Keytruda</w:t>
      </w:r>
      <w:r w:rsidR="001149E0" w:rsidRPr="00D5671F">
        <w:rPr>
          <w:i/>
          <w:iCs/>
        </w:rPr>
        <w:t xml:space="preserve"> for every tissue type has not been verified. Full registration for this indication depends on verification and description of clinical benefit in confirmatory trials.</w:t>
      </w:r>
    </w:p>
    <w:p w14:paraId="6C0D301A" w14:textId="77777777" w:rsidR="001149E0" w:rsidRPr="00D5671F" w:rsidRDefault="001149E0" w:rsidP="00D5671F">
      <w:pPr>
        <w:ind w:left="720"/>
        <w:rPr>
          <w:b/>
          <w:bCs/>
          <w:i/>
          <w:iCs/>
        </w:rPr>
      </w:pPr>
      <w:r w:rsidRPr="00D5671F">
        <w:rPr>
          <w:b/>
          <w:bCs/>
          <w:i/>
          <w:iCs/>
        </w:rPr>
        <w:t>Triple-Negative Breast Cancer</w:t>
      </w:r>
    </w:p>
    <w:p w14:paraId="22E023B0" w14:textId="361397D0" w:rsidR="001149E0" w:rsidRPr="00D5671F" w:rsidRDefault="00D75912" w:rsidP="00D5671F">
      <w:pPr>
        <w:ind w:left="720"/>
        <w:rPr>
          <w:i/>
          <w:iCs/>
        </w:rPr>
      </w:pPr>
      <w:r>
        <w:rPr>
          <w:i/>
          <w:iCs/>
        </w:rPr>
        <w:t>Keytruda</w:t>
      </w:r>
      <w:r w:rsidR="001149E0" w:rsidRPr="00D5671F">
        <w:rPr>
          <w:i/>
          <w:iCs/>
        </w:rPr>
        <w:t xml:space="preserve"> (pembrolizumab) is indicated for the treatment of patients with high-risk early-stage triple-negative breast cancer (TNBC) in combination with chemotherapy as neoadjuvant treatment, and then continued as monotherapy as adjuvant treatment after surgery.</w:t>
      </w:r>
    </w:p>
    <w:p w14:paraId="50F16A0B" w14:textId="28B3CB0C" w:rsidR="001149E0" w:rsidRPr="00D5671F" w:rsidRDefault="00D75912" w:rsidP="00D5671F">
      <w:pPr>
        <w:ind w:left="720"/>
        <w:rPr>
          <w:i/>
          <w:iCs/>
        </w:rPr>
      </w:pPr>
      <w:r>
        <w:rPr>
          <w:i/>
          <w:iCs/>
        </w:rPr>
        <w:t>Keytruda</w:t>
      </w:r>
      <w:r w:rsidR="001149E0" w:rsidRPr="00D5671F">
        <w:rPr>
          <w:i/>
          <w:iCs/>
        </w:rPr>
        <w:t xml:space="preserve"> (pembrolizumab), in combination with chemotherapy, is indicated for the treatment of patients with locally recurrent unresectable or metastatic TNBC whose tumours express PD-L1 (CPS ≥10) as determined by a validated test and who have not received prior chemotherapy for metastatic disease.</w:t>
      </w:r>
    </w:p>
    <w:p w14:paraId="50A91A7B" w14:textId="77777777" w:rsidR="00D23139" w:rsidRPr="00D23139" w:rsidRDefault="00D23139" w:rsidP="00D212F3">
      <w:pPr>
        <w:pStyle w:val="Heading3"/>
      </w:pPr>
      <w:bookmarkStart w:id="98" w:name="_Toc132283602"/>
      <w:r w:rsidRPr="00D23139">
        <w:t>Specific conditions of registration applying to these goods</w:t>
      </w:r>
      <w:bookmarkEnd w:id="98"/>
    </w:p>
    <w:p w14:paraId="6D193E10" w14:textId="18395298" w:rsidR="00D75912" w:rsidRDefault="00D75912" w:rsidP="00D75912">
      <w:pPr>
        <w:pStyle w:val="ListBullet"/>
      </w:pPr>
      <w:r>
        <w:t xml:space="preserve">The final analysis of </w:t>
      </w:r>
      <w:r w:rsidR="00E01109">
        <w:t xml:space="preserve">[Study] </w:t>
      </w:r>
      <w:r>
        <w:t>KN-522, and any interim analysis at which OS</w:t>
      </w:r>
      <w:r w:rsidR="004F42ED">
        <w:t xml:space="preserve"> [overall survival]</w:t>
      </w:r>
      <w:r>
        <w:t xml:space="preserve"> in the ITT </w:t>
      </w:r>
      <w:r w:rsidR="004F42ED">
        <w:t>[inten</w:t>
      </w:r>
      <w:r w:rsidR="00B15E60">
        <w:t>t</w:t>
      </w:r>
      <w:r w:rsidR="004F42ED">
        <w:t xml:space="preserve"> to treat] </w:t>
      </w:r>
      <w:r>
        <w:t xml:space="preserve">population reaches statistical </w:t>
      </w:r>
      <w:proofErr w:type="gramStart"/>
      <w:r>
        <w:t>significance</w:t>
      </w:r>
      <w:proofErr w:type="gramEnd"/>
      <w:r>
        <w:t xml:space="preserve"> or the hazard ratio exceeds 1, are to be submitted when these become available.</w:t>
      </w:r>
    </w:p>
    <w:p w14:paraId="45C2616A" w14:textId="3A4B2C64" w:rsidR="00D75912" w:rsidRDefault="00D75912" w:rsidP="00D75912">
      <w:pPr>
        <w:pStyle w:val="ListBullet"/>
      </w:pPr>
      <w:r>
        <w:t xml:space="preserve">The Product Information applying to these therapeutic goods must </w:t>
      </w:r>
      <w:proofErr w:type="gramStart"/>
      <w:r>
        <w:t>meet the TGA’s approval at all times</w:t>
      </w:r>
      <w:proofErr w:type="gramEnd"/>
      <w:r>
        <w:t>. Any proposed changes to the approved text of the PI, including safety related changes, must be submitted to, and be approved by, the TGA prior to distribution.</w:t>
      </w:r>
    </w:p>
    <w:p w14:paraId="4D2003E9" w14:textId="0D457F5A" w:rsidR="00D75912" w:rsidRDefault="00D75912" w:rsidP="00D75912">
      <w:pPr>
        <w:pStyle w:val="ListBullet"/>
        <w:numPr>
          <w:ilvl w:val="0"/>
          <w:numId w:val="0"/>
        </w:numPr>
        <w:ind w:left="360"/>
      </w:pPr>
      <w:r>
        <w:t>For all Keytruda products, either:</w:t>
      </w:r>
    </w:p>
    <w:p w14:paraId="02355B57" w14:textId="603D8082" w:rsidR="00D75912" w:rsidRDefault="00D75912" w:rsidP="00D75912">
      <w:pPr>
        <w:pStyle w:val="ListBullet"/>
        <w:numPr>
          <w:ilvl w:val="0"/>
          <w:numId w:val="0"/>
        </w:numPr>
        <w:ind w:left="360"/>
      </w:pPr>
      <w:r>
        <w:t xml:space="preserve">a) A </w:t>
      </w:r>
      <w:r w:rsidR="00972C10">
        <w:t>‘</w:t>
      </w:r>
      <w:r>
        <w:t>Pack Insert</w:t>
      </w:r>
      <w:r w:rsidR="00972C10">
        <w:t>’</w:t>
      </w:r>
      <w:r>
        <w:t xml:space="preserve"> (being an abbreviated version of the TGA-approved Keytruda Product Information) in a format acceptable to the TGA, or</w:t>
      </w:r>
    </w:p>
    <w:p w14:paraId="4AF84E63" w14:textId="17E9F92C" w:rsidR="00D75912" w:rsidRDefault="00D75912" w:rsidP="00D75912">
      <w:pPr>
        <w:pStyle w:val="ListBullet"/>
        <w:numPr>
          <w:ilvl w:val="0"/>
          <w:numId w:val="0"/>
        </w:numPr>
        <w:ind w:left="360"/>
      </w:pPr>
      <w:r>
        <w:t xml:space="preserve">b) </w:t>
      </w:r>
      <w:proofErr w:type="gramStart"/>
      <w:r>
        <w:t>The approved Product Information,</w:t>
      </w:r>
      <w:proofErr w:type="gramEnd"/>
      <w:r>
        <w:t xml:space="preserve"> must be included with the products as a package insert.</w:t>
      </w:r>
    </w:p>
    <w:p w14:paraId="4C74ADF9" w14:textId="66426103" w:rsidR="00D75912" w:rsidRDefault="00D75912" w:rsidP="00D75912">
      <w:pPr>
        <w:pStyle w:val="ListBullet"/>
        <w:numPr>
          <w:ilvl w:val="0"/>
          <w:numId w:val="0"/>
        </w:numPr>
        <w:ind w:left="360"/>
      </w:pPr>
      <w:r>
        <w:t xml:space="preserve">Where a </w:t>
      </w:r>
      <w:r w:rsidR="00972C10">
        <w:t>‘</w:t>
      </w:r>
      <w:r>
        <w:t>Pack Insert</w:t>
      </w:r>
      <w:r w:rsidR="00972C10">
        <w:t>’</w:t>
      </w:r>
      <w:r>
        <w:t xml:space="preserve"> is provided as a package insert, there is a continuing obligation on the sponsor to ensure that the content is consistent with the PI.</w:t>
      </w:r>
    </w:p>
    <w:p w14:paraId="5A3838F4" w14:textId="2F8B7A73" w:rsidR="008E7846" w:rsidRDefault="00A80B5B" w:rsidP="00D23139">
      <w:pPr>
        <w:pStyle w:val="Heading2"/>
      </w:pPr>
      <w:bookmarkStart w:id="99" w:name="_Toc132283603"/>
      <w:r>
        <w:t xml:space="preserve">Attachment 1. </w:t>
      </w:r>
      <w:r w:rsidR="008E7846">
        <w:t xml:space="preserve">Product </w:t>
      </w:r>
      <w:r w:rsidR="00AA0ED0">
        <w:t>I</w:t>
      </w:r>
      <w:r w:rsidR="008E7846">
        <w:t>nformation</w:t>
      </w:r>
      <w:bookmarkEnd w:id="96"/>
      <w:bookmarkEnd w:id="97"/>
      <w:bookmarkEnd w:id="99"/>
    </w:p>
    <w:p w14:paraId="1635E389" w14:textId="760383F7" w:rsidR="00744121" w:rsidRDefault="006136D7" w:rsidP="00744121">
      <w:pPr>
        <w:rPr>
          <w:lang w:eastAsia="ja-JP"/>
        </w:rPr>
      </w:pPr>
      <w:r w:rsidRPr="002B3624">
        <w:t xml:space="preserve">The </w:t>
      </w:r>
      <w:r>
        <w:t>PI</w:t>
      </w:r>
      <w:r w:rsidRPr="002B3624">
        <w:t xml:space="preserve"> for </w:t>
      </w:r>
      <w:r w:rsidR="00D75912">
        <w:t>Keytruda</w:t>
      </w:r>
      <w:r w:rsidR="0074163C">
        <w:t xml:space="preserve"> </w:t>
      </w:r>
      <w:r>
        <w:t xml:space="preserve">approved with the submission which is described in </w:t>
      </w:r>
      <w:r w:rsidRPr="002B3624">
        <w:t>this AusPAR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58" w:history="1">
        <w:r w:rsidR="0074163C" w:rsidRPr="008A698E">
          <w:rPr>
            <w:rStyle w:val="Hyperlink"/>
          </w:rPr>
          <w:t>PI/CMI search facility</w:t>
        </w:r>
        <w:r w:rsidR="0074163C" w:rsidRPr="00EB36D6">
          <w:rPr>
            <w:rStyle w:val="Hyperlink"/>
            <w:color w:val="auto"/>
            <w:u w:val="none"/>
          </w:rPr>
          <w:t>.</w:t>
        </w:r>
      </w:hyperlink>
    </w:p>
    <w:p w14:paraId="2C66BE4F" w14:textId="77777777" w:rsidR="00C80137" w:rsidRPr="001D043B" w:rsidRDefault="00C80137" w:rsidP="003A7F6C">
      <w:pPr>
        <w:pStyle w:val="TableTitle"/>
        <w:sectPr w:rsidR="00C80137" w:rsidRPr="001D043B" w:rsidSect="00B452CE">
          <w:headerReference w:type="even" r:id="rId59"/>
          <w:headerReference w:type="default" r:id="rId60"/>
          <w:headerReference w:type="first" r:id="rId61"/>
          <w:footerReference w:type="first" r:id="rId6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6589BBD" w14:textId="77777777" w:rsidTr="00A05FA4">
        <w:trPr>
          <w:trHeight w:hRule="exact" w:val="704"/>
        </w:trPr>
        <w:tc>
          <w:tcPr>
            <w:tcW w:w="9175" w:type="dxa"/>
          </w:tcPr>
          <w:p w14:paraId="7C9FB7BC" w14:textId="77777777" w:rsidR="001C32CD" w:rsidRPr="00487162" w:rsidRDefault="001C32CD" w:rsidP="00A05FA4">
            <w:pPr>
              <w:pStyle w:val="TGASignoff"/>
            </w:pPr>
            <w:r w:rsidRPr="00487162">
              <w:lastRenderedPageBreak/>
              <w:t>Therapeutic Goods Administration</w:t>
            </w:r>
          </w:p>
        </w:tc>
      </w:tr>
      <w:tr w:rsidR="001C32CD" w:rsidRPr="004C239D" w14:paraId="300E19AC" w14:textId="77777777" w:rsidTr="00A05FA4">
        <w:trPr>
          <w:trHeight w:val="1221"/>
        </w:trPr>
        <w:tc>
          <w:tcPr>
            <w:tcW w:w="9175" w:type="dxa"/>
            <w:tcMar>
              <w:top w:w="28" w:type="dxa"/>
            </w:tcMar>
          </w:tcPr>
          <w:p w14:paraId="605B5FA0" w14:textId="77777777" w:rsidR="001C32CD" w:rsidRPr="00487162" w:rsidRDefault="001C32CD" w:rsidP="00A05FA4">
            <w:pPr>
              <w:pStyle w:val="Address"/>
            </w:pPr>
            <w:r w:rsidRPr="00487162">
              <w:t>PO Box 100 Woden ACT 2606 Australia</w:t>
            </w:r>
          </w:p>
          <w:p w14:paraId="2C705F48" w14:textId="1E39E430" w:rsidR="001C32CD" w:rsidRPr="00487162" w:rsidRDefault="001C32CD" w:rsidP="00A05FA4">
            <w:pPr>
              <w:pStyle w:val="Address"/>
            </w:pPr>
            <w:r w:rsidRPr="00487162">
              <w:t xml:space="preserve">Email: </w:t>
            </w:r>
            <w:hyperlink r:id="rId63" w:history="1">
              <w:r w:rsidRPr="004C239D">
                <w:rPr>
                  <w:rStyle w:val="Hyperlink"/>
                </w:rPr>
                <w:t>info@tga.gov.au</w:t>
              </w:r>
            </w:hyperlink>
            <w:r w:rsidR="007E32CD">
              <w:t xml:space="preserve"> </w:t>
            </w:r>
            <w:r w:rsidRPr="00487162">
              <w:t>Phone: 1800 020 653</w:t>
            </w:r>
            <w:r w:rsidR="007E32CD">
              <w:t xml:space="preserve"> </w:t>
            </w:r>
            <w:r w:rsidRPr="00487162">
              <w:t>Fax: 02 6232 8605</w:t>
            </w:r>
          </w:p>
          <w:p w14:paraId="6E04250B" w14:textId="2DF3BD69" w:rsidR="001C32CD" w:rsidRPr="004C239D" w:rsidRDefault="006F12E8" w:rsidP="00A05FA4">
            <w:pPr>
              <w:pStyle w:val="Address"/>
              <w:spacing w:line="260" w:lineRule="atLeast"/>
              <w:rPr>
                <w:b/>
                <w:color w:val="0000FF"/>
                <w:u w:val="single"/>
              </w:rPr>
            </w:pPr>
            <w:hyperlink r:id="rId64" w:history="1">
              <w:r w:rsidR="007C6B9B" w:rsidRPr="007C6B9B">
                <w:rPr>
                  <w:rStyle w:val="Hyperlink"/>
                  <w:b/>
                </w:rPr>
                <w:t>https://www.tga.gov.au</w:t>
              </w:r>
            </w:hyperlink>
          </w:p>
        </w:tc>
      </w:tr>
    </w:tbl>
    <w:p w14:paraId="27FBACEF" w14:textId="77777777" w:rsidR="00774E1D" w:rsidRPr="008A5E0B" w:rsidRDefault="00774E1D" w:rsidP="004C239D"/>
    <w:sectPr w:rsidR="00774E1D" w:rsidRPr="008A5E0B" w:rsidSect="001C32CD">
      <w:headerReference w:type="even" r:id="rId65"/>
      <w:headerReference w:type="default" r:id="rId66"/>
      <w:footerReference w:type="default" r:id="rId67"/>
      <w:headerReference w:type="first" r:id="rId68"/>
      <w:footerReference w:type="first" r:id="rId69"/>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77EFF" w14:textId="77777777" w:rsidR="005C3987" w:rsidRDefault="005C3987" w:rsidP="00C40A36">
      <w:pPr>
        <w:spacing w:after="0"/>
      </w:pPr>
      <w:r>
        <w:separator/>
      </w:r>
    </w:p>
  </w:endnote>
  <w:endnote w:type="continuationSeparator" w:id="0">
    <w:p w14:paraId="08F407C2" w14:textId="77777777" w:rsidR="005C3987" w:rsidRDefault="005C3987" w:rsidP="00C40A36">
      <w:pPr>
        <w:spacing w:after="0"/>
      </w:pPr>
      <w:r>
        <w:continuationSeparator/>
      </w:r>
    </w:p>
  </w:endnote>
  <w:endnote w:type="continuationNotice" w:id="1">
    <w:p w14:paraId="15EA979E" w14:textId="77777777" w:rsidR="005C3987" w:rsidRDefault="005C398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Univers 57 Condensed">
    <w:panose1 w:val="00000000000000000000"/>
    <w:charset w:val="00"/>
    <w:family w:val="modern"/>
    <w:notTrueType/>
    <w:pitch w:val="variable"/>
    <w:sig w:usb0="A000002F" w:usb1="40000048" w:usb2="00000000" w:usb3="00000000" w:csb0="0000011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E6863" w:rsidRPr="00487162" w14:paraId="7A856BF7" w14:textId="77777777" w:rsidTr="00DB750B">
      <w:trPr>
        <w:trHeight w:val="269"/>
      </w:trPr>
      <w:tc>
        <w:tcPr>
          <w:tcW w:w="7371" w:type="dxa"/>
          <w:tcMar>
            <w:top w:w="142" w:type="dxa"/>
            <w:bottom w:w="0" w:type="dxa"/>
          </w:tcMar>
        </w:tcPr>
        <w:p w14:paraId="1D256A2F" w14:textId="6A52E2C3" w:rsidR="00EE6863" w:rsidRPr="00487162" w:rsidRDefault="00EE6863" w:rsidP="00460036">
          <w:pPr>
            <w:pStyle w:val="Footer"/>
          </w:pPr>
          <w:r w:rsidRPr="00E3677E">
            <w:t>AusPAR – Keytruda – pembrolizumab - Merck</w:t>
          </w:r>
          <w:r w:rsidRPr="00647A1D">
            <w:t xml:space="preserve"> Sharp &amp; Dohme (Australia) </w:t>
          </w:r>
          <w:r w:rsidRPr="00E3677E">
            <w:t>Pty Ltd - PM-2021-04831-1-4</w:t>
          </w:r>
          <w:r>
            <w:br/>
          </w:r>
          <w:r w:rsidR="00F25CAE">
            <w:t>Final 8 May 2023</w:t>
          </w:r>
        </w:p>
      </w:tc>
      <w:tc>
        <w:tcPr>
          <w:tcW w:w="1490" w:type="dxa"/>
          <w:tcMar>
            <w:top w:w="142" w:type="dxa"/>
            <w:bottom w:w="0" w:type="dxa"/>
          </w:tcMar>
        </w:tcPr>
        <w:p w14:paraId="3F67571B" w14:textId="522A2F24" w:rsidR="00EE6863" w:rsidRPr="00487162" w:rsidRDefault="00EE6863" w:rsidP="00DB750B">
          <w:pPr>
            <w:pStyle w:val="Footer"/>
            <w:jc w:val="right"/>
          </w:pPr>
          <w:r w:rsidRPr="00487162">
            <w:t xml:space="preserve">Page </w:t>
          </w:r>
          <w:r>
            <w:fldChar w:fldCharType="begin"/>
          </w:r>
          <w:r>
            <w:instrText xml:space="preserve"> PAGE  \* Arabic </w:instrText>
          </w:r>
          <w:r>
            <w:fldChar w:fldCharType="separate"/>
          </w:r>
          <w:r w:rsidR="00033AB0">
            <w:rPr>
              <w:noProof/>
            </w:rPr>
            <w:t>10</w:t>
          </w:r>
          <w:r>
            <w:fldChar w:fldCharType="end"/>
          </w:r>
          <w:r w:rsidRPr="00487162">
            <w:t xml:space="preserve"> of </w:t>
          </w:r>
          <w:r>
            <w:fldChar w:fldCharType="begin"/>
          </w:r>
          <w:r>
            <w:instrText>NUMPAGES  \* Arabic</w:instrText>
          </w:r>
          <w:r>
            <w:fldChar w:fldCharType="separate"/>
          </w:r>
          <w:r w:rsidR="00033AB0">
            <w:rPr>
              <w:noProof/>
            </w:rPr>
            <w:t>66</w:t>
          </w:r>
          <w:r>
            <w:fldChar w:fldCharType="end"/>
          </w:r>
        </w:p>
      </w:tc>
    </w:tr>
  </w:tbl>
  <w:p w14:paraId="1100F68B" w14:textId="77777777" w:rsidR="00EE6863" w:rsidRDefault="00EE6863"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E6863" w:rsidRPr="00487162" w14:paraId="125FDA70" w14:textId="77777777" w:rsidTr="00E45619">
      <w:trPr>
        <w:trHeight w:val="269"/>
      </w:trPr>
      <w:tc>
        <w:tcPr>
          <w:tcW w:w="4519" w:type="dxa"/>
          <w:tcBorders>
            <w:top w:val="single" w:sz="4" w:space="0" w:color="auto"/>
          </w:tcBorders>
          <w:tcMar>
            <w:top w:w="142" w:type="dxa"/>
            <w:bottom w:w="0" w:type="dxa"/>
          </w:tcMar>
        </w:tcPr>
        <w:p w14:paraId="2BD7BAC0" w14:textId="77777777" w:rsidR="00EE6863" w:rsidRPr="00487162" w:rsidRDefault="00EE6863" w:rsidP="00FE1DEE">
          <w:pPr>
            <w:pStyle w:val="Footer"/>
          </w:pPr>
          <w:r w:rsidRPr="00487162">
            <w:t>Document title, Part #, Section # - Section title</w:t>
          </w:r>
        </w:p>
        <w:p w14:paraId="0E24157F" w14:textId="77777777" w:rsidR="00EE6863" w:rsidRPr="00487162" w:rsidRDefault="00EE6863" w:rsidP="00FE1DEE">
          <w:pPr>
            <w:pStyle w:val="Footer"/>
          </w:pPr>
          <w:r w:rsidRPr="00487162">
            <w:t>V1.0 October 2010</w:t>
          </w:r>
        </w:p>
      </w:tc>
      <w:tc>
        <w:tcPr>
          <w:tcW w:w="4342" w:type="dxa"/>
          <w:tcBorders>
            <w:top w:val="single" w:sz="4" w:space="0" w:color="auto"/>
          </w:tcBorders>
          <w:tcMar>
            <w:top w:w="142" w:type="dxa"/>
            <w:bottom w:w="0" w:type="dxa"/>
          </w:tcMar>
        </w:tcPr>
        <w:p w14:paraId="19595007" w14:textId="77777777" w:rsidR="00EE6863" w:rsidRPr="00487162" w:rsidRDefault="00EE686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NUMPAGES</w:instrText>
          </w:r>
          <w:r>
            <w:fldChar w:fldCharType="separate"/>
          </w:r>
          <w:r>
            <w:rPr>
              <w:noProof/>
            </w:rPr>
            <w:t>21</w:t>
          </w:r>
          <w:r>
            <w:fldChar w:fldCharType="end"/>
          </w:r>
        </w:p>
      </w:tc>
    </w:tr>
  </w:tbl>
  <w:p w14:paraId="024BAF84" w14:textId="77777777" w:rsidR="00EE6863" w:rsidRDefault="00EE68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4DB60" w14:textId="77777777" w:rsidR="00EE6863" w:rsidRPr="001C32CD" w:rsidRDefault="00EE6863"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E6863" w14:paraId="35E22CF9" w14:textId="77777777" w:rsidTr="0010601F">
      <w:trPr>
        <w:trHeight w:val="108"/>
      </w:trPr>
      <w:tc>
        <w:tcPr>
          <w:tcW w:w="8875" w:type="dxa"/>
          <w:gridSpan w:val="2"/>
          <w:tcBorders>
            <w:bottom w:val="single" w:sz="4" w:space="0" w:color="auto"/>
          </w:tcBorders>
          <w:tcMar>
            <w:right w:w="284" w:type="dxa"/>
          </w:tcMar>
        </w:tcPr>
        <w:p w14:paraId="4A79B1E5" w14:textId="77777777" w:rsidR="00EE6863" w:rsidRDefault="00EE6863" w:rsidP="006E08B3">
          <w:pPr>
            <w:pStyle w:val="Heading3"/>
          </w:pPr>
          <w:r>
            <w:t>Copyright</w:t>
          </w:r>
        </w:p>
        <w:p w14:paraId="39AA8CC9" w14:textId="77777777" w:rsidR="00EE6863" w:rsidRDefault="00EE6863" w:rsidP="006E08B3">
          <w:r>
            <w:rPr>
              <w:rFonts w:cs="Arial"/>
            </w:rPr>
            <w:t>©</w:t>
          </w:r>
          <w:r>
            <w:t xml:space="preserve"> Commonwealth of Australia [add year]</w:t>
          </w:r>
        </w:p>
        <w:p w14:paraId="5EE7D8C1" w14:textId="77777777" w:rsidR="00EE6863" w:rsidRDefault="00EE6863" w:rsidP="006E08B3"/>
        <w:p w14:paraId="7F7346DD" w14:textId="3364B271" w:rsidR="00EE6863" w:rsidRDefault="00EE686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4729BED" w14:textId="77777777" w:rsidR="00EE6863" w:rsidRDefault="00EE6863" w:rsidP="006E08B3"/>
        <w:p w14:paraId="3BD48E84" w14:textId="77777777" w:rsidR="00EE6863" w:rsidRDefault="00EE6863" w:rsidP="006E08B3">
          <w:pPr>
            <w:pStyle w:val="Heading3"/>
          </w:pPr>
          <w:r>
            <w:t>Confidentiality</w:t>
          </w:r>
        </w:p>
        <w:p w14:paraId="646C395D" w14:textId="136A0DB2" w:rsidR="00EE6863" w:rsidRDefault="00EE686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6E195B4" w14:textId="77777777" w:rsidR="00EE6863" w:rsidRDefault="00EE6863" w:rsidP="006E08B3"/>
        <w:p w14:paraId="3738E9F7" w14:textId="77777777" w:rsidR="00EE6863" w:rsidRDefault="00EE6863" w:rsidP="006E08B3">
          <w:r>
            <w:t>For submission made by individuals, all personal details, other than your name, will be removed from your submission before it is published on the TGA’s Internet site.</w:t>
          </w:r>
        </w:p>
        <w:p w14:paraId="1D747ED3" w14:textId="77777777" w:rsidR="00EE6863" w:rsidRDefault="00EE6863" w:rsidP="006E08B3"/>
        <w:p w14:paraId="1932332E" w14:textId="77777777" w:rsidR="00EE6863" w:rsidRDefault="00EE6863" w:rsidP="006E08B3">
          <w:r>
            <w:t>In addition, a list of parties making submissions will be published. If you do not wish to be identified with your submission you must specifically request this in the space provided in the submission coversheet.</w:t>
          </w:r>
        </w:p>
      </w:tc>
    </w:tr>
    <w:tr w:rsidR="00EE6863" w14:paraId="5A16E0C7" w14:textId="77777777" w:rsidTr="0010601F">
      <w:trPr>
        <w:trHeight w:val="417"/>
      </w:trPr>
      <w:tc>
        <w:tcPr>
          <w:tcW w:w="4519" w:type="dxa"/>
          <w:tcBorders>
            <w:top w:val="single" w:sz="4" w:space="0" w:color="auto"/>
          </w:tcBorders>
          <w:tcMar>
            <w:top w:w="142" w:type="dxa"/>
            <w:bottom w:w="0" w:type="dxa"/>
          </w:tcMar>
        </w:tcPr>
        <w:p w14:paraId="40E42E50" w14:textId="77777777" w:rsidR="00EE6863" w:rsidRDefault="00EE6863" w:rsidP="006E08B3">
          <w:r>
            <w:t>Document title, Part #, Section # - Section title</w:t>
          </w:r>
        </w:p>
        <w:p w14:paraId="0CD19572" w14:textId="77777777" w:rsidR="00EE6863" w:rsidRDefault="00EE6863" w:rsidP="006E08B3">
          <w:r>
            <w:t>V1.0 October 2010</w:t>
          </w:r>
        </w:p>
      </w:tc>
      <w:tc>
        <w:tcPr>
          <w:tcW w:w="4356" w:type="dxa"/>
          <w:tcBorders>
            <w:top w:val="single" w:sz="4" w:space="0" w:color="auto"/>
          </w:tcBorders>
          <w:tcMar>
            <w:top w:w="142" w:type="dxa"/>
            <w:bottom w:w="0" w:type="dxa"/>
          </w:tcMar>
        </w:tcPr>
        <w:p w14:paraId="5F5EFCD8" w14:textId="5D13EA10" w:rsidR="00EE6863" w:rsidRDefault="00EE686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NUMPAGES  \* Arabic</w:instrText>
          </w:r>
          <w:r>
            <w:fldChar w:fldCharType="separate"/>
          </w:r>
          <w:r>
            <w:rPr>
              <w:noProof/>
            </w:rPr>
            <w:t>21</w:t>
          </w:r>
          <w:r>
            <w:fldChar w:fldCharType="end"/>
          </w:r>
          <w:r>
            <w:t xml:space="preserve"> </w:t>
          </w:r>
        </w:p>
      </w:tc>
    </w:tr>
  </w:tbl>
  <w:p w14:paraId="3ABA2B3A" w14:textId="77777777" w:rsidR="00EE6863" w:rsidRDefault="00EE68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E1364C" w14:textId="77777777" w:rsidR="005C3987" w:rsidRDefault="005C3987" w:rsidP="00C40A36">
      <w:pPr>
        <w:spacing w:after="0"/>
      </w:pPr>
      <w:r>
        <w:separator/>
      </w:r>
    </w:p>
  </w:footnote>
  <w:footnote w:type="continuationSeparator" w:id="0">
    <w:p w14:paraId="1CE2E809" w14:textId="77777777" w:rsidR="005C3987" w:rsidRDefault="005C3987" w:rsidP="00C40A36">
      <w:pPr>
        <w:spacing w:after="0"/>
      </w:pPr>
      <w:r>
        <w:continuationSeparator/>
      </w:r>
    </w:p>
  </w:footnote>
  <w:footnote w:type="continuationNotice" w:id="1">
    <w:p w14:paraId="5192C883" w14:textId="77777777" w:rsidR="005C3987" w:rsidRDefault="005C3987">
      <w:pPr>
        <w:spacing w:before="0" w:after="0" w:line="240" w:lineRule="auto"/>
      </w:pPr>
    </w:p>
  </w:footnote>
  <w:footnote w:id="2">
    <w:p w14:paraId="3775C616" w14:textId="5F791745" w:rsidR="00EE6863" w:rsidRDefault="00EE6863">
      <w:pPr>
        <w:pStyle w:val="FootnoteText"/>
      </w:pPr>
      <w:r>
        <w:rPr>
          <w:rStyle w:val="FootnoteReference"/>
        </w:rPr>
        <w:footnoteRef/>
      </w:r>
      <w:r>
        <w:t xml:space="preserve"> Australian Institute of Health and Welfare. Cancer in Australia 2021 can be found at </w:t>
      </w:r>
      <w:hyperlink r:id="rId1" w:history="1">
        <w:r w:rsidRPr="00643BE5">
          <w:rPr>
            <w:rStyle w:val="Hyperlink"/>
          </w:rPr>
          <w:t>https://www.aihw.gov.au/</w:t>
        </w:r>
      </w:hyperlink>
      <w:r>
        <w:t>.</w:t>
      </w:r>
    </w:p>
  </w:footnote>
  <w:footnote w:id="3">
    <w:p w14:paraId="5839FD9E" w14:textId="078C3CBE" w:rsidR="003F0108" w:rsidRPr="00870904" w:rsidRDefault="003F0108">
      <w:pPr>
        <w:pStyle w:val="FootnoteText"/>
        <w:rPr>
          <w:lang w:val="en-GB"/>
        </w:rPr>
      </w:pPr>
      <w:r>
        <w:rPr>
          <w:rStyle w:val="FootnoteReference"/>
        </w:rPr>
        <w:footnoteRef/>
      </w:r>
      <w:r>
        <w:t xml:space="preserve"> Foulkes WD, et al. Triple-negative breast cancer. N Engl J Med. 2010 Nov 11;363(20):1938-48.</w:t>
      </w:r>
    </w:p>
  </w:footnote>
  <w:footnote w:id="4">
    <w:p w14:paraId="26C225E8" w14:textId="140FB246" w:rsidR="00033AB0" w:rsidRPr="00870904" w:rsidRDefault="00033AB0">
      <w:pPr>
        <w:pStyle w:val="FootnoteText"/>
        <w:rPr>
          <w:lang w:val="en-GB"/>
        </w:rPr>
      </w:pPr>
      <w:r>
        <w:rPr>
          <w:rStyle w:val="FootnoteReference"/>
        </w:rPr>
        <w:footnoteRef/>
      </w:r>
      <w:r>
        <w:t xml:space="preserve"> Brenton JD, Carey LA, Ahmed AA, Caldas C. Molecular classification and molecular forecasting of breast cancer: ready for clinical application? J Clin Oncol. 2005 Oct 10;23(29):7350-6</w:t>
      </w:r>
    </w:p>
  </w:footnote>
  <w:footnote w:id="5">
    <w:p w14:paraId="21A14C18" w14:textId="78DE0C37" w:rsidR="00033AB0" w:rsidRPr="00870904" w:rsidRDefault="00033AB0">
      <w:pPr>
        <w:pStyle w:val="FootnoteText"/>
        <w:rPr>
          <w:lang w:val="en-GB"/>
        </w:rPr>
      </w:pPr>
      <w:r>
        <w:rPr>
          <w:rStyle w:val="FootnoteReference"/>
        </w:rPr>
        <w:footnoteRef/>
      </w:r>
      <w:r>
        <w:t xml:space="preserve"> Dent R, et al. Triple-Negative Breast Cancer: Clinical Features and Patterns of Recurrence. Clin. Cancer Res. 2007;13:4429– 4434</w:t>
      </w:r>
    </w:p>
  </w:footnote>
  <w:footnote w:id="6">
    <w:p w14:paraId="698F65AB" w14:textId="77B3A919" w:rsidR="00033AB0" w:rsidRPr="00870904" w:rsidRDefault="00033AB0">
      <w:pPr>
        <w:pStyle w:val="FootnoteText"/>
        <w:rPr>
          <w:lang w:val="en-GB"/>
        </w:rPr>
      </w:pPr>
      <w:r>
        <w:rPr>
          <w:rStyle w:val="FootnoteReference"/>
        </w:rPr>
        <w:footnoteRef/>
      </w:r>
      <w:r>
        <w:t xml:space="preserve"> Peshkin BN, et al. BRCA1/2 mutations and triple negative breast cancers. Breast Dis. 2010;32(1-2):25-33.</w:t>
      </w:r>
    </w:p>
  </w:footnote>
  <w:footnote w:id="7">
    <w:p w14:paraId="7BD99CBA" w14:textId="019B9477" w:rsidR="00033AB0" w:rsidRPr="00870904" w:rsidRDefault="00033AB0">
      <w:pPr>
        <w:pStyle w:val="FootnoteText"/>
        <w:rPr>
          <w:lang w:val="en-GB"/>
        </w:rPr>
      </w:pPr>
      <w:r>
        <w:rPr>
          <w:rStyle w:val="FootnoteReference"/>
        </w:rPr>
        <w:footnoteRef/>
      </w:r>
      <w:r>
        <w:t xml:space="preserve"> Armstrong N, et al. A systematic review of the international prevalence of BRCA mutation in breast cancer. Clin Epidemiol. 2019 Jul 11;11:543-561.</w:t>
      </w:r>
    </w:p>
  </w:footnote>
  <w:footnote w:id="8">
    <w:p w14:paraId="60597259" w14:textId="486A4225" w:rsidR="00033AB0" w:rsidRPr="00870904" w:rsidRDefault="00033AB0">
      <w:pPr>
        <w:pStyle w:val="FootnoteText"/>
        <w:rPr>
          <w:lang w:val="en-GB"/>
        </w:rPr>
      </w:pPr>
      <w:r>
        <w:rPr>
          <w:rStyle w:val="FootnoteReference"/>
        </w:rPr>
        <w:footnoteRef/>
      </w:r>
      <w:r>
        <w:t xml:space="preserve"> Gonzalez-Angulo AM, et al. Incidence and outcome of BRCA mutations in unselected patients with triple receptor-negative breast cancer. Clin Cancer Res. 2011 Mar 1;17(5):1082-9</w:t>
      </w:r>
    </w:p>
  </w:footnote>
  <w:footnote w:id="9">
    <w:p w14:paraId="0765831E" w14:textId="77777777" w:rsidR="00EE6863" w:rsidRDefault="00EE6863" w:rsidP="002054FF">
      <w:pPr>
        <w:pStyle w:val="FootnoteText"/>
      </w:pPr>
      <w:r>
        <w:rPr>
          <w:rStyle w:val="FootnoteReference"/>
        </w:rPr>
        <w:footnoteRef/>
      </w:r>
      <w:r>
        <w:t xml:space="preserve"> </w:t>
      </w:r>
      <w:r w:rsidRPr="009A5688">
        <w:t xml:space="preserve">Anders CK and Carey LA. ER/PR negative, HER2-negative (triple-negative) breast cancer. In Hayes DF and Burstein HJ (Eds) </w:t>
      </w:r>
      <w:r w:rsidRPr="009A5688">
        <w:rPr>
          <w:i/>
          <w:iCs/>
        </w:rPr>
        <w:t>UpToDate</w:t>
      </w:r>
      <w:r w:rsidRPr="009A5688">
        <w:t>; last updated 15 Mar 2022 (accessed 11 Apr 2022)</w:t>
      </w:r>
    </w:p>
  </w:footnote>
  <w:footnote w:id="10">
    <w:p w14:paraId="02E2447C" w14:textId="1515DC9F" w:rsidR="00EE6863" w:rsidRPr="00870904" w:rsidRDefault="00EE6863">
      <w:pPr>
        <w:pStyle w:val="FootnoteText"/>
        <w:rPr>
          <w:lang w:val="en-GB"/>
        </w:rPr>
      </w:pPr>
      <w:r>
        <w:rPr>
          <w:rStyle w:val="FootnoteReference"/>
        </w:rPr>
        <w:footnoteRef/>
      </w:r>
      <w:r>
        <w:t xml:space="preserve"> Pathological complete response (pCR): the absence of any signs of cancer in tissue samples or biopsies following appropriate therapeutic intervention</w:t>
      </w:r>
      <w:r w:rsidRPr="003E7169">
        <w:t>.</w:t>
      </w:r>
      <w:r w:rsidR="00033AB0">
        <w:t xml:space="preserve"> The specific definition and criteria may vary. </w:t>
      </w:r>
    </w:p>
  </w:footnote>
  <w:footnote w:id="11">
    <w:p w14:paraId="5C63C0FB" w14:textId="77777777" w:rsidR="00EE6863" w:rsidRDefault="00EE6863" w:rsidP="002054FF">
      <w:pPr>
        <w:pStyle w:val="FootnoteText"/>
      </w:pPr>
      <w:r>
        <w:rPr>
          <w:rStyle w:val="FootnoteReference"/>
        </w:rPr>
        <w:footnoteRef/>
      </w:r>
      <w:r>
        <w:t xml:space="preserve"> </w:t>
      </w:r>
      <w:r w:rsidRPr="00BF6C07">
        <w:t xml:space="preserve">Schmid P, Adams S, Rugo HS, et al. Atezolizumab and Nab-Paclitaxel in Advanced Triple-Negative Breast Cancer. </w:t>
      </w:r>
      <w:r w:rsidRPr="00BF6C07">
        <w:rPr>
          <w:i/>
          <w:iCs/>
        </w:rPr>
        <w:t>N Engl J Med.</w:t>
      </w:r>
      <w:r w:rsidRPr="00BF6C07">
        <w:t xml:space="preserve"> 2018 Nov 29;379(22):2108-2121</w:t>
      </w:r>
    </w:p>
  </w:footnote>
  <w:footnote w:id="12">
    <w:p w14:paraId="79EF4807" w14:textId="77777777" w:rsidR="00EE6863" w:rsidRDefault="00EE6863" w:rsidP="002054FF">
      <w:pPr>
        <w:pStyle w:val="FootnoteText"/>
      </w:pPr>
      <w:r>
        <w:rPr>
          <w:rStyle w:val="FootnoteReference"/>
        </w:rPr>
        <w:footnoteRef/>
      </w:r>
      <w:r>
        <w:t xml:space="preserve"> </w:t>
      </w:r>
      <w:r w:rsidRPr="00BF6C07">
        <w:t xml:space="preserve">Miles D, Gligorov J, André F, et al. Primary results from IMpassion131, a double-blind, placebo-controlled, randomised phase III trial of first-line paclitaxel with or without atezolizumab for unresectable locally advanced/metastatic triple-negative breast cancer. </w:t>
      </w:r>
      <w:r w:rsidRPr="00BF6C07">
        <w:rPr>
          <w:i/>
          <w:iCs/>
        </w:rPr>
        <w:t>Ann Oncol.</w:t>
      </w:r>
      <w:r w:rsidRPr="00BF6C07">
        <w:t xml:space="preserve"> 2021 Aug;32(8):994-1004.</w:t>
      </w:r>
    </w:p>
  </w:footnote>
  <w:footnote w:id="13">
    <w:p w14:paraId="4B975123" w14:textId="7544C71D" w:rsidR="00EE6863" w:rsidRPr="00870904" w:rsidRDefault="00EE6863">
      <w:pPr>
        <w:pStyle w:val="FootnoteText"/>
        <w:rPr>
          <w:lang w:val="en-GB"/>
        </w:rPr>
      </w:pPr>
      <w:r>
        <w:rPr>
          <w:rStyle w:val="FootnoteReference"/>
        </w:rPr>
        <w:footnoteRef/>
      </w:r>
      <w:r>
        <w:t xml:space="preserve"> Further information on the submission for initial registration of Keytruda (pembrolizumab) (as 50 mg powder for injection (vial)) can be found via the </w:t>
      </w:r>
      <w:hyperlink r:id="rId2" w:history="1">
        <w:r w:rsidRPr="00A30476">
          <w:rPr>
            <w:rStyle w:val="Hyperlink"/>
          </w:rPr>
          <w:t>AusPAR for Keytruda pembrolizumab (rch); submission PM</w:t>
        </w:r>
        <w:r w:rsidRPr="00A30476">
          <w:rPr>
            <w:rStyle w:val="Hyperlink"/>
          </w:rPr>
          <w:noBreakHyphen/>
          <w:t>2014-01928-1-4</w:t>
        </w:r>
      </w:hyperlink>
      <w:r>
        <w:t>.</w:t>
      </w:r>
    </w:p>
  </w:footnote>
  <w:footnote w:id="14">
    <w:p w14:paraId="7A1EC661" w14:textId="5684D4C7" w:rsidR="00EE6863" w:rsidRDefault="00EE6863">
      <w:pPr>
        <w:pStyle w:val="FootnoteText"/>
      </w:pPr>
      <w:r>
        <w:rPr>
          <w:rStyle w:val="FootnoteReference"/>
        </w:rPr>
        <w:footnoteRef/>
      </w:r>
      <w:r>
        <w:t xml:space="preserve"> </w:t>
      </w:r>
      <w:r w:rsidRPr="00EA0EBF">
        <w:t xml:space="preserve">Schmid P, Cortes J, Pusztai L, et al. Pembrolizumab for Early Triple-Negative Breast Cancer. </w:t>
      </w:r>
      <w:r w:rsidRPr="00EA0EBF">
        <w:rPr>
          <w:i/>
          <w:iCs/>
        </w:rPr>
        <w:t>N Engl J Med</w:t>
      </w:r>
      <w:r w:rsidRPr="00EA0EBF">
        <w:t>. 2020 Feb 27;382(9):810-821.</w:t>
      </w:r>
    </w:p>
  </w:footnote>
  <w:footnote w:id="15">
    <w:p w14:paraId="14C9E591" w14:textId="44F83519" w:rsidR="00EE6863" w:rsidRDefault="00EE6863">
      <w:pPr>
        <w:pStyle w:val="FootnoteText"/>
      </w:pPr>
      <w:r>
        <w:rPr>
          <w:rStyle w:val="FootnoteReference"/>
        </w:rPr>
        <w:footnoteRef/>
      </w:r>
      <w:r>
        <w:t xml:space="preserve"> </w:t>
      </w:r>
      <w:r w:rsidRPr="00EA0EBF">
        <w:t xml:space="preserve">Schmid P, Cortes J, Dent R, at al. Event-free Survival with Pembrolizumab in Early Triple-Negative Breast Cancer. </w:t>
      </w:r>
      <w:r w:rsidRPr="00EA0EBF">
        <w:rPr>
          <w:i/>
          <w:iCs/>
        </w:rPr>
        <w:t xml:space="preserve">N Engl J Med. </w:t>
      </w:r>
      <w:r w:rsidRPr="00EA0EBF">
        <w:t>2022 Feb 10;386(6):556-567.</w:t>
      </w:r>
    </w:p>
  </w:footnote>
  <w:footnote w:id="16">
    <w:p w14:paraId="4284E910" w14:textId="74618F43" w:rsidR="00EE6863" w:rsidRDefault="00EE6863">
      <w:pPr>
        <w:pStyle w:val="FootnoteText"/>
      </w:pPr>
      <w:r>
        <w:rPr>
          <w:rStyle w:val="FootnoteReference"/>
        </w:rPr>
        <w:footnoteRef/>
      </w:r>
      <w:r>
        <w:t xml:space="preserve"> In </w:t>
      </w:r>
      <w:r w:rsidRPr="000B35C5">
        <w:t xml:space="preserve">the </w:t>
      </w:r>
      <w:r w:rsidRPr="00F25CAE">
        <w:rPr>
          <w:b/>
        </w:rPr>
        <w:t>TNM staging system for breast cancer</w:t>
      </w:r>
      <w:r>
        <w:t>, tumour (T) stages/sizes are described as follows:</w:t>
      </w:r>
    </w:p>
    <w:p w14:paraId="72E433AB" w14:textId="49157B1F" w:rsidR="00EE6863" w:rsidRDefault="00EE6863">
      <w:pPr>
        <w:pStyle w:val="FootnoteText"/>
      </w:pPr>
      <w:r>
        <w:t xml:space="preserve">T1: </w:t>
      </w:r>
      <w:r w:rsidRPr="00BD0B3A">
        <w:t xml:space="preserve">tumour is 2 </w:t>
      </w:r>
      <w:r>
        <w:t>cm</w:t>
      </w:r>
      <w:r w:rsidRPr="00BD0B3A">
        <w:t xml:space="preserve"> across or less</w:t>
      </w:r>
      <w:r>
        <w:t xml:space="preserve"> at its widest point</w:t>
      </w:r>
      <w:r w:rsidRPr="00BD0B3A">
        <w:t>.</w:t>
      </w:r>
    </w:p>
    <w:p w14:paraId="0EF9DB7B" w14:textId="38BF1091" w:rsidR="00EE6863" w:rsidRDefault="00EE6863">
      <w:pPr>
        <w:pStyle w:val="FootnoteText"/>
      </w:pPr>
      <w:r>
        <w:t xml:space="preserve">T2: </w:t>
      </w:r>
      <w:r w:rsidRPr="00BD0B3A">
        <w:t xml:space="preserve">tumour is more than 2 </w:t>
      </w:r>
      <w:r>
        <w:t>cm</w:t>
      </w:r>
      <w:r w:rsidRPr="00BD0B3A">
        <w:t xml:space="preserve"> but no more than 5 </w:t>
      </w:r>
      <w:r>
        <w:t>cm</w:t>
      </w:r>
      <w:r w:rsidRPr="00BD0B3A">
        <w:t xml:space="preserve"> across.</w:t>
      </w:r>
    </w:p>
    <w:p w14:paraId="7BC876F3" w14:textId="3C31BA00" w:rsidR="00EE6863" w:rsidRDefault="00EE6863">
      <w:pPr>
        <w:pStyle w:val="FootnoteText"/>
      </w:pPr>
      <w:r w:rsidRPr="00BD0B3A">
        <w:t>T3</w:t>
      </w:r>
      <w:r>
        <w:t>:</w:t>
      </w:r>
      <w:r w:rsidRPr="00BD0B3A">
        <w:t xml:space="preserve"> tumour is bigger than 5 </w:t>
      </w:r>
      <w:r>
        <w:t>cm</w:t>
      </w:r>
      <w:r w:rsidRPr="00BD0B3A">
        <w:t xml:space="preserve"> across.</w:t>
      </w:r>
    </w:p>
    <w:p w14:paraId="39E0D3DE" w14:textId="617E58C3" w:rsidR="00EE6863" w:rsidRDefault="00EE6863" w:rsidP="00BD0B3A">
      <w:pPr>
        <w:pStyle w:val="FootnoteText"/>
      </w:pPr>
      <w:r>
        <w:t>T4: tumour is divided into 4 groups:</w:t>
      </w:r>
    </w:p>
    <w:p w14:paraId="2B0EDBB3" w14:textId="53A1EC4C" w:rsidR="00EE6863" w:rsidRDefault="00EE6863" w:rsidP="00BD0B3A">
      <w:pPr>
        <w:pStyle w:val="FootnoteText"/>
      </w:pPr>
      <w:r>
        <w:t>T4a: tumour has spread into the chest wall (the structures surrounding and protecting the lungs)</w:t>
      </w:r>
    </w:p>
    <w:p w14:paraId="740F2C0E" w14:textId="07BE1ADD" w:rsidR="00EE6863" w:rsidRDefault="00EE6863" w:rsidP="00BD0B3A">
      <w:pPr>
        <w:pStyle w:val="FootnoteText"/>
      </w:pPr>
      <w:r>
        <w:t>T4b: tumour has spread into the skin and the breast might be swollen</w:t>
      </w:r>
    </w:p>
    <w:p w14:paraId="051A0C1D" w14:textId="3929EFDA" w:rsidR="00EE6863" w:rsidRDefault="00EE6863" w:rsidP="00BD0B3A">
      <w:pPr>
        <w:pStyle w:val="FootnoteText"/>
      </w:pPr>
      <w:r>
        <w:t>T4c: tumour has spread to both the skin and the chest wall</w:t>
      </w:r>
    </w:p>
    <w:p w14:paraId="43629692" w14:textId="34568838" w:rsidR="00EE6863" w:rsidRDefault="00EE6863">
      <w:pPr>
        <w:pStyle w:val="FootnoteText"/>
      </w:pPr>
      <w:r>
        <w:t>T4d: inflammatory carcinoma.</w:t>
      </w:r>
    </w:p>
    <w:p w14:paraId="291A24EB" w14:textId="304CF55F" w:rsidR="00EE6863" w:rsidRDefault="00EE6863" w:rsidP="002B7C45">
      <w:pPr>
        <w:pStyle w:val="FootnoteText"/>
      </w:pPr>
      <w:r>
        <w:t>The lymph nodes (N) staging are described as follows:</w:t>
      </w:r>
    </w:p>
    <w:p w14:paraId="19DA5007" w14:textId="5A5B7C06" w:rsidR="00EE6863" w:rsidRDefault="00EE6863" w:rsidP="002B7C45">
      <w:pPr>
        <w:pStyle w:val="FootnoteText"/>
      </w:pPr>
      <w:r>
        <w:t>N0: Either, no cancer was found in the lymph nodes; or the only areas of cancer smaller than 0.2 mm are in the lymph nodes.</w:t>
      </w:r>
    </w:p>
    <w:p w14:paraId="57D82724" w14:textId="77777777" w:rsidR="00EE6863" w:rsidRDefault="00EE6863" w:rsidP="002B7C45">
      <w:pPr>
        <w:pStyle w:val="FootnoteText"/>
      </w:pPr>
      <w:r>
        <w:t>N1: Cancer has spread to 1 to 3 axillary lymph nodes and/or the internal mammary lymph nodes.</w:t>
      </w:r>
    </w:p>
    <w:p w14:paraId="17F430EA" w14:textId="77777777" w:rsidR="00EE6863" w:rsidRDefault="00EE6863" w:rsidP="002B7C45">
      <w:pPr>
        <w:pStyle w:val="FootnoteText"/>
      </w:pPr>
      <w:r>
        <w:t>N2: Cancer has spread to 4 to 9 axillary lymph nodes; or, spread to the internal mammary lymph nodes, but not the axillary lymph nodes.</w:t>
      </w:r>
    </w:p>
    <w:p w14:paraId="5850AFD1" w14:textId="095BD885" w:rsidR="00EE6863" w:rsidRDefault="00EE6863" w:rsidP="002B7C45">
      <w:pPr>
        <w:pStyle w:val="FootnoteText"/>
      </w:pPr>
      <w:r>
        <w:t>N3: Cancer has spread to 10 or more axillary lymph nodes, or it has spread to the lymph nodes located under the clavicle, or collarbone. It may have also spread to the internal mammary lymph nodes. Cancer that has spread to the supraclavicular lymph nodes, is also described as N3.</w:t>
      </w:r>
      <w:r w:rsidDel="002B7C45">
        <w:t xml:space="preserve"> </w:t>
      </w:r>
    </w:p>
  </w:footnote>
  <w:footnote w:id="17">
    <w:p w14:paraId="0AAE4F0B" w14:textId="29B2487A" w:rsidR="00EE6863" w:rsidRDefault="00EE6863">
      <w:pPr>
        <w:pStyle w:val="FootnoteText"/>
      </w:pPr>
      <w:r>
        <w:rPr>
          <w:rStyle w:val="FootnoteReference"/>
        </w:rPr>
        <w:footnoteRef/>
      </w:r>
      <w:r>
        <w:t xml:space="preserve"> New response evaluation criteria in solid tumours: Revised RECIST guideline (version 1.1), </w:t>
      </w:r>
      <w:r w:rsidRPr="00560AD6">
        <w:rPr>
          <w:i/>
          <w:iCs/>
        </w:rPr>
        <w:t>European Journal of Cancer</w:t>
      </w:r>
      <w:r>
        <w:t xml:space="preserve"> (2009) 228 – 247</w:t>
      </w:r>
    </w:p>
  </w:footnote>
  <w:footnote w:id="18">
    <w:p w14:paraId="3EC5764A" w14:textId="434A2548" w:rsidR="00EE6863" w:rsidRDefault="00EE6863">
      <w:pPr>
        <w:pStyle w:val="FootnoteText"/>
      </w:pPr>
      <w:r>
        <w:rPr>
          <w:rStyle w:val="FootnoteReference"/>
        </w:rPr>
        <w:footnoteRef/>
      </w:r>
      <w:r>
        <w:t xml:space="preserve"> </w:t>
      </w:r>
      <w:r w:rsidRPr="00BF2685">
        <w:t>ASCO: American Society of Clinical Oncology; CAP: College of American Pathologists</w:t>
      </w:r>
      <w:r>
        <w:t xml:space="preserve">. ASCO guidelines can be found at </w:t>
      </w:r>
      <w:hyperlink r:id="rId3" w:history="1">
        <w:r>
          <w:rPr>
            <w:rStyle w:val="Hyperlink"/>
          </w:rPr>
          <w:t>ASCO Hub – American Society of Clinical Oncology</w:t>
        </w:r>
      </w:hyperlink>
    </w:p>
  </w:footnote>
  <w:footnote w:id="19">
    <w:p w14:paraId="0180C79E" w14:textId="2669B042" w:rsidR="00EE6863" w:rsidRDefault="00EE6863" w:rsidP="000B35C5">
      <w:pPr>
        <w:pStyle w:val="FootnoteText"/>
      </w:pPr>
      <w:r>
        <w:rPr>
          <w:rStyle w:val="FootnoteReference"/>
        </w:rPr>
        <w:footnoteRef/>
      </w:r>
      <w:r>
        <w:t xml:space="preserve"> </w:t>
      </w:r>
      <w:r w:rsidRPr="00870904">
        <w:rPr>
          <w:b/>
        </w:rPr>
        <w:t>Eastern Cooperative Oncology Group (ECOG) Performance Status</w:t>
      </w:r>
      <w:r>
        <w:t xml:space="preserve">: The ECOG has developed criteria </w:t>
      </w:r>
    </w:p>
    <w:p w14:paraId="4476AFD8" w14:textId="77777777" w:rsidR="00EE6863" w:rsidRDefault="00EE6863" w:rsidP="000B35C5">
      <w:pPr>
        <w:pStyle w:val="FootnoteText"/>
      </w:pPr>
      <w:r>
        <w:t xml:space="preserve">used by doctors and researchers to assess how a patient's disease is progressing, assess how the disease </w:t>
      </w:r>
    </w:p>
    <w:p w14:paraId="1844DB32" w14:textId="77777777" w:rsidR="00EE6863" w:rsidRDefault="00EE6863" w:rsidP="000B35C5">
      <w:pPr>
        <w:pStyle w:val="FootnoteText"/>
      </w:pPr>
      <w:r>
        <w:t xml:space="preserve">affects the daily living abilities of the patient, and determine appropriate treatment and prognosis. The </w:t>
      </w:r>
    </w:p>
    <w:p w14:paraId="2499D76C" w14:textId="77777777" w:rsidR="00EE6863" w:rsidRDefault="00EE6863" w:rsidP="000B35C5">
      <w:pPr>
        <w:pStyle w:val="FootnoteText"/>
      </w:pPr>
      <w:r>
        <w:t>following are used:</w:t>
      </w:r>
    </w:p>
    <w:p w14:paraId="3CE9FDEF" w14:textId="77777777" w:rsidR="00EE6863" w:rsidRDefault="00EE6863" w:rsidP="000B35C5">
      <w:pPr>
        <w:pStyle w:val="FootnoteText"/>
      </w:pPr>
      <w:r>
        <w:t>0 - Fully active, able to carry on all pre-disease performance without restriction</w:t>
      </w:r>
    </w:p>
    <w:p w14:paraId="77BFA066" w14:textId="77777777" w:rsidR="00EE6863" w:rsidRDefault="00EE6863" w:rsidP="000B35C5">
      <w:pPr>
        <w:pStyle w:val="FootnoteText"/>
      </w:pPr>
      <w:r>
        <w:t xml:space="preserve">1- Restricted in physically strenuous activity but ambulatory and able to carry out work of a light or sedentary </w:t>
      </w:r>
    </w:p>
    <w:p w14:paraId="0D795C73" w14:textId="77777777" w:rsidR="00EE6863" w:rsidRDefault="00EE6863" w:rsidP="000B35C5">
      <w:pPr>
        <w:pStyle w:val="FootnoteText"/>
      </w:pPr>
      <w:r>
        <w:t>nature, for example, light house work, office work</w:t>
      </w:r>
    </w:p>
    <w:p w14:paraId="03DC50C4" w14:textId="77777777" w:rsidR="00EE6863" w:rsidRDefault="00EE6863" w:rsidP="000B35C5">
      <w:pPr>
        <w:pStyle w:val="FootnoteText"/>
      </w:pPr>
      <w:r>
        <w:t xml:space="preserve">2 - Ambulatory and capable of all selfcare but unable to carry out any work activities. Up and about more than </w:t>
      </w:r>
    </w:p>
    <w:p w14:paraId="36133064" w14:textId="77777777" w:rsidR="00EE6863" w:rsidRDefault="00EE6863" w:rsidP="000B35C5">
      <w:pPr>
        <w:pStyle w:val="FootnoteText"/>
      </w:pPr>
      <w:r>
        <w:t>50% of waking hours</w:t>
      </w:r>
    </w:p>
    <w:p w14:paraId="19344738" w14:textId="77777777" w:rsidR="00EE6863" w:rsidRDefault="00EE6863" w:rsidP="000B35C5">
      <w:pPr>
        <w:pStyle w:val="FootnoteText"/>
      </w:pPr>
      <w:r>
        <w:t>3 - Capable of only limited selfcare, confined to bed or chair more than 50% of waking hours</w:t>
      </w:r>
    </w:p>
    <w:p w14:paraId="059CEF7C" w14:textId="77777777" w:rsidR="00EE6863" w:rsidRDefault="00EE6863" w:rsidP="000B35C5">
      <w:pPr>
        <w:pStyle w:val="FootnoteText"/>
      </w:pPr>
      <w:r>
        <w:t>4 - Completely disabled. Cannot carry on any selfcare. Totally confined to bed or chair</w:t>
      </w:r>
    </w:p>
    <w:p w14:paraId="3AF4B694" w14:textId="341C42ED" w:rsidR="00EE6863" w:rsidRDefault="00EE6863" w:rsidP="000B35C5">
      <w:pPr>
        <w:pStyle w:val="FootnoteText"/>
      </w:pPr>
      <w:r>
        <w:t>5 – Dead</w:t>
      </w:r>
    </w:p>
  </w:footnote>
  <w:footnote w:id="20">
    <w:p w14:paraId="0D63BE1B" w14:textId="06FDF438" w:rsidR="00EE6863" w:rsidRPr="00870904" w:rsidRDefault="00EE6863">
      <w:pPr>
        <w:pStyle w:val="FootnoteText"/>
        <w:rPr>
          <w:lang w:val="en-GB"/>
        </w:rPr>
      </w:pPr>
      <w:r>
        <w:rPr>
          <w:rStyle w:val="FootnoteReference"/>
        </w:rPr>
        <w:footnoteRef/>
      </w:r>
      <w:r>
        <w:t xml:space="preserve"> </w:t>
      </w:r>
      <w:proofErr w:type="spellStart"/>
      <w:r w:rsidRPr="001C1DAF">
        <w:t>Hortobagyi</w:t>
      </w:r>
      <w:proofErr w:type="spellEnd"/>
      <w:r w:rsidRPr="001C1DAF">
        <w:t xml:space="preserve"> GN, Connolly JL, </w:t>
      </w:r>
      <w:proofErr w:type="spellStart"/>
      <w:r w:rsidRPr="001C1DAF">
        <w:t>D’Orsi</w:t>
      </w:r>
      <w:proofErr w:type="spellEnd"/>
      <w:r w:rsidRPr="001C1DAF">
        <w:t xml:space="preserve"> CJ, Edge SB, </w:t>
      </w:r>
      <w:proofErr w:type="spellStart"/>
      <w:r w:rsidRPr="001C1DAF">
        <w:t>Mittendorf</w:t>
      </w:r>
      <w:proofErr w:type="spellEnd"/>
      <w:r w:rsidRPr="001C1DAF">
        <w:t xml:space="preserve"> EA, et al. Breast. In: Amin MB, Edge S, Greene F, et al, eds; American Joint Committee on Cancer. AJCC cancer staging manual. 8th ed. New York, NY: Springer. 2017</w:t>
      </w:r>
      <w:r>
        <w:t>.</w:t>
      </w:r>
    </w:p>
  </w:footnote>
  <w:footnote w:id="21">
    <w:p w14:paraId="417F34CF" w14:textId="209BDB56" w:rsidR="00EE6863" w:rsidRDefault="00EE6863">
      <w:pPr>
        <w:pStyle w:val="FootnoteText"/>
      </w:pPr>
      <w:r>
        <w:rPr>
          <w:rStyle w:val="FootnoteReference"/>
        </w:rPr>
        <w:footnoteRef/>
      </w:r>
      <w:r>
        <w:t xml:space="preserve"> The </w:t>
      </w:r>
      <w:r w:rsidRPr="001C1DAF">
        <w:t xml:space="preserve">American Joint Committee on Cancer </w:t>
      </w:r>
      <w:r>
        <w:t>(AJCC) staging system is traditionally based on the anatomical or surgical stage (by TNM staging).</w:t>
      </w:r>
    </w:p>
    <w:p w14:paraId="1AE2FA17" w14:textId="0FF6D575" w:rsidR="00EE6863" w:rsidRDefault="00EE6863">
      <w:pPr>
        <w:pStyle w:val="FootnoteText"/>
      </w:pPr>
      <w:r w:rsidRPr="001C1DAF">
        <w:t xml:space="preserve">The eighth edition of the AJCC staging for breast cancer </w:t>
      </w:r>
      <w:r>
        <w:t>(2018)</w:t>
      </w:r>
      <w:r w:rsidRPr="001C1DAF">
        <w:t xml:space="preserve"> incorporates contemporary biologic factors (biomarkers) into the trad</w:t>
      </w:r>
      <w:r>
        <w:t xml:space="preserve">itional anatomic staging system, including </w:t>
      </w:r>
      <w:r w:rsidRPr="001C1DAF">
        <w:t>tumour grade and the status of the biomarkers human epidermal growth factor receptor 2 (HER2), estrogen receptor (ER), and progesterone receptor (PR).</w:t>
      </w:r>
    </w:p>
  </w:footnote>
  <w:footnote w:id="22">
    <w:p w14:paraId="05D4476F" w14:textId="7694AF28" w:rsidR="00EE6863" w:rsidRDefault="00EE6863">
      <w:pPr>
        <w:pStyle w:val="FootnoteText"/>
      </w:pPr>
      <w:r>
        <w:rPr>
          <w:rStyle w:val="FootnoteReference"/>
        </w:rPr>
        <w:footnoteRef/>
      </w:r>
      <w:r>
        <w:t xml:space="preserve"> </w:t>
      </w:r>
      <w:r>
        <w:rPr>
          <w:szCs w:val="18"/>
        </w:rPr>
        <w:t>European Organisation for Research and Treatment of Cancer</w:t>
      </w:r>
      <w:r w:rsidRPr="005D1D9C">
        <w:t xml:space="preserve"> </w:t>
      </w:r>
      <w:r>
        <w:t>Quality of Life questionnaires (</w:t>
      </w:r>
      <w:r w:rsidRPr="005D1D9C">
        <w:t>EORTC QLQ</w:t>
      </w:r>
      <w:r>
        <w:t xml:space="preserve">) are used to assess the quality of life of cancer patients. See </w:t>
      </w:r>
      <w:hyperlink r:id="rId4" w:history="1">
        <w:r w:rsidRPr="00CD04A3">
          <w:rPr>
            <w:rStyle w:val="Hyperlink"/>
          </w:rPr>
          <w:t>https://qol.eortc.org/</w:t>
        </w:r>
      </w:hyperlink>
      <w:r>
        <w:t xml:space="preserve"> for further information.</w:t>
      </w:r>
    </w:p>
  </w:footnote>
  <w:footnote w:id="23">
    <w:p w14:paraId="2DADA8CD" w14:textId="2B14A7B8" w:rsidR="00EE6863" w:rsidRDefault="00EE6863">
      <w:pPr>
        <w:pStyle w:val="FootnoteText"/>
      </w:pPr>
      <w:r>
        <w:rPr>
          <w:rStyle w:val="FootnoteReference"/>
        </w:rPr>
        <w:footnoteRef/>
      </w:r>
      <w:r>
        <w:t xml:space="preserve"> A graphical approach for group-sequential designs by </w:t>
      </w:r>
      <w:r w:rsidRPr="00A85655">
        <w:t xml:space="preserve">Maurer and </w:t>
      </w:r>
      <w:proofErr w:type="spellStart"/>
      <w:r w:rsidRPr="00A85655">
        <w:t>Bretz</w:t>
      </w:r>
      <w:proofErr w:type="spellEnd"/>
      <w:r>
        <w:t>.</w:t>
      </w:r>
    </w:p>
  </w:footnote>
  <w:footnote w:id="24">
    <w:p w14:paraId="7E32D930" w14:textId="77777777" w:rsidR="00EE6863" w:rsidRDefault="00EE6863">
      <w:pPr>
        <w:pStyle w:val="FootnoteText"/>
        <w:rPr>
          <w:lang w:val="en-GB"/>
        </w:rPr>
      </w:pPr>
      <w:r>
        <w:rPr>
          <w:rStyle w:val="FootnoteReference"/>
        </w:rPr>
        <w:footnoteRef/>
      </w:r>
      <w:r>
        <w:t xml:space="preserve"> </w:t>
      </w:r>
      <w:r>
        <w:rPr>
          <w:lang w:val="en-GB"/>
        </w:rPr>
        <w:t>The combined positive score (CPS) is</w:t>
      </w:r>
      <w:r w:rsidRPr="00CF69AF">
        <w:rPr>
          <w:lang w:val="en-GB"/>
        </w:rPr>
        <w:t xml:space="preserve"> defined as the number of PD-L1–staining cells (tumour cells, lymphocytes, and macrophages) divided by the total number of viable tumour cells, multiplied by 100</w:t>
      </w:r>
      <w:r>
        <w:rPr>
          <w:lang w:val="en-GB"/>
        </w:rPr>
        <w:t>).</w:t>
      </w:r>
    </w:p>
    <w:p w14:paraId="5FDC0481" w14:textId="5E4C99EF" w:rsidR="00EE6863" w:rsidRDefault="00EE6863">
      <w:pPr>
        <w:pStyle w:val="FootnoteText"/>
        <w:rPr>
          <w:lang w:val="en-GB"/>
        </w:rPr>
      </w:pPr>
      <w:r>
        <w:rPr>
          <w:lang w:val="en-GB"/>
        </w:rPr>
        <w:t>The CPS was first defined in the following publication:</w:t>
      </w:r>
    </w:p>
    <w:p w14:paraId="6DF9BB94" w14:textId="754B2BCB" w:rsidR="00EE6863" w:rsidRPr="00F25CAE" w:rsidRDefault="00EE6863">
      <w:pPr>
        <w:pStyle w:val="FootnoteText"/>
        <w:rPr>
          <w:lang w:val="en-GB"/>
        </w:rPr>
      </w:pPr>
      <w:r w:rsidRPr="00CF69AF">
        <w:rPr>
          <w:lang w:val="en-GB"/>
        </w:rPr>
        <w:t xml:space="preserve">Kulangara K, Zhang N, Corigliano E, Guerrero L, Waldroup S, Jaiswal D, et al. Clinical utility of the combined positive score for programmed death ligand-1 expression and the approval of pembrolizumab for treatment of gastric cancer. </w:t>
      </w:r>
      <w:r w:rsidRPr="00F25CAE">
        <w:rPr>
          <w:i/>
          <w:lang w:val="en-GB"/>
        </w:rPr>
        <w:t>Arch Pathol Lab Med</w:t>
      </w:r>
      <w:r w:rsidRPr="00CF69AF">
        <w:rPr>
          <w:lang w:val="en-GB"/>
        </w:rPr>
        <w:t xml:space="preserve"> 2019;143:330–7.</w:t>
      </w:r>
    </w:p>
  </w:footnote>
  <w:footnote w:id="25">
    <w:p w14:paraId="6E710756" w14:textId="268A6D19" w:rsidR="00EE6863" w:rsidRDefault="00EE6863">
      <w:pPr>
        <w:pStyle w:val="FootnoteText"/>
      </w:pPr>
      <w:r>
        <w:rPr>
          <w:rStyle w:val="FootnoteReference"/>
        </w:rPr>
        <w:footnoteRef/>
      </w:r>
      <w:r>
        <w:t xml:space="preserve"> </w:t>
      </w:r>
      <w:r w:rsidRPr="00953F9B">
        <w:t xml:space="preserve">Cortes J, Cescon DW, Rugo HS, et al. Pembrolizumab plus chemotherapy versus placebo plus chemotherapy for previously untreated locally recurrent inoperable or metastatic triple-negative breast cancer (KEYNOTE-355): a randomised, placebo-controlled, double-blind, phase 3 clinical trial. </w:t>
      </w:r>
      <w:r w:rsidRPr="00953F9B">
        <w:rPr>
          <w:i/>
          <w:iCs/>
        </w:rPr>
        <w:t>Lancet.</w:t>
      </w:r>
      <w:r w:rsidRPr="00953F9B">
        <w:t xml:space="preserve"> 2020 Dec 5;396(10265):1817-1828</w:t>
      </w:r>
    </w:p>
  </w:footnote>
  <w:footnote w:id="26">
    <w:p w14:paraId="34FED662" w14:textId="7C8FABC8" w:rsidR="00EE6863" w:rsidRDefault="00EE6863">
      <w:pPr>
        <w:pStyle w:val="FootnoteText"/>
      </w:pPr>
      <w:r>
        <w:rPr>
          <w:rStyle w:val="FootnoteReference"/>
        </w:rPr>
        <w:footnoteRef/>
      </w:r>
      <w:r>
        <w:t xml:space="preserve"> </w:t>
      </w:r>
      <w:r w:rsidRPr="00591597">
        <w:t>FDA ‘Pathological Complete Response in Neoadjuvant Treatment of High-Risk Early-Stage Breast Cancer: Use as an Endpoint to Support Accelerated Approval; Guidance for Industry (Rev 1), July 2020</w:t>
      </w:r>
      <w:r>
        <w:t>, can be found on the FDA website.</w:t>
      </w:r>
    </w:p>
  </w:footnote>
  <w:footnote w:id="27">
    <w:p w14:paraId="68051396" w14:textId="6B43C49A" w:rsidR="00EE6863" w:rsidRDefault="00EE6863">
      <w:pPr>
        <w:pStyle w:val="FootnoteText"/>
      </w:pPr>
      <w:r>
        <w:rPr>
          <w:rStyle w:val="FootnoteReference"/>
        </w:rPr>
        <w:footnoteRef/>
      </w:r>
      <w:r>
        <w:t xml:space="preserve"> </w:t>
      </w:r>
      <w:r w:rsidRPr="0064482B">
        <w:t xml:space="preserve">Merck press release, 21 Mar 2021; </w:t>
      </w:r>
      <w:hyperlink r:id="rId5" w:history="1">
        <w:r w:rsidRPr="0064482B">
          <w:rPr>
            <w:rStyle w:val="Hyperlink"/>
          </w:rPr>
          <w:t>Merck Receives Complete Response Letter From US FDA for Supplemental Biologics License Application (sBLA) for KEYTRUDA (pembrolizumab) in High-Risk Early Stage Triple-Negative Breast Cancer (TNBC)</w:t>
        </w:r>
      </w:hyperlink>
      <w:r w:rsidRPr="0064482B">
        <w:t xml:space="preserve"> (accessed Apr 2022)</w:t>
      </w:r>
    </w:p>
  </w:footnote>
  <w:footnote w:id="28">
    <w:p w14:paraId="0E7D7CCF" w14:textId="5C8B7E12" w:rsidR="00EE6863" w:rsidRDefault="00EE6863">
      <w:pPr>
        <w:pStyle w:val="FootnoteText"/>
      </w:pPr>
      <w:r>
        <w:rPr>
          <w:rStyle w:val="FootnoteReference"/>
        </w:rPr>
        <w:footnoteRef/>
      </w:r>
      <w:r>
        <w:t xml:space="preserve"> </w:t>
      </w:r>
      <w:r w:rsidRPr="00591597">
        <w:t xml:space="preserve">US Prescribing </w:t>
      </w:r>
      <w:r w:rsidRPr="00756BF1">
        <w:t>information for KEYTRUDA</w:t>
      </w:r>
      <w:r w:rsidRPr="00591597">
        <w:t xml:space="preserve"> (accessed 07 Apr 2022)</w:t>
      </w:r>
      <w:r>
        <w:t>, can be found on the FDA website, www.fda.gov</w:t>
      </w:r>
    </w:p>
  </w:footnote>
  <w:footnote w:id="29">
    <w:p w14:paraId="1F69D57C" w14:textId="05DF65F9" w:rsidR="00EE6863" w:rsidRDefault="00EE6863" w:rsidP="002F634D">
      <w:pPr>
        <w:pStyle w:val="FootnoteText"/>
      </w:pPr>
      <w:r>
        <w:rPr>
          <w:rStyle w:val="FootnoteReference"/>
        </w:rPr>
        <w:footnoteRef/>
      </w:r>
      <w:r>
        <w:t xml:space="preserve"> IMpassion 130 trial: </w:t>
      </w:r>
      <w:r w:rsidRPr="002F634D">
        <w:t>A study of atezolizumab in combination with nab-paclitaxel compared with placebo with nab-paclitaxel for participants with previously untreated metastatic</w:t>
      </w:r>
      <w:r>
        <w:t xml:space="preserve"> triple-negative breast cancer. </w:t>
      </w:r>
    </w:p>
    <w:p w14:paraId="28FC0E3D" w14:textId="0D4913A1" w:rsidR="00EE6863" w:rsidRPr="00F25CAE" w:rsidRDefault="00EE6863" w:rsidP="002F634D">
      <w:pPr>
        <w:pStyle w:val="FootnoteText"/>
        <w:rPr>
          <w:lang w:val="en-GB"/>
        </w:rPr>
      </w:pPr>
      <w:r>
        <w:t>ClinicalTrials.gov Identifier: NCT02425891.</w:t>
      </w:r>
    </w:p>
  </w:footnote>
  <w:footnote w:id="30">
    <w:p w14:paraId="52921D68" w14:textId="5641A662" w:rsidR="00EE6863" w:rsidRDefault="00EE6863">
      <w:pPr>
        <w:pStyle w:val="FootnoteText"/>
      </w:pPr>
      <w:r>
        <w:rPr>
          <w:rStyle w:val="FootnoteReference"/>
        </w:rPr>
        <w:footnoteRef/>
      </w:r>
      <w:r>
        <w:t xml:space="preserve"> </w:t>
      </w:r>
      <w:r w:rsidRPr="008B24B4">
        <w:t>Jung C, Inder WJ. Management of adrenal insufficiency during the stress of medical illness and surgery. Med J Aust. 2008 Apr 7;188(7):409-13.</w:t>
      </w:r>
    </w:p>
  </w:footnote>
  <w:footnote w:id="31">
    <w:p w14:paraId="76D06D62" w14:textId="77777777" w:rsidR="00EE6863" w:rsidRDefault="00EE6863" w:rsidP="00EE3A1F">
      <w:pPr>
        <w:pStyle w:val="FootnoteText"/>
      </w:pPr>
      <w:r>
        <w:rPr>
          <w:rStyle w:val="FootnoteReference"/>
        </w:rPr>
        <w:footnoteRef/>
      </w:r>
      <w:r>
        <w:t xml:space="preserve"> The IMpassion 131 trial: </w:t>
      </w:r>
      <w:r w:rsidRPr="00EE3A1F">
        <w:t xml:space="preserve">A study of atezolizumab and paclitaxel versus placebo and paclitaxel in participants with previously untreated locally advanced or metastatic triple negative breast cancer </w:t>
      </w:r>
      <w:r>
        <w:t xml:space="preserve">(TNBC). </w:t>
      </w:r>
    </w:p>
    <w:p w14:paraId="50DFEF00" w14:textId="35014CDA" w:rsidR="00EE6863" w:rsidRPr="00F25CAE" w:rsidRDefault="00EE6863" w:rsidP="00EE3A1F">
      <w:pPr>
        <w:pStyle w:val="FootnoteText"/>
        <w:rPr>
          <w:lang w:val="en-GB"/>
        </w:rPr>
      </w:pPr>
      <w:r>
        <w:t>ClinicalTrials.gov Identifier: NCT03125902</w:t>
      </w:r>
    </w:p>
  </w:footnote>
  <w:footnote w:id="32">
    <w:p w14:paraId="7C12AD95" w14:textId="366E6B4A" w:rsidR="00EE6863" w:rsidRDefault="00EE6863">
      <w:pPr>
        <w:pStyle w:val="FootnoteText"/>
      </w:pPr>
      <w:r>
        <w:rPr>
          <w:rStyle w:val="FootnoteReference"/>
        </w:rPr>
        <w:footnoteRef/>
      </w:r>
      <w:r>
        <w:t xml:space="preserve"> Study </w:t>
      </w:r>
      <w:r w:rsidRPr="00EE3A1F">
        <w:t>MK-7339-009/KEYLYNK-009</w:t>
      </w:r>
      <w:r>
        <w:t xml:space="preserve"> trial: </w:t>
      </w:r>
      <w:r w:rsidRPr="00EE3A1F">
        <w:t xml:space="preserve">Study of olaparib plus pembrolizumab versus chemotherapy plus pembrolizumab after induction with first-line chemotherapy plus pembrolizumab in triple negative breast cancer </w:t>
      </w:r>
      <w:r>
        <w:t>(TNBC)</w:t>
      </w:r>
    </w:p>
    <w:p w14:paraId="4516BE43" w14:textId="72D52407" w:rsidR="00EE6863" w:rsidRPr="00F25CAE" w:rsidRDefault="00EE6863" w:rsidP="00EE3A1F">
      <w:pPr>
        <w:pStyle w:val="FootnoteText"/>
        <w:rPr>
          <w:lang w:val="en-GB"/>
        </w:rPr>
      </w:pPr>
      <w:r w:rsidRPr="00EE3A1F">
        <w:rPr>
          <w:lang w:val="en-GB"/>
        </w:rPr>
        <w:t>ClinicalTrials.gov Identifier: NCT04191135</w:t>
      </w:r>
    </w:p>
  </w:footnote>
  <w:footnote w:id="33">
    <w:p w14:paraId="31B058FB" w14:textId="450EBDAE" w:rsidR="00EE6863" w:rsidRDefault="00EE6863">
      <w:pPr>
        <w:pStyle w:val="FootnoteText"/>
      </w:pPr>
      <w:r>
        <w:rPr>
          <w:rStyle w:val="FootnoteReference"/>
        </w:rPr>
        <w:footnoteRef/>
      </w:r>
      <w:r>
        <w:t xml:space="preserve"> </w:t>
      </w:r>
      <w:r w:rsidRPr="00470696">
        <w:t>Rugo HS, Loi S, Adams S, et al. PD-L1 Immunohistochemistry Assay Comparison in Atezolizumab Plus nab-Paclitaxel–Treated Advanced Triple-Negative Breast Cancer</w:t>
      </w:r>
      <w:r w:rsidRPr="00470696">
        <w:rPr>
          <w:i/>
          <w:iCs/>
        </w:rPr>
        <w:t>. J Natl Cancer Inst</w:t>
      </w:r>
      <w:r w:rsidRPr="00470696">
        <w:t>. 2021 Jun 7;113(12):1733–43.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F539C" w14:textId="7BA7299E" w:rsidR="00EE6863" w:rsidRDefault="00EE6863"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BB6B2" w14:textId="5DAD3DE2" w:rsidR="00EE6863" w:rsidRDefault="00EE6863">
    <w:pPr>
      <w:rPr>
        <w:noProof/>
        <w:lang w:eastAsia="en-AU"/>
      </w:rPr>
    </w:pPr>
    <w:r w:rsidRPr="00347824">
      <w:rPr>
        <w:noProof/>
        <w:lang w:val="en-GB" w:eastAsia="en-GB"/>
      </w:rPr>
      <w:drawing>
        <wp:anchor distT="0" distB="0" distL="114300" distR="114300" simplePos="0" relativeHeight="251650048" behindDoc="1" locked="0" layoutInCell="1" allowOverlap="1" wp14:anchorId="46060C6A" wp14:editId="5A2BE656">
          <wp:simplePos x="0" y="0"/>
          <wp:positionH relativeFrom="column">
            <wp:posOffset>-1089660</wp:posOffset>
          </wp:positionH>
          <wp:positionV relativeFrom="paragraph">
            <wp:posOffset>-585470</wp:posOffset>
          </wp:positionV>
          <wp:extent cx="7572375" cy="10706100"/>
          <wp:effectExtent l="19050" t="0" r="0" b="0"/>
          <wp:wrapNone/>
          <wp:docPr id="7" name="Picture 7"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A33A2" w14:textId="77777777" w:rsidR="00EE6863" w:rsidRDefault="00EE68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49F6C" w14:textId="340CE57A" w:rsidR="00EE6863" w:rsidRDefault="00EE6863">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9D43" w14:textId="3A7F7AB6" w:rsidR="00EE6863" w:rsidRDefault="00EE6863">
    <w:pPr>
      <w:pStyle w:val="Header"/>
    </w:pPr>
    <w:r>
      <w:rPr>
        <w:noProof/>
        <w:lang w:val="en-GB" w:eastAsia="en-GB"/>
      </w:rPr>
      <mc:AlternateContent>
        <mc:Choice Requires="wps">
          <w:drawing>
            <wp:anchor distT="0" distB="0" distL="114300" distR="114300" simplePos="1" relativeHeight="251658256" behindDoc="0" locked="0" layoutInCell="0" allowOverlap="1" wp14:anchorId="1E63FC21" wp14:editId="2FCEE325">
              <wp:simplePos x="0" y="190500"/>
              <wp:positionH relativeFrom="page">
                <wp:posOffset>0</wp:posOffset>
              </wp:positionH>
              <wp:positionV relativeFrom="page">
                <wp:posOffset>190500</wp:posOffset>
              </wp:positionV>
              <wp:extent cx="7560310" cy="273050"/>
              <wp:effectExtent l="0" t="0" r="0" b="12700"/>
              <wp:wrapNone/>
              <wp:docPr id="35" name="Text Box 35" descr="{&quot;HashCode&quot;:1961948208,&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82E388" w14:textId="35ABEF8A" w:rsidR="00EE6863" w:rsidRPr="00AA341A" w:rsidRDefault="00EE6863" w:rsidP="00AA341A">
                          <w:pPr>
                            <w:spacing w:before="0" w:after="0"/>
                            <w:rPr>
                              <w:rFonts w:ascii="Calibri" w:hAnsi="Calibri" w:cs="Calibri"/>
                              <w:color w:val="8E6A00"/>
                              <w:sz w:val="24"/>
                            </w:rPr>
                          </w:pPr>
                          <w:r w:rsidRPr="00AA341A">
                            <w:rPr>
                              <w:rFonts w:ascii="Calibri" w:hAnsi="Calibri" w:cs="Calibri"/>
                              <w:color w:val="8E6A00"/>
                              <w:sz w:val="24"/>
                            </w:rPr>
                            <w:t>Confidential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1E63FC21" id="_x0000_t202" coordsize="21600,21600" o:spt="202" path="m,l,21600r21600,l21600,xe">
              <v:stroke joinstyle="miter"/>
              <v:path gradientshapeok="t" o:connecttype="rect"/>
            </v:shapetype>
            <v:shape id="Text Box 35" o:spid="_x0000_s1026" type="#_x0000_t202" alt="{&quot;HashCode&quot;:1961948208,&quot;Height&quot;:841.0,&quot;Width&quot;:595.0,&quot;Placement&quot;:&quot;Header&quot;,&quot;Index&quot;:&quot;FirstPage&quot;,&quot;Section&quot;:2,&quot;Top&quot;:0.0,&quot;Left&quot;:0.0}" style="position:absolute;left:0;text-align:left;margin-left:0;margin-top:15pt;width:595.3pt;height:21.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xu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" o:allowincell="f" filled="f" stroked="f" strokeweight=".5pt">
              <v:textbox inset="20pt,0,,0">
                <w:txbxContent>
                  <w:p w14:paraId="0282E388" w14:textId="35ABEF8A" w:rsidR="00EE6863" w:rsidRPr="00AA341A" w:rsidRDefault="00EE6863" w:rsidP="00AA341A">
                    <w:pPr>
                      <w:spacing w:before="0" w:after="0"/>
                      <w:rPr>
                        <w:rFonts w:ascii="Calibri" w:hAnsi="Calibri" w:cs="Calibri"/>
                        <w:color w:val="8E6A00"/>
                        <w:sz w:val="24"/>
                      </w:rPr>
                    </w:pPr>
                    <w:r w:rsidRPr="00AA341A">
                      <w:rPr>
                        <w:rFonts w:ascii="Calibri" w:hAnsi="Calibri" w:cs="Calibri"/>
                        <w:color w:val="8E6A00"/>
                        <w:sz w:val="24"/>
                      </w:rPr>
                      <w:t>Confidential</w:t>
                    </w:r>
                  </w:p>
                </w:txbxContent>
              </v:textbox>
              <w10:wrap anchorx="page" anchory="page"/>
            </v:shape>
          </w:pict>
        </mc:Fallback>
      </mc:AlternateContent>
    </w:r>
    <w:r>
      <w:rPr>
        <w:noProof/>
        <w:lang w:val="en-GB" w:eastAsia="en-GB"/>
      </w:rPr>
      <mc:AlternateContent>
        <mc:Choice Requires="wps">
          <w:drawing>
            <wp:anchor distT="0" distB="0" distL="114300" distR="114300" simplePos="1" relativeHeight="251658252" behindDoc="0" locked="0" layoutInCell="0" allowOverlap="1" wp14:anchorId="0549F809" wp14:editId="6A1343B5">
              <wp:simplePos x="0" y="190500"/>
              <wp:positionH relativeFrom="page">
                <wp:posOffset>0</wp:posOffset>
              </wp:positionH>
              <wp:positionV relativeFrom="page">
                <wp:posOffset>190500</wp:posOffset>
              </wp:positionV>
              <wp:extent cx="7560310" cy="273050"/>
              <wp:effectExtent l="0" t="0" r="0" b="12700"/>
              <wp:wrapNone/>
              <wp:docPr id="256" name="Text Box 256" descr="{&quot;HashCode&quot;:-719095856,&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CBA783" w14:textId="0BD65A28" w:rsidR="00EE6863" w:rsidRPr="005D018E" w:rsidRDefault="00EE6863" w:rsidP="005D018E">
                          <w:pPr>
                            <w:spacing w:before="0" w:after="0"/>
                            <w:rPr>
                              <w:rFonts w:ascii="Calibri" w:hAnsi="Calibri" w:cs="Calibri"/>
                              <w:color w:val="8E6A00"/>
                              <w:sz w:val="24"/>
                            </w:rPr>
                          </w:pPr>
                          <w:r w:rsidRPr="005D018E">
                            <w:rPr>
                              <w:rFonts w:ascii="Calibri" w:hAnsi="Calibri" w:cs="Calibri"/>
                              <w:color w:val="8E6A00"/>
                              <w:sz w:val="24"/>
                            </w:rPr>
                            <w:t>Confidential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0549F809" id="Text Box 256" o:spid="_x0000_s1027" type="#_x0000_t202" alt="{&quot;HashCode&quot;:-719095856,&quot;Height&quot;:841.0,&quot;Width&quot;:595.0,&quot;Placement&quot;:&quot;Header&quot;,&quot;Index&quot;:&quot;FirstPage&quot;,&quot;Section&quot;:2,&quot;Top&quot;:0.0,&quot;Left&quot;:0.0}" style="position:absolute;left:0;text-align:left;margin-left:0;margin-top:15pt;width:595.3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p7e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" o:allowincell="f" filled="f" stroked="f" strokeweight=".5pt">
              <v:textbox inset="20pt,0,,0">
                <w:txbxContent>
                  <w:p w14:paraId="47CBA783" w14:textId="0BD65A28" w:rsidR="00EE6863" w:rsidRPr="005D018E" w:rsidRDefault="00EE6863" w:rsidP="005D018E">
                    <w:pPr>
                      <w:spacing w:before="0" w:after="0"/>
                      <w:rPr>
                        <w:rFonts w:ascii="Calibri" w:hAnsi="Calibri" w:cs="Calibri"/>
                        <w:color w:val="8E6A00"/>
                        <w:sz w:val="24"/>
                      </w:rPr>
                    </w:pPr>
                    <w:r w:rsidRPr="005D018E">
                      <w:rPr>
                        <w:rFonts w:ascii="Calibri" w:hAnsi="Calibri" w:cs="Calibri"/>
                        <w:color w:val="8E6A00"/>
                        <w:sz w:val="24"/>
                      </w:rPr>
                      <w:t>Confidential</w:t>
                    </w:r>
                  </w:p>
                </w:txbxContent>
              </v:textbox>
              <w10:wrap anchorx="page" anchory="page"/>
            </v:shape>
          </w:pict>
        </mc:Fallback>
      </mc:AlternateContent>
    </w:r>
    <w:r>
      <w:rPr>
        <w:noProof/>
        <w:lang w:val="en-GB" w:eastAsia="en-GB"/>
      </w:rPr>
      <mc:AlternateContent>
        <mc:Choice Requires="wps">
          <w:drawing>
            <wp:anchor distT="0" distB="0" distL="114300" distR="114300" simplePos="1" relativeHeight="251658248" behindDoc="0" locked="0" layoutInCell="0" allowOverlap="1" wp14:anchorId="62814B7B" wp14:editId="38266EAA">
              <wp:simplePos x="0" y="190500"/>
              <wp:positionH relativeFrom="page">
                <wp:posOffset>0</wp:posOffset>
              </wp:positionH>
              <wp:positionV relativeFrom="page">
                <wp:posOffset>190500</wp:posOffset>
              </wp:positionV>
              <wp:extent cx="7560310" cy="273050"/>
              <wp:effectExtent l="0" t="0" r="0" b="12700"/>
              <wp:wrapNone/>
              <wp:docPr id="28" name="Text Box 28" descr="{&quot;HashCode&quot;:-719095856,&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BC03A5" w14:textId="07516170" w:rsidR="00EE6863" w:rsidRPr="004B157A" w:rsidRDefault="00EE6863" w:rsidP="004B157A">
                          <w:pPr>
                            <w:spacing w:before="0" w:after="0"/>
                            <w:rPr>
                              <w:rFonts w:ascii="Calibri" w:hAnsi="Calibri" w:cs="Calibri"/>
                              <w:color w:val="8E6A00"/>
                              <w:sz w:val="24"/>
                            </w:rPr>
                          </w:pPr>
                          <w:r w:rsidRPr="004B157A">
                            <w:rPr>
                              <w:rFonts w:ascii="Calibri" w:hAnsi="Calibri" w:cs="Calibri"/>
                              <w:color w:val="8E6A00"/>
                              <w:sz w:val="24"/>
                            </w:rPr>
                            <w:t>Confidential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62814B7B" id="Text Box 28" o:spid="_x0000_s1028" type="#_x0000_t202" alt="{&quot;HashCode&quot;:-719095856,&quot;Height&quot;:841.0,&quot;Width&quot;:595.0,&quot;Placement&quot;:&quot;Header&quot;,&quot;Index&quot;:&quot;FirstPage&quot;,&quot;Section&quot;:2,&quot;Top&quot;:0.0,&quot;Left&quot;:0.0}" style="position:absolute;left:0;text-align:left;margin-left:0;margin-top:1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C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" o:allowincell="f" filled="f" stroked="f" strokeweight=".5pt">
              <v:textbox inset="20pt,0,,0">
                <w:txbxContent>
                  <w:p w14:paraId="7EBC03A5" w14:textId="07516170" w:rsidR="00EE6863" w:rsidRPr="004B157A" w:rsidRDefault="00EE6863" w:rsidP="004B157A">
                    <w:pPr>
                      <w:spacing w:before="0" w:after="0"/>
                      <w:rPr>
                        <w:rFonts w:ascii="Calibri" w:hAnsi="Calibri" w:cs="Calibri"/>
                        <w:color w:val="8E6A00"/>
                        <w:sz w:val="24"/>
                      </w:rPr>
                    </w:pPr>
                    <w:r w:rsidRPr="004B157A">
                      <w:rPr>
                        <w:rFonts w:ascii="Calibri" w:hAnsi="Calibri" w:cs="Calibri"/>
                        <w:color w:val="8E6A00"/>
                        <w:sz w:val="24"/>
                      </w:rPr>
                      <w:t>Confidential</w:t>
                    </w:r>
                  </w:p>
                </w:txbxContent>
              </v:textbox>
              <w10:wrap anchorx="page" anchory="page"/>
            </v:shape>
          </w:pict>
        </mc:Fallback>
      </mc:AlternateContent>
    </w:r>
    <w:r>
      <w:rPr>
        <w:noProof/>
        <w:lang w:val="en-GB" w:eastAsia="en-GB"/>
      </w:rPr>
      <mc:AlternateContent>
        <mc:Choice Requires="wps">
          <w:drawing>
            <wp:anchor distT="0" distB="0" distL="114300" distR="114300" simplePos="1" relativeHeight="251658243" behindDoc="0" locked="0" layoutInCell="0" allowOverlap="1" wp14:anchorId="36EA3FD1" wp14:editId="2D14E46F">
              <wp:simplePos x="0" y="190500"/>
              <wp:positionH relativeFrom="page">
                <wp:posOffset>0</wp:posOffset>
              </wp:positionH>
              <wp:positionV relativeFrom="page">
                <wp:posOffset>190500</wp:posOffset>
              </wp:positionV>
              <wp:extent cx="7560310" cy="273050"/>
              <wp:effectExtent l="0" t="0" r="0" b="12700"/>
              <wp:wrapNone/>
              <wp:docPr id="18" name="Text Box 18" descr="{&quot;HashCode&quot;:-719095856,&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3CA5A2" w14:textId="7E53C0DC" w:rsidR="00EE6863" w:rsidRPr="007D27A0" w:rsidRDefault="00EE6863" w:rsidP="007D27A0">
                          <w:pPr>
                            <w:spacing w:before="0" w:after="0"/>
                            <w:rPr>
                              <w:rFonts w:ascii="Calibri" w:hAnsi="Calibri" w:cs="Calibri"/>
                              <w:color w:val="8E6A00"/>
                              <w:sz w:val="24"/>
                            </w:rPr>
                          </w:pPr>
                          <w:r w:rsidRPr="007D27A0">
                            <w:rPr>
                              <w:rFonts w:ascii="Calibri" w:hAnsi="Calibri" w:cs="Calibri"/>
                              <w:color w:val="8E6A00"/>
                              <w:sz w:val="24"/>
                            </w:rPr>
                            <w:t>Confidential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 w14:anchorId="36EA3FD1" id="Text Box 18" o:spid="_x0000_s1029" type="#_x0000_t202" alt="{&quot;HashCode&quot;:-719095856,&quot;Height&quot;:841.0,&quot;Width&quot;:595.0,&quot;Placement&quot;:&quot;Header&quot;,&quot;Index&quot;:&quot;FirstPage&quot;,&quot;Section&quot;:2,&quot;Top&quot;:0.0,&quot;Left&quot;:0.0}" style="position:absolute;left:0;text-align:left;margin-left:0;margin-top:1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" o:allowincell="f" filled="f" stroked="f" strokeweight=".5pt">
              <v:textbox inset="20pt,0,,0">
                <w:txbxContent>
                  <w:p w14:paraId="0B3CA5A2" w14:textId="7E53C0DC" w:rsidR="00EE6863" w:rsidRPr="007D27A0" w:rsidRDefault="00EE6863" w:rsidP="007D27A0">
                    <w:pPr>
                      <w:spacing w:before="0" w:after="0"/>
                      <w:rPr>
                        <w:rFonts w:ascii="Calibri" w:hAnsi="Calibri" w:cs="Calibri"/>
                        <w:color w:val="8E6A00"/>
                        <w:sz w:val="24"/>
                      </w:rPr>
                    </w:pPr>
                    <w:r w:rsidRPr="007D27A0">
                      <w:rPr>
                        <w:rFonts w:ascii="Calibri" w:hAnsi="Calibri" w:cs="Calibri"/>
                        <w:color w:val="8E6A00"/>
                        <w:sz w:val="24"/>
                      </w:rPr>
                      <w:t>Confidential</w:t>
                    </w:r>
                  </w:p>
                </w:txbxContent>
              </v:textbox>
              <w10:wrap anchorx="page" anchory="page"/>
            </v:shape>
          </w:pict>
        </mc:Fallback>
      </mc:AlternateContent>
    </w: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EBFE3" w14:textId="77777777" w:rsidR="00EE6863" w:rsidRDefault="00EE686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201ED" w14:textId="77777777" w:rsidR="00EE6863" w:rsidRDefault="00EE6863"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0E14A" w14:textId="77777777" w:rsidR="00EE6863" w:rsidRDefault="00EE6863" w:rsidP="006E08B3">
    <w:r>
      <w:t>Therapeutic Goods Administration</w:t>
    </w:r>
  </w:p>
  <w:p w14:paraId="2DAFD2E3" w14:textId="77777777" w:rsidR="00EE6863" w:rsidRDefault="00EE6863"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B362C7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2C7584"/>
    <w:multiLevelType w:val="hybridMultilevel"/>
    <w:tmpl w:val="3620B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B02173"/>
    <w:multiLevelType w:val="multilevel"/>
    <w:tmpl w:val="04B6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2E1248D"/>
    <w:multiLevelType w:val="hybridMultilevel"/>
    <w:tmpl w:val="443E6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EC4928"/>
    <w:multiLevelType w:val="hybridMultilevel"/>
    <w:tmpl w:val="94EED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5"/>
  </w:num>
  <w:num w:numId="29">
    <w:abstractNumId w:val="8"/>
  </w:num>
  <w:num w:numId="30">
    <w:abstractNumId w:val="10"/>
  </w:num>
  <w:num w:numId="31">
    <w:abstractNumId w:val="4"/>
  </w:num>
  <w:num w:numId="32">
    <w:abstractNumId w:val="12"/>
  </w:num>
  <w:num w:numId="33">
    <w:abstractNumId w:val="13"/>
  </w:num>
  <w:num w:numId="34">
    <w:abstractNumId w:val="5"/>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9"/>
  </w:num>
  <w:num w:numId="3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0">
    <w:abstractNumId w:val="6"/>
  </w:num>
  <w:num w:numId="41">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2">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893"/>
    <w:rsid w:val="00002031"/>
    <w:rsid w:val="00002DD5"/>
    <w:rsid w:val="00003DBB"/>
    <w:rsid w:val="0000413E"/>
    <w:rsid w:val="00004734"/>
    <w:rsid w:val="00006B22"/>
    <w:rsid w:val="00006FAB"/>
    <w:rsid w:val="000124EE"/>
    <w:rsid w:val="0001276A"/>
    <w:rsid w:val="00015D70"/>
    <w:rsid w:val="00016A9B"/>
    <w:rsid w:val="000177C8"/>
    <w:rsid w:val="000246AE"/>
    <w:rsid w:val="00025C67"/>
    <w:rsid w:val="00026BAA"/>
    <w:rsid w:val="00030569"/>
    <w:rsid w:val="00031146"/>
    <w:rsid w:val="00031D10"/>
    <w:rsid w:val="00033AB0"/>
    <w:rsid w:val="00041642"/>
    <w:rsid w:val="000434D4"/>
    <w:rsid w:val="00044772"/>
    <w:rsid w:val="0004541C"/>
    <w:rsid w:val="00054074"/>
    <w:rsid w:val="000540A6"/>
    <w:rsid w:val="0005559E"/>
    <w:rsid w:val="000604D6"/>
    <w:rsid w:val="000615D2"/>
    <w:rsid w:val="00064D55"/>
    <w:rsid w:val="000679C6"/>
    <w:rsid w:val="0007051C"/>
    <w:rsid w:val="000734D8"/>
    <w:rsid w:val="000738EC"/>
    <w:rsid w:val="00076428"/>
    <w:rsid w:val="00077775"/>
    <w:rsid w:val="00080854"/>
    <w:rsid w:val="00090471"/>
    <w:rsid w:val="00090E38"/>
    <w:rsid w:val="00092D38"/>
    <w:rsid w:val="00096860"/>
    <w:rsid w:val="00096AA7"/>
    <w:rsid w:val="00097B02"/>
    <w:rsid w:val="000A27BD"/>
    <w:rsid w:val="000A2D50"/>
    <w:rsid w:val="000A3AED"/>
    <w:rsid w:val="000A4226"/>
    <w:rsid w:val="000A7DCE"/>
    <w:rsid w:val="000B3532"/>
    <w:rsid w:val="000B35C5"/>
    <w:rsid w:val="000B3A75"/>
    <w:rsid w:val="000B65F6"/>
    <w:rsid w:val="000C00C2"/>
    <w:rsid w:val="000C2C62"/>
    <w:rsid w:val="000C690F"/>
    <w:rsid w:val="000C6985"/>
    <w:rsid w:val="000C7CC7"/>
    <w:rsid w:val="000D1295"/>
    <w:rsid w:val="000D174B"/>
    <w:rsid w:val="000D269C"/>
    <w:rsid w:val="000D391B"/>
    <w:rsid w:val="000D3D6D"/>
    <w:rsid w:val="000D4FC7"/>
    <w:rsid w:val="000E4EE0"/>
    <w:rsid w:val="000E6196"/>
    <w:rsid w:val="000F00FB"/>
    <w:rsid w:val="000F4869"/>
    <w:rsid w:val="000F5B42"/>
    <w:rsid w:val="000F6E6F"/>
    <w:rsid w:val="000F71D6"/>
    <w:rsid w:val="00101792"/>
    <w:rsid w:val="00103126"/>
    <w:rsid w:val="0010601F"/>
    <w:rsid w:val="0010788A"/>
    <w:rsid w:val="00107A31"/>
    <w:rsid w:val="0011091A"/>
    <w:rsid w:val="00110EA5"/>
    <w:rsid w:val="00112F56"/>
    <w:rsid w:val="001149E0"/>
    <w:rsid w:val="00117C1F"/>
    <w:rsid w:val="00122C2E"/>
    <w:rsid w:val="00124ACD"/>
    <w:rsid w:val="00125318"/>
    <w:rsid w:val="001305A2"/>
    <w:rsid w:val="00130C45"/>
    <w:rsid w:val="00133238"/>
    <w:rsid w:val="00133A1B"/>
    <w:rsid w:val="0014197B"/>
    <w:rsid w:val="00143DE8"/>
    <w:rsid w:val="001447CD"/>
    <w:rsid w:val="0014534C"/>
    <w:rsid w:val="0014777A"/>
    <w:rsid w:val="001516B1"/>
    <w:rsid w:val="00154EBB"/>
    <w:rsid w:val="00156316"/>
    <w:rsid w:val="00160175"/>
    <w:rsid w:val="00161181"/>
    <w:rsid w:val="00161D56"/>
    <w:rsid w:val="00162D14"/>
    <w:rsid w:val="00163780"/>
    <w:rsid w:val="00165389"/>
    <w:rsid w:val="00167D60"/>
    <w:rsid w:val="0017283A"/>
    <w:rsid w:val="0017693F"/>
    <w:rsid w:val="00180C1C"/>
    <w:rsid w:val="0018110E"/>
    <w:rsid w:val="00181684"/>
    <w:rsid w:val="001843C6"/>
    <w:rsid w:val="001849DF"/>
    <w:rsid w:val="001850E0"/>
    <w:rsid w:val="00185407"/>
    <w:rsid w:val="0019141D"/>
    <w:rsid w:val="00193AB4"/>
    <w:rsid w:val="00193BF3"/>
    <w:rsid w:val="001946C5"/>
    <w:rsid w:val="001A0209"/>
    <w:rsid w:val="001A03AF"/>
    <w:rsid w:val="001A0FCA"/>
    <w:rsid w:val="001A2158"/>
    <w:rsid w:val="001A3DC8"/>
    <w:rsid w:val="001A525F"/>
    <w:rsid w:val="001A529B"/>
    <w:rsid w:val="001A5A00"/>
    <w:rsid w:val="001A66B8"/>
    <w:rsid w:val="001A72EF"/>
    <w:rsid w:val="001B09F9"/>
    <w:rsid w:val="001B1DA4"/>
    <w:rsid w:val="001B2945"/>
    <w:rsid w:val="001B3480"/>
    <w:rsid w:val="001B38B2"/>
    <w:rsid w:val="001B5C90"/>
    <w:rsid w:val="001B6448"/>
    <w:rsid w:val="001C053A"/>
    <w:rsid w:val="001C1DAF"/>
    <w:rsid w:val="001C32CD"/>
    <w:rsid w:val="001D0FE0"/>
    <w:rsid w:val="001D2984"/>
    <w:rsid w:val="001D68DC"/>
    <w:rsid w:val="001E0309"/>
    <w:rsid w:val="001E07CF"/>
    <w:rsid w:val="001E2A85"/>
    <w:rsid w:val="001E316C"/>
    <w:rsid w:val="001E359E"/>
    <w:rsid w:val="001E59F1"/>
    <w:rsid w:val="001E7B2C"/>
    <w:rsid w:val="001F0CD4"/>
    <w:rsid w:val="001F1076"/>
    <w:rsid w:val="001F2CEE"/>
    <w:rsid w:val="001F49EB"/>
    <w:rsid w:val="001F6CBA"/>
    <w:rsid w:val="001F76AE"/>
    <w:rsid w:val="00201D23"/>
    <w:rsid w:val="00201D4E"/>
    <w:rsid w:val="002054FF"/>
    <w:rsid w:val="0020750A"/>
    <w:rsid w:val="002076C9"/>
    <w:rsid w:val="00214055"/>
    <w:rsid w:val="00220B8A"/>
    <w:rsid w:val="00225009"/>
    <w:rsid w:val="002255D2"/>
    <w:rsid w:val="002257F3"/>
    <w:rsid w:val="002314EA"/>
    <w:rsid w:val="00233456"/>
    <w:rsid w:val="002339A5"/>
    <w:rsid w:val="00233A6E"/>
    <w:rsid w:val="0023AFA1"/>
    <w:rsid w:val="00245307"/>
    <w:rsid w:val="00250271"/>
    <w:rsid w:val="00250490"/>
    <w:rsid w:val="00250F35"/>
    <w:rsid w:val="00251700"/>
    <w:rsid w:val="00252A5E"/>
    <w:rsid w:val="0025564C"/>
    <w:rsid w:val="00255893"/>
    <w:rsid w:val="00257848"/>
    <w:rsid w:val="002578E8"/>
    <w:rsid w:val="002600B0"/>
    <w:rsid w:val="00260CFD"/>
    <w:rsid w:val="00260E73"/>
    <w:rsid w:val="002611EB"/>
    <w:rsid w:val="00264F90"/>
    <w:rsid w:val="00265381"/>
    <w:rsid w:val="0026623E"/>
    <w:rsid w:val="002707AC"/>
    <w:rsid w:val="0027084A"/>
    <w:rsid w:val="00271E85"/>
    <w:rsid w:val="00274E90"/>
    <w:rsid w:val="00280265"/>
    <w:rsid w:val="00286434"/>
    <w:rsid w:val="00286C59"/>
    <w:rsid w:val="00291957"/>
    <w:rsid w:val="00293F2D"/>
    <w:rsid w:val="002942D1"/>
    <w:rsid w:val="00294C18"/>
    <w:rsid w:val="0029501A"/>
    <w:rsid w:val="002A3721"/>
    <w:rsid w:val="002A3951"/>
    <w:rsid w:val="002A5D64"/>
    <w:rsid w:val="002A5E4E"/>
    <w:rsid w:val="002B1638"/>
    <w:rsid w:val="002B3624"/>
    <w:rsid w:val="002B6D0D"/>
    <w:rsid w:val="002B7C45"/>
    <w:rsid w:val="002C0187"/>
    <w:rsid w:val="002C1324"/>
    <w:rsid w:val="002C471A"/>
    <w:rsid w:val="002C70C0"/>
    <w:rsid w:val="002D0656"/>
    <w:rsid w:val="002D0952"/>
    <w:rsid w:val="002D34A0"/>
    <w:rsid w:val="002D7A83"/>
    <w:rsid w:val="002D7FFB"/>
    <w:rsid w:val="002E40B3"/>
    <w:rsid w:val="002E428C"/>
    <w:rsid w:val="002E4C9A"/>
    <w:rsid w:val="002F11F8"/>
    <w:rsid w:val="002F38D0"/>
    <w:rsid w:val="002F3F56"/>
    <w:rsid w:val="002F44B5"/>
    <w:rsid w:val="002F5122"/>
    <w:rsid w:val="002F5BEF"/>
    <w:rsid w:val="002F6223"/>
    <w:rsid w:val="002F634D"/>
    <w:rsid w:val="002F7A26"/>
    <w:rsid w:val="003017B4"/>
    <w:rsid w:val="00302A59"/>
    <w:rsid w:val="00305750"/>
    <w:rsid w:val="003103AB"/>
    <w:rsid w:val="003109ED"/>
    <w:rsid w:val="0031120B"/>
    <w:rsid w:val="00311A66"/>
    <w:rsid w:val="00311AC0"/>
    <w:rsid w:val="00311DD7"/>
    <w:rsid w:val="00314775"/>
    <w:rsid w:val="00315EDB"/>
    <w:rsid w:val="003176FC"/>
    <w:rsid w:val="00324CFD"/>
    <w:rsid w:val="00324E45"/>
    <w:rsid w:val="0032514C"/>
    <w:rsid w:val="0032583B"/>
    <w:rsid w:val="00327883"/>
    <w:rsid w:val="00332715"/>
    <w:rsid w:val="00334596"/>
    <w:rsid w:val="00335504"/>
    <w:rsid w:val="00337479"/>
    <w:rsid w:val="0034000A"/>
    <w:rsid w:val="00340B9E"/>
    <w:rsid w:val="00340C18"/>
    <w:rsid w:val="00341C92"/>
    <w:rsid w:val="003436D2"/>
    <w:rsid w:val="003442FD"/>
    <w:rsid w:val="00346048"/>
    <w:rsid w:val="00347824"/>
    <w:rsid w:val="00350567"/>
    <w:rsid w:val="0035184F"/>
    <w:rsid w:val="003521E8"/>
    <w:rsid w:val="0035252E"/>
    <w:rsid w:val="00355AA0"/>
    <w:rsid w:val="00357BEF"/>
    <w:rsid w:val="00370CE3"/>
    <w:rsid w:val="0037103D"/>
    <w:rsid w:val="00371C12"/>
    <w:rsid w:val="003728F3"/>
    <w:rsid w:val="003735BC"/>
    <w:rsid w:val="0037496E"/>
    <w:rsid w:val="00376A7A"/>
    <w:rsid w:val="00380311"/>
    <w:rsid w:val="00380C3D"/>
    <w:rsid w:val="00383221"/>
    <w:rsid w:val="003832BD"/>
    <w:rsid w:val="00386150"/>
    <w:rsid w:val="003874CE"/>
    <w:rsid w:val="00390900"/>
    <w:rsid w:val="0039361F"/>
    <w:rsid w:val="003A7F6C"/>
    <w:rsid w:val="003B1597"/>
    <w:rsid w:val="003B4D60"/>
    <w:rsid w:val="003B61A3"/>
    <w:rsid w:val="003B7E39"/>
    <w:rsid w:val="003C4C45"/>
    <w:rsid w:val="003C58DC"/>
    <w:rsid w:val="003D1E62"/>
    <w:rsid w:val="003D468D"/>
    <w:rsid w:val="003D5B94"/>
    <w:rsid w:val="003D747C"/>
    <w:rsid w:val="003E0B99"/>
    <w:rsid w:val="003E2486"/>
    <w:rsid w:val="003E3208"/>
    <w:rsid w:val="003E7169"/>
    <w:rsid w:val="003E7B9A"/>
    <w:rsid w:val="003F0108"/>
    <w:rsid w:val="003F060F"/>
    <w:rsid w:val="003F0B04"/>
    <w:rsid w:val="004005F0"/>
    <w:rsid w:val="0040134E"/>
    <w:rsid w:val="00402019"/>
    <w:rsid w:val="00402C6B"/>
    <w:rsid w:val="00407A9A"/>
    <w:rsid w:val="00407EF6"/>
    <w:rsid w:val="00410F24"/>
    <w:rsid w:val="00412421"/>
    <w:rsid w:val="0041358A"/>
    <w:rsid w:val="0041461E"/>
    <w:rsid w:val="004147D8"/>
    <w:rsid w:val="00416284"/>
    <w:rsid w:val="00421E68"/>
    <w:rsid w:val="00427BAF"/>
    <w:rsid w:val="004334C7"/>
    <w:rsid w:val="0043619B"/>
    <w:rsid w:val="00440A2D"/>
    <w:rsid w:val="00441C3F"/>
    <w:rsid w:val="00443E00"/>
    <w:rsid w:val="004446E7"/>
    <w:rsid w:val="00444D1A"/>
    <w:rsid w:val="0045186A"/>
    <w:rsid w:val="00454BDC"/>
    <w:rsid w:val="004564A7"/>
    <w:rsid w:val="00456765"/>
    <w:rsid w:val="00460036"/>
    <w:rsid w:val="00461204"/>
    <w:rsid w:val="004617BF"/>
    <w:rsid w:val="00463658"/>
    <w:rsid w:val="004637A0"/>
    <w:rsid w:val="00465424"/>
    <w:rsid w:val="004675A5"/>
    <w:rsid w:val="00467C49"/>
    <w:rsid w:val="00467ECC"/>
    <w:rsid w:val="00470696"/>
    <w:rsid w:val="004722CC"/>
    <w:rsid w:val="004768D2"/>
    <w:rsid w:val="0047703B"/>
    <w:rsid w:val="00480457"/>
    <w:rsid w:val="00483D89"/>
    <w:rsid w:val="00484093"/>
    <w:rsid w:val="00487275"/>
    <w:rsid w:val="00487741"/>
    <w:rsid w:val="00490483"/>
    <w:rsid w:val="004936E4"/>
    <w:rsid w:val="00494E60"/>
    <w:rsid w:val="0049557C"/>
    <w:rsid w:val="00497487"/>
    <w:rsid w:val="00497F36"/>
    <w:rsid w:val="004A045D"/>
    <w:rsid w:val="004A2771"/>
    <w:rsid w:val="004A2CB3"/>
    <w:rsid w:val="004A2D86"/>
    <w:rsid w:val="004A4916"/>
    <w:rsid w:val="004A5972"/>
    <w:rsid w:val="004A6189"/>
    <w:rsid w:val="004A6CD7"/>
    <w:rsid w:val="004A7390"/>
    <w:rsid w:val="004B157A"/>
    <w:rsid w:val="004B7B76"/>
    <w:rsid w:val="004C08C5"/>
    <w:rsid w:val="004C1379"/>
    <w:rsid w:val="004C239D"/>
    <w:rsid w:val="004C2B1B"/>
    <w:rsid w:val="004C2DCA"/>
    <w:rsid w:val="004C3F3A"/>
    <w:rsid w:val="004C4FBE"/>
    <w:rsid w:val="004C61D2"/>
    <w:rsid w:val="004C6D07"/>
    <w:rsid w:val="004C70C9"/>
    <w:rsid w:val="004D1D24"/>
    <w:rsid w:val="004D265F"/>
    <w:rsid w:val="004D2781"/>
    <w:rsid w:val="004D60F7"/>
    <w:rsid w:val="004E1050"/>
    <w:rsid w:val="004E4625"/>
    <w:rsid w:val="004E4CFC"/>
    <w:rsid w:val="004E52D6"/>
    <w:rsid w:val="004E5A9E"/>
    <w:rsid w:val="004E5E60"/>
    <w:rsid w:val="004F05B7"/>
    <w:rsid w:val="004F0C4A"/>
    <w:rsid w:val="004F0F38"/>
    <w:rsid w:val="004F1931"/>
    <w:rsid w:val="004F3758"/>
    <w:rsid w:val="004F42ED"/>
    <w:rsid w:val="004F47D6"/>
    <w:rsid w:val="00500337"/>
    <w:rsid w:val="00501921"/>
    <w:rsid w:val="00501FDA"/>
    <w:rsid w:val="00502CEC"/>
    <w:rsid w:val="00505417"/>
    <w:rsid w:val="00512B27"/>
    <w:rsid w:val="005157B9"/>
    <w:rsid w:val="005157E3"/>
    <w:rsid w:val="00520472"/>
    <w:rsid w:val="0052149B"/>
    <w:rsid w:val="00522362"/>
    <w:rsid w:val="00523A21"/>
    <w:rsid w:val="005251C9"/>
    <w:rsid w:val="005252EA"/>
    <w:rsid w:val="00526D83"/>
    <w:rsid w:val="00526E19"/>
    <w:rsid w:val="00527CFE"/>
    <w:rsid w:val="00530354"/>
    <w:rsid w:val="0053157E"/>
    <w:rsid w:val="005343F7"/>
    <w:rsid w:val="00535E33"/>
    <w:rsid w:val="0053625B"/>
    <w:rsid w:val="00540C60"/>
    <w:rsid w:val="005434C6"/>
    <w:rsid w:val="00543B39"/>
    <w:rsid w:val="00545CDB"/>
    <w:rsid w:val="00546154"/>
    <w:rsid w:val="005471F0"/>
    <w:rsid w:val="00550096"/>
    <w:rsid w:val="00552D88"/>
    <w:rsid w:val="00553C70"/>
    <w:rsid w:val="00555280"/>
    <w:rsid w:val="00555A02"/>
    <w:rsid w:val="00555F6B"/>
    <w:rsid w:val="00557FF9"/>
    <w:rsid w:val="00560AD6"/>
    <w:rsid w:val="00562327"/>
    <w:rsid w:val="00562930"/>
    <w:rsid w:val="00562E85"/>
    <w:rsid w:val="0056312B"/>
    <w:rsid w:val="00565418"/>
    <w:rsid w:val="005654BF"/>
    <w:rsid w:val="005711D5"/>
    <w:rsid w:val="00576378"/>
    <w:rsid w:val="00577130"/>
    <w:rsid w:val="00577945"/>
    <w:rsid w:val="00577A69"/>
    <w:rsid w:val="00577E38"/>
    <w:rsid w:val="00582DCB"/>
    <w:rsid w:val="00583B9C"/>
    <w:rsid w:val="00585322"/>
    <w:rsid w:val="005857C6"/>
    <w:rsid w:val="00591597"/>
    <w:rsid w:val="00592F6E"/>
    <w:rsid w:val="00593138"/>
    <w:rsid w:val="00593AD1"/>
    <w:rsid w:val="005A0789"/>
    <w:rsid w:val="005A0E7B"/>
    <w:rsid w:val="005A474D"/>
    <w:rsid w:val="005A68B6"/>
    <w:rsid w:val="005A72B7"/>
    <w:rsid w:val="005A79F5"/>
    <w:rsid w:val="005C2ED4"/>
    <w:rsid w:val="005C33D6"/>
    <w:rsid w:val="005C3987"/>
    <w:rsid w:val="005C494B"/>
    <w:rsid w:val="005C5570"/>
    <w:rsid w:val="005C5B66"/>
    <w:rsid w:val="005C79A4"/>
    <w:rsid w:val="005D018E"/>
    <w:rsid w:val="005D1D9C"/>
    <w:rsid w:val="005D2723"/>
    <w:rsid w:val="005D3D17"/>
    <w:rsid w:val="005D5442"/>
    <w:rsid w:val="005E44A3"/>
    <w:rsid w:val="005F24B2"/>
    <w:rsid w:val="005F487D"/>
    <w:rsid w:val="005F5600"/>
    <w:rsid w:val="005F622F"/>
    <w:rsid w:val="005F6305"/>
    <w:rsid w:val="005F782B"/>
    <w:rsid w:val="00600CC5"/>
    <w:rsid w:val="006020EC"/>
    <w:rsid w:val="00603F32"/>
    <w:rsid w:val="00605AD4"/>
    <w:rsid w:val="0060640C"/>
    <w:rsid w:val="006136D7"/>
    <w:rsid w:val="006155E8"/>
    <w:rsid w:val="00616FE3"/>
    <w:rsid w:val="006200AA"/>
    <w:rsid w:val="00623FEB"/>
    <w:rsid w:val="00625A6E"/>
    <w:rsid w:val="00630DC9"/>
    <w:rsid w:val="00632398"/>
    <w:rsid w:val="00632A42"/>
    <w:rsid w:val="0063363E"/>
    <w:rsid w:val="00637435"/>
    <w:rsid w:val="00640FC3"/>
    <w:rsid w:val="00642020"/>
    <w:rsid w:val="0064238E"/>
    <w:rsid w:val="006430EE"/>
    <w:rsid w:val="00643C27"/>
    <w:rsid w:val="00643CE5"/>
    <w:rsid w:val="0064482B"/>
    <w:rsid w:val="00647FC3"/>
    <w:rsid w:val="0065337B"/>
    <w:rsid w:val="0065419D"/>
    <w:rsid w:val="006573DF"/>
    <w:rsid w:val="00657A89"/>
    <w:rsid w:val="006603BC"/>
    <w:rsid w:val="006604D8"/>
    <w:rsid w:val="00662194"/>
    <w:rsid w:val="00664A5B"/>
    <w:rsid w:val="00665BB1"/>
    <w:rsid w:val="0066735C"/>
    <w:rsid w:val="00670B6A"/>
    <w:rsid w:val="00675B44"/>
    <w:rsid w:val="006763D2"/>
    <w:rsid w:val="00680C08"/>
    <w:rsid w:val="00683ECB"/>
    <w:rsid w:val="006860F5"/>
    <w:rsid w:val="006901BA"/>
    <w:rsid w:val="00690986"/>
    <w:rsid w:val="006913E8"/>
    <w:rsid w:val="006916A0"/>
    <w:rsid w:val="00692C1B"/>
    <w:rsid w:val="00692F32"/>
    <w:rsid w:val="006931B1"/>
    <w:rsid w:val="00693386"/>
    <w:rsid w:val="006A15C0"/>
    <w:rsid w:val="006A16E7"/>
    <w:rsid w:val="006A58A8"/>
    <w:rsid w:val="006A6DD4"/>
    <w:rsid w:val="006B17ED"/>
    <w:rsid w:val="006B7908"/>
    <w:rsid w:val="006C0BAA"/>
    <w:rsid w:val="006C1E46"/>
    <w:rsid w:val="006C3E2A"/>
    <w:rsid w:val="006C4E5B"/>
    <w:rsid w:val="006C642F"/>
    <w:rsid w:val="006D03E5"/>
    <w:rsid w:val="006D1F50"/>
    <w:rsid w:val="006D439A"/>
    <w:rsid w:val="006D443C"/>
    <w:rsid w:val="006D5D3E"/>
    <w:rsid w:val="006E08B3"/>
    <w:rsid w:val="006E7D4A"/>
    <w:rsid w:val="006F12E8"/>
    <w:rsid w:val="006F17AC"/>
    <w:rsid w:val="006F25B8"/>
    <w:rsid w:val="006F2C63"/>
    <w:rsid w:val="006F384B"/>
    <w:rsid w:val="006F572E"/>
    <w:rsid w:val="006F6035"/>
    <w:rsid w:val="007029EC"/>
    <w:rsid w:val="007046D6"/>
    <w:rsid w:val="00705DB0"/>
    <w:rsid w:val="00711A20"/>
    <w:rsid w:val="00713F8C"/>
    <w:rsid w:val="007155BF"/>
    <w:rsid w:val="00717D20"/>
    <w:rsid w:val="00720584"/>
    <w:rsid w:val="00721808"/>
    <w:rsid w:val="00721857"/>
    <w:rsid w:val="00722450"/>
    <w:rsid w:val="0072292E"/>
    <w:rsid w:val="00722B57"/>
    <w:rsid w:val="00724168"/>
    <w:rsid w:val="0072602E"/>
    <w:rsid w:val="00730F8A"/>
    <w:rsid w:val="00735A8C"/>
    <w:rsid w:val="00740F8D"/>
    <w:rsid w:val="00741436"/>
    <w:rsid w:val="0074163C"/>
    <w:rsid w:val="0074253D"/>
    <w:rsid w:val="00743732"/>
    <w:rsid w:val="00744121"/>
    <w:rsid w:val="0074429B"/>
    <w:rsid w:val="007450B6"/>
    <w:rsid w:val="00745EB8"/>
    <w:rsid w:val="00753BA3"/>
    <w:rsid w:val="00756BF1"/>
    <w:rsid w:val="007615BC"/>
    <w:rsid w:val="00762F05"/>
    <w:rsid w:val="007652FF"/>
    <w:rsid w:val="0076692B"/>
    <w:rsid w:val="007703EF"/>
    <w:rsid w:val="00770CAC"/>
    <w:rsid w:val="00770EF1"/>
    <w:rsid w:val="0077131A"/>
    <w:rsid w:val="00773EF7"/>
    <w:rsid w:val="00774E1D"/>
    <w:rsid w:val="007765D8"/>
    <w:rsid w:val="0077675A"/>
    <w:rsid w:val="00780355"/>
    <w:rsid w:val="007814DC"/>
    <w:rsid w:val="007819FD"/>
    <w:rsid w:val="00783988"/>
    <w:rsid w:val="00785717"/>
    <w:rsid w:val="00785721"/>
    <w:rsid w:val="00793A59"/>
    <w:rsid w:val="00796B71"/>
    <w:rsid w:val="00796C55"/>
    <w:rsid w:val="00797415"/>
    <w:rsid w:val="007A3D01"/>
    <w:rsid w:val="007A46F5"/>
    <w:rsid w:val="007A6505"/>
    <w:rsid w:val="007A6670"/>
    <w:rsid w:val="007B59EC"/>
    <w:rsid w:val="007B6132"/>
    <w:rsid w:val="007B6E9F"/>
    <w:rsid w:val="007C1216"/>
    <w:rsid w:val="007C1AF7"/>
    <w:rsid w:val="007C1CDF"/>
    <w:rsid w:val="007C1D70"/>
    <w:rsid w:val="007C1FEA"/>
    <w:rsid w:val="007C4CCA"/>
    <w:rsid w:val="007C6577"/>
    <w:rsid w:val="007C6B9B"/>
    <w:rsid w:val="007C7447"/>
    <w:rsid w:val="007C7946"/>
    <w:rsid w:val="007C7C43"/>
    <w:rsid w:val="007D27A0"/>
    <w:rsid w:val="007D3732"/>
    <w:rsid w:val="007D53B6"/>
    <w:rsid w:val="007D54ED"/>
    <w:rsid w:val="007D60D2"/>
    <w:rsid w:val="007D6FF3"/>
    <w:rsid w:val="007E12DC"/>
    <w:rsid w:val="007E32CD"/>
    <w:rsid w:val="007F0262"/>
    <w:rsid w:val="007F23CA"/>
    <w:rsid w:val="00803C99"/>
    <w:rsid w:val="00804D99"/>
    <w:rsid w:val="00805D27"/>
    <w:rsid w:val="00806DCB"/>
    <w:rsid w:val="008110BC"/>
    <w:rsid w:val="00812671"/>
    <w:rsid w:val="00812BA1"/>
    <w:rsid w:val="00812BFD"/>
    <w:rsid w:val="00814456"/>
    <w:rsid w:val="00820581"/>
    <w:rsid w:val="00821776"/>
    <w:rsid w:val="00830A19"/>
    <w:rsid w:val="008321F5"/>
    <w:rsid w:val="00832369"/>
    <w:rsid w:val="00833ED8"/>
    <w:rsid w:val="00834660"/>
    <w:rsid w:val="00836BC2"/>
    <w:rsid w:val="00844B70"/>
    <w:rsid w:val="00844FBF"/>
    <w:rsid w:val="0085156D"/>
    <w:rsid w:val="00852B28"/>
    <w:rsid w:val="0085641B"/>
    <w:rsid w:val="00857136"/>
    <w:rsid w:val="008606C0"/>
    <w:rsid w:val="0086332C"/>
    <w:rsid w:val="008640EE"/>
    <w:rsid w:val="00864972"/>
    <w:rsid w:val="00865B03"/>
    <w:rsid w:val="00867134"/>
    <w:rsid w:val="00870904"/>
    <w:rsid w:val="00871C48"/>
    <w:rsid w:val="00875788"/>
    <w:rsid w:val="00875A6B"/>
    <w:rsid w:val="00882C22"/>
    <w:rsid w:val="00885435"/>
    <w:rsid w:val="00885B11"/>
    <w:rsid w:val="00886D15"/>
    <w:rsid w:val="00887BAF"/>
    <w:rsid w:val="00887DD8"/>
    <w:rsid w:val="00890766"/>
    <w:rsid w:val="00891880"/>
    <w:rsid w:val="00891943"/>
    <w:rsid w:val="00891BA9"/>
    <w:rsid w:val="00896018"/>
    <w:rsid w:val="008960DD"/>
    <w:rsid w:val="0089635C"/>
    <w:rsid w:val="008A0334"/>
    <w:rsid w:val="008A09EE"/>
    <w:rsid w:val="008A2B9D"/>
    <w:rsid w:val="008A3D9F"/>
    <w:rsid w:val="008A5650"/>
    <w:rsid w:val="008A5E0B"/>
    <w:rsid w:val="008A6A27"/>
    <w:rsid w:val="008A6D59"/>
    <w:rsid w:val="008B2454"/>
    <w:rsid w:val="008B24B4"/>
    <w:rsid w:val="008B4B03"/>
    <w:rsid w:val="008B596F"/>
    <w:rsid w:val="008B6F1C"/>
    <w:rsid w:val="008B7721"/>
    <w:rsid w:val="008C159F"/>
    <w:rsid w:val="008C1623"/>
    <w:rsid w:val="008C1850"/>
    <w:rsid w:val="008C2F7B"/>
    <w:rsid w:val="008C30B8"/>
    <w:rsid w:val="008C3786"/>
    <w:rsid w:val="008C3983"/>
    <w:rsid w:val="008C51A9"/>
    <w:rsid w:val="008C6D70"/>
    <w:rsid w:val="008E10C6"/>
    <w:rsid w:val="008E1C63"/>
    <w:rsid w:val="008E393E"/>
    <w:rsid w:val="008E4C16"/>
    <w:rsid w:val="008E5647"/>
    <w:rsid w:val="008E7846"/>
    <w:rsid w:val="008F0287"/>
    <w:rsid w:val="008F02E5"/>
    <w:rsid w:val="008F074A"/>
    <w:rsid w:val="008F08F4"/>
    <w:rsid w:val="008F0B5B"/>
    <w:rsid w:val="008F1CCC"/>
    <w:rsid w:val="008F20C5"/>
    <w:rsid w:val="008F2967"/>
    <w:rsid w:val="008F6943"/>
    <w:rsid w:val="00901D80"/>
    <w:rsid w:val="00902A21"/>
    <w:rsid w:val="0090363D"/>
    <w:rsid w:val="00905E89"/>
    <w:rsid w:val="0091523F"/>
    <w:rsid w:val="00920330"/>
    <w:rsid w:val="009219D7"/>
    <w:rsid w:val="00922AB0"/>
    <w:rsid w:val="00922D53"/>
    <w:rsid w:val="00923B70"/>
    <w:rsid w:val="00924482"/>
    <w:rsid w:val="009272B3"/>
    <w:rsid w:val="00927739"/>
    <w:rsid w:val="00930237"/>
    <w:rsid w:val="00930B4F"/>
    <w:rsid w:val="00934615"/>
    <w:rsid w:val="00937C17"/>
    <w:rsid w:val="00940A89"/>
    <w:rsid w:val="00941F77"/>
    <w:rsid w:val="009425AA"/>
    <w:rsid w:val="00946687"/>
    <w:rsid w:val="00946EA5"/>
    <w:rsid w:val="00950526"/>
    <w:rsid w:val="00953C5A"/>
    <w:rsid w:val="00953F9B"/>
    <w:rsid w:val="009556D7"/>
    <w:rsid w:val="00955F0C"/>
    <w:rsid w:val="00960520"/>
    <w:rsid w:val="00962017"/>
    <w:rsid w:val="00963C08"/>
    <w:rsid w:val="00972C10"/>
    <w:rsid w:val="009752A5"/>
    <w:rsid w:val="0098335C"/>
    <w:rsid w:val="0098585A"/>
    <w:rsid w:val="009910A6"/>
    <w:rsid w:val="00991D6C"/>
    <w:rsid w:val="009934FF"/>
    <w:rsid w:val="009A1ACF"/>
    <w:rsid w:val="009A2550"/>
    <w:rsid w:val="009A4CED"/>
    <w:rsid w:val="009A690D"/>
    <w:rsid w:val="009B06ED"/>
    <w:rsid w:val="009B1088"/>
    <w:rsid w:val="009B1A19"/>
    <w:rsid w:val="009B1D12"/>
    <w:rsid w:val="009B416B"/>
    <w:rsid w:val="009B4355"/>
    <w:rsid w:val="009C0E82"/>
    <w:rsid w:val="009C4071"/>
    <w:rsid w:val="009C4BD5"/>
    <w:rsid w:val="009C5083"/>
    <w:rsid w:val="009D126A"/>
    <w:rsid w:val="009D5C10"/>
    <w:rsid w:val="009D7B77"/>
    <w:rsid w:val="009E0BB0"/>
    <w:rsid w:val="009E373A"/>
    <w:rsid w:val="009E3FBB"/>
    <w:rsid w:val="009E5A87"/>
    <w:rsid w:val="009E6554"/>
    <w:rsid w:val="009F1652"/>
    <w:rsid w:val="009F1C46"/>
    <w:rsid w:val="009F2673"/>
    <w:rsid w:val="009F50D9"/>
    <w:rsid w:val="009F7353"/>
    <w:rsid w:val="00A005CF"/>
    <w:rsid w:val="00A00A82"/>
    <w:rsid w:val="00A024A5"/>
    <w:rsid w:val="00A02570"/>
    <w:rsid w:val="00A03414"/>
    <w:rsid w:val="00A034C8"/>
    <w:rsid w:val="00A04B16"/>
    <w:rsid w:val="00A04E50"/>
    <w:rsid w:val="00A04F85"/>
    <w:rsid w:val="00A056E9"/>
    <w:rsid w:val="00A05FA4"/>
    <w:rsid w:val="00A102E4"/>
    <w:rsid w:val="00A1219C"/>
    <w:rsid w:val="00A12C42"/>
    <w:rsid w:val="00A14DF7"/>
    <w:rsid w:val="00A175A6"/>
    <w:rsid w:val="00A20AD2"/>
    <w:rsid w:val="00A22D57"/>
    <w:rsid w:val="00A23EEA"/>
    <w:rsid w:val="00A30476"/>
    <w:rsid w:val="00A3246D"/>
    <w:rsid w:val="00A34B07"/>
    <w:rsid w:val="00A366B7"/>
    <w:rsid w:val="00A36FA7"/>
    <w:rsid w:val="00A42425"/>
    <w:rsid w:val="00A44CDE"/>
    <w:rsid w:val="00A44DDB"/>
    <w:rsid w:val="00A45459"/>
    <w:rsid w:val="00A45EA7"/>
    <w:rsid w:val="00A475B7"/>
    <w:rsid w:val="00A47AF7"/>
    <w:rsid w:val="00A47C3E"/>
    <w:rsid w:val="00A50226"/>
    <w:rsid w:val="00A60BAD"/>
    <w:rsid w:val="00A610A9"/>
    <w:rsid w:val="00A669BB"/>
    <w:rsid w:val="00A66A26"/>
    <w:rsid w:val="00A71C03"/>
    <w:rsid w:val="00A74145"/>
    <w:rsid w:val="00A77F87"/>
    <w:rsid w:val="00A80B5B"/>
    <w:rsid w:val="00A84354"/>
    <w:rsid w:val="00A84E36"/>
    <w:rsid w:val="00A85655"/>
    <w:rsid w:val="00A907E9"/>
    <w:rsid w:val="00A93A88"/>
    <w:rsid w:val="00A964D1"/>
    <w:rsid w:val="00A97DED"/>
    <w:rsid w:val="00AA0ED0"/>
    <w:rsid w:val="00AA341A"/>
    <w:rsid w:val="00AA46EF"/>
    <w:rsid w:val="00AC2535"/>
    <w:rsid w:val="00AC2B40"/>
    <w:rsid w:val="00AC2BB2"/>
    <w:rsid w:val="00AC2C3C"/>
    <w:rsid w:val="00AC512D"/>
    <w:rsid w:val="00AC74EA"/>
    <w:rsid w:val="00AC7575"/>
    <w:rsid w:val="00AD0083"/>
    <w:rsid w:val="00AD0411"/>
    <w:rsid w:val="00AD3935"/>
    <w:rsid w:val="00AE1DA5"/>
    <w:rsid w:val="00AE25C6"/>
    <w:rsid w:val="00AE65EB"/>
    <w:rsid w:val="00AE67A7"/>
    <w:rsid w:val="00AF191E"/>
    <w:rsid w:val="00AF1D94"/>
    <w:rsid w:val="00AF2313"/>
    <w:rsid w:val="00AF4190"/>
    <w:rsid w:val="00AF56EF"/>
    <w:rsid w:val="00AF60C5"/>
    <w:rsid w:val="00AF6C75"/>
    <w:rsid w:val="00B009C6"/>
    <w:rsid w:val="00B01548"/>
    <w:rsid w:val="00B07034"/>
    <w:rsid w:val="00B10609"/>
    <w:rsid w:val="00B1062D"/>
    <w:rsid w:val="00B11DF4"/>
    <w:rsid w:val="00B130C5"/>
    <w:rsid w:val="00B13EBD"/>
    <w:rsid w:val="00B1406F"/>
    <w:rsid w:val="00B15E60"/>
    <w:rsid w:val="00B15EC0"/>
    <w:rsid w:val="00B160A1"/>
    <w:rsid w:val="00B1743B"/>
    <w:rsid w:val="00B174CD"/>
    <w:rsid w:val="00B21D29"/>
    <w:rsid w:val="00B245CD"/>
    <w:rsid w:val="00B248D9"/>
    <w:rsid w:val="00B24AB1"/>
    <w:rsid w:val="00B25034"/>
    <w:rsid w:val="00B2560E"/>
    <w:rsid w:val="00B275EC"/>
    <w:rsid w:val="00B31C00"/>
    <w:rsid w:val="00B33588"/>
    <w:rsid w:val="00B33863"/>
    <w:rsid w:val="00B33997"/>
    <w:rsid w:val="00B37D17"/>
    <w:rsid w:val="00B4175E"/>
    <w:rsid w:val="00B41C0F"/>
    <w:rsid w:val="00B41C85"/>
    <w:rsid w:val="00B452CE"/>
    <w:rsid w:val="00B45E95"/>
    <w:rsid w:val="00B54C25"/>
    <w:rsid w:val="00B611EB"/>
    <w:rsid w:val="00B67AF3"/>
    <w:rsid w:val="00B72FD2"/>
    <w:rsid w:val="00B73FA9"/>
    <w:rsid w:val="00B75ADE"/>
    <w:rsid w:val="00B76B91"/>
    <w:rsid w:val="00B77B22"/>
    <w:rsid w:val="00B77E59"/>
    <w:rsid w:val="00B77EB1"/>
    <w:rsid w:val="00B8092A"/>
    <w:rsid w:val="00B811C6"/>
    <w:rsid w:val="00B855B0"/>
    <w:rsid w:val="00B90AC3"/>
    <w:rsid w:val="00B91DAE"/>
    <w:rsid w:val="00B92E08"/>
    <w:rsid w:val="00B94218"/>
    <w:rsid w:val="00B96F11"/>
    <w:rsid w:val="00B97C85"/>
    <w:rsid w:val="00BA2BC1"/>
    <w:rsid w:val="00BA3149"/>
    <w:rsid w:val="00BA636E"/>
    <w:rsid w:val="00BA79E7"/>
    <w:rsid w:val="00BB0B78"/>
    <w:rsid w:val="00BB2DA0"/>
    <w:rsid w:val="00BB562E"/>
    <w:rsid w:val="00BB70A8"/>
    <w:rsid w:val="00BB75D6"/>
    <w:rsid w:val="00BB7D6C"/>
    <w:rsid w:val="00BC0957"/>
    <w:rsid w:val="00BC0C05"/>
    <w:rsid w:val="00BC2339"/>
    <w:rsid w:val="00BC31AC"/>
    <w:rsid w:val="00BC622A"/>
    <w:rsid w:val="00BD0B3A"/>
    <w:rsid w:val="00BD1579"/>
    <w:rsid w:val="00BE0A78"/>
    <w:rsid w:val="00BE10CC"/>
    <w:rsid w:val="00BE6542"/>
    <w:rsid w:val="00BE7808"/>
    <w:rsid w:val="00BE79F0"/>
    <w:rsid w:val="00BF046D"/>
    <w:rsid w:val="00BF1190"/>
    <w:rsid w:val="00BF1548"/>
    <w:rsid w:val="00BF2685"/>
    <w:rsid w:val="00BF3774"/>
    <w:rsid w:val="00BF390E"/>
    <w:rsid w:val="00BF4261"/>
    <w:rsid w:val="00BF5D04"/>
    <w:rsid w:val="00BF6CFF"/>
    <w:rsid w:val="00BF7063"/>
    <w:rsid w:val="00BF72A0"/>
    <w:rsid w:val="00C009AA"/>
    <w:rsid w:val="00C03050"/>
    <w:rsid w:val="00C06788"/>
    <w:rsid w:val="00C1164D"/>
    <w:rsid w:val="00C12A32"/>
    <w:rsid w:val="00C141C1"/>
    <w:rsid w:val="00C144DC"/>
    <w:rsid w:val="00C16861"/>
    <w:rsid w:val="00C246DD"/>
    <w:rsid w:val="00C34133"/>
    <w:rsid w:val="00C346AB"/>
    <w:rsid w:val="00C40155"/>
    <w:rsid w:val="00C404A6"/>
    <w:rsid w:val="00C40A36"/>
    <w:rsid w:val="00C40D9A"/>
    <w:rsid w:val="00C41219"/>
    <w:rsid w:val="00C43B72"/>
    <w:rsid w:val="00C44419"/>
    <w:rsid w:val="00C45E7B"/>
    <w:rsid w:val="00C466BE"/>
    <w:rsid w:val="00C471B1"/>
    <w:rsid w:val="00C525A2"/>
    <w:rsid w:val="00C52C61"/>
    <w:rsid w:val="00C52E24"/>
    <w:rsid w:val="00C541C0"/>
    <w:rsid w:val="00C60E44"/>
    <w:rsid w:val="00C628C7"/>
    <w:rsid w:val="00C63012"/>
    <w:rsid w:val="00C6316B"/>
    <w:rsid w:val="00C634A9"/>
    <w:rsid w:val="00C64586"/>
    <w:rsid w:val="00C70A36"/>
    <w:rsid w:val="00C70D53"/>
    <w:rsid w:val="00C710F3"/>
    <w:rsid w:val="00C73D0B"/>
    <w:rsid w:val="00C74F5C"/>
    <w:rsid w:val="00C7507B"/>
    <w:rsid w:val="00C772FF"/>
    <w:rsid w:val="00C80137"/>
    <w:rsid w:val="00C801AF"/>
    <w:rsid w:val="00C80256"/>
    <w:rsid w:val="00C846BD"/>
    <w:rsid w:val="00C86683"/>
    <w:rsid w:val="00C928FE"/>
    <w:rsid w:val="00C9341F"/>
    <w:rsid w:val="00C94CD4"/>
    <w:rsid w:val="00C95861"/>
    <w:rsid w:val="00C9747E"/>
    <w:rsid w:val="00CA6C4A"/>
    <w:rsid w:val="00CB5209"/>
    <w:rsid w:val="00CB54B0"/>
    <w:rsid w:val="00CB6695"/>
    <w:rsid w:val="00CB6BC0"/>
    <w:rsid w:val="00CB6DE6"/>
    <w:rsid w:val="00CC1B7C"/>
    <w:rsid w:val="00CC5044"/>
    <w:rsid w:val="00CC727F"/>
    <w:rsid w:val="00CD600D"/>
    <w:rsid w:val="00CF0B90"/>
    <w:rsid w:val="00CF142D"/>
    <w:rsid w:val="00CF15C3"/>
    <w:rsid w:val="00CF2B6F"/>
    <w:rsid w:val="00CF2F3E"/>
    <w:rsid w:val="00CF58B6"/>
    <w:rsid w:val="00CF5DAD"/>
    <w:rsid w:val="00CF69AF"/>
    <w:rsid w:val="00D0062D"/>
    <w:rsid w:val="00D017ED"/>
    <w:rsid w:val="00D040D3"/>
    <w:rsid w:val="00D04C65"/>
    <w:rsid w:val="00D05A19"/>
    <w:rsid w:val="00D06F01"/>
    <w:rsid w:val="00D153D8"/>
    <w:rsid w:val="00D161FC"/>
    <w:rsid w:val="00D201D2"/>
    <w:rsid w:val="00D212F3"/>
    <w:rsid w:val="00D224FE"/>
    <w:rsid w:val="00D23139"/>
    <w:rsid w:val="00D3113F"/>
    <w:rsid w:val="00D37C5C"/>
    <w:rsid w:val="00D425BB"/>
    <w:rsid w:val="00D4288C"/>
    <w:rsid w:val="00D43114"/>
    <w:rsid w:val="00D4421F"/>
    <w:rsid w:val="00D453FA"/>
    <w:rsid w:val="00D536C8"/>
    <w:rsid w:val="00D56348"/>
    <w:rsid w:val="00D5671F"/>
    <w:rsid w:val="00D56C29"/>
    <w:rsid w:val="00D62A98"/>
    <w:rsid w:val="00D6493E"/>
    <w:rsid w:val="00D7195D"/>
    <w:rsid w:val="00D72CBA"/>
    <w:rsid w:val="00D7301E"/>
    <w:rsid w:val="00D73E45"/>
    <w:rsid w:val="00D75912"/>
    <w:rsid w:val="00D76956"/>
    <w:rsid w:val="00D821D8"/>
    <w:rsid w:val="00D83AE1"/>
    <w:rsid w:val="00D854AC"/>
    <w:rsid w:val="00D855D4"/>
    <w:rsid w:val="00D902C9"/>
    <w:rsid w:val="00D93466"/>
    <w:rsid w:val="00DA1124"/>
    <w:rsid w:val="00DA2A59"/>
    <w:rsid w:val="00DA2AD5"/>
    <w:rsid w:val="00DA52BF"/>
    <w:rsid w:val="00DA54CB"/>
    <w:rsid w:val="00DA5A6C"/>
    <w:rsid w:val="00DA64CB"/>
    <w:rsid w:val="00DB06B8"/>
    <w:rsid w:val="00DB0715"/>
    <w:rsid w:val="00DB0896"/>
    <w:rsid w:val="00DB22F1"/>
    <w:rsid w:val="00DB34B8"/>
    <w:rsid w:val="00DB6124"/>
    <w:rsid w:val="00DB750B"/>
    <w:rsid w:val="00DB75B7"/>
    <w:rsid w:val="00DC0A2F"/>
    <w:rsid w:val="00DC1948"/>
    <w:rsid w:val="00DC35D3"/>
    <w:rsid w:val="00DC4F08"/>
    <w:rsid w:val="00DC5A5F"/>
    <w:rsid w:val="00DC6E02"/>
    <w:rsid w:val="00DD28CD"/>
    <w:rsid w:val="00DD4649"/>
    <w:rsid w:val="00DD7A8D"/>
    <w:rsid w:val="00DE02AE"/>
    <w:rsid w:val="00DE02FD"/>
    <w:rsid w:val="00DE09CE"/>
    <w:rsid w:val="00DE39D1"/>
    <w:rsid w:val="00DF0E81"/>
    <w:rsid w:val="00DF1D7F"/>
    <w:rsid w:val="00DF231A"/>
    <w:rsid w:val="00DF4BE4"/>
    <w:rsid w:val="00DF5CBC"/>
    <w:rsid w:val="00DF6A5F"/>
    <w:rsid w:val="00DF7C6F"/>
    <w:rsid w:val="00E01109"/>
    <w:rsid w:val="00E012C7"/>
    <w:rsid w:val="00E02382"/>
    <w:rsid w:val="00E02FB4"/>
    <w:rsid w:val="00E04E7A"/>
    <w:rsid w:val="00E13FC7"/>
    <w:rsid w:val="00E15FCD"/>
    <w:rsid w:val="00E169F0"/>
    <w:rsid w:val="00E16A93"/>
    <w:rsid w:val="00E203BE"/>
    <w:rsid w:val="00E20571"/>
    <w:rsid w:val="00E235F7"/>
    <w:rsid w:val="00E23659"/>
    <w:rsid w:val="00E239D4"/>
    <w:rsid w:val="00E25623"/>
    <w:rsid w:val="00E25D6F"/>
    <w:rsid w:val="00E26130"/>
    <w:rsid w:val="00E26439"/>
    <w:rsid w:val="00E33534"/>
    <w:rsid w:val="00E33D42"/>
    <w:rsid w:val="00E3677E"/>
    <w:rsid w:val="00E40B22"/>
    <w:rsid w:val="00E41517"/>
    <w:rsid w:val="00E41661"/>
    <w:rsid w:val="00E44B57"/>
    <w:rsid w:val="00E44ED1"/>
    <w:rsid w:val="00E45619"/>
    <w:rsid w:val="00E4588F"/>
    <w:rsid w:val="00E45B42"/>
    <w:rsid w:val="00E46DA3"/>
    <w:rsid w:val="00E51BB1"/>
    <w:rsid w:val="00E53242"/>
    <w:rsid w:val="00E54251"/>
    <w:rsid w:val="00E55CB0"/>
    <w:rsid w:val="00E56379"/>
    <w:rsid w:val="00E60000"/>
    <w:rsid w:val="00E60854"/>
    <w:rsid w:val="00E624A5"/>
    <w:rsid w:val="00E64BA4"/>
    <w:rsid w:val="00E67635"/>
    <w:rsid w:val="00E7085B"/>
    <w:rsid w:val="00E71FD8"/>
    <w:rsid w:val="00E7344E"/>
    <w:rsid w:val="00E81599"/>
    <w:rsid w:val="00E82665"/>
    <w:rsid w:val="00E82FEF"/>
    <w:rsid w:val="00E850AB"/>
    <w:rsid w:val="00E876F5"/>
    <w:rsid w:val="00E946FC"/>
    <w:rsid w:val="00E96255"/>
    <w:rsid w:val="00EA03A8"/>
    <w:rsid w:val="00EA0E51"/>
    <w:rsid w:val="00EA0EBF"/>
    <w:rsid w:val="00EA4C5F"/>
    <w:rsid w:val="00EA6290"/>
    <w:rsid w:val="00EB0798"/>
    <w:rsid w:val="00EB36D6"/>
    <w:rsid w:val="00EB3FCC"/>
    <w:rsid w:val="00EB40AD"/>
    <w:rsid w:val="00EB586E"/>
    <w:rsid w:val="00EB5FC8"/>
    <w:rsid w:val="00EB7D22"/>
    <w:rsid w:val="00EC356D"/>
    <w:rsid w:val="00EC3D18"/>
    <w:rsid w:val="00EC463D"/>
    <w:rsid w:val="00EC6AD2"/>
    <w:rsid w:val="00EC7A85"/>
    <w:rsid w:val="00EC7F71"/>
    <w:rsid w:val="00EC7F82"/>
    <w:rsid w:val="00ED1209"/>
    <w:rsid w:val="00ED2922"/>
    <w:rsid w:val="00ED39FF"/>
    <w:rsid w:val="00ED3CAD"/>
    <w:rsid w:val="00ED4B2C"/>
    <w:rsid w:val="00ED5A26"/>
    <w:rsid w:val="00ED5A41"/>
    <w:rsid w:val="00ED7347"/>
    <w:rsid w:val="00EE0C1B"/>
    <w:rsid w:val="00EE0C1E"/>
    <w:rsid w:val="00EE1DB5"/>
    <w:rsid w:val="00EE1DE8"/>
    <w:rsid w:val="00EE27C2"/>
    <w:rsid w:val="00EE3A1F"/>
    <w:rsid w:val="00EE6863"/>
    <w:rsid w:val="00EE7489"/>
    <w:rsid w:val="00EF0785"/>
    <w:rsid w:val="00EF09D1"/>
    <w:rsid w:val="00EF1E18"/>
    <w:rsid w:val="00EF3EF6"/>
    <w:rsid w:val="00EF4BAD"/>
    <w:rsid w:val="00EF545E"/>
    <w:rsid w:val="00EF59DC"/>
    <w:rsid w:val="00EF6CC1"/>
    <w:rsid w:val="00F00867"/>
    <w:rsid w:val="00F033EC"/>
    <w:rsid w:val="00F0355D"/>
    <w:rsid w:val="00F03CD2"/>
    <w:rsid w:val="00F04F68"/>
    <w:rsid w:val="00F06956"/>
    <w:rsid w:val="00F1007B"/>
    <w:rsid w:val="00F10DD5"/>
    <w:rsid w:val="00F12670"/>
    <w:rsid w:val="00F14B27"/>
    <w:rsid w:val="00F23C09"/>
    <w:rsid w:val="00F250D5"/>
    <w:rsid w:val="00F2516C"/>
    <w:rsid w:val="00F25CAE"/>
    <w:rsid w:val="00F273B7"/>
    <w:rsid w:val="00F3148D"/>
    <w:rsid w:val="00F325C5"/>
    <w:rsid w:val="00F32FE0"/>
    <w:rsid w:val="00F336B7"/>
    <w:rsid w:val="00F343C5"/>
    <w:rsid w:val="00F35298"/>
    <w:rsid w:val="00F37822"/>
    <w:rsid w:val="00F47333"/>
    <w:rsid w:val="00F47E37"/>
    <w:rsid w:val="00F5065B"/>
    <w:rsid w:val="00F52C4E"/>
    <w:rsid w:val="00F53C07"/>
    <w:rsid w:val="00F54B65"/>
    <w:rsid w:val="00F606C3"/>
    <w:rsid w:val="00F607CD"/>
    <w:rsid w:val="00F630E9"/>
    <w:rsid w:val="00F63DBF"/>
    <w:rsid w:val="00F640B6"/>
    <w:rsid w:val="00F66DF2"/>
    <w:rsid w:val="00F71757"/>
    <w:rsid w:val="00F72A86"/>
    <w:rsid w:val="00F80E40"/>
    <w:rsid w:val="00F83450"/>
    <w:rsid w:val="00F848D9"/>
    <w:rsid w:val="00F931CE"/>
    <w:rsid w:val="00F94258"/>
    <w:rsid w:val="00F961F6"/>
    <w:rsid w:val="00FA167A"/>
    <w:rsid w:val="00FA4BBA"/>
    <w:rsid w:val="00FA4DBD"/>
    <w:rsid w:val="00FA5069"/>
    <w:rsid w:val="00FA5B82"/>
    <w:rsid w:val="00FA639E"/>
    <w:rsid w:val="00FA69AC"/>
    <w:rsid w:val="00FA6CE6"/>
    <w:rsid w:val="00FA74EB"/>
    <w:rsid w:val="00FB11DC"/>
    <w:rsid w:val="00FB26DF"/>
    <w:rsid w:val="00FB3C63"/>
    <w:rsid w:val="00FB513F"/>
    <w:rsid w:val="00FB61C6"/>
    <w:rsid w:val="00FC1FCA"/>
    <w:rsid w:val="00FC25E4"/>
    <w:rsid w:val="00FC2B76"/>
    <w:rsid w:val="00FC4EF7"/>
    <w:rsid w:val="00FC5EA8"/>
    <w:rsid w:val="00FC65C7"/>
    <w:rsid w:val="00FC6B33"/>
    <w:rsid w:val="00FD0662"/>
    <w:rsid w:val="00FD0824"/>
    <w:rsid w:val="00FD0FDC"/>
    <w:rsid w:val="00FD119B"/>
    <w:rsid w:val="00FD12A6"/>
    <w:rsid w:val="00FD1590"/>
    <w:rsid w:val="00FD1EDC"/>
    <w:rsid w:val="00FD2E45"/>
    <w:rsid w:val="00FD6133"/>
    <w:rsid w:val="00FE1DEE"/>
    <w:rsid w:val="00FE3C29"/>
    <w:rsid w:val="00FE750F"/>
    <w:rsid w:val="00FF052E"/>
    <w:rsid w:val="00FF2126"/>
    <w:rsid w:val="00FF5078"/>
    <w:rsid w:val="00FF5755"/>
    <w:rsid w:val="00FF69BE"/>
    <w:rsid w:val="00FF7B93"/>
    <w:rsid w:val="03FED383"/>
    <w:rsid w:val="07805E46"/>
    <w:rsid w:val="0A51C5AA"/>
    <w:rsid w:val="0BC06E6B"/>
    <w:rsid w:val="0BC993BC"/>
    <w:rsid w:val="0D85A2A6"/>
    <w:rsid w:val="10215EBC"/>
    <w:rsid w:val="10431A05"/>
    <w:rsid w:val="14373A58"/>
    <w:rsid w:val="1672BB72"/>
    <w:rsid w:val="184C55D8"/>
    <w:rsid w:val="1894F366"/>
    <w:rsid w:val="1A047671"/>
    <w:rsid w:val="1DC2B3ED"/>
    <w:rsid w:val="1E648BC7"/>
    <w:rsid w:val="1E73386C"/>
    <w:rsid w:val="25873532"/>
    <w:rsid w:val="270D396C"/>
    <w:rsid w:val="27D5B8AB"/>
    <w:rsid w:val="27F66750"/>
    <w:rsid w:val="28B9F2A5"/>
    <w:rsid w:val="292402B8"/>
    <w:rsid w:val="29BBA7A6"/>
    <w:rsid w:val="2B29C093"/>
    <w:rsid w:val="2B499A94"/>
    <w:rsid w:val="2CD2F58A"/>
    <w:rsid w:val="2DD34F3E"/>
    <w:rsid w:val="2F598751"/>
    <w:rsid w:val="2F6AA9DF"/>
    <w:rsid w:val="33588834"/>
    <w:rsid w:val="358BC0A3"/>
    <w:rsid w:val="3D85B223"/>
    <w:rsid w:val="3D99468A"/>
    <w:rsid w:val="3EBB8E3A"/>
    <w:rsid w:val="3EE3D941"/>
    <w:rsid w:val="433DEBF5"/>
    <w:rsid w:val="43E4D78A"/>
    <w:rsid w:val="448272E1"/>
    <w:rsid w:val="44E9978C"/>
    <w:rsid w:val="48DFE25C"/>
    <w:rsid w:val="48E87E85"/>
    <w:rsid w:val="4F12048B"/>
    <w:rsid w:val="4F16E252"/>
    <w:rsid w:val="52531DD7"/>
    <w:rsid w:val="52CA940A"/>
    <w:rsid w:val="535DE1FE"/>
    <w:rsid w:val="5A07AE48"/>
    <w:rsid w:val="5AE5E48B"/>
    <w:rsid w:val="5C628741"/>
    <w:rsid w:val="5C73D5D8"/>
    <w:rsid w:val="5DBA7F5C"/>
    <w:rsid w:val="5E71B49E"/>
    <w:rsid w:val="5FF7F94D"/>
    <w:rsid w:val="674B9985"/>
    <w:rsid w:val="679B2CA1"/>
    <w:rsid w:val="6960E393"/>
    <w:rsid w:val="6D6415BD"/>
    <w:rsid w:val="705C9D45"/>
    <w:rsid w:val="7114B944"/>
    <w:rsid w:val="7433BE35"/>
    <w:rsid w:val="7567EFA6"/>
    <w:rsid w:val="7781EB37"/>
    <w:rsid w:val="7915BFF1"/>
    <w:rsid w:val="7A089DC4"/>
    <w:rsid w:val="7CE4B4C7"/>
    <w:rsid w:val="7CF6B66D"/>
    <w:rsid w:val="7ED68E4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757BD"/>
  <w15:docId w15:val="{AC3EE290-AD0F-4479-9D26-63D3E2C8F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55F0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Univers 57 Condensed" w:hAnsi="Univers 57 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Univers 57 Condensed" w:hAnsi="Univers 57 Condensed"/>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Univers 57 Condensed" w:hAnsi="Univers 57 Condensed"/>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unhideWhenUsed/>
    <w:rsid w:val="009F2673"/>
    <w:rPr>
      <w:color w:val="605E5C"/>
      <w:shd w:val="clear" w:color="auto" w:fill="E1DFDD"/>
    </w:rPr>
  </w:style>
  <w:style w:type="paragraph" w:styleId="ListParagraph">
    <w:name w:val="List Paragraph"/>
    <w:basedOn w:val="Normal"/>
    <w:link w:val="ListParagraphChar"/>
    <w:uiPriority w:val="34"/>
    <w:qFormat/>
    <w:rsid w:val="002C1324"/>
    <w:pPr>
      <w:adjustRightInd w:val="0"/>
      <w:snapToGrid w:val="0"/>
      <w:spacing w:before="180" w:after="180"/>
      <w:ind w:left="720"/>
      <w:contextualSpacing/>
    </w:pPr>
    <w:rPr>
      <w:rFonts w:eastAsia="MS Mincho"/>
      <w:szCs w:val="20"/>
      <w:lang w:eastAsia="ja-JP"/>
    </w:rPr>
  </w:style>
  <w:style w:type="character" w:customStyle="1" w:styleId="ListParagraphChar">
    <w:name w:val="List Paragraph Char"/>
    <w:basedOn w:val="DefaultParagraphFont"/>
    <w:link w:val="ListParagraph"/>
    <w:uiPriority w:val="34"/>
    <w:rsid w:val="002C1324"/>
    <w:rPr>
      <w:rFonts w:ascii="Cambria" w:eastAsia="MS Mincho" w:hAnsi="Cambria" w:cs="Times New Roman"/>
      <w:szCs w:val="20"/>
      <w:lang w:eastAsia="ja-JP"/>
    </w:rPr>
  </w:style>
  <w:style w:type="table" w:customStyle="1" w:styleId="TableTGAblue1">
    <w:name w:val="Table TGA blue1"/>
    <w:basedOn w:val="TableNormal"/>
    <w:uiPriority w:val="99"/>
    <w:qFormat/>
    <w:rsid w:val="00E3677E"/>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Univers 57 Condensed" w:hAnsi="Univers 57 Condensed"/>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ue2">
    <w:name w:val="Table TGA blue2"/>
    <w:basedOn w:val="TableNormal"/>
    <w:uiPriority w:val="99"/>
    <w:qFormat/>
    <w:rsid w:val="00BA2BC1"/>
    <w:rPr>
      <w:rFonts w:ascii="Cambria" w:eastAsia="Cambria" w:hAnsi="Cambria"/>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cPr>
      <w:shd w:val="clear" w:color="auto" w:fill="auto"/>
    </w:tcPr>
    <w:tblStylePr w:type="firstRow">
      <w:pPr>
        <w:keepNext/>
        <w:wordWrap/>
      </w:pPr>
      <w:rPr>
        <w:rFonts w:ascii="Univers 57 Condensed" w:hAnsi="Univers 57 Condensed"/>
        <w:b/>
        <w:color w:val="FFFFFF"/>
        <w:sz w:val="22"/>
      </w:rPr>
      <w:tblPr/>
      <w:trPr>
        <w:cantSplit/>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style>
  <w:style w:type="table" w:styleId="TableGridLight">
    <w:name w:val="Grid Table Light"/>
    <w:basedOn w:val="TableNormal"/>
    <w:uiPriority w:val="40"/>
    <w:rsid w:val="00355AA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55A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55AA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55AA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55AA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ED4B2C"/>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Mention1">
    <w:name w:val="Mention1"/>
    <w:basedOn w:val="DefaultParagraphFont"/>
    <w:uiPriority w:val="99"/>
    <w:unhideWhenUsed/>
    <w:rsid w:val="001D0FE0"/>
    <w:rPr>
      <w:color w:val="2B579A"/>
      <w:shd w:val="clear" w:color="auto" w:fill="E1DFDD"/>
    </w:rPr>
  </w:style>
  <w:style w:type="character" w:customStyle="1" w:styleId="ui-provider">
    <w:name w:val="ui-provider"/>
    <w:basedOn w:val="DefaultParagraphFont"/>
    <w:rsid w:val="00B339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942051">
      <w:bodyDiv w:val="1"/>
      <w:marLeft w:val="0"/>
      <w:marRight w:val="0"/>
      <w:marTop w:val="0"/>
      <w:marBottom w:val="0"/>
      <w:divBdr>
        <w:top w:val="none" w:sz="0" w:space="0" w:color="auto"/>
        <w:left w:val="none" w:sz="0" w:space="0" w:color="auto"/>
        <w:bottom w:val="none" w:sz="0" w:space="0" w:color="auto"/>
        <w:right w:val="none" w:sz="0" w:space="0" w:color="auto"/>
      </w:divBdr>
      <w:divsChild>
        <w:div w:id="19206085">
          <w:marLeft w:val="0"/>
          <w:marRight w:val="0"/>
          <w:marTop w:val="0"/>
          <w:marBottom w:val="0"/>
          <w:divBdr>
            <w:top w:val="single" w:sz="6" w:space="0" w:color="DDDDDD"/>
            <w:left w:val="single" w:sz="6" w:space="0" w:color="DDDDDD"/>
            <w:bottom w:val="single" w:sz="6" w:space="0" w:color="DDDDDD"/>
            <w:right w:val="single" w:sz="6" w:space="0" w:color="DDDDDD"/>
          </w:divBdr>
          <w:divsChild>
            <w:div w:id="1562012836">
              <w:marLeft w:val="0"/>
              <w:marRight w:val="0"/>
              <w:marTop w:val="0"/>
              <w:marBottom w:val="0"/>
              <w:divBdr>
                <w:top w:val="none" w:sz="0" w:space="0" w:color="auto"/>
                <w:left w:val="none" w:sz="0" w:space="0" w:color="auto"/>
                <w:bottom w:val="none" w:sz="0" w:space="0" w:color="auto"/>
                <w:right w:val="none" w:sz="0" w:space="0" w:color="auto"/>
              </w:divBdr>
              <w:divsChild>
                <w:div w:id="1542132206">
                  <w:marLeft w:val="0"/>
                  <w:marRight w:val="0"/>
                  <w:marTop w:val="0"/>
                  <w:marBottom w:val="0"/>
                  <w:divBdr>
                    <w:top w:val="none" w:sz="0" w:space="0" w:color="auto"/>
                    <w:left w:val="none" w:sz="0" w:space="0" w:color="auto"/>
                    <w:bottom w:val="none" w:sz="0" w:space="0" w:color="auto"/>
                    <w:right w:val="none" w:sz="0" w:space="0" w:color="auto"/>
                  </w:divBdr>
                  <w:divsChild>
                    <w:div w:id="25220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27077">
      <w:bodyDiv w:val="1"/>
      <w:marLeft w:val="0"/>
      <w:marRight w:val="0"/>
      <w:marTop w:val="0"/>
      <w:marBottom w:val="0"/>
      <w:divBdr>
        <w:top w:val="none" w:sz="0" w:space="0" w:color="auto"/>
        <w:left w:val="none" w:sz="0" w:space="0" w:color="auto"/>
        <w:bottom w:val="none" w:sz="0" w:space="0" w:color="auto"/>
        <w:right w:val="none" w:sz="0" w:space="0" w:color="auto"/>
      </w:divBdr>
    </w:div>
    <w:div w:id="239758193">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03630746">
      <w:bodyDiv w:val="1"/>
      <w:marLeft w:val="0"/>
      <w:marRight w:val="0"/>
      <w:marTop w:val="0"/>
      <w:marBottom w:val="0"/>
      <w:divBdr>
        <w:top w:val="none" w:sz="0" w:space="0" w:color="auto"/>
        <w:left w:val="none" w:sz="0" w:space="0" w:color="auto"/>
        <w:bottom w:val="none" w:sz="0" w:space="0" w:color="auto"/>
        <w:right w:val="none" w:sz="0" w:space="0" w:color="auto"/>
      </w:divBdr>
    </w:div>
    <w:div w:id="320086495">
      <w:bodyDiv w:val="1"/>
      <w:marLeft w:val="0"/>
      <w:marRight w:val="0"/>
      <w:marTop w:val="0"/>
      <w:marBottom w:val="0"/>
      <w:divBdr>
        <w:top w:val="none" w:sz="0" w:space="0" w:color="auto"/>
        <w:left w:val="none" w:sz="0" w:space="0" w:color="auto"/>
        <w:bottom w:val="none" w:sz="0" w:space="0" w:color="auto"/>
        <w:right w:val="none" w:sz="0" w:space="0" w:color="auto"/>
      </w:divBdr>
    </w:div>
    <w:div w:id="327289680">
      <w:bodyDiv w:val="1"/>
      <w:marLeft w:val="0"/>
      <w:marRight w:val="0"/>
      <w:marTop w:val="0"/>
      <w:marBottom w:val="0"/>
      <w:divBdr>
        <w:top w:val="none" w:sz="0" w:space="0" w:color="auto"/>
        <w:left w:val="none" w:sz="0" w:space="0" w:color="auto"/>
        <w:bottom w:val="none" w:sz="0" w:space="0" w:color="auto"/>
        <w:right w:val="none" w:sz="0" w:space="0" w:color="auto"/>
      </w:divBdr>
    </w:div>
    <w:div w:id="458229532">
      <w:bodyDiv w:val="1"/>
      <w:marLeft w:val="0"/>
      <w:marRight w:val="0"/>
      <w:marTop w:val="0"/>
      <w:marBottom w:val="0"/>
      <w:divBdr>
        <w:top w:val="none" w:sz="0" w:space="0" w:color="auto"/>
        <w:left w:val="none" w:sz="0" w:space="0" w:color="auto"/>
        <w:bottom w:val="none" w:sz="0" w:space="0" w:color="auto"/>
        <w:right w:val="none" w:sz="0" w:space="0" w:color="auto"/>
      </w:divBdr>
    </w:div>
    <w:div w:id="478156069">
      <w:bodyDiv w:val="1"/>
      <w:marLeft w:val="0"/>
      <w:marRight w:val="0"/>
      <w:marTop w:val="0"/>
      <w:marBottom w:val="0"/>
      <w:divBdr>
        <w:top w:val="none" w:sz="0" w:space="0" w:color="auto"/>
        <w:left w:val="none" w:sz="0" w:space="0" w:color="auto"/>
        <w:bottom w:val="none" w:sz="0" w:space="0" w:color="auto"/>
        <w:right w:val="none" w:sz="0" w:space="0" w:color="auto"/>
      </w:divBdr>
    </w:div>
    <w:div w:id="485514896">
      <w:bodyDiv w:val="1"/>
      <w:marLeft w:val="0"/>
      <w:marRight w:val="0"/>
      <w:marTop w:val="0"/>
      <w:marBottom w:val="0"/>
      <w:divBdr>
        <w:top w:val="none" w:sz="0" w:space="0" w:color="auto"/>
        <w:left w:val="none" w:sz="0" w:space="0" w:color="auto"/>
        <w:bottom w:val="none" w:sz="0" w:space="0" w:color="auto"/>
        <w:right w:val="none" w:sz="0" w:space="0" w:color="auto"/>
      </w:divBdr>
    </w:div>
    <w:div w:id="499275371">
      <w:bodyDiv w:val="1"/>
      <w:marLeft w:val="0"/>
      <w:marRight w:val="0"/>
      <w:marTop w:val="0"/>
      <w:marBottom w:val="0"/>
      <w:divBdr>
        <w:top w:val="none" w:sz="0" w:space="0" w:color="auto"/>
        <w:left w:val="none" w:sz="0" w:space="0" w:color="auto"/>
        <w:bottom w:val="none" w:sz="0" w:space="0" w:color="auto"/>
        <w:right w:val="none" w:sz="0" w:space="0" w:color="auto"/>
      </w:divBdr>
    </w:div>
    <w:div w:id="519708810">
      <w:bodyDiv w:val="1"/>
      <w:marLeft w:val="0"/>
      <w:marRight w:val="0"/>
      <w:marTop w:val="0"/>
      <w:marBottom w:val="0"/>
      <w:divBdr>
        <w:top w:val="none" w:sz="0" w:space="0" w:color="auto"/>
        <w:left w:val="none" w:sz="0" w:space="0" w:color="auto"/>
        <w:bottom w:val="none" w:sz="0" w:space="0" w:color="auto"/>
        <w:right w:val="none" w:sz="0" w:space="0" w:color="auto"/>
      </w:divBdr>
    </w:div>
    <w:div w:id="540172140">
      <w:bodyDiv w:val="1"/>
      <w:marLeft w:val="0"/>
      <w:marRight w:val="0"/>
      <w:marTop w:val="0"/>
      <w:marBottom w:val="0"/>
      <w:divBdr>
        <w:top w:val="none" w:sz="0" w:space="0" w:color="auto"/>
        <w:left w:val="none" w:sz="0" w:space="0" w:color="auto"/>
        <w:bottom w:val="none" w:sz="0" w:space="0" w:color="auto"/>
        <w:right w:val="none" w:sz="0" w:space="0" w:color="auto"/>
      </w:divBdr>
    </w:div>
    <w:div w:id="713893418">
      <w:bodyDiv w:val="1"/>
      <w:marLeft w:val="0"/>
      <w:marRight w:val="0"/>
      <w:marTop w:val="0"/>
      <w:marBottom w:val="0"/>
      <w:divBdr>
        <w:top w:val="none" w:sz="0" w:space="0" w:color="auto"/>
        <w:left w:val="none" w:sz="0" w:space="0" w:color="auto"/>
        <w:bottom w:val="none" w:sz="0" w:space="0" w:color="auto"/>
        <w:right w:val="none" w:sz="0" w:space="0" w:color="auto"/>
      </w:divBdr>
    </w:div>
    <w:div w:id="754324842">
      <w:bodyDiv w:val="1"/>
      <w:marLeft w:val="0"/>
      <w:marRight w:val="0"/>
      <w:marTop w:val="0"/>
      <w:marBottom w:val="0"/>
      <w:divBdr>
        <w:top w:val="none" w:sz="0" w:space="0" w:color="auto"/>
        <w:left w:val="none" w:sz="0" w:space="0" w:color="auto"/>
        <w:bottom w:val="none" w:sz="0" w:space="0" w:color="auto"/>
        <w:right w:val="none" w:sz="0" w:space="0" w:color="auto"/>
      </w:divBdr>
    </w:div>
    <w:div w:id="791897556">
      <w:bodyDiv w:val="1"/>
      <w:marLeft w:val="0"/>
      <w:marRight w:val="0"/>
      <w:marTop w:val="0"/>
      <w:marBottom w:val="0"/>
      <w:divBdr>
        <w:top w:val="none" w:sz="0" w:space="0" w:color="auto"/>
        <w:left w:val="none" w:sz="0" w:space="0" w:color="auto"/>
        <w:bottom w:val="none" w:sz="0" w:space="0" w:color="auto"/>
        <w:right w:val="none" w:sz="0" w:space="0" w:color="auto"/>
      </w:divBdr>
    </w:div>
    <w:div w:id="871577599">
      <w:bodyDiv w:val="1"/>
      <w:marLeft w:val="0"/>
      <w:marRight w:val="0"/>
      <w:marTop w:val="0"/>
      <w:marBottom w:val="0"/>
      <w:divBdr>
        <w:top w:val="none" w:sz="0" w:space="0" w:color="auto"/>
        <w:left w:val="none" w:sz="0" w:space="0" w:color="auto"/>
        <w:bottom w:val="none" w:sz="0" w:space="0" w:color="auto"/>
        <w:right w:val="none" w:sz="0" w:space="0" w:color="auto"/>
      </w:divBdr>
    </w:div>
    <w:div w:id="905839760">
      <w:bodyDiv w:val="1"/>
      <w:marLeft w:val="0"/>
      <w:marRight w:val="0"/>
      <w:marTop w:val="0"/>
      <w:marBottom w:val="0"/>
      <w:divBdr>
        <w:top w:val="none" w:sz="0" w:space="0" w:color="auto"/>
        <w:left w:val="none" w:sz="0" w:space="0" w:color="auto"/>
        <w:bottom w:val="none" w:sz="0" w:space="0" w:color="auto"/>
        <w:right w:val="none" w:sz="0" w:space="0" w:color="auto"/>
      </w:divBdr>
    </w:div>
    <w:div w:id="929851553">
      <w:bodyDiv w:val="1"/>
      <w:marLeft w:val="0"/>
      <w:marRight w:val="0"/>
      <w:marTop w:val="0"/>
      <w:marBottom w:val="0"/>
      <w:divBdr>
        <w:top w:val="none" w:sz="0" w:space="0" w:color="auto"/>
        <w:left w:val="none" w:sz="0" w:space="0" w:color="auto"/>
        <w:bottom w:val="none" w:sz="0" w:space="0" w:color="auto"/>
        <w:right w:val="none" w:sz="0" w:space="0" w:color="auto"/>
      </w:divBdr>
    </w:div>
    <w:div w:id="933437559">
      <w:bodyDiv w:val="1"/>
      <w:marLeft w:val="0"/>
      <w:marRight w:val="0"/>
      <w:marTop w:val="0"/>
      <w:marBottom w:val="0"/>
      <w:divBdr>
        <w:top w:val="none" w:sz="0" w:space="0" w:color="auto"/>
        <w:left w:val="none" w:sz="0" w:space="0" w:color="auto"/>
        <w:bottom w:val="none" w:sz="0" w:space="0" w:color="auto"/>
        <w:right w:val="none" w:sz="0" w:space="0" w:color="auto"/>
      </w:divBdr>
    </w:div>
    <w:div w:id="960107704">
      <w:bodyDiv w:val="1"/>
      <w:marLeft w:val="0"/>
      <w:marRight w:val="0"/>
      <w:marTop w:val="0"/>
      <w:marBottom w:val="0"/>
      <w:divBdr>
        <w:top w:val="none" w:sz="0" w:space="0" w:color="auto"/>
        <w:left w:val="none" w:sz="0" w:space="0" w:color="auto"/>
        <w:bottom w:val="none" w:sz="0" w:space="0" w:color="auto"/>
        <w:right w:val="none" w:sz="0" w:space="0" w:color="auto"/>
      </w:divBdr>
    </w:div>
    <w:div w:id="976449186">
      <w:bodyDiv w:val="1"/>
      <w:marLeft w:val="0"/>
      <w:marRight w:val="0"/>
      <w:marTop w:val="0"/>
      <w:marBottom w:val="0"/>
      <w:divBdr>
        <w:top w:val="none" w:sz="0" w:space="0" w:color="auto"/>
        <w:left w:val="none" w:sz="0" w:space="0" w:color="auto"/>
        <w:bottom w:val="none" w:sz="0" w:space="0" w:color="auto"/>
        <w:right w:val="none" w:sz="0" w:space="0" w:color="auto"/>
      </w:divBdr>
    </w:div>
    <w:div w:id="978454668">
      <w:bodyDiv w:val="1"/>
      <w:marLeft w:val="0"/>
      <w:marRight w:val="0"/>
      <w:marTop w:val="0"/>
      <w:marBottom w:val="0"/>
      <w:divBdr>
        <w:top w:val="none" w:sz="0" w:space="0" w:color="auto"/>
        <w:left w:val="none" w:sz="0" w:space="0" w:color="auto"/>
        <w:bottom w:val="none" w:sz="0" w:space="0" w:color="auto"/>
        <w:right w:val="none" w:sz="0" w:space="0" w:color="auto"/>
      </w:divBdr>
    </w:div>
    <w:div w:id="1393969074">
      <w:bodyDiv w:val="1"/>
      <w:marLeft w:val="0"/>
      <w:marRight w:val="0"/>
      <w:marTop w:val="0"/>
      <w:marBottom w:val="0"/>
      <w:divBdr>
        <w:top w:val="none" w:sz="0" w:space="0" w:color="auto"/>
        <w:left w:val="none" w:sz="0" w:space="0" w:color="auto"/>
        <w:bottom w:val="none" w:sz="0" w:space="0" w:color="auto"/>
        <w:right w:val="none" w:sz="0" w:space="0" w:color="auto"/>
      </w:divBdr>
    </w:div>
    <w:div w:id="1396704383">
      <w:bodyDiv w:val="1"/>
      <w:marLeft w:val="0"/>
      <w:marRight w:val="0"/>
      <w:marTop w:val="0"/>
      <w:marBottom w:val="0"/>
      <w:divBdr>
        <w:top w:val="none" w:sz="0" w:space="0" w:color="auto"/>
        <w:left w:val="none" w:sz="0" w:space="0" w:color="auto"/>
        <w:bottom w:val="none" w:sz="0" w:space="0" w:color="auto"/>
        <w:right w:val="none" w:sz="0" w:space="0" w:color="auto"/>
      </w:divBdr>
    </w:div>
    <w:div w:id="1424297543">
      <w:bodyDiv w:val="1"/>
      <w:marLeft w:val="0"/>
      <w:marRight w:val="0"/>
      <w:marTop w:val="0"/>
      <w:marBottom w:val="0"/>
      <w:divBdr>
        <w:top w:val="none" w:sz="0" w:space="0" w:color="auto"/>
        <w:left w:val="none" w:sz="0" w:space="0" w:color="auto"/>
        <w:bottom w:val="none" w:sz="0" w:space="0" w:color="auto"/>
        <w:right w:val="none" w:sz="0" w:space="0" w:color="auto"/>
      </w:divBdr>
    </w:div>
    <w:div w:id="1502115840">
      <w:bodyDiv w:val="1"/>
      <w:marLeft w:val="0"/>
      <w:marRight w:val="0"/>
      <w:marTop w:val="0"/>
      <w:marBottom w:val="0"/>
      <w:divBdr>
        <w:top w:val="none" w:sz="0" w:space="0" w:color="auto"/>
        <w:left w:val="none" w:sz="0" w:space="0" w:color="auto"/>
        <w:bottom w:val="none" w:sz="0" w:space="0" w:color="auto"/>
        <w:right w:val="none" w:sz="0" w:space="0" w:color="auto"/>
      </w:divBdr>
    </w:div>
    <w:div w:id="1519083801">
      <w:bodyDiv w:val="1"/>
      <w:marLeft w:val="0"/>
      <w:marRight w:val="0"/>
      <w:marTop w:val="0"/>
      <w:marBottom w:val="0"/>
      <w:divBdr>
        <w:top w:val="none" w:sz="0" w:space="0" w:color="auto"/>
        <w:left w:val="none" w:sz="0" w:space="0" w:color="auto"/>
        <w:bottom w:val="none" w:sz="0" w:space="0" w:color="auto"/>
        <w:right w:val="none" w:sz="0" w:space="0" w:color="auto"/>
      </w:divBdr>
    </w:div>
    <w:div w:id="1541629437">
      <w:bodyDiv w:val="1"/>
      <w:marLeft w:val="0"/>
      <w:marRight w:val="0"/>
      <w:marTop w:val="0"/>
      <w:marBottom w:val="0"/>
      <w:divBdr>
        <w:top w:val="none" w:sz="0" w:space="0" w:color="auto"/>
        <w:left w:val="none" w:sz="0" w:space="0" w:color="auto"/>
        <w:bottom w:val="none" w:sz="0" w:space="0" w:color="auto"/>
        <w:right w:val="none" w:sz="0" w:space="0" w:color="auto"/>
      </w:divBdr>
    </w:div>
    <w:div w:id="1554006063">
      <w:bodyDiv w:val="1"/>
      <w:marLeft w:val="0"/>
      <w:marRight w:val="0"/>
      <w:marTop w:val="0"/>
      <w:marBottom w:val="0"/>
      <w:divBdr>
        <w:top w:val="none" w:sz="0" w:space="0" w:color="auto"/>
        <w:left w:val="none" w:sz="0" w:space="0" w:color="auto"/>
        <w:bottom w:val="none" w:sz="0" w:space="0" w:color="auto"/>
        <w:right w:val="none" w:sz="0" w:space="0" w:color="auto"/>
      </w:divBdr>
    </w:div>
    <w:div w:id="1606379501">
      <w:bodyDiv w:val="1"/>
      <w:marLeft w:val="0"/>
      <w:marRight w:val="0"/>
      <w:marTop w:val="0"/>
      <w:marBottom w:val="0"/>
      <w:divBdr>
        <w:top w:val="none" w:sz="0" w:space="0" w:color="auto"/>
        <w:left w:val="none" w:sz="0" w:space="0" w:color="auto"/>
        <w:bottom w:val="none" w:sz="0" w:space="0" w:color="auto"/>
        <w:right w:val="none" w:sz="0" w:space="0" w:color="auto"/>
      </w:divBdr>
    </w:div>
    <w:div w:id="1656303370">
      <w:bodyDiv w:val="1"/>
      <w:marLeft w:val="0"/>
      <w:marRight w:val="0"/>
      <w:marTop w:val="0"/>
      <w:marBottom w:val="0"/>
      <w:divBdr>
        <w:top w:val="none" w:sz="0" w:space="0" w:color="auto"/>
        <w:left w:val="none" w:sz="0" w:space="0" w:color="auto"/>
        <w:bottom w:val="none" w:sz="0" w:space="0" w:color="auto"/>
        <w:right w:val="none" w:sz="0" w:space="0" w:color="auto"/>
      </w:divBdr>
    </w:div>
    <w:div w:id="1715081632">
      <w:bodyDiv w:val="1"/>
      <w:marLeft w:val="0"/>
      <w:marRight w:val="0"/>
      <w:marTop w:val="0"/>
      <w:marBottom w:val="0"/>
      <w:divBdr>
        <w:top w:val="none" w:sz="0" w:space="0" w:color="auto"/>
        <w:left w:val="none" w:sz="0" w:space="0" w:color="auto"/>
        <w:bottom w:val="none" w:sz="0" w:space="0" w:color="auto"/>
        <w:right w:val="none" w:sz="0" w:space="0" w:color="auto"/>
      </w:divBdr>
      <w:divsChild>
        <w:div w:id="1801415063">
          <w:marLeft w:val="0"/>
          <w:marRight w:val="0"/>
          <w:marTop w:val="0"/>
          <w:marBottom w:val="0"/>
          <w:divBdr>
            <w:top w:val="single" w:sz="6" w:space="0" w:color="DDDDDD"/>
            <w:left w:val="single" w:sz="6" w:space="0" w:color="DDDDDD"/>
            <w:bottom w:val="single" w:sz="6" w:space="0" w:color="DDDDDD"/>
            <w:right w:val="single" w:sz="6" w:space="0" w:color="DDDDDD"/>
          </w:divBdr>
          <w:divsChild>
            <w:div w:id="912274378">
              <w:marLeft w:val="0"/>
              <w:marRight w:val="0"/>
              <w:marTop w:val="0"/>
              <w:marBottom w:val="0"/>
              <w:divBdr>
                <w:top w:val="none" w:sz="0" w:space="0" w:color="auto"/>
                <w:left w:val="none" w:sz="0" w:space="0" w:color="auto"/>
                <w:bottom w:val="none" w:sz="0" w:space="0" w:color="auto"/>
                <w:right w:val="none" w:sz="0" w:space="0" w:color="auto"/>
              </w:divBdr>
              <w:divsChild>
                <w:div w:id="1063599456">
                  <w:marLeft w:val="0"/>
                  <w:marRight w:val="0"/>
                  <w:marTop w:val="0"/>
                  <w:marBottom w:val="0"/>
                  <w:divBdr>
                    <w:top w:val="none" w:sz="0" w:space="0" w:color="auto"/>
                    <w:left w:val="none" w:sz="0" w:space="0" w:color="auto"/>
                    <w:bottom w:val="none" w:sz="0" w:space="0" w:color="auto"/>
                    <w:right w:val="none" w:sz="0" w:space="0" w:color="auto"/>
                  </w:divBdr>
                  <w:divsChild>
                    <w:div w:id="95093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08825">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02986483">
      <w:bodyDiv w:val="1"/>
      <w:marLeft w:val="0"/>
      <w:marRight w:val="0"/>
      <w:marTop w:val="0"/>
      <w:marBottom w:val="0"/>
      <w:divBdr>
        <w:top w:val="none" w:sz="0" w:space="0" w:color="auto"/>
        <w:left w:val="none" w:sz="0" w:space="0" w:color="auto"/>
        <w:bottom w:val="none" w:sz="0" w:space="0" w:color="auto"/>
        <w:right w:val="none" w:sz="0" w:space="0" w:color="auto"/>
      </w:divBdr>
    </w:div>
    <w:div w:id="1910576094">
      <w:bodyDiv w:val="1"/>
      <w:marLeft w:val="0"/>
      <w:marRight w:val="0"/>
      <w:marTop w:val="0"/>
      <w:marBottom w:val="0"/>
      <w:divBdr>
        <w:top w:val="none" w:sz="0" w:space="0" w:color="auto"/>
        <w:left w:val="none" w:sz="0" w:space="0" w:color="auto"/>
        <w:bottom w:val="none" w:sz="0" w:space="0" w:color="auto"/>
        <w:right w:val="none" w:sz="0" w:space="0" w:color="auto"/>
      </w:divBdr>
    </w:div>
    <w:div w:id="1924727561">
      <w:bodyDiv w:val="1"/>
      <w:marLeft w:val="0"/>
      <w:marRight w:val="0"/>
      <w:marTop w:val="0"/>
      <w:marBottom w:val="0"/>
      <w:divBdr>
        <w:top w:val="none" w:sz="0" w:space="0" w:color="auto"/>
        <w:left w:val="none" w:sz="0" w:space="0" w:color="auto"/>
        <w:bottom w:val="none" w:sz="0" w:space="0" w:color="auto"/>
        <w:right w:val="none" w:sz="0" w:space="0" w:color="auto"/>
      </w:divBdr>
    </w:div>
    <w:div w:id="1931771756">
      <w:bodyDiv w:val="1"/>
      <w:marLeft w:val="0"/>
      <w:marRight w:val="0"/>
      <w:marTop w:val="0"/>
      <w:marBottom w:val="0"/>
      <w:divBdr>
        <w:top w:val="none" w:sz="0" w:space="0" w:color="auto"/>
        <w:left w:val="none" w:sz="0" w:space="0" w:color="auto"/>
        <w:bottom w:val="none" w:sz="0" w:space="0" w:color="auto"/>
        <w:right w:val="none" w:sz="0" w:space="0" w:color="auto"/>
      </w:divBdr>
    </w:div>
    <w:div w:id="1953971693">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ga.copyright@tga.gov.au" TargetMode="External"/><Relationship Id="rId18" Type="http://schemas.openxmlformats.org/officeDocument/2006/relationships/hyperlink" Target="https://www.tga.gov.au/project-orbis" TargetMode="External"/><Relationship Id="rId26" Type="http://schemas.microsoft.com/office/2007/relationships/hdphoto" Target="media/hdphoto2.wdp"/><Relationship Id="rId39" Type="http://schemas.microsoft.com/office/2007/relationships/hdphoto" Target="media/hdphoto7.wdp"/><Relationship Id="rId21" Type="http://schemas.openxmlformats.org/officeDocument/2006/relationships/hyperlink" Target="https://www.tga.gov.au/resources/resource/international-scientific-guidelines/international-scientific-guideline-guideline-evaluation-anticancer-medicinal-products-man"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9.emf"/><Relationship Id="rId50" Type="http://schemas.openxmlformats.org/officeDocument/2006/relationships/image" Target="media/image22.png"/><Relationship Id="rId55" Type="http://schemas.openxmlformats.org/officeDocument/2006/relationships/hyperlink" Target="https://www.tga.gov.au/priority-review-pathway-prescription-medicines" TargetMode="External"/><Relationship Id="rId63" Type="http://schemas.openxmlformats.org/officeDocument/2006/relationships/hyperlink" Target="mailto:info@tga.gov.au" TargetMode="External"/><Relationship Id="rId68" Type="http://schemas.openxmlformats.org/officeDocument/2006/relationships/header" Target="header8.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microsoft.com/office/2007/relationships/hdphoto" Target="media/hdphoto1.wdp"/><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7.emf"/><Relationship Id="rId53" Type="http://schemas.openxmlformats.org/officeDocument/2006/relationships/image" Target="media/image25.png"/><Relationship Id="rId58" Type="http://schemas.openxmlformats.org/officeDocument/2006/relationships/hyperlink" Target="https://www.tga.gov.au/picmi-search-facility" TargetMode="External"/><Relationship Id="rId66"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2.png"/><Relationship Id="rId28" Type="http://schemas.microsoft.com/office/2007/relationships/hdphoto" Target="media/hdphoto3.wdp"/><Relationship Id="rId36" Type="http://schemas.microsoft.com/office/2007/relationships/hdphoto" Target="media/hdphoto6.wdp"/><Relationship Id="rId49" Type="http://schemas.openxmlformats.org/officeDocument/2006/relationships/image" Target="media/image21.png"/><Relationship Id="rId57" Type="http://schemas.openxmlformats.org/officeDocument/2006/relationships/hyperlink" Target="https://www.tga.gov.au/committee/advisory-committee-medicines-acm" TargetMode="External"/><Relationship Id="rId61"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www.tga.gov.au/picmi-search-facility" TargetMode="External"/><Relationship Id="rId31" Type="http://schemas.openxmlformats.org/officeDocument/2006/relationships/image" Target="media/image6.png"/><Relationship Id="rId44" Type="http://schemas.openxmlformats.org/officeDocument/2006/relationships/image" Target="media/image16.emf"/><Relationship Id="rId52" Type="http://schemas.openxmlformats.org/officeDocument/2006/relationships/image" Target="media/image24.png"/><Relationship Id="rId60" Type="http://schemas.openxmlformats.org/officeDocument/2006/relationships/header" Target="header4.xm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fda.gov/media/83507/download" TargetMode="External"/><Relationship Id="rId27" Type="http://schemas.openxmlformats.org/officeDocument/2006/relationships/image" Target="media/image4.png"/><Relationship Id="rId30" Type="http://schemas.microsoft.com/office/2007/relationships/hdphoto" Target="media/hdphoto4.wdp"/><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www.tga.gov.au/project-orbis" TargetMode="External"/><Relationship Id="rId64" Type="http://schemas.openxmlformats.org/officeDocument/2006/relationships/hyperlink" Target="https://www.tga.gov.au" TargetMode="External"/><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3.emf"/><Relationship Id="rId72"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https://www.tga.gov.au/australian-public-assessment-report-auspar-guidance" TargetMode="External"/><Relationship Id="rId17" Type="http://schemas.openxmlformats.org/officeDocument/2006/relationships/hyperlink" Target="https://www.tga.gov.au/black-triangle-scheme" TargetMode="External"/><Relationship Id="rId25" Type="http://schemas.openxmlformats.org/officeDocument/2006/relationships/image" Target="media/image3.png"/><Relationship Id="rId33" Type="http://schemas.microsoft.com/office/2007/relationships/hdphoto" Target="media/hdphoto5.wdp"/><Relationship Id="rId38" Type="http://schemas.openxmlformats.org/officeDocument/2006/relationships/image" Target="media/image11.png"/><Relationship Id="rId46" Type="http://schemas.openxmlformats.org/officeDocument/2006/relationships/image" Target="media/image18.emf"/><Relationship Id="rId59" Type="http://schemas.openxmlformats.org/officeDocument/2006/relationships/header" Target="header3.xml"/><Relationship Id="rId67" Type="http://schemas.openxmlformats.org/officeDocument/2006/relationships/footer" Target="footer3.xml"/><Relationship Id="rId20" Type="http://schemas.openxmlformats.org/officeDocument/2006/relationships/hyperlink" Target="https://www.tga.gov.au/priority-review-pathway-prescription-medicines"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footer" Target="footer2.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sco.org/" TargetMode="External"/><Relationship Id="rId2" Type="http://schemas.openxmlformats.org/officeDocument/2006/relationships/hyperlink" Target="https://www.tga.gov.au/resources/auspar/auspar-pembrolizumab-rch" TargetMode="External"/><Relationship Id="rId1" Type="http://schemas.openxmlformats.org/officeDocument/2006/relationships/hyperlink" Target="https://www.aihw.gov.au/" TargetMode="External"/><Relationship Id="rId5" Type="http://schemas.openxmlformats.org/officeDocument/2006/relationships/hyperlink" Target="https://www.businesswire.com/news/home/20210329005742/en/Merck-Receives-Complete-Response-Letter-From-US-FDA-for-Supplemental-Biologics-License-Application-sBLA-for-KEYTRUDA%C2%AE-pembrolizumab-in-High-Risk-Early-Stage-Triple-Negative-Breast-Cancer-TNBC" TargetMode="External"/><Relationship Id="rId4" Type="http://schemas.openxmlformats.org/officeDocument/2006/relationships/hyperlink" Target="https://qol.eortc.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kit\AppData\Local\Hewlett-Packard\HP%20TRIM\TEMP\HPTRIM.6404\D22-5542303%20%20AusPAR%20template(4).DOTX" TargetMode="External"/></Relationships>
</file>

<file path=word/documenttasks/documenttasks1.xml><?xml version="1.0" encoding="utf-8"?>
<t:Tasks xmlns:t="http://schemas.microsoft.com/office/tasks/2019/documenttasks" xmlns:oel="http://schemas.microsoft.com/office/2019/extlst">
  <t:Task id="{388BF5AA-7082-49D0-A35C-71196DB6A8F5}">
    <t:Anchor>
      <t:Comment id="667332458"/>
    </t:Anchor>
    <t:History>
      <t:Event id="{1A5F8AB5-6BD6-4B36-8E88-97ACD6C214A1}" time="2023-03-23T13:59:52.15Z">
        <t:Attribution userId="S::mejiajai@merck.com::4197e1e1-86c9-456c-b9b6-86c813eec245" userProvider="AD" userName="Mejia, Jaime"/>
        <t:Anchor>
          <t:Comment id="1927550524"/>
        </t:Anchor>
        <t:Create/>
      </t:Event>
      <t:Event id="{E69A5CA5-9B5C-4D38-A39D-E2D5653F5643}" time="2023-03-23T13:59:52.15Z">
        <t:Attribution userId="S::mejiajai@merck.com::4197e1e1-86c9-456c-b9b6-86c813eec245" userProvider="AD" userName="Mejia, Jaime"/>
        <t:Anchor>
          <t:Comment id="1927550524"/>
        </t:Anchor>
        <t:Assign userId="S::panwi@merck.com::3536702f-ad12-41a8-9ffc-10357ebfd3c3" userProvider="AD" userName="Pan, Wilbur"/>
      </t:Event>
      <t:Event id="{1B0B0A5F-B64F-4C64-9D2C-22DFF05A11CB}" time="2023-03-23T13:59:52.15Z">
        <t:Attribution userId="S::mejiajai@merck.com::4197e1e1-86c9-456c-b9b6-86c813eec245" userProvider="AD" userName="Mejia, Jaime"/>
        <t:Anchor>
          <t:Comment id="1927550524"/>
        </t:Anchor>
        <t:SetTitle title="@Pan, Wilbur were you involved in the CCI for KN522? could you please take a look of this comment from Chloe. She might be correct on her comment. This could potentially be confidential commercial information (CCI)"/>
      </t:Event>
    </t:History>
  </t:Task>
</t:Task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6A1C41273FDB4EAECA1E08EB2E447B" ma:contentTypeVersion="14" ma:contentTypeDescription="Create a new document." ma:contentTypeScope="" ma:versionID="c8c5462f78ff6a0de05bb12023360260">
  <xsd:schema xmlns:xsd="http://www.w3.org/2001/XMLSchema" xmlns:xs="http://www.w3.org/2001/XMLSchema" xmlns:p="http://schemas.microsoft.com/office/2006/metadata/properties" xmlns:ns3="b425bd1c-4cd6-46d4-82f3-ac83d67bbd3e" xmlns:ns4="3df00d5e-0f0c-4a0b-a05b-921f0fea0167" targetNamespace="http://schemas.microsoft.com/office/2006/metadata/properties" ma:root="true" ma:fieldsID="eae4d75e6ca6a2f02f2f50b326c7b20e" ns3:_="" ns4:_="">
    <xsd:import namespace="b425bd1c-4cd6-46d4-82f3-ac83d67bbd3e"/>
    <xsd:import namespace="3df00d5e-0f0c-4a0b-a05b-921f0fea016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25bd1c-4cd6-46d4-82f3-ac83d67bbd3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f00d5e-0f0c-4a0b-a05b-921f0fea0167"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df00d5e-0f0c-4a0b-a05b-921f0fea0167"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BC2617-726D-4B19-9CD2-31627A2C61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25bd1c-4cd6-46d4-82f3-ac83d67bbd3e"/>
    <ds:schemaRef ds:uri="3df00d5e-0f0c-4a0b-a05b-921f0fea01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19EC9E-AA2E-4E45-B98B-C1EB11A2481F}">
  <ds:schemaRefs>
    <ds:schemaRef ds:uri="http://schemas.microsoft.com/office/2006/metadata/properties"/>
    <ds:schemaRef ds:uri="http://schemas.microsoft.com/office/infopath/2007/PartnerControls"/>
    <ds:schemaRef ds:uri="3df00d5e-0f0c-4a0b-a05b-921f0fea0167"/>
  </ds:schemaRefs>
</ds:datastoreItem>
</file>

<file path=customXml/itemProps3.xml><?xml version="1.0" encoding="utf-8"?>
<ds:datastoreItem xmlns:ds="http://schemas.openxmlformats.org/officeDocument/2006/customXml" ds:itemID="{16A9DD1A-87FE-4F61-8B85-92B5E771B1F0}">
  <ds:schemaRefs>
    <ds:schemaRef ds:uri="http://schemas.openxmlformats.org/officeDocument/2006/bibliography"/>
  </ds:schemaRefs>
</ds:datastoreItem>
</file>

<file path=customXml/itemProps4.xml><?xml version="1.0" encoding="utf-8"?>
<ds:datastoreItem xmlns:ds="http://schemas.openxmlformats.org/officeDocument/2006/customXml" ds:itemID="{537069A9-47D2-4887-8B07-112EFABF2C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D22-5542303  AusPAR template(4).DOTX</Template>
  <TotalTime>112</TotalTime>
  <Pages>64</Pages>
  <Words>20738</Words>
  <Characters>118211</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138672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Keytruda</dc:title>
  <dc:subject>prescription medicine regulation</dc:subject>
  <dc:creator>Therapeutic Goods Administration</dc:creator>
  <cp:keywords/>
  <cp:lastModifiedBy>PITKIN, Brendan</cp:lastModifiedBy>
  <cp:revision>9</cp:revision>
  <cp:lastPrinted>2019-08-13T11:30:00Z</cp:lastPrinted>
  <dcterms:created xsi:type="dcterms:W3CDTF">2023-05-08T03:20:00Z</dcterms:created>
  <dcterms:modified xsi:type="dcterms:W3CDTF">2023-05-16T05:15:00Z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0x010100A46A1C41273FDB4EAECA1E08EB2E447B</vt:lpwstr>
  </property>
  <property fmtid="{D5CDD505-2E9C-101B-9397-08002B2CF9AE}" pid="3" name="MSIP_Label_e81acc0d-dcc4-4dc9-a2c5-be70b05a2fe6_Enabled">
    <vt:lpwstr>true</vt:lpwstr>
  </property>
  <property fmtid="{D5CDD505-2E9C-101B-9397-08002B2CF9AE}" pid="4" name="MSIP_Label_e81acc0d-dcc4-4dc9-a2c5-be70b05a2fe6_SetDate">
    <vt:lpwstr>2023-05-08T03:02:37Z</vt:lpwstr>
  </property>
  <property fmtid="{D5CDD505-2E9C-101B-9397-08002B2CF9AE}" pid="5" name="MSIP_Label_e81acc0d-dcc4-4dc9-a2c5-be70b05a2fe6_Method">
    <vt:lpwstr>Privileged</vt:lpwstr>
  </property>
  <property fmtid="{D5CDD505-2E9C-101B-9397-08002B2CF9AE}" pid="6" name="MSIP_Label_e81acc0d-dcc4-4dc9-a2c5-be70b05a2fe6_Name">
    <vt:lpwstr>e81acc0d-dcc4-4dc9-a2c5-be70b05a2fe6</vt:lpwstr>
  </property>
  <property fmtid="{D5CDD505-2E9C-101B-9397-08002B2CF9AE}" pid="7" name="MSIP_Label_e81acc0d-dcc4-4dc9-a2c5-be70b05a2fe6_SiteId">
    <vt:lpwstr>a00de4ec-48a8-43a6-be74-e31274e2060d</vt:lpwstr>
  </property>
  <property fmtid="{D5CDD505-2E9C-101B-9397-08002B2CF9AE}" pid="8" name="MSIP_Label_e81acc0d-dcc4-4dc9-a2c5-be70b05a2fe6_ActionId">
    <vt:lpwstr>1395c6f3-510c-4da3-985c-807e706a8da0</vt:lpwstr>
  </property>
  <property fmtid="{D5CDD505-2E9C-101B-9397-08002B2CF9AE}" pid="9" name="MSIP_Label_e81acc0d-dcc4-4dc9-a2c5-be70b05a2fe6_ContentBits">
    <vt:lpwstr>0</vt:lpwstr>
  </property>
  <property fmtid="{D5CDD505-2E9C-101B-9397-08002B2CF9AE}" pid="10" name="MerckAIPLabel">
    <vt:lpwstr>NotClassified</vt:lpwstr>
  </property>
  <property fmtid="{D5CDD505-2E9C-101B-9397-08002B2CF9AE}" pid="11" name="MerckAIPDataExchange">
    <vt:lpwstr>!MRKMIP@NotClassified</vt:lpwstr>
  </property>
  <property fmtid="{D5CDD505-2E9C-101B-9397-08002B2CF9AE}" pid="12" name="_AdHocReviewCycleID">
    <vt:i4>376120657</vt:i4>
  </property>
  <property fmtid="{D5CDD505-2E9C-101B-9397-08002B2CF9AE}" pid="13" name="_NewReviewCycle">
    <vt:lpwstr/>
  </property>
  <property fmtid="{D5CDD505-2E9C-101B-9397-08002B2CF9AE}" pid="14" name="_EmailSubject">
    <vt:lpwstr>Removal 'confidential' marking - AusPAR - KEYTRUDA - Pembrolizumab - Merck Sharp &amp; Dohme (Australia) Pty Limited - PM-2021-04831-1-4 - DRAFT V4 [SEC=OFFICIAL]</vt:lpwstr>
  </property>
  <property fmtid="{D5CDD505-2E9C-101B-9397-08002B2CF9AE}" pid="15" name="_AuthorEmail">
    <vt:lpwstr>chloe.lei@msd.com</vt:lpwstr>
  </property>
  <property fmtid="{D5CDD505-2E9C-101B-9397-08002B2CF9AE}" pid="16" name="_AuthorEmailDisplayName">
    <vt:lpwstr>Lei, Chloe</vt:lpwstr>
  </property>
  <property fmtid="{D5CDD505-2E9C-101B-9397-08002B2CF9AE}" pid="17" name="_ReviewingToolsShownOnce">
    <vt:lpwstr/>
  </property>
</Properties>
</file>