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6F43721" w14:textId="77777777" w:rsidTr="00BF1190">
        <w:trPr>
          <w:trHeight w:val="1863"/>
        </w:trPr>
        <w:tc>
          <w:tcPr>
            <w:tcW w:w="3652" w:type="dxa"/>
            <w:tcBorders>
              <w:top w:val="nil"/>
              <w:left w:val="nil"/>
              <w:bottom w:val="nil"/>
              <w:right w:val="nil"/>
            </w:tcBorders>
          </w:tcPr>
          <w:p w14:paraId="1B4591B9" w14:textId="4B370DF7" w:rsidR="008E7846" w:rsidRPr="00096AA7" w:rsidRDefault="00287118" w:rsidP="00F931CE">
            <w:pPr>
              <w:pStyle w:val="Date"/>
              <w:framePr w:hSpace="0" w:wrap="auto" w:vAnchor="margin" w:hAnchor="text" w:yAlign="inline"/>
              <w:suppressOverlap w:val="0"/>
            </w:pPr>
            <w:r>
              <w:t xml:space="preserve">May </w:t>
            </w:r>
            <w:r w:rsidR="004E2C2E">
              <w:t>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11C794F" w14:textId="77777777" w:rsidTr="0032583B">
        <w:trPr>
          <w:trHeight w:val="868"/>
        </w:trPr>
        <w:tc>
          <w:tcPr>
            <w:tcW w:w="9079" w:type="dxa"/>
          </w:tcPr>
          <w:p w14:paraId="71F3CD6B" w14:textId="5AD7D566" w:rsidR="0032583B" w:rsidRPr="00A964D1" w:rsidRDefault="0032583B" w:rsidP="00F931CE">
            <w:pPr>
              <w:pStyle w:val="Title"/>
              <w:framePr w:hSpace="0" w:wrap="auto" w:vAnchor="margin" w:yAlign="inline"/>
            </w:pPr>
            <w:r w:rsidRPr="00A964D1">
              <w:t>Australian Public Assessment Report for</w:t>
            </w:r>
            <w:r w:rsidR="00EC3104">
              <w:t xml:space="preserve"> </w:t>
            </w:r>
            <w:r w:rsidR="00EC3104" w:rsidRPr="00EC3104">
              <w:t>Lucentis</w:t>
            </w:r>
          </w:p>
        </w:tc>
      </w:tr>
      <w:tr w:rsidR="0032583B" w:rsidRPr="00B64760" w14:paraId="76430F53" w14:textId="77777777" w:rsidTr="0032583B">
        <w:tc>
          <w:tcPr>
            <w:tcW w:w="9079" w:type="dxa"/>
          </w:tcPr>
          <w:p w14:paraId="2C6693DB" w14:textId="3AF416ED" w:rsidR="0032583B" w:rsidRPr="008E7846" w:rsidRDefault="00BB75D6" w:rsidP="00F931CE">
            <w:pPr>
              <w:pStyle w:val="Subtitle"/>
              <w:framePr w:hSpace="0" w:wrap="auto" w:vAnchor="margin" w:yAlign="inline"/>
            </w:pPr>
            <w:r>
              <w:t>Active ingredient</w:t>
            </w:r>
            <w:r w:rsidR="0032583B" w:rsidRPr="008E7846">
              <w:t xml:space="preserve">: </w:t>
            </w:r>
            <w:r w:rsidR="00EC3104" w:rsidRPr="00EC3104">
              <w:t>Ranibizumab</w:t>
            </w:r>
          </w:p>
        </w:tc>
      </w:tr>
      <w:tr w:rsidR="0032583B" w:rsidRPr="00B64760" w14:paraId="43E65785" w14:textId="77777777" w:rsidTr="0032583B">
        <w:trPr>
          <w:trHeight w:val="486"/>
        </w:trPr>
        <w:tc>
          <w:tcPr>
            <w:tcW w:w="9079" w:type="dxa"/>
          </w:tcPr>
          <w:p w14:paraId="05AFCA08" w14:textId="5F3769C6" w:rsidR="0032583B" w:rsidRPr="008E7846" w:rsidRDefault="00460036" w:rsidP="009556D7">
            <w:pPr>
              <w:pStyle w:val="Subtitle"/>
              <w:framePr w:hSpace="0" w:wrap="auto" w:vAnchor="margin" w:yAlign="inline"/>
            </w:pPr>
            <w:r>
              <w:t xml:space="preserve">Sponsor: </w:t>
            </w:r>
            <w:r w:rsidR="00EC3104" w:rsidRPr="00EC3104">
              <w:t>Novartis Pharmaceuticals Australia Pty Ltd</w:t>
            </w:r>
          </w:p>
        </w:tc>
      </w:tr>
    </w:tbl>
    <w:p w14:paraId="76B84F26" w14:textId="77777777" w:rsidR="008E7846" w:rsidRPr="0085156D" w:rsidRDefault="008E7846" w:rsidP="0085156D">
      <w:r w:rsidRPr="0085156D">
        <w:br w:type="page"/>
      </w:r>
    </w:p>
    <w:p w14:paraId="17C149BC" w14:textId="77777777" w:rsidR="008E7846" w:rsidRPr="001F6CBA" w:rsidRDefault="008E7846" w:rsidP="008E7846">
      <w:pPr>
        <w:pStyle w:val="NonTOCHeading2"/>
      </w:pPr>
      <w:r w:rsidRPr="001F6CBA">
        <w:lastRenderedPageBreak/>
        <w:t>About the Therapeutic Goods Administration (TGA)</w:t>
      </w:r>
    </w:p>
    <w:p w14:paraId="6D367E8C"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5EA1A51D"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7A4824DF"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3CBB68F6"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7CB67935" w14:textId="6368E035"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7F54F045" w14:textId="77777777" w:rsidR="008E7846" w:rsidRDefault="008E7846" w:rsidP="00875A6B">
      <w:pPr>
        <w:pStyle w:val="NonTOCHeading2"/>
      </w:pPr>
      <w:r>
        <w:t xml:space="preserve">About </w:t>
      </w:r>
      <w:proofErr w:type="spellStart"/>
      <w:r>
        <w:t>AusPARs</w:t>
      </w:r>
      <w:proofErr w:type="spellEnd"/>
    </w:p>
    <w:p w14:paraId="78927761" w14:textId="496E435F"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(AusPAR) guidance</w:t>
        </w:r>
      </w:hyperlink>
      <w:r>
        <w:t>.</w:t>
      </w:r>
    </w:p>
    <w:p w14:paraId="25FACF3B"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21ECE22D"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17ADA6BA"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BE1E0E5" w14:textId="77777777" w:rsidR="00924482" w:rsidRPr="00DF1D7F" w:rsidRDefault="00924482" w:rsidP="00F54B65">
      <w:pPr>
        <w:pStyle w:val="LegalSubheading"/>
        <w:spacing w:before="3120"/>
      </w:pPr>
      <w:r w:rsidRPr="00DF1D7F">
        <w:t>Copyright</w:t>
      </w:r>
    </w:p>
    <w:p w14:paraId="237D9B4B" w14:textId="1A1F9838"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791BA8">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24BB4784"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3FB3606E" w14:textId="77777777" w:rsidR="0089635C" w:rsidRPr="0089635C" w:rsidRDefault="0089635C" w:rsidP="0010788A">
          <w:pPr>
            <w:pStyle w:val="Contents"/>
          </w:pPr>
          <w:r w:rsidRPr="0010788A">
            <w:t>Contents</w:t>
          </w:r>
        </w:p>
        <w:p w14:paraId="66A6B968" w14:textId="411C1E46" w:rsidR="00E311F3"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31065551" w:history="1">
            <w:r w:rsidR="00E311F3" w:rsidRPr="00274102">
              <w:rPr>
                <w:rStyle w:val="Hyperlink"/>
                <w:noProof/>
              </w:rPr>
              <w:t>List of abbreviations</w:t>
            </w:r>
            <w:r w:rsidR="00E311F3">
              <w:rPr>
                <w:noProof/>
                <w:webHidden/>
              </w:rPr>
              <w:tab/>
            </w:r>
            <w:r w:rsidR="00E311F3">
              <w:rPr>
                <w:noProof/>
                <w:webHidden/>
              </w:rPr>
              <w:fldChar w:fldCharType="begin"/>
            </w:r>
            <w:r w:rsidR="00E311F3">
              <w:rPr>
                <w:noProof/>
                <w:webHidden/>
              </w:rPr>
              <w:instrText xml:space="preserve"> PAGEREF _Toc131065551 \h </w:instrText>
            </w:r>
            <w:r w:rsidR="00E311F3">
              <w:rPr>
                <w:noProof/>
                <w:webHidden/>
              </w:rPr>
            </w:r>
            <w:r w:rsidR="00E311F3">
              <w:rPr>
                <w:noProof/>
                <w:webHidden/>
              </w:rPr>
              <w:fldChar w:fldCharType="separate"/>
            </w:r>
            <w:r w:rsidR="00445461">
              <w:rPr>
                <w:noProof/>
                <w:webHidden/>
              </w:rPr>
              <w:t>4</w:t>
            </w:r>
            <w:r w:rsidR="00E311F3">
              <w:rPr>
                <w:noProof/>
                <w:webHidden/>
              </w:rPr>
              <w:fldChar w:fldCharType="end"/>
            </w:r>
          </w:hyperlink>
        </w:p>
        <w:p w14:paraId="2523C4C4" w14:textId="42CF5ED6" w:rsidR="00E311F3" w:rsidRDefault="00445461">
          <w:pPr>
            <w:pStyle w:val="TOC1"/>
            <w:rPr>
              <w:rFonts w:asciiTheme="minorHAnsi" w:eastAsiaTheme="minorEastAsia" w:hAnsiTheme="minorHAnsi" w:cstheme="minorBidi"/>
              <w:b w:val="0"/>
              <w:noProof/>
              <w:sz w:val="22"/>
              <w:lang w:eastAsia="en-AU"/>
            </w:rPr>
          </w:pPr>
          <w:hyperlink w:anchor="_Toc131065552" w:history="1">
            <w:r w:rsidR="00E311F3" w:rsidRPr="00274102">
              <w:rPr>
                <w:rStyle w:val="Hyperlink"/>
                <w:noProof/>
              </w:rPr>
              <w:t>Product submission</w:t>
            </w:r>
            <w:r w:rsidR="00E311F3">
              <w:rPr>
                <w:noProof/>
                <w:webHidden/>
              </w:rPr>
              <w:tab/>
            </w:r>
            <w:r w:rsidR="00E311F3">
              <w:rPr>
                <w:noProof/>
                <w:webHidden/>
              </w:rPr>
              <w:fldChar w:fldCharType="begin"/>
            </w:r>
            <w:r w:rsidR="00E311F3">
              <w:rPr>
                <w:noProof/>
                <w:webHidden/>
              </w:rPr>
              <w:instrText xml:space="preserve"> PAGEREF _Toc131065552 \h </w:instrText>
            </w:r>
            <w:r w:rsidR="00E311F3">
              <w:rPr>
                <w:noProof/>
                <w:webHidden/>
              </w:rPr>
            </w:r>
            <w:r w:rsidR="00E311F3">
              <w:rPr>
                <w:noProof/>
                <w:webHidden/>
              </w:rPr>
              <w:fldChar w:fldCharType="separate"/>
            </w:r>
            <w:r>
              <w:rPr>
                <w:noProof/>
                <w:webHidden/>
              </w:rPr>
              <w:t>6</w:t>
            </w:r>
            <w:r w:rsidR="00E311F3">
              <w:rPr>
                <w:noProof/>
                <w:webHidden/>
              </w:rPr>
              <w:fldChar w:fldCharType="end"/>
            </w:r>
          </w:hyperlink>
        </w:p>
        <w:p w14:paraId="684061F3" w14:textId="7A0153B8" w:rsidR="00E311F3" w:rsidRDefault="00445461">
          <w:pPr>
            <w:pStyle w:val="TOC2"/>
            <w:rPr>
              <w:rFonts w:asciiTheme="minorHAnsi" w:eastAsiaTheme="minorEastAsia" w:hAnsiTheme="minorHAnsi" w:cstheme="minorBidi"/>
              <w:b w:val="0"/>
              <w:noProof/>
              <w:sz w:val="22"/>
              <w:lang w:eastAsia="en-AU"/>
            </w:rPr>
          </w:pPr>
          <w:hyperlink w:anchor="_Toc131065553" w:history="1">
            <w:r w:rsidR="00E311F3" w:rsidRPr="00274102">
              <w:rPr>
                <w:rStyle w:val="Hyperlink"/>
                <w:noProof/>
                <w:lang w:eastAsia="en-AU"/>
              </w:rPr>
              <w:t>Submission details</w:t>
            </w:r>
            <w:r w:rsidR="00E311F3">
              <w:rPr>
                <w:noProof/>
                <w:webHidden/>
              </w:rPr>
              <w:tab/>
            </w:r>
            <w:r w:rsidR="00E311F3">
              <w:rPr>
                <w:noProof/>
                <w:webHidden/>
              </w:rPr>
              <w:fldChar w:fldCharType="begin"/>
            </w:r>
            <w:r w:rsidR="00E311F3">
              <w:rPr>
                <w:noProof/>
                <w:webHidden/>
              </w:rPr>
              <w:instrText xml:space="preserve"> PAGEREF _Toc131065553 \h </w:instrText>
            </w:r>
            <w:r w:rsidR="00E311F3">
              <w:rPr>
                <w:noProof/>
                <w:webHidden/>
              </w:rPr>
            </w:r>
            <w:r w:rsidR="00E311F3">
              <w:rPr>
                <w:noProof/>
                <w:webHidden/>
              </w:rPr>
              <w:fldChar w:fldCharType="separate"/>
            </w:r>
            <w:r>
              <w:rPr>
                <w:noProof/>
                <w:webHidden/>
              </w:rPr>
              <w:t>6</w:t>
            </w:r>
            <w:r w:rsidR="00E311F3">
              <w:rPr>
                <w:noProof/>
                <w:webHidden/>
              </w:rPr>
              <w:fldChar w:fldCharType="end"/>
            </w:r>
          </w:hyperlink>
        </w:p>
        <w:p w14:paraId="08FAA3D0" w14:textId="01121669" w:rsidR="00E311F3" w:rsidRDefault="00445461">
          <w:pPr>
            <w:pStyle w:val="TOC2"/>
            <w:rPr>
              <w:rFonts w:asciiTheme="minorHAnsi" w:eastAsiaTheme="minorEastAsia" w:hAnsiTheme="minorHAnsi" w:cstheme="minorBidi"/>
              <w:b w:val="0"/>
              <w:noProof/>
              <w:sz w:val="22"/>
              <w:lang w:eastAsia="en-AU"/>
            </w:rPr>
          </w:pPr>
          <w:hyperlink w:anchor="_Toc131065554" w:history="1">
            <w:r w:rsidR="00E311F3" w:rsidRPr="00274102">
              <w:rPr>
                <w:rStyle w:val="Hyperlink"/>
                <w:noProof/>
              </w:rPr>
              <w:t>Product background</w:t>
            </w:r>
            <w:r w:rsidR="00E311F3">
              <w:rPr>
                <w:noProof/>
                <w:webHidden/>
              </w:rPr>
              <w:tab/>
            </w:r>
            <w:r w:rsidR="00E311F3">
              <w:rPr>
                <w:noProof/>
                <w:webHidden/>
              </w:rPr>
              <w:fldChar w:fldCharType="begin"/>
            </w:r>
            <w:r w:rsidR="00E311F3">
              <w:rPr>
                <w:noProof/>
                <w:webHidden/>
              </w:rPr>
              <w:instrText xml:space="preserve"> PAGEREF _Toc131065554 \h </w:instrText>
            </w:r>
            <w:r w:rsidR="00E311F3">
              <w:rPr>
                <w:noProof/>
                <w:webHidden/>
              </w:rPr>
            </w:r>
            <w:r w:rsidR="00E311F3">
              <w:rPr>
                <w:noProof/>
                <w:webHidden/>
              </w:rPr>
              <w:fldChar w:fldCharType="separate"/>
            </w:r>
            <w:r>
              <w:rPr>
                <w:noProof/>
                <w:webHidden/>
              </w:rPr>
              <w:t>7</w:t>
            </w:r>
            <w:r w:rsidR="00E311F3">
              <w:rPr>
                <w:noProof/>
                <w:webHidden/>
              </w:rPr>
              <w:fldChar w:fldCharType="end"/>
            </w:r>
          </w:hyperlink>
        </w:p>
        <w:p w14:paraId="126B11B2" w14:textId="0F642B71" w:rsidR="00E311F3" w:rsidRDefault="00445461">
          <w:pPr>
            <w:pStyle w:val="TOC2"/>
            <w:rPr>
              <w:rFonts w:asciiTheme="minorHAnsi" w:eastAsiaTheme="minorEastAsia" w:hAnsiTheme="minorHAnsi" w:cstheme="minorBidi"/>
              <w:b w:val="0"/>
              <w:noProof/>
              <w:sz w:val="22"/>
              <w:lang w:eastAsia="en-AU"/>
            </w:rPr>
          </w:pPr>
          <w:hyperlink w:anchor="_Toc131065555" w:history="1">
            <w:r w:rsidR="00E311F3" w:rsidRPr="00274102">
              <w:rPr>
                <w:rStyle w:val="Hyperlink"/>
                <w:noProof/>
              </w:rPr>
              <w:t>Regulatory status</w:t>
            </w:r>
            <w:r w:rsidR="00E311F3">
              <w:rPr>
                <w:noProof/>
                <w:webHidden/>
              </w:rPr>
              <w:tab/>
            </w:r>
            <w:r w:rsidR="00E311F3">
              <w:rPr>
                <w:noProof/>
                <w:webHidden/>
              </w:rPr>
              <w:fldChar w:fldCharType="begin"/>
            </w:r>
            <w:r w:rsidR="00E311F3">
              <w:rPr>
                <w:noProof/>
                <w:webHidden/>
              </w:rPr>
              <w:instrText xml:space="preserve"> PAGEREF _Toc131065555 \h </w:instrText>
            </w:r>
            <w:r w:rsidR="00E311F3">
              <w:rPr>
                <w:noProof/>
                <w:webHidden/>
              </w:rPr>
            </w:r>
            <w:r w:rsidR="00E311F3">
              <w:rPr>
                <w:noProof/>
                <w:webHidden/>
              </w:rPr>
              <w:fldChar w:fldCharType="separate"/>
            </w:r>
            <w:r>
              <w:rPr>
                <w:noProof/>
                <w:webHidden/>
              </w:rPr>
              <w:t>9</w:t>
            </w:r>
            <w:r w:rsidR="00E311F3">
              <w:rPr>
                <w:noProof/>
                <w:webHidden/>
              </w:rPr>
              <w:fldChar w:fldCharType="end"/>
            </w:r>
          </w:hyperlink>
        </w:p>
        <w:p w14:paraId="309296CF" w14:textId="64186F7C" w:rsidR="00E311F3" w:rsidRDefault="00445461">
          <w:pPr>
            <w:pStyle w:val="TOC2"/>
            <w:rPr>
              <w:rFonts w:asciiTheme="minorHAnsi" w:eastAsiaTheme="minorEastAsia" w:hAnsiTheme="minorHAnsi" w:cstheme="minorBidi"/>
              <w:b w:val="0"/>
              <w:noProof/>
              <w:sz w:val="22"/>
              <w:lang w:eastAsia="en-AU"/>
            </w:rPr>
          </w:pPr>
          <w:hyperlink w:anchor="_Toc131065556" w:history="1">
            <w:r w:rsidR="00E311F3" w:rsidRPr="00274102">
              <w:rPr>
                <w:rStyle w:val="Hyperlink"/>
                <w:noProof/>
              </w:rPr>
              <w:t>Product Information</w:t>
            </w:r>
            <w:r w:rsidR="00E311F3">
              <w:rPr>
                <w:noProof/>
                <w:webHidden/>
              </w:rPr>
              <w:tab/>
            </w:r>
            <w:r w:rsidR="00E311F3">
              <w:rPr>
                <w:noProof/>
                <w:webHidden/>
              </w:rPr>
              <w:fldChar w:fldCharType="begin"/>
            </w:r>
            <w:r w:rsidR="00E311F3">
              <w:rPr>
                <w:noProof/>
                <w:webHidden/>
              </w:rPr>
              <w:instrText xml:space="preserve"> PAGEREF _Toc131065556 \h </w:instrText>
            </w:r>
            <w:r w:rsidR="00E311F3">
              <w:rPr>
                <w:noProof/>
                <w:webHidden/>
              </w:rPr>
            </w:r>
            <w:r w:rsidR="00E311F3">
              <w:rPr>
                <w:noProof/>
                <w:webHidden/>
              </w:rPr>
              <w:fldChar w:fldCharType="separate"/>
            </w:r>
            <w:r>
              <w:rPr>
                <w:noProof/>
                <w:webHidden/>
              </w:rPr>
              <w:t>11</w:t>
            </w:r>
            <w:r w:rsidR="00E311F3">
              <w:rPr>
                <w:noProof/>
                <w:webHidden/>
              </w:rPr>
              <w:fldChar w:fldCharType="end"/>
            </w:r>
          </w:hyperlink>
        </w:p>
        <w:p w14:paraId="02B03F12" w14:textId="2C24511C" w:rsidR="00E311F3" w:rsidRDefault="00445461">
          <w:pPr>
            <w:pStyle w:val="TOC1"/>
            <w:rPr>
              <w:rFonts w:asciiTheme="minorHAnsi" w:eastAsiaTheme="minorEastAsia" w:hAnsiTheme="minorHAnsi" w:cstheme="minorBidi"/>
              <w:b w:val="0"/>
              <w:noProof/>
              <w:sz w:val="22"/>
              <w:lang w:eastAsia="en-AU"/>
            </w:rPr>
          </w:pPr>
          <w:hyperlink w:anchor="_Toc131065557" w:history="1">
            <w:r w:rsidR="00E311F3" w:rsidRPr="00274102">
              <w:rPr>
                <w:rStyle w:val="Hyperlink"/>
                <w:noProof/>
              </w:rPr>
              <w:t>Registration timeline</w:t>
            </w:r>
            <w:r w:rsidR="00E311F3">
              <w:rPr>
                <w:noProof/>
                <w:webHidden/>
              </w:rPr>
              <w:tab/>
            </w:r>
            <w:r w:rsidR="00E311F3">
              <w:rPr>
                <w:noProof/>
                <w:webHidden/>
              </w:rPr>
              <w:fldChar w:fldCharType="begin"/>
            </w:r>
            <w:r w:rsidR="00E311F3">
              <w:rPr>
                <w:noProof/>
                <w:webHidden/>
              </w:rPr>
              <w:instrText xml:space="preserve"> PAGEREF _Toc131065557 \h </w:instrText>
            </w:r>
            <w:r w:rsidR="00E311F3">
              <w:rPr>
                <w:noProof/>
                <w:webHidden/>
              </w:rPr>
            </w:r>
            <w:r w:rsidR="00E311F3">
              <w:rPr>
                <w:noProof/>
                <w:webHidden/>
              </w:rPr>
              <w:fldChar w:fldCharType="separate"/>
            </w:r>
            <w:r>
              <w:rPr>
                <w:noProof/>
                <w:webHidden/>
              </w:rPr>
              <w:t>11</w:t>
            </w:r>
            <w:r w:rsidR="00E311F3">
              <w:rPr>
                <w:noProof/>
                <w:webHidden/>
              </w:rPr>
              <w:fldChar w:fldCharType="end"/>
            </w:r>
          </w:hyperlink>
        </w:p>
        <w:p w14:paraId="3E704E09" w14:textId="0EE29C2F" w:rsidR="00E311F3" w:rsidRDefault="00445461">
          <w:pPr>
            <w:pStyle w:val="TOC1"/>
            <w:rPr>
              <w:rFonts w:asciiTheme="minorHAnsi" w:eastAsiaTheme="minorEastAsia" w:hAnsiTheme="minorHAnsi" w:cstheme="minorBidi"/>
              <w:b w:val="0"/>
              <w:noProof/>
              <w:sz w:val="22"/>
              <w:lang w:eastAsia="en-AU"/>
            </w:rPr>
          </w:pPr>
          <w:hyperlink w:anchor="_Toc131065558" w:history="1">
            <w:r w:rsidR="00E311F3" w:rsidRPr="00274102">
              <w:rPr>
                <w:rStyle w:val="Hyperlink"/>
                <w:noProof/>
              </w:rPr>
              <w:t>Submission overview and risk/benefit assessment</w:t>
            </w:r>
            <w:r w:rsidR="00E311F3">
              <w:rPr>
                <w:noProof/>
                <w:webHidden/>
              </w:rPr>
              <w:tab/>
            </w:r>
            <w:r w:rsidR="00E311F3">
              <w:rPr>
                <w:noProof/>
                <w:webHidden/>
              </w:rPr>
              <w:fldChar w:fldCharType="begin"/>
            </w:r>
            <w:r w:rsidR="00E311F3">
              <w:rPr>
                <w:noProof/>
                <w:webHidden/>
              </w:rPr>
              <w:instrText xml:space="preserve"> PAGEREF _Toc131065558 \h </w:instrText>
            </w:r>
            <w:r w:rsidR="00E311F3">
              <w:rPr>
                <w:noProof/>
                <w:webHidden/>
              </w:rPr>
            </w:r>
            <w:r w:rsidR="00E311F3">
              <w:rPr>
                <w:noProof/>
                <w:webHidden/>
              </w:rPr>
              <w:fldChar w:fldCharType="separate"/>
            </w:r>
            <w:r>
              <w:rPr>
                <w:noProof/>
                <w:webHidden/>
              </w:rPr>
              <w:t>12</w:t>
            </w:r>
            <w:r w:rsidR="00E311F3">
              <w:rPr>
                <w:noProof/>
                <w:webHidden/>
              </w:rPr>
              <w:fldChar w:fldCharType="end"/>
            </w:r>
          </w:hyperlink>
        </w:p>
        <w:p w14:paraId="756E8776" w14:textId="2193224F" w:rsidR="00E311F3" w:rsidRDefault="00445461">
          <w:pPr>
            <w:pStyle w:val="TOC2"/>
            <w:rPr>
              <w:rFonts w:asciiTheme="minorHAnsi" w:eastAsiaTheme="minorEastAsia" w:hAnsiTheme="minorHAnsi" w:cstheme="minorBidi"/>
              <w:b w:val="0"/>
              <w:noProof/>
              <w:sz w:val="22"/>
              <w:lang w:eastAsia="en-AU"/>
            </w:rPr>
          </w:pPr>
          <w:hyperlink w:anchor="_Toc131065559" w:history="1">
            <w:r w:rsidR="00E311F3" w:rsidRPr="00274102">
              <w:rPr>
                <w:rStyle w:val="Hyperlink"/>
                <w:noProof/>
              </w:rPr>
              <w:t>Quality</w:t>
            </w:r>
            <w:r w:rsidR="00E311F3">
              <w:rPr>
                <w:noProof/>
                <w:webHidden/>
              </w:rPr>
              <w:tab/>
            </w:r>
            <w:r w:rsidR="00E311F3">
              <w:rPr>
                <w:noProof/>
                <w:webHidden/>
              </w:rPr>
              <w:fldChar w:fldCharType="begin"/>
            </w:r>
            <w:r w:rsidR="00E311F3">
              <w:rPr>
                <w:noProof/>
                <w:webHidden/>
              </w:rPr>
              <w:instrText xml:space="preserve"> PAGEREF _Toc131065559 \h </w:instrText>
            </w:r>
            <w:r w:rsidR="00E311F3">
              <w:rPr>
                <w:noProof/>
                <w:webHidden/>
              </w:rPr>
            </w:r>
            <w:r w:rsidR="00E311F3">
              <w:rPr>
                <w:noProof/>
                <w:webHidden/>
              </w:rPr>
              <w:fldChar w:fldCharType="separate"/>
            </w:r>
            <w:r>
              <w:rPr>
                <w:noProof/>
                <w:webHidden/>
              </w:rPr>
              <w:t>12</w:t>
            </w:r>
            <w:r w:rsidR="00E311F3">
              <w:rPr>
                <w:noProof/>
                <w:webHidden/>
              </w:rPr>
              <w:fldChar w:fldCharType="end"/>
            </w:r>
          </w:hyperlink>
        </w:p>
        <w:p w14:paraId="2C4FA2B2" w14:textId="26F82AC6" w:rsidR="00E311F3" w:rsidRDefault="00445461">
          <w:pPr>
            <w:pStyle w:val="TOC2"/>
            <w:rPr>
              <w:rFonts w:asciiTheme="minorHAnsi" w:eastAsiaTheme="minorEastAsia" w:hAnsiTheme="minorHAnsi" w:cstheme="minorBidi"/>
              <w:b w:val="0"/>
              <w:noProof/>
              <w:sz w:val="22"/>
              <w:lang w:eastAsia="en-AU"/>
            </w:rPr>
          </w:pPr>
          <w:hyperlink w:anchor="_Toc131065560" w:history="1">
            <w:r w:rsidR="00E311F3" w:rsidRPr="00274102">
              <w:rPr>
                <w:rStyle w:val="Hyperlink"/>
                <w:noProof/>
              </w:rPr>
              <w:t>Nonclinical</w:t>
            </w:r>
            <w:r w:rsidR="00E311F3">
              <w:rPr>
                <w:noProof/>
                <w:webHidden/>
              </w:rPr>
              <w:tab/>
            </w:r>
            <w:r w:rsidR="00E311F3">
              <w:rPr>
                <w:noProof/>
                <w:webHidden/>
              </w:rPr>
              <w:fldChar w:fldCharType="begin"/>
            </w:r>
            <w:r w:rsidR="00E311F3">
              <w:rPr>
                <w:noProof/>
                <w:webHidden/>
              </w:rPr>
              <w:instrText xml:space="preserve"> PAGEREF _Toc131065560 \h </w:instrText>
            </w:r>
            <w:r w:rsidR="00E311F3">
              <w:rPr>
                <w:noProof/>
                <w:webHidden/>
              </w:rPr>
            </w:r>
            <w:r w:rsidR="00E311F3">
              <w:rPr>
                <w:noProof/>
                <w:webHidden/>
              </w:rPr>
              <w:fldChar w:fldCharType="separate"/>
            </w:r>
            <w:r>
              <w:rPr>
                <w:noProof/>
                <w:webHidden/>
              </w:rPr>
              <w:t>12</w:t>
            </w:r>
            <w:r w:rsidR="00E311F3">
              <w:rPr>
                <w:noProof/>
                <w:webHidden/>
              </w:rPr>
              <w:fldChar w:fldCharType="end"/>
            </w:r>
          </w:hyperlink>
        </w:p>
        <w:p w14:paraId="06213EA4" w14:textId="16170639" w:rsidR="00E311F3" w:rsidRDefault="00445461">
          <w:pPr>
            <w:pStyle w:val="TOC2"/>
            <w:rPr>
              <w:rFonts w:asciiTheme="minorHAnsi" w:eastAsiaTheme="minorEastAsia" w:hAnsiTheme="minorHAnsi" w:cstheme="minorBidi"/>
              <w:b w:val="0"/>
              <w:noProof/>
              <w:sz w:val="22"/>
              <w:lang w:eastAsia="en-AU"/>
            </w:rPr>
          </w:pPr>
          <w:hyperlink w:anchor="_Toc131065561" w:history="1">
            <w:r w:rsidR="00E311F3" w:rsidRPr="00274102">
              <w:rPr>
                <w:rStyle w:val="Hyperlink"/>
                <w:noProof/>
              </w:rPr>
              <w:t>Clinical</w:t>
            </w:r>
            <w:r w:rsidR="00E311F3">
              <w:rPr>
                <w:noProof/>
                <w:webHidden/>
              </w:rPr>
              <w:tab/>
            </w:r>
            <w:r w:rsidR="00E311F3">
              <w:rPr>
                <w:noProof/>
                <w:webHidden/>
              </w:rPr>
              <w:fldChar w:fldCharType="begin"/>
            </w:r>
            <w:r w:rsidR="00E311F3">
              <w:rPr>
                <w:noProof/>
                <w:webHidden/>
              </w:rPr>
              <w:instrText xml:space="preserve"> PAGEREF _Toc131065561 \h </w:instrText>
            </w:r>
            <w:r w:rsidR="00E311F3">
              <w:rPr>
                <w:noProof/>
                <w:webHidden/>
              </w:rPr>
            </w:r>
            <w:r w:rsidR="00E311F3">
              <w:rPr>
                <w:noProof/>
                <w:webHidden/>
              </w:rPr>
              <w:fldChar w:fldCharType="separate"/>
            </w:r>
            <w:r>
              <w:rPr>
                <w:noProof/>
                <w:webHidden/>
              </w:rPr>
              <w:t>12</w:t>
            </w:r>
            <w:r w:rsidR="00E311F3">
              <w:rPr>
                <w:noProof/>
                <w:webHidden/>
              </w:rPr>
              <w:fldChar w:fldCharType="end"/>
            </w:r>
          </w:hyperlink>
        </w:p>
        <w:p w14:paraId="446CC0FE" w14:textId="097DE52B" w:rsidR="00E311F3" w:rsidRDefault="00445461">
          <w:pPr>
            <w:pStyle w:val="TOC2"/>
            <w:rPr>
              <w:rFonts w:asciiTheme="minorHAnsi" w:eastAsiaTheme="minorEastAsia" w:hAnsiTheme="minorHAnsi" w:cstheme="minorBidi"/>
              <w:b w:val="0"/>
              <w:noProof/>
              <w:sz w:val="22"/>
              <w:lang w:eastAsia="en-AU"/>
            </w:rPr>
          </w:pPr>
          <w:hyperlink w:anchor="_Toc131065562" w:history="1">
            <w:r w:rsidR="00E311F3" w:rsidRPr="00274102">
              <w:rPr>
                <w:rStyle w:val="Hyperlink"/>
                <w:noProof/>
                <w:lang w:eastAsia="en-AU"/>
              </w:rPr>
              <w:t>Risk management plan</w:t>
            </w:r>
            <w:r w:rsidR="00E311F3">
              <w:rPr>
                <w:noProof/>
                <w:webHidden/>
              </w:rPr>
              <w:tab/>
            </w:r>
            <w:r w:rsidR="00E311F3">
              <w:rPr>
                <w:noProof/>
                <w:webHidden/>
              </w:rPr>
              <w:fldChar w:fldCharType="begin"/>
            </w:r>
            <w:r w:rsidR="00E311F3">
              <w:rPr>
                <w:noProof/>
                <w:webHidden/>
              </w:rPr>
              <w:instrText xml:space="preserve"> PAGEREF _Toc131065562 \h </w:instrText>
            </w:r>
            <w:r w:rsidR="00E311F3">
              <w:rPr>
                <w:noProof/>
                <w:webHidden/>
              </w:rPr>
            </w:r>
            <w:r w:rsidR="00E311F3">
              <w:rPr>
                <w:noProof/>
                <w:webHidden/>
              </w:rPr>
              <w:fldChar w:fldCharType="separate"/>
            </w:r>
            <w:r>
              <w:rPr>
                <w:noProof/>
                <w:webHidden/>
              </w:rPr>
              <w:t>26</w:t>
            </w:r>
            <w:r w:rsidR="00E311F3">
              <w:rPr>
                <w:noProof/>
                <w:webHidden/>
              </w:rPr>
              <w:fldChar w:fldCharType="end"/>
            </w:r>
          </w:hyperlink>
        </w:p>
        <w:p w14:paraId="1B349895" w14:textId="59CFCC67" w:rsidR="00E311F3" w:rsidRDefault="00445461">
          <w:pPr>
            <w:pStyle w:val="TOC2"/>
            <w:rPr>
              <w:rFonts w:asciiTheme="minorHAnsi" w:eastAsiaTheme="minorEastAsia" w:hAnsiTheme="minorHAnsi" w:cstheme="minorBidi"/>
              <w:b w:val="0"/>
              <w:noProof/>
              <w:sz w:val="22"/>
              <w:lang w:eastAsia="en-AU"/>
            </w:rPr>
          </w:pPr>
          <w:hyperlink w:anchor="_Toc131065563" w:history="1">
            <w:r w:rsidR="00E311F3" w:rsidRPr="00274102">
              <w:rPr>
                <w:rStyle w:val="Hyperlink"/>
                <w:noProof/>
              </w:rPr>
              <w:t>Risk-benefit analysis</w:t>
            </w:r>
            <w:r w:rsidR="00E311F3">
              <w:rPr>
                <w:noProof/>
                <w:webHidden/>
              </w:rPr>
              <w:tab/>
            </w:r>
            <w:r w:rsidR="00E311F3">
              <w:rPr>
                <w:noProof/>
                <w:webHidden/>
              </w:rPr>
              <w:fldChar w:fldCharType="begin"/>
            </w:r>
            <w:r w:rsidR="00E311F3">
              <w:rPr>
                <w:noProof/>
                <w:webHidden/>
              </w:rPr>
              <w:instrText xml:space="preserve"> PAGEREF _Toc131065563 \h </w:instrText>
            </w:r>
            <w:r w:rsidR="00E311F3">
              <w:rPr>
                <w:noProof/>
                <w:webHidden/>
              </w:rPr>
            </w:r>
            <w:r w:rsidR="00E311F3">
              <w:rPr>
                <w:noProof/>
                <w:webHidden/>
              </w:rPr>
              <w:fldChar w:fldCharType="separate"/>
            </w:r>
            <w:r>
              <w:rPr>
                <w:noProof/>
                <w:webHidden/>
              </w:rPr>
              <w:t>28</w:t>
            </w:r>
            <w:r w:rsidR="00E311F3">
              <w:rPr>
                <w:noProof/>
                <w:webHidden/>
              </w:rPr>
              <w:fldChar w:fldCharType="end"/>
            </w:r>
          </w:hyperlink>
        </w:p>
        <w:p w14:paraId="4BCE4A78" w14:textId="5E8A2F30" w:rsidR="00E311F3" w:rsidRDefault="00445461">
          <w:pPr>
            <w:pStyle w:val="TOC1"/>
            <w:rPr>
              <w:rFonts w:asciiTheme="minorHAnsi" w:eastAsiaTheme="minorEastAsia" w:hAnsiTheme="minorHAnsi" w:cstheme="minorBidi"/>
              <w:b w:val="0"/>
              <w:noProof/>
              <w:sz w:val="22"/>
              <w:lang w:eastAsia="en-AU"/>
            </w:rPr>
          </w:pPr>
          <w:hyperlink w:anchor="_Toc131065564" w:history="1">
            <w:r w:rsidR="00E311F3" w:rsidRPr="00274102">
              <w:rPr>
                <w:rStyle w:val="Hyperlink"/>
                <w:noProof/>
              </w:rPr>
              <w:t>Outcome</w:t>
            </w:r>
            <w:r w:rsidR="00E311F3">
              <w:rPr>
                <w:noProof/>
                <w:webHidden/>
              </w:rPr>
              <w:tab/>
            </w:r>
            <w:r w:rsidR="00E311F3">
              <w:rPr>
                <w:noProof/>
                <w:webHidden/>
              </w:rPr>
              <w:fldChar w:fldCharType="begin"/>
            </w:r>
            <w:r w:rsidR="00E311F3">
              <w:rPr>
                <w:noProof/>
                <w:webHidden/>
              </w:rPr>
              <w:instrText xml:space="preserve"> PAGEREF _Toc131065564 \h </w:instrText>
            </w:r>
            <w:r w:rsidR="00E311F3">
              <w:rPr>
                <w:noProof/>
                <w:webHidden/>
              </w:rPr>
            </w:r>
            <w:r w:rsidR="00E311F3">
              <w:rPr>
                <w:noProof/>
                <w:webHidden/>
              </w:rPr>
              <w:fldChar w:fldCharType="separate"/>
            </w:r>
            <w:r>
              <w:rPr>
                <w:noProof/>
                <w:webHidden/>
              </w:rPr>
              <w:t>39</w:t>
            </w:r>
            <w:r w:rsidR="00E311F3">
              <w:rPr>
                <w:noProof/>
                <w:webHidden/>
              </w:rPr>
              <w:fldChar w:fldCharType="end"/>
            </w:r>
          </w:hyperlink>
        </w:p>
        <w:p w14:paraId="440BBC3A" w14:textId="47B21627" w:rsidR="00E311F3" w:rsidRDefault="00445461">
          <w:pPr>
            <w:pStyle w:val="TOC2"/>
            <w:rPr>
              <w:rFonts w:asciiTheme="minorHAnsi" w:eastAsiaTheme="minorEastAsia" w:hAnsiTheme="minorHAnsi" w:cstheme="minorBidi"/>
              <w:b w:val="0"/>
              <w:noProof/>
              <w:sz w:val="22"/>
              <w:lang w:eastAsia="en-AU"/>
            </w:rPr>
          </w:pPr>
          <w:hyperlink w:anchor="_Toc131065565" w:history="1">
            <w:r w:rsidR="00E311F3" w:rsidRPr="00274102">
              <w:rPr>
                <w:rStyle w:val="Hyperlink"/>
                <w:noProof/>
              </w:rPr>
              <w:t>Specific conditions of registration applying to these goods</w:t>
            </w:r>
            <w:r w:rsidR="00E311F3">
              <w:rPr>
                <w:noProof/>
                <w:webHidden/>
              </w:rPr>
              <w:tab/>
            </w:r>
            <w:r w:rsidR="00E311F3">
              <w:rPr>
                <w:noProof/>
                <w:webHidden/>
              </w:rPr>
              <w:fldChar w:fldCharType="begin"/>
            </w:r>
            <w:r w:rsidR="00E311F3">
              <w:rPr>
                <w:noProof/>
                <w:webHidden/>
              </w:rPr>
              <w:instrText xml:space="preserve"> PAGEREF _Toc131065565 \h </w:instrText>
            </w:r>
            <w:r w:rsidR="00E311F3">
              <w:rPr>
                <w:noProof/>
                <w:webHidden/>
              </w:rPr>
            </w:r>
            <w:r w:rsidR="00E311F3">
              <w:rPr>
                <w:noProof/>
                <w:webHidden/>
              </w:rPr>
              <w:fldChar w:fldCharType="separate"/>
            </w:r>
            <w:r>
              <w:rPr>
                <w:noProof/>
                <w:webHidden/>
              </w:rPr>
              <w:t>39</w:t>
            </w:r>
            <w:r w:rsidR="00E311F3">
              <w:rPr>
                <w:noProof/>
                <w:webHidden/>
              </w:rPr>
              <w:fldChar w:fldCharType="end"/>
            </w:r>
          </w:hyperlink>
        </w:p>
        <w:p w14:paraId="1140E6B9" w14:textId="620434EE" w:rsidR="00E311F3" w:rsidRDefault="00445461">
          <w:pPr>
            <w:pStyle w:val="TOC1"/>
            <w:rPr>
              <w:rFonts w:asciiTheme="minorHAnsi" w:eastAsiaTheme="minorEastAsia" w:hAnsiTheme="minorHAnsi" w:cstheme="minorBidi"/>
              <w:b w:val="0"/>
              <w:noProof/>
              <w:sz w:val="22"/>
              <w:lang w:eastAsia="en-AU"/>
            </w:rPr>
          </w:pPr>
          <w:hyperlink w:anchor="_Toc131065566" w:history="1">
            <w:r w:rsidR="00E311F3" w:rsidRPr="00274102">
              <w:rPr>
                <w:rStyle w:val="Hyperlink"/>
                <w:noProof/>
              </w:rPr>
              <w:t>Attachment 1. Product Information</w:t>
            </w:r>
            <w:r w:rsidR="00E311F3">
              <w:rPr>
                <w:noProof/>
                <w:webHidden/>
              </w:rPr>
              <w:tab/>
            </w:r>
            <w:r w:rsidR="00E311F3">
              <w:rPr>
                <w:noProof/>
                <w:webHidden/>
              </w:rPr>
              <w:fldChar w:fldCharType="begin"/>
            </w:r>
            <w:r w:rsidR="00E311F3">
              <w:rPr>
                <w:noProof/>
                <w:webHidden/>
              </w:rPr>
              <w:instrText xml:space="preserve"> PAGEREF _Toc131065566 \h </w:instrText>
            </w:r>
            <w:r w:rsidR="00E311F3">
              <w:rPr>
                <w:noProof/>
                <w:webHidden/>
              </w:rPr>
            </w:r>
            <w:r w:rsidR="00E311F3">
              <w:rPr>
                <w:noProof/>
                <w:webHidden/>
              </w:rPr>
              <w:fldChar w:fldCharType="separate"/>
            </w:r>
            <w:r>
              <w:rPr>
                <w:noProof/>
                <w:webHidden/>
              </w:rPr>
              <w:t>40</w:t>
            </w:r>
            <w:r w:rsidR="00E311F3">
              <w:rPr>
                <w:noProof/>
                <w:webHidden/>
              </w:rPr>
              <w:fldChar w:fldCharType="end"/>
            </w:r>
          </w:hyperlink>
        </w:p>
        <w:p w14:paraId="23FCB400" w14:textId="01DFFF08" w:rsidR="003A7F6C" w:rsidRPr="00B811C6" w:rsidRDefault="00C525A2" w:rsidP="00EB36D6">
          <w:r>
            <w:fldChar w:fldCharType="end"/>
          </w:r>
        </w:p>
      </w:sdtContent>
    </w:sdt>
    <w:bookmarkStart w:id="2" w:name="_Toc314842482" w:displacedByCustomXml="prev"/>
    <w:p w14:paraId="30921694" w14:textId="77777777" w:rsidR="00FD119B" w:rsidRDefault="00FD119B">
      <w:pPr>
        <w:spacing w:before="0" w:after="200" w:line="0" w:lineRule="auto"/>
      </w:pPr>
      <w:r>
        <w:br w:type="page"/>
      </w:r>
    </w:p>
    <w:p w14:paraId="6F78F68B" w14:textId="77777777" w:rsidR="00AF2313" w:rsidRDefault="00AF2313" w:rsidP="00AF2313">
      <w:pPr>
        <w:pStyle w:val="Heading2"/>
      </w:pPr>
      <w:bookmarkStart w:id="3" w:name="_Toc98931917"/>
      <w:bookmarkStart w:id="4" w:name="_Toc131065551"/>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14:paraId="0FEF3ABA"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512FF57C" w14:textId="77777777" w:rsidR="00AF2313" w:rsidRDefault="00AF2313">
            <w:pPr>
              <w:rPr>
                <w:color w:val="FFFFFF"/>
              </w:rPr>
            </w:pPr>
            <w:r>
              <w:t>Abbreviation</w:t>
            </w:r>
          </w:p>
        </w:tc>
        <w:tc>
          <w:tcPr>
            <w:tcW w:w="3282" w:type="pct"/>
            <w:hideMark/>
          </w:tcPr>
          <w:p w14:paraId="37E965B2" w14:textId="77777777" w:rsidR="00AF2313" w:rsidRDefault="00AF2313">
            <w:r>
              <w:t>Meaning</w:t>
            </w:r>
          </w:p>
        </w:tc>
      </w:tr>
      <w:tr w:rsidR="00AF2313" w14:paraId="625A91D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7ACBBF9" w14:textId="77777777" w:rsidR="00AF2313" w:rsidRDefault="00AF2313">
            <w:r>
              <w:t>ACM</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8B42775" w14:textId="77777777" w:rsidR="00AF2313" w:rsidRDefault="00AF2313">
            <w:r>
              <w:t>Advisory Committee on Medicines</w:t>
            </w:r>
          </w:p>
        </w:tc>
      </w:tr>
      <w:tr w:rsidR="00E1532C" w14:paraId="1BD8E35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CC2BE12" w14:textId="257CEF52" w:rsidR="00E1532C" w:rsidRDefault="00E1532C">
            <w:r>
              <w:t>ADR</w:t>
            </w:r>
          </w:p>
        </w:tc>
        <w:tc>
          <w:tcPr>
            <w:tcW w:w="3987" w:type="pct"/>
            <w:gridSpan w:val="2"/>
            <w:tcBorders>
              <w:top w:val="single" w:sz="8" w:space="0" w:color="002C47"/>
              <w:left w:val="single" w:sz="8" w:space="0" w:color="002C47"/>
              <w:bottom w:val="single" w:sz="8" w:space="0" w:color="002C47"/>
              <w:right w:val="single" w:sz="8" w:space="0" w:color="002C47"/>
            </w:tcBorders>
          </w:tcPr>
          <w:p w14:paraId="36029347" w14:textId="7E067BBB" w:rsidR="00E1532C" w:rsidRDefault="00E1532C">
            <w:r>
              <w:t>Adverse drug reaction</w:t>
            </w:r>
          </w:p>
        </w:tc>
      </w:tr>
      <w:tr w:rsidR="00E1532C" w14:paraId="0F1AA59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BE0E3D3" w14:textId="67ADEC90" w:rsidR="00E1532C" w:rsidRDefault="00E1532C">
            <w: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0D910287" w14:textId="491F6DDE" w:rsidR="00E1532C" w:rsidRDefault="00E1532C">
            <w:r>
              <w:t>Adverse event</w:t>
            </w:r>
          </w:p>
        </w:tc>
      </w:tr>
      <w:tr w:rsidR="002F479C" w14:paraId="2463A17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6533050" w14:textId="11DCE539" w:rsidR="002F479C" w:rsidRDefault="002F479C">
            <w:r>
              <w:t>AMD</w:t>
            </w:r>
          </w:p>
        </w:tc>
        <w:tc>
          <w:tcPr>
            <w:tcW w:w="3987" w:type="pct"/>
            <w:gridSpan w:val="2"/>
            <w:tcBorders>
              <w:top w:val="single" w:sz="8" w:space="0" w:color="002C47"/>
              <w:left w:val="single" w:sz="8" w:space="0" w:color="002C47"/>
              <w:bottom w:val="single" w:sz="8" w:space="0" w:color="002C47"/>
              <w:right w:val="single" w:sz="8" w:space="0" w:color="002C47"/>
            </w:tcBorders>
          </w:tcPr>
          <w:p w14:paraId="507144A7" w14:textId="41FEB27A" w:rsidR="002F479C" w:rsidRDefault="002F479C">
            <w:r>
              <w:t>A</w:t>
            </w:r>
            <w:r w:rsidRPr="002F479C">
              <w:t>ge-related macular degeneratio</w:t>
            </w:r>
            <w:r>
              <w:t>n</w:t>
            </w:r>
          </w:p>
        </w:tc>
      </w:tr>
      <w:tr w:rsidR="002F479C" w14:paraId="366B0A5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A0DBF69" w14:textId="5CF77737" w:rsidR="002F479C" w:rsidRDefault="002F479C">
            <w:r>
              <w:t>AP-ROP</w:t>
            </w:r>
          </w:p>
        </w:tc>
        <w:tc>
          <w:tcPr>
            <w:tcW w:w="3987" w:type="pct"/>
            <w:gridSpan w:val="2"/>
            <w:tcBorders>
              <w:top w:val="single" w:sz="8" w:space="0" w:color="002C47"/>
              <w:left w:val="single" w:sz="8" w:space="0" w:color="002C47"/>
              <w:bottom w:val="single" w:sz="8" w:space="0" w:color="002C47"/>
              <w:right w:val="single" w:sz="8" w:space="0" w:color="002C47"/>
            </w:tcBorders>
          </w:tcPr>
          <w:p w14:paraId="4C74C309" w14:textId="7008EEA6" w:rsidR="002F479C" w:rsidRDefault="002F479C">
            <w:r>
              <w:t>A</w:t>
            </w:r>
            <w:r w:rsidRPr="002F479C">
              <w:t xml:space="preserve">ggressive posterior </w:t>
            </w:r>
            <w:r>
              <w:t>r</w:t>
            </w:r>
            <w:r w:rsidRPr="002F479C">
              <w:t>etinopathy of prematurity</w:t>
            </w:r>
          </w:p>
        </w:tc>
      </w:tr>
      <w:tr w:rsidR="00AF2313" w14:paraId="41175F4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FD295AE" w14:textId="77777777" w:rsidR="00AF2313" w:rsidRDefault="00AF2313">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CC51DDC" w14:textId="77777777" w:rsidR="00AF2313" w:rsidRDefault="00AF2313">
            <w:r>
              <w:t>Australian Register of Therapeutic Goods</w:t>
            </w:r>
          </w:p>
        </w:tc>
      </w:tr>
      <w:tr w:rsidR="00AF2313" w14:paraId="1326259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8AE34C1" w14:textId="77777777" w:rsidR="00AF2313" w:rsidRDefault="00AF2313">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E2A986C" w14:textId="77777777" w:rsidR="00AF2313" w:rsidRDefault="00AF2313">
            <w:r>
              <w:t>Australia specific annex</w:t>
            </w:r>
          </w:p>
        </w:tc>
      </w:tr>
      <w:tr w:rsidR="00ED11DD" w14:paraId="766AB41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AAD7860" w14:textId="76B38D95" w:rsidR="00ED11DD" w:rsidRDefault="00ED11DD">
            <w:r>
              <w:t>AUC</w:t>
            </w:r>
            <w:r w:rsidRPr="00ED11DD">
              <w:rPr>
                <w:vertAlign w:val="subscript"/>
              </w:rPr>
              <w:t>0-inf</w:t>
            </w:r>
          </w:p>
        </w:tc>
        <w:tc>
          <w:tcPr>
            <w:tcW w:w="3987" w:type="pct"/>
            <w:gridSpan w:val="2"/>
            <w:tcBorders>
              <w:top w:val="single" w:sz="8" w:space="0" w:color="002C47"/>
              <w:left w:val="single" w:sz="8" w:space="0" w:color="002C47"/>
              <w:bottom w:val="single" w:sz="8" w:space="0" w:color="002C47"/>
              <w:right w:val="single" w:sz="8" w:space="0" w:color="002C47"/>
            </w:tcBorders>
          </w:tcPr>
          <w:p w14:paraId="3BEFB7CB" w14:textId="55C6A91A" w:rsidR="00ED11DD" w:rsidRDefault="00ED11DD" w:rsidP="009E065A">
            <w:r>
              <w:t>Area under the concentration-time curve from time zero to infinity</w:t>
            </w:r>
          </w:p>
        </w:tc>
      </w:tr>
      <w:tr w:rsidR="00D54B92" w14:paraId="3858C0B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924D90C" w14:textId="25AEA665" w:rsidR="00D54B92" w:rsidRDefault="00D54B92">
            <w:r>
              <w:t>CAT</w:t>
            </w:r>
          </w:p>
        </w:tc>
        <w:tc>
          <w:tcPr>
            <w:tcW w:w="3987" w:type="pct"/>
            <w:gridSpan w:val="2"/>
            <w:tcBorders>
              <w:top w:val="single" w:sz="8" w:space="0" w:color="002C47"/>
              <w:left w:val="single" w:sz="8" w:space="0" w:color="002C47"/>
              <w:bottom w:val="single" w:sz="8" w:space="0" w:color="002C47"/>
              <w:right w:val="single" w:sz="8" w:space="0" w:color="002C47"/>
            </w:tcBorders>
          </w:tcPr>
          <w:p w14:paraId="75A79053" w14:textId="415220EA" w:rsidR="00D54B92" w:rsidRDefault="00D54B92">
            <w:r>
              <w:t xml:space="preserve">Cardiff Acuity </w:t>
            </w:r>
            <w:r w:rsidR="00287118">
              <w:t>t</w:t>
            </w:r>
            <w:r>
              <w:t>est</w:t>
            </w:r>
          </w:p>
        </w:tc>
      </w:tr>
      <w:tr w:rsidR="00ED11DD" w14:paraId="2CA7379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8131899" w14:textId="0CB07063" w:rsidR="00ED11DD" w:rsidRDefault="00ED11DD">
            <w:r>
              <w:t>C</w:t>
            </w:r>
            <w:r w:rsidRPr="00ED11DD">
              <w:rPr>
                <w:vertAlign w:val="subscript"/>
              </w:rPr>
              <w:t>max</w:t>
            </w:r>
          </w:p>
        </w:tc>
        <w:tc>
          <w:tcPr>
            <w:tcW w:w="3987" w:type="pct"/>
            <w:gridSpan w:val="2"/>
            <w:tcBorders>
              <w:top w:val="single" w:sz="8" w:space="0" w:color="002C47"/>
              <w:left w:val="single" w:sz="8" w:space="0" w:color="002C47"/>
              <w:bottom w:val="single" w:sz="8" w:space="0" w:color="002C47"/>
              <w:right w:val="single" w:sz="8" w:space="0" w:color="002C47"/>
            </w:tcBorders>
          </w:tcPr>
          <w:p w14:paraId="2FA37409" w14:textId="6950D372" w:rsidR="00ED11DD" w:rsidRDefault="00ED11DD">
            <w:r>
              <w:t>Maximum plasma drug concentration</w:t>
            </w:r>
          </w:p>
        </w:tc>
      </w:tr>
      <w:tr w:rsidR="00C05CF3" w14:paraId="6332A40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BA262FF" w14:textId="133E696D" w:rsidR="00C05CF3" w:rsidRDefault="00C05CF3">
            <w:r>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5FBCA5D4" w14:textId="6423C1B9" w:rsidR="00C05CF3" w:rsidRDefault="00C05CF3">
            <w:r>
              <w:t>Consumer medicine information</w:t>
            </w:r>
          </w:p>
        </w:tc>
      </w:tr>
      <w:tr w:rsidR="00ED11DD" w14:paraId="4866138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72A5D6B" w14:textId="009184A3" w:rsidR="00ED11DD" w:rsidRDefault="00ED11DD">
            <w:r>
              <w:t>CRYO-ROP</w:t>
            </w:r>
          </w:p>
        </w:tc>
        <w:tc>
          <w:tcPr>
            <w:tcW w:w="3987" w:type="pct"/>
            <w:gridSpan w:val="2"/>
            <w:tcBorders>
              <w:top w:val="single" w:sz="8" w:space="0" w:color="002C47"/>
              <w:left w:val="single" w:sz="8" w:space="0" w:color="002C47"/>
              <w:bottom w:val="single" w:sz="8" w:space="0" w:color="002C47"/>
              <w:right w:val="single" w:sz="8" w:space="0" w:color="002C47"/>
            </w:tcBorders>
          </w:tcPr>
          <w:p w14:paraId="3F4EAD95" w14:textId="542111C2" w:rsidR="00ED11DD" w:rsidRDefault="00ED11DD">
            <w:r w:rsidRPr="00ED11DD">
              <w:t>Cryotherapy for Retinopathy of Prematurity (Study)</w:t>
            </w:r>
          </w:p>
        </w:tc>
      </w:tr>
      <w:tr w:rsidR="00AF2313" w14:paraId="65055E8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97C570A" w14:textId="77777777" w:rsidR="00AF2313" w:rsidRDefault="00AF2313">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223DDEA" w14:textId="77777777" w:rsidR="00AF2313" w:rsidRDefault="00AF2313">
            <w:r>
              <w:t>Data lock point</w:t>
            </w:r>
          </w:p>
        </w:tc>
      </w:tr>
      <w:tr w:rsidR="009835E9" w14:paraId="4421F9D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FC80681" w14:textId="66781B64" w:rsidR="009835E9" w:rsidRDefault="009835E9">
            <w: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07AE488D" w14:textId="06C57C04" w:rsidR="009835E9" w:rsidRDefault="009835E9" w:rsidP="006B7211">
            <w:r>
              <w:t xml:space="preserve">European Medicines </w:t>
            </w:r>
            <w:r w:rsidR="00287118">
              <w:t>Agency (European Union)</w:t>
            </w:r>
          </w:p>
        </w:tc>
      </w:tr>
      <w:tr w:rsidR="00D81BC8" w14:paraId="10044A0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3C35C4C" w14:textId="0A53C008" w:rsidR="00D81BC8" w:rsidRDefault="00D81BC8">
            <w: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68B8AE51" w14:textId="08CED6B0" w:rsidR="00D81BC8" w:rsidRDefault="00D81BC8">
            <w:r>
              <w:t>European Union</w:t>
            </w:r>
          </w:p>
        </w:tc>
      </w:tr>
      <w:tr w:rsidR="009835E9" w14:paraId="4A587F6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7B10374" w14:textId="79F3AA72" w:rsidR="009835E9" w:rsidRDefault="009835E9">
            <w:r>
              <w:t>IA</w:t>
            </w:r>
          </w:p>
        </w:tc>
        <w:tc>
          <w:tcPr>
            <w:tcW w:w="3987" w:type="pct"/>
            <w:gridSpan w:val="2"/>
            <w:tcBorders>
              <w:top w:val="single" w:sz="8" w:space="0" w:color="002C47"/>
              <w:left w:val="single" w:sz="8" w:space="0" w:color="002C47"/>
              <w:bottom w:val="single" w:sz="8" w:space="0" w:color="002C47"/>
              <w:right w:val="single" w:sz="8" w:space="0" w:color="002C47"/>
            </w:tcBorders>
          </w:tcPr>
          <w:p w14:paraId="0CDE61BE" w14:textId="367E799E" w:rsidR="009835E9" w:rsidRDefault="009835E9">
            <w:r>
              <w:t>Interim analysis</w:t>
            </w:r>
          </w:p>
        </w:tc>
      </w:tr>
      <w:tr w:rsidR="002F479C" w14:paraId="4C3414F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838F6B6" w14:textId="3E60282D" w:rsidR="002F479C" w:rsidRDefault="002F479C">
            <w:r>
              <w:t>PD</w:t>
            </w:r>
          </w:p>
        </w:tc>
        <w:tc>
          <w:tcPr>
            <w:tcW w:w="3987" w:type="pct"/>
            <w:gridSpan w:val="2"/>
            <w:tcBorders>
              <w:top w:val="single" w:sz="8" w:space="0" w:color="002C47"/>
              <w:left w:val="single" w:sz="8" w:space="0" w:color="002C47"/>
              <w:bottom w:val="single" w:sz="8" w:space="0" w:color="002C47"/>
              <w:right w:val="single" w:sz="8" w:space="0" w:color="002C47"/>
            </w:tcBorders>
          </w:tcPr>
          <w:p w14:paraId="1C5D8E98" w14:textId="68BA32ED" w:rsidR="002F479C" w:rsidRDefault="002F479C">
            <w:r>
              <w:t>Pharmacodynamic</w:t>
            </w:r>
            <w:r w:rsidR="00287118">
              <w:t>(s)</w:t>
            </w:r>
          </w:p>
        </w:tc>
      </w:tr>
      <w:tr w:rsidR="009835E9" w14:paraId="0509B36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BDD1A55" w14:textId="565BB315" w:rsidR="009835E9" w:rsidRDefault="009835E9">
            <w: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4C481991" w14:textId="78EA81C9" w:rsidR="009835E9" w:rsidRDefault="002F0AC0">
            <w:r>
              <w:t>Product Information</w:t>
            </w:r>
          </w:p>
        </w:tc>
      </w:tr>
      <w:tr w:rsidR="002F479C" w14:paraId="5141EC1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8AEA6AE" w14:textId="5B0BE4AC" w:rsidR="002F479C" w:rsidRDefault="002F479C">
            <w:r>
              <w:t>PK</w:t>
            </w:r>
          </w:p>
        </w:tc>
        <w:tc>
          <w:tcPr>
            <w:tcW w:w="3987" w:type="pct"/>
            <w:gridSpan w:val="2"/>
            <w:tcBorders>
              <w:top w:val="single" w:sz="8" w:space="0" w:color="002C47"/>
              <w:left w:val="single" w:sz="8" w:space="0" w:color="002C47"/>
              <w:bottom w:val="single" w:sz="8" w:space="0" w:color="002C47"/>
              <w:right w:val="single" w:sz="8" w:space="0" w:color="002C47"/>
            </w:tcBorders>
          </w:tcPr>
          <w:p w14:paraId="5F3D6469" w14:textId="48F5EDF4" w:rsidR="002F479C" w:rsidRDefault="002F479C">
            <w:r>
              <w:t>Pharmacokinetic</w:t>
            </w:r>
            <w:r w:rsidR="00791BA8">
              <w:t>(s)</w:t>
            </w:r>
          </w:p>
        </w:tc>
      </w:tr>
      <w:tr w:rsidR="002F479C" w14:paraId="4FC3CEA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783F48B" w14:textId="38E89B6E" w:rsidR="002F479C" w:rsidRDefault="002F479C">
            <w:proofErr w:type="spellStart"/>
            <w:r w:rsidRPr="00A82B96">
              <w:t>popPK</w:t>
            </w:r>
            <w:proofErr w:type="spellEnd"/>
            <w:r w:rsidR="001F3DD1">
              <w:t>/PD</w:t>
            </w:r>
          </w:p>
        </w:tc>
        <w:tc>
          <w:tcPr>
            <w:tcW w:w="3987" w:type="pct"/>
            <w:gridSpan w:val="2"/>
            <w:tcBorders>
              <w:top w:val="single" w:sz="8" w:space="0" w:color="002C47"/>
              <w:left w:val="single" w:sz="8" w:space="0" w:color="002C47"/>
              <w:bottom w:val="single" w:sz="8" w:space="0" w:color="002C47"/>
              <w:right w:val="single" w:sz="8" w:space="0" w:color="002C47"/>
            </w:tcBorders>
          </w:tcPr>
          <w:p w14:paraId="6C4936AF" w14:textId="08E1DFE8" w:rsidR="002F479C" w:rsidRDefault="002F479C">
            <w:r>
              <w:t>Population pharmacokinetic</w:t>
            </w:r>
            <w:r w:rsidR="00791BA8">
              <w:t>(</w:t>
            </w:r>
            <w:r>
              <w:t>s</w:t>
            </w:r>
            <w:r w:rsidR="00791BA8">
              <w:t xml:space="preserve">) </w:t>
            </w:r>
            <w:r w:rsidR="001F3DD1">
              <w:t>/</w:t>
            </w:r>
            <w:r w:rsidR="00791BA8">
              <w:t xml:space="preserve"> pharmacodynamic(</w:t>
            </w:r>
            <w:r w:rsidR="001F3DD1">
              <w:t>s</w:t>
            </w:r>
            <w:r w:rsidR="00791BA8">
              <w:t>)</w:t>
            </w:r>
          </w:p>
        </w:tc>
      </w:tr>
      <w:tr w:rsidR="00AF2313" w14:paraId="0DD4C44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A0953DE" w14:textId="77777777" w:rsidR="00AF2313" w:rsidRDefault="00AF2313">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2E31CCC" w14:textId="77777777" w:rsidR="00AF2313" w:rsidRDefault="00AF2313">
            <w:r>
              <w:t>Risk management plan</w:t>
            </w:r>
          </w:p>
        </w:tc>
      </w:tr>
      <w:tr w:rsidR="002F479C" w14:paraId="07DAAE7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496F3F3" w14:textId="3FD2AFE7" w:rsidR="002F479C" w:rsidRDefault="002F479C">
            <w:r>
              <w:t xml:space="preserve">ROP </w:t>
            </w:r>
          </w:p>
        </w:tc>
        <w:tc>
          <w:tcPr>
            <w:tcW w:w="3987" w:type="pct"/>
            <w:gridSpan w:val="2"/>
            <w:tcBorders>
              <w:top w:val="single" w:sz="8" w:space="0" w:color="002C47"/>
              <w:left w:val="single" w:sz="8" w:space="0" w:color="002C47"/>
              <w:bottom w:val="single" w:sz="8" w:space="0" w:color="002C47"/>
              <w:right w:val="single" w:sz="8" w:space="0" w:color="002C47"/>
            </w:tcBorders>
          </w:tcPr>
          <w:p w14:paraId="0E199E4D" w14:textId="483EEA9C" w:rsidR="002F479C" w:rsidRDefault="002F479C">
            <w:r>
              <w:t>R</w:t>
            </w:r>
            <w:r w:rsidRPr="002F479C">
              <w:t>etinopathy of prematurity</w:t>
            </w:r>
          </w:p>
        </w:tc>
      </w:tr>
      <w:tr w:rsidR="00E1532C" w14:paraId="3EA9843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05093BD" w14:textId="551EFD93" w:rsidR="00E1532C" w:rsidRDefault="00E1532C">
            <w:r>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6E409538" w14:textId="5C5771B0" w:rsidR="00E1532C" w:rsidRDefault="00E1532C">
            <w:r>
              <w:t>Serious adverse event</w:t>
            </w:r>
          </w:p>
        </w:tc>
      </w:tr>
      <w:tr w:rsidR="00E1532C" w14:paraId="2CC3821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7B32FC0" w14:textId="1F47B01C" w:rsidR="00E1532C" w:rsidRDefault="00E1532C">
            <w:r>
              <w:t>SOC</w:t>
            </w:r>
          </w:p>
        </w:tc>
        <w:tc>
          <w:tcPr>
            <w:tcW w:w="3987" w:type="pct"/>
            <w:gridSpan w:val="2"/>
            <w:tcBorders>
              <w:top w:val="single" w:sz="8" w:space="0" w:color="002C47"/>
              <w:left w:val="single" w:sz="8" w:space="0" w:color="002C47"/>
              <w:bottom w:val="single" w:sz="8" w:space="0" w:color="002C47"/>
              <w:right w:val="single" w:sz="8" w:space="0" w:color="002C47"/>
            </w:tcBorders>
          </w:tcPr>
          <w:p w14:paraId="203BAF5F" w14:textId="4B1DA991" w:rsidR="00E1532C" w:rsidRDefault="00E1532C">
            <w:r>
              <w:t>System organ class</w:t>
            </w:r>
          </w:p>
        </w:tc>
      </w:tr>
      <w:tr w:rsidR="00AF2313" w14:paraId="6212ED4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67BCA77" w14:textId="77777777" w:rsidR="00AF2313" w:rsidRDefault="00AF2313">
            <w:r>
              <w:lastRenderedPageBreak/>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61300CF" w14:textId="77777777" w:rsidR="00AF2313" w:rsidRDefault="00AF2313">
            <w:r>
              <w:t>Therapeutic Goods Administration</w:t>
            </w:r>
          </w:p>
        </w:tc>
      </w:tr>
      <w:tr w:rsidR="009835E9" w14:paraId="1677978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1AD026E" w14:textId="75FBC93D" w:rsidR="009835E9" w:rsidRDefault="009835E9">
            <w:r>
              <w:t>VA</w:t>
            </w:r>
          </w:p>
        </w:tc>
        <w:tc>
          <w:tcPr>
            <w:tcW w:w="3987" w:type="pct"/>
            <w:gridSpan w:val="2"/>
            <w:tcBorders>
              <w:top w:val="single" w:sz="8" w:space="0" w:color="002C47"/>
              <w:left w:val="single" w:sz="8" w:space="0" w:color="002C47"/>
              <w:bottom w:val="single" w:sz="8" w:space="0" w:color="002C47"/>
              <w:right w:val="single" w:sz="8" w:space="0" w:color="002C47"/>
            </w:tcBorders>
          </w:tcPr>
          <w:p w14:paraId="25430084" w14:textId="515D7D27" w:rsidR="009835E9" w:rsidRDefault="009835E9">
            <w:r>
              <w:t>Visual acuity</w:t>
            </w:r>
          </w:p>
        </w:tc>
      </w:tr>
      <w:tr w:rsidR="002F479C" w14:paraId="5401972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CC4038E" w14:textId="28709C97" w:rsidR="002F479C" w:rsidRDefault="002F479C">
            <w:proofErr w:type="spellStart"/>
            <w:r>
              <w:t>Vd</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6C94FA7" w14:textId="6A6293F0" w:rsidR="002F479C" w:rsidRDefault="002F479C">
            <w:r>
              <w:t>Volume of distribution</w:t>
            </w:r>
          </w:p>
        </w:tc>
      </w:tr>
      <w:tr w:rsidR="00AF2313" w14:paraId="3EACED5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B257BBC" w14:textId="7E380BBB" w:rsidR="00AF2313" w:rsidRDefault="002F479C">
            <w:pPr>
              <w:rPr>
                <w:color w:val="000000"/>
              </w:rPr>
            </w:pPr>
            <w:r>
              <w:t>VEGF</w:t>
            </w:r>
          </w:p>
        </w:tc>
        <w:tc>
          <w:tcPr>
            <w:tcW w:w="3987" w:type="pct"/>
            <w:gridSpan w:val="2"/>
            <w:tcBorders>
              <w:top w:val="single" w:sz="8" w:space="0" w:color="002C47"/>
              <w:left w:val="single" w:sz="8" w:space="0" w:color="002C47"/>
              <w:bottom w:val="single" w:sz="8" w:space="0" w:color="002C47"/>
              <w:right w:val="single" w:sz="8" w:space="0" w:color="002C47"/>
            </w:tcBorders>
          </w:tcPr>
          <w:p w14:paraId="3808A4F4" w14:textId="6F0AB160" w:rsidR="00AF2313" w:rsidRDefault="002F479C">
            <w:pPr>
              <w:rPr>
                <w:color w:val="000000"/>
              </w:rPr>
            </w:pPr>
            <w:r>
              <w:t>Vascular endothelial growth factor</w:t>
            </w:r>
          </w:p>
        </w:tc>
      </w:tr>
    </w:tbl>
    <w:p w14:paraId="2C23531B" w14:textId="2FC2B1F9" w:rsidR="00FD119B" w:rsidRPr="00FD119B" w:rsidRDefault="007B599A" w:rsidP="00FD119B">
      <w:pPr>
        <w:spacing w:before="0" w:after="200" w:line="0" w:lineRule="auto"/>
        <w:rPr>
          <w:b/>
          <w:i/>
          <w:sz w:val="24"/>
          <w:szCs w:val="24"/>
        </w:rPr>
      </w:pPr>
      <w:r>
        <w:rPr>
          <w:b/>
          <w:i/>
          <w:sz w:val="24"/>
          <w:szCs w:val="24"/>
        </w:rPr>
        <w:t>≤</w:t>
      </w:r>
      <w:r w:rsidR="00FD119B" w:rsidRPr="00FD119B">
        <w:rPr>
          <w:b/>
          <w:i/>
          <w:sz w:val="24"/>
          <w:szCs w:val="24"/>
        </w:rPr>
        <w:br w:type="page"/>
      </w:r>
    </w:p>
    <w:p w14:paraId="2A8637C6" w14:textId="77777777" w:rsidR="008E7846" w:rsidRDefault="009F2673" w:rsidP="008E7846">
      <w:pPr>
        <w:pStyle w:val="Heading2"/>
      </w:pPr>
      <w:bookmarkStart w:id="5" w:name="_Toc131065552"/>
      <w:r>
        <w:lastRenderedPageBreak/>
        <w:t>Pr</w:t>
      </w:r>
      <w:r w:rsidR="008E7846">
        <w:t>oduct submission</w:t>
      </w:r>
      <w:bookmarkEnd w:id="5"/>
      <w:bookmarkEnd w:id="2"/>
      <w:bookmarkEnd w:id="0"/>
    </w:p>
    <w:p w14:paraId="473AF215" w14:textId="77777777" w:rsidR="008E7846" w:rsidRDefault="008E7846" w:rsidP="009E5A87">
      <w:pPr>
        <w:pStyle w:val="Heading3"/>
        <w:rPr>
          <w:lang w:eastAsia="en-AU"/>
        </w:rPr>
      </w:pPr>
      <w:bookmarkStart w:id="6" w:name="_Toc247691502"/>
      <w:bookmarkStart w:id="7" w:name="_Toc314842483"/>
      <w:bookmarkStart w:id="8" w:name="_Toc131065553"/>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EC3104" w:rsidRPr="003D1E62" w14:paraId="740A5386" w14:textId="77777777" w:rsidTr="00FF2EB0">
        <w:tc>
          <w:tcPr>
            <w:tcW w:w="1577" w:type="pct"/>
          </w:tcPr>
          <w:p w14:paraId="3B65E460" w14:textId="40C5515E" w:rsidR="00EC3104" w:rsidRPr="003D1E62" w:rsidRDefault="00EC3104" w:rsidP="00EC3104">
            <w:pPr>
              <w:rPr>
                <w:i/>
              </w:rPr>
            </w:pPr>
            <w:r>
              <w:rPr>
                <w:i/>
              </w:rPr>
              <w:t>Type of s</w:t>
            </w:r>
            <w:r w:rsidRPr="003D1E62">
              <w:rPr>
                <w:i/>
              </w:rPr>
              <w:t>ubmission</w:t>
            </w:r>
            <w:r>
              <w:rPr>
                <w:i/>
              </w:rPr>
              <w:t>:</w:t>
            </w:r>
          </w:p>
        </w:tc>
        <w:tc>
          <w:tcPr>
            <w:tcW w:w="3423" w:type="pct"/>
          </w:tcPr>
          <w:p w14:paraId="4EF6FB0F" w14:textId="5D898220" w:rsidR="00EC3104" w:rsidRPr="003D1E62" w:rsidRDefault="00EC3104" w:rsidP="00EC3104">
            <w:r w:rsidRPr="00EC3104">
              <w:t>Extension of indications</w:t>
            </w:r>
          </w:p>
        </w:tc>
      </w:tr>
      <w:tr w:rsidR="00EC3104" w:rsidRPr="003D1E62" w14:paraId="1E8F7376" w14:textId="77777777" w:rsidTr="00FF2EB0">
        <w:tc>
          <w:tcPr>
            <w:tcW w:w="1577" w:type="pct"/>
          </w:tcPr>
          <w:p w14:paraId="4B333D28" w14:textId="6C0F31FB" w:rsidR="00EC3104" w:rsidRPr="003D1E62" w:rsidRDefault="00EC3104" w:rsidP="00EC3104">
            <w:pPr>
              <w:rPr>
                <w:i/>
              </w:rPr>
            </w:pPr>
            <w:r w:rsidRPr="00460036">
              <w:rPr>
                <w:i/>
              </w:rPr>
              <w:t>Product name:</w:t>
            </w:r>
          </w:p>
        </w:tc>
        <w:tc>
          <w:tcPr>
            <w:tcW w:w="3423" w:type="pct"/>
          </w:tcPr>
          <w:p w14:paraId="07BDFC94" w14:textId="413DF8FE" w:rsidR="00EC3104" w:rsidRPr="003D1E62" w:rsidRDefault="00EC3104" w:rsidP="00EC3104">
            <w:r w:rsidRPr="00EC3104">
              <w:t>Lucentis</w:t>
            </w:r>
          </w:p>
        </w:tc>
      </w:tr>
      <w:tr w:rsidR="00EC3104" w:rsidRPr="003D1E62" w14:paraId="002ACEA5" w14:textId="77777777" w:rsidTr="00FF2EB0">
        <w:tc>
          <w:tcPr>
            <w:tcW w:w="1577" w:type="pct"/>
          </w:tcPr>
          <w:p w14:paraId="004D4A77" w14:textId="1E31E65A" w:rsidR="00EC3104" w:rsidRPr="003D1E62" w:rsidRDefault="00EC3104" w:rsidP="00EC3104">
            <w:pPr>
              <w:rPr>
                <w:i/>
              </w:rPr>
            </w:pPr>
            <w:r w:rsidRPr="00460036">
              <w:rPr>
                <w:i/>
              </w:rPr>
              <w:t>Active ingredient:</w:t>
            </w:r>
          </w:p>
        </w:tc>
        <w:tc>
          <w:tcPr>
            <w:tcW w:w="3423" w:type="pct"/>
          </w:tcPr>
          <w:p w14:paraId="302E6D7B" w14:textId="673221F4" w:rsidR="00EC3104" w:rsidRPr="003D1E62" w:rsidRDefault="00EC3104" w:rsidP="00EC3104">
            <w:r w:rsidRPr="00EC3104">
              <w:t>Ranibizumab</w:t>
            </w:r>
          </w:p>
        </w:tc>
      </w:tr>
      <w:tr w:rsidR="00EC3104" w:rsidRPr="003D1E62" w14:paraId="7656D97F" w14:textId="77777777" w:rsidTr="00FF2EB0">
        <w:tc>
          <w:tcPr>
            <w:tcW w:w="1577" w:type="pct"/>
          </w:tcPr>
          <w:p w14:paraId="05465255" w14:textId="7EDD36B1" w:rsidR="00EC3104" w:rsidRPr="009F2673" w:rsidRDefault="00EC3104" w:rsidP="00EC3104">
            <w:pPr>
              <w:rPr>
                <w:i/>
              </w:rPr>
            </w:pPr>
            <w:r w:rsidRPr="003D1E62">
              <w:rPr>
                <w:i/>
              </w:rPr>
              <w:t>Decision</w:t>
            </w:r>
            <w:r w:rsidRPr="009F2673">
              <w:rPr>
                <w:i/>
              </w:rPr>
              <w:t>:</w:t>
            </w:r>
          </w:p>
        </w:tc>
        <w:tc>
          <w:tcPr>
            <w:tcW w:w="3423" w:type="pct"/>
          </w:tcPr>
          <w:p w14:paraId="75D137CE" w14:textId="38418BE0" w:rsidR="00EC3104" w:rsidRPr="003D1E62" w:rsidRDefault="00EC3104" w:rsidP="00EC3104">
            <w:r w:rsidRPr="00460036">
              <w:t xml:space="preserve">Approved </w:t>
            </w:r>
          </w:p>
        </w:tc>
      </w:tr>
      <w:tr w:rsidR="00EC3104" w:rsidRPr="003D1E62" w14:paraId="7D48E580" w14:textId="77777777" w:rsidTr="00FF2EB0">
        <w:tc>
          <w:tcPr>
            <w:tcW w:w="1577" w:type="pct"/>
          </w:tcPr>
          <w:p w14:paraId="7CE2DA57" w14:textId="0E68A98B" w:rsidR="00EC3104" w:rsidRPr="003D1E62" w:rsidRDefault="00EC3104" w:rsidP="00EC3104">
            <w:pPr>
              <w:rPr>
                <w:i/>
              </w:rPr>
            </w:pPr>
            <w:r w:rsidRPr="003D1E62">
              <w:rPr>
                <w:i/>
              </w:rPr>
              <w:t xml:space="preserve">Date of </w:t>
            </w:r>
            <w:r>
              <w:rPr>
                <w:i/>
              </w:rPr>
              <w:t>d</w:t>
            </w:r>
            <w:r w:rsidRPr="003D1E62">
              <w:rPr>
                <w:i/>
              </w:rPr>
              <w:t>ecision:</w:t>
            </w:r>
          </w:p>
        </w:tc>
        <w:tc>
          <w:tcPr>
            <w:tcW w:w="3423" w:type="pct"/>
          </w:tcPr>
          <w:p w14:paraId="25DF2987" w14:textId="307A55F4" w:rsidR="00EC3104" w:rsidRPr="003D1E62" w:rsidRDefault="00EC3104" w:rsidP="00EC3104">
            <w:r>
              <w:t>2 February 2022</w:t>
            </w:r>
          </w:p>
        </w:tc>
      </w:tr>
      <w:tr w:rsidR="00EC3104" w:rsidRPr="003D1E62" w14:paraId="580935AD" w14:textId="77777777" w:rsidTr="00FF2EB0">
        <w:tc>
          <w:tcPr>
            <w:tcW w:w="1577" w:type="pct"/>
          </w:tcPr>
          <w:p w14:paraId="709947F3" w14:textId="1C4D7EC7" w:rsidR="00EC3104" w:rsidRPr="00441C3F" w:rsidRDefault="00EC3104" w:rsidP="00EC3104">
            <w:pPr>
              <w:rPr>
                <w:i/>
              </w:rPr>
            </w:pPr>
            <w:r w:rsidRPr="00441C3F">
              <w:rPr>
                <w:i/>
              </w:rPr>
              <w:t>Date of entry onto ARTG</w:t>
            </w:r>
            <w:r>
              <w:rPr>
                <w:i/>
              </w:rPr>
              <w:t>:</w:t>
            </w:r>
          </w:p>
        </w:tc>
        <w:tc>
          <w:tcPr>
            <w:tcW w:w="3423" w:type="pct"/>
          </w:tcPr>
          <w:p w14:paraId="436A1735" w14:textId="604030A7" w:rsidR="00EC3104" w:rsidRPr="009F2673" w:rsidRDefault="00EC3104" w:rsidP="00EC3104">
            <w:r>
              <w:t>7 February 2022</w:t>
            </w:r>
          </w:p>
        </w:tc>
      </w:tr>
      <w:tr w:rsidR="00EC3104" w:rsidRPr="003D1E62" w14:paraId="67E6E451" w14:textId="77777777" w:rsidTr="00FF2EB0">
        <w:tc>
          <w:tcPr>
            <w:tcW w:w="1577" w:type="pct"/>
          </w:tcPr>
          <w:p w14:paraId="745D1D7D" w14:textId="3D3DD373" w:rsidR="00EC3104" w:rsidRPr="00441C3F" w:rsidRDefault="00EC3104" w:rsidP="00EC3104">
            <w:pPr>
              <w:rPr>
                <w:i/>
              </w:rPr>
            </w:pPr>
            <w:r>
              <w:rPr>
                <w:i/>
              </w:rPr>
              <w:t>ARTG number:</w:t>
            </w:r>
          </w:p>
        </w:tc>
        <w:tc>
          <w:tcPr>
            <w:tcW w:w="3423" w:type="pct"/>
          </w:tcPr>
          <w:p w14:paraId="334136FA" w14:textId="740D11DE" w:rsidR="00EC3104" w:rsidRPr="00441C3F" w:rsidRDefault="00EC3104" w:rsidP="00EC3104">
            <w:r w:rsidRPr="00EC3104">
              <w:t>148325</w:t>
            </w:r>
          </w:p>
        </w:tc>
      </w:tr>
      <w:tr w:rsidR="00EC3104" w:rsidRPr="003D1E62" w14:paraId="43E7116F" w14:textId="77777777" w:rsidTr="00FF2EB0">
        <w:tc>
          <w:tcPr>
            <w:tcW w:w="1577" w:type="pct"/>
          </w:tcPr>
          <w:p w14:paraId="1FD1ECEA" w14:textId="025EB83A" w:rsidR="00EC3104" w:rsidRDefault="00EC3104" w:rsidP="00EC3104">
            <w:pPr>
              <w:rPr>
                <w:i/>
              </w:rPr>
            </w:pPr>
            <w:r>
              <w:rPr>
                <w:rFonts w:ascii="Wingdings 3" w:hAnsi="Wingdings 3"/>
                <w:sz w:val="34"/>
                <w:szCs w:val="34"/>
                <w:lang w:eastAsia="en-AU"/>
              </w:rPr>
              <w:t></w:t>
            </w:r>
            <w:hyperlink r:id="rId17" w:history="1">
              <w:r w:rsidRPr="009F2673">
                <w:rPr>
                  <w:rStyle w:val="Hyperlink"/>
                  <w:i/>
                </w:rPr>
                <w:t>Black Triangle Scheme</w:t>
              </w:r>
            </w:hyperlink>
            <w:r>
              <w:rPr>
                <w:i/>
              </w:rPr>
              <w:t>:</w:t>
            </w:r>
            <w:r w:rsidR="00074F76">
              <w:rPr>
                <w:rStyle w:val="FootnoteReference"/>
                <w:i/>
              </w:rPr>
              <w:footnoteReference w:id="1"/>
            </w:r>
          </w:p>
        </w:tc>
        <w:tc>
          <w:tcPr>
            <w:tcW w:w="3423" w:type="pct"/>
          </w:tcPr>
          <w:p w14:paraId="51FE7F71" w14:textId="77777777" w:rsidR="00EC3104" w:rsidRDefault="00EC3104" w:rsidP="00EC3104">
            <w:r>
              <w:t xml:space="preserve">Yes </w:t>
            </w:r>
          </w:p>
          <w:p w14:paraId="3E28F260" w14:textId="2B6BE3F3" w:rsidR="00EC3104" w:rsidRPr="00487162" w:rsidRDefault="00EC3104" w:rsidP="00EC3104">
            <w:r>
              <w:t>This product will remain in the scheme for 5 years, starting on the date the new indication was approved</w:t>
            </w:r>
          </w:p>
        </w:tc>
      </w:tr>
      <w:tr w:rsidR="00EC3104" w:rsidRPr="003D1E62" w14:paraId="141BFB97" w14:textId="77777777" w:rsidTr="00FF2EB0">
        <w:tc>
          <w:tcPr>
            <w:tcW w:w="1577" w:type="pct"/>
          </w:tcPr>
          <w:p w14:paraId="1294B0E2" w14:textId="77777777" w:rsidR="00EC3104" w:rsidRPr="009F2673" w:rsidRDefault="00EC3104" w:rsidP="00EC3104">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5FE2C123" w14:textId="77777777" w:rsidR="00EC3104" w:rsidRDefault="00EC3104" w:rsidP="00EC3104">
            <w:r w:rsidRPr="00000D8E">
              <w:t>Novartis Pharmaceuticals Australia Pty Ltd</w:t>
            </w:r>
          </w:p>
          <w:p w14:paraId="6D52949B" w14:textId="1DCB7F10" w:rsidR="00EC3104" w:rsidRDefault="00EC3104" w:rsidP="00EC3104">
            <w:r>
              <w:t>54 Waterloo Road, Macquarie Park, NSW 2113</w:t>
            </w:r>
          </w:p>
        </w:tc>
      </w:tr>
      <w:tr w:rsidR="00EC3104" w:rsidRPr="003D1E62" w14:paraId="02E85441" w14:textId="77777777" w:rsidTr="00FF2EB0">
        <w:tc>
          <w:tcPr>
            <w:tcW w:w="1577" w:type="pct"/>
          </w:tcPr>
          <w:p w14:paraId="108F9E4F" w14:textId="76C27BBA" w:rsidR="00EC3104" w:rsidRPr="00487162" w:rsidRDefault="00EC3104" w:rsidP="00EC3104">
            <w:pPr>
              <w:rPr>
                <w:i/>
              </w:rPr>
            </w:pPr>
            <w:r>
              <w:rPr>
                <w:i/>
              </w:rPr>
              <w:t>Dose form:</w:t>
            </w:r>
          </w:p>
        </w:tc>
        <w:tc>
          <w:tcPr>
            <w:tcW w:w="3423" w:type="pct"/>
          </w:tcPr>
          <w:p w14:paraId="70B8F6FE" w14:textId="616F7B1A" w:rsidR="00EC3104" w:rsidRDefault="00EC3104" w:rsidP="00EC3104">
            <w:r w:rsidRPr="00EC3104">
              <w:t>Solution for injection</w:t>
            </w:r>
          </w:p>
        </w:tc>
      </w:tr>
      <w:tr w:rsidR="00EC3104" w:rsidRPr="003D1E62" w14:paraId="2D858DE9" w14:textId="77777777" w:rsidTr="00FF2EB0">
        <w:tc>
          <w:tcPr>
            <w:tcW w:w="1577" w:type="pct"/>
          </w:tcPr>
          <w:p w14:paraId="25F4FD55" w14:textId="22EF900F" w:rsidR="00EC3104" w:rsidRPr="00487162" w:rsidRDefault="00EC3104" w:rsidP="00EC3104">
            <w:pPr>
              <w:rPr>
                <w:i/>
              </w:rPr>
            </w:pPr>
            <w:r w:rsidRPr="00487162">
              <w:rPr>
                <w:i/>
              </w:rPr>
              <w:t>Strengt</w:t>
            </w:r>
            <w:r>
              <w:rPr>
                <w:i/>
              </w:rPr>
              <w:t>h</w:t>
            </w:r>
          </w:p>
        </w:tc>
        <w:tc>
          <w:tcPr>
            <w:tcW w:w="3423" w:type="pct"/>
          </w:tcPr>
          <w:p w14:paraId="42A776CE" w14:textId="236F2A17" w:rsidR="00EC3104" w:rsidRDefault="00EC3104" w:rsidP="00EC3104">
            <w:r w:rsidRPr="001C4135">
              <w:t>2.3 mg/0.23 mL</w:t>
            </w:r>
          </w:p>
        </w:tc>
      </w:tr>
      <w:tr w:rsidR="00EC3104" w:rsidRPr="003D1E62" w14:paraId="6236AD41" w14:textId="77777777" w:rsidTr="00FF2EB0">
        <w:tc>
          <w:tcPr>
            <w:tcW w:w="1577" w:type="pct"/>
          </w:tcPr>
          <w:p w14:paraId="77A1EBA6" w14:textId="63E0E509" w:rsidR="00EC3104" w:rsidRPr="00487162" w:rsidRDefault="00EC3104" w:rsidP="00EC3104">
            <w:pPr>
              <w:rPr>
                <w:i/>
              </w:rPr>
            </w:pPr>
            <w:r w:rsidRPr="00487162">
              <w:rPr>
                <w:i/>
              </w:rPr>
              <w:t>Container:</w:t>
            </w:r>
          </w:p>
        </w:tc>
        <w:tc>
          <w:tcPr>
            <w:tcW w:w="3423" w:type="pct"/>
          </w:tcPr>
          <w:p w14:paraId="19DA2E80" w14:textId="7AAE820E" w:rsidR="00EC3104" w:rsidRDefault="00EC3104" w:rsidP="00EC3104">
            <w:r>
              <w:t>Vial</w:t>
            </w:r>
          </w:p>
        </w:tc>
      </w:tr>
      <w:tr w:rsidR="00EC3104" w:rsidRPr="003D1E62" w14:paraId="0BB07D12" w14:textId="77777777" w:rsidTr="00FF2EB0">
        <w:tc>
          <w:tcPr>
            <w:tcW w:w="1577" w:type="pct"/>
          </w:tcPr>
          <w:p w14:paraId="66A17EC3" w14:textId="5ADAB30F" w:rsidR="00EC3104" w:rsidRPr="00487162" w:rsidRDefault="00EC3104" w:rsidP="00EC3104">
            <w:pPr>
              <w:rPr>
                <w:i/>
              </w:rPr>
            </w:pPr>
            <w:r w:rsidRPr="00487162">
              <w:rPr>
                <w:i/>
              </w:rPr>
              <w:t>Pack size:</w:t>
            </w:r>
          </w:p>
        </w:tc>
        <w:tc>
          <w:tcPr>
            <w:tcW w:w="3423" w:type="pct"/>
          </w:tcPr>
          <w:p w14:paraId="5C88EB1C" w14:textId="4CEE0141" w:rsidR="00EC3104" w:rsidRDefault="00EC3104" w:rsidP="00EC3104">
            <w:r>
              <w:t>One</w:t>
            </w:r>
          </w:p>
        </w:tc>
      </w:tr>
      <w:tr w:rsidR="00EC3104" w:rsidRPr="003D1E62" w14:paraId="568A2B86" w14:textId="77777777" w:rsidTr="00FF2EB0">
        <w:tc>
          <w:tcPr>
            <w:tcW w:w="1577" w:type="pct"/>
          </w:tcPr>
          <w:p w14:paraId="0CBAE499" w14:textId="77777777" w:rsidR="00EC3104" w:rsidRPr="00487162" w:rsidRDefault="00EC3104" w:rsidP="00EC3104">
            <w:pPr>
              <w:rPr>
                <w:i/>
              </w:rPr>
            </w:pPr>
            <w:r w:rsidRPr="00487162">
              <w:rPr>
                <w:i/>
              </w:rPr>
              <w:t xml:space="preserve">Approved </w:t>
            </w:r>
            <w:r>
              <w:rPr>
                <w:i/>
              </w:rPr>
              <w:t>t</w:t>
            </w:r>
            <w:r w:rsidRPr="00487162">
              <w:rPr>
                <w:i/>
              </w:rPr>
              <w:t>herapeutic use:</w:t>
            </w:r>
          </w:p>
        </w:tc>
        <w:tc>
          <w:tcPr>
            <w:tcW w:w="3423" w:type="pct"/>
          </w:tcPr>
          <w:p w14:paraId="78E078E0" w14:textId="2D9B1C6D" w:rsidR="00EC3104" w:rsidRPr="00487162" w:rsidRDefault="00EC3104" w:rsidP="00EC3104">
            <w:r w:rsidRPr="001C4135">
              <w:rPr>
                <w:i/>
                <w:iCs/>
              </w:rPr>
              <w:t xml:space="preserve">Lucentis is indicated in preterm infants for: the treatment of retinopathy of prematurity (ROP) with </w:t>
            </w:r>
            <w:r w:rsidR="00194C3D">
              <w:rPr>
                <w:i/>
                <w:iCs/>
              </w:rPr>
              <w:t xml:space="preserve">Zone I </w:t>
            </w:r>
            <w:r w:rsidRPr="001C4135">
              <w:rPr>
                <w:i/>
                <w:iCs/>
              </w:rPr>
              <w:t>(</w:t>
            </w:r>
            <w:r w:rsidR="00194C3D">
              <w:rPr>
                <w:i/>
                <w:iCs/>
              </w:rPr>
              <w:t>Stage 1</w:t>
            </w:r>
            <w:r w:rsidRPr="001C4135">
              <w:rPr>
                <w:i/>
                <w:iCs/>
              </w:rPr>
              <w:t xml:space="preserve">+, 2+, </w:t>
            </w:r>
            <w:r w:rsidR="00791BA8">
              <w:rPr>
                <w:i/>
                <w:iCs/>
              </w:rPr>
              <w:t>3 </w:t>
            </w:r>
            <w:r w:rsidRPr="001C4135">
              <w:rPr>
                <w:i/>
                <w:iCs/>
              </w:rPr>
              <w:t xml:space="preserve">or 3+), </w:t>
            </w:r>
            <w:r w:rsidR="00194C3D">
              <w:rPr>
                <w:i/>
                <w:iCs/>
              </w:rPr>
              <w:t>Zone II</w:t>
            </w:r>
            <w:r w:rsidRPr="001C4135">
              <w:rPr>
                <w:i/>
                <w:iCs/>
              </w:rPr>
              <w:t xml:space="preserve"> (</w:t>
            </w:r>
            <w:r w:rsidR="00194C3D">
              <w:rPr>
                <w:i/>
                <w:iCs/>
              </w:rPr>
              <w:t>Stage 3</w:t>
            </w:r>
            <w:r w:rsidRPr="001C4135">
              <w:rPr>
                <w:i/>
                <w:iCs/>
              </w:rPr>
              <w:t>+) or AP-ROP (aggressive posterior ROP) disease</w:t>
            </w:r>
            <w:r w:rsidR="00791BA8">
              <w:rPr>
                <w:i/>
                <w:iCs/>
              </w:rPr>
              <w:t>.</w:t>
            </w:r>
          </w:p>
        </w:tc>
      </w:tr>
      <w:tr w:rsidR="00EC3104" w:rsidRPr="003D1E62" w14:paraId="705E3AA7" w14:textId="77777777" w:rsidTr="00FF2EB0">
        <w:tc>
          <w:tcPr>
            <w:tcW w:w="1577" w:type="pct"/>
          </w:tcPr>
          <w:p w14:paraId="0DB4A127" w14:textId="1ADFDE78" w:rsidR="00EC3104" w:rsidRPr="00487162" w:rsidRDefault="00EC3104" w:rsidP="00EC3104">
            <w:pPr>
              <w:rPr>
                <w:i/>
              </w:rPr>
            </w:pPr>
            <w:r w:rsidRPr="00487162">
              <w:rPr>
                <w:i/>
              </w:rPr>
              <w:t>Route</w:t>
            </w:r>
            <w:r>
              <w:rPr>
                <w:i/>
              </w:rPr>
              <w:t xml:space="preserve"> </w:t>
            </w:r>
            <w:r w:rsidRPr="00487162">
              <w:rPr>
                <w:i/>
              </w:rPr>
              <w:t>of administration:</w:t>
            </w:r>
          </w:p>
        </w:tc>
        <w:tc>
          <w:tcPr>
            <w:tcW w:w="3423" w:type="pct"/>
          </w:tcPr>
          <w:p w14:paraId="6597171A" w14:textId="10A7EEAC" w:rsidR="00EC3104" w:rsidRPr="00487162" w:rsidRDefault="00EC3104" w:rsidP="00EC3104">
            <w:r>
              <w:t>Intravitreal</w:t>
            </w:r>
          </w:p>
        </w:tc>
      </w:tr>
      <w:tr w:rsidR="00EC3104" w:rsidRPr="003D1E62" w14:paraId="0B53667D" w14:textId="77777777" w:rsidTr="00FF2EB0">
        <w:tc>
          <w:tcPr>
            <w:tcW w:w="1577" w:type="pct"/>
          </w:tcPr>
          <w:p w14:paraId="69FCFC52" w14:textId="77777777" w:rsidR="00EC3104" w:rsidRPr="00487162" w:rsidRDefault="00EC3104" w:rsidP="00EC3104">
            <w:pPr>
              <w:rPr>
                <w:i/>
              </w:rPr>
            </w:pPr>
            <w:r w:rsidRPr="00487162">
              <w:rPr>
                <w:i/>
              </w:rPr>
              <w:t>Dosage:</w:t>
            </w:r>
          </w:p>
        </w:tc>
        <w:tc>
          <w:tcPr>
            <w:tcW w:w="3423" w:type="pct"/>
          </w:tcPr>
          <w:p w14:paraId="157BF655" w14:textId="1D6B5A8F" w:rsidR="00EC3104" w:rsidRDefault="00EC3104" w:rsidP="00EC3104">
            <w:r>
              <w:t xml:space="preserve">Single-use vial for preterm infants for intravitreal use only. Use of more than one injection from a vial can lead to product contamination and subsequent ocular </w:t>
            </w:r>
            <w:r w:rsidRPr="003D2122">
              <w:t>infection</w:t>
            </w:r>
            <w:r>
              <w:t>.</w:t>
            </w:r>
          </w:p>
          <w:p w14:paraId="4DE0E5C0" w14:textId="77777777" w:rsidR="00287118" w:rsidRDefault="00287118" w:rsidP="00EC3104">
            <w:r>
              <w:t xml:space="preserve">For preterm infants, both 0.2 mg and 0.1 mg doses of Lucentis have demonstrated efficacy (see Section 5.1 </w:t>
            </w:r>
            <w:r w:rsidRPr="00A4695C">
              <w:rPr>
                <w:i/>
              </w:rPr>
              <w:t>Pharmacodynamic Properties, Clinical trials</w:t>
            </w:r>
            <w:r>
              <w:rPr>
                <w:i/>
              </w:rPr>
              <w:t xml:space="preserve"> </w:t>
            </w:r>
            <w:r>
              <w:t>of the Product Information).</w:t>
            </w:r>
          </w:p>
          <w:p w14:paraId="06537E10" w14:textId="7D5DC96E" w:rsidR="00791BA8" w:rsidRDefault="00EC3104" w:rsidP="00EC3104">
            <w:r>
              <w:lastRenderedPageBreak/>
              <w:t>The recommended dose for Lucentis in preterm infants is 0.2 mg given as an intravitreal injection. This corresponds to an injection volume of 0.02 m</w:t>
            </w:r>
            <w:r w:rsidR="00D44FB5">
              <w:t>L</w:t>
            </w:r>
          </w:p>
          <w:p w14:paraId="4FA5D70C" w14:textId="329E48DB" w:rsidR="00EC3104" w:rsidRDefault="00EC3104" w:rsidP="00EC3104">
            <w:r>
              <w:t xml:space="preserve">Alternatively, a dose of 0.1 mg corresponding to </w:t>
            </w:r>
            <w:r w:rsidR="00791BA8">
              <w:t xml:space="preserve">an injection volume of </w:t>
            </w:r>
            <w:r>
              <w:t>0.01 mL can be given.</w:t>
            </w:r>
          </w:p>
          <w:p w14:paraId="16D06D60" w14:textId="1031BF00" w:rsidR="00287118" w:rsidRDefault="00EC3104" w:rsidP="00EC3104">
            <w:r>
              <w:t xml:space="preserve">Treatment should be initiated and monitored by paediatric ophthalmologists experienced in the treatment of </w:t>
            </w:r>
            <w:r w:rsidRPr="00297A51">
              <w:t>retinopathy of prematurity</w:t>
            </w:r>
            <w:r w:rsidR="00E10F63">
              <w:t xml:space="preserve"> (ROP)</w:t>
            </w:r>
            <w:r>
              <w:t>.</w:t>
            </w:r>
          </w:p>
          <w:p w14:paraId="7106FC19" w14:textId="77777777" w:rsidR="00287118" w:rsidRDefault="00287118" w:rsidP="006B7211">
            <w:r>
              <w:t>Treatment of ROP is initiated with a single injection per eye and may be given bilaterally on the same day. In total, up to three injections per eye may be administered within six months of treatment initiation if there are signs of disease activity. The administration of more than three injections per eye has not been studied. The interval between two doses injected into the same eye should be at least four weeks.</w:t>
            </w:r>
          </w:p>
          <w:p w14:paraId="3384DE5D" w14:textId="120572EE" w:rsidR="00EC3104" w:rsidRPr="00487162" w:rsidRDefault="00287118">
            <w:r>
              <w:t xml:space="preserve">For further information, including </w:t>
            </w:r>
            <w:r w:rsidRPr="00A4695C">
              <w:rPr>
                <w:i/>
              </w:rPr>
              <w:t>dose and method of administration</w:t>
            </w:r>
            <w:r>
              <w:t xml:space="preserve">, </w:t>
            </w:r>
            <w:r w:rsidRPr="006B7211">
              <w:t>and</w:t>
            </w:r>
            <w:r w:rsidRPr="00A4695C">
              <w:rPr>
                <w:i/>
              </w:rPr>
              <w:t xml:space="preserve"> instructions for use and handling</w:t>
            </w:r>
            <w:r w:rsidR="00E10F63">
              <w:t>, refer to the Product Information.</w:t>
            </w:r>
          </w:p>
        </w:tc>
      </w:tr>
      <w:tr w:rsidR="00EC3104" w:rsidRPr="003D1E62" w14:paraId="31C24CEA" w14:textId="77777777" w:rsidTr="00FF2EB0">
        <w:tc>
          <w:tcPr>
            <w:tcW w:w="1577" w:type="pct"/>
          </w:tcPr>
          <w:p w14:paraId="198F6E94" w14:textId="77777777" w:rsidR="00EC3104" w:rsidRPr="00487162" w:rsidRDefault="00EC3104" w:rsidP="00EC3104">
            <w:pPr>
              <w:rPr>
                <w:i/>
              </w:rPr>
            </w:pPr>
            <w:r w:rsidRPr="00460036">
              <w:rPr>
                <w:i/>
              </w:rPr>
              <w:lastRenderedPageBreak/>
              <w:t>Pregnancy category</w:t>
            </w:r>
            <w:r>
              <w:rPr>
                <w:i/>
              </w:rPr>
              <w:t>:</w:t>
            </w:r>
          </w:p>
        </w:tc>
        <w:tc>
          <w:tcPr>
            <w:tcW w:w="3423" w:type="pct"/>
          </w:tcPr>
          <w:p w14:paraId="08972467" w14:textId="77777777" w:rsidR="00EC3104" w:rsidRDefault="00EC3104" w:rsidP="00EC3104">
            <w:r>
              <w:t>D</w:t>
            </w:r>
          </w:p>
          <w:p w14:paraId="295C310D" w14:textId="77777777" w:rsidR="00EC3104" w:rsidRDefault="00EC3104" w:rsidP="00EC3104">
            <w:r w:rsidRPr="00297A51">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67E75C06" w14:textId="50D28AF3" w:rsidR="00EC3104" w:rsidRPr="00487162" w:rsidRDefault="00EC3104" w:rsidP="00EC3104">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60D74B8" w14:textId="77777777" w:rsidR="008E7846" w:rsidRDefault="008E7846" w:rsidP="008E7846">
      <w:pPr>
        <w:pStyle w:val="Heading3"/>
      </w:pPr>
      <w:bookmarkStart w:id="9" w:name="_Toc247691503"/>
      <w:bookmarkStart w:id="10" w:name="_Toc314842484"/>
      <w:bookmarkStart w:id="11" w:name="_Toc131065554"/>
      <w:r>
        <w:t>Product background</w:t>
      </w:r>
      <w:bookmarkEnd w:id="9"/>
      <w:bookmarkEnd w:id="10"/>
      <w:bookmarkEnd w:id="11"/>
    </w:p>
    <w:p w14:paraId="4D4363CD" w14:textId="6E5C7F92" w:rsidR="009F2673" w:rsidRDefault="009F2673" w:rsidP="009F2673">
      <w:r w:rsidRPr="000A4A42">
        <w:t xml:space="preserve">This AusPAR describes the </w:t>
      </w:r>
      <w:r w:rsidR="001E359E">
        <w:t>submission</w:t>
      </w:r>
      <w:r w:rsidRPr="000A4A42">
        <w:t xml:space="preserve"> by </w:t>
      </w:r>
      <w:r w:rsidR="00EC3104" w:rsidRPr="00EC3104">
        <w:t xml:space="preserve">Novartis Pharmaceuticals Australia Pty Ltd </w:t>
      </w:r>
      <w:r w:rsidRPr="000A4A42">
        <w:t xml:space="preserve">(the sponsor) to register </w:t>
      </w:r>
      <w:r w:rsidR="00EC3104" w:rsidRPr="00EC3104">
        <w:t>Lucentis (ranibizumab (</w:t>
      </w:r>
      <w:proofErr w:type="spellStart"/>
      <w:r w:rsidR="00EC3104" w:rsidRPr="00EC3104">
        <w:t>rbe</w:t>
      </w:r>
      <w:proofErr w:type="spellEnd"/>
      <w:r w:rsidR="00EC3104" w:rsidRPr="00EC3104">
        <w:t xml:space="preserve">)) 2.3 mg/0.23 mL solution for injection </w:t>
      </w:r>
      <w:r w:rsidRPr="000A4A42">
        <w:t>for the following proposed extension of indication:</w:t>
      </w:r>
    </w:p>
    <w:p w14:paraId="6D96FE9F" w14:textId="73C69108" w:rsidR="00EC3104" w:rsidRDefault="00EC3104" w:rsidP="00EC3104">
      <w:pPr>
        <w:ind w:left="720"/>
        <w:rPr>
          <w:i/>
          <w:iCs/>
        </w:rPr>
      </w:pPr>
      <w:r w:rsidRPr="00EC3104">
        <w:rPr>
          <w:i/>
          <w:iCs/>
        </w:rPr>
        <w:t xml:space="preserve">Lucentis is indicated in preterm infants for the treatment of retinopathy of prematurity (ROP) with </w:t>
      </w:r>
      <w:r w:rsidR="00194C3D">
        <w:rPr>
          <w:i/>
          <w:iCs/>
        </w:rPr>
        <w:t xml:space="preserve">Zone I </w:t>
      </w:r>
      <w:r w:rsidRPr="00EC3104">
        <w:rPr>
          <w:i/>
          <w:iCs/>
        </w:rPr>
        <w:t>(</w:t>
      </w:r>
      <w:r w:rsidR="00194C3D">
        <w:rPr>
          <w:i/>
          <w:iCs/>
        </w:rPr>
        <w:t>Stage 1</w:t>
      </w:r>
      <w:r w:rsidRPr="00EC3104">
        <w:rPr>
          <w:i/>
          <w:iCs/>
        </w:rPr>
        <w:t xml:space="preserve">+, 2+, 3 or 3+), </w:t>
      </w:r>
      <w:r w:rsidR="00194C3D">
        <w:rPr>
          <w:i/>
          <w:iCs/>
        </w:rPr>
        <w:t>Zone II</w:t>
      </w:r>
      <w:r w:rsidRPr="00EC3104">
        <w:rPr>
          <w:i/>
          <w:iCs/>
        </w:rPr>
        <w:t xml:space="preserve"> (</w:t>
      </w:r>
      <w:r w:rsidR="00194C3D">
        <w:rPr>
          <w:i/>
          <w:iCs/>
        </w:rPr>
        <w:t>Stage 3</w:t>
      </w:r>
      <w:r w:rsidRPr="00EC3104">
        <w:rPr>
          <w:i/>
          <w:iCs/>
        </w:rPr>
        <w:t>+) or AP-ROP (aggressive posterior ROP) disease.</w:t>
      </w:r>
    </w:p>
    <w:p w14:paraId="0621984D" w14:textId="116B34E1" w:rsidR="00EC3104" w:rsidRDefault="00561C00" w:rsidP="00EC3104">
      <w:bookmarkStart w:id="12" w:name="_Toc314842485"/>
      <w:bookmarkStart w:id="13" w:name="_Toc247691504"/>
      <w:r w:rsidRPr="00561C00">
        <w:t>Retinopathy of prematurity (ROP</w:t>
      </w:r>
      <w:r>
        <w:t>)</w:t>
      </w:r>
      <w:r w:rsidR="00EC3104">
        <w:t xml:space="preserve"> is a developmental proliferative vascular disorder and a leading cause of childhood blindness worldwide.</w:t>
      </w:r>
      <w:r w:rsidR="008F7403">
        <w:rPr>
          <w:rStyle w:val="FootnoteReference"/>
        </w:rPr>
        <w:footnoteReference w:id="2"/>
      </w:r>
      <w:r w:rsidR="00EC3104">
        <w:t xml:space="preserve"> Infants born prematurely have an immature retina with a peripheral avascular zone and ROP develops if there is disruption of angiogenesis in this zone. </w:t>
      </w:r>
      <w:r w:rsidR="00625ED4" w:rsidRPr="00561C00">
        <w:t xml:space="preserve">Retinopathy of prematurity </w:t>
      </w:r>
      <w:r w:rsidR="00EC3104">
        <w:t xml:space="preserve">is a biphasic disease comprising </w:t>
      </w:r>
      <w:r w:rsidR="00EC3104">
        <w:lastRenderedPageBreak/>
        <w:t>an initial phase of vessel loss and a second phase of vessel proliferation.</w:t>
      </w:r>
      <w:r w:rsidR="00526433">
        <w:rPr>
          <w:rStyle w:val="FootnoteReference"/>
        </w:rPr>
        <w:footnoteReference w:id="3"/>
      </w:r>
      <w:r w:rsidR="00EC3104">
        <w:t xml:space="preserve"> In most cases the vascular changes of </w:t>
      </w:r>
      <w:r w:rsidR="00625ED4">
        <w:t xml:space="preserve">retinopathy </w:t>
      </w:r>
      <w:r w:rsidR="00EC3104">
        <w:t>regress with time, however, in some cases, can lead to fibrous scar formation, visual distortion, retinal detachment, and blindness if left untreated.</w:t>
      </w:r>
    </w:p>
    <w:p w14:paraId="4CA922E1" w14:textId="7FB6C7E1" w:rsidR="00625ED4" w:rsidRDefault="00625ED4" w:rsidP="00EC3104">
      <w:r w:rsidRPr="00561C00">
        <w:t xml:space="preserve">Retinopathy of prematurity </w:t>
      </w:r>
      <w:r>
        <w:t>is often</w:t>
      </w:r>
      <w:r w:rsidR="00EC3104">
        <w:t xml:space="preserve"> classified as per the International Classification of Retinopathy of Prematurity.</w:t>
      </w:r>
      <w:r>
        <w:rPr>
          <w:rStyle w:val="FootnoteReference"/>
        </w:rPr>
        <w:footnoteReference w:id="4"/>
      </w:r>
      <w:r>
        <w:rPr>
          <w:vertAlign w:val="superscript"/>
        </w:rPr>
        <w:t>,</w:t>
      </w:r>
      <w:r w:rsidR="00ED11DD">
        <w:rPr>
          <w:rStyle w:val="FootnoteReference"/>
        </w:rPr>
        <w:footnoteReference w:id="5"/>
      </w:r>
      <w:r w:rsidR="00EC3104">
        <w:t xml:space="preserve"> The extent and severity of ROP is described by:</w:t>
      </w:r>
    </w:p>
    <w:p w14:paraId="6247A2EE" w14:textId="221EF96D" w:rsidR="00EC3104" w:rsidRDefault="00EC3104" w:rsidP="00EC3104">
      <w:pPr>
        <w:pStyle w:val="ListBullet"/>
      </w:pPr>
      <w:r w:rsidRPr="00561C00">
        <w:rPr>
          <w:i/>
          <w:iCs/>
        </w:rPr>
        <w:t>Location</w:t>
      </w:r>
      <w:r>
        <w:t xml:space="preserve">: </w:t>
      </w:r>
      <w:r w:rsidR="0094383B">
        <w:t>Z</w:t>
      </w:r>
      <w:r>
        <w:t>ones I</w:t>
      </w:r>
      <w:r w:rsidR="002F479C">
        <w:t xml:space="preserve"> to </w:t>
      </w:r>
      <w:r>
        <w:t>III, defining the extent of vascularisation from the central zone (</w:t>
      </w:r>
      <w:r w:rsidR="0094383B">
        <w:t>Z</w:t>
      </w:r>
      <w:r>
        <w:t>one I) to the outer crescent (</w:t>
      </w:r>
      <w:r w:rsidR="0094383B">
        <w:t>Z</w:t>
      </w:r>
      <w:r>
        <w:t>one III)</w:t>
      </w:r>
      <w:r w:rsidR="00E934B9">
        <w:t xml:space="preserve"> (see </w:t>
      </w:r>
      <w:r w:rsidR="00E934B9">
        <w:fldChar w:fldCharType="begin"/>
      </w:r>
      <w:r w:rsidR="00E934B9">
        <w:instrText xml:space="preserve"> REF _Ref134779759 \h </w:instrText>
      </w:r>
      <w:r w:rsidR="00E934B9">
        <w:fldChar w:fldCharType="separate"/>
      </w:r>
      <w:r w:rsidR="00E934B9">
        <w:t xml:space="preserve">Figure </w:t>
      </w:r>
      <w:r w:rsidR="00E934B9">
        <w:rPr>
          <w:noProof/>
        </w:rPr>
        <w:t>1</w:t>
      </w:r>
      <w:r w:rsidR="00E934B9">
        <w:fldChar w:fldCharType="end"/>
      </w:r>
      <w:r w:rsidR="00E934B9">
        <w:t>, below).</w:t>
      </w:r>
    </w:p>
    <w:p w14:paraId="7142699D" w14:textId="0F09225B" w:rsidR="00EC3104" w:rsidRDefault="00EC3104" w:rsidP="00EC3104">
      <w:pPr>
        <w:pStyle w:val="ListBullet"/>
      </w:pPr>
      <w:r w:rsidRPr="00561C00">
        <w:rPr>
          <w:i/>
          <w:iCs/>
        </w:rPr>
        <w:t>Severity</w:t>
      </w:r>
      <w:r>
        <w:t>: Stage 1</w:t>
      </w:r>
      <w:r w:rsidR="002F479C">
        <w:t xml:space="preserve"> to </w:t>
      </w:r>
      <w:r>
        <w:t xml:space="preserve">5. Stage 1 is characterised by a thin demarcation line between vascularised and non-vascularised retina, </w:t>
      </w:r>
      <w:r w:rsidR="0094383B">
        <w:t>S</w:t>
      </w:r>
      <w:r w:rsidR="00705115">
        <w:t>tage</w:t>
      </w:r>
      <w:r>
        <w:t xml:space="preserve"> 2 by a ridge, </w:t>
      </w:r>
      <w:r w:rsidR="00194C3D">
        <w:t>Stage 3</w:t>
      </w:r>
      <w:r>
        <w:t xml:space="preserve"> by extraretinal fibrovascular proliferation, </w:t>
      </w:r>
      <w:r w:rsidR="00194C3D">
        <w:t>Stage 4</w:t>
      </w:r>
      <w:r>
        <w:t xml:space="preserve"> by partial retinal detachment, and </w:t>
      </w:r>
      <w:r w:rsidR="00194C3D">
        <w:t>Stage 5</w:t>
      </w:r>
      <w:r>
        <w:t xml:space="preserve"> by total retinal detachment.</w:t>
      </w:r>
    </w:p>
    <w:p w14:paraId="1BDA8E1E" w14:textId="0DF30473" w:rsidR="00EC3104" w:rsidRDefault="00EC3104" w:rsidP="00EC3104">
      <w:pPr>
        <w:pStyle w:val="ListBullet"/>
      </w:pPr>
      <w:r w:rsidRPr="00561C00">
        <w:rPr>
          <w:i/>
          <w:iCs/>
        </w:rPr>
        <w:t>‘Plus’ disease</w:t>
      </w:r>
      <w:r>
        <w:t>: refers to the presence (rather than extent) of vascular dilatation and tortuosity of the posterior retinal vessels involving at least two quadrants of the retina.</w:t>
      </w:r>
    </w:p>
    <w:p w14:paraId="3F90DC8D" w14:textId="766B2E0E" w:rsidR="00E934B9" w:rsidRDefault="00E934B9" w:rsidP="005004A3">
      <w:pPr>
        <w:pStyle w:val="FigureTitle"/>
      </w:pPr>
      <w:bookmarkStart w:id="14" w:name="_Ref134779759"/>
      <w:r>
        <w:t xml:space="preserve">Figure </w:t>
      </w:r>
      <w:r w:rsidR="002D65F1">
        <w:fldChar w:fldCharType="begin"/>
      </w:r>
      <w:r w:rsidR="002D65F1">
        <w:instrText xml:space="preserve"> SEQ Figure \* ARABIC </w:instrText>
      </w:r>
      <w:r w:rsidR="002D65F1">
        <w:fldChar w:fldCharType="separate"/>
      </w:r>
      <w:r>
        <w:rPr>
          <w:noProof/>
        </w:rPr>
        <w:t>1</w:t>
      </w:r>
      <w:r w:rsidR="002D65F1">
        <w:rPr>
          <w:noProof/>
        </w:rPr>
        <w:fldChar w:fldCharType="end"/>
      </w:r>
      <w:bookmarkEnd w:id="14"/>
      <w:r>
        <w:t>: Chiang et al. (2021); Zone borders and clock hour sectors used to describe location of vascularisation and extent of retinopathy</w:t>
      </w:r>
    </w:p>
    <w:p w14:paraId="3EFE7413" w14:textId="14A7CB7C" w:rsidR="00625ED4" w:rsidRDefault="00E934B9" w:rsidP="005004A3">
      <w:r>
        <w:rPr>
          <w:noProof/>
          <w:lang w:val="en-GB" w:eastAsia="en-GB"/>
        </w:rPr>
        <w:drawing>
          <wp:inline distT="0" distB="0" distL="0" distR="0" wp14:anchorId="47790F42" wp14:editId="2A530A83">
            <wp:extent cx="5400040" cy="2723631"/>
            <wp:effectExtent l="0" t="0" r="0" b="635"/>
            <wp:docPr id="9" name="Picture 9" descr="Figure 1: Chiang et al. (2021); Zone borders and clock hour sectors used to describe location of vascularisation and extent of retino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Chiang et al. (2021); Zone borders and clock hour sectors used to describe location of vascularisation and extent of retinopath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723631"/>
                    </a:xfrm>
                    <a:prstGeom prst="rect">
                      <a:avLst/>
                    </a:prstGeom>
                    <a:noFill/>
                    <a:ln>
                      <a:noFill/>
                    </a:ln>
                  </pic:spPr>
                </pic:pic>
              </a:graphicData>
            </a:graphic>
          </wp:inline>
        </w:drawing>
      </w:r>
    </w:p>
    <w:p w14:paraId="04360341" w14:textId="2B1AB122" w:rsidR="00E934B9" w:rsidRDefault="00E934B9" w:rsidP="00BF34AC">
      <w:pPr>
        <w:pStyle w:val="FigureDescription"/>
      </w:pPr>
      <w:r w:rsidRPr="00E934B9">
        <w:t>Schema of right eye (RE) and left eye (LE) showing zone borders and clock hour sectors used to des</w:t>
      </w:r>
      <w:r w:rsidR="00E10F63">
        <w:t>cribe the location of vascularis</w:t>
      </w:r>
      <w:r w:rsidRPr="00E934B9">
        <w:t>ation and extent of retinopathy. Soli</w:t>
      </w:r>
      <w:r>
        <w:t>d circles represent borders of Z</w:t>
      </w:r>
      <w:r w:rsidRPr="00E934B9">
        <w:t>ones I through III, and dotted circles represent borders of posterior zone II (</w:t>
      </w:r>
      <w:proofErr w:type="gramStart"/>
      <w:r w:rsidRPr="00E934B9">
        <w:t>2 disc</w:t>
      </w:r>
      <w:proofErr w:type="gramEnd"/>
      <w:r w:rsidRPr="00E934B9">
        <w:t xml:space="preserve"> diameters beyond zone I). A hypothetical example of examination findings is shown in LE, representing approximately 3 clock hours of stage 1 disease in zone II (note single line on drawing to document presence of stage 1 disease).</w:t>
      </w:r>
    </w:p>
    <w:p w14:paraId="77374B6A" w14:textId="5896B369" w:rsidR="00E934B9" w:rsidRPr="009E065A" w:rsidRDefault="00E934B9" w:rsidP="00BF34AC">
      <w:pPr>
        <w:pStyle w:val="FigureDescription"/>
      </w:pPr>
      <w:r>
        <w:t xml:space="preserve">Figure adapted from </w:t>
      </w:r>
      <w:r w:rsidRPr="00E934B9">
        <w:t>Chiang MF, Quinn GE, Fielder AR, et al. International Classification of Retinopathy of Prematurity, Third Edition. Ophthalmology. 2021;128(10</w:t>
      </w:r>
      <w:proofErr w:type="gramStart"/>
      <w:r w:rsidRPr="00E934B9">
        <w:t>):e</w:t>
      </w:r>
      <w:proofErr w:type="gramEnd"/>
      <w:r w:rsidRPr="00E934B9">
        <w:t>51-e68.</w:t>
      </w:r>
    </w:p>
    <w:p w14:paraId="1EBFDBFB" w14:textId="0C7D029E" w:rsidR="00EC3104" w:rsidRDefault="00561C00" w:rsidP="00BF34AC">
      <w:r>
        <w:t>A</w:t>
      </w:r>
      <w:r w:rsidRPr="002F479C">
        <w:t xml:space="preserve">ggressive posterior </w:t>
      </w:r>
      <w:r>
        <w:t>r</w:t>
      </w:r>
      <w:r w:rsidRPr="002F479C">
        <w:t>etinopathy of prematurity</w:t>
      </w:r>
      <w:r>
        <w:t xml:space="preserve"> (</w:t>
      </w:r>
      <w:r w:rsidR="00EC3104">
        <w:t>AP-ROP</w:t>
      </w:r>
      <w:r>
        <w:t>) is</w:t>
      </w:r>
      <w:r w:rsidR="00EC3104">
        <w:t xml:space="preserve"> an uncommon, rapidly progressive, severe form (mainly in </w:t>
      </w:r>
      <w:r w:rsidR="00194C3D">
        <w:t>Z</w:t>
      </w:r>
      <w:r w:rsidR="00EC3104">
        <w:t xml:space="preserve">one I, and to a lesser extent in </w:t>
      </w:r>
      <w:r w:rsidR="00194C3D">
        <w:t>Zone II</w:t>
      </w:r>
      <w:r w:rsidR="00EC3104">
        <w:t>), mainly characterised by posterior location, flat neovascularisation, and ‘plus’ disease.</w:t>
      </w:r>
    </w:p>
    <w:p w14:paraId="2A84D875" w14:textId="3E2C787F" w:rsidR="00EC3104" w:rsidRDefault="00EC3104" w:rsidP="00EC3104">
      <w:r>
        <w:lastRenderedPageBreak/>
        <w:t>A further classification system distinguishes high-risk and low risk pre-threshold ROP:</w:t>
      </w:r>
    </w:p>
    <w:p w14:paraId="1EAC785B" w14:textId="5BEDF790" w:rsidR="00EC3104" w:rsidRDefault="00EC3104" w:rsidP="00EC3104">
      <w:pPr>
        <w:pStyle w:val="ListBullet"/>
      </w:pPr>
      <w:r w:rsidRPr="00561C00">
        <w:rPr>
          <w:i/>
          <w:iCs/>
        </w:rPr>
        <w:t>Type 1 (high</w:t>
      </w:r>
      <w:r w:rsidR="002F479C" w:rsidRPr="00561C00">
        <w:rPr>
          <w:i/>
          <w:iCs/>
        </w:rPr>
        <w:t xml:space="preserve"> </w:t>
      </w:r>
      <w:r w:rsidRPr="00561C00">
        <w:rPr>
          <w:i/>
          <w:iCs/>
        </w:rPr>
        <w:t>risk):</w:t>
      </w:r>
      <w:r>
        <w:t xml:space="preserve"> </w:t>
      </w:r>
      <w:r w:rsidR="00194C3D">
        <w:t xml:space="preserve">Zone I </w:t>
      </w:r>
      <w:r>
        <w:t>(</w:t>
      </w:r>
      <w:r w:rsidR="00194C3D">
        <w:t>Stage 1</w:t>
      </w:r>
      <w:r>
        <w:t xml:space="preserve">+, 2+, 3 or 3+), </w:t>
      </w:r>
      <w:r w:rsidR="00194C3D">
        <w:t>Zone II</w:t>
      </w:r>
      <w:r>
        <w:t xml:space="preserve"> (</w:t>
      </w:r>
      <w:r w:rsidR="00194C3D">
        <w:t>Stage 2</w:t>
      </w:r>
      <w:r>
        <w:t>+ or 3+); and</w:t>
      </w:r>
    </w:p>
    <w:p w14:paraId="4B1772C8" w14:textId="7C599F9E" w:rsidR="00EC3104" w:rsidRDefault="00EC3104" w:rsidP="00EC3104">
      <w:pPr>
        <w:pStyle w:val="ListBullet"/>
      </w:pPr>
      <w:r w:rsidRPr="00561C00">
        <w:rPr>
          <w:i/>
          <w:iCs/>
        </w:rPr>
        <w:t>Type 2 (low</w:t>
      </w:r>
      <w:r w:rsidR="002F479C" w:rsidRPr="00561C00">
        <w:rPr>
          <w:i/>
          <w:iCs/>
        </w:rPr>
        <w:t xml:space="preserve"> </w:t>
      </w:r>
      <w:r w:rsidRPr="00561C00">
        <w:rPr>
          <w:i/>
          <w:iCs/>
        </w:rPr>
        <w:t>risk):</w:t>
      </w:r>
      <w:r>
        <w:t xml:space="preserve"> </w:t>
      </w:r>
      <w:r w:rsidR="00194C3D">
        <w:t xml:space="preserve">Zone I </w:t>
      </w:r>
      <w:r>
        <w:t>(</w:t>
      </w:r>
      <w:r w:rsidR="00194C3D">
        <w:t>Stage 1</w:t>
      </w:r>
      <w:r>
        <w:t xml:space="preserve"> or 2), </w:t>
      </w:r>
      <w:r w:rsidR="00194C3D">
        <w:t>Zone II</w:t>
      </w:r>
      <w:r>
        <w:t xml:space="preserve"> (</w:t>
      </w:r>
      <w:r w:rsidR="00194C3D">
        <w:t>Stage 3</w:t>
      </w:r>
      <w:r>
        <w:t>).</w:t>
      </w:r>
    </w:p>
    <w:p w14:paraId="195A68B1" w14:textId="540FE1F1" w:rsidR="00EC3104" w:rsidRDefault="00EC3104" w:rsidP="00EC3104">
      <w:r w:rsidRPr="00EC3104">
        <w:t xml:space="preserve">The incidence and severity of ROP increase with the degree of prematurity at birth, with low gestational age and low birth weight being the main risk factors. Among infants with a gestational age of less than 31 weeks and/or a birth weight of less than 1,250 grams registered with </w:t>
      </w:r>
      <w:r>
        <w:t>the Australian and New Zealand Neonatal Network</w:t>
      </w:r>
      <w:r w:rsidRPr="00EC3104">
        <w:t xml:space="preserve"> in 2018 who were examined for ROP, 7.5% had </w:t>
      </w:r>
      <w:r w:rsidR="00194C3D">
        <w:t>Stage 3</w:t>
      </w:r>
      <w:r w:rsidRPr="00EC3104">
        <w:t xml:space="preserve"> or 4 eye disease.</w:t>
      </w:r>
      <w:r w:rsidR="003E382A">
        <w:rPr>
          <w:rStyle w:val="FootnoteReference"/>
        </w:rPr>
        <w:footnoteReference w:id="6"/>
      </w:r>
    </w:p>
    <w:p w14:paraId="324AA0DF" w14:textId="77777777" w:rsidR="00EC3104" w:rsidRPr="00EC3104" w:rsidRDefault="00EC3104" w:rsidP="00EC3104">
      <w:pPr>
        <w:pStyle w:val="Heading4"/>
      </w:pPr>
      <w:r w:rsidRPr="00EC3104">
        <w:t>Current treatment options</w:t>
      </w:r>
    </w:p>
    <w:p w14:paraId="740A642C" w14:textId="712E1EA0" w:rsidR="00EC3104" w:rsidRDefault="00EC3104" w:rsidP="00EC3104">
      <w:r>
        <w:t xml:space="preserve">At the time the submission was under consideration, there </w:t>
      </w:r>
      <w:r w:rsidR="00194C3D">
        <w:t>wa</w:t>
      </w:r>
      <w:r>
        <w:t xml:space="preserve">s no registered products on the Australian Register of Therapeutic Goods (ARTG) for the treatment of </w:t>
      </w:r>
      <w:r w:rsidR="00E10F63">
        <w:t>retinopathy of prematurity (</w:t>
      </w:r>
      <w:r>
        <w:t>ROP</w:t>
      </w:r>
      <w:r w:rsidR="00E10F63">
        <w:t>)</w:t>
      </w:r>
      <w:r>
        <w:t>.</w:t>
      </w:r>
    </w:p>
    <w:p w14:paraId="4DB1F208" w14:textId="1537DFF4" w:rsidR="00EC3104" w:rsidRDefault="00EC3104" w:rsidP="00EC3104">
      <w:r>
        <w:t xml:space="preserve">Treatment is usually required for more advanced ROP, including: any </w:t>
      </w:r>
      <w:r w:rsidR="00194C3D">
        <w:t xml:space="preserve">Zone I </w:t>
      </w:r>
      <w:r>
        <w:t xml:space="preserve">ROP with plus disease, </w:t>
      </w:r>
      <w:r w:rsidR="00194C3D">
        <w:t>Zone I Stage 3</w:t>
      </w:r>
      <w:r>
        <w:t xml:space="preserve"> without plus disease, </w:t>
      </w:r>
      <w:r w:rsidR="00194C3D">
        <w:t>Zone II</w:t>
      </w:r>
      <w:r>
        <w:t xml:space="preserve"> </w:t>
      </w:r>
      <w:r w:rsidR="00194C3D">
        <w:t>Stage 3</w:t>
      </w:r>
      <w:r>
        <w:t xml:space="preserve"> ROP with plus disease and </w:t>
      </w:r>
      <w:r w:rsidR="00E10F63">
        <w:t>a</w:t>
      </w:r>
      <w:r w:rsidR="00E10F63" w:rsidRPr="002F479C">
        <w:t xml:space="preserve">ggressive posterior </w:t>
      </w:r>
      <w:r w:rsidR="00E10F63">
        <w:t>r</w:t>
      </w:r>
      <w:r w:rsidR="00E10F63" w:rsidRPr="002F479C">
        <w:t>etinopathy of prematurity</w:t>
      </w:r>
      <w:r w:rsidR="00E10F63">
        <w:t xml:space="preserve"> (</w:t>
      </w:r>
      <w:r>
        <w:t>AP</w:t>
      </w:r>
      <w:r w:rsidR="00526433">
        <w:noBreakHyphen/>
      </w:r>
      <w:r>
        <w:t>ROP</w:t>
      </w:r>
      <w:r w:rsidR="00E10F63">
        <w:t>)</w:t>
      </w:r>
      <w:r>
        <w:t>.</w:t>
      </w:r>
    </w:p>
    <w:p w14:paraId="4645F9B4" w14:textId="2899567F" w:rsidR="00EC3104" w:rsidRDefault="00EC3104" w:rsidP="00EC3104">
      <w:r>
        <w:t xml:space="preserve">The main treatment modalities are laser photocoagulation or intravitreal anti-vascular endothelial growth factor (VEGF) injection therapy (in Australia, anti-VEGF medicines are not currently indicated for ROP). Surgical intervention is usually indicated for </w:t>
      </w:r>
      <w:r w:rsidR="00194C3D">
        <w:t>Stage 4</w:t>
      </w:r>
      <w:r>
        <w:t xml:space="preserve"> and </w:t>
      </w:r>
      <w:r w:rsidR="00194C3D">
        <w:t>Stage 5</w:t>
      </w:r>
      <w:r>
        <w:t xml:space="preserve"> ROP. Breast milk appears to be the only preventative treatment.</w:t>
      </w:r>
    </w:p>
    <w:p w14:paraId="34760A37" w14:textId="77777777" w:rsidR="008E7846" w:rsidRPr="003F31A2" w:rsidRDefault="00386150" w:rsidP="008E7846">
      <w:pPr>
        <w:pStyle w:val="Heading3"/>
      </w:pPr>
      <w:bookmarkStart w:id="15" w:name="_Toc131065555"/>
      <w:r>
        <w:t>Regulatory s</w:t>
      </w:r>
      <w:r w:rsidR="008E7846">
        <w:t>tatus</w:t>
      </w:r>
      <w:bookmarkEnd w:id="12"/>
      <w:bookmarkEnd w:id="13"/>
      <w:bookmarkEnd w:id="15"/>
    </w:p>
    <w:p w14:paraId="06462538" w14:textId="55647070" w:rsidR="00EC3104" w:rsidRDefault="00EC3104" w:rsidP="00332715">
      <w:bookmarkStart w:id="16" w:name="_Toc247691505"/>
      <w:bookmarkStart w:id="17" w:name="_Toc314842486"/>
      <w:r w:rsidRPr="00EC3104">
        <w:t xml:space="preserve">The product received initial registration on the </w:t>
      </w:r>
      <w:r w:rsidR="00111473">
        <w:t>Australian Register of Therapeutic Goods (</w:t>
      </w:r>
      <w:r w:rsidRPr="00EC3104">
        <w:t>ARTG</w:t>
      </w:r>
      <w:r w:rsidR="00111473">
        <w:t>);</w:t>
      </w:r>
      <w:r w:rsidR="00ED11DD">
        <w:rPr>
          <w:rStyle w:val="FootnoteReference"/>
        </w:rPr>
        <w:footnoteReference w:id="7"/>
      </w:r>
      <w:r w:rsidRPr="00EC3104">
        <w:t xml:space="preserve"> on 27 February 2007 for the treatment of neovascular (wet) age-related macular degeneration (AMD) in adults.</w:t>
      </w:r>
      <w:r w:rsidR="0003659F">
        <w:t xml:space="preserve"> </w:t>
      </w:r>
      <w:r w:rsidRPr="00EC3104">
        <w:t xml:space="preserve">The indications approved in Australia </w:t>
      </w:r>
      <w:r w:rsidR="00111473">
        <w:t>at the time of this submission were</w:t>
      </w:r>
      <w:r w:rsidRPr="00EC3104">
        <w:t>:</w:t>
      </w:r>
    </w:p>
    <w:p w14:paraId="0CEA17C4" w14:textId="77777777" w:rsidR="00EC3104" w:rsidRPr="00EC3104" w:rsidRDefault="00EC3104" w:rsidP="00446A8A">
      <w:pPr>
        <w:ind w:left="360"/>
        <w:rPr>
          <w:i/>
          <w:iCs/>
        </w:rPr>
      </w:pPr>
      <w:r w:rsidRPr="00EC3104">
        <w:rPr>
          <w:i/>
          <w:iCs/>
        </w:rPr>
        <w:t>Lucentis (ranibizumab) is indicated in adults for:</w:t>
      </w:r>
    </w:p>
    <w:p w14:paraId="0B9E7733" w14:textId="6F0E0D56" w:rsidR="00EC3104" w:rsidRPr="00446A8A" w:rsidRDefault="00EC3104" w:rsidP="00446A8A">
      <w:pPr>
        <w:pStyle w:val="ListBullet"/>
        <w:ind w:left="720"/>
        <w:rPr>
          <w:i/>
          <w:iCs/>
        </w:rPr>
      </w:pPr>
      <w:r w:rsidRPr="00446A8A">
        <w:rPr>
          <w:i/>
          <w:iCs/>
        </w:rPr>
        <w:t>the treatment of neovascular (wet) age-related macular degeneration (AMD)</w:t>
      </w:r>
    </w:p>
    <w:p w14:paraId="594F8D75" w14:textId="092293AE" w:rsidR="00EC3104" w:rsidRPr="00446A8A" w:rsidRDefault="00EC3104" w:rsidP="00446A8A">
      <w:pPr>
        <w:pStyle w:val="ListBullet"/>
        <w:ind w:left="720"/>
        <w:rPr>
          <w:i/>
          <w:iCs/>
        </w:rPr>
      </w:pPr>
      <w:r w:rsidRPr="00446A8A">
        <w:rPr>
          <w:i/>
          <w:iCs/>
        </w:rPr>
        <w:t>the treatment of visual impairment due to diabetic macular oedema (DME)</w:t>
      </w:r>
    </w:p>
    <w:p w14:paraId="5BF2A89B" w14:textId="0E88425F" w:rsidR="00EC3104" w:rsidRPr="00446A8A" w:rsidRDefault="00EC3104" w:rsidP="00446A8A">
      <w:pPr>
        <w:pStyle w:val="ListBullet"/>
        <w:ind w:left="720"/>
        <w:rPr>
          <w:i/>
          <w:iCs/>
        </w:rPr>
      </w:pPr>
      <w:r w:rsidRPr="00446A8A">
        <w:rPr>
          <w:i/>
          <w:iCs/>
        </w:rPr>
        <w:t>treatment of proliferative diabetic retinopathy (PDR)</w:t>
      </w:r>
    </w:p>
    <w:p w14:paraId="073B19C1" w14:textId="1C66E6EB" w:rsidR="00EC3104" w:rsidRPr="00446A8A" w:rsidRDefault="00EC3104" w:rsidP="00446A8A">
      <w:pPr>
        <w:pStyle w:val="ListBullet"/>
        <w:ind w:left="720"/>
        <w:rPr>
          <w:i/>
          <w:iCs/>
        </w:rPr>
      </w:pPr>
      <w:r w:rsidRPr="00446A8A">
        <w:rPr>
          <w:i/>
          <w:iCs/>
        </w:rPr>
        <w:t>the treatment of visual impairment due to choroidal neovascularisation</w:t>
      </w:r>
    </w:p>
    <w:p w14:paraId="0157B39E" w14:textId="78DF2C84" w:rsidR="00EC3104" w:rsidRPr="00446A8A" w:rsidRDefault="00EC3104" w:rsidP="00446A8A">
      <w:pPr>
        <w:pStyle w:val="ListBullet"/>
        <w:ind w:left="720"/>
        <w:rPr>
          <w:i/>
          <w:iCs/>
        </w:rPr>
      </w:pPr>
      <w:r w:rsidRPr="00446A8A">
        <w:rPr>
          <w:i/>
          <w:iCs/>
        </w:rPr>
        <w:t>the treatment of visual impairment due to choroidal neovascularisation (CNV)</w:t>
      </w:r>
      <w:r w:rsidR="002F479C">
        <w:rPr>
          <w:i/>
          <w:iCs/>
        </w:rPr>
        <w:t xml:space="preserve"> </w:t>
      </w:r>
      <w:r w:rsidRPr="00446A8A">
        <w:rPr>
          <w:i/>
          <w:iCs/>
        </w:rPr>
        <w:t>secondary to pathologic myopia (PM)</w:t>
      </w:r>
    </w:p>
    <w:p w14:paraId="70B95732" w14:textId="28CB7E4B" w:rsidR="00EC3104" w:rsidRDefault="00EC3104" w:rsidP="00446A8A">
      <w:pPr>
        <w:pStyle w:val="ListBullet"/>
        <w:ind w:left="720"/>
        <w:rPr>
          <w:i/>
          <w:iCs/>
        </w:rPr>
      </w:pPr>
      <w:r w:rsidRPr="00446A8A">
        <w:rPr>
          <w:i/>
          <w:iCs/>
        </w:rPr>
        <w:t>the treatment of visual impairment due to macular oedema secondary to retinal vein</w:t>
      </w:r>
      <w:r w:rsidR="00194C3D">
        <w:rPr>
          <w:i/>
          <w:iCs/>
        </w:rPr>
        <w:t xml:space="preserve"> </w:t>
      </w:r>
      <w:r w:rsidRPr="00446A8A">
        <w:rPr>
          <w:i/>
          <w:iCs/>
        </w:rPr>
        <w:t>occlusion (RVO)</w:t>
      </w:r>
    </w:p>
    <w:p w14:paraId="1EDBA332" w14:textId="47EFDC2C" w:rsidR="00446A8A" w:rsidRDefault="00446A8A" w:rsidP="00446A8A">
      <w:r w:rsidRPr="00446A8A">
        <w:t xml:space="preserve">A previous </w:t>
      </w:r>
      <w:proofErr w:type="gramStart"/>
      <w:r w:rsidRPr="00446A8A">
        <w:t>submission</w:t>
      </w:r>
      <w:r w:rsidR="00E10F63">
        <w:t>;</w:t>
      </w:r>
      <w:bookmarkStart w:id="18" w:name="_Ref135040465"/>
      <w:proofErr w:type="gramEnd"/>
      <w:r w:rsidR="00E10F63">
        <w:rPr>
          <w:rStyle w:val="FootnoteReference"/>
        </w:rPr>
        <w:footnoteReference w:id="8"/>
      </w:r>
      <w:bookmarkEnd w:id="18"/>
      <w:r w:rsidR="003A24C0">
        <w:t xml:space="preserve"> </w:t>
      </w:r>
      <w:r w:rsidR="00561C00">
        <w:t xml:space="preserve">to extend the indication </w:t>
      </w:r>
      <w:r w:rsidRPr="00446A8A">
        <w:t>for use in preterm infants for the treatment of ROP was withdrawn, following</w:t>
      </w:r>
      <w:r w:rsidR="00561C00">
        <w:t xml:space="preserve"> </w:t>
      </w:r>
      <w:r w:rsidR="00052E86">
        <w:t>Advisory Committee on Medicines (AC</w:t>
      </w:r>
      <w:r w:rsidRPr="00446A8A">
        <w:t>M</w:t>
      </w:r>
      <w:r w:rsidR="00052E86">
        <w:t>)</w:t>
      </w:r>
      <w:r w:rsidRPr="00446A8A">
        <w:t xml:space="preserve"> </w:t>
      </w:r>
      <w:r w:rsidRPr="00446A8A">
        <w:lastRenderedPageBreak/>
        <w:t>advice that did not recommend approval.</w:t>
      </w:r>
      <w:r w:rsidR="0003659F">
        <w:t xml:space="preserve"> </w:t>
      </w:r>
      <w:r w:rsidR="00561C00" w:rsidRPr="00561C00">
        <w:t xml:space="preserve">The submission was based on data from the single pivotal </w:t>
      </w:r>
      <w:r w:rsidR="00B1395F">
        <w:t>Study H2301</w:t>
      </w:r>
      <w:r w:rsidR="00561C00" w:rsidRPr="00561C00">
        <w:t xml:space="preserve"> (RAINBOW</w:t>
      </w:r>
      <w:r w:rsidR="00561C00">
        <w:t xml:space="preserve"> trial</w:t>
      </w:r>
      <w:r w:rsidR="00561C00" w:rsidRPr="00561C00">
        <w:t xml:space="preserve">) and early results from the extension </w:t>
      </w:r>
      <w:r w:rsidR="00E10F63">
        <w:t>Study </w:t>
      </w:r>
      <w:r w:rsidR="00B1395F">
        <w:t>H2301</w:t>
      </w:r>
      <w:r w:rsidR="00561C00" w:rsidRPr="00561C00">
        <w:t>E1 (RAINBOW extension</w:t>
      </w:r>
      <w:r w:rsidR="00561C00">
        <w:t xml:space="preserve"> trial</w:t>
      </w:r>
      <w:r w:rsidR="00561C00" w:rsidRPr="00561C00">
        <w:t>).</w:t>
      </w:r>
    </w:p>
    <w:p w14:paraId="61FD578A" w14:textId="115B4799" w:rsidR="00111473" w:rsidRDefault="00111473" w:rsidP="00111473">
      <w:r w:rsidRPr="002033B9">
        <w:t xml:space="preserve">On </w:t>
      </w:r>
      <w:r>
        <w:t>31</w:t>
      </w:r>
      <w:r w:rsidRPr="002033B9">
        <w:t xml:space="preserve"> </w:t>
      </w:r>
      <w:r>
        <w:t>July 2020</w:t>
      </w:r>
      <w:r w:rsidRPr="002033B9">
        <w:t xml:space="preserve">, the TGA granted Lucentis a positive </w:t>
      </w:r>
      <w:hyperlink r:id="rId19" w:history="1">
        <w:r w:rsidRPr="00401292">
          <w:rPr>
            <w:rStyle w:val="Hyperlink"/>
          </w:rPr>
          <w:t>Orphan drug designation</w:t>
        </w:r>
      </w:hyperlink>
      <w:r>
        <w:t>,</w:t>
      </w:r>
      <w:r>
        <w:rPr>
          <w:rStyle w:val="FootnoteReference"/>
        </w:rPr>
        <w:footnoteReference w:id="9"/>
      </w:r>
      <w:r w:rsidRPr="002033B9">
        <w:t xml:space="preserve"> for the </w:t>
      </w:r>
      <w:r>
        <w:t>following indication:</w:t>
      </w:r>
    </w:p>
    <w:p w14:paraId="68E35E84" w14:textId="75D661F1" w:rsidR="00111473" w:rsidRPr="00A4695C" w:rsidRDefault="00401292" w:rsidP="005004A3">
      <w:pPr>
        <w:ind w:left="720"/>
        <w:rPr>
          <w:i/>
          <w:iCs/>
        </w:rPr>
      </w:pPr>
      <w:r>
        <w:rPr>
          <w:i/>
          <w:iCs/>
        </w:rPr>
        <w:t>‘</w:t>
      </w:r>
      <w:proofErr w:type="gramStart"/>
      <w:r w:rsidR="00111473" w:rsidRPr="00111473">
        <w:rPr>
          <w:i/>
          <w:iCs/>
        </w:rPr>
        <w:t>treatment</w:t>
      </w:r>
      <w:proofErr w:type="gramEnd"/>
      <w:r w:rsidR="00111473" w:rsidRPr="00111473">
        <w:rPr>
          <w:i/>
          <w:iCs/>
        </w:rPr>
        <w:t xml:space="preserve"> of</w:t>
      </w:r>
      <w:r>
        <w:rPr>
          <w:i/>
          <w:iCs/>
        </w:rPr>
        <w:t xml:space="preserve"> </w:t>
      </w:r>
      <w:r w:rsidR="00111473" w:rsidRPr="00111473">
        <w:rPr>
          <w:i/>
          <w:iCs/>
        </w:rPr>
        <w:t>pret</w:t>
      </w:r>
      <w:r>
        <w:rPr>
          <w:i/>
          <w:iCs/>
        </w:rPr>
        <w:t xml:space="preserve">erm infants with retinopathy of </w:t>
      </w:r>
      <w:r w:rsidR="00111473" w:rsidRPr="00111473">
        <w:rPr>
          <w:i/>
          <w:iCs/>
        </w:rPr>
        <w:t>prematurity (ROP)</w:t>
      </w:r>
      <w:r>
        <w:rPr>
          <w:i/>
          <w:iCs/>
        </w:rPr>
        <w:t>’.</w:t>
      </w:r>
    </w:p>
    <w:p w14:paraId="0A2A1BE6" w14:textId="02CFCA78" w:rsidR="00111473" w:rsidRDefault="00446A8A" w:rsidP="00446A8A">
      <w:r w:rsidRPr="00446A8A">
        <w:t>At the time the TGA considered th</w:t>
      </w:r>
      <w:r w:rsidR="00111473">
        <w:t xml:space="preserve">e current re-submission to </w:t>
      </w:r>
      <w:r w:rsidR="00561C00">
        <w:t>extend of</w:t>
      </w:r>
      <w:r w:rsidR="00111473">
        <w:t xml:space="preserve"> the indications of ranibizumab to include treatment of retinopathy of prematurity</w:t>
      </w:r>
      <w:r w:rsidRPr="00446A8A">
        <w:t xml:space="preserve">, </w:t>
      </w:r>
      <w:r w:rsidR="00D44FB5">
        <w:t>similar</w:t>
      </w:r>
      <w:r w:rsidRPr="00446A8A">
        <w:t xml:space="preserve"> submission</w:t>
      </w:r>
      <w:r w:rsidR="00561C00">
        <w:t>s</w:t>
      </w:r>
      <w:r w:rsidRPr="00446A8A">
        <w:t xml:space="preserve"> had been approved in the European Union, United Kingdom, Japan, </w:t>
      </w:r>
      <w:proofErr w:type="gramStart"/>
      <w:r w:rsidRPr="00446A8A">
        <w:t>Singapore</w:t>
      </w:r>
      <w:proofErr w:type="gramEnd"/>
      <w:r w:rsidRPr="00446A8A">
        <w:t xml:space="preserve"> and Switzerland. A similar submission was under consideration in Canada.</w:t>
      </w:r>
      <w:r>
        <w:t xml:space="preserve"> </w:t>
      </w:r>
      <w:r w:rsidRPr="00446A8A">
        <w:t>The following table summarises these submissions and provides the indications where approved.</w:t>
      </w:r>
    </w:p>
    <w:p w14:paraId="6BE12C8A" w14:textId="2A0E4FFC" w:rsidR="00324E45" w:rsidRPr="00F0146F" w:rsidRDefault="00324E45" w:rsidP="00324E45">
      <w:pPr>
        <w:pStyle w:val="TableTitle"/>
      </w:pPr>
      <w:bookmarkStart w:id="19" w:name="_Ref99705479"/>
      <w:r>
        <w:t xml:space="preserve">Table </w:t>
      </w:r>
      <w:r w:rsidR="002D65F1">
        <w:fldChar w:fldCharType="begin"/>
      </w:r>
      <w:r w:rsidR="002D65F1">
        <w:instrText xml:space="preserve"> SEQ Table \* ARABIC </w:instrText>
      </w:r>
      <w:r w:rsidR="002D65F1">
        <w:fldChar w:fldCharType="separate"/>
      </w:r>
      <w:r w:rsidR="00B12C8C">
        <w:rPr>
          <w:noProof/>
        </w:rPr>
        <w:t>1</w:t>
      </w:r>
      <w:r w:rsidR="002D65F1">
        <w:rPr>
          <w:noProof/>
        </w:rPr>
        <w:fldChar w:fldCharType="end"/>
      </w:r>
      <w:bookmarkEnd w:id="19"/>
      <w:r>
        <w:t>: International regulatory status</w:t>
      </w:r>
    </w:p>
    <w:tbl>
      <w:tblPr>
        <w:tblStyle w:val="TableTGAblue"/>
        <w:tblW w:w="8815" w:type="dxa"/>
        <w:tblLayout w:type="fixed"/>
        <w:tblLook w:val="04A0" w:firstRow="1" w:lastRow="0" w:firstColumn="1" w:lastColumn="0" w:noHBand="0" w:noVBand="1"/>
      </w:tblPr>
      <w:tblGrid>
        <w:gridCol w:w="1345"/>
        <w:gridCol w:w="2070"/>
        <w:gridCol w:w="2070"/>
        <w:gridCol w:w="3330"/>
      </w:tblGrid>
      <w:tr w:rsidR="00006FAB" w14:paraId="4FE39623" w14:textId="77777777" w:rsidTr="00A4695C">
        <w:trPr>
          <w:cnfStyle w:val="100000000000" w:firstRow="1" w:lastRow="0" w:firstColumn="0" w:lastColumn="0" w:oddVBand="0" w:evenVBand="0" w:oddHBand="0" w:evenHBand="0" w:firstRowFirstColumn="0" w:firstRowLastColumn="0" w:lastRowFirstColumn="0" w:lastRowLastColumn="0"/>
        </w:trPr>
        <w:tc>
          <w:tcPr>
            <w:tcW w:w="1345" w:type="dxa"/>
            <w:tcBorders>
              <w:top w:val="single" w:sz="4" w:space="0" w:color="auto"/>
              <w:left w:val="single" w:sz="4" w:space="0" w:color="auto"/>
              <w:bottom w:val="single" w:sz="4" w:space="0" w:color="auto"/>
              <w:right w:val="single" w:sz="4" w:space="0" w:color="auto"/>
            </w:tcBorders>
          </w:tcPr>
          <w:p w14:paraId="3876A6E4" w14:textId="77777777" w:rsidR="00006FAB" w:rsidRDefault="00006FAB" w:rsidP="00006FAB">
            <w:pPr>
              <w:ind w:left="0" w:right="0"/>
            </w:pPr>
            <w:r>
              <w:t>Region</w:t>
            </w:r>
          </w:p>
        </w:tc>
        <w:tc>
          <w:tcPr>
            <w:tcW w:w="2070" w:type="dxa"/>
            <w:tcBorders>
              <w:top w:val="single" w:sz="4" w:space="0" w:color="auto"/>
              <w:left w:val="single" w:sz="4" w:space="0" w:color="auto"/>
              <w:bottom w:val="single" w:sz="4" w:space="0" w:color="auto"/>
              <w:right w:val="single" w:sz="4" w:space="0" w:color="auto"/>
            </w:tcBorders>
          </w:tcPr>
          <w:p w14:paraId="3AED3CF0" w14:textId="77777777" w:rsidR="00006FAB" w:rsidRDefault="00006FAB" w:rsidP="00006FAB">
            <w:pPr>
              <w:ind w:left="0" w:right="0"/>
            </w:pPr>
            <w:r>
              <w:t>Submission date</w:t>
            </w:r>
          </w:p>
        </w:tc>
        <w:tc>
          <w:tcPr>
            <w:tcW w:w="2070" w:type="dxa"/>
            <w:tcBorders>
              <w:top w:val="single" w:sz="4" w:space="0" w:color="auto"/>
              <w:left w:val="single" w:sz="4" w:space="0" w:color="auto"/>
              <w:bottom w:val="single" w:sz="4" w:space="0" w:color="auto"/>
              <w:right w:val="single" w:sz="4" w:space="0" w:color="auto"/>
            </w:tcBorders>
          </w:tcPr>
          <w:p w14:paraId="3A47A14C" w14:textId="77777777" w:rsidR="00006FAB" w:rsidRDefault="00006FAB" w:rsidP="00006FAB">
            <w:pPr>
              <w:ind w:left="0" w:right="0"/>
            </w:pPr>
            <w:r>
              <w:t>Status</w:t>
            </w:r>
          </w:p>
        </w:tc>
        <w:tc>
          <w:tcPr>
            <w:tcW w:w="3330" w:type="dxa"/>
            <w:tcBorders>
              <w:top w:val="single" w:sz="4" w:space="0" w:color="auto"/>
              <w:left w:val="single" w:sz="4" w:space="0" w:color="auto"/>
              <w:bottom w:val="single" w:sz="4" w:space="0" w:color="auto"/>
              <w:right w:val="single" w:sz="4" w:space="0" w:color="auto"/>
            </w:tcBorders>
          </w:tcPr>
          <w:p w14:paraId="6903BFD7" w14:textId="77777777" w:rsidR="00006FAB" w:rsidRDefault="00006FAB" w:rsidP="00006FAB">
            <w:pPr>
              <w:ind w:left="0" w:right="0"/>
            </w:pPr>
            <w:r>
              <w:t>Approved indications</w:t>
            </w:r>
          </w:p>
        </w:tc>
      </w:tr>
      <w:tr w:rsidR="00006FAB" w14:paraId="1442B89A" w14:textId="77777777" w:rsidTr="00A4695C">
        <w:tc>
          <w:tcPr>
            <w:tcW w:w="1345" w:type="dxa"/>
            <w:tcBorders>
              <w:top w:val="single" w:sz="4" w:space="0" w:color="auto"/>
            </w:tcBorders>
          </w:tcPr>
          <w:p w14:paraId="6903A04B" w14:textId="5F99E8C5" w:rsidR="00006FAB" w:rsidRPr="00A4695C" w:rsidRDefault="00446A8A" w:rsidP="00006FAB">
            <w:pPr>
              <w:ind w:left="0" w:right="0"/>
              <w:rPr>
                <w:sz w:val="20"/>
              </w:rPr>
            </w:pPr>
            <w:r w:rsidRPr="00A4695C">
              <w:rPr>
                <w:sz w:val="20"/>
              </w:rPr>
              <w:t>European Union</w:t>
            </w:r>
          </w:p>
        </w:tc>
        <w:tc>
          <w:tcPr>
            <w:tcW w:w="2070" w:type="dxa"/>
            <w:tcBorders>
              <w:top w:val="single" w:sz="4" w:space="0" w:color="auto"/>
            </w:tcBorders>
          </w:tcPr>
          <w:p w14:paraId="4B294672" w14:textId="357DD5F2" w:rsidR="00006FAB" w:rsidRPr="00A4695C" w:rsidRDefault="00446A8A" w:rsidP="00006FAB">
            <w:pPr>
              <w:ind w:left="0" w:right="0"/>
              <w:rPr>
                <w:sz w:val="20"/>
              </w:rPr>
            </w:pPr>
            <w:r w:rsidRPr="00A4695C">
              <w:rPr>
                <w:sz w:val="20"/>
              </w:rPr>
              <w:t>17 October 2018</w:t>
            </w:r>
          </w:p>
        </w:tc>
        <w:tc>
          <w:tcPr>
            <w:tcW w:w="2070" w:type="dxa"/>
            <w:tcBorders>
              <w:top w:val="single" w:sz="4" w:space="0" w:color="auto"/>
            </w:tcBorders>
          </w:tcPr>
          <w:p w14:paraId="09805E28" w14:textId="11D3B519" w:rsidR="00006FAB" w:rsidRPr="00A4695C" w:rsidRDefault="00446A8A" w:rsidP="00006FAB">
            <w:pPr>
              <w:ind w:left="0" w:right="0"/>
              <w:rPr>
                <w:sz w:val="20"/>
              </w:rPr>
            </w:pPr>
            <w:r w:rsidRPr="00A4695C">
              <w:rPr>
                <w:sz w:val="20"/>
              </w:rPr>
              <w:t>Approved on 3</w:t>
            </w:r>
            <w:r w:rsidR="00111473" w:rsidRPr="00A4695C">
              <w:rPr>
                <w:sz w:val="20"/>
              </w:rPr>
              <w:t> </w:t>
            </w:r>
            <w:r w:rsidRPr="00A4695C">
              <w:rPr>
                <w:sz w:val="20"/>
              </w:rPr>
              <w:t>September 2019</w:t>
            </w:r>
          </w:p>
        </w:tc>
        <w:tc>
          <w:tcPr>
            <w:tcW w:w="3330" w:type="dxa"/>
            <w:tcBorders>
              <w:top w:val="single" w:sz="4" w:space="0" w:color="auto"/>
            </w:tcBorders>
          </w:tcPr>
          <w:p w14:paraId="1CA8D6BC" w14:textId="6306B4D4" w:rsidR="00006FAB" w:rsidRPr="00A4695C" w:rsidRDefault="00446A8A" w:rsidP="00006FAB">
            <w:pPr>
              <w:ind w:left="0" w:right="0"/>
              <w:rPr>
                <w:i/>
                <w:iCs/>
                <w:sz w:val="20"/>
              </w:rPr>
            </w:pPr>
            <w:r w:rsidRPr="00A4695C">
              <w:rPr>
                <w:i/>
                <w:iCs/>
                <w:sz w:val="20"/>
              </w:rPr>
              <w:t xml:space="preserve">Lucentis is indicated in preterm infants for the treatment of retinopathy of prematurity (ROP) with </w:t>
            </w:r>
            <w:r w:rsidR="00194C3D" w:rsidRPr="00A4695C">
              <w:rPr>
                <w:i/>
                <w:iCs/>
                <w:sz w:val="20"/>
              </w:rPr>
              <w:t xml:space="preserve">Zone I </w:t>
            </w:r>
            <w:r w:rsidRPr="00A4695C">
              <w:rPr>
                <w:i/>
                <w:iCs/>
                <w:sz w:val="20"/>
              </w:rPr>
              <w:t>(</w:t>
            </w:r>
            <w:r w:rsidR="00194C3D" w:rsidRPr="00A4695C">
              <w:rPr>
                <w:i/>
                <w:iCs/>
                <w:sz w:val="20"/>
              </w:rPr>
              <w:t>Stage 1</w:t>
            </w:r>
            <w:r w:rsidRPr="00A4695C">
              <w:rPr>
                <w:i/>
                <w:iCs/>
                <w:sz w:val="20"/>
              </w:rPr>
              <w:t xml:space="preserve">+, 2+, 3 or 3+), </w:t>
            </w:r>
            <w:r w:rsidR="00194C3D" w:rsidRPr="00A4695C">
              <w:rPr>
                <w:i/>
                <w:iCs/>
                <w:sz w:val="20"/>
              </w:rPr>
              <w:t>Zone II</w:t>
            </w:r>
            <w:r w:rsidRPr="00A4695C">
              <w:rPr>
                <w:i/>
                <w:iCs/>
                <w:sz w:val="20"/>
              </w:rPr>
              <w:t xml:space="preserve"> (</w:t>
            </w:r>
            <w:r w:rsidR="00194C3D" w:rsidRPr="00A4695C">
              <w:rPr>
                <w:i/>
                <w:iCs/>
                <w:sz w:val="20"/>
              </w:rPr>
              <w:t>Stage 3</w:t>
            </w:r>
            <w:r w:rsidRPr="00A4695C">
              <w:rPr>
                <w:i/>
                <w:iCs/>
                <w:sz w:val="20"/>
              </w:rPr>
              <w:t>+) or APROP (aggressive posterior ROP) disease.</w:t>
            </w:r>
          </w:p>
        </w:tc>
      </w:tr>
      <w:tr w:rsidR="00006FAB" w14:paraId="4C7AFDD1" w14:textId="77777777" w:rsidTr="00A4695C">
        <w:tc>
          <w:tcPr>
            <w:tcW w:w="1345" w:type="dxa"/>
          </w:tcPr>
          <w:p w14:paraId="5EB0984D" w14:textId="3C7101D8" w:rsidR="00006FAB" w:rsidRPr="00A4695C" w:rsidRDefault="00446A8A" w:rsidP="00006FAB">
            <w:pPr>
              <w:ind w:left="0" w:right="0"/>
              <w:rPr>
                <w:sz w:val="20"/>
              </w:rPr>
            </w:pPr>
            <w:r w:rsidRPr="00A4695C">
              <w:rPr>
                <w:sz w:val="20"/>
              </w:rPr>
              <w:t>United Kingdom</w:t>
            </w:r>
          </w:p>
        </w:tc>
        <w:tc>
          <w:tcPr>
            <w:tcW w:w="2070" w:type="dxa"/>
          </w:tcPr>
          <w:p w14:paraId="37CFB031" w14:textId="598BE6B7" w:rsidR="00006FAB" w:rsidRPr="00A4695C" w:rsidRDefault="00446A8A" w:rsidP="00006FAB">
            <w:pPr>
              <w:ind w:left="0" w:right="0"/>
              <w:rPr>
                <w:sz w:val="20"/>
              </w:rPr>
            </w:pPr>
            <w:r w:rsidRPr="00A4695C">
              <w:rPr>
                <w:sz w:val="20"/>
              </w:rPr>
              <w:t>17 October 2018</w:t>
            </w:r>
          </w:p>
        </w:tc>
        <w:tc>
          <w:tcPr>
            <w:tcW w:w="2070" w:type="dxa"/>
          </w:tcPr>
          <w:p w14:paraId="35A7290F" w14:textId="01D72866" w:rsidR="00006FAB" w:rsidRPr="00A4695C" w:rsidRDefault="00446A8A" w:rsidP="00006FAB">
            <w:pPr>
              <w:ind w:left="0" w:right="0"/>
              <w:rPr>
                <w:sz w:val="20"/>
              </w:rPr>
            </w:pPr>
            <w:r w:rsidRPr="00A4695C">
              <w:rPr>
                <w:sz w:val="20"/>
              </w:rPr>
              <w:t>Approved on 3</w:t>
            </w:r>
            <w:r w:rsidR="00111473" w:rsidRPr="00A4695C">
              <w:rPr>
                <w:sz w:val="20"/>
              </w:rPr>
              <w:t> </w:t>
            </w:r>
            <w:r w:rsidRPr="00A4695C">
              <w:rPr>
                <w:sz w:val="20"/>
              </w:rPr>
              <w:t>September 2019</w:t>
            </w:r>
          </w:p>
        </w:tc>
        <w:tc>
          <w:tcPr>
            <w:tcW w:w="3330" w:type="dxa"/>
          </w:tcPr>
          <w:p w14:paraId="68DEF572" w14:textId="26CEFBDF" w:rsidR="00006FAB" w:rsidRPr="00A4695C" w:rsidRDefault="00446A8A" w:rsidP="00006FAB">
            <w:pPr>
              <w:ind w:left="0" w:right="0"/>
              <w:rPr>
                <w:i/>
                <w:iCs/>
                <w:sz w:val="20"/>
              </w:rPr>
            </w:pPr>
            <w:r w:rsidRPr="00A4695C">
              <w:rPr>
                <w:i/>
                <w:iCs/>
                <w:sz w:val="20"/>
              </w:rPr>
              <w:t xml:space="preserve">Lucentis is indicated in preterm infants for: the treatment of retinopathy of prematurity (ROP) with </w:t>
            </w:r>
            <w:r w:rsidR="00194C3D" w:rsidRPr="00A4695C">
              <w:rPr>
                <w:i/>
                <w:iCs/>
                <w:sz w:val="20"/>
              </w:rPr>
              <w:t xml:space="preserve">Zone I </w:t>
            </w:r>
            <w:r w:rsidRPr="00A4695C">
              <w:rPr>
                <w:i/>
                <w:iCs/>
                <w:sz w:val="20"/>
              </w:rPr>
              <w:t>(</w:t>
            </w:r>
            <w:r w:rsidR="00194C3D" w:rsidRPr="00A4695C">
              <w:rPr>
                <w:i/>
                <w:iCs/>
                <w:sz w:val="20"/>
              </w:rPr>
              <w:t>Stage 1</w:t>
            </w:r>
            <w:r w:rsidRPr="00A4695C">
              <w:rPr>
                <w:i/>
                <w:iCs/>
                <w:sz w:val="20"/>
              </w:rPr>
              <w:t xml:space="preserve">+, 2+, 3 or 3+), </w:t>
            </w:r>
            <w:r w:rsidR="00194C3D" w:rsidRPr="00A4695C">
              <w:rPr>
                <w:i/>
                <w:iCs/>
                <w:sz w:val="20"/>
              </w:rPr>
              <w:t>Zone II</w:t>
            </w:r>
            <w:r w:rsidRPr="00A4695C">
              <w:rPr>
                <w:i/>
                <w:iCs/>
                <w:sz w:val="20"/>
              </w:rPr>
              <w:t xml:space="preserve"> (</w:t>
            </w:r>
            <w:r w:rsidR="00194C3D" w:rsidRPr="00A4695C">
              <w:rPr>
                <w:i/>
                <w:iCs/>
                <w:sz w:val="20"/>
              </w:rPr>
              <w:t>Stage 3</w:t>
            </w:r>
            <w:r w:rsidRPr="00A4695C">
              <w:rPr>
                <w:i/>
                <w:iCs/>
                <w:sz w:val="20"/>
              </w:rPr>
              <w:t>+) or APROP (aggressive posterior ROP) disease.</w:t>
            </w:r>
          </w:p>
        </w:tc>
      </w:tr>
      <w:tr w:rsidR="00446A8A" w14:paraId="68CEF140" w14:textId="77777777" w:rsidTr="00A4695C">
        <w:tc>
          <w:tcPr>
            <w:tcW w:w="1345" w:type="dxa"/>
          </w:tcPr>
          <w:p w14:paraId="669ECA4D" w14:textId="223B213E" w:rsidR="00446A8A" w:rsidRPr="00A4695C" w:rsidRDefault="00446A8A" w:rsidP="00446A8A">
            <w:pPr>
              <w:ind w:left="0" w:right="0"/>
              <w:rPr>
                <w:sz w:val="20"/>
              </w:rPr>
            </w:pPr>
            <w:r w:rsidRPr="00A4695C">
              <w:rPr>
                <w:sz w:val="20"/>
              </w:rPr>
              <w:t>Japan</w:t>
            </w:r>
          </w:p>
        </w:tc>
        <w:tc>
          <w:tcPr>
            <w:tcW w:w="2070" w:type="dxa"/>
          </w:tcPr>
          <w:p w14:paraId="74C3C908" w14:textId="51771047" w:rsidR="00446A8A" w:rsidRPr="00A4695C" w:rsidRDefault="00446A8A" w:rsidP="00446A8A">
            <w:pPr>
              <w:ind w:left="0" w:right="0"/>
              <w:rPr>
                <w:sz w:val="20"/>
              </w:rPr>
            </w:pPr>
            <w:r w:rsidRPr="00A4695C">
              <w:rPr>
                <w:sz w:val="20"/>
              </w:rPr>
              <w:t>13 March 2019</w:t>
            </w:r>
          </w:p>
        </w:tc>
        <w:tc>
          <w:tcPr>
            <w:tcW w:w="2070" w:type="dxa"/>
          </w:tcPr>
          <w:p w14:paraId="160428AD" w14:textId="363579E4" w:rsidR="00446A8A" w:rsidRPr="00A4695C" w:rsidRDefault="00446A8A" w:rsidP="00446A8A">
            <w:pPr>
              <w:ind w:left="0" w:right="0"/>
              <w:rPr>
                <w:sz w:val="20"/>
              </w:rPr>
            </w:pPr>
            <w:r w:rsidRPr="00A4695C">
              <w:rPr>
                <w:sz w:val="20"/>
              </w:rPr>
              <w:t>Approved on 22 November</w:t>
            </w:r>
            <w:r w:rsidR="00111473" w:rsidRPr="00A4695C">
              <w:rPr>
                <w:sz w:val="20"/>
              </w:rPr>
              <w:t xml:space="preserve"> </w:t>
            </w:r>
            <w:r w:rsidRPr="00A4695C">
              <w:rPr>
                <w:sz w:val="20"/>
              </w:rPr>
              <w:t>2019</w:t>
            </w:r>
          </w:p>
        </w:tc>
        <w:tc>
          <w:tcPr>
            <w:tcW w:w="3330" w:type="dxa"/>
          </w:tcPr>
          <w:p w14:paraId="38993690" w14:textId="6B411C2F" w:rsidR="00446A8A" w:rsidRPr="00A4695C" w:rsidRDefault="00446A8A" w:rsidP="00446A8A">
            <w:pPr>
              <w:ind w:left="0" w:right="0"/>
              <w:rPr>
                <w:sz w:val="20"/>
              </w:rPr>
            </w:pPr>
            <w:r w:rsidRPr="00A4695C">
              <w:rPr>
                <w:i/>
                <w:iCs/>
                <w:sz w:val="20"/>
              </w:rPr>
              <w:t>Retinopathy of Prematurity (eligible patients as described in Clinical Trial section: - Zone I with Stage 1+, 2+, 3+, or Stage 3; - Zone II with Stage 3+ stage; - Aggressive posterior (AP)-ROP)</w:t>
            </w:r>
          </w:p>
        </w:tc>
      </w:tr>
      <w:tr w:rsidR="00446A8A" w14:paraId="0AFBE777" w14:textId="77777777" w:rsidTr="00A4695C">
        <w:tc>
          <w:tcPr>
            <w:tcW w:w="1345" w:type="dxa"/>
          </w:tcPr>
          <w:p w14:paraId="040E3E7E" w14:textId="7B81639B" w:rsidR="00446A8A" w:rsidRPr="00A4695C" w:rsidRDefault="00446A8A" w:rsidP="00446A8A">
            <w:pPr>
              <w:ind w:left="0" w:right="0"/>
              <w:rPr>
                <w:sz w:val="20"/>
              </w:rPr>
            </w:pPr>
            <w:r w:rsidRPr="00A4695C">
              <w:rPr>
                <w:sz w:val="20"/>
              </w:rPr>
              <w:t>Singapore</w:t>
            </w:r>
          </w:p>
        </w:tc>
        <w:tc>
          <w:tcPr>
            <w:tcW w:w="2070" w:type="dxa"/>
          </w:tcPr>
          <w:p w14:paraId="318010C3" w14:textId="2DD7321D" w:rsidR="00446A8A" w:rsidRPr="00A4695C" w:rsidRDefault="00446A8A" w:rsidP="00446A8A">
            <w:pPr>
              <w:ind w:left="0" w:right="0"/>
              <w:rPr>
                <w:sz w:val="20"/>
              </w:rPr>
            </w:pPr>
            <w:r w:rsidRPr="00A4695C">
              <w:rPr>
                <w:sz w:val="20"/>
              </w:rPr>
              <w:t>4 December 2018</w:t>
            </w:r>
          </w:p>
        </w:tc>
        <w:tc>
          <w:tcPr>
            <w:tcW w:w="2070" w:type="dxa"/>
          </w:tcPr>
          <w:p w14:paraId="190FCA08" w14:textId="33AA3F4E" w:rsidR="00446A8A" w:rsidRPr="00A4695C" w:rsidRDefault="00446A8A" w:rsidP="00446A8A">
            <w:pPr>
              <w:ind w:left="0" w:right="0"/>
              <w:rPr>
                <w:sz w:val="20"/>
              </w:rPr>
            </w:pPr>
            <w:r w:rsidRPr="00A4695C">
              <w:rPr>
                <w:sz w:val="20"/>
              </w:rPr>
              <w:t>Approved on 20 November 2020</w:t>
            </w:r>
          </w:p>
        </w:tc>
        <w:tc>
          <w:tcPr>
            <w:tcW w:w="3330" w:type="dxa"/>
          </w:tcPr>
          <w:p w14:paraId="0DC6496F" w14:textId="62542CFE" w:rsidR="00446A8A" w:rsidRPr="00A4695C" w:rsidRDefault="00446A8A" w:rsidP="00446A8A">
            <w:pPr>
              <w:ind w:left="0" w:right="0"/>
              <w:rPr>
                <w:sz w:val="20"/>
              </w:rPr>
            </w:pPr>
            <w:r w:rsidRPr="00A4695C">
              <w:rPr>
                <w:i/>
                <w:iCs/>
                <w:sz w:val="20"/>
              </w:rPr>
              <w:t>Lucentis is indicated in preterm infants for: the treatment of retinopathy of prematurity (ROP) with Zone I (</w:t>
            </w:r>
            <w:r w:rsidR="00194C3D" w:rsidRPr="00A4695C">
              <w:rPr>
                <w:i/>
                <w:iCs/>
                <w:sz w:val="20"/>
              </w:rPr>
              <w:t>Stage 1</w:t>
            </w:r>
            <w:r w:rsidRPr="00A4695C">
              <w:rPr>
                <w:i/>
                <w:iCs/>
                <w:sz w:val="20"/>
              </w:rPr>
              <w:t>+, 2+, 3 or 3+), Zone II (</w:t>
            </w:r>
            <w:r w:rsidR="00194C3D" w:rsidRPr="00A4695C">
              <w:rPr>
                <w:i/>
                <w:iCs/>
                <w:sz w:val="20"/>
              </w:rPr>
              <w:t>Stage 3</w:t>
            </w:r>
            <w:r w:rsidRPr="00A4695C">
              <w:rPr>
                <w:i/>
                <w:iCs/>
                <w:sz w:val="20"/>
              </w:rPr>
              <w:t>+) or APROP (aggressive posterior ROP) disease.</w:t>
            </w:r>
          </w:p>
        </w:tc>
      </w:tr>
      <w:tr w:rsidR="00446A8A" w:rsidRPr="00446A8A" w14:paraId="01007AF5" w14:textId="77777777" w:rsidTr="00A4695C">
        <w:tc>
          <w:tcPr>
            <w:tcW w:w="1345" w:type="dxa"/>
          </w:tcPr>
          <w:p w14:paraId="7AB3933D" w14:textId="4E34E7E7" w:rsidR="00446A8A" w:rsidRPr="00A4695C" w:rsidRDefault="00446A8A" w:rsidP="00446A8A">
            <w:pPr>
              <w:ind w:left="0" w:right="0"/>
              <w:rPr>
                <w:sz w:val="20"/>
              </w:rPr>
            </w:pPr>
            <w:r w:rsidRPr="00A4695C">
              <w:rPr>
                <w:sz w:val="20"/>
              </w:rPr>
              <w:lastRenderedPageBreak/>
              <w:t>Switzerland</w:t>
            </w:r>
          </w:p>
        </w:tc>
        <w:tc>
          <w:tcPr>
            <w:tcW w:w="2070" w:type="dxa"/>
          </w:tcPr>
          <w:p w14:paraId="5624872A" w14:textId="3C91F972" w:rsidR="00446A8A" w:rsidRPr="00A4695C" w:rsidRDefault="00446A8A" w:rsidP="00446A8A">
            <w:pPr>
              <w:ind w:left="0"/>
              <w:rPr>
                <w:sz w:val="20"/>
              </w:rPr>
            </w:pPr>
            <w:r w:rsidRPr="00A4695C">
              <w:rPr>
                <w:sz w:val="20"/>
              </w:rPr>
              <w:t>4 December</w:t>
            </w:r>
            <w:r w:rsidR="00111473" w:rsidRPr="00A4695C">
              <w:rPr>
                <w:sz w:val="20"/>
              </w:rPr>
              <w:t xml:space="preserve"> </w:t>
            </w:r>
            <w:r w:rsidRPr="00A4695C">
              <w:rPr>
                <w:sz w:val="20"/>
              </w:rPr>
              <w:t>2018</w:t>
            </w:r>
          </w:p>
        </w:tc>
        <w:tc>
          <w:tcPr>
            <w:tcW w:w="2070" w:type="dxa"/>
          </w:tcPr>
          <w:p w14:paraId="526247C6" w14:textId="54E1ACC3" w:rsidR="00446A8A" w:rsidRPr="00A4695C" w:rsidRDefault="00446A8A" w:rsidP="00446A8A">
            <w:pPr>
              <w:ind w:left="0"/>
              <w:rPr>
                <w:sz w:val="20"/>
              </w:rPr>
            </w:pPr>
            <w:r w:rsidRPr="00A4695C">
              <w:rPr>
                <w:sz w:val="20"/>
              </w:rPr>
              <w:t>Approved on 1 October 2020</w:t>
            </w:r>
          </w:p>
        </w:tc>
        <w:tc>
          <w:tcPr>
            <w:tcW w:w="3330" w:type="dxa"/>
          </w:tcPr>
          <w:p w14:paraId="1F6857E4" w14:textId="160D3194" w:rsidR="00446A8A" w:rsidRPr="00A4695C" w:rsidRDefault="00446A8A" w:rsidP="00446A8A">
            <w:pPr>
              <w:ind w:left="0"/>
              <w:rPr>
                <w:i/>
                <w:iCs/>
                <w:sz w:val="20"/>
              </w:rPr>
            </w:pPr>
            <w:r w:rsidRPr="00A4695C">
              <w:rPr>
                <w:i/>
                <w:iCs/>
                <w:sz w:val="20"/>
              </w:rPr>
              <w:t xml:space="preserve">Lucentis is indicated in preterm infants for the treatment of retinopathy of prematurity (ROP): ROP in </w:t>
            </w:r>
            <w:r w:rsidR="00194C3D" w:rsidRPr="00A4695C">
              <w:rPr>
                <w:i/>
                <w:iCs/>
                <w:sz w:val="20"/>
              </w:rPr>
              <w:t xml:space="preserve">Zone I </w:t>
            </w:r>
            <w:r w:rsidRPr="00A4695C">
              <w:rPr>
                <w:i/>
                <w:iCs/>
                <w:sz w:val="20"/>
              </w:rPr>
              <w:t>(</w:t>
            </w:r>
            <w:r w:rsidR="00194C3D" w:rsidRPr="00A4695C">
              <w:rPr>
                <w:i/>
                <w:iCs/>
                <w:sz w:val="20"/>
              </w:rPr>
              <w:t>Stage 1</w:t>
            </w:r>
            <w:r w:rsidRPr="00A4695C">
              <w:rPr>
                <w:i/>
                <w:iCs/>
                <w:sz w:val="20"/>
              </w:rPr>
              <w:t xml:space="preserve">+, 2+, 3 or 3+), </w:t>
            </w:r>
            <w:r w:rsidR="00194C3D" w:rsidRPr="00A4695C">
              <w:rPr>
                <w:i/>
                <w:iCs/>
                <w:sz w:val="20"/>
              </w:rPr>
              <w:t>Zone II</w:t>
            </w:r>
            <w:r w:rsidRPr="00A4695C">
              <w:rPr>
                <w:i/>
                <w:iCs/>
                <w:sz w:val="20"/>
              </w:rPr>
              <w:t xml:space="preserve"> (</w:t>
            </w:r>
            <w:r w:rsidR="00194C3D" w:rsidRPr="00A4695C">
              <w:rPr>
                <w:i/>
                <w:iCs/>
                <w:sz w:val="20"/>
              </w:rPr>
              <w:t>Stage 3</w:t>
            </w:r>
            <w:r w:rsidRPr="00A4695C">
              <w:rPr>
                <w:i/>
                <w:iCs/>
                <w:sz w:val="20"/>
              </w:rPr>
              <w:t>+) or APROP (aggressive posterior ROP).</w:t>
            </w:r>
          </w:p>
        </w:tc>
      </w:tr>
      <w:tr w:rsidR="00446A8A" w:rsidRPr="00446A8A" w14:paraId="12562E9A" w14:textId="77777777" w:rsidTr="00A4695C">
        <w:tc>
          <w:tcPr>
            <w:tcW w:w="1345" w:type="dxa"/>
          </w:tcPr>
          <w:p w14:paraId="3395BE97" w14:textId="2EF5EDE0" w:rsidR="00446A8A" w:rsidRPr="00A4695C" w:rsidRDefault="00446A8A" w:rsidP="00446A8A">
            <w:pPr>
              <w:ind w:left="0"/>
              <w:rPr>
                <w:sz w:val="20"/>
              </w:rPr>
            </w:pPr>
            <w:r w:rsidRPr="00A4695C">
              <w:rPr>
                <w:sz w:val="20"/>
              </w:rPr>
              <w:t>Canada</w:t>
            </w:r>
          </w:p>
        </w:tc>
        <w:tc>
          <w:tcPr>
            <w:tcW w:w="2070" w:type="dxa"/>
          </w:tcPr>
          <w:p w14:paraId="12BD68DF" w14:textId="2BB38052" w:rsidR="00446A8A" w:rsidRPr="00A4695C" w:rsidRDefault="00446A8A" w:rsidP="00446A8A">
            <w:pPr>
              <w:ind w:left="0"/>
              <w:rPr>
                <w:sz w:val="20"/>
              </w:rPr>
            </w:pPr>
            <w:r w:rsidRPr="00A4695C">
              <w:rPr>
                <w:sz w:val="20"/>
              </w:rPr>
              <w:t>November 2019</w:t>
            </w:r>
          </w:p>
        </w:tc>
        <w:tc>
          <w:tcPr>
            <w:tcW w:w="2070" w:type="dxa"/>
          </w:tcPr>
          <w:p w14:paraId="076CE777" w14:textId="204E8A61" w:rsidR="00446A8A" w:rsidRPr="00A4695C" w:rsidRDefault="00446A8A" w:rsidP="00446A8A">
            <w:pPr>
              <w:ind w:left="0"/>
              <w:rPr>
                <w:sz w:val="20"/>
              </w:rPr>
            </w:pPr>
            <w:r w:rsidRPr="00A4695C">
              <w:rPr>
                <w:sz w:val="20"/>
              </w:rPr>
              <w:t xml:space="preserve">Under consideration </w:t>
            </w:r>
          </w:p>
        </w:tc>
        <w:tc>
          <w:tcPr>
            <w:tcW w:w="3330" w:type="dxa"/>
          </w:tcPr>
          <w:p w14:paraId="77F87966" w14:textId="001F74BF" w:rsidR="00446A8A" w:rsidRPr="00A4695C" w:rsidRDefault="00446A8A" w:rsidP="00446A8A">
            <w:pPr>
              <w:ind w:left="0"/>
              <w:rPr>
                <w:i/>
                <w:iCs/>
                <w:sz w:val="20"/>
              </w:rPr>
            </w:pPr>
            <w:r w:rsidRPr="00A4695C">
              <w:rPr>
                <w:sz w:val="20"/>
              </w:rPr>
              <w:t>Under consideration</w:t>
            </w:r>
          </w:p>
        </w:tc>
      </w:tr>
    </w:tbl>
    <w:p w14:paraId="256807E1" w14:textId="1EBCC9E8" w:rsidR="008E7846" w:rsidRDefault="008E7846" w:rsidP="00940A89">
      <w:pPr>
        <w:pStyle w:val="Heading3"/>
      </w:pPr>
      <w:bookmarkStart w:id="20" w:name="_Toc131065556"/>
      <w:r>
        <w:t>Product Information</w:t>
      </w:r>
      <w:bookmarkEnd w:id="16"/>
      <w:bookmarkEnd w:id="17"/>
      <w:bookmarkEnd w:id="20"/>
    </w:p>
    <w:p w14:paraId="23030B1F" w14:textId="021F4F27" w:rsidR="00332715" w:rsidRDefault="00332715" w:rsidP="00332715">
      <w:bookmarkStart w:id="21" w:name="_Toc504480011"/>
      <w:bookmarkStart w:id="22" w:name="_Toc247691506"/>
      <w:bookmarkStart w:id="23" w:name="_Toc314842487"/>
      <w:r>
        <w:t xml:space="preserve">The Product Information (PI) approved with the submission which is described in this AusPAR can be found as Attachment 1. For the most recent PI, please refer to the TGA </w:t>
      </w:r>
      <w:hyperlink r:id="rId20" w:history="1">
        <w:r>
          <w:rPr>
            <w:rStyle w:val="Hyperlink"/>
          </w:rPr>
          <w:t>PI/CMI search facility</w:t>
        </w:r>
        <w:r w:rsidRPr="009556D7">
          <w:rPr>
            <w:rStyle w:val="Hyperlink"/>
            <w:color w:val="auto"/>
            <w:u w:val="none"/>
          </w:rPr>
          <w:t>.</w:t>
        </w:r>
      </w:hyperlink>
    </w:p>
    <w:p w14:paraId="77B4E08D" w14:textId="77777777" w:rsidR="00500337" w:rsidRDefault="00500337" w:rsidP="00500337">
      <w:pPr>
        <w:pStyle w:val="Heading2"/>
      </w:pPr>
      <w:bookmarkStart w:id="24" w:name="_Toc131065557"/>
      <w:r>
        <w:t>Registration timeline</w:t>
      </w:r>
      <w:bookmarkEnd w:id="21"/>
      <w:bookmarkEnd w:id="24"/>
    </w:p>
    <w:p w14:paraId="71176B3E" w14:textId="77777777" w:rsidR="0074163C" w:rsidRPr="00C93EC1" w:rsidRDefault="0074163C" w:rsidP="0074163C">
      <w:r w:rsidRPr="00C93EC1">
        <w:t xml:space="preserve">The following table captures the key steps and dates for this </w:t>
      </w:r>
      <w:r w:rsidR="00804D99">
        <w:t>submission</w:t>
      </w:r>
      <w:r w:rsidRPr="00C93EC1">
        <w:t>.</w:t>
      </w:r>
    </w:p>
    <w:p w14:paraId="4BF09E2E" w14:textId="1130FF56" w:rsidR="0074163C" w:rsidRPr="00FF2EB0" w:rsidRDefault="0074163C" w:rsidP="00FF2EB0">
      <w:pPr>
        <w:pStyle w:val="TableTitle"/>
      </w:pPr>
      <w:r>
        <w:t xml:space="preserve">Table </w:t>
      </w:r>
      <w:r w:rsidR="002D65F1">
        <w:fldChar w:fldCharType="begin"/>
      </w:r>
      <w:r w:rsidR="002D65F1">
        <w:instrText xml:space="preserve"> SEQ Table \* ARABIC </w:instrText>
      </w:r>
      <w:r w:rsidR="002D65F1">
        <w:fldChar w:fldCharType="separate"/>
      </w:r>
      <w:r w:rsidR="00B12C8C">
        <w:rPr>
          <w:noProof/>
        </w:rPr>
        <w:t>2</w:t>
      </w:r>
      <w:r w:rsidR="002D65F1">
        <w:rPr>
          <w:noProof/>
        </w:rPr>
        <w:fldChar w:fldCharType="end"/>
      </w:r>
      <w:r>
        <w:t>:</w:t>
      </w:r>
      <w:r w:rsidRPr="006A58A8">
        <w:t xml:space="preserve"> Timeline for Submission PM-20</w:t>
      </w:r>
      <w:r>
        <w:t>2</w:t>
      </w:r>
      <w:r w:rsidR="002033B9">
        <w:t>0-04187-1-5</w:t>
      </w:r>
    </w:p>
    <w:tbl>
      <w:tblPr>
        <w:tblStyle w:val="TableTGAblue"/>
        <w:tblW w:w="8815" w:type="dxa"/>
        <w:tblLook w:val="04A0" w:firstRow="1" w:lastRow="0" w:firstColumn="1" w:lastColumn="0" w:noHBand="0" w:noVBand="1"/>
      </w:tblPr>
      <w:tblGrid>
        <w:gridCol w:w="6025"/>
        <w:gridCol w:w="2790"/>
      </w:tblGrid>
      <w:tr w:rsidR="0074163C" w14:paraId="2FA6DAE6" w14:textId="77777777" w:rsidTr="00A4695C">
        <w:trPr>
          <w:cnfStyle w:val="100000000000" w:firstRow="1" w:lastRow="0" w:firstColumn="0" w:lastColumn="0" w:oddVBand="0" w:evenVBand="0" w:oddHBand="0" w:evenHBand="0" w:firstRowFirstColumn="0" w:firstRowLastColumn="0" w:lastRowFirstColumn="0" w:lastRowLastColumn="0"/>
        </w:trPr>
        <w:tc>
          <w:tcPr>
            <w:tcW w:w="6025" w:type="dxa"/>
            <w:tcBorders>
              <w:top w:val="single" w:sz="4" w:space="0" w:color="auto"/>
              <w:left w:val="single" w:sz="4" w:space="0" w:color="auto"/>
              <w:bottom w:val="single" w:sz="4" w:space="0" w:color="auto"/>
              <w:right w:val="single" w:sz="4" w:space="0" w:color="auto"/>
            </w:tcBorders>
          </w:tcPr>
          <w:p w14:paraId="68F12872" w14:textId="77777777" w:rsidR="0074163C" w:rsidRPr="00A4695C" w:rsidRDefault="0074163C" w:rsidP="009E5A87">
            <w:pPr>
              <w:rPr>
                <w:sz w:val="21"/>
              </w:rPr>
            </w:pPr>
            <w:r w:rsidRPr="00A4695C">
              <w:rPr>
                <w:sz w:val="21"/>
              </w:rPr>
              <w:t>Description</w:t>
            </w:r>
          </w:p>
        </w:tc>
        <w:tc>
          <w:tcPr>
            <w:tcW w:w="2790" w:type="dxa"/>
            <w:tcBorders>
              <w:top w:val="single" w:sz="4" w:space="0" w:color="auto"/>
              <w:left w:val="single" w:sz="4" w:space="0" w:color="auto"/>
              <w:bottom w:val="single" w:sz="4" w:space="0" w:color="auto"/>
              <w:right w:val="single" w:sz="4" w:space="0" w:color="auto"/>
            </w:tcBorders>
          </w:tcPr>
          <w:p w14:paraId="06A9802C" w14:textId="77777777" w:rsidR="0074163C" w:rsidRPr="00A4695C" w:rsidRDefault="0074163C" w:rsidP="009E5A87">
            <w:pPr>
              <w:rPr>
                <w:sz w:val="21"/>
              </w:rPr>
            </w:pPr>
            <w:r w:rsidRPr="00A4695C">
              <w:rPr>
                <w:sz w:val="21"/>
              </w:rPr>
              <w:t>Date</w:t>
            </w:r>
          </w:p>
        </w:tc>
      </w:tr>
      <w:tr w:rsidR="00401292" w14:paraId="4080D33E" w14:textId="77777777" w:rsidTr="00A4695C">
        <w:tc>
          <w:tcPr>
            <w:tcW w:w="6025" w:type="dxa"/>
            <w:tcBorders>
              <w:top w:val="single" w:sz="4" w:space="0" w:color="auto"/>
            </w:tcBorders>
          </w:tcPr>
          <w:p w14:paraId="1174AF17" w14:textId="09EB0E16" w:rsidR="00401292" w:rsidRPr="00A4695C" w:rsidRDefault="00401292" w:rsidP="009E5A87">
            <w:pPr>
              <w:rPr>
                <w:sz w:val="21"/>
              </w:rPr>
            </w:pPr>
            <w:r w:rsidRPr="00A4695C">
              <w:rPr>
                <w:sz w:val="21"/>
              </w:rPr>
              <w:t>Positive designation (Orphan)</w:t>
            </w:r>
          </w:p>
        </w:tc>
        <w:tc>
          <w:tcPr>
            <w:tcW w:w="2790" w:type="dxa"/>
            <w:tcBorders>
              <w:top w:val="single" w:sz="4" w:space="0" w:color="auto"/>
            </w:tcBorders>
          </w:tcPr>
          <w:p w14:paraId="446DB9E1" w14:textId="1450FA38" w:rsidR="00401292" w:rsidRPr="00A4695C" w:rsidRDefault="00401292" w:rsidP="009E5A87">
            <w:pPr>
              <w:rPr>
                <w:sz w:val="21"/>
              </w:rPr>
            </w:pPr>
            <w:r w:rsidRPr="00A4695C">
              <w:rPr>
                <w:sz w:val="21"/>
              </w:rPr>
              <w:t>31 July 2020</w:t>
            </w:r>
          </w:p>
        </w:tc>
      </w:tr>
      <w:tr w:rsidR="0074163C" w14:paraId="750DEEAC" w14:textId="77777777" w:rsidTr="00A4695C">
        <w:tc>
          <w:tcPr>
            <w:tcW w:w="6025" w:type="dxa"/>
            <w:tcBorders>
              <w:top w:val="single" w:sz="4" w:space="0" w:color="auto"/>
            </w:tcBorders>
          </w:tcPr>
          <w:p w14:paraId="2F2864E6" w14:textId="77777777" w:rsidR="0074163C" w:rsidRPr="00A4695C" w:rsidRDefault="0074163C" w:rsidP="009E5A87">
            <w:pPr>
              <w:rPr>
                <w:sz w:val="21"/>
              </w:rPr>
            </w:pPr>
            <w:r w:rsidRPr="00A4695C">
              <w:rPr>
                <w:sz w:val="21"/>
              </w:rPr>
              <w:t>Submission dossier accepted and first round evaluation commenced</w:t>
            </w:r>
          </w:p>
        </w:tc>
        <w:tc>
          <w:tcPr>
            <w:tcW w:w="2790" w:type="dxa"/>
            <w:tcBorders>
              <w:top w:val="single" w:sz="4" w:space="0" w:color="auto"/>
            </w:tcBorders>
          </w:tcPr>
          <w:p w14:paraId="3BB3A000" w14:textId="09E30E71" w:rsidR="0074163C" w:rsidRPr="00A4695C" w:rsidRDefault="002033B9" w:rsidP="009E5A87">
            <w:pPr>
              <w:rPr>
                <w:sz w:val="21"/>
              </w:rPr>
            </w:pPr>
            <w:r w:rsidRPr="00A4695C">
              <w:rPr>
                <w:sz w:val="21"/>
              </w:rPr>
              <w:t>30 September 2020</w:t>
            </w:r>
          </w:p>
        </w:tc>
      </w:tr>
      <w:tr w:rsidR="0074163C" w14:paraId="1F704676" w14:textId="77777777" w:rsidTr="00A4695C">
        <w:tc>
          <w:tcPr>
            <w:tcW w:w="6025" w:type="dxa"/>
          </w:tcPr>
          <w:p w14:paraId="328A320C" w14:textId="77777777" w:rsidR="0074163C" w:rsidRPr="00A4695C" w:rsidRDefault="0074163C" w:rsidP="009E5A87">
            <w:pPr>
              <w:rPr>
                <w:sz w:val="21"/>
              </w:rPr>
            </w:pPr>
            <w:r w:rsidRPr="00A4695C">
              <w:rPr>
                <w:sz w:val="21"/>
              </w:rPr>
              <w:t>First round evaluation completed</w:t>
            </w:r>
          </w:p>
        </w:tc>
        <w:tc>
          <w:tcPr>
            <w:tcW w:w="2790" w:type="dxa"/>
          </w:tcPr>
          <w:p w14:paraId="7AAED00C" w14:textId="462018BA" w:rsidR="0074163C" w:rsidRPr="00A4695C" w:rsidRDefault="002033B9" w:rsidP="009E5A87">
            <w:pPr>
              <w:rPr>
                <w:sz w:val="21"/>
              </w:rPr>
            </w:pPr>
            <w:r w:rsidRPr="00A4695C">
              <w:rPr>
                <w:sz w:val="21"/>
              </w:rPr>
              <w:t>22 February 2021</w:t>
            </w:r>
          </w:p>
        </w:tc>
      </w:tr>
      <w:tr w:rsidR="0074163C" w14:paraId="796F1E98" w14:textId="77777777" w:rsidTr="00A4695C">
        <w:tc>
          <w:tcPr>
            <w:tcW w:w="6025" w:type="dxa"/>
          </w:tcPr>
          <w:p w14:paraId="314BD823" w14:textId="77777777" w:rsidR="0074163C" w:rsidRPr="00A4695C" w:rsidRDefault="0074163C" w:rsidP="009E5A87">
            <w:pPr>
              <w:rPr>
                <w:sz w:val="21"/>
              </w:rPr>
            </w:pPr>
            <w:r w:rsidRPr="00A4695C">
              <w:rPr>
                <w:sz w:val="21"/>
              </w:rPr>
              <w:t>Sponsor provides responses on questions raised in first round evaluation</w:t>
            </w:r>
          </w:p>
        </w:tc>
        <w:tc>
          <w:tcPr>
            <w:tcW w:w="2790" w:type="dxa"/>
          </w:tcPr>
          <w:p w14:paraId="45AF8431" w14:textId="6B0B3A9B" w:rsidR="0074163C" w:rsidRPr="00A4695C" w:rsidRDefault="00F1182D" w:rsidP="009E5A87">
            <w:pPr>
              <w:rPr>
                <w:sz w:val="21"/>
              </w:rPr>
            </w:pPr>
            <w:r w:rsidRPr="00A4695C">
              <w:rPr>
                <w:sz w:val="21"/>
              </w:rPr>
              <w:t>21</w:t>
            </w:r>
            <w:r w:rsidR="002033B9" w:rsidRPr="00A4695C">
              <w:rPr>
                <w:sz w:val="21"/>
              </w:rPr>
              <w:t xml:space="preserve"> April 2021</w:t>
            </w:r>
          </w:p>
        </w:tc>
      </w:tr>
      <w:tr w:rsidR="0074163C" w14:paraId="0AE7A4BF" w14:textId="77777777" w:rsidTr="00A4695C">
        <w:tc>
          <w:tcPr>
            <w:tcW w:w="6025" w:type="dxa"/>
          </w:tcPr>
          <w:p w14:paraId="36F5A268" w14:textId="77777777" w:rsidR="0074163C" w:rsidRPr="00A4695C" w:rsidRDefault="0074163C" w:rsidP="009E5A87">
            <w:pPr>
              <w:rPr>
                <w:sz w:val="21"/>
              </w:rPr>
            </w:pPr>
            <w:r w:rsidRPr="00A4695C">
              <w:rPr>
                <w:sz w:val="21"/>
              </w:rPr>
              <w:t>Second round evaluation completed</w:t>
            </w:r>
          </w:p>
        </w:tc>
        <w:tc>
          <w:tcPr>
            <w:tcW w:w="2790" w:type="dxa"/>
          </w:tcPr>
          <w:p w14:paraId="08644CEC" w14:textId="6CACE9D1" w:rsidR="0074163C" w:rsidRPr="00A4695C" w:rsidRDefault="002033B9" w:rsidP="009E5A87">
            <w:pPr>
              <w:rPr>
                <w:sz w:val="21"/>
              </w:rPr>
            </w:pPr>
            <w:r w:rsidRPr="00A4695C">
              <w:rPr>
                <w:sz w:val="21"/>
              </w:rPr>
              <w:t>16 June 2021</w:t>
            </w:r>
          </w:p>
        </w:tc>
      </w:tr>
      <w:tr w:rsidR="0074163C" w14:paraId="62D866BE" w14:textId="77777777" w:rsidTr="00A4695C">
        <w:tc>
          <w:tcPr>
            <w:tcW w:w="6025" w:type="dxa"/>
          </w:tcPr>
          <w:p w14:paraId="73A7F0E6" w14:textId="3921CC9C" w:rsidR="0074163C" w:rsidRPr="00A4695C" w:rsidRDefault="0074163C" w:rsidP="009E5A87">
            <w:pPr>
              <w:rPr>
                <w:sz w:val="21"/>
              </w:rPr>
            </w:pPr>
            <w:r w:rsidRPr="00A4695C">
              <w:rPr>
                <w:sz w:val="21"/>
              </w:rPr>
              <w:t xml:space="preserve">Delegate’s Overall benefit-risk assessment and request for Advisory Committee advice </w:t>
            </w:r>
          </w:p>
        </w:tc>
        <w:tc>
          <w:tcPr>
            <w:tcW w:w="2790" w:type="dxa"/>
          </w:tcPr>
          <w:p w14:paraId="0CD1ACA1" w14:textId="0E67A496" w:rsidR="0074163C" w:rsidRPr="00A4695C" w:rsidRDefault="002033B9" w:rsidP="009E5A87">
            <w:pPr>
              <w:rPr>
                <w:sz w:val="21"/>
              </w:rPr>
            </w:pPr>
            <w:r w:rsidRPr="00A4695C">
              <w:rPr>
                <w:sz w:val="21"/>
              </w:rPr>
              <w:t>2 November 2021</w:t>
            </w:r>
          </w:p>
        </w:tc>
      </w:tr>
      <w:tr w:rsidR="0074163C" w14:paraId="2A140111" w14:textId="77777777" w:rsidTr="00A4695C">
        <w:tc>
          <w:tcPr>
            <w:tcW w:w="6025" w:type="dxa"/>
          </w:tcPr>
          <w:p w14:paraId="22EA6117" w14:textId="77777777" w:rsidR="0074163C" w:rsidRPr="00A4695C" w:rsidRDefault="0074163C" w:rsidP="009E5A87">
            <w:pPr>
              <w:rPr>
                <w:sz w:val="21"/>
              </w:rPr>
            </w:pPr>
            <w:r w:rsidRPr="00A4695C">
              <w:rPr>
                <w:sz w:val="21"/>
              </w:rPr>
              <w:t>Sponsor’s pre-Advisory Committee response</w:t>
            </w:r>
          </w:p>
        </w:tc>
        <w:tc>
          <w:tcPr>
            <w:tcW w:w="2790" w:type="dxa"/>
          </w:tcPr>
          <w:p w14:paraId="149B6F92" w14:textId="7583F539" w:rsidR="0074163C" w:rsidRPr="00A4695C" w:rsidRDefault="002033B9" w:rsidP="009E5A87">
            <w:pPr>
              <w:rPr>
                <w:sz w:val="21"/>
              </w:rPr>
            </w:pPr>
            <w:r w:rsidRPr="00A4695C">
              <w:rPr>
                <w:sz w:val="21"/>
              </w:rPr>
              <w:t>16 November 2021</w:t>
            </w:r>
          </w:p>
        </w:tc>
      </w:tr>
      <w:tr w:rsidR="0074163C" w14:paraId="1BE2B653" w14:textId="77777777" w:rsidTr="00A4695C">
        <w:tc>
          <w:tcPr>
            <w:tcW w:w="6025" w:type="dxa"/>
          </w:tcPr>
          <w:p w14:paraId="5C79B886" w14:textId="77777777" w:rsidR="0074163C" w:rsidRPr="00A4695C" w:rsidRDefault="0074163C" w:rsidP="009E5A87">
            <w:pPr>
              <w:rPr>
                <w:sz w:val="21"/>
              </w:rPr>
            </w:pPr>
            <w:r w:rsidRPr="00A4695C">
              <w:rPr>
                <w:sz w:val="21"/>
              </w:rPr>
              <w:t>Advisory Committee meeting</w:t>
            </w:r>
          </w:p>
        </w:tc>
        <w:tc>
          <w:tcPr>
            <w:tcW w:w="2790" w:type="dxa"/>
          </w:tcPr>
          <w:p w14:paraId="44A8D43B" w14:textId="478D5603" w:rsidR="0074163C" w:rsidRPr="00A4695C" w:rsidRDefault="002033B9" w:rsidP="009E5A87">
            <w:pPr>
              <w:rPr>
                <w:sz w:val="21"/>
              </w:rPr>
            </w:pPr>
            <w:r w:rsidRPr="00A4695C">
              <w:rPr>
                <w:sz w:val="21"/>
              </w:rPr>
              <w:t>2 December 2021</w:t>
            </w:r>
          </w:p>
        </w:tc>
      </w:tr>
      <w:tr w:rsidR="002033B9" w14:paraId="5E17D8CE" w14:textId="77777777" w:rsidTr="00A4695C">
        <w:tc>
          <w:tcPr>
            <w:tcW w:w="6025" w:type="dxa"/>
          </w:tcPr>
          <w:p w14:paraId="63794E4A" w14:textId="77777777" w:rsidR="002033B9" w:rsidRPr="00A4695C" w:rsidRDefault="002033B9" w:rsidP="002033B9">
            <w:pPr>
              <w:rPr>
                <w:sz w:val="21"/>
              </w:rPr>
            </w:pPr>
            <w:r w:rsidRPr="00A4695C">
              <w:rPr>
                <w:sz w:val="21"/>
              </w:rPr>
              <w:t>Registration decision (Outcome)</w:t>
            </w:r>
          </w:p>
        </w:tc>
        <w:tc>
          <w:tcPr>
            <w:tcW w:w="2790" w:type="dxa"/>
          </w:tcPr>
          <w:p w14:paraId="3FBD594E" w14:textId="3819B6C6" w:rsidR="002033B9" w:rsidRPr="00A4695C" w:rsidRDefault="002033B9" w:rsidP="002033B9">
            <w:pPr>
              <w:rPr>
                <w:sz w:val="21"/>
              </w:rPr>
            </w:pPr>
            <w:r w:rsidRPr="00A4695C">
              <w:rPr>
                <w:sz w:val="21"/>
              </w:rPr>
              <w:t>2 February 2022</w:t>
            </w:r>
          </w:p>
        </w:tc>
      </w:tr>
      <w:tr w:rsidR="002033B9" w14:paraId="48C01E3E" w14:textId="77777777" w:rsidTr="00A4695C">
        <w:tc>
          <w:tcPr>
            <w:tcW w:w="6025" w:type="dxa"/>
          </w:tcPr>
          <w:p w14:paraId="53E53E03" w14:textId="77777777" w:rsidR="002033B9" w:rsidRPr="00A4695C" w:rsidRDefault="002033B9" w:rsidP="002033B9">
            <w:pPr>
              <w:rPr>
                <w:sz w:val="21"/>
              </w:rPr>
            </w:pPr>
            <w:r w:rsidRPr="00A4695C">
              <w:rPr>
                <w:sz w:val="21"/>
              </w:rPr>
              <w:t>Completion of administrative activities and registration on the ARTG</w:t>
            </w:r>
          </w:p>
        </w:tc>
        <w:tc>
          <w:tcPr>
            <w:tcW w:w="2790" w:type="dxa"/>
          </w:tcPr>
          <w:p w14:paraId="1C88D781" w14:textId="4D85A125" w:rsidR="002033B9" w:rsidRPr="00A4695C" w:rsidRDefault="002033B9" w:rsidP="002033B9">
            <w:pPr>
              <w:rPr>
                <w:sz w:val="21"/>
              </w:rPr>
            </w:pPr>
            <w:r w:rsidRPr="00A4695C">
              <w:rPr>
                <w:sz w:val="21"/>
              </w:rPr>
              <w:t>7 February 2022</w:t>
            </w:r>
          </w:p>
        </w:tc>
      </w:tr>
      <w:tr w:rsidR="0074163C" w14:paraId="31F99683" w14:textId="77777777" w:rsidTr="00A4695C">
        <w:tc>
          <w:tcPr>
            <w:tcW w:w="6025" w:type="dxa"/>
          </w:tcPr>
          <w:p w14:paraId="0D551B13" w14:textId="77777777" w:rsidR="0074163C" w:rsidRPr="00A4695C" w:rsidRDefault="0074163C" w:rsidP="009E5A87">
            <w:pPr>
              <w:rPr>
                <w:sz w:val="21"/>
              </w:rPr>
            </w:pPr>
            <w:r w:rsidRPr="00A4695C">
              <w:rPr>
                <w:sz w:val="21"/>
              </w:rPr>
              <w:t>Number of working days from submission dossier acceptance to registration decision*</w:t>
            </w:r>
          </w:p>
        </w:tc>
        <w:tc>
          <w:tcPr>
            <w:tcW w:w="2790" w:type="dxa"/>
          </w:tcPr>
          <w:p w14:paraId="14FC669F" w14:textId="34C64F3B" w:rsidR="0074163C" w:rsidRPr="00A4695C" w:rsidRDefault="002033B9" w:rsidP="009E5A87">
            <w:pPr>
              <w:rPr>
                <w:sz w:val="21"/>
              </w:rPr>
            </w:pPr>
            <w:r w:rsidRPr="00A4695C">
              <w:rPr>
                <w:sz w:val="21"/>
              </w:rPr>
              <w:t>198</w:t>
            </w:r>
          </w:p>
        </w:tc>
      </w:tr>
    </w:tbl>
    <w:p w14:paraId="4F0FF4A2" w14:textId="322C4D94"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1583820E" w14:textId="14125F58" w:rsidR="009E065A" w:rsidRPr="009E065A" w:rsidRDefault="009E065A" w:rsidP="00A4695C">
      <w:pPr>
        <w:spacing w:before="0" w:after="200" w:line="0" w:lineRule="auto"/>
      </w:pPr>
      <w:r>
        <w:br w:type="page"/>
      </w:r>
    </w:p>
    <w:p w14:paraId="1A54CD54" w14:textId="550EF15E" w:rsidR="008E7846" w:rsidRPr="00792A32" w:rsidRDefault="00006FAB" w:rsidP="00401292">
      <w:pPr>
        <w:pStyle w:val="Heading2"/>
      </w:pPr>
      <w:bookmarkStart w:id="25" w:name="_Toc196046504"/>
      <w:bookmarkStart w:id="26" w:name="_Toc247691527"/>
      <w:bookmarkStart w:id="27" w:name="_Toc314842510"/>
      <w:bookmarkStart w:id="28" w:name="_Toc131065558"/>
      <w:bookmarkStart w:id="29" w:name="_Toc163441390"/>
      <w:bookmarkEnd w:id="22"/>
      <w:bookmarkEnd w:id="23"/>
      <w:bookmarkEnd w:id="1"/>
      <w:r w:rsidRPr="00006FAB">
        <w:lastRenderedPageBreak/>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5"/>
      <w:bookmarkEnd w:id="26"/>
      <w:bookmarkEnd w:id="27"/>
      <w:bookmarkEnd w:id="28"/>
    </w:p>
    <w:p w14:paraId="4255CDDB" w14:textId="77777777" w:rsidR="005A79F5" w:rsidRDefault="005A79F5" w:rsidP="00BF34AC">
      <w:pPr>
        <w:rPr>
          <w:i/>
        </w:rPr>
      </w:pPr>
      <w:bookmarkStart w:id="30" w:name="_Toc247691528"/>
      <w:bookmarkStart w:id="31" w:name="_Toc314842511"/>
      <w:r w:rsidRPr="005A79F5">
        <w:t>A summary of the TGA’s assessment for this submission is provided below</w:t>
      </w:r>
      <w:r>
        <w:t>.</w:t>
      </w:r>
    </w:p>
    <w:p w14:paraId="00482ED5" w14:textId="77777777" w:rsidR="008E7846" w:rsidRDefault="008E7846" w:rsidP="008E7846">
      <w:pPr>
        <w:pStyle w:val="Heading3"/>
      </w:pPr>
      <w:bookmarkStart w:id="32" w:name="_Toc131065559"/>
      <w:r>
        <w:t>Quality</w:t>
      </w:r>
      <w:bookmarkEnd w:id="30"/>
      <w:bookmarkEnd w:id="31"/>
      <w:bookmarkEnd w:id="32"/>
    </w:p>
    <w:p w14:paraId="5333852C" w14:textId="681BBB56" w:rsidR="002033B9" w:rsidRDefault="002033B9" w:rsidP="0074163C">
      <w:r w:rsidRPr="002033B9">
        <w:t xml:space="preserve">There was no requirement for a </w:t>
      </w:r>
      <w:r>
        <w:t>quality</w:t>
      </w:r>
      <w:r w:rsidRPr="002033B9">
        <w:t xml:space="preserve"> evaluation for this submission.</w:t>
      </w:r>
      <w:r w:rsidR="00561C00">
        <w:t xml:space="preserve"> The quality of the currently approved product was deemed appropriate for the extension of indication.</w:t>
      </w:r>
    </w:p>
    <w:p w14:paraId="2C28DDC7" w14:textId="77777777" w:rsidR="008E7846" w:rsidRDefault="008E7846" w:rsidP="008E7846">
      <w:pPr>
        <w:pStyle w:val="Heading3"/>
      </w:pPr>
      <w:bookmarkStart w:id="33" w:name="_Toc314842512"/>
      <w:bookmarkStart w:id="34" w:name="_Toc131065560"/>
      <w:r>
        <w:t>Nonclinical</w:t>
      </w:r>
      <w:bookmarkEnd w:id="33"/>
      <w:bookmarkEnd w:id="34"/>
    </w:p>
    <w:p w14:paraId="0DC6B5FE" w14:textId="10B7D02F" w:rsidR="002033B9" w:rsidRDefault="002033B9" w:rsidP="002033B9">
      <w:pPr>
        <w:rPr>
          <w:b/>
          <w:bCs/>
        </w:rPr>
      </w:pPr>
      <w:bookmarkStart w:id="35" w:name="_Toc247691530"/>
      <w:bookmarkStart w:id="36" w:name="_Toc314842513"/>
      <w:r w:rsidRPr="002033B9">
        <w:t xml:space="preserve">There was no requirement for </w:t>
      </w:r>
      <w:r w:rsidR="00FF2EB0">
        <w:t>a non-clinical</w:t>
      </w:r>
      <w:r w:rsidRPr="002033B9">
        <w:t xml:space="preserve"> evaluation for this submission.</w:t>
      </w:r>
    </w:p>
    <w:p w14:paraId="65F88775" w14:textId="56015FD8" w:rsidR="008E7846" w:rsidRDefault="008E7846" w:rsidP="008E7846">
      <w:pPr>
        <w:pStyle w:val="Heading3"/>
      </w:pPr>
      <w:bookmarkStart w:id="37" w:name="_Toc131065561"/>
      <w:r>
        <w:t>Clinical</w:t>
      </w:r>
      <w:bookmarkEnd w:id="35"/>
      <w:bookmarkEnd w:id="36"/>
      <w:bookmarkEnd w:id="37"/>
    </w:p>
    <w:p w14:paraId="3D37723C" w14:textId="563D55E1" w:rsidR="0074163C" w:rsidRDefault="0074163C" w:rsidP="0074163C">
      <w:pPr>
        <w:pStyle w:val="Heading4"/>
      </w:pPr>
      <w:bookmarkStart w:id="38" w:name="_Toc98931928"/>
      <w:r>
        <w:t>Summary of clinical studies</w:t>
      </w:r>
      <w:bookmarkEnd w:id="38"/>
    </w:p>
    <w:p w14:paraId="6E3F5BC4" w14:textId="7FF90DC2" w:rsidR="00C9389D" w:rsidRDefault="002033B9" w:rsidP="002033B9">
      <w:r w:rsidRPr="002033B9">
        <w:t>There are no new pharmacokinetic (PK) data provided in this submission.</w:t>
      </w:r>
      <w:r w:rsidR="0003659F">
        <w:t xml:space="preserve"> </w:t>
      </w:r>
      <w:r w:rsidR="00C9389D">
        <w:t xml:space="preserve">In the previous </w:t>
      </w:r>
      <w:r w:rsidR="008C54AF">
        <w:t xml:space="preserve">(and </w:t>
      </w:r>
      <w:r w:rsidR="00C9389D">
        <w:t>withdrawn</w:t>
      </w:r>
      <w:r w:rsidR="008C54AF">
        <w:t>)</w:t>
      </w:r>
      <w:r w:rsidR="00C9389D">
        <w:t xml:space="preserve"> submission</w:t>
      </w:r>
      <w:r w:rsidR="008C54AF">
        <w:t>;</w:t>
      </w:r>
      <w:r w:rsidR="00561C00">
        <w:fldChar w:fldCharType="begin"/>
      </w:r>
      <w:r w:rsidR="00561C00">
        <w:instrText xml:space="preserve"> NOTEREF _Ref130543014 \f \h </w:instrText>
      </w:r>
      <w:r w:rsidR="00561C00">
        <w:fldChar w:fldCharType="separate"/>
      </w:r>
      <w:r w:rsidR="008C54AF" w:rsidRPr="005004A3">
        <w:rPr>
          <w:rStyle w:val="FootnoteReference"/>
        </w:rPr>
        <w:t>9</w:t>
      </w:r>
      <w:r w:rsidR="00561C00">
        <w:fldChar w:fldCharType="end"/>
      </w:r>
      <w:r w:rsidR="00561C00">
        <w:t xml:space="preserve"> </w:t>
      </w:r>
      <w:r w:rsidR="00C9389D">
        <w:t>the clinical dossier consisted of two studies:</w:t>
      </w:r>
    </w:p>
    <w:p w14:paraId="43C175E9" w14:textId="42769872" w:rsidR="00830AAB" w:rsidRDefault="00B1395F" w:rsidP="00830AAB">
      <w:pPr>
        <w:pStyle w:val="ListBullet"/>
      </w:pPr>
      <w:r>
        <w:t>Study H2301</w:t>
      </w:r>
      <w:r w:rsidR="00830AAB">
        <w:t xml:space="preserve"> (RAINBOW trial)</w:t>
      </w:r>
      <w:r w:rsidR="000B6CCB">
        <w:t>:</w:t>
      </w:r>
      <w:r w:rsidR="00830AAB">
        <w:t xml:space="preserve"> </w:t>
      </w:r>
      <w:r w:rsidR="000B6CCB" w:rsidRPr="000B6CCB">
        <w:t>R</w:t>
      </w:r>
      <w:r w:rsidR="000B6CCB">
        <w:t>a</w:t>
      </w:r>
      <w:r w:rsidR="000B6CCB" w:rsidRPr="000B6CCB">
        <w:t xml:space="preserve">nibizumab </w:t>
      </w:r>
      <w:r w:rsidR="000B6CCB">
        <w:t>c</w:t>
      </w:r>
      <w:r w:rsidR="000B6CCB" w:rsidRPr="000B6CCB">
        <w:t xml:space="preserve">ompared </w:t>
      </w:r>
      <w:r w:rsidR="000B6CCB">
        <w:t>w</w:t>
      </w:r>
      <w:r w:rsidR="000B6CCB" w:rsidRPr="000B6CCB">
        <w:t xml:space="preserve">ith </w:t>
      </w:r>
      <w:r w:rsidR="000B6CCB">
        <w:t>l</w:t>
      </w:r>
      <w:r w:rsidR="000B6CCB" w:rsidRPr="000B6CCB">
        <w:t xml:space="preserve">aser </w:t>
      </w:r>
      <w:r w:rsidR="000B6CCB">
        <w:t>t</w:t>
      </w:r>
      <w:r w:rsidR="000B6CCB" w:rsidRPr="000B6CCB">
        <w:t xml:space="preserve">herapy for the </w:t>
      </w:r>
      <w:r w:rsidR="000B6CCB">
        <w:t>t</w:t>
      </w:r>
      <w:r w:rsidR="000B6CCB" w:rsidRPr="000B6CCB">
        <w:t xml:space="preserve">reatment of </w:t>
      </w:r>
      <w:r w:rsidR="000B6CCB">
        <w:t>in</w:t>
      </w:r>
      <w:r w:rsidR="000B6CCB" w:rsidRPr="000B6CCB">
        <w:t xml:space="preserve">fants </w:t>
      </w:r>
      <w:r w:rsidR="000B6CCB">
        <w:t>bo</w:t>
      </w:r>
      <w:r w:rsidR="000B6CCB" w:rsidRPr="000B6CCB">
        <w:t xml:space="preserve">rn </w:t>
      </w:r>
      <w:r w:rsidR="000B6CCB">
        <w:t>p</w:t>
      </w:r>
      <w:r w:rsidR="000B6CCB" w:rsidRPr="000B6CCB">
        <w:t xml:space="preserve">rematurely </w:t>
      </w:r>
      <w:r w:rsidR="000B6CCB">
        <w:t>w</w:t>
      </w:r>
      <w:r w:rsidR="000B6CCB" w:rsidRPr="000B6CCB">
        <w:t xml:space="preserve">ith </w:t>
      </w:r>
      <w:r w:rsidR="000B6CCB">
        <w:t>r</w:t>
      </w:r>
      <w:r w:rsidR="000B6CCB" w:rsidRPr="000B6CCB">
        <w:t xml:space="preserve">etinopathy of </w:t>
      </w:r>
      <w:r w:rsidR="000B6CCB">
        <w:t>p</w:t>
      </w:r>
      <w:r w:rsidR="000B6CCB" w:rsidRPr="000B6CCB">
        <w:t>rematurity</w:t>
      </w:r>
      <w:r w:rsidR="000B6CCB">
        <w:t xml:space="preserve">. This was a </w:t>
      </w:r>
      <w:r w:rsidR="00830AAB">
        <w:t>pivotal Phase III stud</w:t>
      </w:r>
      <w:r w:rsidR="000B6CCB">
        <w:t>y.</w:t>
      </w:r>
      <w:r w:rsidR="008C54AF">
        <w:rPr>
          <w:rStyle w:val="FootnoteReference"/>
        </w:rPr>
        <w:footnoteReference w:id="10"/>
      </w:r>
    </w:p>
    <w:p w14:paraId="36D26D42" w14:textId="4F28D615" w:rsidR="00830AAB" w:rsidRDefault="00B1395F" w:rsidP="00830AAB">
      <w:pPr>
        <w:pStyle w:val="ListBullet"/>
      </w:pPr>
      <w:r>
        <w:t>Study H2301</w:t>
      </w:r>
      <w:r w:rsidR="00830AAB" w:rsidRPr="00E520B2">
        <w:t xml:space="preserve">E1 </w:t>
      </w:r>
      <w:r w:rsidR="00830AAB">
        <w:t>(</w:t>
      </w:r>
      <w:r w:rsidR="00830AAB" w:rsidRPr="00E520B2">
        <w:t xml:space="preserve">RAINBOW </w:t>
      </w:r>
      <w:r w:rsidR="00830AAB">
        <w:t>e</w:t>
      </w:r>
      <w:r w:rsidR="00830AAB" w:rsidRPr="00E520B2">
        <w:t xml:space="preserve">xtension </w:t>
      </w:r>
      <w:r w:rsidR="00830AAB">
        <w:t>trial)</w:t>
      </w:r>
      <w:r w:rsidR="000B6CCB">
        <w:t xml:space="preserve">: </w:t>
      </w:r>
      <w:r w:rsidR="000B6CCB" w:rsidRPr="000B6CCB">
        <w:t xml:space="preserve">An </w:t>
      </w:r>
      <w:r w:rsidR="000B6CCB">
        <w:t>e</w:t>
      </w:r>
      <w:r w:rsidR="000B6CCB" w:rsidRPr="000B6CCB">
        <w:t xml:space="preserve">xtension </w:t>
      </w:r>
      <w:r w:rsidR="000B6CCB">
        <w:t>s</w:t>
      </w:r>
      <w:r w:rsidR="000B6CCB" w:rsidRPr="000B6CCB">
        <w:t xml:space="preserve">tudy to </w:t>
      </w:r>
      <w:r w:rsidR="000B6CCB">
        <w:t>e</w:t>
      </w:r>
      <w:r w:rsidR="000B6CCB" w:rsidRPr="000B6CCB">
        <w:t xml:space="preserve">valuate the </w:t>
      </w:r>
      <w:r w:rsidR="00E311F3">
        <w:t>l</w:t>
      </w:r>
      <w:r w:rsidR="00E311F3" w:rsidRPr="000B6CCB">
        <w:t>ong-term</w:t>
      </w:r>
      <w:r w:rsidR="000B6CCB" w:rsidRPr="000B6CCB">
        <w:t xml:space="preserve"> </w:t>
      </w:r>
      <w:r w:rsidR="000B6CCB">
        <w:t>e</w:t>
      </w:r>
      <w:r w:rsidR="000B6CCB" w:rsidRPr="000B6CCB">
        <w:t xml:space="preserve">fficacy and </w:t>
      </w:r>
      <w:r w:rsidR="000B6CCB">
        <w:t>s</w:t>
      </w:r>
      <w:r w:rsidR="000B6CCB" w:rsidRPr="000B6CCB">
        <w:t xml:space="preserve">afety of </w:t>
      </w:r>
      <w:r w:rsidR="000B6CCB">
        <w:t>ra</w:t>
      </w:r>
      <w:r w:rsidR="000B6CCB" w:rsidRPr="000B6CCB">
        <w:t xml:space="preserve">nibizumab </w:t>
      </w:r>
      <w:r w:rsidR="000B6CCB">
        <w:t>c</w:t>
      </w:r>
      <w:r w:rsidR="000B6CCB" w:rsidRPr="000B6CCB">
        <w:t xml:space="preserve">ompared </w:t>
      </w:r>
      <w:r w:rsidR="000B6CCB">
        <w:t>w</w:t>
      </w:r>
      <w:r w:rsidR="000B6CCB" w:rsidRPr="000B6CCB">
        <w:t xml:space="preserve">ith </w:t>
      </w:r>
      <w:r w:rsidR="000B6CCB">
        <w:t>l</w:t>
      </w:r>
      <w:r w:rsidR="000B6CCB" w:rsidRPr="000B6CCB">
        <w:t xml:space="preserve">aser </w:t>
      </w:r>
      <w:r w:rsidR="000B6CCB">
        <w:t>t</w:t>
      </w:r>
      <w:r w:rsidR="000B6CCB" w:rsidRPr="000B6CCB">
        <w:t xml:space="preserve">herapy for the </w:t>
      </w:r>
      <w:r w:rsidR="000B6CCB">
        <w:t>t</w:t>
      </w:r>
      <w:r w:rsidR="000B6CCB" w:rsidRPr="000B6CCB">
        <w:t xml:space="preserve">reatment of </w:t>
      </w:r>
      <w:r w:rsidR="000B6CCB">
        <w:t>in</w:t>
      </w:r>
      <w:r w:rsidR="000B6CCB" w:rsidRPr="000B6CCB">
        <w:t xml:space="preserve">fants </w:t>
      </w:r>
      <w:r w:rsidR="000B6CCB">
        <w:t>bo</w:t>
      </w:r>
      <w:r w:rsidR="000B6CCB" w:rsidRPr="000B6CCB">
        <w:t xml:space="preserve">rn </w:t>
      </w:r>
      <w:r w:rsidR="000B6CCB">
        <w:t>p</w:t>
      </w:r>
      <w:r w:rsidR="000B6CCB" w:rsidRPr="000B6CCB">
        <w:t xml:space="preserve">rematurely </w:t>
      </w:r>
      <w:r w:rsidR="000B6CCB">
        <w:t>w</w:t>
      </w:r>
      <w:r w:rsidR="000B6CCB" w:rsidRPr="000B6CCB">
        <w:t xml:space="preserve">ith </w:t>
      </w:r>
      <w:r w:rsidR="000B6CCB">
        <w:t>r</w:t>
      </w:r>
      <w:r w:rsidR="000B6CCB" w:rsidRPr="000B6CCB">
        <w:t xml:space="preserve">etinopathy of </w:t>
      </w:r>
      <w:r w:rsidR="000B6CCB">
        <w:t>p</w:t>
      </w:r>
      <w:r w:rsidR="000B6CCB" w:rsidRPr="000B6CCB">
        <w:t>rematurity</w:t>
      </w:r>
      <w:r w:rsidR="000B6CCB">
        <w:t xml:space="preserve">. </w:t>
      </w:r>
      <w:r w:rsidR="00830AAB">
        <w:t>Only the first interim results were submitted.</w:t>
      </w:r>
      <w:r w:rsidR="008C54AF">
        <w:rPr>
          <w:rStyle w:val="FootnoteReference"/>
        </w:rPr>
        <w:footnoteReference w:id="11"/>
      </w:r>
    </w:p>
    <w:p w14:paraId="10FE4C0E" w14:textId="664E205A" w:rsidR="00E520B2" w:rsidRDefault="00830AAB" w:rsidP="00C9389D">
      <w:pPr>
        <w:pStyle w:val="ListBullet"/>
        <w:numPr>
          <w:ilvl w:val="0"/>
          <w:numId w:val="0"/>
        </w:numPr>
      </w:pPr>
      <w:r>
        <w:t>In this submission, a</w:t>
      </w:r>
      <w:r w:rsidR="00E520B2">
        <w:t xml:space="preserve"> new second pre-defined </w:t>
      </w:r>
      <w:proofErr w:type="gramStart"/>
      <w:r w:rsidR="00C9389D">
        <w:t>2 year</w:t>
      </w:r>
      <w:proofErr w:type="gramEnd"/>
      <w:r w:rsidR="00C9389D">
        <w:t xml:space="preserve"> safety data </w:t>
      </w:r>
      <w:r w:rsidR="00E520B2">
        <w:t>interim analysis</w:t>
      </w:r>
      <w:r w:rsidR="00561C00">
        <w:t xml:space="preserve"> (IA)</w:t>
      </w:r>
      <w:r w:rsidR="00C9389D">
        <w:t xml:space="preserve"> is provided for the RAINBOW extension trial.</w:t>
      </w:r>
    </w:p>
    <w:p w14:paraId="0137A55E" w14:textId="26CB6A04" w:rsidR="00E520B2" w:rsidRDefault="00E520B2" w:rsidP="00E520B2">
      <w:pPr>
        <w:pStyle w:val="Heading4"/>
      </w:pPr>
      <w:r>
        <w:t>Pharmacology</w:t>
      </w:r>
    </w:p>
    <w:p w14:paraId="395DE58E" w14:textId="76BC3CAB" w:rsidR="00E520B2" w:rsidRDefault="00A82B96" w:rsidP="00A82B96">
      <w:pPr>
        <w:pStyle w:val="Heading5"/>
      </w:pPr>
      <w:bookmarkStart w:id="39" w:name="_Toc314842514"/>
      <w:r>
        <w:t>Pharmacokinetics</w:t>
      </w:r>
    </w:p>
    <w:p w14:paraId="410B85E3" w14:textId="756504E0" w:rsidR="00A82B96" w:rsidRDefault="00A82B96" w:rsidP="00A82B96">
      <w:r>
        <w:t xml:space="preserve">In </w:t>
      </w:r>
      <w:r w:rsidRPr="00A82B96">
        <w:t xml:space="preserve">the </w:t>
      </w:r>
      <w:r w:rsidR="00B1395F">
        <w:t>Study H2301</w:t>
      </w:r>
      <w:r w:rsidR="009E065A">
        <w:t xml:space="preserve"> (the </w:t>
      </w:r>
      <w:r w:rsidRPr="00A82B96">
        <w:t xml:space="preserve">RAINBOW </w:t>
      </w:r>
      <w:r w:rsidR="003047C5">
        <w:t>trial</w:t>
      </w:r>
      <w:r w:rsidR="009E065A">
        <w:t>)</w:t>
      </w:r>
      <w:r>
        <w:t>, sparse pharmacokinetic sampling (at Day 1, 15, and 29) was conducted in approximately half of the participants assigned to ranibizumab (</w:t>
      </w:r>
      <w:r w:rsidR="000B6CCB">
        <w:t xml:space="preserve">those with an </w:t>
      </w:r>
      <w:r>
        <w:t>odd identification number).</w:t>
      </w:r>
    </w:p>
    <w:p w14:paraId="721C3479" w14:textId="63D62A4B" w:rsidR="00A82B96" w:rsidRDefault="00A82B96" w:rsidP="00A82B96">
      <w:r>
        <w:t>After intravitreal administration, the highest serum concentrations of ranibizumab were detected at Day 1. Day 1 serum concentrations were approximately twice as high in the ranibizumab 0.2 mg group (n</w:t>
      </w:r>
      <w:r w:rsidR="009E065A">
        <w:t xml:space="preserve"> </w:t>
      </w:r>
      <w:r>
        <w:t>=</w:t>
      </w:r>
      <w:r w:rsidR="009E065A">
        <w:t xml:space="preserve"> </w:t>
      </w:r>
      <w:r>
        <w:t>49; median 7.82 ng/mL) compared to the 0.1 mg group (n</w:t>
      </w:r>
      <w:r w:rsidR="000B6CCB">
        <w:t> </w:t>
      </w:r>
      <w:r>
        <w:t>=</w:t>
      </w:r>
      <w:r w:rsidR="000B6CCB">
        <w:t> </w:t>
      </w:r>
      <w:r>
        <w:t xml:space="preserve">46; median </w:t>
      </w:r>
      <w:r w:rsidR="000B6CCB">
        <w:t xml:space="preserve">= </w:t>
      </w:r>
      <w:r>
        <w:t>4.35 ng/mL). At Day 29, concentrations were approximately 7</w:t>
      </w:r>
      <w:r w:rsidR="000B6CCB">
        <w:t>-</w:t>
      </w:r>
      <w:r w:rsidR="0070507C">
        <w:t>fold</w:t>
      </w:r>
      <w:r>
        <w:t xml:space="preserve"> (1.07 ng/mL) and 8</w:t>
      </w:r>
      <w:r w:rsidR="000B6CCB">
        <w:t>-</w:t>
      </w:r>
      <w:r w:rsidR="0070507C">
        <w:t>fold</w:t>
      </w:r>
      <w:r>
        <w:t xml:space="preserve"> (0.566 ng/mL) lower than Day 1 levels, for 0.2 mg and 0.1 mg, respectively (</w:t>
      </w:r>
      <w:r w:rsidR="009E065A">
        <w:t xml:space="preserve">show in </w:t>
      </w:r>
      <w:r w:rsidR="00D572BC">
        <w:fldChar w:fldCharType="begin"/>
      </w:r>
      <w:r w:rsidR="00D572BC">
        <w:instrText xml:space="preserve"> REF _Ref121474735 \h </w:instrText>
      </w:r>
      <w:r w:rsidR="00D572BC">
        <w:fldChar w:fldCharType="separate"/>
      </w:r>
      <w:r w:rsidR="00B12C8C">
        <w:t xml:space="preserve">Table </w:t>
      </w:r>
      <w:r w:rsidR="00B12C8C">
        <w:rPr>
          <w:noProof/>
        </w:rPr>
        <w:t>3</w:t>
      </w:r>
      <w:r w:rsidR="00D572BC">
        <w:fldChar w:fldCharType="end"/>
      </w:r>
      <w:r w:rsidR="009E065A">
        <w:t>, below</w:t>
      </w:r>
      <w:r>
        <w:t>).</w:t>
      </w:r>
    </w:p>
    <w:p w14:paraId="44A4ED3A" w14:textId="470FF3AE" w:rsidR="00D572BC" w:rsidRDefault="00D572BC" w:rsidP="00D572BC">
      <w:pPr>
        <w:pStyle w:val="TableTitle"/>
      </w:pPr>
      <w:bookmarkStart w:id="40" w:name="_Ref121474735"/>
      <w:bookmarkStart w:id="41" w:name="_Ref121474726"/>
      <w:r>
        <w:lastRenderedPageBreak/>
        <w:t xml:space="preserve">Table </w:t>
      </w:r>
      <w:r w:rsidR="002D65F1">
        <w:fldChar w:fldCharType="begin"/>
      </w:r>
      <w:r w:rsidR="002D65F1">
        <w:instrText xml:space="preserve"> SEQ Table \* ARABIC </w:instrText>
      </w:r>
      <w:r w:rsidR="002D65F1">
        <w:fldChar w:fldCharType="separate"/>
      </w:r>
      <w:r w:rsidR="00B12C8C">
        <w:rPr>
          <w:noProof/>
        </w:rPr>
        <w:t>3</w:t>
      </w:r>
      <w:r w:rsidR="002D65F1">
        <w:rPr>
          <w:noProof/>
        </w:rPr>
        <w:fldChar w:fldCharType="end"/>
      </w:r>
      <w:bookmarkEnd w:id="40"/>
      <w:r>
        <w:t>:</w:t>
      </w:r>
      <w:r w:rsidR="00D63797">
        <w:t xml:space="preserve"> </w:t>
      </w:r>
      <w:r w:rsidR="00B1395F">
        <w:t>Study H2301</w:t>
      </w:r>
      <w:r w:rsidR="009E065A">
        <w:t xml:space="preserve"> (</w:t>
      </w:r>
      <w:r w:rsidRPr="002D1ECD">
        <w:t>RAINBOW trial</w:t>
      </w:r>
      <w:r w:rsidR="009E065A">
        <w:t>)</w:t>
      </w:r>
      <w:r w:rsidRPr="002D1ECD">
        <w:t xml:space="preserve"> Summary of ranibizumab concentration in pharmacokinetic serum samples (ng/mL) (</w:t>
      </w:r>
      <w:r w:rsidR="00D63797">
        <w:t>pharmacokinetic</w:t>
      </w:r>
      <w:r w:rsidRPr="002D1ECD">
        <w:t xml:space="preserve"> set)</w:t>
      </w:r>
      <w:bookmarkEnd w:id="41"/>
    </w:p>
    <w:p w14:paraId="470ED1A6" w14:textId="50DA2984" w:rsidR="00A82B96" w:rsidRDefault="00A82B96" w:rsidP="00A82B96">
      <w:r>
        <w:t xml:space="preserve"> </w:t>
      </w:r>
      <w:r w:rsidRPr="00F14D7B">
        <w:rPr>
          <w:noProof/>
          <w:lang w:val="en-GB" w:eastAsia="en-GB"/>
        </w:rPr>
        <w:drawing>
          <wp:inline distT="0" distB="0" distL="0" distR="0" wp14:anchorId="5C777D80" wp14:editId="16B7745E">
            <wp:extent cx="5162400" cy="3276251"/>
            <wp:effectExtent l="0" t="0" r="635" b="635"/>
            <wp:docPr id="8" name="Picture 8" descr="This table shows a summary of ranibizumab concentration in pharmacokinetic serum samples (ng/mL) (pharmcokinetic set) for RAINBOW t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table shows a summary of ranibizumab concentration in pharmacokinetic serum samples (ng/mL) (pharmcokinetic set) for RAINBOW trial. "/>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163688" cy="3277068"/>
                    </a:xfrm>
                    <a:prstGeom prst="rect">
                      <a:avLst/>
                    </a:prstGeom>
                    <a:noFill/>
                    <a:ln>
                      <a:noFill/>
                    </a:ln>
                  </pic:spPr>
                </pic:pic>
              </a:graphicData>
            </a:graphic>
          </wp:inline>
        </w:drawing>
      </w:r>
    </w:p>
    <w:p w14:paraId="2E7061FC" w14:textId="2637E452" w:rsidR="00A82B96" w:rsidRDefault="00A82B96" w:rsidP="00A82B96">
      <w:pPr>
        <w:pStyle w:val="Heading5"/>
      </w:pPr>
      <w:r>
        <w:t>Pharmacodynamics</w:t>
      </w:r>
    </w:p>
    <w:p w14:paraId="56077BA8" w14:textId="612CBE2A" w:rsidR="00E520B2" w:rsidRDefault="00A82B96" w:rsidP="00E520B2">
      <w:r w:rsidRPr="00A82B96">
        <w:t xml:space="preserve">In the RAINBOW </w:t>
      </w:r>
      <w:r w:rsidR="003047C5">
        <w:t>trial</w:t>
      </w:r>
      <w:r w:rsidRPr="00A82B96">
        <w:t>, sparse pharmacodynamic (PD) sampling (serum</w:t>
      </w:r>
      <w:r w:rsidR="002F479C">
        <w:t xml:space="preserve"> </w:t>
      </w:r>
      <w:r w:rsidRPr="00A82B96">
        <w:t>VEGF) (at Day 1, 15 and 29) was conducted (</w:t>
      </w:r>
      <w:r w:rsidR="000B415C">
        <w:t xml:space="preserve">from study participants with </w:t>
      </w:r>
      <w:r w:rsidRPr="00A82B96">
        <w:t>even ID number</w:t>
      </w:r>
      <w:r w:rsidR="000B415C">
        <w:t>s</w:t>
      </w:r>
      <w:r w:rsidRPr="00A82B96">
        <w:t xml:space="preserve"> in the ranibizumab groups and all patients in the laser group). The VEGF set comprised of 19, 26 and 51 patients in the ranibizumab 0.2</w:t>
      </w:r>
      <w:r w:rsidR="002F479C">
        <w:t> </w:t>
      </w:r>
      <w:r w:rsidRPr="00A82B96">
        <w:t>mg group, ranibizumab 0.1 mg group and laser group, respectively. The results are summarised in</w:t>
      </w:r>
      <w:r w:rsidR="00D572BC">
        <w:t xml:space="preserve"> </w:t>
      </w:r>
      <w:r w:rsidR="00D572BC">
        <w:fldChar w:fldCharType="begin"/>
      </w:r>
      <w:r w:rsidR="00D572BC">
        <w:instrText xml:space="preserve"> REF _Ref121474801 \h </w:instrText>
      </w:r>
      <w:r w:rsidR="00D572BC">
        <w:fldChar w:fldCharType="separate"/>
      </w:r>
      <w:r w:rsidR="00B12C8C">
        <w:t xml:space="preserve">Table </w:t>
      </w:r>
      <w:r w:rsidR="00B12C8C">
        <w:rPr>
          <w:noProof/>
        </w:rPr>
        <w:t>4</w:t>
      </w:r>
      <w:r w:rsidR="00D572BC">
        <w:fldChar w:fldCharType="end"/>
      </w:r>
      <w:r w:rsidRPr="00A82B96">
        <w:t>. The large sample collection windows likely contributed to the moderate</w:t>
      </w:r>
      <w:r w:rsidR="000B6CCB">
        <w:t xml:space="preserve"> and </w:t>
      </w:r>
      <w:r w:rsidRPr="00A82B96">
        <w:t>high inter-individual variability in free VEGF concentrations</w:t>
      </w:r>
      <w:r w:rsidR="000B6CCB">
        <w:t>.</w:t>
      </w:r>
    </w:p>
    <w:p w14:paraId="57DDCB5E" w14:textId="1D67B2BE" w:rsidR="00D572BC" w:rsidRDefault="00D572BC" w:rsidP="00D572BC">
      <w:pPr>
        <w:pStyle w:val="TableTitle"/>
      </w:pPr>
      <w:bookmarkStart w:id="42" w:name="_Ref121474801"/>
      <w:r>
        <w:t xml:space="preserve">Table </w:t>
      </w:r>
      <w:r w:rsidR="002D65F1">
        <w:fldChar w:fldCharType="begin"/>
      </w:r>
      <w:r w:rsidR="002D65F1">
        <w:instrText xml:space="preserve"> SEQ Table \* ARABIC </w:instrText>
      </w:r>
      <w:r w:rsidR="002D65F1">
        <w:fldChar w:fldCharType="separate"/>
      </w:r>
      <w:r w:rsidR="00B12C8C">
        <w:rPr>
          <w:noProof/>
        </w:rPr>
        <w:t>4</w:t>
      </w:r>
      <w:r w:rsidR="002D65F1">
        <w:rPr>
          <w:noProof/>
        </w:rPr>
        <w:fldChar w:fldCharType="end"/>
      </w:r>
      <w:bookmarkEnd w:id="42"/>
      <w:r>
        <w:t xml:space="preserve">: </w:t>
      </w:r>
      <w:r w:rsidR="00B1395F">
        <w:t>Study H2301</w:t>
      </w:r>
      <w:r w:rsidR="000B415C">
        <w:t xml:space="preserve"> (</w:t>
      </w:r>
      <w:r w:rsidRPr="00CE2860">
        <w:t>RAINBOW trial</w:t>
      </w:r>
      <w:r w:rsidR="000B415C">
        <w:t>)</w:t>
      </w:r>
      <w:r w:rsidRPr="00CE2860">
        <w:t xml:space="preserve"> Summary of systemic free VEGF concentration (</w:t>
      </w:r>
      <w:proofErr w:type="spellStart"/>
      <w:r w:rsidRPr="00CE2860">
        <w:t>pg</w:t>
      </w:r>
      <w:proofErr w:type="spellEnd"/>
      <w:r w:rsidRPr="00CE2860">
        <w:t>/mL) (VEGF Set)</w:t>
      </w:r>
    </w:p>
    <w:p w14:paraId="2CDEBC38" w14:textId="7527FD3D" w:rsidR="00A82B96" w:rsidRDefault="00A82B96" w:rsidP="00E520B2">
      <w:r w:rsidRPr="00EC0CA8">
        <w:rPr>
          <w:noProof/>
          <w:lang w:val="en-GB" w:eastAsia="en-GB"/>
        </w:rPr>
        <w:drawing>
          <wp:inline distT="0" distB="0" distL="0" distR="0" wp14:anchorId="0862421D" wp14:editId="6D5B3B00">
            <wp:extent cx="5048885" cy="3188335"/>
            <wp:effectExtent l="0" t="0" r="0" b="0"/>
            <wp:docPr id="6" name="Picture 6" descr="This table shows a ummary of systemic free VEGF concentration (pg/mL) (VEGF Set) for the RAINBOX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table shows a ummary of systemic free VEGF concentration (pg/mL) (VEGF Set) for the RAINBOX trial."/>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048885" cy="3188335"/>
                    </a:xfrm>
                    <a:prstGeom prst="rect">
                      <a:avLst/>
                    </a:prstGeom>
                    <a:noFill/>
                    <a:ln>
                      <a:noFill/>
                    </a:ln>
                  </pic:spPr>
                </pic:pic>
              </a:graphicData>
            </a:graphic>
          </wp:inline>
        </w:drawing>
      </w:r>
    </w:p>
    <w:p w14:paraId="1A2AF144" w14:textId="0BCA57A3" w:rsidR="00A82B96" w:rsidRDefault="00A82B96" w:rsidP="00A82B96">
      <w:pPr>
        <w:pStyle w:val="Heading5"/>
      </w:pPr>
      <w:r w:rsidRPr="00A82B96">
        <w:lastRenderedPageBreak/>
        <w:t xml:space="preserve">Population </w:t>
      </w:r>
      <w:r w:rsidR="000B415C">
        <w:t>p</w:t>
      </w:r>
      <w:r w:rsidR="009835E9">
        <w:t>harm</w:t>
      </w:r>
      <w:r w:rsidR="00426791">
        <w:t>a</w:t>
      </w:r>
      <w:r w:rsidR="009835E9">
        <w:t>cokinetic</w:t>
      </w:r>
      <w:r w:rsidRPr="00A82B96">
        <w:t>/</w:t>
      </w:r>
      <w:r w:rsidR="000B415C">
        <w:t>p</w:t>
      </w:r>
      <w:r w:rsidR="009835E9">
        <w:t xml:space="preserve">harmacodynamic </w:t>
      </w:r>
      <w:r w:rsidRPr="00A82B96">
        <w:t xml:space="preserve">data </w:t>
      </w:r>
    </w:p>
    <w:p w14:paraId="35FE71F8" w14:textId="36473FB2" w:rsidR="00A82B96" w:rsidRDefault="00A82B96" w:rsidP="00A82B96">
      <w:pPr>
        <w:pStyle w:val="Heading6"/>
      </w:pPr>
      <w:r w:rsidRPr="00A82B96">
        <w:t xml:space="preserve">Ranibizumab estimated </w:t>
      </w:r>
      <w:r w:rsidR="000B6CCB">
        <w:t>pharmacokinetic</w:t>
      </w:r>
      <w:r w:rsidRPr="00A82B96">
        <w:t xml:space="preserve"> parameters</w:t>
      </w:r>
    </w:p>
    <w:p w14:paraId="2452A7B6" w14:textId="6C90BACA" w:rsidR="00A82B96" w:rsidRPr="00A82B96" w:rsidRDefault="00A82B96" w:rsidP="00E520B2">
      <w:r w:rsidRPr="00A82B96">
        <w:t>Adults dosed at 0.5 mg ranibizumab in one eye were compared to premature infants dosed at 0.2 or 0.1 mg per eye. The</w:t>
      </w:r>
      <w:r w:rsidR="00284012">
        <w:t xml:space="preserve"> p</w:t>
      </w:r>
      <w:r w:rsidR="00284012" w:rsidRPr="00284012">
        <w:t xml:space="preserve">opulation </w:t>
      </w:r>
      <w:r w:rsidR="00284012">
        <w:t>p</w:t>
      </w:r>
      <w:r w:rsidR="00284012" w:rsidRPr="00284012">
        <w:t>harmacokinetic/</w:t>
      </w:r>
      <w:r w:rsidR="00284012">
        <w:t>p</w:t>
      </w:r>
      <w:r w:rsidR="00284012" w:rsidRPr="00284012">
        <w:t xml:space="preserve">harmacodynamic </w:t>
      </w:r>
      <w:r w:rsidR="00284012">
        <w:t>(</w:t>
      </w:r>
      <w:proofErr w:type="spellStart"/>
      <w:r w:rsidRPr="00A82B96">
        <w:t>popPK</w:t>
      </w:r>
      <w:proofErr w:type="spellEnd"/>
      <w:r w:rsidRPr="00A82B96">
        <w:t>/PD</w:t>
      </w:r>
      <w:r w:rsidR="00284012">
        <w:t>)</w:t>
      </w:r>
      <w:r w:rsidRPr="00A82B96">
        <w:t xml:space="preserve"> </w:t>
      </w:r>
      <w:r w:rsidR="006B7211">
        <w:t xml:space="preserve">data </w:t>
      </w:r>
      <w:r w:rsidRPr="00A82B96">
        <w:t>analysis showed:</w:t>
      </w:r>
    </w:p>
    <w:p w14:paraId="59D95672" w14:textId="5EF82B5D" w:rsidR="00A82B96" w:rsidRDefault="00A82B96" w:rsidP="00A82B96">
      <w:pPr>
        <w:pStyle w:val="ListBullet"/>
      </w:pPr>
      <w:r w:rsidRPr="00284012">
        <w:rPr>
          <w:i/>
          <w:iCs/>
        </w:rPr>
        <w:t>Elimination:</w:t>
      </w:r>
      <w:r>
        <w:t xml:space="preserve"> </w:t>
      </w:r>
      <w:r w:rsidR="00284012">
        <w:t xml:space="preserve">elimination </w:t>
      </w:r>
      <w:r>
        <w:t>from the eye</w:t>
      </w:r>
      <w:r w:rsidR="00284012">
        <w:t xml:space="preserve"> was</w:t>
      </w:r>
      <w:r>
        <w:t xml:space="preserve"> 50% faster </w:t>
      </w:r>
      <w:r w:rsidR="00284012">
        <w:t xml:space="preserve">for premature infants </w:t>
      </w:r>
      <w:r>
        <w:t xml:space="preserve">than </w:t>
      </w:r>
      <w:r w:rsidR="00284012">
        <w:t xml:space="preserve">for </w:t>
      </w:r>
      <w:r>
        <w:t>adults (</w:t>
      </w:r>
      <w:r w:rsidR="000B415C">
        <w:t>half-life</w:t>
      </w:r>
      <w:r w:rsidR="00426791">
        <w:t xml:space="preserve"> </w:t>
      </w:r>
      <w:r>
        <w:t>= 5.6 days versus 8.7</w:t>
      </w:r>
      <w:r w:rsidR="00284012">
        <w:t> </w:t>
      </w:r>
      <w:r>
        <w:t xml:space="preserve">days in adults with </w:t>
      </w:r>
      <w:r w:rsidR="00284012">
        <w:t>age-related macular degeneration</w:t>
      </w:r>
      <w:r>
        <w:t xml:space="preserve">) whilst </w:t>
      </w:r>
      <w:r w:rsidR="00284012">
        <w:t xml:space="preserve">elimination </w:t>
      </w:r>
      <w:r>
        <w:t>from serum</w:t>
      </w:r>
      <w:r w:rsidR="00284012">
        <w:t xml:space="preserve"> was </w:t>
      </w:r>
      <w:proofErr w:type="gramStart"/>
      <w:r w:rsidR="00284012">
        <w:t xml:space="preserve">three </w:t>
      </w:r>
      <w:r w:rsidR="0070507C">
        <w:t>fold</w:t>
      </w:r>
      <w:proofErr w:type="gramEnd"/>
      <w:r>
        <w:t xml:space="preserve"> lower </w:t>
      </w:r>
      <w:r w:rsidR="00284012">
        <w:t xml:space="preserve">for premature infants </w:t>
      </w:r>
      <w:r>
        <w:t>than in adults (</w:t>
      </w:r>
      <w:r w:rsidR="00284012">
        <w:t>half-life</w:t>
      </w:r>
      <w:r>
        <w:t xml:space="preserve"> = 0.3 days versus 0.09 days). As the rate of vitreous elimination is the rate limiting step, the </w:t>
      </w:r>
      <w:r w:rsidR="000B415C">
        <w:t>half-life</w:t>
      </w:r>
      <w:r>
        <w:t xml:space="preserve"> of ranibizumab in serum after intravitreal administration is equivalent to the vitreous elimination </w:t>
      </w:r>
      <w:r w:rsidR="000B415C">
        <w:t>half-life</w:t>
      </w:r>
      <w:r>
        <w:t>.</w:t>
      </w:r>
    </w:p>
    <w:p w14:paraId="7563599B" w14:textId="1F81D0D9" w:rsidR="00A82B96" w:rsidRDefault="00A82B96" w:rsidP="00A82B96">
      <w:pPr>
        <w:pStyle w:val="ListBullet"/>
      </w:pPr>
      <w:r w:rsidRPr="00284012">
        <w:rPr>
          <w:i/>
          <w:iCs/>
        </w:rPr>
        <w:t>Volume of distribution and clearance</w:t>
      </w:r>
      <w:r>
        <w:t>: the apparent systemic volume of distribution (</w:t>
      </w:r>
      <w:proofErr w:type="spellStart"/>
      <w:r>
        <w:t>Vd</w:t>
      </w:r>
      <w:proofErr w:type="spellEnd"/>
      <w:r>
        <w:t>) is approximately,</w:t>
      </w:r>
      <w:r w:rsidR="00284012">
        <w:t xml:space="preserve"> three-</w:t>
      </w:r>
      <w:r w:rsidR="0070507C">
        <w:t>fold</w:t>
      </w:r>
      <w:r>
        <w:t xml:space="preserve"> lower in preterm infants than in adults (median of 0.7</w:t>
      </w:r>
      <w:r w:rsidR="002F479C">
        <w:t xml:space="preserve"> to </w:t>
      </w:r>
      <w:r>
        <w:t xml:space="preserve">0.8 L versus 2.97 L) and the apparent clearance is more than </w:t>
      </w:r>
      <w:r w:rsidR="00284012">
        <w:t>ten-</w:t>
      </w:r>
      <w:r w:rsidR="0070507C">
        <w:t>fold</w:t>
      </w:r>
      <w:r>
        <w:t xml:space="preserve"> lower (median of 1.7</w:t>
      </w:r>
      <w:r w:rsidR="002F479C">
        <w:t xml:space="preserve"> to </w:t>
      </w:r>
      <w:r>
        <w:t>1.8 L</w:t>
      </w:r>
      <w:r w:rsidR="00284012">
        <w:t>/day</w:t>
      </w:r>
      <w:r>
        <w:t xml:space="preserve"> versus 23.8 L/day).</w:t>
      </w:r>
    </w:p>
    <w:p w14:paraId="0E46F1B0" w14:textId="54C5E17A" w:rsidR="00A82B96" w:rsidRDefault="00A82B96" w:rsidP="00A82B96">
      <w:pPr>
        <w:pStyle w:val="ListBullet"/>
      </w:pPr>
      <w:r w:rsidRPr="00284012">
        <w:rPr>
          <w:i/>
          <w:iCs/>
        </w:rPr>
        <w:t>Exposure:</w:t>
      </w:r>
      <w:r>
        <w:t xml:space="preserve"> when comparing median systemic ranibizumab </w:t>
      </w:r>
      <w:r w:rsidR="00426791">
        <w:t>peak concentration (</w:t>
      </w:r>
      <w:r>
        <w:t>C</w:t>
      </w:r>
      <w:r w:rsidRPr="007E6D6B">
        <w:rPr>
          <w:vertAlign w:val="subscript"/>
        </w:rPr>
        <w:t>max</w:t>
      </w:r>
      <w:r w:rsidR="00426791">
        <w:t xml:space="preserve">) </w:t>
      </w:r>
      <w:r w:rsidR="000B415C">
        <w:t xml:space="preserve">in plasma </w:t>
      </w:r>
      <w:r>
        <w:t xml:space="preserve">and </w:t>
      </w:r>
      <w:r w:rsidR="00426791">
        <w:t>area under the concentration versus time curve</w:t>
      </w:r>
      <w:r w:rsidR="00284012">
        <w:t xml:space="preserve"> </w:t>
      </w:r>
      <w:r w:rsidR="00426791">
        <w:t>from 0 time to infinity (</w:t>
      </w:r>
      <w:r>
        <w:t>AUC</w:t>
      </w:r>
      <w:r w:rsidRPr="007E6D6B">
        <w:rPr>
          <w:vertAlign w:val="subscript"/>
        </w:rPr>
        <w:t>inf</w:t>
      </w:r>
      <w:r w:rsidR="00426791">
        <w:t>)</w:t>
      </w:r>
      <w:r w:rsidR="000B415C">
        <w:t xml:space="preserve"> in plasma,</w:t>
      </w:r>
      <w:r>
        <w:t xml:space="preserve"> the</w:t>
      </w:r>
      <w:r w:rsidR="00284012">
        <w:t xml:space="preserve"> results were</w:t>
      </w:r>
      <w:r>
        <w:t>:</w:t>
      </w:r>
    </w:p>
    <w:p w14:paraId="52B2ABE0" w14:textId="6F46381F" w:rsidR="00A82B96" w:rsidRDefault="00A82B96" w:rsidP="00A82B96">
      <w:pPr>
        <w:pStyle w:val="ListBullet2"/>
      </w:pPr>
      <w:r>
        <w:t>16</w:t>
      </w:r>
      <w:r w:rsidR="00284012">
        <w:t>-</w:t>
      </w:r>
      <w:r w:rsidR="0070507C">
        <w:t>fold</w:t>
      </w:r>
      <w:r>
        <w:t xml:space="preserve"> and 12</w:t>
      </w:r>
      <w:r w:rsidR="00284012">
        <w:t>-</w:t>
      </w:r>
      <w:r w:rsidR="0070507C">
        <w:t>fold</w:t>
      </w:r>
      <w:r>
        <w:t xml:space="preserve"> greater, respectively in infants (</w:t>
      </w:r>
      <w:r w:rsidR="000B415C">
        <w:t xml:space="preserve">at a dose of </w:t>
      </w:r>
      <w:r>
        <w:t>0.2 mg per eye) compared to adults (0.5 mg ranibizumab in one eye)</w:t>
      </w:r>
      <w:r w:rsidR="00284012">
        <w:t>.</w:t>
      </w:r>
    </w:p>
    <w:p w14:paraId="505E1E70" w14:textId="1D5ECD70" w:rsidR="00A82B96" w:rsidRDefault="00A82B96" w:rsidP="00A82B96">
      <w:pPr>
        <w:pStyle w:val="ListBullet2"/>
      </w:pPr>
      <w:r>
        <w:t>7.6</w:t>
      </w:r>
      <w:r w:rsidR="00284012">
        <w:t>-</w:t>
      </w:r>
      <w:r w:rsidR="0070507C">
        <w:t>fold</w:t>
      </w:r>
      <w:r>
        <w:t xml:space="preserve"> and 5</w:t>
      </w:r>
      <w:r w:rsidR="00284012">
        <w:t>-</w:t>
      </w:r>
      <w:r w:rsidR="0070507C">
        <w:t>fold</w:t>
      </w:r>
      <w:r>
        <w:t xml:space="preserve"> greater, respectively in infants (</w:t>
      </w:r>
      <w:r w:rsidR="000B415C">
        <w:t xml:space="preserve">at a dose of </w:t>
      </w:r>
      <w:r>
        <w:t>0.1 mg per eye) compared to adults (0.5 mg ranibizumab in one eye)</w:t>
      </w:r>
      <w:r w:rsidR="00284012">
        <w:t>.</w:t>
      </w:r>
    </w:p>
    <w:p w14:paraId="70A35D0D" w14:textId="4667D63E" w:rsidR="00A82B96" w:rsidRDefault="00A82B96" w:rsidP="00A82B96">
      <w:r w:rsidRPr="00A82B96">
        <w:t>There was a variability of observed concentrations in preterm infants, with between-subject variability, particularly in estimated</w:t>
      </w:r>
      <w:r w:rsidR="002F479C">
        <w:t xml:space="preserve"> </w:t>
      </w:r>
      <w:proofErr w:type="spellStart"/>
      <w:r w:rsidRPr="00A82B96">
        <w:t>Vd</w:t>
      </w:r>
      <w:proofErr w:type="spellEnd"/>
      <w:r w:rsidRPr="00A82B96">
        <w:t xml:space="preserve">, much greater than in adults. Further, the range of weight was much greater (approximately </w:t>
      </w:r>
      <w:r w:rsidR="00284012">
        <w:t>four-</w:t>
      </w:r>
      <w:r w:rsidR="0070507C">
        <w:t>fold</w:t>
      </w:r>
      <w:r w:rsidRPr="00A82B96">
        <w:t xml:space="preserve"> from lightest to heaviest infant) compared to the </w:t>
      </w:r>
      <w:r w:rsidR="000B415C">
        <w:t>age-related macular degeneration</w:t>
      </w:r>
      <w:r w:rsidR="000B415C" w:rsidRPr="00A82B96">
        <w:t xml:space="preserve"> </w:t>
      </w:r>
      <w:r w:rsidRPr="00A82B96">
        <w:t>population.</w:t>
      </w:r>
    </w:p>
    <w:p w14:paraId="3E470BAE" w14:textId="2B816758" w:rsidR="00A82B96" w:rsidRDefault="00A25C19" w:rsidP="00A82B96">
      <w:pPr>
        <w:pStyle w:val="Heading6"/>
      </w:pPr>
      <w:r>
        <w:t>V</w:t>
      </w:r>
      <w:r w:rsidRPr="00A25C19">
        <w:t xml:space="preserve">ascular endothelial growth factors </w:t>
      </w:r>
      <w:r w:rsidR="00A82B96" w:rsidRPr="00A82B96">
        <w:t>concentrations</w:t>
      </w:r>
    </w:p>
    <w:p w14:paraId="296CBCB0" w14:textId="3F993E4C" w:rsidR="00A25C19" w:rsidRDefault="00A25C19" w:rsidP="00A25C19">
      <w:r>
        <w:t xml:space="preserve">The </w:t>
      </w:r>
      <w:proofErr w:type="spellStart"/>
      <w:r w:rsidR="009835E9">
        <w:t>pop</w:t>
      </w:r>
      <w:r>
        <w:t>PK</w:t>
      </w:r>
      <w:proofErr w:type="spellEnd"/>
      <w:r>
        <w:t xml:space="preserve">/PD model was used to assess the relationship between serum ranibizumab concentration and systemic </w:t>
      </w:r>
      <w:r w:rsidR="001F3DD1">
        <w:t>v</w:t>
      </w:r>
      <w:r w:rsidR="001F3DD1" w:rsidRPr="00A25C19">
        <w:t xml:space="preserve">ascular endothelial growth factors </w:t>
      </w:r>
      <w:r w:rsidR="001F3DD1">
        <w:t>(</w:t>
      </w:r>
      <w:r>
        <w:t>VEGF</w:t>
      </w:r>
      <w:r w:rsidR="001F3DD1">
        <w:t>)</w:t>
      </w:r>
      <w:r>
        <w:t xml:space="preserve"> levels. VEGF concentrations were stratified by actual dose administered (not assigned treatment); therefore, initial laser treatments rescued by ranibizumab were classified by the dose administered at the time of rescue. Vitreous VEGF concentrations were not assessed.</w:t>
      </w:r>
    </w:p>
    <w:p w14:paraId="4B8F63C2" w14:textId="0092AE69" w:rsidR="00A25C19" w:rsidRDefault="00A25C19" w:rsidP="00A25C19">
      <w:r>
        <w:t xml:space="preserve">The </w:t>
      </w:r>
      <w:proofErr w:type="spellStart"/>
      <w:r w:rsidR="009835E9">
        <w:t>pop</w:t>
      </w:r>
      <w:r>
        <w:t>PK</w:t>
      </w:r>
      <w:proofErr w:type="spellEnd"/>
      <w:r>
        <w:t>/PD model did not predict a relationship between systemic ranibizumab concentrations and systemic free VEGF concentrations but provided the following values: median C</w:t>
      </w:r>
      <w:r w:rsidRPr="007E6D6B">
        <w:rPr>
          <w:vertAlign w:val="subscript"/>
        </w:rPr>
        <w:t>max</w:t>
      </w:r>
      <w:r>
        <w:t xml:space="preserve"> was 11.5 ng/mL (0.1 mg dose) and 24.3 ng/mL (0.2 mg dose). Both values were capable to inhibit VEGF receptors by 50% (range given in </w:t>
      </w:r>
      <w:r w:rsidR="001F3DD1">
        <w:t>the Product Information</w:t>
      </w:r>
      <w:r>
        <w:t>: 11</w:t>
      </w:r>
      <w:r w:rsidR="009835E9">
        <w:t xml:space="preserve"> to </w:t>
      </w:r>
      <w:r>
        <w:t xml:space="preserve">27 ng/mL; based on </w:t>
      </w:r>
      <w:r w:rsidRPr="009835E9">
        <w:rPr>
          <w:i/>
          <w:iCs/>
        </w:rPr>
        <w:t>in vitro</w:t>
      </w:r>
      <w:r>
        <w:t xml:space="preserve"> data) with possible implications for safety and development in premature infants.</w:t>
      </w:r>
    </w:p>
    <w:p w14:paraId="2EB9B62D" w14:textId="71166A52" w:rsidR="00A25C19" w:rsidRDefault="00A25C19" w:rsidP="00A25C19">
      <w:r>
        <w:t xml:space="preserve">The </w:t>
      </w:r>
      <w:r w:rsidR="00426791">
        <w:t xml:space="preserve">clinical </w:t>
      </w:r>
      <w:r>
        <w:t xml:space="preserve">evaluator concluded that the </w:t>
      </w:r>
      <w:r w:rsidR="001F3DD1">
        <w:t xml:space="preserve">pharmacokinetic/pharmacodynamics </w:t>
      </w:r>
      <w:r>
        <w:t>data are limited and potential systemic inhibition of VEGF following administration of intravitreal ranibizumab to premature infants cannot be determined.</w:t>
      </w:r>
    </w:p>
    <w:p w14:paraId="2028AAD6" w14:textId="4D29D913" w:rsidR="00A25C19" w:rsidRDefault="00A25C19" w:rsidP="00A25C19">
      <w:pPr>
        <w:pStyle w:val="Heading6"/>
      </w:pPr>
      <w:r w:rsidRPr="00A25C19">
        <w:t>Dosage selection</w:t>
      </w:r>
    </w:p>
    <w:p w14:paraId="59798C03" w14:textId="3A9444D5" w:rsidR="00A25C19" w:rsidRDefault="00A25C19" w:rsidP="00A25C19">
      <w:r w:rsidRPr="00A25C19">
        <w:t xml:space="preserve">The 0.1 mg and 0.2 mg doses of ranibizumab used in the pivotal RAINBOW </w:t>
      </w:r>
      <w:r w:rsidR="003047C5">
        <w:t xml:space="preserve">trial </w:t>
      </w:r>
      <w:r w:rsidRPr="00A25C19">
        <w:t>were selected based on results of a modelling and simulation analysis using predicted exposure levels and a PK model that was scaled for infants</w:t>
      </w:r>
      <w:r>
        <w:t>.</w:t>
      </w:r>
    </w:p>
    <w:p w14:paraId="75DC8C4F" w14:textId="32E12325" w:rsidR="00A25C19" w:rsidRDefault="00A25C19" w:rsidP="00A25C19">
      <w:pPr>
        <w:pStyle w:val="Heading4"/>
      </w:pPr>
      <w:r w:rsidRPr="00A25C19">
        <w:lastRenderedPageBreak/>
        <w:t>Efficacy</w:t>
      </w:r>
    </w:p>
    <w:p w14:paraId="020E0F66" w14:textId="6F89C0EB" w:rsidR="00A25C19" w:rsidRDefault="00A25C19" w:rsidP="00A25C19">
      <w:r w:rsidRPr="00A25C19">
        <w:t xml:space="preserve">The clinical trial program uses the same </w:t>
      </w:r>
      <w:r w:rsidR="00B1395F">
        <w:t>Study H2301</w:t>
      </w:r>
      <w:r w:rsidRPr="00A25C19">
        <w:t xml:space="preserve"> </w:t>
      </w:r>
      <w:r>
        <w:t>(</w:t>
      </w:r>
      <w:r w:rsidRPr="00A25C19">
        <w:t>RAINBOW</w:t>
      </w:r>
      <w:r w:rsidR="003047C5">
        <w:t xml:space="preserve"> trial</w:t>
      </w:r>
      <w:r>
        <w:t>)</w:t>
      </w:r>
      <w:r w:rsidRPr="00A25C19">
        <w:t xml:space="preserve"> as for the previous submission</w:t>
      </w:r>
      <w:r w:rsidR="000B415C">
        <w:t>;</w:t>
      </w:r>
      <w:r w:rsidR="000B415C" w:rsidRPr="00A4695C">
        <w:rPr>
          <w:vertAlign w:val="superscript"/>
        </w:rPr>
        <w:fldChar w:fldCharType="begin"/>
      </w:r>
      <w:r w:rsidR="000B415C" w:rsidRPr="00A4695C">
        <w:rPr>
          <w:vertAlign w:val="superscript"/>
        </w:rPr>
        <w:instrText xml:space="preserve"> NOTEREF _Ref130543014 \h </w:instrText>
      </w:r>
      <w:r w:rsidR="000B415C">
        <w:rPr>
          <w:vertAlign w:val="superscript"/>
        </w:rPr>
        <w:instrText xml:space="preserve"> \* MERGEFORMAT </w:instrText>
      </w:r>
      <w:r w:rsidR="000B415C" w:rsidRPr="00A4695C">
        <w:rPr>
          <w:vertAlign w:val="superscript"/>
        </w:rPr>
      </w:r>
      <w:r w:rsidR="000B415C" w:rsidRPr="00A4695C">
        <w:rPr>
          <w:vertAlign w:val="superscript"/>
        </w:rPr>
        <w:fldChar w:fldCharType="separate"/>
      </w:r>
      <w:r w:rsidR="000B415C" w:rsidRPr="00A4695C">
        <w:rPr>
          <w:vertAlign w:val="superscript"/>
        </w:rPr>
        <w:t>6</w:t>
      </w:r>
      <w:r w:rsidR="000B415C" w:rsidRPr="00A4695C">
        <w:rPr>
          <w:vertAlign w:val="superscript"/>
        </w:rPr>
        <w:fldChar w:fldCharType="end"/>
      </w:r>
      <w:r w:rsidRPr="00A25C19">
        <w:t xml:space="preserve"> (withdrawn</w:t>
      </w:r>
      <w:r w:rsidR="006B7211">
        <w:t xml:space="preserve"> by sponsor prior to a regulatory decision being made</w:t>
      </w:r>
      <w:r w:rsidRPr="00A25C19">
        <w:t>) together with 2</w:t>
      </w:r>
      <w:r w:rsidR="001F3DD1">
        <w:t>-</w:t>
      </w:r>
      <w:r w:rsidRPr="00A25C19">
        <w:t>year follow</w:t>
      </w:r>
      <w:r>
        <w:t xml:space="preserve"> </w:t>
      </w:r>
      <w:r w:rsidRPr="00A25C19">
        <w:t xml:space="preserve">up data from the second interim analysis for those patients enrolled in the subsequent extension </w:t>
      </w:r>
      <w:r w:rsidR="006B7211">
        <w:t>Study </w:t>
      </w:r>
      <w:r w:rsidR="00B1395F">
        <w:t>H2301</w:t>
      </w:r>
      <w:r w:rsidRPr="00A25C19">
        <w:t>E1 (RAINBOW extension</w:t>
      </w:r>
      <w:r w:rsidR="003047C5">
        <w:t xml:space="preserve"> trial</w:t>
      </w:r>
      <w:r w:rsidRPr="00A25C19">
        <w:t xml:space="preserve">), to support use of ranibizumab 0.2 mg in preterm infants for the treatment of </w:t>
      </w:r>
      <w:r w:rsidR="006B7211">
        <w:t>retinopathy of prematurity (</w:t>
      </w:r>
      <w:r w:rsidRPr="00A25C19">
        <w:t>ROP</w:t>
      </w:r>
      <w:r w:rsidR="006B7211">
        <w:t>)</w:t>
      </w:r>
      <w:r w:rsidRPr="00A25C19">
        <w:t xml:space="preserve"> </w:t>
      </w:r>
      <w:r w:rsidR="000B415C">
        <w:t>affecting</w:t>
      </w:r>
      <w:r w:rsidR="000B415C" w:rsidRPr="00A25C19">
        <w:t xml:space="preserve"> </w:t>
      </w:r>
      <w:r w:rsidR="00194C3D">
        <w:t xml:space="preserve">Zone I </w:t>
      </w:r>
      <w:r w:rsidRPr="00A25C19">
        <w:t>(</w:t>
      </w:r>
      <w:r w:rsidR="00194C3D">
        <w:t>Stage 1</w:t>
      </w:r>
      <w:r w:rsidRPr="00A25C19">
        <w:t xml:space="preserve">+, 2+, 3 or 3+), </w:t>
      </w:r>
      <w:r w:rsidR="00194C3D">
        <w:t>Zone II</w:t>
      </w:r>
      <w:r w:rsidRPr="00A25C19">
        <w:t xml:space="preserve"> (</w:t>
      </w:r>
      <w:r w:rsidR="00194C3D">
        <w:t>Stage 3</w:t>
      </w:r>
      <w:r w:rsidRPr="00A25C19">
        <w:t xml:space="preserve">+) or </w:t>
      </w:r>
      <w:r w:rsidR="000B415C">
        <w:t xml:space="preserve">preterm infants with </w:t>
      </w:r>
      <w:r w:rsidR="006B7211">
        <w:t>aggressive posterior retinopathy of prematurity (</w:t>
      </w:r>
      <w:r w:rsidRPr="00A25C19">
        <w:t>AP-ROP</w:t>
      </w:r>
      <w:r w:rsidR="006B7211">
        <w:t>)</w:t>
      </w:r>
      <w:r w:rsidRPr="00A25C19">
        <w:t>.</w:t>
      </w:r>
    </w:p>
    <w:p w14:paraId="58071822" w14:textId="12BAE345" w:rsidR="00A25C19" w:rsidRDefault="00B1395F" w:rsidP="00A25C19">
      <w:pPr>
        <w:pStyle w:val="Heading5"/>
      </w:pPr>
      <w:r>
        <w:t>Study H2301</w:t>
      </w:r>
      <w:r w:rsidR="00A25C19" w:rsidRPr="00A25C19">
        <w:t xml:space="preserve"> (RAINBOW</w:t>
      </w:r>
      <w:r w:rsidR="003047C5">
        <w:t xml:space="preserve"> trial</w:t>
      </w:r>
      <w:r w:rsidR="00A25C19" w:rsidRPr="00A25C19">
        <w:t>)</w:t>
      </w:r>
    </w:p>
    <w:p w14:paraId="696607CD" w14:textId="6F3E2E5B" w:rsidR="00A25C19" w:rsidRDefault="00A25C19" w:rsidP="00A25C19">
      <w:pPr>
        <w:pStyle w:val="Heading6"/>
      </w:pPr>
      <w:r w:rsidRPr="00A25C19">
        <w:t>Design</w:t>
      </w:r>
    </w:p>
    <w:p w14:paraId="3F854B2D" w14:textId="511E6B9F" w:rsidR="00A25C19" w:rsidRDefault="00A25C19" w:rsidP="00A25C19">
      <w:r>
        <w:t xml:space="preserve">The </w:t>
      </w:r>
      <w:r w:rsidR="001F3DD1">
        <w:t xml:space="preserve">study design </w:t>
      </w:r>
      <w:r>
        <w:t xml:space="preserve">was a </w:t>
      </w:r>
      <w:r w:rsidRPr="00A25C19">
        <w:t xml:space="preserve">pivotal, </w:t>
      </w:r>
      <w:proofErr w:type="gramStart"/>
      <w:r w:rsidRPr="00A25C19">
        <w:t>24</w:t>
      </w:r>
      <w:r>
        <w:t xml:space="preserve"> </w:t>
      </w:r>
      <w:r w:rsidRPr="00A25C19">
        <w:t>week</w:t>
      </w:r>
      <w:proofErr w:type="gramEnd"/>
      <w:r w:rsidRPr="00A25C19">
        <w:t xml:space="preserve">, </w:t>
      </w:r>
      <w:r w:rsidR="00D572BC">
        <w:t>Phase III</w:t>
      </w:r>
      <w:r w:rsidRPr="00A25C19">
        <w:t>, randomised, open label, multi-centre (87</w:t>
      </w:r>
      <w:r w:rsidR="009835E9">
        <w:t> </w:t>
      </w:r>
      <w:r w:rsidRPr="00A25C19">
        <w:t xml:space="preserve">centres in 26 countries), </w:t>
      </w:r>
      <w:r w:rsidR="009835E9">
        <w:t>three</w:t>
      </w:r>
      <w:r w:rsidRPr="00A25C19">
        <w:t xml:space="preserve"> arm parallel group (1:1:1), actively controlled superiority study to assess the efficacy and safety of ranibizumab in 225 preterm infants with ROP</w:t>
      </w:r>
      <w:r>
        <w:t>.</w:t>
      </w:r>
      <w:r w:rsidR="0003659F">
        <w:t xml:space="preserve"> </w:t>
      </w:r>
      <w:r>
        <w:t>The study was conducted</w:t>
      </w:r>
      <w:r w:rsidRPr="00A25C19">
        <w:t xml:space="preserve"> between 30 December 2015 and 14 December 2017.</w:t>
      </w:r>
    </w:p>
    <w:p w14:paraId="6AACB690" w14:textId="6C8B5DEB" w:rsidR="00A25C19" w:rsidRDefault="00A25C19" w:rsidP="00A25C19">
      <w:r w:rsidRPr="00A25C19">
        <w:t>The treatments were intravitreal ranibizumab 0.2 mg, intravitreal ranibizumab 0.1 mg or laser therapy (</w:t>
      </w:r>
      <w:r w:rsidR="000B415C">
        <w:t xml:space="preserve">see </w:t>
      </w:r>
      <w:r w:rsidR="00AF5CBB">
        <w:fldChar w:fldCharType="begin"/>
      </w:r>
      <w:r w:rsidR="00AF5CBB">
        <w:instrText xml:space="preserve"> REF _Ref121473943 \h </w:instrText>
      </w:r>
      <w:r w:rsidR="00AF5CBB">
        <w:fldChar w:fldCharType="separate"/>
      </w:r>
      <w:r w:rsidR="000B415C">
        <w:t xml:space="preserve">Figure </w:t>
      </w:r>
      <w:r w:rsidR="000B415C">
        <w:rPr>
          <w:noProof/>
        </w:rPr>
        <w:t>2</w:t>
      </w:r>
      <w:r w:rsidR="00AF5CBB">
        <w:fldChar w:fldCharType="end"/>
      </w:r>
      <w:r w:rsidR="000B415C">
        <w:t>, below</w:t>
      </w:r>
      <w:r w:rsidRPr="00A25C19">
        <w:t xml:space="preserve">). Up to 2 additional retreatments at least 28 days apart with the same ranibizumab dose were permitted to </w:t>
      </w:r>
      <w:proofErr w:type="gramStart"/>
      <w:r w:rsidRPr="00A25C19">
        <w:t>either eye</w:t>
      </w:r>
      <w:proofErr w:type="gramEnd"/>
      <w:r w:rsidRPr="00A25C19">
        <w:t xml:space="preserve"> for worsening ROP. Switching treatments was allowed if randomised treatment had been ineffective.</w:t>
      </w:r>
    </w:p>
    <w:p w14:paraId="520186BA" w14:textId="76EF2851" w:rsidR="00AF5CBB" w:rsidRDefault="00AF5CBB" w:rsidP="00AF5CBB">
      <w:pPr>
        <w:pStyle w:val="FigureTitle"/>
      </w:pPr>
      <w:bookmarkStart w:id="43" w:name="_Ref121473943"/>
      <w:r>
        <w:t xml:space="preserve">Figure </w:t>
      </w:r>
      <w:r w:rsidR="002D65F1">
        <w:fldChar w:fldCharType="begin"/>
      </w:r>
      <w:r w:rsidR="002D65F1">
        <w:instrText xml:space="preserve"> SEQ Figure \* ARABIC </w:instrText>
      </w:r>
      <w:r w:rsidR="002D65F1">
        <w:fldChar w:fldCharType="separate"/>
      </w:r>
      <w:r w:rsidR="000B415C">
        <w:rPr>
          <w:noProof/>
        </w:rPr>
        <w:t>2</w:t>
      </w:r>
      <w:r w:rsidR="002D65F1">
        <w:rPr>
          <w:noProof/>
        </w:rPr>
        <w:fldChar w:fldCharType="end"/>
      </w:r>
      <w:bookmarkEnd w:id="43"/>
      <w:r>
        <w:t xml:space="preserve">: </w:t>
      </w:r>
      <w:r w:rsidR="00B1395F">
        <w:t>Study H2301</w:t>
      </w:r>
      <w:r w:rsidR="000B415C">
        <w:t xml:space="preserve"> (</w:t>
      </w:r>
      <w:r>
        <w:t>RAINBOW trial</w:t>
      </w:r>
      <w:r w:rsidR="000B415C">
        <w:t>)</w:t>
      </w:r>
      <w:r>
        <w:t xml:space="preserve"> Study design schema</w:t>
      </w:r>
    </w:p>
    <w:p w14:paraId="2C4DCFF4" w14:textId="07D07863" w:rsidR="00A25C19" w:rsidRDefault="00AF5CBB" w:rsidP="00AF5CBB">
      <w:pPr>
        <w:pStyle w:val="Caption"/>
      </w:pPr>
      <w:r w:rsidRPr="00187055">
        <w:rPr>
          <w:rFonts w:asciiTheme="minorHAnsi" w:eastAsiaTheme="minorHAnsi" w:hAnsiTheme="minorHAnsi" w:cs="TimesNewRoman"/>
          <w:noProof/>
          <w:lang w:val="en-GB" w:eastAsia="en-GB"/>
        </w:rPr>
        <w:drawing>
          <wp:inline distT="0" distB="0" distL="0" distR="0" wp14:anchorId="28F5D678" wp14:editId="06F02516">
            <wp:extent cx="5143942" cy="2876550"/>
            <wp:effectExtent l="0" t="0" r="0" b="0"/>
            <wp:docPr id="2" name="Picture 2" descr="This figure shows the study design schema.  After screening, patients are treated on Day 1 with either ranibizumab 0.1 mg or 0.2 mg, intravitreally, or with laser therapy.  Follow-up continues to Day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the study design schema.  After screening, patients are treated on Day 1 with either ranibizumab 0.1 mg or 0.2 mg, intravitreally, or with laser therapy.  Follow-up continues to Day 169."/>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5149290" cy="2879541"/>
                    </a:xfrm>
                    <a:prstGeom prst="rect">
                      <a:avLst/>
                    </a:prstGeom>
                    <a:noFill/>
                    <a:ln>
                      <a:noFill/>
                    </a:ln>
                  </pic:spPr>
                </pic:pic>
              </a:graphicData>
            </a:graphic>
          </wp:inline>
        </w:drawing>
      </w:r>
    </w:p>
    <w:p w14:paraId="29A40A48" w14:textId="45D3C99C" w:rsidR="00A25C19" w:rsidRDefault="00A25C19" w:rsidP="00A25C19">
      <w:r>
        <w:t xml:space="preserve">The study included preterm infants with birth weight </w:t>
      </w:r>
      <w:r w:rsidR="001F3DD1">
        <w:t>less than</w:t>
      </w:r>
      <w:r w:rsidR="006C7293">
        <w:t xml:space="preserve"> </w:t>
      </w:r>
      <w:r>
        <w:t xml:space="preserve">1500 g and bilateral ROP with one of the following retinal findings in each eye: </w:t>
      </w:r>
      <w:r w:rsidR="00194C3D">
        <w:t>Zone I Stage 1</w:t>
      </w:r>
      <w:r>
        <w:t xml:space="preserve">+, 2+, 3 or 3+ disease, </w:t>
      </w:r>
      <w:r w:rsidR="00194C3D">
        <w:t>Zone II</w:t>
      </w:r>
      <w:r>
        <w:t xml:space="preserve"> </w:t>
      </w:r>
      <w:r w:rsidR="00194C3D">
        <w:t>Stage 3</w:t>
      </w:r>
      <w:r>
        <w:t xml:space="preserve">+ disease or AP-ROP. Exclusion criteria included previous surgical or non-surgical treatment for ROP (for example, ablative laser therapy, </w:t>
      </w:r>
      <w:proofErr w:type="gramStart"/>
      <w:r>
        <w:t>cryotherapy</w:t>
      </w:r>
      <w:proofErr w:type="gramEnd"/>
      <w:r>
        <w:t xml:space="preserve"> or vitrectomy), previous exposure to any intravitreal or systemic anti-VEGF agent (patient or mother during pregnancy).</w:t>
      </w:r>
    </w:p>
    <w:p w14:paraId="152B2315" w14:textId="77777777" w:rsidR="00A25C19" w:rsidRDefault="00A25C19" w:rsidP="00A25C19">
      <w:r>
        <w:t>The primary objective was to demonstrate that intravitreal ranibizumab 0.2 mg is superior to laser therapy as measured by the absence of active ROP and absence of unfavourable structural outcomes in both eyes 24 weeks after starting treatment.</w:t>
      </w:r>
    </w:p>
    <w:p w14:paraId="32ED9593" w14:textId="3418A069" w:rsidR="00A25C19" w:rsidRDefault="00A25C19" w:rsidP="00A25C19">
      <w:r>
        <w:t>The key secondary objectives were: (</w:t>
      </w:r>
      <w:proofErr w:type="spellStart"/>
      <w:r>
        <w:t>i</w:t>
      </w:r>
      <w:proofErr w:type="spellEnd"/>
      <w:r>
        <w:t>) to demonstrate intravitreal ranibizumab 0.1 mg is superior to laser therapy in the treatment of ROP and (ii) to demonstrate that intravitreal ranibizumab 0.2 mg is superior to intravitreal ranibizumab 0.1 mg in the treatment of ROP, measured as described for the primary objective.</w:t>
      </w:r>
    </w:p>
    <w:p w14:paraId="48C91811" w14:textId="4A15DFAE" w:rsidR="00A25C19" w:rsidRDefault="00A25C19" w:rsidP="00A25C19">
      <w:r>
        <w:lastRenderedPageBreak/>
        <w:t>The primary efficacy outcome (binary variable) measure was:</w:t>
      </w:r>
    </w:p>
    <w:p w14:paraId="29F6693A" w14:textId="745535D3" w:rsidR="00A25C19" w:rsidRDefault="00A25C19" w:rsidP="00A4695C">
      <w:pPr>
        <w:pStyle w:val="ListBullet"/>
      </w:pPr>
      <w:r>
        <w:t xml:space="preserve">Treatment success, defined as the absence of active ROP and absence of unfavourable structural outcomes in both eyes 24 weeks after starting study treatment, as assessed by the Investigator </w:t>
      </w:r>
    </w:p>
    <w:p w14:paraId="60572536" w14:textId="4FEAA5A2" w:rsidR="003B18CA" w:rsidRDefault="00A25C19" w:rsidP="00A4695C">
      <w:pPr>
        <w:pStyle w:val="ListBullet"/>
      </w:pPr>
      <w:r>
        <w:t>Treatment failure</w:t>
      </w:r>
    </w:p>
    <w:p w14:paraId="52F78BD8" w14:textId="77777777" w:rsidR="003B18CA" w:rsidRPr="00DD4A8A" w:rsidRDefault="003B18CA" w:rsidP="003B18CA">
      <w:r w:rsidRPr="003B18CA">
        <w:t>Second</w:t>
      </w:r>
      <w:r w:rsidRPr="00DD4A8A">
        <w:t>ary efficacy variables included:</w:t>
      </w:r>
    </w:p>
    <w:p w14:paraId="1A78EF35" w14:textId="77777777" w:rsidR="003B18CA" w:rsidRDefault="003B18CA" w:rsidP="00A4695C">
      <w:pPr>
        <w:pStyle w:val="ListBullet"/>
      </w:pPr>
      <w:r w:rsidRPr="003B18CA">
        <w:t xml:space="preserve">individual components of the primary endpoint (death, active ROP, unfavourable structural </w:t>
      </w:r>
      <w:proofErr w:type="gramStart"/>
      <w:r w:rsidRPr="003B18CA">
        <w:t>outcomes</w:t>
      </w:r>
      <w:proofErr w:type="gramEnd"/>
      <w:r w:rsidRPr="003B18CA">
        <w:t xml:space="preserve"> and intervention with treatment modality ot</w:t>
      </w:r>
      <w:r>
        <w:t>her than the first treatment (that is. switched treatment)</w:t>
      </w:r>
      <w:proofErr w:type="gramStart"/>
      <w:r>
        <w:t>);</w:t>
      </w:r>
      <w:proofErr w:type="gramEnd"/>
    </w:p>
    <w:p w14:paraId="22CA15A3" w14:textId="77777777" w:rsidR="003B18CA" w:rsidRDefault="003B18CA" w:rsidP="00A4695C">
      <w:pPr>
        <w:pStyle w:val="ListBullet"/>
      </w:pPr>
      <w:r w:rsidRPr="003B18CA">
        <w:t>recurrence of ROP receiving any post-baseline inte</w:t>
      </w:r>
      <w:r>
        <w:t>rvention at or before 24 weeks; and</w:t>
      </w:r>
    </w:p>
    <w:p w14:paraId="46EAEE2D" w14:textId="23F8B791" w:rsidR="00A25C19" w:rsidRPr="003B18CA" w:rsidRDefault="003B18CA" w:rsidP="00A4695C">
      <w:pPr>
        <w:pStyle w:val="ListBullet"/>
      </w:pPr>
      <w:r w:rsidRPr="003B18CA">
        <w:t>time to death, treatment switch or first occurrence of unfavourable structural outcomes in either eye up to 24 weeks.</w:t>
      </w:r>
    </w:p>
    <w:p w14:paraId="6354F90C" w14:textId="77777777" w:rsidR="00A25C19" w:rsidRDefault="00A25C19" w:rsidP="00A25C19">
      <w:pPr>
        <w:pStyle w:val="Heading6"/>
      </w:pPr>
      <w:r>
        <w:t>Magnitude of the treatment effect and its clinical significance</w:t>
      </w:r>
    </w:p>
    <w:p w14:paraId="4DE327C9" w14:textId="66DA7F0F" w:rsidR="00A25C19" w:rsidRDefault="009835E9" w:rsidP="00A25C19">
      <w:r>
        <w:t xml:space="preserve">Baseline treatment was received by </w:t>
      </w:r>
      <w:r w:rsidR="00A25C19">
        <w:t xml:space="preserve">218 preterm infants received baseline treatment. Baseline disease characteristics were generally comparable across groups (including disease severity), apart from an imbalance in birth weight groups observed at </w:t>
      </w:r>
      <w:r w:rsidR="007E6D6B">
        <w:t>B</w:t>
      </w:r>
      <w:r w:rsidR="00A25C19">
        <w:t>aseline: mean birth weight was lower in the ranibizumab 0.2 mg group (790.6 g) than in the 0.1 mg group (885.6 g) and laser group (830.6 g). Most patients were Caucasian (59.1%). Mean gestational age was 26.1 weeks and mean chronological age was 10.9 weeks.</w:t>
      </w:r>
    </w:p>
    <w:p w14:paraId="763D2986" w14:textId="65B8B9B0" w:rsidR="00A25C19" w:rsidRDefault="00EB5C2A" w:rsidP="00A25C19">
      <w:r>
        <w:t xml:space="preserve">For </w:t>
      </w:r>
      <w:r w:rsidR="00A25C19">
        <w:t>ROP extent and severity</w:t>
      </w:r>
      <w:r>
        <w:t xml:space="preserve">, </w:t>
      </w:r>
      <w:r w:rsidR="00A25C19">
        <w:t xml:space="preserve">38.2% had ROP </w:t>
      </w:r>
      <w:r w:rsidR="00194C3D">
        <w:t xml:space="preserve">Zone I </w:t>
      </w:r>
      <w:r w:rsidR="00A25C19">
        <w:t xml:space="preserve">and 61.3% ROP </w:t>
      </w:r>
      <w:r w:rsidR="00194C3D">
        <w:t>Zone II</w:t>
      </w:r>
      <w:r>
        <w:t xml:space="preserve"> which was </w:t>
      </w:r>
      <w:r w:rsidR="00A25C19">
        <w:t>similar across the treatment groups</w:t>
      </w:r>
      <w:r>
        <w:t>.</w:t>
      </w:r>
      <w:r w:rsidR="00A25C19">
        <w:t xml:space="preserve"> </w:t>
      </w:r>
      <w:r w:rsidR="00194C3D">
        <w:t>Zone II</w:t>
      </w:r>
      <w:r w:rsidR="00A25C19">
        <w:t xml:space="preserve"> </w:t>
      </w:r>
      <w:r w:rsidR="00194C3D">
        <w:t>Stage 3</w:t>
      </w:r>
      <w:r w:rsidR="00A25C19">
        <w:t xml:space="preserve">+ (60.0%) the most common ROP classification at </w:t>
      </w:r>
      <w:r w:rsidR="007E6D6B">
        <w:t>B</w:t>
      </w:r>
      <w:r w:rsidR="00A25C19">
        <w:t>aseline. AP-ROP was reported for 30 (13.3%) patients (n = 10 patients in each group) (</w:t>
      </w:r>
      <w:r w:rsidR="00D572BC">
        <w:fldChar w:fldCharType="begin"/>
      </w:r>
      <w:r w:rsidR="00D572BC">
        <w:instrText xml:space="preserve"> REF _Ref121474847 \h </w:instrText>
      </w:r>
      <w:r w:rsidR="00D572BC">
        <w:fldChar w:fldCharType="separate"/>
      </w:r>
      <w:r w:rsidR="00B12C8C">
        <w:t xml:space="preserve">Table </w:t>
      </w:r>
      <w:r w:rsidR="00B12C8C">
        <w:rPr>
          <w:noProof/>
        </w:rPr>
        <w:t>5</w:t>
      </w:r>
      <w:r w:rsidR="00D572BC">
        <w:fldChar w:fldCharType="end"/>
      </w:r>
      <w:r w:rsidR="00A25C19">
        <w:t>).</w:t>
      </w:r>
    </w:p>
    <w:p w14:paraId="5FF48F0A" w14:textId="667756ED" w:rsidR="00D572BC" w:rsidRPr="00DE5A5F" w:rsidRDefault="00D572BC" w:rsidP="00D572BC">
      <w:pPr>
        <w:pStyle w:val="TableTitle"/>
      </w:pPr>
      <w:bookmarkStart w:id="44" w:name="_Ref121474847"/>
      <w:r>
        <w:t xml:space="preserve">Table </w:t>
      </w:r>
      <w:r w:rsidR="002D65F1">
        <w:fldChar w:fldCharType="begin"/>
      </w:r>
      <w:r w:rsidR="002D65F1">
        <w:instrText xml:space="preserve"> SEQ Table \* ARABIC </w:instrText>
      </w:r>
      <w:r w:rsidR="002D65F1">
        <w:fldChar w:fldCharType="separate"/>
      </w:r>
      <w:r w:rsidR="00B12C8C">
        <w:rPr>
          <w:noProof/>
        </w:rPr>
        <w:t>5</w:t>
      </w:r>
      <w:r w:rsidR="002D65F1">
        <w:rPr>
          <w:noProof/>
        </w:rPr>
        <w:fldChar w:fldCharType="end"/>
      </w:r>
      <w:bookmarkEnd w:id="44"/>
      <w:r>
        <w:t xml:space="preserve">: </w:t>
      </w:r>
      <w:r w:rsidR="00B1395F">
        <w:t>Study H2301</w:t>
      </w:r>
      <w:r w:rsidR="003B18CA">
        <w:t xml:space="preserve"> (</w:t>
      </w:r>
      <w:r w:rsidRPr="001F2644">
        <w:t>RAINBOW trial</w:t>
      </w:r>
      <w:r w:rsidR="003B18CA">
        <w:t>)</w:t>
      </w:r>
      <w:r w:rsidRPr="001F2644">
        <w:t xml:space="preserve"> Proportion of patients at Week 24 and</w:t>
      </w:r>
      <w:r w:rsidR="005D5791">
        <w:t xml:space="preserve"> second interim analysis (</w:t>
      </w:r>
      <w:r w:rsidRPr="001F2644">
        <w:t>IA2</w:t>
      </w:r>
      <w:r w:rsidR="005D5791">
        <w:t>)</w:t>
      </w:r>
      <w:r w:rsidRPr="001F2644">
        <w:t xml:space="preserve"> by </w:t>
      </w:r>
      <w:r w:rsidR="00D63797">
        <w:t>B</w:t>
      </w:r>
      <w:r w:rsidRPr="001F2644">
        <w:t>aseline disease classification.</w:t>
      </w:r>
    </w:p>
    <w:tbl>
      <w:tblPr>
        <w:tblStyle w:val="TableTGAblue"/>
        <w:tblW w:w="8926" w:type="dxa"/>
        <w:tblLook w:val="04A0" w:firstRow="1" w:lastRow="0" w:firstColumn="1" w:lastColumn="0" w:noHBand="0" w:noVBand="1"/>
      </w:tblPr>
      <w:tblGrid>
        <w:gridCol w:w="3204"/>
        <w:gridCol w:w="2861"/>
        <w:gridCol w:w="2861"/>
      </w:tblGrid>
      <w:tr w:rsidR="00A25C19" w:rsidRPr="00FC2C21" w14:paraId="415E982C" w14:textId="77777777" w:rsidTr="00A4695C">
        <w:trPr>
          <w:cnfStyle w:val="100000000000" w:firstRow="1" w:lastRow="0" w:firstColumn="0" w:lastColumn="0" w:oddVBand="0" w:evenVBand="0" w:oddHBand="0" w:evenHBand="0" w:firstRowFirstColumn="0" w:firstRowLastColumn="0" w:lastRowFirstColumn="0" w:lastRowLastColumn="0"/>
        </w:trPr>
        <w:tc>
          <w:tcPr>
            <w:tcW w:w="0" w:type="dxa"/>
          </w:tcPr>
          <w:p w14:paraId="799F3DFC" w14:textId="77777777" w:rsidR="00A25C19" w:rsidRPr="00A4695C" w:rsidRDefault="00A25C19" w:rsidP="00A4695C">
            <w:bookmarkStart w:id="45" w:name="_Hlk81574073"/>
            <w:r w:rsidRPr="00A4695C">
              <w:rPr>
                <w:lang w:eastAsia="en-US"/>
              </w:rPr>
              <w:t>Baseline disease classification</w:t>
            </w:r>
          </w:p>
        </w:tc>
        <w:tc>
          <w:tcPr>
            <w:tcW w:w="0" w:type="dxa"/>
          </w:tcPr>
          <w:p w14:paraId="6D19EAE0" w14:textId="77777777" w:rsidR="00A25C19" w:rsidRPr="00A4695C" w:rsidRDefault="00A25C19" w:rsidP="00A4695C">
            <w:r w:rsidRPr="00A4695C">
              <w:rPr>
                <w:lang w:eastAsia="en-US"/>
              </w:rPr>
              <w:t>Proportion of patients (%) at Week 24 (FAS)</w:t>
            </w:r>
          </w:p>
        </w:tc>
        <w:tc>
          <w:tcPr>
            <w:tcW w:w="0" w:type="dxa"/>
          </w:tcPr>
          <w:p w14:paraId="165476CF" w14:textId="77777777" w:rsidR="00A25C19" w:rsidRPr="00A4695C" w:rsidRDefault="00A25C19" w:rsidP="00A4695C">
            <w:r w:rsidRPr="00A4695C">
              <w:rPr>
                <w:lang w:eastAsia="en-US"/>
              </w:rPr>
              <w:t>Proportion of patients (%) at IA2 (ESS)</w:t>
            </w:r>
          </w:p>
        </w:tc>
      </w:tr>
      <w:tr w:rsidR="00A25C19" w:rsidRPr="00FC2C21" w14:paraId="75DDC050" w14:textId="77777777" w:rsidTr="00A4695C">
        <w:tc>
          <w:tcPr>
            <w:tcW w:w="0" w:type="dxa"/>
          </w:tcPr>
          <w:p w14:paraId="6500B9EE" w14:textId="6A114368" w:rsidR="00A25C19" w:rsidRPr="00A4695C" w:rsidRDefault="00A25C19" w:rsidP="00A4695C">
            <w:r w:rsidRPr="00A4695C">
              <w:rPr>
                <w:lang w:eastAsia="en-US"/>
              </w:rPr>
              <w:t>Zone I (</w:t>
            </w:r>
            <w:r w:rsidR="00194C3D" w:rsidRPr="00A4695C">
              <w:rPr>
                <w:lang w:eastAsia="en-US"/>
              </w:rPr>
              <w:t>Stage 1</w:t>
            </w:r>
            <w:r w:rsidRPr="00A4695C">
              <w:rPr>
                <w:lang w:eastAsia="en-US"/>
              </w:rPr>
              <w:t>+)</w:t>
            </w:r>
          </w:p>
        </w:tc>
        <w:tc>
          <w:tcPr>
            <w:tcW w:w="0" w:type="dxa"/>
          </w:tcPr>
          <w:p w14:paraId="67E9D984" w14:textId="77777777" w:rsidR="00A25C19" w:rsidRPr="00A4695C" w:rsidRDefault="00A25C19" w:rsidP="00A4695C">
            <w:r w:rsidRPr="00A4695C">
              <w:rPr>
                <w:lang w:eastAsia="en-US"/>
              </w:rPr>
              <w:t>1.3</w:t>
            </w:r>
          </w:p>
        </w:tc>
        <w:tc>
          <w:tcPr>
            <w:tcW w:w="0" w:type="dxa"/>
          </w:tcPr>
          <w:p w14:paraId="114A990A" w14:textId="77777777" w:rsidR="00A25C19" w:rsidRPr="00A4695C" w:rsidRDefault="00A25C19" w:rsidP="00A4695C">
            <w:r w:rsidRPr="00A4695C">
              <w:rPr>
                <w:lang w:eastAsia="en-US"/>
              </w:rPr>
              <w:t>1.1</w:t>
            </w:r>
          </w:p>
        </w:tc>
      </w:tr>
      <w:tr w:rsidR="00A25C19" w:rsidRPr="00FC2C21" w14:paraId="729D46F6" w14:textId="77777777" w:rsidTr="00A4695C">
        <w:tc>
          <w:tcPr>
            <w:tcW w:w="0" w:type="dxa"/>
          </w:tcPr>
          <w:p w14:paraId="5727B94B" w14:textId="3353E066" w:rsidR="00A25C19" w:rsidRPr="00A4695C" w:rsidRDefault="00A25C19" w:rsidP="00A4695C">
            <w:r w:rsidRPr="00A4695C">
              <w:rPr>
                <w:lang w:eastAsia="en-US"/>
              </w:rPr>
              <w:t>Zone I (</w:t>
            </w:r>
            <w:r w:rsidR="00194C3D" w:rsidRPr="00A4695C">
              <w:rPr>
                <w:lang w:eastAsia="en-US"/>
              </w:rPr>
              <w:t>Stage 2</w:t>
            </w:r>
            <w:r w:rsidRPr="00A4695C">
              <w:rPr>
                <w:lang w:eastAsia="en-US"/>
              </w:rPr>
              <w:t>+)</w:t>
            </w:r>
          </w:p>
        </w:tc>
        <w:tc>
          <w:tcPr>
            <w:tcW w:w="0" w:type="dxa"/>
          </w:tcPr>
          <w:p w14:paraId="29FC5261" w14:textId="77777777" w:rsidR="00A25C19" w:rsidRPr="00A4695C" w:rsidRDefault="00A25C19" w:rsidP="00A4695C">
            <w:r w:rsidRPr="00A4695C">
              <w:rPr>
                <w:lang w:eastAsia="en-US"/>
              </w:rPr>
              <w:t>4.0</w:t>
            </w:r>
          </w:p>
        </w:tc>
        <w:tc>
          <w:tcPr>
            <w:tcW w:w="0" w:type="dxa"/>
          </w:tcPr>
          <w:p w14:paraId="4FF12ECD" w14:textId="77777777" w:rsidR="00A25C19" w:rsidRPr="00A4695C" w:rsidRDefault="00A25C19" w:rsidP="00A4695C">
            <w:r w:rsidRPr="00A4695C">
              <w:rPr>
                <w:lang w:eastAsia="en-US"/>
              </w:rPr>
              <w:t>4.4</w:t>
            </w:r>
          </w:p>
        </w:tc>
      </w:tr>
      <w:tr w:rsidR="00A25C19" w:rsidRPr="00FC2C21" w14:paraId="3585635F" w14:textId="77777777" w:rsidTr="00A4695C">
        <w:tc>
          <w:tcPr>
            <w:tcW w:w="0" w:type="dxa"/>
          </w:tcPr>
          <w:p w14:paraId="16B83911" w14:textId="33D466F2" w:rsidR="00A25C19" w:rsidRPr="00A4695C" w:rsidRDefault="00A25C19" w:rsidP="00A4695C">
            <w:r w:rsidRPr="00A4695C">
              <w:rPr>
                <w:lang w:eastAsia="en-US"/>
              </w:rPr>
              <w:t>Zone I (</w:t>
            </w:r>
            <w:r w:rsidR="00194C3D" w:rsidRPr="00A4695C">
              <w:rPr>
                <w:lang w:eastAsia="en-US"/>
              </w:rPr>
              <w:t>Stage 3</w:t>
            </w:r>
            <w:r w:rsidRPr="00A4695C">
              <w:rPr>
                <w:lang w:eastAsia="en-US"/>
              </w:rPr>
              <w:t>)</w:t>
            </w:r>
          </w:p>
        </w:tc>
        <w:tc>
          <w:tcPr>
            <w:tcW w:w="0" w:type="dxa"/>
          </w:tcPr>
          <w:p w14:paraId="3471F1A8" w14:textId="77777777" w:rsidR="00A25C19" w:rsidRPr="00A4695C" w:rsidRDefault="00A25C19" w:rsidP="00A4695C">
            <w:r w:rsidRPr="00A4695C">
              <w:rPr>
                <w:lang w:eastAsia="en-US"/>
              </w:rPr>
              <w:t>3.6</w:t>
            </w:r>
          </w:p>
        </w:tc>
        <w:tc>
          <w:tcPr>
            <w:tcW w:w="0" w:type="dxa"/>
          </w:tcPr>
          <w:p w14:paraId="12508184" w14:textId="77777777" w:rsidR="00A25C19" w:rsidRPr="00A4695C" w:rsidRDefault="00A25C19" w:rsidP="00A4695C">
            <w:r w:rsidRPr="00A4695C">
              <w:rPr>
                <w:lang w:eastAsia="en-US"/>
              </w:rPr>
              <w:t>4.4</w:t>
            </w:r>
          </w:p>
        </w:tc>
      </w:tr>
      <w:tr w:rsidR="00A25C19" w:rsidRPr="00FC2C21" w14:paraId="55409660" w14:textId="77777777" w:rsidTr="00A4695C">
        <w:tc>
          <w:tcPr>
            <w:tcW w:w="0" w:type="dxa"/>
          </w:tcPr>
          <w:p w14:paraId="5941F2C0" w14:textId="767E2D19" w:rsidR="00A25C19" w:rsidRPr="00A4695C" w:rsidRDefault="00A25C19" w:rsidP="00A4695C">
            <w:r w:rsidRPr="00A4695C">
              <w:rPr>
                <w:lang w:eastAsia="en-US"/>
              </w:rPr>
              <w:t>Zone I (</w:t>
            </w:r>
            <w:r w:rsidR="00194C3D" w:rsidRPr="00A4695C">
              <w:rPr>
                <w:lang w:eastAsia="en-US"/>
              </w:rPr>
              <w:t>Stage 3</w:t>
            </w:r>
            <w:r w:rsidRPr="00A4695C">
              <w:rPr>
                <w:lang w:eastAsia="en-US"/>
              </w:rPr>
              <w:t>+)</w:t>
            </w:r>
          </w:p>
        </w:tc>
        <w:tc>
          <w:tcPr>
            <w:tcW w:w="0" w:type="dxa"/>
          </w:tcPr>
          <w:p w14:paraId="520A9547" w14:textId="77777777" w:rsidR="00A25C19" w:rsidRPr="00A4695C" w:rsidRDefault="00A25C19" w:rsidP="00A4695C">
            <w:r w:rsidRPr="00A4695C">
              <w:rPr>
                <w:lang w:eastAsia="en-US"/>
              </w:rPr>
              <w:t>16.4</w:t>
            </w:r>
          </w:p>
        </w:tc>
        <w:tc>
          <w:tcPr>
            <w:tcW w:w="0" w:type="dxa"/>
          </w:tcPr>
          <w:p w14:paraId="7B0DA359" w14:textId="77777777" w:rsidR="00A25C19" w:rsidRPr="00A4695C" w:rsidRDefault="00A25C19" w:rsidP="00A4695C">
            <w:r w:rsidRPr="00A4695C">
              <w:rPr>
                <w:lang w:eastAsia="en-US"/>
              </w:rPr>
              <w:t>16.1</w:t>
            </w:r>
          </w:p>
        </w:tc>
      </w:tr>
      <w:tr w:rsidR="00A25C19" w:rsidRPr="00FC2C21" w14:paraId="1209904B" w14:textId="77777777" w:rsidTr="00A4695C">
        <w:tc>
          <w:tcPr>
            <w:tcW w:w="0" w:type="dxa"/>
          </w:tcPr>
          <w:p w14:paraId="29D5C342" w14:textId="61951A75" w:rsidR="00A25C19" w:rsidRPr="00A4695C" w:rsidRDefault="00A25C19" w:rsidP="00A4695C">
            <w:r w:rsidRPr="00A4695C">
              <w:rPr>
                <w:lang w:eastAsia="en-US"/>
              </w:rPr>
              <w:t>Zone II (</w:t>
            </w:r>
            <w:r w:rsidR="00194C3D" w:rsidRPr="00A4695C">
              <w:rPr>
                <w:lang w:eastAsia="en-US"/>
              </w:rPr>
              <w:t>Stage 3</w:t>
            </w:r>
            <w:r w:rsidRPr="00A4695C">
              <w:rPr>
                <w:lang w:eastAsia="en-US"/>
              </w:rPr>
              <w:t>+)</w:t>
            </w:r>
          </w:p>
        </w:tc>
        <w:tc>
          <w:tcPr>
            <w:tcW w:w="0" w:type="dxa"/>
          </w:tcPr>
          <w:p w14:paraId="08B0816A" w14:textId="77777777" w:rsidR="00A25C19" w:rsidRPr="00A4695C" w:rsidRDefault="00A25C19" w:rsidP="00A4695C">
            <w:r w:rsidRPr="00A4695C">
              <w:rPr>
                <w:lang w:eastAsia="en-US"/>
              </w:rPr>
              <w:t>60.0</w:t>
            </w:r>
          </w:p>
        </w:tc>
        <w:tc>
          <w:tcPr>
            <w:tcW w:w="0" w:type="dxa"/>
          </w:tcPr>
          <w:p w14:paraId="76616917" w14:textId="77777777" w:rsidR="00A25C19" w:rsidRPr="00A4695C" w:rsidRDefault="00A25C19" w:rsidP="00A4695C">
            <w:r w:rsidRPr="00A4695C">
              <w:rPr>
                <w:lang w:eastAsia="en-US"/>
              </w:rPr>
              <w:t>60.6</w:t>
            </w:r>
          </w:p>
        </w:tc>
      </w:tr>
      <w:tr w:rsidR="00A25C19" w:rsidRPr="00FC2C21" w14:paraId="5B2A990E" w14:textId="77777777" w:rsidTr="00A4695C">
        <w:tc>
          <w:tcPr>
            <w:tcW w:w="0" w:type="dxa"/>
          </w:tcPr>
          <w:p w14:paraId="13F14752" w14:textId="607E6CD9" w:rsidR="00A25C19" w:rsidRPr="00A4695C" w:rsidRDefault="00A25C19" w:rsidP="00A4695C">
            <w:r w:rsidRPr="00A4695C">
              <w:rPr>
                <w:lang w:eastAsia="en-US"/>
              </w:rPr>
              <w:t>AP-ROP (</w:t>
            </w:r>
            <w:r w:rsidR="006C7293" w:rsidRPr="00A4695C">
              <w:rPr>
                <w:lang w:eastAsia="en-US"/>
              </w:rPr>
              <w:t>z</w:t>
            </w:r>
            <w:r w:rsidRPr="00A4695C">
              <w:rPr>
                <w:lang w:eastAsia="en-US"/>
              </w:rPr>
              <w:t>one I)</w:t>
            </w:r>
          </w:p>
        </w:tc>
        <w:tc>
          <w:tcPr>
            <w:tcW w:w="0" w:type="dxa"/>
          </w:tcPr>
          <w:p w14:paraId="2A49BF80" w14:textId="77777777" w:rsidR="00A25C19" w:rsidRPr="00A4695C" w:rsidRDefault="00A25C19" w:rsidP="00A4695C">
            <w:r w:rsidRPr="00A4695C">
              <w:rPr>
                <w:lang w:eastAsia="en-US"/>
              </w:rPr>
              <w:t>12.9</w:t>
            </w:r>
          </w:p>
        </w:tc>
        <w:tc>
          <w:tcPr>
            <w:tcW w:w="0" w:type="dxa"/>
          </w:tcPr>
          <w:p w14:paraId="6A445981" w14:textId="77777777" w:rsidR="00A25C19" w:rsidRPr="00A4695C" w:rsidRDefault="00A25C19" w:rsidP="00A4695C">
            <w:r w:rsidRPr="00A4695C">
              <w:rPr>
                <w:lang w:eastAsia="en-US"/>
              </w:rPr>
              <w:t>12.2</w:t>
            </w:r>
          </w:p>
        </w:tc>
      </w:tr>
      <w:tr w:rsidR="00A25C19" w:rsidRPr="00FC2C21" w14:paraId="3A9704D1" w14:textId="77777777" w:rsidTr="00A4695C">
        <w:tc>
          <w:tcPr>
            <w:tcW w:w="0" w:type="dxa"/>
          </w:tcPr>
          <w:p w14:paraId="0C3E9D35" w14:textId="10438206" w:rsidR="00A25C19" w:rsidRPr="00A4695C" w:rsidRDefault="00A25C19" w:rsidP="00A4695C">
            <w:r w:rsidRPr="00A4695C">
              <w:rPr>
                <w:lang w:eastAsia="en-US"/>
              </w:rPr>
              <w:t>AP-ROP (</w:t>
            </w:r>
            <w:r w:rsidR="00194C3D" w:rsidRPr="00A4695C">
              <w:rPr>
                <w:lang w:eastAsia="en-US"/>
              </w:rPr>
              <w:t>Zone II</w:t>
            </w:r>
            <w:r w:rsidRPr="00A4695C">
              <w:rPr>
                <w:lang w:eastAsia="en-US"/>
              </w:rPr>
              <w:t>)</w:t>
            </w:r>
          </w:p>
        </w:tc>
        <w:tc>
          <w:tcPr>
            <w:tcW w:w="0" w:type="dxa"/>
          </w:tcPr>
          <w:p w14:paraId="5921BC0A" w14:textId="77777777" w:rsidR="00A25C19" w:rsidRPr="00A4695C" w:rsidRDefault="00A25C19" w:rsidP="00A4695C">
            <w:r w:rsidRPr="00A4695C">
              <w:rPr>
                <w:lang w:eastAsia="en-US"/>
              </w:rPr>
              <w:t>0.4</w:t>
            </w:r>
          </w:p>
        </w:tc>
        <w:tc>
          <w:tcPr>
            <w:tcW w:w="0" w:type="dxa"/>
          </w:tcPr>
          <w:p w14:paraId="7E37B7E7" w14:textId="77777777" w:rsidR="00A25C19" w:rsidRPr="00A4695C" w:rsidRDefault="00A25C19" w:rsidP="00A4695C">
            <w:r w:rsidRPr="00A4695C">
              <w:rPr>
                <w:lang w:eastAsia="en-US"/>
              </w:rPr>
              <w:t>0.6</w:t>
            </w:r>
          </w:p>
        </w:tc>
      </w:tr>
    </w:tbl>
    <w:bookmarkEnd w:id="45"/>
    <w:p w14:paraId="4C6A89BA" w14:textId="4A5B4316" w:rsidR="00FC2C21" w:rsidRPr="003B18CA" w:rsidRDefault="00FC2C21" w:rsidP="00A4695C">
      <w:pPr>
        <w:pStyle w:val="TableDescription"/>
      </w:pPr>
      <w:r>
        <w:t xml:space="preserve">Abbreviations: ESS = </w:t>
      </w:r>
      <w:r w:rsidR="00DD4A8A">
        <w:t>extension safety set</w:t>
      </w:r>
      <w:r>
        <w:t xml:space="preserve">; FAS = full </w:t>
      </w:r>
      <w:r w:rsidR="00DD4A8A">
        <w:t>analysis</w:t>
      </w:r>
      <w:r>
        <w:t xml:space="preserve"> set; IA2 = interim analysis 2.</w:t>
      </w:r>
    </w:p>
    <w:p w14:paraId="38601DD2" w14:textId="0725B3AC" w:rsidR="00A25C19" w:rsidRDefault="00A25C19" w:rsidP="00A25C19">
      <w:pPr>
        <w:pStyle w:val="Heading6"/>
      </w:pPr>
      <w:r>
        <w:lastRenderedPageBreak/>
        <w:t>Primary endpoint results</w:t>
      </w:r>
    </w:p>
    <w:p w14:paraId="4D07E2AB" w14:textId="1702EF9D" w:rsidR="00A25C19" w:rsidRPr="00EB5C2A" w:rsidRDefault="00A25C19" w:rsidP="00EB5C2A">
      <w:pPr>
        <w:pStyle w:val="Heading7"/>
        <w:rPr>
          <w:sz w:val="22"/>
          <w:szCs w:val="22"/>
        </w:rPr>
      </w:pPr>
      <w:r w:rsidRPr="00EB5C2A">
        <w:rPr>
          <w:sz w:val="22"/>
          <w:szCs w:val="22"/>
        </w:rPr>
        <w:t>Treatment success</w:t>
      </w:r>
    </w:p>
    <w:p w14:paraId="5A64E23F" w14:textId="605B3729" w:rsidR="00A25C19" w:rsidRDefault="00A25C19" w:rsidP="00A25C19">
      <w:r>
        <w:t>The proportions of patients achieving treatment succes</w:t>
      </w:r>
      <w:r w:rsidR="00525EFD">
        <w:t>s</w:t>
      </w:r>
      <w:r>
        <w:t xml:space="preserve"> were 80.0%, 75.0% and 66.2%, for the ranibizumab 0.2 mg, ranibizumab 0.1 mg and laser therapy groups, respectively (</w:t>
      </w:r>
      <w:r w:rsidR="00DD4A8A">
        <w:t xml:space="preserve">see </w:t>
      </w:r>
      <w:r w:rsidR="00D572BC">
        <w:fldChar w:fldCharType="begin"/>
      </w:r>
      <w:r w:rsidR="00D572BC">
        <w:instrText xml:space="preserve"> REF _Ref121474895 \h </w:instrText>
      </w:r>
      <w:r w:rsidR="00D572BC">
        <w:fldChar w:fldCharType="separate"/>
      </w:r>
      <w:r w:rsidR="00B12C8C">
        <w:t xml:space="preserve">Table </w:t>
      </w:r>
      <w:r w:rsidR="00B12C8C">
        <w:rPr>
          <w:noProof/>
        </w:rPr>
        <w:t>6</w:t>
      </w:r>
      <w:r w:rsidR="00D572BC">
        <w:fldChar w:fldCharType="end"/>
      </w:r>
      <w:r>
        <w:t>). The differences were not statistically significant.</w:t>
      </w:r>
    </w:p>
    <w:p w14:paraId="46AADA37" w14:textId="7BA2C3EF" w:rsidR="00D572BC" w:rsidRDefault="00D572BC" w:rsidP="00D572BC">
      <w:pPr>
        <w:pStyle w:val="TableTitle"/>
      </w:pPr>
      <w:bookmarkStart w:id="46" w:name="_Ref121474895"/>
      <w:r>
        <w:t xml:space="preserve">Table </w:t>
      </w:r>
      <w:r w:rsidR="002D65F1">
        <w:fldChar w:fldCharType="begin"/>
      </w:r>
      <w:r w:rsidR="002D65F1">
        <w:instrText xml:space="preserve"> SEQ Table \* ARABIC </w:instrText>
      </w:r>
      <w:r w:rsidR="002D65F1">
        <w:fldChar w:fldCharType="separate"/>
      </w:r>
      <w:r w:rsidR="00B12C8C">
        <w:rPr>
          <w:noProof/>
        </w:rPr>
        <w:t>6</w:t>
      </w:r>
      <w:r w:rsidR="002D65F1">
        <w:rPr>
          <w:noProof/>
        </w:rPr>
        <w:fldChar w:fldCharType="end"/>
      </w:r>
      <w:bookmarkEnd w:id="46"/>
      <w:r>
        <w:t xml:space="preserve">: </w:t>
      </w:r>
      <w:r w:rsidR="00B1395F">
        <w:t>Study H2301</w:t>
      </w:r>
      <w:r w:rsidR="00DD4A8A">
        <w:t xml:space="preserve"> (</w:t>
      </w:r>
      <w:r w:rsidRPr="008259EE">
        <w:t>RAINBOW trial</w:t>
      </w:r>
      <w:r w:rsidR="00DD4A8A">
        <w:t>)</w:t>
      </w:r>
      <w:r w:rsidRPr="008259EE">
        <w:t xml:space="preserve"> Treatment success proportions at </w:t>
      </w:r>
      <w:r w:rsidR="00D63797">
        <w:t>Week 24</w:t>
      </w:r>
      <w:r w:rsidRPr="008259EE">
        <w:t xml:space="preserve"> after the first study treatment by treatment group and ROP Zone (</w:t>
      </w:r>
      <w:r w:rsidR="00DD4A8A">
        <w:t>f</w:t>
      </w:r>
      <w:r w:rsidR="00D63797">
        <w:t xml:space="preserve">ull </w:t>
      </w:r>
      <w:r w:rsidR="00DD4A8A">
        <w:t>a</w:t>
      </w:r>
      <w:r w:rsidR="00D63797">
        <w:t xml:space="preserve">nalysis </w:t>
      </w:r>
      <w:r w:rsidR="00DD4A8A">
        <w:t>s</w:t>
      </w:r>
      <w:r w:rsidR="00D63797">
        <w:t>et</w:t>
      </w:r>
      <w:r w:rsidRPr="008259EE">
        <w:t>)</w:t>
      </w:r>
    </w:p>
    <w:p w14:paraId="6C0870C4" w14:textId="77848ED1" w:rsidR="00525EFD" w:rsidRDefault="003D4A79" w:rsidP="00A25C19">
      <w:r>
        <w:rPr>
          <w:noProof/>
          <w:lang w:val="en-GB" w:eastAsia="en-GB"/>
        </w:rPr>
        <w:drawing>
          <wp:inline distT="0" distB="0" distL="0" distR="0" wp14:anchorId="11EEBDDF" wp14:editId="6CA1EFD4">
            <wp:extent cx="5400040" cy="2362200"/>
            <wp:effectExtent l="0" t="0" r="0" b="0"/>
            <wp:docPr id="5" name="Picture 5" descr="This table shows treatment success proportions at Week 24 after the first study treatment by treatment group and ROP Zo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table shows treatment success proportions at Week 24 after the first study treatment by treatment group and ROP Zone (Full Analysis Set)."/>
                    <pic:cNvPicPr/>
                  </pic:nvPicPr>
                  <pic:blipFill rotWithShape="1">
                    <a:blip r:embed="rId24"/>
                    <a:srcRect b="7000"/>
                    <a:stretch/>
                  </pic:blipFill>
                  <pic:spPr bwMode="auto">
                    <a:xfrm>
                      <a:off x="0" y="0"/>
                      <a:ext cx="5400040" cy="2362200"/>
                    </a:xfrm>
                    <a:prstGeom prst="rect">
                      <a:avLst/>
                    </a:prstGeom>
                    <a:ln>
                      <a:noFill/>
                    </a:ln>
                    <a:extLst>
                      <a:ext uri="{53640926-AAD7-44D8-BBD7-CCE9431645EC}">
                        <a14:shadowObscured xmlns:a14="http://schemas.microsoft.com/office/drawing/2010/main"/>
                      </a:ext>
                    </a:extLst>
                  </pic:spPr>
                </pic:pic>
              </a:graphicData>
            </a:graphic>
          </wp:inline>
        </w:drawing>
      </w:r>
    </w:p>
    <w:p w14:paraId="10FD6B5C" w14:textId="426ABB14" w:rsidR="00303FE8" w:rsidRPr="00EB5C2A" w:rsidRDefault="00525EFD" w:rsidP="00EB5C2A">
      <w:pPr>
        <w:pStyle w:val="Heading7"/>
        <w:rPr>
          <w:sz w:val="22"/>
          <w:szCs w:val="22"/>
        </w:rPr>
      </w:pPr>
      <w:r w:rsidRPr="00EB5C2A">
        <w:rPr>
          <w:sz w:val="22"/>
          <w:szCs w:val="22"/>
        </w:rPr>
        <w:t>Ocular structural abnormalities</w:t>
      </w:r>
    </w:p>
    <w:p w14:paraId="5EB64899" w14:textId="65192716" w:rsidR="00525EFD" w:rsidRDefault="00525EFD" w:rsidP="00525EFD">
      <w:r w:rsidRPr="00525EFD">
        <w:t>The proportion of patients with unfavourable structural outcomes in either eye at or before 24 weeks (an individual component of the primary efficacy variable), was lower for the 0.2 mg (1.4%) compared to the 0.1mg (6.7%) group and laser group (10.1%).</w:t>
      </w:r>
    </w:p>
    <w:p w14:paraId="67860B35" w14:textId="562D5AA7" w:rsidR="00525EFD" w:rsidRPr="00EB5C2A" w:rsidRDefault="00525EFD" w:rsidP="00EB5C2A">
      <w:pPr>
        <w:pStyle w:val="Heading7"/>
        <w:rPr>
          <w:sz w:val="22"/>
          <w:szCs w:val="22"/>
        </w:rPr>
      </w:pPr>
      <w:r w:rsidRPr="00EB5C2A">
        <w:rPr>
          <w:sz w:val="22"/>
          <w:szCs w:val="22"/>
        </w:rPr>
        <w:t xml:space="preserve">Comparison using </w:t>
      </w:r>
      <w:r w:rsidR="009835E9" w:rsidRPr="00EB5C2A">
        <w:rPr>
          <w:sz w:val="22"/>
          <w:szCs w:val="22"/>
        </w:rPr>
        <w:t xml:space="preserve">odds ratio </w:t>
      </w:r>
    </w:p>
    <w:p w14:paraId="23FCFEF4" w14:textId="6BD256B8" w:rsidR="00525EFD" w:rsidRDefault="00525EFD" w:rsidP="00525EFD">
      <w:r>
        <w:t>When comparing the ranibizumab 0.2 mg group against the laser group, the</w:t>
      </w:r>
      <w:r w:rsidR="00EB5C2A">
        <w:t xml:space="preserve"> odds ratio </w:t>
      </w:r>
      <w:r>
        <w:t xml:space="preserve">was 2.19 </w:t>
      </w:r>
      <w:r w:rsidR="00EB5C2A">
        <w:t xml:space="preserve">(95% confidence interval (CI): </w:t>
      </w:r>
      <w:r>
        <w:t>0.9932, 4.8235)</w:t>
      </w:r>
      <w:r w:rsidR="00EB5C2A">
        <w:t xml:space="preserve"> with </w:t>
      </w:r>
      <w:r>
        <w:t>p</w:t>
      </w:r>
      <w:r w:rsidR="00E9361B">
        <w:t xml:space="preserve"> </w:t>
      </w:r>
      <w:r>
        <w:t>=</w:t>
      </w:r>
      <w:r w:rsidR="00E9361B">
        <w:t xml:space="preserve"> </w:t>
      </w:r>
      <w:r>
        <w:t xml:space="preserve">0.0254. The </w:t>
      </w:r>
      <w:r w:rsidR="00E9361B">
        <w:t xml:space="preserve">odds ratio </w:t>
      </w:r>
      <w:r>
        <w:t>for the comparison of ranibizumab 0.1 mg versus laser and for ranibizumab 0.2 mg versus ranibizumab 0.1 mg were 1.57 (95% CI: 0.7604, 3.2587) and 1.35 (95% CI: 0.6101, 2.9810), respectively.</w:t>
      </w:r>
    </w:p>
    <w:p w14:paraId="3BCD9DAC" w14:textId="6407B116" w:rsidR="00525EFD" w:rsidRDefault="00525EFD" w:rsidP="00525EFD">
      <w:r>
        <w:t>Risk difference and risk ratio</w:t>
      </w:r>
      <w:r w:rsidR="00E9361B">
        <w:t xml:space="preserve"> do not</w:t>
      </w:r>
      <w:r>
        <w:t xml:space="preserve"> appear to have been reported.</w:t>
      </w:r>
    </w:p>
    <w:p w14:paraId="6988950E" w14:textId="752AFE46" w:rsidR="00C85251" w:rsidRDefault="00C85251" w:rsidP="00525EFD">
      <w:r>
        <w:rPr>
          <w:lang w:eastAsia="ja-JP"/>
        </w:rPr>
        <w:t xml:space="preserve">The primary endpoint subgroup analysis (Week 24) stratified by </w:t>
      </w:r>
      <w:r w:rsidRPr="003409E5">
        <w:rPr>
          <w:lang w:eastAsia="ja-JP"/>
        </w:rPr>
        <w:t>baseline disease classification</w:t>
      </w:r>
      <w:r>
        <w:rPr>
          <w:lang w:eastAsia="ja-JP"/>
        </w:rPr>
        <w:t xml:space="preserve"> is </w:t>
      </w:r>
      <w:r w:rsidRPr="007B0E2C">
        <w:rPr>
          <w:lang w:eastAsia="ja-JP"/>
        </w:rPr>
        <w:t>shown in</w:t>
      </w:r>
      <w:r w:rsidR="0047273B">
        <w:rPr>
          <w:lang w:eastAsia="ja-JP"/>
        </w:rPr>
        <w:t xml:space="preserve"> </w:t>
      </w:r>
      <w:r w:rsidR="0047273B">
        <w:rPr>
          <w:lang w:eastAsia="ja-JP"/>
        </w:rPr>
        <w:fldChar w:fldCharType="begin"/>
      </w:r>
      <w:r w:rsidR="0047273B">
        <w:rPr>
          <w:lang w:eastAsia="ja-JP"/>
        </w:rPr>
        <w:instrText xml:space="preserve"> REF _Ref121474943 \h </w:instrText>
      </w:r>
      <w:r w:rsidR="0047273B">
        <w:rPr>
          <w:lang w:eastAsia="ja-JP"/>
        </w:rPr>
      </w:r>
      <w:r w:rsidR="0047273B">
        <w:rPr>
          <w:lang w:eastAsia="ja-JP"/>
        </w:rPr>
        <w:fldChar w:fldCharType="separate"/>
      </w:r>
      <w:r w:rsidR="00B12C8C">
        <w:t xml:space="preserve">Table </w:t>
      </w:r>
      <w:r w:rsidR="00B12C8C">
        <w:rPr>
          <w:noProof/>
        </w:rPr>
        <w:t>7</w:t>
      </w:r>
      <w:r w:rsidR="0047273B">
        <w:rPr>
          <w:lang w:eastAsia="ja-JP"/>
        </w:rPr>
        <w:fldChar w:fldCharType="end"/>
      </w:r>
      <w:r>
        <w:rPr>
          <w:lang w:eastAsia="ja-JP"/>
        </w:rPr>
        <w:t>.</w:t>
      </w:r>
    </w:p>
    <w:p w14:paraId="46AB41B2" w14:textId="7EB61D76" w:rsidR="003D4A79" w:rsidRDefault="00D572BC" w:rsidP="00D572BC">
      <w:pPr>
        <w:pStyle w:val="TableTitle"/>
        <w:rPr>
          <w:rFonts w:eastAsia="Times New Roman"/>
        </w:rPr>
      </w:pPr>
      <w:bookmarkStart w:id="47" w:name="_Ref121474943"/>
      <w:r>
        <w:lastRenderedPageBreak/>
        <w:t xml:space="preserve">Table </w:t>
      </w:r>
      <w:r w:rsidR="002D65F1">
        <w:fldChar w:fldCharType="begin"/>
      </w:r>
      <w:r w:rsidR="002D65F1">
        <w:instrText xml:space="preserve"> SEQ Table \* ARABIC </w:instrText>
      </w:r>
      <w:r w:rsidR="002D65F1">
        <w:fldChar w:fldCharType="separate"/>
      </w:r>
      <w:r w:rsidR="00B12C8C">
        <w:rPr>
          <w:noProof/>
        </w:rPr>
        <w:t>7</w:t>
      </w:r>
      <w:r w:rsidR="002D65F1">
        <w:rPr>
          <w:noProof/>
        </w:rPr>
        <w:fldChar w:fldCharType="end"/>
      </w:r>
      <w:bookmarkEnd w:id="47"/>
      <w:r>
        <w:t xml:space="preserve">: </w:t>
      </w:r>
      <w:r w:rsidR="00B1395F">
        <w:t>Study H2301</w:t>
      </w:r>
      <w:r w:rsidR="00E9361B">
        <w:t xml:space="preserve"> (</w:t>
      </w:r>
      <w:r w:rsidRPr="00CD2D74">
        <w:t>RAINBOW trial</w:t>
      </w:r>
      <w:r w:rsidR="00E9361B">
        <w:t>)</w:t>
      </w:r>
      <w:r w:rsidRPr="00CD2D74">
        <w:t xml:space="preserve"> </w:t>
      </w:r>
      <w:r w:rsidR="00C60538">
        <w:rPr>
          <w:rFonts w:eastAsia="Times New Roman"/>
        </w:rPr>
        <w:t>Proportion of patients with absence of active ROP and unfavourable structural outcomes in both eyes at the Week 24 visit by core study baseline ROP disease (</w:t>
      </w:r>
      <w:r w:rsidR="00E9361B">
        <w:rPr>
          <w:rFonts w:eastAsia="Times New Roman"/>
        </w:rPr>
        <w:t>e</w:t>
      </w:r>
      <w:r w:rsidR="00C60538">
        <w:rPr>
          <w:rFonts w:eastAsia="Times New Roman"/>
        </w:rPr>
        <w:t xml:space="preserve">xtension study </w:t>
      </w:r>
      <w:r w:rsidR="00E9361B">
        <w:rPr>
          <w:rFonts w:eastAsia="Times New Roman"/>
        </w:rPr>
        <w:t>s</w:t>
      </w:r>
      <w:r w:rsidR="00C60538">
        <w:rPr>
          <w:rFonts w:eastAsia="Times New Roman"/>
        </w:rPr>
        <w:t xml:space="preserve">afety </w:t>
      </w:r>
      <w:r w:rsidR="00E9361B">
        <w:rPr>
          <w:rFonts w:eastAsia="Times New Roman"/>
        </w:rPr>
        <w:t>s</w:t>
      </w:r>
      <w:r w:rsidR="00C60538">
        <w:rPr>
          <w:rFonts w:eastAsia="Times New Roman"/>
        </w:rPr>
        <w:t>et).</w:t>
      </w:r>
    </w:p>
    <w:p w14:paraId="11FB27EA" w14:textId="77DE67A2" w:rsidR="00202503" w:rsidRDefault="00202503" w:rsidP="00D572BC">
      <w:pPr>
        <w:pStyle w:val="TableTitle"/>
      </w:pPr>
      <w:r>
        <w:rPr>
          <w:noProof/>
          <w:lang w:val="en-GB" w:eastAsia="en-GB"/>
        </w:rPr>
        <w:drawing>
          <wp:inline distT="0" distB="0" distL="0" distR="0" wp14:anchorId="2A3A98E1" wp14:editId="03213710">
            <wp:extent cx="5400040" cy="1657985"/>
            <wp:effectExtent l="0" t="0" r="0" b="0"/>
            <wp:docPr id="15" name="Picture 15" descr="This table shows the proportion of patients with absence of active ROP and unfavourable structural outcomes in both eyes at the Week 24 visit by core study baseline ROP disease (Extension stud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table shows the proportion of patients with absence of active ROP and unfavourable structural outcomes in both eyes at the Week 24 visit by core study baseline ROP disease (Extension study Safety Set)."/>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400040" cy="1657985"/>
                    </a:xfrm>
                    <a:prstGeom prst="rect">
                      <a:avLst/>
                    </a:prstGeom>
                  </pic:spPr>
                </pic:pic>
              </a:graphicData>
            </a:graphic>
          </wp:inline>
        </w:drawing>
      </w:r>
    </w:p>
    <w:p w14:paraId="6CC4FFDA" w14:textId="70A53801" w:rsidR="00202503" w:rsidRDefault="00202503" w:rsidP="00BF34AC">
      <w:pPr>
        <w:pStyle w:val="TableDescription"/>
      </w:pPr>
      <w:r>
        <w:t>Abbreviations:</w:t>
      </w:r>
      <w:r w:rsidRPr="00202503">
        <w:t xml:space="preserve"> </w:t>
      </w:r>
      <w:r>
        <w:t>n: Number of subjects with absence of active ROP and absence of unfavourable structural outcomes in both eyes 24 weeks after the first study treatment (including imputed values); M: The total number of subjects with non-missing value on primary efficacy outcome (including imputed values).</w:t>
      </w:r>
    </w:p>
    <w:p w14:paraId="1F6A48D6" w14:textId="21B15BA7" w:rsidR="00202503" w:rsidRDefault="00202503" w:rsidP="00BF34AC">
      <w:pPr>
        <w:pStyle w:val="TableDescription"/>
      </w:pPr>
      <w:r>
        <w:t>Notes: If a subject died or switched study treatment before or at week 24, then the subject will be considered as having active ROP and unfavourable structural outcomes at week 24.</w:t>
      </w:r>
    </w:p>
    <w:p w14:paraId="37411509" w14:textId="77777777" w:rsidR="00525EFD" w:rsidRDefault="00525EFD" w:rsidP="00525EFD">
      <w:r>
        <w:t>As the primary endpoint did not reach statistical significance, the key secondary endpoints were not tested.</w:t>
      </w:r>
    </w:p>
    <w:p w14:paraId="20FACD5C" w14:textId="3DD6A8A8" w:rsidR="00525EFD" w:rsidRPr="00303FE8" w:rsidRDefault="00525EFD" w:rsidP="00525EFD">
      <w:pPr>
        <w:rPr>
          <w:i/>
          <w:iCs/>
        </w:rPr>
      </w:pPr>
      <w:r w:rsidRPr="00303FE8">
        <w:rPr>
          <w:i/>
          <w:iCs/>
        </w:rPr>
        <w:t>Post-</w:t>
      </w:r>
      <w:r w:rsidR="007E6D6B" w:rsidRPr="00303FE8">
        <w:rPr>
          <w:i/>
          <w:iCs/>
        </w:rPr>
        <w:t>B</w:t>
      </w:r>
      <w:r w:rsidRPr="00303FE8">
        <w:rPr>
          <w:i/>
          <w:iCs/>
        </w:rPr>
        <w:t>aseline intervention</w:t>
      </w:r>
    </w:p>
    <w:p w14:paraId="08E88B9B" w14:textId="77777777" w:rsidR="00525EFD" w:rsidRDefault="00525EFD" w:rsidP="00525EFD">
      <w:r w:rsidRPr="00525EFD">
        <w:t>The proportion of patients with recurrence of ROP requiring any post-</w:t>
      </w:r>
      <w:r>
        <w:t>B</w:t>
      </w:r>
      <w:r w:rsidRPr="00525EFD">
        <w:t>aseline intervention at or before 24 weeks was higher in the ranibizumab groups (31.1% for 0.2</w:t>
      </w:r>
      <w:r>
        <w:t> </w:t>
      </w:r>
      <w:r w:rsidRPr="00525EFD">
        <w:t>mg) than in the laser group (18.9%).</w:t>
      </w:r>
    </w:p>
    <w:p w14:paraId="7B370EEE" w14:textId="7F425D1B" w:rsidR="00525EFD" w:rsidRDefault="00B1395F" w:rsidP="00525EFD">
      <w:pPr>
        <w:pStyle w:val="Heading5"/>
      </w:pPr>
      <w:r>
        <w:t>Study H2301</w:t>
      </w:r>
      <w:r w:rsidR="00525EFD">
        <w:t>E1 (RAINBOW extension</w:t>
      </w:r>
      <w:r w:rsidR="003047C5">
        <w:t xml:space="preserve"> trial</w:t>
      </w:r>
      <w:r w:rsidR="00525EFD">
        <w:t>)</w:t>
      </w:r>
    </w:p>
    <w:p w14:paraId="646B023D" w14:textId="1DDA9BED" w:rsidR="00525EFD" w:rsidRDefault="00525EFD" w:rsidP="00525EFD">
      <w:r>
        <w:t>Ranibizumab re-treatment was permitted up to Week 40 (</w:t>
      </w:r>
      <w:r w:rsidR="00E9361B">
        <w:t xml:space="preserve">that is, up to </w:t>
      </w:r>
      <w:r>
        <w:t xml:space="preserve">40 weeks </w:t>
      </w:r>
      <w:r w:rsidR="00E9361B">
        <w:t>after the b</w:t>
      </w:r>
      <w:r>
        <w:t xml:space="preserve">aseline treatment in </w:t>
      </w:r>
      <w:r w:rsidR="00B1395F">
        <w:t>Study H2301</w:t>
      </w:r>
      <w:r w:rsidR="00E9361B">
        <w:t xml:space="preserve"> (the </w:t>
      </w:r>
      <w:r>
        <w:t>RAINBOW</w:t>
      </w:r>
      <w:r w:rsidR="003047C5">
        <w:t xml:space="preserve"> trial</w:t>
      </w:r>
      <w:r>
        <w:t>)</w:t>
      </w:r>
      <w:r w:rsidR="00E9361B">
        <w:t>)</w:t>
      </w:r>
      <w:r>
        <w:t>. One patient in the ranibizumab 0.1 mg group received ranibizumab re-treatment at the extension study Baseline visit, with no additional patients requiring ranibizumab re-treatment during the extension study.</w:t>
      </w:r>
    </w:p>
    <w:p w14:paraId="508F7166" w14:textId="77777777" w:rsidR="00525EFD" w:rsidRDefault="00525EFD" w:rsidP="00525EFD">
      <w:pPr>
        <w:pStyle w:val="Heading6"/>
      </w:pPr>
      <w:r>
        <w:t>Magnitude of the treatment effect and its clinical significance</w:t>
      </w:r>
    </w:p>
    <w:p w14:paraId="29FE2448" w14:textId="00DD0C5F" w:rsidR="00525EFD" w:rsidRDefault="00B1395F" w:rsidP="00525EFD">
      <w:r>
        <w:t>Study H2301</w:t>
      </w:r>
      <w:r w:rsidR="00E9361B">
        <w:t>E1 (</w:t>
      </w:r>
      <w:r w:rsidR="00525EFD">
        <w:t xml:space="preserve">RAINBOW extension </w:t>
      </w:r>
      <w:r w:rsidR="003047C5">
        <w:t>trial</w:t>
      </w:r>
      <w:r w:rsidR="00E9361B">
        <w:t>)</w:t>
      </w:r>
      <w:r w:rsidR="00525EFD">
        <w:t xml:space="preserve"> had 180 patients</w:t>
      </w:r>
      <w:r w:rsidR="00E9361B">
        <w:t xml:space="preserve"> (89.6%) </w:t>
      </w:r>
      <w:r w:rsidR="00525EFD">
        <w:t>entering the study</w:t>
      </w:r>
      <w:r w:rsidR="00E9361B">
        <w:t xml:space="preserve"> from </w:t>
      </w:r>
      <w:r>
        <w:t>Study H2301</w:t>
      </w:r>
      <w:r w:rsidR="00E9361B">
        <w:t xml:space="preserve"> (the RAINBOW trial, discussed above). Of these 180 patients, </w:t>
      </w:r>
      <w:r w:rsidR="00525EFD">
        <w:t>166</w:t>
      </w:r>
      <w:r w:rsidR="00E9361B">
        <w:t> </w:t>
      </w:r>
      <w:r w:rsidR="00525EFD">
        <w:t>(92.2%) patients</w:t>
      </w:r>
      <w:r w:rsidR="00E9361B">
        <w:t xml:space="preserve"> were still in the study </w:t>
      </w:r>
      <w:r w:rsidR="00525EFD">
        <w:t>at the time of data cut-off for the pre</w:t>
      </w:r>
      <w:r w:rsidR="00E9361B">
        <w:noBreakHyphen/>
      </w:r>
      <w:r w:rsidR="00525EFD">
        <w:t>specified second interim analysis (IA2).</w:t>
      </w:r>
    </w:p>
    <w:p w14:paraId="52FB0DF5" w14:textId="435CCAD1" w:rsidR="00525EFD" w:rsidRDefault="00525EFD" w:rsidP="00525EFD">
      <w:r>
        <w:t>In each of the ranibizumab groups</w:t>
      </w:r>
      <w:r w:rsidR="00E9361B">
        <w:t xml:space="preserve"> (that is 0.1 mg, and 0.2 mg ranibizumab</w:t>
      </w:r>
      <w:r w:rsidR="00B93302">
        <w:t xml:space="preserve"> dose groups</w:t>
      </w:r>
      <w:r w:rsidR="00E9361B">
        <w:t>),</w:t>
      </w:r>
      <w:r>
        <w:t xml:space="preserve"> </w:t>
      </w:r>
      <w:r w:rsidRPr="00525EFD">
        <w:t xml:space="preserve">77% of patients </w:t>
      </w:r>
      <w:r>
        <w:t>received initial bilateral treatment only.</w:t>
      </w:r>
    </w:p>
    <w:p w14:paraId="3686D8E3" w14:textId="7095CA13" w:rsidR="00525EFD" w:rsidRDefault="00525EFD" w:rsidP="00525EFD">
      <w:pPr>
        <w:pStyle w:val="Heading6"/>
      </w:pPr>
      <w:r w:rsidRPr="00525EFD">
        <w:t>Primary endpoint results</w:t>
      </w:r>
    </w:p>
    <w:p w14:paraId="088BF3A3" w14:textId="4B7EA5C8" w:rsidR="00D44FB5" w:rsidRDefault="00525EFD" w:rsidP="00D44FB5">
      <w:r w:rsidRPr="00525EFD">
        <w:t xml:space="preserve">At the </w:t>
      </w:r>
      <w:r w:rsidR="00FF2EB0">
        <w:t>2</w:t>
      </w:r>
      <w:r w:rsidR="00070436">
        <w:t>-</w:t>
      </w:r>
      <w:r w:rsidR="00FF2EB0">
        <w:t>year</w:t>
      </w:r>
      <w:r w:rsidRPr="00525EFD">
        <w:t xml:space="preserve"> visit, treatment success proportions (absence of all ocular structural abnormalities) were 98.3% in the ranibizumab 0.2 mg group, 93.8% in the 0.1 mg group and 88.7% in the laser group (</w:t>
      </w:r>
      <w:r w:rsidR="00B93302">
        <w:t xml:space="preserve">see </w:t>
      </w:r>
      <w:r w:rsidR="0047273B">
        <w:fldChar w:fldCharType="begin"/>
      </w:r>
      <w:r w:rsidR="0047273B">
        <w:instrText xml:space="preserve"> REF _Ref121474990 \h </w:instrText>
      </w:r>
      <w:r w:rsidR="00D44FB5">
        <w:instrText xml:space="preserve"> \* MERGEFORMAT </w:instrText>
      </w:r>
      <w:r w:rsidR="0047273B">
        <w:fldChar w:fldCharType="separate"/>
      </w:r>
      <w:r w:rsidR="00B12C8C">
        <w:t xml:space="preserve">Table </w:t>
      </w:r>
      <w:r w:rsidR="00B12C8C">
        <w:rPr>
          <w:noProof/>
        </w:rPr>
        <w:t>8</w:t>
      </w:r>
      <w:r w:rsidR="0047273B">
        <w:fldChar w:fldCharType="end"/>
      </w:r>
      <w:r w:rsidR="00B93302">
        <w:t>, below</w:t>
      </w:r>
      <w:r w:rsidRPr="00525EFD">
        <w:t>). There were no cases of recurrence of ROP in any treatment group after 40 weeks and no cases of active ROP at the 2</w:t>
      </w:r>
      <w:r w:rsidR="00070436">
        <w:t>-</w:t>
      </w:r>
      <w:r w:rsidRPr="00525EFD">
        <w:t xml:space="preserve">year visit. Detailed data on absence of individual ocular structural abnormalities are </w:t>
      </w:r>
      <w:r w:rsidR="00B93302">
        <w:t>shown in</w:t>
      </w:r>
      <w:r w:rsidR="00D44FB5">
        <w:t xml:space="preserve"> </w:t>
      </w:r>
      <w:r w:rsidR="00B93302">
        <w:fldChar w:fldCharType="begin"/>
      </w:r>
      <w:r w:rsidR="00B93302">
        <w:instrText xml:space="preserve"> REF _Ref132899154 \h </w:instrText>
      </w:r>
      <w:r w:rsidR="00B93302">
        <w:fldChar w:fldCharType="separate"/>
      </w:r>
      <w:r w:rsidR="00B93302">
        <w:t>Table </w:t>
      </w:r>
      <w:r w:rsidR="00B93302">
        <w:rPr>
          <w:noProof/>
        </w:rPr>
        <w:t>9</w:t>
      </w:r>
      <w:r w:rsidR="00B93302">
        <w:fldChar w:fldCharType="end"/>
      </w:r>
      <w:r w:rsidR="00B93302">
        <w:t>.</w:t>
      </w:r>
    </w:p>
    <w:p w14:paraId="5C63FF39" w14:textId="569BABA7" w:rsidR="0047273B" w:rsidRPr="00525EFD" w:rsidRDefault="0047273B" w:rsidP="0047273B">
      <w:pPr>
        <w:pStyle w:val="TableTitle"/>
      </w:pPr>
      <w:bookmarkStart w:id="48" w:name="_Ref121474990"/>
      <w:r>
        <w:lastRenderedPageBreak/>
        <w:t xml:space="preserve">Table </w:t>
      </w:r>
      <w:r w:rsidR="002D65F1">
        <w:fldChar w:fldCharType="begin"/>
      </w:r>
      <w:r w:rsidR="002D65F1">
        <w:instrText xml:space="preserve"> SEQ Table \* ARABIC </w:instrText>
      </w:r>
      <w:r w:rsidR="002D65F1">
        <w:fldChar w:fldCharType="separate"/>
      </w:r>
      <w:r w:rsidR="00B12C8C">
        <w:rPr>
          <w:noProof/>
        </w:rPr>
        <w:t>8</w:t>
      </w:r>
      <w:r w:rsidR="002D65F1">
        <w:rPr>
          <w:noProof/>
        </w:rPr>
        <w:fldChar w:fldCharType="end"/>
      </w:r>
      <w:bookmarkEnd w:id="48"/>
      <w:r>
        <w:t xml:space="preserve">: </w:t>
      </w:r>
      <w:r w:rsidR="00B1395F">
        <w:t>Study H2301</w:t>
      </w:r>
      <w:r w:rsidR="00B93302">
        <w:t>/E1 (</w:t>
      </w:r>
      <w:r w:rsidRPr="00433DFD">
        <w:t xml:space="preserve">RAINBOW </w:t>
      </w:r>
      <w:r w:rsidR="00B93302">
        <w:t xml:space="preserve">trial </w:t>
      </w:r>
      <w:r w:rsidRPr="00433DFD">
        <w:t>and extension trial</w:t>
      </w:r>
      <w:r w:rsidR="00B93302">
        <w:t>)</w:t>
      </w:r>
      <w:r w:rsidRPr="00433DFD">
        <w:t xml:space="preserve"> Treatment success proportions at different timepoints by treatment group (</w:t>
      </w:r>
      <w:r w:rsidR="00B93302" w:rsidRPr="00433DFD">
        <w:t>full analysis set or extension safety set</w:t>
      </w:r>
      <w:r w:rsidRPr="00433DFD">
        <w:t>)</w:t>
      </w:r>
    </w:p>
    <w:tbl>
      <w:tblPr>
        <w:tblStyle w:val="TableTGAblue"/>
        <w:tblW w:w="0" w:type="auto"/>
        <w:tblLook w:val="04A0" w:firstRow="1" w:lastRow="0" w:firstColumn="1" w:lastColumn="0" w:noHBand="0" w:noVBand="1"/>
      </w:tblPr>
      <w:tblGrid>
        <w:gridCol w:w="1085"/>
        <w:gridCol w:w="1901"/>
        <w:gridCol w:w="1901"/>
        <w:gridCol w:w="1853"/>
        <w:gridCol w:w="1744"/>
      </w:tblGrid>
      <w:tr w:rsidR="00525EFD" w:rsidRPr="00E664A0" w14:paraId="287C0291" w14:textId="77777777" w:rsidTr="00A4695C">
        <w:trPr>
          <w:cnfStyle w:val="100000000000" w:firstRow="1" w:lastRow="0" w:firstColumn="0" w:lastColumn="0" w:oddVBand="0" w:evenVBand="0" w:oddHBand="0" w:evenHBand="0" w:firstRowFirstColumn="0" w:firstRowLastColumn="0" w:lastRowFirstColumn="0" w:lastRowLastColumn="0"/>
        </w:trPr>
        <w:tc>
          <w:tcPr>
            <w:tcW w:w="1085" w:type="dxa"/>
          </w:tcPr>
          <w:p w14:paraId="02ED2623" w14:textId="77777777" w:rsidR="00525EFD" w:rsidRPr="00E664A0" w:rsidRDefault="00525EFD" w:rsidP="00791BA8">
            <w:pPr>
              <w:rPr>
                <w:b w:val="0"/>
                <w:bCs/>
              </w:rPr>
            </w:pPr>
          </w:p>
        </w:tc>
        <w:tc>
          <w:tcPr>
            <w:tcW w:w="1901" w:type="dxa"/>
            <w:vAlign w:val="bottom"/>
          </w:tcPr>
          <w:p w14:paraId="5EDCC117" w14:textId="77777777" w:rsidR="00525EFD" w:rsidRPr="00E664A0" w:rsidRDefault="00525EFD" w:rsidP="00A4695C">
            <w:pPr>
              <w:ind w:left="0"/>
              <w:jc w:val="center"/>
              <w:rPr>
                <w:b w:val="0"/>
                <w:bCs/>
              </w:rPr>
            </w:pPr>
            <w:r w:rsidRPr="00E664A0">
              <w:rPr>
                <w:bCs/>
              </w:rPr>
              <w:t>Ranibizumab</w:t>
            </w:r>
            <w:r>
              <w:rPr>
                <w:bCs/>
              </w:rPr>
              <w:t xml:space="preserve"> </w:t>
            </w:r>
            <w:r w:rsidRPr="00E664A0">
              <w:rPr>
                <w:bCs/>
              </w:rPr>
              <w:t>0.2</w:t>
            </w:r>
            <w:r>
              <w:rPr>
                <w:bCs/>
              </w:rPr>
              <w:t xml:space="preserve"> mg</w:t>
            </w:r>
          </w:p>
        </w:tc>
        <w:tc>
          <w:tcPr>
            <w:tcW w:w="1901" w:type="dxa"/>
            <w:vAlign w:val="bottom"/>
          </w:tcPr>
          <w:p w14:paraId="55E867EC" w14:textId="33231E78" w:rsidR="00525EFD" w:rsidRPr="00E664A0" w:rsidRDefault="00525EFD" w:rsidP="00A4695C">
            <w:pPr>
              <w:ind w:left="0"/>
              <w:jc w:val="center"/>
              <w:rPr>
                <w:b w:val="0"/>
                <w:bCs/>
              </w:rPr>
            </w:pPr>
            <w:r w:rsidRPr="00E664A0">
              <w:rPr>
                <w:bCs/>
              </w:rPr>
              <w:t>Ranibizumab</w:t>
            </w:r>
            <w:r>
              <w:rPr>
                <w:bCs/>
              </w:rPr>
              <w:t xml:space="preserve"> </w:t>
            </w:r>
            <w:r w:rsidRPr="00E664A0">
              <w:rPr>
                <w:bCs/>
              </w:rPr>
              <w:t>0.1</w:t>
            </w:r>
            <w:r>
              <w:rPr>
                <w:bCs/>
              </w:rPr>
              <w:t xml:space="preserve"> mg</w:t>
            </w:r>
          </w:p>
        </w:tc>
        <w:tc>
          <w:tcPr>
            <w:tcW w:w="1853" w:type="dxa"/>
            <w:vAlign w:val="bottom"/>
          </w:tcPr>
          <w:p w14:paraId="4FE7AE09" w14:textId="77777777" w:rsidR="00525EFD" w:rsidRPr="00E664A0" w:rsidRDefault="00525EFD" w:rsidP="00A4695C">
            <w:pPr>
              <w:ind w:left="0"/>
              <w:jc w:val="center"/>
              <w:rPr>
                <w:b w:val="0"/>
                <w:bCs/>
              </w:rPr>
            </w:pPr>
            <w:r w:rsidRPr="00E664A0">
              <w:rPr>
                <w:bCs/>
              </w:rPr>
              <w:t>Laser</w:t>
            </w:r>
            <w:r>
              <w:rPr>
                <w:bCs/>
              </w:rPr>
              <w:t xml:space="preserve"> therapy</w:t>
            </w:r>
          </w:p>
        </w:tc>
        <w:tc>
          <w:tcPr>
            <w:tcW w:w="1744" w:type="dxa"/>
            <w:vAlign w:val="bottom"/>
          </w:tcPr>
          <w:p w14:paraId="060C7F4B" w14:textId="77777777" w:rsidR="00525EFD" w:rsidRPr="00E664A0" w:rsidRDefault="00525EFD" w:rsidP="00A4695C">
            <w:pPr>
              <w:jc w:val="center"/>
              <w:rPr>
                <w:b w:val="0"/>
                <w:bCs/>
              </w:rPr>
            </w:pPr>
            <w:r w:rsidRPr="00E664A0">
              <w:rPr>
                <w:bCs/>
              </w:rPr>
              <w:t>Comments</w:t>
            </w:r>
          </w:p>
        </w:tc>
      </w:tr>
      <w:tr w:rsidR="00525EFD" w14:paraId="018461F2" w14:textId="77777777" w:rsidTr="00A4695C">
        <w:tc>
          <w:tcPr>
            <w:tcW w:w="1085" w:type="dxa"/>
            <w:tcMar>
              <w:left w:w="57" w:type="dxa"/>
              <w:right w:w="57" w:type="dxa"/>
            </w:tcMar>
            <w:vAlign w:val="center"/>
          </w:tcPr>
          <w:p w14:paraId="387B2F7F" w14:textId="77777777" w:rsidR="00525EFD" w:rsidRPr="00E664A0" w:rsidRDefault="00525EFD" w:rsidP="00A4695C">
            <w:pPr>
              <w:ind w:left="0" w:right="0"/>
              <w:jc w:val="center"/>
              <w:rPr>
                <w:b/>
                <w:bCs/>
              </w:rPr>
            </w:pPr>
            <w:r w:rsidRPr="00E664A0">
              <w:rPr>
                <w:b/>
                <w:bCs/>
              </w:rPr>
              <w:t>Week 24 (FAS)</w:t>
            </w:r>
          </w:p>
        </w:tc>
        <w:tc>
          <w:tcPr>
            <w:tcW w:w="1901" w:type="dxa"/>
            <w:tcMar>
              <w:left w:w="57" w:type="dxa"/>
              <w:right w:w="57" w:type="dxa"/>
            </w:tcMar>
            <w:vAlign w:val="center"/>
          </w:tcPr>
          <w:p w14:paraId="365E5F51" w14:textId="77777777" w:rsidR="00B93302" w:rsidRDefault="00525EFD" w:rsidP="00A4695C">
            <w:pPr>
              <w:ind w:left="0" w:right="0"/>
              <w:jc w:val="center"/>
            </w:pPr>
            <w:r w:rsidRPr="00E8712B">
              <w:t>56/70</w:t>
            </w:r>
          </w:p>
          <w:p w14:paraId="42ED8736" w14:textId="6554B0B7" w:rsidR="00B93302" w:rsidRDefault="00525EFD" w:rsidP="00A4695C">
            <w:pPr>
              <w:ind w:left="0" w:right="0"/>
              <w:jc w:val="center"/>
            </w:pPr>
            <w:r w:rsidRPr="00E8712B">
              <w:t>(80.0%)</w:t>
            </w:r>
          </w:p>
          <w:p w14:paraId="68D9E52A" w14:textId="7D0C557C" w:rsidR="00525EFD" w:rsidRPr="00E8712B" w:rsidRDefault="00525EFD" w:rsidP="00A4695C">
            <w:pPr>
              <w:ind w:left="0" w:right="0"/>
              <w:jc w:val="center"/>
            </w:pPr>
            <w:r w:rsidRPr="00E8712B">
              <w:t>(0.6873, 0.8861)</w:t>
            </w:r>
          </w:p>
        </w:tc>
        <w:tc>
          <w:tcPr>
            <w:tcW w:w="1901" w:type="dxa"/>
            <w:tcMar>
              <w:left w:w="57" w:type="dxa"/>
              <w:right w:w="57" w:type="dxa"/>
            </w:tcMar>
            <w:vAlign w:val="center"/>
          </w:tcPr>
          <w:p w14:paraId="3EE23AEB" w14:textId="77777777" w:rsidR="00B93302" w:rsidRDefault="00525EFD" w:rsidP="00A4695C">
            <w:pPr>
              <w:ind w:left="0" w:right="0"/>
              <w:jc w:val="center"/>
            </w:pPr>
            <w:r w:rsidRPr="00E8712B">
              <w:t>57/76</w:t>
            </w:r>
          </w:p>
          <w:p w14:paraId="246FE06F" w14:textId="5D3883A9" w:rsidR="00B93302" w:rsidRDefault="00525EFD" w:rsidP="00A4695C">
            <w:pPr>
              <w:ind w:left="0" w:right="0"/>
              <w:jc w:val="center"/>
            </w:pPr>
            <w:r w:rsidRPr="00E8712B">
              <w:t>(75.0%)</w:t>
            </w:r>
          </w:p>
          <w:p w14:paraId="0A3967C9" w14:textId="5C1FCFEC" w:rsidR="00525EFD" w:rsidRPr="00E8712B" w:rsidRDefault="00525EFD" w:rsidP="00A4695C">
            <w:pPr>
              <w:ind w:left="0" w:right="0"/>
              <w:jc w:val="center"/>
            </w:pPr>
            <w:r w:rsidRPr="00E8712B">
              <w:t>(0.6374, 0.8423)</w:t>
            </w:r>
          </w:p>
        </w:tc>
        <w:tc>
          <w:tcPr>
            <w:tcW w:w="1853" w:type="dxa"/>
            <w:tcMar>
              <w:left w:w="57" w:type="dxa"/>
              <w:right w:w="57" w:type="dxa"/>
            </w:tcMar>
            <w:vAlign w:val="center"/>
          </w:tcPr>
          <w:p w14:paraId="27259BC3" w14:textId="77777777" w:rsidR="00B93302" w:rsidRDefault="00525EFD" w:rsidP="00A4695C">
            <w:pPr>
              <w:ind w:left="0" w:right="0"/>
              <w:jc w:val="center"/>
            </w:pPr>
            <w:r w:rsidRPr="00E8712B">
              <w:t>45/68</w:t>
            </w:r>
          </w:p>
          <w:p w14:paraId="2F55D1AE" w14:textId="4B786F4B" w:rsidR="00B93302" w:rsidRDefault="00525EFD" w:rsidP="00A4695C">
            <w:pPr>
              <w:ind w:left="0" w:right="0"/>
              <w:jc w:val="center"/>
            </w:pPr>
            <w:r w:rsidRPr="00E8712B">
              <w:t>(66.2%)</w:t>
            </w:r>
          </w:p>
          <w:p w14:paraId="574F303B" w14:textId="665272ED" w:rsidR="00525EFD" w:rsidRPr="00E8712B" w:rsidRDefault="00525EFD" w:rsidP="00A4695C">
            <w:pPr>
              <w:ind w:left="0" w:right="0"/>
              <w:jc w:val="center"/>
            </w:pPr>
            <w:r w:rsidRPr="00E8712B">
              <w:t>(0.5368, 0.7721)</w:t>
            </w:r>
          </w:p>
        </w:tc>
        <w:tc>
          <w:tcPr>
            <w:tcW w:w="1744" w:type="dxa"/>
            <w:tcMar>
              <w:left w:w="57" w:type="dxa"/>
              <w:right w:w="57" w:type="dxa"/>
            </w:tcMar>
          </w:tcPr>
          <w:p w14:paraId="13FA39B4" w14:textId="77777777" w:rsidR="00525EFD" w:rsidRDefault="00525EFD" w:rsidP="00A4695C">
            <w:pPr>
              <w:ind w:left="0" w:right="0"/>
            </w:pPr>
          </w:p>
        </w:tc>
      </w:tr>
      <w:tr w:rsidR="00525EFD" w14:paraId="154BA61B" w14:textId="77777777" w:rsidTr="00A4695C">
        <w:tc>
          <w:tcPr>
            <w:tcW w:w="1085" w:type="dxa"/>
            <w:tcMar>
              <w:left w:w="57" w:type="dxa"/>
              <w:right w:w="57" w:type="dxa"/>
            </w:tcMar>
            <w:vAlign w:val="center"/>
          </w:tcPr>
          <w:p w14:paraId="4EAE3331" w14:textId="77777777" w:rsidR="00525EFD" w:rsidRPr="00E664A0" w:rsidRDefault="00525EFD" w:rsidP="00A4695C">
            <w:pPr>
              <w:ind w:left="0" w:right="0"/>
              <w:jc w:val="center"/>
              <w:rPr>
                <w:b/>
                <w:bCs/>
              </w:rPr>
            </w:pPr>
            <w:r w:rsidRPr="00E664A0">
              <w:rPr>
                <w:b/>
                <w:bCs/>
              </w:rPr>
              <w:t>Week 40 (ESS)</w:t>
            </w:r>
          </w:p>
        </w:tc>
        <w:tc>
          <w:tcPr>
            <w:tcW w:w="1901" w:type="dxa"/>
            <w:tcMar>
              <w:left w:w="57" w:type="dxa"/>
              <w:right w:w="57" w:type="dxa"/>
            </w:tcMar>
            <w:vAlign w:val="center"/>
          </w:tcPr>
          <w:p w14:paraId="7A567322" w14:textId="77777777" w:rsidR="00B93302" w:rsidRDefault="00525EFD" w:rsidP="00A4695C">
            <w:pPr>
              <w:ind w:left="0" w:right="0"/>
              <w:jc w:val="center"/>
            </w:pPr>
            <w:r>
              <w:t>55/55</w:t>
            </w:r>
          </w:p>
          <w:p w14:paraId="4370C914" w14:textId="040FD068" w:rsidR="00B93302" w:rsidRDefault="00525EFD" w:rsidP="00A4695C">
            <w:pPr>
              <w:ind w:left="0" w:right="0"/>
              <w:jc w:val="center"/>
            </w:pPr>
            <w:r>
              <w:t>(100.0%)</w:t>
            </w:r>
          </w:p>
          <w:p w14:paraId="0BEEB413" w14:textId="6DBAE53E" w:rsidR="00525EFD" w:rsidRDefault="00525EFD" w:rsidP="00A4695C">
            <w:pPr>
              <w:ind w:left="0" w:right="0"/>
              <w:jc w:val="center"/>
            </w:pPr>
            <w:r>
              <w:t>(0.9351, 1.0000)</w:t>
            </w:r>
          </w:p>
        </w:tc>
        <w:tc>
          <w:tcPr>
            <w:tcW w:w="1901" w:type="dxa"/>
            <w:tcMar>
              <w:left w:w="57" w:type="dxa"/>
              <w:right w:w="57" w:type="dxa"/>
            </w:tcMar>
            <w:vAlign w:val="center"/>
          </w:tcPr>
          <w:p w14:paraId="433A5B99" w14:textId="77777777" w:rsidR="00B93302" w:rsidRDefault="00525EFD" w:rsidP="00A4695C">
            <w:pPr>
              <w:ind w:left="0" w:right="0"/>
              <w:jc w:val="center"/>
            </w:pPr>
            <w:r>
              <w:t>58/58</w:t>
            </w:r>
          </w:p>
          <w:p w14:paraId="60F324DA" w14:textId="35F975F5" w:rsidR="00B93302" w:rsidRDefault="00525EFD" w:rsidP="00A4695C">
            <w:pPr>
              <w:ind w:left="0" w:right="0"/>
              <w:jc w:val="center"/>
            </w:pPr>
            <w:r>
              <w:t>(100.0%)</w:t>
            </w:r>
          </w:p>
          <w:p w14:paraId="5F7EF09A" w14:textId="3E2F0A5A" w:rsidR="00525EFD" w:rsidRDefault="00525EFD" w:rsidP="00A4695C">
            <w:pPr>
              <w:ind w:left="0" w:right="0"/>
              <w:jc w:val="center"/>
            </w:pPr>
            <w:r>
              <w:t>(0.9384, 1.0000)</w:t>
            </w:r>
          </w:p>
        </w:tc>
        <w:tc>
          <w:tcPr>
            <w:tcW w:w="1853" w:type="dxa"/>
            <w:tcMar>
              <w:left w:w="57" w:type="dxa"/>
              <w:right w:w="57" w:type="dxa"/>
            </w:tcMar>
            <w:vAlign w:val="center"/>
          </w:tcPr>
          <w:p w14:paraId="159B1F47" w14:textId="77777777" w:rsidR="00B93302" w:rsidRDefault="00525EFD" w:rsidP="00A4695C">
            <w:pPr>
              <w:ind w:left="0" w:right="0"/>
              <w:jc w:val="center"/>
            </w:pPr>
            <w:r>
              <w:t>46/46</w:t>
            </w:r>
          </w:p>
          <w:p w14:paraId="0D4F162B" w14:textId="2DACEA13" w:rsidR="00B93302" w:rsidRDefault="00525EFD" w:rsidP="00A4695C">
            <w:pPr>
              <w:ind w:left="0" w:right="0"/>
              <w:jc w:val="center"/>
            </w:pPr>
            <w:r>
              <w:t>(100.0%)</w:t>
            </w:r>
          </w:p>
          <w:p w14:paraId="23E12A86" w14:textId="5D9CAA66" w:rsidR="00525EFD" w:rsidRDefault="00525EFD" w:rsidP="00A4695C">
            <w:pPr>
              <w:ind w:left="0" w:right="0"/>
              <w:jc w:val="center"/>
            </w:pPr>
            <w:r>
              <w:t>(0.9229, 1.0000)</w:t>
            </w:r>
          </w:p>
        </w:tc>
        <w:tc>
          <w:tcPr>
            <w:tcW w:w="1744" w:type="dxa"/>
            <w:tcMar>
              <w:left w:w="57" w:type="dxa"/>
              <w:right w:w="57" w:type="dxa"/>
            </w:tcMar>
            <w:vAlign w:val="center"/>
          </w:tcPr>
          <w:p w14:paraId="102923B6" w14:textId="77777777" w:rsidR="00525EFD" w:rsidRDefault="00525EFD" w:rsidP="00A4695C">
            <w:pPr>
              <w:ind w:left="0" w:right="0"/>
              <w:jc w:val="center"/>
            </w:pPr>
            <w:r>
              <w:t>40 weeks post core baseline.</w:t>
            </w:r>
          </w:p>
        </w:tc>
      </w:tr>
      <w:tr w:rsidR="00525EFD" w14:paraId="0C17C063" w14:textId="77777777" w:rsidTr="00A4695C">
        <w:tc>
          <w:tcPr>
            <w:tcW w:w="1085" w:type="dxa"/>
            <w:tcMar>
              <w:left w:w="57" w:type="dxa"/>
              <w:right w:w="57" w:type="dxa"/>
            </w:tcMar>
            <w:vAlign w:val="center"/>
          </w:tcPr>
          <w:p w14:paraId="5A888386" w14:textId="08DFD2E9" w:rsidR="00525EFD" w:rsidRPr="00E664A0" w:rsidRDefault="00525EFD" w:rsidP="00A4695C">
            <w:pPr>
              <w:ind w:left="0" w:right="0"/>
              <w:jc w:val="center"/>
              <w:rPr>
                <w:b/>
                <w:bCs/>
              </w:rPr>
            </w:pPr>
            <w:r w:rsidRPr="00E664A0">
              <w:rPr>
                <w:b/>
                <w:bCs/>
              </w:rPr>
              <w:t>2 years (ESS)</w:t>
            </w:r>
          </w:p>
        </w:tc>
        <w:tc>
          <w:tcPr>
            <w:tcW w:w="1901" w:type="dxa"/>
            <w:tcMar>
              <w:left w:w="57" w:type="dxa"/>
              <w:right w:w="57" w:type="dxa"/>
            </w:tcMar>
            <w:vAlign w:val="center"/>
          </w:tcPr>
          <w:p w14:paraId="7483EE75" w14:textId="77777777" w:rsidR="00B93302" w:rsidRDefault="00525EFD" w:rsidP="00A4695C">
            <w:pPr>
              <w:ind w:left="0" w:right="0"/>
              <w:jc w:val="center"/>
            </w:pPr>
            <w:r>
              <w:t>59/60</w:t>
            </w:r>
          </w:p>
          <w:p w14:paraId="6B9B10EA" w14:textId="5E42008A" w:rsidR="00B93302" w:rsidRDefault="00525EFD" w:rsidP="00A4695C">
            <w:pPr>
              <w:ind w:left="0" w:right="0"/>
              <w:jc w:val="center"/>
            </w:pPr>
            <w:r>
              <w:t>(98.3%)</w:t>
            </w:r>
          </w:p>
          <w:p w14:paraId="422A922F" w14:textId="251BA725" w:rsidR="00525EFD" w:rsidRDefault="00525EFD" w:rsidP="00A4695C">
            <w:pPr>
              <w:ind w:left="0" w:right="0"/>
              <w:jc w:val="center"/>
            </w:pPr>
            <w:r>
              <w:t>(0.9106, 0.9996)</w:t>
            </w:r>
          </w:p>
        </w:tc>
        <w:tc>
          <w:tcPr>
            <w:tcW w:w="1901" w:type="dxa"/>
            <w:tcMar>
              <w:left w:w="57" w:type="dxa"/>
              <w:right w:w="57" w:type="dxa"/>
            </w:tcMar>
            <w:vAlign w:val="center"/>
          </w:tcPr>
          <w:p w14:paraId="068E338B" w14:textId="77777777" w:rsidR="00B93302" w:rsidRDefault="00525EFD" w:rsidP="00A4695C">
            <w:pPr>
              <w:ind w:left="0" w:right="0"/>
              <w:jc w:val="center"/>
            </w:pPr>
            <w:r>
              <w:t>61/65</w:t>
            </w:r>
          </w:p>
          <w:p w14:paraId="21E38667" w14:textId="30E7F755" w:rsidR="00B93302" w:rsidRDefault="00525EFD" w:rsidP="00A4695C">
            <w:pPr>
              <w:ind w:left="0" w:right="0"/>
              <w:jc w:val="center"/>
            </w:pPr>
            <w:r>
              <w:t>(93.8%)</w:t>
            </w:r>
          </w:p>
          <w:p w14:paraId="7636DB21" w14:textId="4E0836E5" w:rsidR="00525EFD" w:rsidRDefault="00525EFD" w:rsidP="00A4695C">
            <w:pPr>
              <w:ind w:left="0" w:right="0"/>
              <w:jc w:val="center"/>
            </w:pPr>
            <w:r>
              <w:t>(0.8499, 0.9830)</w:t>
            </w:r>
          </w:p>
        </w:tc>
        <w:tc>
          <w:tcPr>
            <w:tcW w:w="1853" w:type="dxa"/>
            <w:tcMar>
              <w:left w:w="57" w:type="dxa"/>
              <w:right w:w="57" w:type="dxa"/>
            </w:tcMar>
            <w:vAlign w:val="center"/>
          </w:tcPr>
          <w:p w14:paraId="6AED360E" w14:textId="77777777" w:rsidR="00B93302" w:rsidRDefault="00525EFD" w:rsidP="00A4695C">
            <w:pPr>
              <w:ind w:left="0" w:right="0"/>
              <w:jc w:val="center"/>
            </w:pPr>
            <w:r>
              <w:t>47/53</w:t>
            </w:r>
          </w:p>
          <w:p w14:paraId="0CDF3870" w14:textId="2C2EBFD1" w:rsidR="00B93302" w:rsidRDefault="00525EFD" w:rsidP="00A4695C">
            <w:pPr>
              <w:ind w:left="0" w:right="0"/>
              <w:jc w:val="center"/>
            </w:pPr>
            <w:r>
              <w:t>(88.7%)</w:t>
            </w:r>
          </w:p>
          <w:p w14:paraId="31817AD3" w14:textId="1881797D" w:rsidR="00525EFD" w:rsidRDefault="00525EFD" w:rsidP="00A4695C">
            <w:pPr>
              <w:ind w:left="0" w:right="0"/>
              <w:jc w:val="center"/>
            </w:pPr>
            <w:r>
              <w:t>(0.7697, 0.9573)</w:t>
            </w:r>
          </w:p>
        </w:tc>
        <w:tc>
          <w:tcPr>
            <w:tcW w:w="1744" w:type="dxa"/>
            <w:tcMar>
              <w:left w:w="57" w:type="dxa"/>
              <w:right w:w="57" w:type="dxa"/>
            </w:tcMar>
            <w:vAlign w:val="center"/>
          </w:tcPr>
          <w:p w14:paraId="4F51B19D" w14:textId="77777777" w:rsidR="00525EFD" w:rsidRDefault="00525EFD" w:rsidP="00A4695C">
            <w:pPr>
              <w:ind w:left="0" w:right="0"/>
              <w:jc w:val="center"/>
            </w:pPr>
            <w:r>
              <w:t>A</w:t>
            </w:r>
            <w:r w:rsidRPr="00E664A0">
              <w:t>t or before subjects' 2 years' corrected age visit</w:t>
            </w:r>
            <w:r>
              <w:t>.</w:t>
            </w:r>
          </w:p>
        </w:tc>
      </w:tr>
    </w:tbl>
    <w:p w14:paraId="20D62787" w14:textId="51C96AD9" w:rsidR="00C32A1B" w:rsidRDefault="00C32A1B" w:rsidP="00BF34AC">
      <w:pPr>
        <w:pStyle w:val="TableDescription"/>
      </w:pPr>
      <w:bookmarkStart w:id="49" w:name="_Ref121475031"/>
      <w:r w:rsidRPr="00C32A1B">
        <w:t>Abbreviations: FAS = Full analysis set; ESS = extension safety set</w:t>
      </w:r>
    </w:p>
    <w:p w14:paraId="3714EFF5" w14:textId="1B57621E" w:rsidR="00B93302" w:rsidRPr="00C32A1B" w:rsidRDefault="00B93302" w:rsidP="00BF34AC">
      <w:pPr>
        <w:pStyle w:val="TableDescription"/>
      </w:pPr>
      <w:r>
        <w:t>Results given as proportion (number), and percentage of participants with treatment success/total number of participants per group, followed by 95% confidence intervals.</w:t>
      </w:r>
    </w:p>
    <w:p w14:paraId="60EC8CC7" w14:textId="7DAA5A4E" w:rsidR="00A25C19" w:rsidRDefault="0047273B" w:rsidP="00070436">
      <w:pPr>
        <w:pStyle w:val="TableTitle"/>
      </w:pPr>
      <w:bookmarkStart w:id="50" w:name="_Ref132899154"/>
      <w:r>
        <w:t xml:space="preserve">Table </w:t>
      </w:r>
      <w:r w:rsidR="002D65F1">
        <w:fldChar w:fldCharType="begin"/>
      </w:r>
      <w:r w:rsidR="002D65F1">
        <w:instrText xml:space="preserve"> SEQ Table \* ARABIC </w:instrText>
      </w:r>
      <w:r w:rsidR="002D65F1">
        <w:fldChar w:fldCharType="separate"/>
      </w:r>
      <w:r w:rsidR="00B12C8C">
        <w:rPr>
          <w:noProof/>
        </w:rPr>
        <w:t>9</w:t>
      </w:r>
      <w:r w:rsidR="002D65F1">
        <w:rPr>
          <w:noProof/>
        </w:rPr>
        <w:fldChar w:fldCharType="end"/>
      </w:r>
      <w:bookmarkEnd w:id="49"/>
      <w:bookmarkEnd w:id="50"/>
      <w:r>
        <w:t xml:space="preserve">: </w:t>
      </w:r>
      <w:r w:rsidR="00B1395F">
        <w:t>Study H2301</w:t>
      </w:r>
      <w:r w:rsidR="00B93302">
        <w:t>E1 (</w:t>
      </w:r>
      <w:r w:rsidRPr="00A64F09">
        <w:t>RAINBOW extension trial</w:t>
      </w:r>
      <w:r w:rsidR="00B93302">
        <w:t>)</w:t>
      </w:r>
      <w:r w:rsidRPr="00A64F09">
        <w:t xml:space="preserve"> Absence of individual ocular structural abnormality at or before subjects</w:t>
      </w:r>
      <w:r w:rsidR="00045C8F">
        <w:t xml:space="preserve">’ </w:t>
      </w:r>
      <w:r w:rsidRPr="00A64F09">
        <w:t xml:space="preserve">2 years corrected age visit </w:t>
      </w:r>
      <w:r w:rsidR="00B93302">
        <w:t>at the second interim analysis (IA2) (e</w:t>
      </w:r>
      <w:r w:rsidRPr="00A64F09">
        <w:t xml:space="preserve">xtension </w:t>
      </w:r>
      <w:r w:rsidR="00B93302">
        <w:t>s</w:t>
      </w:r>
      <w:r w:rsidRPr="00A64F09">
        <w:t xml:space="preserve">afety </w:t>
      </w:r>
      <w:r w:rsidR="00B93302">
        <w:t>s</w:t>
      </w:r>
      <w:r w:rsidRPr="00A64F09">
        <w:t>et).</w:t>
      </w:r>
    </w:p>
    <w:p w14:paraId="4C19B2FD" w14:textId="40B38A8F" w:rsidR="00070436" w:rsidRDefault="00070436" w:rsidP="00525EFD">
      <w:r>
        <w:rPr>
          <w:noProof/>
          <w:lang w:val="en-GB" w:eastAsia="en-GB"/>
        </w:rPr>
        <w:drawing>
          <wp:inline distT="0" distB="0" distL="0" distR="0" wp14:anchorId="31E3A121" wp14:editId="29A288DF">
            <wp:extent cx="5400040" cy="2461260"/>
            <wp:effectExtent l="0" t="0" r="0" b="0"/>
            <wp:docPr id="1" name="Picture 1" descr="This table shows the second interim analysis for absence of individual ocular structural abnormality at or before subjects' 2 years' corrected age visit (Extension Safety Set) for RAINBOW extension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table shows the second interim analysis for absence of individual ocular structural abnormality at or before subjects' 2 years' corrected age visit (Extension Safety Set) for RAINBOW extension trial."/>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400040" cy="2461260"/>
                    </a:xfrm>
                    <a:prstGeom prst="rect">
                      <a:avLst/>
                    </a:prstGeom>
                  </pic:spPr>
                </pic:pic>
              </a:graphicData>
            </a:graphic>
          </wp:inline>
        </w:drawing>
      </w:r>
    </w:p>
    <w:p w14:paraId="00C09B50" w14:textId="4598F7ED" w:rsidR="00C32A1B" w:rsidRDefault="00C32A1B" w:rsidP="00BF34AC">
      <w:pPr>
        <w:pStyle w:val="TableDescription"/>
      </w:pPr>
      <w:r>
        <w:t>Abbreviations:</w:t>
      </w:r>
      <w:r w:rsidR="00070436">
        <w:t xml:space="preserve"> n: Number of subjects not showing the ocular abnormality specified in the first column</w:t>
      </w:r>
      <w:r>
        <w:t xml:space="preserve">; </w:t>
      </w:r>
      <w:r w:rsidR="00070436">
        <w:t>M: The total number of subjects with at least one non-missing value for the specific categorical variable</w:t>
      </w:r>
      <w:r>
        <w:t>.</w:t>
      </w:r>
    </w:p>
    <w:p w14:paraId="42D770FB" w14:textId="5D3E99A3" w:rsidR="00070436" w:rsidRDefault="00C32A1B" w:rsidP="00BF34AC">
      <w:pPr>
        <w:pStyle w:val="TableDescription"/>
      </w:pPr>
      <w:r>
        <w:t>Note:</w:t>
      </w:r>
      <w:r w:rsidR="00070436">
        <w:t xml:space="preserve"> The 95% confidence interval for the proportion using Clopper-Pearson exact method.</w:t>
      </w:r>
    </w:p>
    <w:p w14:paraId="3B9F8AF5" w14:textId="096D9C54" w:rsidR="00525EFD" w:rsidRPr="00D44FB5" w:rsidRDefault="00525EFD" w:rsidP="00525EFD">
      <w:r>
        <w:t>A direct statistical comparison of efficacy data between groups is difficult</w:t>
      </w:r>
      <w:r w:rsidR="00B93302">
        <w:t xml:space="preserve"> to make</w:t>
      </w:r>
      <w:r>
        <w:t xml:space="preserve"> and may be misleading, as there are missing data at all timepoints, </w:t>
      </w:r>
      <w:proofErr w:type="gramStart"/>
      <w:r>
        <w:t>in particular within</w:t>
      </w:r>
      <w:proofErr w:type="gramEnd"/>
      <w:r>
        <w:t xml:space="preserve"> the RAINBOW extension </w:t>
      </w:r>
      <w:r w:rsidR="003047C5">
        <w:t>trial</w:t>
      </w:r>
      <w:r>
        <w:t xml:space="preserve">. But there appears to be a reasonable proportion of treatment success in all </w:t>
      </w:r>
      <w:r w:rsidRPr="00D44FB5">
        <w:t>treatment groups.</w:t>
      </w:r>
    </w:p>
    <w:p w14:paraId="371873F5" w14:textId="17B1A791" w:rsidR="00D44FB5" w:rsidRDefault="00525EFD" w:rsidP="00A4695C">
      <w:r w:rsidRPr="00D44FB5">
        <w:lastRenderedPageBreak/>
        <w:t xml:space="preserve">The primary endpoint subgroup analysis stratified by baseline disease classification is shown in </w:t>
      </w:r>
      <w:r w:rsidR="0047273B" w:rsidRPr="00D44FB5">
        <w:fldChar w:fldCharType="begin"/>
      </w:r>
      <w:r w:rsidR="0047273B" w:rsidRPr="00D44FB5">
        <w:instrText xml:space="preserve"> REF _Ref121475074 \h </w:instrText>
      </w:r>
      <w:r w:rsidR="00D44FB5" w:rsidRPr="00D44FB5">
        <w:instrText xml:space="preserve"> \* MERGEFORMAT </w:instrText>
      </w:r>
      <w:r w:rsidR="0047273B" w:rsidRPr="00D44FB5">
        <w:fldChar w:fldCharType="separate"/>
      </w:r>
      <w:r w:rsidR="00B12C8C" w:rsidRPr="00D44FB5">
        <w:t>Table 10</w:t>
      </w:r>
      <w:r w:rsidR="0047273B" w:rsidRPr="00D44FB5">
        <w:fldChar w:fldCharType="end"/>
      </w:r>
      <w:r w:rsidRPr="00D44FB5">
        <w:t xml:space="preserve"> </w:t>
      </w:r>
      <w:r w:rsidR="00E5123F">
        <w:t xml:space="preserve">for ROP status at the </w:t>
      </w:r>
      <w:r w:rsidRPr="00D44FB5">
        <w:t>2 years</w:t>
      </w:r>
      <w:r w:rsidR="00E5123F">
        <w:t xml:space="preserve"> visit (corrected age)</w:t>
      </w:r>
      <w:r w:rsidRPr="00D44FB5">
        <w:t xml:space="preserve">, </w:t>
      </w:r>
      <w:r w:rsidR="0047273B" w:rsidRPr="00D44FB5">
        <w:fldChar w:fldCharType="begin"/>
      </w:r>
      <w:r w:rsidR="0047273B" w:rsidRPr="00D44FB5">
        <w:instrText xml:space="preserve"> REF _Ref121474943 \h </w:instrText>
      </w:r>
      <w:r w:rsidR="00D44FB5" w:rsidRPr="00D44FB5">
        <w:instrText xml:space="preserve"> \* MERGEFORMAT </w:instrText>
      </w:r>
      <w:r w:rsidR="0047273B" w:rsidRPr="00D44FB5">
        <w:fldChar w:fldCharType="separate"/>
      </w:r>
      <w:r w:rsidR="00B12C8C" w:rsidRPr="00D44FB5">
        <w:t>Table 7</w:t>
      </w:r>
      <w:r w:rsidR="0047273B" w:rsidRPr="00D44FB5">
        <w:fldChar w:fldCharType="end"/>
      </w:r>
      <w:r w:rsidR="0047273B" w:rsidRPr="00D44FB5">
        <w:t xml:space="preserve"> </w:t>
      </w:r>
      <w:r w:rsidR="00E5123F">
        <w:t>(see above) for the Week 24 visit</w:t>
      </w:r>
      <w:r w:rsidRPr="00D44FB5">
        <w:t>, and</w:t>
      </w:r>
      <w:r w:rsidRPr="0048383F">
        <w:t xml:space="preserve"> </w:t>
      </w:r>
      <w:r w:rsidR="00D44FB5">
        <w:fldChar w:fldCharType="begin"/>
      </w:r>
      <w:r w:rsidR="00D44FB5">
        <w:instrText xml:space="preserve"> REF _Ref132899279 \h </w:instrText>
      </w:r>
      <w:r w:rsidR="00D44FB5">
        <w:fldChar w:fldCharType="separate"/>
      </w:r>
      <w:r w:rsidR="00D44FB5">
        <w:t xml:space="preserve">Table </w:t>
      </w:r>
      <w:r w:rsidR="00D44FB5">
        <w:rPr>
          <w:noProof/>
        </w:rPr>
        <w:t>11</w:t>
      </w:r>
      <w:r w:rsidR="00D44FB5">
        <w:fldChar w:fldCharType="end"/>
      </w:r>
      <w:r w:rsidR="00D44FB5" w:rsidRPr="00D44FB5">
        <w:t xml:space="preserve"> </w:t>
      </w:r>
      <w:r w:rsidR="00E5123F">
        <w:t xml:space="preserve">(below) for Week </w:t>
      </w:r>
      <w:r w:rsidR="00D44FB5" w:rsidRPr="00D44FB5">
        <w:t>40</w:t>
      </w:r>
      <w:r w:rsidR="00E5123F">
        <w:t xml:space="preserve"> visit</w:t>
      </w:r>
      <w:r w:rsidR="00D44FB5" w:rsidRPr="00D44FB5">
        <w:t>.</w:t>
      </w:r>
    </w:p>
    <w:p w14:paraId="49EB861A" w14:textId="0C485485" w:rsidR="0047273B" w:rsidRDefault="0047273B" w:rsidP="0047273B">
      <w:pPr>
        <w:pStyle w:val="TableTitle"/>
      </w:pPr>
      <w:bookmarkStart w:id="51" w:name="_Ref121475074"/>
      <w:r>
        <w:t xml:space="preserve">Table </w:t>
      </w:r>
      <w:r w:rsidR="002D65F1">
        <w:fldChar w:fldCharType="begin"/>
      </w:r>
      <w:r w:rsidR="002D65F1">
        <w:instrText xml:space="preserve"> SEQ Table \* ARABIC </w:instrText>
      </w:r>
      <w:r w:rsidR="002D65F1">
        <w:fldChar w:fldCharType="separate"/>
      </w:r>
      <w:r w:rsidR="00B12C8C">
        <w:rPr>
          <w:noProof/>
        </w:rPr>
        <w:t>10</w:t>
      </w:r>
      <w:r w:rsidR="002D65F1">
        <w:rPr>
          <w:noProof/>
        </w:rPr>
        <w:fldChar w:fldCharType="end"/>
      </w:r>
      <w:bookmarkEnd w:id="51"/>
      <w:r>
        <w:t xml:space="preserve">: </w:t>
      </w:r>
      <w:r w:rsidR="00B1395F">
        <w:t>Study H2301</w:t>
      </w:r>
      <w:r w:rsidR="00E5123F">
        <w:t>E1 (</w:t>
      </w:r>
      <w:r w:rsidR="00C60538" w:rsidRPr="00C60538">
        <w:rPr>
          <w:rFonts w:eastAsia="Times New Roman"/>
        </w:rPr>
        <w:t>RAINBOW extension</w:t>
      </w:r>
      <w:r w:rsidR="00045C8F">
        <w:rPr>
          <w:rFonts w:eastAsia="Times New Roman"/>
        </w:rPr>
        <w:t xml:space="preserve"> trial</w:t>
      </w:r>
      <w:r w:rsidR="00E5123F">
        <w:rPr>
          <w:rFonts w:eastAsia="Times New Roman"/>
        </w:rPr>
        <w:t>)</w:t>
      </w:r>
      <w:r w:rsidR="00C60538" w:rsidRPr="00C60538">
        <w:rPr>
          <w:rFonts w:eastAsia="Times New Roman"/>
        </w:rPr>
        <w:t xml:space="preserve"> Proportion of patients with absence of unfavourable structural outcomes in both eyes up to </w:t>
      </w:r>
      <w:r w:rsidR="001348E1">
        <w:rPr>
          <w:rFonts w:eastAsia="Times New Roman"/>
        </w:rPr>
        <w:t xml:space="preserve">the </w:t>
      </w:r>
      <w:r w:rsidR="00C60538" w:rsidRPr="00C60538">
        <w:rPr>
          <w:rFonts w:eastAsia="Times New Roman"/>
        </w:rPr>
        <w:t>subjects</w:t>
      </w:r>
      <w:r w:rsidR="00045C8F">
        <w:rPr>
          <w:rFonts w:eastAsia="Times New Roman"/>
        </w:rPr>
        <w:t>’</w:t>
      </w:r>
      <w:r w:rsidR="00C60538">
        <w:rPr>
          <w:rFonts w:eastAsia="Times New Roman"/>
        </w:rPr>
        <w:t xml:space="preserve"> </w:t>
      </w:r>
      <w:r w:rsidR="00C60538" w:rsidRPr="00C60538">
        <w:rPr>
          <w:rFonts w:eastAsia="Times New Roman"/>
        </w:rPr>
        <w:t>2 years corrected age visit by core study baseline ROP disease (</w:t>
      </w:r>
      <w:r w:rsidR="001348E1">
        <w:rPr>
          <w:rFonts w:eastAsia="Times New Roman"/>
        </w:rPr>
        <w:t>e</w:t>
      </w:r>
      <w:r w:rsidR="00C60538" w:rsidRPr="00C60538">
        <w:rPr>
          <w:rFonts w:eastAsia="Times New Roman"/>
        </w:rPr>
        <w:t xml:space="preserve">xtension study </w:t>
      </w:r>
      <w:r w:rsidR="001348E1">
        <w:rPr>
          <w:rFonts w:eastAsia="Times New Roman"/>
        </w:rPr>
        <w:t>s</w:t>
      </w:r>
      <w:r w:rsidR="00C60538" w:rsidRPr="00C60538">
        <w:rPr>
          <w:rFonts w:eastAsia="Times New Roman"/>
        </w:rPr>
        <w:t xml:space="preserve">afety </w:t>
      </w:r>
      <w:r w:rsidR="001348E1">
        <w:rPr>
          <w:rFonts w:eastAsia="Times New Roman"/>
        </w:rPr>
        <w:t>s</w:t>
      </w:r>
      <w:r w:rsidR="00C60538" w:rsidRPr="00C60538">
        <w:rPr>
          <w:rFonts w:eastAsia="Times New Roman"/>
        </w:rPr>
        <w:t>et)</w:t>
      </w:r>
    </w:p>
    <w:p w14:paraId="7B3494D9" w14:textId="18464489" w:rsidR="00F16151" w:rsidRDefault="00F16151" w:rsidP="00BF34AC">
      <w:r>
        <w:rPr>
          <w:noProof/>
          <w:lang w:val="en-GB" w:eastAsia="en-GB"/>
        </w:rPr>
        <w:drawing>
          <wp:inline distT="0" distB="0" distL="0" distR="0" wp14:anchorId="1B2B4A0E" wp14:editId="6AD8FF64">
            <wp:extent cx="5400040" cy="1708150"/>
            <wp:effectExtent l="0" t="0" r="0" b="6350"/>
            <wp:docPr id="3" name="Picture 3" descr="Table 10: Study H2301E1 (RAINBOW extension trial) Proportion of patients with absence of unfavourable structural outcomes in both eyes up to the subjects’ 2 years corrected age visit by core study baseline ROP disease (extension stud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10: Study H2301E1 (RAINBOW extension trial) Proportion of patients with absence of unfavourable structural outcomes in both eyes up to the subjects’ 2 years corrected age visit by core study baseline ROP disease (extension study safety set)"/>
                    <pic:cNvPicPr/>
                  </pic:nvPicPr>
                  <pic:blipFill>
                    <a:blip r:embed="rId29"/>
                    <a:stretch>
                      <a:fillRect/>
                    </a:stretch>
                  </pic:blipFill>
                  <pic:spPr>
                    <a:xfrm>
                      <a:off x="0" y="0"/>
                      <a:ext cx="5400040" cy="1708150"/>
                    </a:xfrm>
                    <a:prstGeom prst="rect">
                      <a:avLst/>
                    </a:prstGeom>
                  </pic:spPr>
                </pic:pic>
              </a:graphicData>
            </a:graphic>
          </wp:inline>
        </w:drawing>
      </w:r>
    </w:p>
    <w:p w14:paraId="77A67515" w14:textId="64D3218A" w:rsidR="00202503" w:rsidRPr="00202503" w:rsidRDefault="00202503" w:rsidP="00BF34AC">
      <w:pPr>
        <w:pStyle w:val="TableDescription"/>
        <w:rPr>
          <w:b/>
        </w:rPr>
      </w:pPr>
      <w:bookmarkStart w:id="52" w:name="_Ref121475162"/>
      <w:r>
        <w:t>Abbreviations:</w:t>
      </w:r>
      <w:r w:rsidRPr="00202503">
        <w:t xml:space="preserve"> Number of subjects with absence of unfavourable structural outcomes in both eyes up to subjects 2 years</w:t>
      </w:r>
      <w:r>
        <w:t xml:space="preserve"> </w:t>
      </w:r>
      <w:r w:rsidRPr="00202503">
        <w:t>corrected age visit (including imputed values)</w:t>
      </w:r>
      <w:r>
        <w:t xml:space="preserve">; </w:t>
      </w:r>
      <w:r w:rsidRPr="00202503">
        <w:t>M: The total number of subjects with non-missing value on primary efficacy outcome (including imputed values).</w:t>
      </w:r>
    </w:p>
    <w:p w14:paraId="7D245172" w14:textId="5C2A2F86" w:rsidR="00202503" w:rsidRDefault="00202503" w:rsidP="00BF34AC">
      <w:pPr>
        <w:pStyle w:val="TableDescription"/>
        <w:rPr>
          <w:b/>
        </w:rPr>
      </w:pPr>
      <w:r>
        <w:t xml:space="preserve">Note: </w:t>
      </w:r>
      <w:r w:rsidRPr="00202503">
        <w:t>If a subject died or switched study treatment before or at 2 years’ corrected age visit, then the subject will</w:t>
      </w:r>
      <w:r>
        <w:t xml:space="preserve"> </w:t>
      </w:r>
      <w:r w:rsidRPr="00202503">
        <w:t>be considered as having unfavourable structural outcomes at 2 years’ corrected age visit.</w:t>
      </w:r>
    </w:p>
    <w:p w14:paraId="5A784BA6" w14:textId="76DE3810" w:rsidR="0047273B" w:rsidRDefault="0047273B" w:rsidP="00202503">
      <w:pPr>
        <w:pStyle w:val="TableTitle"/>
      </w:pPr>
      <w:bookmarkStart w:id="53" w:name="_Ref132899279"/>
      <w:r>
        <w:t xml:space="preserve">Table </w:t>
      </w:r>
      <w:r w:rsidR="002D65F1">
        <w:fldChar w:fldCharType="begin"/>
      </w:r>
      <w:r w:rsidR="002D65F1">
        <w:instrText xml:space="preserve"> SEQ Table \* ARABIC </w:instrText>
      </w:r>
      <w:r w:rsidR="002D65F1">
        <w:fldChar w:fldCharType="separate"/>
      </w:r>
      <w:r w:rsidR="00B12C8C">
        <w:rPr>
          <w:noProof/>
        </w:rPr>
        <w:t>11</w:t>
      </w:r>
      <w:r w:rsidR="002D65F1">
        <w:rPr>
          <w:noProof/>
        </w:rPr>
        <w:fldChar w:fldCharType="end"/>
      </w:r>
      <w:bookmarkEnd w:id="52"/>
      <w:bookmarkEnd w:id="53"/>
      <w:r>
        <w:t xml:space="preserve">: </w:t>
      </w:r>
      <w:r w:rsidR="00B1395F">
        <w:t>Study H2301</w:t>
      </w:r>
      <w:r w:rsidR="001348E1">
        <w:t xml:space="preserve"> (</w:t>
      </w:r>
      <w:r w:rsidR="00F16151">
        <w:rPr>
          <w:rFonts w:eastAsia="Times New Roman"/>
        </w:rPr>
        <w:t xml:space="preserve">RAINBOW </w:t>
      </w:r>
      <w:r w:rsidR="00045C8F">
        <w:rPr>
          <w:rFonts w:eastAsia="Times New Roman"/>
        </w:rPr>
        <w:t>trial</w:t>
      </w:r>
      <w:r w:rsidR="001348E1">
        <w:rPr>
          <w:rFonts w:eastAsia="Times New Roman"/>
        </w:rPr>
        <w:t>)</w:t>
      </w:r>
      <w:r w:rsidR="00F16151">
        <w:rPr>
          <w:rFonts w:eastAsia="Times New Roman"/>
        </w:rPr>
        <w:t xml:space="preserve"> Proportion of patients with absence of active ROP and unfavourable structural outcomes in both eyes at the Week 40 visit by core study baseline ROP disease (</w:t>
      </w:r>
      <w:r w:rsidR="001348E1">
        <w:rPr>
          <w:rFonts w:eastAsia="Times New Roman"/>
        </w:rPr>
        <w:t>extension study safety set</w:t>
      </w:r>
      <w:r w:rsidR="00F16151">
        <w:rPr>
          <w:rFonts w:eastAsia="Times New Roman"/>
        </w:rPr>
        <w:t>)</w:t>
      </w:r>
    </w:p>
    <w:p w14:paraId="0127CE14" w14:textId="158F2725" w:rsidR="00F16151" w:rsidRDefault="00F16151" w:rsidP="00BF34AC">
      <w:pPr>
        <w:rPr>
          <w:lang w:eastAsia="ja-JP"/>
        </w:rPr>
      </w:pPr>
      <w:r>
        <w:rPr>
          <w:noProof/>
          <w:lang w:val="en-GB" w:eastAsia="en-GB"/>
        </w:rPr>
        <w:drawing>
          <wp:inline distT="0" distB="0" distL="0" distR="0" wp14:anchorId="2FDD68A5" wp14:editId="47A142BF">
            <wp:extent cx="5400040" cy="1628775"/>
            <wp:effectExtent l="0" t="0" r="0" b="9525"/>
            <wp:docPr id="4" name="Picture 4" descr="Table 11: Study H2301 (RAINBOW trial) Proportion of patients with absence of active ROP and unfavourable structural outcomes in both eyes at the Week 40 visit by core study baseline ROP disease (extension stud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11: Study H2301 (RAINBOW trial) Proportion of patients with absence of active ROP and unfavourable structural outcomes in both eyes at the Week 40 visit by core study baseline ROP disease (extension study safety set)"/>
                    <pic:cNvPicPr/>
                  </pic:nvPicPr>
                  <pic:blipFill>
                    <a:blip r:embed="rId30"/>
                    <a:stretch>
                      <a:fillRect/>
                    </a:stretch>
                  </pic:blipFill>
                  <pic:spPr>
                    <a:xfrm>
                      <a:off x="0" y="0"/>
                      <a:ext cx="5400040" cy="1628775"/>
                    </a:xfrm>
                    <a:prstGeom prst="rect">
                      <a:avLst/>
                    </a:prstGeom>
                  </pic:spPr>
                </pic:pic>
              </a:graphicData>
            </a:graphic>
          </wp:inline>
        </w:drawing>
      </w:r>
    </w:p>
    <w:p w14:paraId="4FE08FE8" w14:textId="237A26BA" w:rsidR="00202503" w:rsidRPr="00202503" w:rsidRDefault="00202503" w:rsidP="00BF34AC">
      <w:pPr>
        <w:pStyle w:val="TableDescription"/>
        <w:rPr>
          <w:b/>
        </w:rPr>
      </w:pPr>
      <w:r w:rsidRPr="00202503">
        <w:t>Abbreviations: Number of subjects with absence of active ROP and absence of unfavourable structural outcomes in both eyes 40 weeks after the first study treatment (including imputed values); M: The total number of subjects with non-missing value on primary efficacy outcome (including imputed values).</w:t>
      </w:r>
    </w:p>
    <w:p w14:paraId="391306C5" w14:textId="073A5652" w:rsidR="00202503" w:rsidRPr="00202503" w:rsidRDefault="00202503" w:rsidP="00BF34AC">
      <w:pPr>
        <w:pStyle w:val="TableDescription"/>
        <w:rPr>
          <w:b/>
        </w:rPr>
      </w:pPr>
      <w:r w:rsidRPr="00202503">
        <w:t>Note: If a subject died or switched study treatment before or at week 40, then the subject will be considered as having active ROP and unfavourable structural outcomes at week 40.</w:t>
      </w:r>
    </w:p>
    <w:p w14:paraId="0B09EA47" w14:textId="3D55BB5A" w:rsidR="00525EFD" w:rsidRDefault="00202503" w:rsidP="00202503">
      <w:pPr>
        <w:autoSpaceDE w:val="0"/>
        <w:autoSpaceDN w:val="0"/>
        <w:adjustRightInd w:val="0"/>
        <w:spacing w:before="0" w:after="0" w:line="240" w:lineRule="auto"/>
      </w:pPr>
      <w:r>
        <w:t>T</w:t>
      </w:r>
      <w:r w:rsidR="00525EFD">
        <w:t xml:space="preserve">here were no cases of recurrence of ROP in any treatment group after 40 weeks and no cases of active ROP at the </w:t>
      </w:r>
      <w:proofErr w:type="gramStart"/>
      <w:r w:rsidR="00FF2EB0">
        <w:t>2 year</w:t>
      </w:r>
      <w:proofErr w:type="gramEnd"/>
      <w:r w:rsidR="00525EFD">
        <w:t xml:space="preserve"> visit, noting </w:t>
      </w:r>
      <w:r w:rsidR="00C32A1B">
        <w:t>one</w:t>
      </w:r>
      <w:r w:rsidR="00525EFD">
        <w:t xml:space="preserve"> patient in ranibizumab 0.1 mg group had active ROP at Week 52, which was reported to have resolved at the 2</w:t>
      </w:r>
      <w:r w:rsidR="00C32A1B">
        <w:t>-</w:t>
      </w:r>
      <w:r w:rsidR="00525EFD">
        <w:t>year visit.</w:t>
      </w:r>
    </w:p>
    <w:p w14:paraId="0275B2E5" w14:textId="77777777" w:rsidR="001348E1" w:rsidRDefault="00525EFD" w:rsidP="00A4695C">
      <w:pPr>
        <w:pStyle w:val="Heading6"/>
      </w:pPr>
      <w:r>
        <w:t>Additional endpoints</w:t>
      </w:r>
    </w:p>
    <w:p w14:paraId="4C80EBD2" w14:textId="26CE0BBA" w:rsidR="00525EFD" w:rsidRDefault="001348E1">
      <w:r>
        <w:t>Additional endpoints were based on visual function outcomes.</w:t>
      </w:r>
    </w:p>
    <w:p w14:paraId="1C36D735" w14:textId="5AF74F5D" w:rsidR="00071A19" w:rsidRDefault="00525EFD" w:rsidP="00A4695C">
      <w:bookmarkStart w:id="54" w:name="_Hlk121471963"/>
      <w:r>
        <w:t xml:space="preserve">Unblinded visual acuity </w:t>
      </w:r>
      <w:bookmarkEnd w:id="54"/>
      <w:r>
        <w:t xml:space="preserve">(VA) measurements for a small subgroup at the </w:t>
      </w:r>
      <w:r w:rsidR="00FF2EB0">
        <w:t>2</w:t>
      </w:r>
      <w:r w:rsidR="00C32A1B">
        <w:t>-</w:t>
      </w:r>
      <w:r w:rsidR="00FF2EB0">
        <w:t>year</w:t>
      </w:r>
      <w:r>
        <w:t xml:space="preserve"> corrected age visit did not demonstrate a negative impact of ranibizumab on vision (</w:t>
      </w:r>
      <w:r w:rsidR="001348E1">
        <w:t xml:space="preserve">see </w:t>
      </w:r>
      <w:r w:rsidR="0047273B">
        <w:fldChar w:fldCharType="begin"/>
      </w:r>
      <w:r w:rsidR="0047273B">
        <w:instrText xml:space="preserve"> REF _Ref121475314 \h </w:instrText>
      </w:r>
      <w:r w:rsidR="0047273B">
        <w:fldChar w:fldCharType="separate"/>
      </w:r>
      <w:r w:rsidR="00B12C8C">
        <w:t xml:space="preserve">Table </w:t>
      </w:r>
      <w:r w:rsidR="00B12C8C">
        <w:rPr>
          <w:noProof/>
        </w:rPr>
        <w:t>12</w:t>
      </w:r>
      <w:r w:rsidR="0047273B">
        <w:fldChar w:fldCharType="end"/>
      </w:r>
      <w:r w:rsidR="001348E1">
        <w:t xml:space="preserve">, </w:t>
      </w:r>
      <w:r w:rsidR="001348E1">
        <w:lastRenderedPageBreak/>
        <w:t>below</w:t>
      </w:r>
      <w:r>
        <w:t xml:space="preserve">). </w:t>
      </w:r>
      <w:r w:rsidR="00C32A1B">
        <w:t>It is noted</w:t>
      </w:r>
      <w:r w:rsidR="001348E1">
        <w:t xml:space="preserve"> that</w:t>
      </w:r>
      <w:r w:rsidR="00C32A1B">
        <w:t xml:space="preserve"> </w:t>
      </w:r>
      <w:r>
        <w:t xml:space="preserve">for </w:t>
      </w:r>
      <w:r w:rsidR="00C32A1B">
        <w:t xml:space="preserve">Cardiff Acuity </w:t>
      </w:r>
      <w:r w:rsidR="005C2470">
        <w:t>t</w:t>
      </w:r>
      <w:r w:rsidR="00C32A1B">
        <w:t>est</w:t>
      </w:r>
      <w:r w:rsidRPr="00E1532C">
        <w:t xml:space="preserve"> </w:t>
      </w:r>
      <w:proofErr w:type="spellStart"/>
      <w:r w:rsidRPr="00E1532C">
        <w:t>LogMAR</w:t>
      </w:r>
      <w:proofErr w:type="spellEnd"/>
      <w:r w:rsidR="00AF267F">
        <w:t>;</w:t>
      </w:r>
      <w:bookmarkStart w:id="55" w:name="_Ref134809001"/>
      <w:r w:rsidR="001348E1">
        <w:rPr>
          <w:rStyle w:val="FootnoteReference"/>
        </w:rPr>
        <w:footnoteReference w:id="12"/>
      </w:r>
      <w:bookmarkEnd w:id="55"/>
      <w:r w:rsidR="00AF267F">
        <w:rPr>
          <w:vertAlign w:val="superscript"/>
        </w:rPr>
        <w:t>,</w:t>
      </w:r>
      <w:r w:rsidR="006C7293">
        <w:rPr>
          <w:rStyle w:val="FootnoteReference"/>
        </w:rPr>
        <w:footnoteReference w:id="13"/>
      </w:r>
      <w:r>
        <w:t xml:space="preserve"> a lower value is more favourable. The planned 5-year VA assessment will be masked (as per </w:t>
      </w:r>
      <w:r w:rsidR="009835E9">
        <w:t>the European Medicines A</w:t>
      </w:r>
      <w:r w:rsidR="00E1532C">
        <w:t>gency</w:t>
      </w:r>
      <w:r w:rsidR="009835E9">
        <w:t xml:space="preserve"> (</w:t>
      </w:r>
      <w:r>
        <w:t>EMA</w:t>
      </w:r>
      <w:r w:rsidR="009835E9">
        <w:t>)</w:t>
      </w:r>
      <w:r>
        <w:t xml:space="preserve"> request).</w:t>
      </w:r>
    </w:p>
    <w:p w14:paraId="21AABF6E" w14:textId="5675BA31" w:rsidR="0047273B" w:rsidRDefault="0047273B" w:rsidP="0047273B">
      <w:pPr>
        <w:pStyle w:val="TableTitle"/>
      </w:pPr>
      <w:bookmarkStart w:id="56" w:name="_Ref121475314"/>
      <w:r>
        <w:t xml:space="preserve">Table </w:t>
      </w:r>
      <w:r w:rsidR="002D65F1">
        <w:fldChar w:fldCharType="begin"/>
      </w:r>
      <w:r w:rsidR="002D65F1">
        <w:instrText xml:space="preserve"> SEQ Table \* ARABIC </w:instrText>
      </w:r>
      <w:r w:rsidR="002D65F1">
        <w:fldChar w:fldCharType="separate"/>
      </w:r>
      <w:r w:rsidR="00B12C8C">
        <w:rPr>
          <w:noProof/>
        </w:rPr>
        <w:t>12</w:t>
      </w:r>
      <w:r w:rsidR="002D65F1">
        <w:rPr>
          <w:noProof/>
        </w:rPr>
        <w:fldChar w:fldCharType="end"/>
      </w:r>
      <w:bookmarkEnd w:id="56"/>
      <w:r>
        <w:t>:</w:t>
      </w:r>
      <w:r w:rsidR="001348E1">
        <w:t xml:space="preserve"> </w:t>
      </w:r>
      <w:r w:rsidR="00B1395F">
        <w:t>Study H2301</w:t>
      </w:r>
      <w:r w:rsidR="001348E1">
        <w:t>E1</w:t>
      </w:r>
      <w:r>
        <w:t xml:space="preserve"> </w:t>
      </w:r>
      <w:r w:rsidR="001348E1">
        <w:t>(</w:t>
      </w:r>
      <w:r w:rsidRPr="007E4B73">
        <w:t>RAINBOW extension trial</w:t>
      </w:r>
      <w:r w:rsidR="001348E1">
        <w:t>)</w:t>
      </w:r>
      <w:r w:rsidRPr="007E4B73">
        <w:t xml:space="preserve"> Summary of visual function outcomes (</w:t>
      </w:r>
      <w:r w:rsidR="00AF267F">
        <w:t xml:space="preserve">second interim </w:t>
      </w:r>
      <w:r w:rsidRPr="007E4B73">
        <w:t>analysis</w:t>
      </w:r>
      <w:r w:rsidR="00AF267F">
        <w:t xml:space="preserve"> (IA2)</w:t>
      </w:r>
      <w:r w:rsidRPr="007E4B73">
        <w:t>)</w:t>
      </w:r>
    </w:p>
    <w:p w14:paraId="2A55644B" w14:textId="287086EA" w:rsidR="00D54B92" w:rsidRDefault="00D54B92" w:rsidP="0047273B">
      <w:pPr>
        <w:pStyle w:val="TableTitle"/>
      </w:pPr>
      <w:r>
        <w:rPr>
          <w:noProof/>
          <w:lang w:val="en-GB" w:eastAsia="en-GB"/>
        </w:rPr>
        <w:drawing>
          <wp:inline distT="0" distB="0" distL="0" distR="0" wp14:anchorId="054FCD2A" wp14:editId="5F5DD777">
            <wp:extent cx="5400040" cy="3192780"/>
            <wp:effectExtent l="0" t="0" r="0" b="7620"/>
            <wp:docPr id="13" name="Picture 13" descr="Table 12: Study H2301E1 (RAINBOW extension trial) Summary of visual function outcomes (second interim analysis (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12: Study H2301E1 (RAINBOW extension trial) Summary of visual function outcomes (second interim analysis (IA2))"/>
                    <pic:cNvPicPr/>
                  </pic:nvPicPr>
                  <pic:blipFill>
                    <a:blip r:embed="rId31"/>
                    <a:stretch>
                      <a:fillRect/>
                    </a:stretch>
                  </pic:blipFill>
                  <pic:spPr>
                    <a:xfrm>
                      <a:off x="0" y="0"/>
                      <a:ext cx="5400040" cy="3192780"/>
                    </a:xfrm>
                    <a:prstGeom prst="rect">
                      <a:avLst/>
                    </a:prstGeom>
                  </pic:spPr>
                </pic:pic>
              </a:graphicData>
            </a:graphic>
          </wp:inline>
        </w:drawing>
      </w:r>
    </w:p>
    <w:p w14:paraId="7FF487E9" w14:textId="420C9F50" w:rsidR="00D54B92" w:rsidRPr="00D54B92" w:rsidRDefault="00D54B92" w:rsidP="00BF34AC">
      <w:pPr>
        <w:pStyle w:val="TableDescription"/>
      </w:pPr>
      <w:r w:rsidRPr="00045C8F">
        <w:rPr>
          <w:vertAlign w:val="superscript"/>
        </w:rPr>
        <w:t>a</w:t>
      </w:r>
      <w:r w:rsidRPr="00D54B92">
        <w:t xml:space="preserve"> </w:t>
      </w:r>
      <w:proofErr w:type="gramStart"/>
      <w:r w:rsidRPr="00D54B92">
        <w:t>Binocular results</w:t>
      </w:r>
      <w:proofErr w:type="gramEnd"/>
      <w:r w:rsidRPr="00D54B92">
        <w:t xml:space="preserve"> presented, for </w:t>
      </w:r>
      <w:r w:rsidR="00AF267F">
        <w:t>visual acuity</w:t>
      </w:r>
      <w:r w:rsidRPr="00D54B92">
        <w:t xml:space="preserve"> from </w:t>
      </w:r>
      <w:r w:rsidR="00AF267F">
        <w:t>Cardiff Acuity test</w:t>
      </w:r>
      <w:r w:rsidRPr="00D54B92">
        <w:t xml:space="preserve"> at Year 2, summary statistics in </w:t>
      </w:r>
      <w:proofErr w:type="spellStart"/>
      <w:r w:rsidRPr="00D54B92">
        <w:t>LogMAR</w:t>
      </w:r>
      <w:proofErr w:type="spellEnd"/>
      <w:r w:rsidRPr="00D54B92">
        <w:t xml:space="preserve">; for vision function rating, results from the IA2 analysis are presented. N represents the number of enrolled patients in </w:t>
      </w:r>
      <w:r w:rsidR="00B1395F">
        <w:t>Study H2301</w:t>
      </w:r>
      <w:r w:rsidR="00AF267F">
        <w:t>E1</w:t>
      </w:r>
      <w:r w:rsidRPr="00D54B92">
        <w:t>. n represents the number of patients with available data for specified assessments.</w:t>
      </w:r>
    </w:p>
    <w:p w14:paraId="3CD334AD" w14:textId="70D08D19" w:rsidR="00071A19" w:rsidRDefault="00071A19" w:rsidP="00071A19">
      <w:pPr>
        <w:pStyle w:val="Heading4"/>
      </w:pPr>
      <w:r w:rsidRPr="00071A19">
        <w:t>Safety</w:t>
      </w:r>
    </w:p>
    <w:p w14:paraId="5E090280" w14:textId="77777777" w:rsidR="00071A19" w:rsidRDefault="00071A19" w:rsidP="00071A19">
      <w:pPr>
        <w:pStyle w:val="Heading5"/>
      </w:pPr>
      <w:r>
        <w:t>Exposure</w:t>
      </w:r>
    </w:p>
    <w:p w14:paraId="67AF6B6E" w14:textId="0F6D80E9" w:rsidR="00071A19" w:rsidRDefault="00B1395F" w:rsidP="00071A19">
      <w:pPr>
        <w:pStyle w:val="Heading6"/>
      </w:pPr>
      <w:r>
        <w:t>Study H2301</w:t>
      </w:r>
      <w:r w:rsidR="00AF267F">
        <w:t xml:space="preserve"> (</w:t>
      </w:r>
      <w:r w:rsidR="00071A19">
        <w:t>RAINBOW</w:t>
      </w:r>
      <w:r w:rsidR="003047C5">
        <w:t xml:space="preserve"> trial</w:t>
      </w:r>
      <w:r w:rsidR="00AF267F">
        <w:t>)</w:t>
      </w:r>
    </w:p>
    <w:p w14:paraId="1AB1CD35" w14:textId="2C4B7700" w:rsidR="00071A19" w:rsidRDefault="00071A19" w:rsidP="00071A19">
      <w:r>
        <w:t xml:space="preserve">The mean safety observation period was 161.7 to 162.7 days across treatment groups. The mean number of injections per patient was 2.4 in the 0.2 mg group and 2.5 in the 0.1 mg group. </w:t>
      </w:r>
      <w:r w:rsidR="007B599A">
        <w:t>Thirteen</w:t>
      </w:r>
      <w:r>
        <w:t xml:space="preserve"> (18.8%) patients </w:t>
      </w:r>
      <w:r w:rsidR="00AF267F">
        <w:t xml:space="preserve">from the laser treatment group </w:t>
      </w:r>
      <w:r>
        <w:t>switched to ranibizumab, receiving a mean 2.2 injections each.</w:t>
      </w:r>
    </w:p>
    <w:p w14:paraId="3437A127" w14:textId="047E9814" w:rsidR="00071A19" w:rsidRDefault="00B1395F" w:rsidP="00071A19">
      <w:pPr>
        <w:pStyle w:val="Heading6"/>
      </w:pPr>
      <w:r>
        <w:t>Study H2301</w:t>
      </w:r>
      <w:r w:rsidR="00AF267F">
        <w:t>E1 (</w:t>
      </w:r>
      <w:r w:rsidR="00071A19">
        <w:t>RAINBOW</w:t>
      </w:r>
      <w:r w:rsidR="00AF267F">
        <w:t>)</w:t>
      </w:r>
      <w:r w:rsidR="00071A19">
        <w:t xml:space="preserve"> extension</w:t>
      </w:r>
      <w:r w:rsidR="003047C5">
        <w:t xml:space="preserve"> trial</w:t>
      </w:r>
    </w:p>
    <w:p w14:paraId="321A2287" w14:textId="575C23B4" w:rsidR="00071A19" w:rsidRDefault="00071A19" w:rsidP="00071A19">
      <w:r>
        <w:t xml:space="preserve">For the 180 enrolled patients, the mean number of injections per patient up to Week 40 was 2.5 for each of the ranibizumab groups, with 77% of patients receiving initial treatment at </w:t>
      </w:r>
      <w:r w:rsidR="00AF267F">
        <w:t>the</w:t>
      </w:r>
      <w:r>
        <w:t xml:space="preserve"> </w:t>
      </w:r>
      <w:r w:rsidR="007E6D6B">
        <w:t>b</w:t>
      </w:r>
      <w:r>
        <w:t xml:space="preserve">aseline </w:t>
      </w:r>
      <w:r w:rsidR="00AF267F">
        <w:t xml:space="preserve">of </w:t>
      </w:r>
      <w:r w:rsidR="00B1395F">
        <w:t>Study H2301</w:t>
      </w:r>
      <w:r w:rsidR="006B170E">
        <w:t xml:space="preserve"> (Rainbow trial)</w:t>
      </w:r>
      <w:r w:rsidR="00AF267F">
        <w:t xml:space="preserve"> </w:t>
      </w:r>
      <w:r>
        <w:t xml:space="preserve">only. </w:t>
      </w:r>
      <w:r w:rsidR="007B599A">
        <w:t xml:space="preserve">Eleven </w:t>
      </w:r>
      <w:r>
        <w:t xml:space="preserve">patients </w:t>
      </w:r>
      <w:r w:rsidR="00AF267F">
        <w:t xml:space="preserve">who </w:t>
      </w:r>
      <w:r w:rsidR="00AF267F">
        <w:lastRenderedPageBreak/>
        <w:t xml:space="preserve">received laser treatment </w:t>
      </w:r>
      <w:r>
        <w:t>switched to ranibizumab, receiving a mean 2.4 ranibizumab injections each. Over 96% patients had a safety follow-up period of more than 24 months.</w:t>
      </w:r>
    </w:p>
    <w:p w14:paraId="2FAB5854" w14:textId="6EE046FE" w:rsidR="00071A19" w:rsidRDefault="00071A19" w:rsidP="00071A19">
      <w:pPr>
        <w:pStyle w:val="Heading5"/>
      </w:pPr>
      <w:r>
        <w:t>Adverse event</w:t>
      </w:r>
      <w:r w:rsidR="006B170E">
        <w:t>s</w:t>
      </w:r>
    </w:p>
    <w:p w14:paraId="1CEC69AF" w14:textId="6F78683D" w:rsidR="00071A19" w:rsidRDefault="00B1395F" w:rsidP="00071A19">
      <w:pPr>
        <w:pStyle w:val="Heading6"/>
      </w:pPr>
      <w:r>
        <w:t>Study H2301</w:t>
      </w:r>
      <w:r w:rsidR="006B170E">
        <w:t xml:space="preserve"> (</w:t>
      </w:r>
      <w:r w:rsidR="00071A19">
        <w:t>RAINBOW</w:t>
      </w:r>
      <w:r w:rsidR="003047C5">
        <w:t xml:space="preserve"> trial</w:t>
      </w:r>
      <w:r w:rsidR="006B170E">
        <w:t>)</w:t>
      </w:r>
    </w:p>
    <w:p w14:paraId="5B686CB3" w14:textId="3C978E7F" w:rsidR="00071A19" w:rsidRDefault="00071A19" w:rsidP="00071A19">
      <w:r>
        <w:t>The adverse event (AE) profile was generally comparable between the 0.2 mg and 0.1 mg treatment groups with no definite dose-related trends observed in the clinical trial program. Non-ocular AE</w:t>
      </w:r>
      <w:r w:rsidR="006B170E">
        <w:t>s</w:t>
      </w:r>
      <w:r>
        <w:t xml:space="preserve"> and serious adverse events (SAE) in the pivotal study were reported most frequently in the </w:t>
      </w:r>
      <w:r w:rsidR="00D54B92">
        <w:t>i</w:t>
      </w:r>
      <w:r>
        <w:t xml:space="preserve">nfections and infestations, </w:t>
      </w:r>
      <w:r w:rsidR="00D54B92">
        <w:t>r</w:t>
      </w:r>
      <w:r>
        <w:t xml:space="preserve">espiratory, </w:t>
      </w:r>
      <w:proofErr w:type="gramStart"/>
      <w:r w:rsidR="00D54B92">
        <w:t>t</w:t>
      </w:r>
      <w:r>
        <w:t>horacic</w:t>
      </w:r>
      <w:proofErr w:type="gramEnd"/>
      <w:r>
        <w:t xml:space="preserve"> and </w:t>
      </w:r>
      <w:r w:rsidR="00D54B92">
        <w:t>m</w:t>
      </w:r>
      <w:r>
        <w:t xml:space="preserve">ediastinal disorders and </w:t>
      </w:r>
      <w:r w:rsidR="00D54B92">
        <w:t>g</w:t>
      </w:r>
      <w:r>
        <w:t xml:space="preserve">astrointestinal disorders </w:t>
      </w:r>
      <w:r w:rsidR="00D54B92">
        <w:t>S</w:t>
      </w:r>
      <w:r>
        <w:t xml:space="preserve">ystem </w:t>
      </w:r>
      <w:r w:rsidR="00D54B92">
        <w:t>O</w:t>
      </w:r>
      <w:r>
        <w:t xml:space="preserve">rgan </w:t>
      </w:r>
      <w:r w:rsidR="00D54B92">
        <w:t>C</w:t>
      </w:r>
      <w:r>
        <w:t>lass</w:t>
      </w:r>
      <w:r w:rsidR="006B170E">
        <w:t>es</w:t>
      </w:r>
      <w:r>
        <w:t xml:space="preserve"> (SOC) and in line with co</w:t>
      </w:r>
      <w:r w:rsidR="00E1532C">
        <w:t>-</w:t>
      </w:r>
      <w:r>
        <w:t>morbidities in a premature infant patient population.</w:t>
      </w:r>
    </w:p>
    <w:p w14:paraId="501EF53B" w14:textId="2518E48F" w:rsidR="00071A19" w:rsidRDefault="00AF67C6" w:rsidP="00071A19">
      <w:r>
        <w:t xml:space="preserve">Non-ocular </w:t>
      </w:r>
      <w:r w:rsidR="006B170E">
        <w:t xml:space="preserve">adverse events </w:t>
      </w:r>
      <w:r>
        <w:t xml:space="preserve">were experienced by </w:t>
      </w:r>
      <w:r w:rsidR="00071A19">
        <w:t xml:space="preserve">84.9%, 81.6% 76.8% </w:t>
      </w:r>
      <w:r>
        <w:t>of the patients</w:t>
      </w:r>
      <w:r w:rsidR="00071A19">
        <w:t xml:space="preserve"> in the </w:t>
      </w:r>
      <w:r w:rsidR="006B170E">
        <w:t xml:space="preserve">ranibizumab </w:t>
      </w:r>
      <w:r w:rsidR="00071A19">
        <w:t>0.2 mg, 0.1</w:t>
      </w:r>
      <w:r w:rsidR="00D54B92">
        <w:t> </w:t>
      </w:r>
      <w:r w:rsidR="00071A19">
        <w:t>mg, and laser groups</w:t>
      </w:r>
      <w:r>
        <w:t>,</w:t>
      </w:r>
      <w:r w:rsidR="00071A19">
        <w:t xml:space="preserve"> respectively</w:t>
      </w:r>
      <w:r>
        <w:t>.</w:t>
      </w:r>
      <w:r w:rsidR="0003659F">
        <w:t xml:space="preserve"> </w:t>
      </w:r>
      <w:r>
        <w:t xml:space="preserve">The </w:t>
      </w:r>
      <w:r w:rsidR="00071A19">
        <w:t>most common</w:t>
      </w:r>
      <w:r>
        <w:t xml:space="preserve"> AE was</w:t>
      </w:r>
      <w:r w:rsidR="00071A19">
        <w:t xml:space="preserve"> pyrexia (8.7%), nasopharyngitis and anaemia (8.3% each).</w:t>
      </w:r>
    </w:p>
    <w:p w14:paraId="0BC1FC69" w14:textId="23DD2A36" w:rsidR="00071A19" w:rsidRDefault="00071A19" w:rsidP="00071A19">
      <w:r>
        <w:t>An imbalance relating to hearing disorders (6.8% for ranibizumab 0.2 mg versus 1.4% for laser) had various time to onset after treatment and was not considered treatment-related by the sponsor.</w:t>
      </w:r>
    </w:p>
    <w:p w14:paraId="49485BB1" w14:textId="30AC9BBF" w:rsidR="00071A19" w:rsidRDefault="00AF67C6" w:rsidP="00071A19">
      <w:r>
        <w:t xml:space="preserve">Ocular </w:t>
      </w:r>
      <w:r w:rsidR="006B170E">
        <w:t xml:space="preserve">adverse events </w:t>
      </w:r>
      <w:r>
        <w:t xml:space="preserve">were experienced by </w:t>
      </w:r>
      <w:r w:rsidR="00071A19">
        <w:t>30.1%, 40.8%</w:t>
      </w:r>
      <w:r w:rsidR="00E1532C">
        <w:t xml:space="preserve"> </w:t>
      </w:r>
      <w:r w:rsidR="00071A19">
        <w:t xml:space="preserve">and 33.3% </w:t>
      </w:r>
      <w:r>
        <w:t>of the patients</w:t>
      </w:r>
      <w:r w:rsidR="00071A19">
        <w:t xml:space="preserve"> in the </w:t>
      </w:r>
      <w:r w:rsidR="006B170E">
        <w:t xml:space="preserve">ranibizumab </w:t>
      </w:r>
      <w:r w:rsidR="00071A19">
        <w:t>0.2 mg, 0.1</w:t>
      </w:r>
      <w:r w:rsidR="00E1532C">
        <w:t> </w:t>
      </w:r>
      <w:proofErr w:type="gramStart"/>
      <w:r w:rsidR="00071A19">
        <w:t>mg</w:t>
      </w:r>
      <w:proofErr w:type="gramEnd"/>
      <w:r w:rsidR="00071A19">
        <w:t xml:space="preserve"> and laser groups, respectively. </w:t>
      </w:r>
      <w:r w:rsidR="006B170E">
        <w:t xml:space="preserve">Adverse events </w:t>
      </w:r>
      <w:r w:rsidR="00071A19">
        <w:t>were most commonly retinal haemorrhage (10.6%), conjunctival haemorrhage (6.4%), conjunctivitis</w:t>
      </w:r>
      <w:r w:rsidR="006B170E">
        <w:t> </w:t>
      </w:r>
      <w:r w:rsidR="00071A19">
        <w:t>(4.6%) and ROP (3.7%).</w:t>
      </w:r>
    </w:p>
    <w:p w14:paraId="77F2683E" w14:textId="528B16B7" w:rsidR="00071A19" w:rsidRDefault="006B170E" w:rsidP="00071A19">
      <w:r>
        <w:t xml:space="preserve">Adverse events </w:t>
      </w:r>
      <w:r w:rsidR="00071A19">
        <w:t>suspected to be related to study drug treatment or procedure were more frequent in the ranibizumab groups (15.1</w:t>
      </w:r>
      <w:r w:rsidR="007B599A">
        <w:t xml:space="preserve"> to </w:t>
      </w:r>
      <w:r w:rsidR="00071A19">
        <w:t>15.8% versus 8.7% for laser), most commonly conjunctival haemorrhage. These AE were consistent with the known adult safety profile.</w:t>
      </w:r>
    </w:p>
    <w:p w14:paraId="299615A6" w14:textId="1DBA595B" w:rsidR="00071A19" w:rsidRDefault="00071A19" w:rsidP="00071A19">
      <w:r>
        <w:t xml:space="preserve">The key safety issues were the lack of </w:t>
      </w:r>
      <w:r w:rsidR="002E3BA2">
        <w:t>long</w:t>
      </w:r>
      <w:r w:rsidR="00D54B92">
        <w:t>-</w:t>
      </w:r>
      <w:r w:rsidR="002E3BA2">
        <w:t>term</w:t>
      </w:r>
      <w:r>
        <w:t xml:space="preserve"> safety data for intravitreal ranibizumab in premature infants with ROP and important potential risk of neurodevelopmental delay.</w:t>
      </w:r>
    </w:p>
    <w:p w14:paraId="5026C86A" w14:textId="3DDAFD04" w:rsidR="00071A19" w:rsidRDefault="00B1395F" w:rsidP="00071A19">
      <w:pPr>
        <w:pStyle w:val="Heading6"/>
      </w:pPr>
      <w:r>
        <w:t>Study H2301</w:t>
      </w:r>
      <w:r w:rsidR="00E63E8C">
        <w:t>E1 (</w:t>
      </w:r>
      <w:r w:rsidR="00071A19">
        <w:t>RAINBOW extension</w:t>
      </w:r>
      <w:r w:rsidR="003047C5">
        <w:t xml:space="preserve"> trial</w:t>
      </w:r>
      <w:r w:rsidR="00E63E8C">
        <w:t>)</w:t>
      </w:r>
    </w:p>
    <w:p w14:paraId="7DC95658" w14:textId="5AEB72BC" w:rsidR="00071A19" w:rsidRDefault="00D54B92" w:rsidP="00071A19">
      <w:r>
        <w:t>First interim analysis (IA1)</w:t>
      </w:r>
      <w:r w:rsidR="00071A19">
        <w:t xml:space="preserve"> safety data (up to Week 40) from </w:t>
      </w:r>
      <w:r>
        <w:t xml:space="preserve">the </w:t>
      </w:r>
      <w:r w:rsidR="00B1395F">
        <w:t>Study H2301</w:t>
      </w:r>
      <w:r w:rsidR="00E63E8C">
        <w:t>AE (</w:t>
      </w:r>
      <w:r w:rsidR="00071A19">
        <w:t xml:space="preserve">RAINBOW extension </w:t>
      </w:r>
      <w:r w:rsidR="003047C5">
        <w:t>trial</w:t>
      </w:r>
      <w:r w:rsidR="00E63E8C">
        <w:t>)</w:t>
      </w:r>
      <w:r w:rsidR="003047C5">
        <w:t xml:space="preserve"> </w:t>
      </w:r>
      <w:r w:rsidR="00071A19">
        <w:t xml:space="preserve">were considered consistent with </w:t>
      </w:r>
      <w:r w:rsidR="00B1395F">
        <w:t>Study H2301</w:t>
      </w:r>
      <w:r w:rsidR="00E63E8C">
        <w:t xml:space="preserve"> (core </w:t>
      </w:r>
      <w:r w:rsidR="00071A19">
        <w:t xml:space="preserve">RAINBOW </w:t>
      </w:r>
      <w:r w:rsidR="00E63E8C">
        <w:t xml:space="preserve">trial) </w:t>
      </w:r>
      <w:r w:rsidR="00071A19">
        <w:t>safety data.</w:t>
      </w:r>
    </w:p>
    <w:p w14:paraId="30027464" w14:textId="5A1C9440" w:rsidR="00071A19" w:rsidRDefault="00AF67C6" w:rsidP="00071A19">
      <w:r>
        <w:t xml:space="preserve">Non-ocular </w:t>
      </w:r>
      <w:r w:rsidR="00E63E8C">
        <w:t xml:space="preserve">adverse events </w:t>
      </w:r>
      <w:r>
        <w:t xml:space="preserve">were experienced by </w:t>
      </w:r>
      <w:r w:rsidR="00071A19">
        <w:t>72.3</w:t>
      </w:r>
      <w:r w:rsidR="007B599A">
        <w:t xml:space="preserve"> to </w:t>
      </w:r>
      <w:r w:rsidR="00071A19">
        <w:t xml:space="preserve">79.6% of patients across </w:t>
      </w:r>
      <w:r>
        <w:t xml:space="preserve">the </w:t>
      </w:r>
      <w:r w:rsidR="00071A19">
        <w:t>groups.</w:t>
      </w:r>
      <w:r w:rsidR="00E1532C">
        <w:t xml:space="preserve"> The most </w:t>
      </w:r>
      <w:r w:rsidR="00071A19">
        <w:t>common</w:t>
      </w:r>
      <w:r w:rsidR="00E1532C">
        <w:t xml:space="preserve"> AE</w:t>
      </w:r>
      <w:r w:rsidR="00E63E8C">
        <w:t>s</w:t>
      </w:r>
      <w:r w:rsidR="00E1532C">
        <w:t xml:space="preserve"> were</w:t>
      </w:r>
      <w:r w:rsidR="00071A19">
        <w:t xml:space="preserve"> nasopharyngitis, pyrexia and bronchitis, with no treatment specific trends noted.</w:t>
      </w:r>
    </w:p>
    <w:p w14:paraId="6937F512" w14:textId="101011AD" w:rsidR="00071A19" w:rsidRDefault="00AF67C6" w:rsidP="00071A19">
      <w:r>
        <w:t xml:space="preserve">Ocular </w:t>
      </w:r>
      <w:r w:rsidR="00E63E8C">
        <w:t xml:space="preserve">adverse events </w:t>
      </w:r>
      <w:r>
        <w:t xml:space="preserve">were experienced by </w:t>
      </w:r>
      <w:r w:rsidR="00071A19">
        <w:t xml:space="preserve">4.6%, 33.8% and 35.2% </w:t>
      </w:r>
      <w:r>
        <w:t>of patients</w:t>
      </w:r>
      <w:r w:rsidR="00071A19">
        <w:t xml:space="preserve"> in the 0.2</w:t>
      </w:r>
      <w:r w:rsidR="00E63E8C">
        <w:t> </w:t>
      </w:r>
      <w:r w:rsidR="00071A19">
        <w:t>mg, 0.1 mg, and laser groups, respectively</w:t>
      </w:r>
      <w:r>
        <w:t>.</w:t>
      </w:r>
      <w:r w:rsidR="0003659F">
        <w:t xml:space="preserve"> </w:t>
      </w:r>
      <w:r>
        <w:t>The most frequent AE</w:t>
      </w:r>
      <w:r w:rsidR="00E63E8C">
        <w:t>s</w:t>
      </w:r>
      <w:r>
        <w:t xml:space="preserve"> </w:t>
      </w:r>
      <w:r w:rsidR="00E63E8C">
        <w:t xml:space="preserve">were </w:t>
      </w:r>
      <w:r w:rsidR="00071A19">
        <w:t xml:space="preserve">strabismus, myopia, </w:t>
      </w:r>
      <w:proofErr w:type="gramStart"/>
      <w:r w:rsidR="00071A19">
        <w:t>astigmatism</w:t>
      </w:r>
      <w:proofErr w:type="gramEnd"/>
      <w:r w:rsidR="00071A19">
        <w:t xml:space="preserve"> and conjunctivitis. </w:t>
      </w:r>
      <w:r w:rsidR="00D54B92">
        <w:t>Severe AE</w:t>
      </w:r>
      <w:r w:rsidR="00E63E8C">
        <w:t>s</w:t>
      </w:r>
      <w:r w:rsidR="00D54B92">
        <w:t xml:space="preserve"> occurred in </w:t>
      </w:r>
      <w:r w:rsidR="00071A19">
        <w:t>3.3% of patients. The ocular AE profile in the extension study was consistent with the known ocular AE profile observed in</w:t>
      </w:r>
      <w:r w:rsidR="003047C5">
        <w:t xml:space="preserve"> </w:t>
      </w:r>
      <w:r w:rsidR="00E63E8C">
        <w:t xml:space="preserve">the core part of </w:t>
      </w:r>
      <w:r w:rsidR="00B1395F">
        <w:t>Study H2301</w:t>
      </w:r>
      <w:r w:rsidR="00E63E8C">
        <w:t xml:space="preserve"> (</w:t>
      </w:r>
      <w:r w:rsidR="00071A19">
        <w:t>RAINBOW</w:t>
      </w:r>
      <w:r w:rsidR="003047C5">
        <w:t xml:space="preserve"> trial</w:t>
      </w:r>
      <w:r w:rsidR="00E63E8C">
        <w:t>)</w:t>
      </w:r>
      <w:r w:rsidR="00071A19">
        <w:t>, with no new ocular safety concerns identified.</w:t>
      </w:r>
    </w:p>
    <w:p w14:paraId="76A921D8" w14:textId="7F879AE0" w:rsidR="00071A19" w:rsidRDefault="00071A19" w:rsidP="00071A19">
      <w:r>
        <w:t xml:space="preserve">The overall ocular and non-ocular AE profiles of ranibizumab 0.2 mg and 0.1 mg at the </w:t>
      </w:r>
      <w:r w:rsidR="00FF2EB0">
        <w:t>2</w:t>
      </w:r>
      <w:r w:rsidR="00D54B92">
        <w:noBreakHyphen/>
      </w:r>
      <w:r w:rsidR="00FF2EB0">
        <w:t>year</w:t>
      </w:r>
      <w:r>
        <w:t xml:space="preserve"> corrected age visit </w:t>
      </w:r>
      <w:proofErr w:type="gramStart"/>
      <w:r>
        <w:t>were</w:t>
      </w:r>
      <w:proofErr w:type="gramEnd"/>
      <w:r>
        <w:t xml:space="preserve"> similar.</w:t>
      </w:r>
    </w:p>
    <w:p w14:paraId="43B9D29C" w14:textId="68A63F7C" w:rsidR="00071A19" w:rsidRDefault="00071A19" w:rsidP="00071A19">
      <w:pPr>
        <w:pStyle w:val="Heading5"/>
      </w:pPr>
      <w:r>
        <w:t>Treatment</w:t>
      </w:r>
      <w:r w:rsidR="00E63E8C">
        <w:t>-</w:t>
      </w:r>
      <w:r>
        <w:t>related adverse event</w:t>
      </w:r>
    </w:p>
    <w:p w14:paraId="4537E728" w14:textId="68C7507F" w:rsidR="00071A19" w:rsidRDefault="00E63E8C" w:rsidP="00071A19">
      <w:r>
        <w:t>Treatment-related adverse events (p</w:t>
      </w:r>
      <w:r w:rsidR="00071A19">
        <w:t>otential adverse drug reactions (ADR)</w:t>
      </w:r>
      <w:r>
        <w:t>)</w:t>
      </w:r>
      <w:r w:rsidR="00071A19">
        <w:t xml:space="preserve"> for the ROP indication were identified based on the established adult ADR</w:t>
      </w:r>
      <w:r>
        <w:t xml:space="preserve"> profile</w:t>
      </w:r>
      <w:r w:rsidR="00071A19">
        <w:t xml:space="preserve"> and on AE</w:t>
      </w:r>
      <w:r>
        <w:t>s reported</w:t>
      </w:r>
      <w:r w:rsidR="00071A19">
        <w:t xml:space="preserve"> in</w:t>
      </w:r>
      <w:r w:rsidR="007B599A">
        <w:t xml:space="preserve"> </w:t>
      </w:r>
      <w:r w:rsidR="00071A19">
        <w:t xml:space="preserve">4 </w:t>
      </w:r>
      <w:r w:rsidR="00D54B92">
        <w:t xml:space="preserve">or more </w:t>
      </w:r>
      <w:r w:rsidR="00071A19">
        <w:t>patients in either ranibizumab group with a difference of</w:t>
      </w:r>
      <w:r w:rsidR="00D54B92">
        <w:t xml:space="preserve"> </w:t>
      </w:r>
      <w:r w:rsidR="00071A19">
        <w:t xml:space="preserve">3% </w:t>
      </w:r>
      <w:r w:rsidR="00D54B92">
        <w:t xml:space="preserve">or greater </w:t>
      </w:r>
      <w:r w:rsidR="00071A19">
        <w:t xml:space="preserve">in either ranibizumab group </w:t>
      </w:r>
      <w:r>
        <w:t xml:space="preserve">(0.1 mg or 0.2 mg) </w:t>
      </w:r>
      <w:r w:rsidR="00071A19">
        <w:t>versus the laser</w:t>
      </w:r>
      <w:r>
        <w:t xml:space="preserve"> treatment</w:t>
      </w:r>
      <w:r w:rsidR="00071A19">
        <w:t xml:space="preserve"> group. They appear to be consistent with the known adult ocular safety profile</w:t>
      </w:r>
      <w:r w:rsidR="003D3B50">
        <w:t>.</w:t>
      </w:r>
    </w:p>
    <w:p w14:paraId="7DBA4DFC" w14:textId="77777777" w:rsidR="00071A19" w:rsidRDefault="00071A19" w:rsidP="00071A19">
      <w:pPr>
        <w:pStyle w:val="Heading5"/>
      </w:pPr>
      <w:r>
        <w:lastRenderedPageBreak/>
        <w:t>Deaths</w:t>
      </w:r>
    </w:p>
    <w:p w14:paraId="6496CF81" w14:textId="106D04C3" w:rsidR="00071A19" w:rsidRDefault="00B1395F" w:rsidP="00071A19">
      <w:pPr>
        <w:pStyle w:val="Heading6"/>
      </w:pPr>
      <w:r>
        <w:t>Study H2301</w:t>
      </w:r>
      <w:r w:rsidR="00E63E8C">
        <w:t xml:space="preserve"> (</w:t>
      </w:r>
      <w:r w:rsidR="00071A19">
        <w:t>RAINBOW</w:t>
      </w:r>
      <w:r w:rsidR="003047C5">
        <w:t xml:space="preserve"> trial</w:t>
      </w:r>
      <w:r w:rsidR="00E63E8C">
        <w:t>)</w:t>
      </w:r>
    </w:p>
    <w:p w14:paraId="6F4EBCD2" w14:textId="5A113C0C" w:rsidR="00071A19" w:rsidRDefault="00AF67C6" w:rsidP="00071A19">
      <w:r>
        <w:t>Twelve</w:t>
      </w:r>
      <w:r w:rsidR="00071A19">
        <w:t xml:space="preserve"> deaths occurred in the study: </w:t>
      </w:r>
      <w:r w:rsidR="00303FE8">
        <w:t>f</w:t>
      </w:r>
      <w:r w:rsidR="00E1532C">
        <w:t>our</w:t>
      </w:r>
      <w:r w:rsidR="00071A19">
        <w:t xml:space="preserve"> patients in each group, with </w:t>
      </w:r>
      <w:r w:rsidR="00E1532C">
        <w:t>one</w:t>
      </w:r>
      <w:r w:rsidR="00071A19">
        <w:t xml:space="preserve"> death due to respiratory failure in the </w:t>
      </w:r>
      <w:r w:rsidR="00E63E8C">
        <w:t xml:space="preserve">ranibizumab </w:t>
      </w:r>
      <w:r w:rsidR="00071A19">
        <w:t>0.1 mg group suspected to be related to study medication.</w:t>
      </w:r>
    </w:p>
    <w:p w14:paraId="77FBE150" w14:textId="0ECE21C6" w:rsidR="00071A19" w:rsidRDefault="00B1395F" w:rsidP="00071A19">
      <w:pPr>
        <w:pStyle w:val="Heading6"/>
      </w:pPr>
      <w:r>
        <w:t>Study H2301</w:t>
      </w:r>
      <w:r w:rsidR="00E63E8C">
        <w:t>E1 (</w:t>
      </w:r>
      <w:r w:rsidR="00071A19">
        <w:t>RAINBOW extension</w:t>
      </w:r>
      <w:r w:rsidR="003047C5">
        <w:t xml:space="preserve"> trial</w:t>
      </w:r>
      <w:r w:rsidR="00E63E8C">
        <w:t>)</w:t>
      </w:r>
    </w:p>
    <w:p w14:paraId="3AAEC34B" w14:textId="11C6FA29" w:rsidR="00071A19" w:rsidRDefault="00071A19" w:rsidP="00071A19">
      <w:r>
        <w:t xml:space="preserve">There were </w:t>
      </w:r>
      <w:r w:rsidR="00AF67C6">
        <w:t>two</w:t>
      </w:r>
      <w:r>
        <w:t xml:space="preserve"> deaths with both patients in the laser group. Neither death was considered related to study treatment or procedure.</w:t>
      </w:r>
    </w:p>
    <w:p w14:paraId="5D86E997" w14:textId="77777777" w:rsidR="00071A19" w:rsidRDefault="00071A19" w:rsidP="00071A19">
      <w:pPr>
        <w:pStyle w:val="Heading5"/>
      </w:pPr>
      <w:r>
        <w:t>Serious adverse events</w:t>
      </w:r>
    </w:p>
    <w:p w14:paraId="40FAB80F" w14:textId="33C6B150" w:rsidR="00071A19" w:rsidRDefault="00B1395F" w:rsidP="00071A19">
      <w:pPr>
        <w:pStyle w:val="Heading6"/>
      </w:pPr>
      <w:r>
        <w:t>Study H2301</w:t>
      </w:r>
      <w:r w:rsidR="00E63E8C">
        <w:t xml:space="preserve"> (</w:t>
      </w:r>
      <w:r w:rsidR="00071A19">
        <w:t>RAINBOW</w:t>
      </w:r>
      <w:r w:rsidR="003047C5">
        <w:t xml:space="preserve"> trial</w:t>
      </w:r>
      <w:r w:rsidR="00E63E8C">
        <w:t>)</w:t>
      </w:r>
    </w:p>
    <w:p w14:paraId="1BBC1B6D" w14:textId="156F69DE" w:rsidR="00071A19" w:rsidRDefault="00071A19" w:rsidP="00071A19">
      <w:r>
        <w:t xml:space="preserve">The number of patients with non-ocular </w:t>
      </w:r>
      <w:r w:rsidR="005D5791">
        <w:t>serious adverse events (</w:t>
      </w:r>
      <w:r>
        <w:t>SAE</w:t>
      </w:r>
      <w:r w:rsidR="00E63E8C">
        <w:t>s</w:t>
      </w:r>
      <w:r w:rsidR="005D5791">
        <w:t>)</w:t>
      </w:r>
      <w:r>
        <w:t xml:space="preserve"> was comparable across the treatment groups (31.6</w:t>
      </w:r>
      <w:r w:rsidR="00705115">
        <w:t xml:space="preserve"> to </w:t>
      </w:r>
      <w:r>
        <w:t>32.9%), with pneumonia, bronchiolitis, and bronchopulmonary dysplasia the most frequent (2.8% each).</w:t>
      </w:r>
    </w:p>
    <w:p w14:paraId="1A74E8B6" w14:textId="6EEB0ABE" w:rsidR="00071A19" w:rsidRDefault="0070507C" w:rsidP="00071A19">
      <w:r>
        <w:t>Four</w:t>
      </w:r>
      <w:r w:rsidR="00071A19">
        <w:t xml:space="preserve"> patients (5.5 </w:t>
      </w:r>
      <w:r w:rsidR="00705115">
        <w:t xml:space="preserve">to </w:t>
      </w:r>
      <w:r w:rsidR="00071A19">
        <w:t xml:space="preserve">5.8%) each in the ranibizumab 0.2 mg and laser groups with ROP the most frequent ocular SAE (2.8%). There was </w:t>
      </w:r>
      <w:r w:rsidR="00AF67C6">
        <w:t>one</w:t>
      </w:r>
      <w:r w:rsidR="00071A19">
        <w:t xml:space="preserve"> ocular SAE of endophthalmitis suspected to be related to study treatment and study procedure in the ranibizumab 0.1 mg group. Endophthalmitis is a known important risk of ranibizumab.</w:t>
      </w:r>
    </w:p>
    <w:p w14:paraId="078EFBDB" w14:textId="0784FF2A" w:rsidR="00071A19" w:rsidRDefault="00B1395F" w:rsidP="00071A19">
      <w:pPr>
        <w:pStyle w:val="Heading6"/>
      </w:pPr>
      <w:r>
        <w:t>Study H2301</w:t>
      </w:r>
      <w:r w:rsidR="00E63E8C">
        <w:t>E1 (</w:t>
      </w:r>
      <w:r w:rsidR="00071A19">
        <w:t>RAINBOW extension</w:t>
      </w:r>
      <w:r w:rsidR="003047C5">
        <w:t xml:space="preserve"> trial</w:t>
      </w:r>
      <w:r w:rsidR="00E63E8C">
        <w:t>)</w:t>
      </w:r>
    </w:p>
    <w:p w14:paraId="121045DE" w14:textId="67F731BA" w:rsidR="00071A19" w:rsidRDefault="00AF67C6" w:rsidP="00071A19">
      <w:r>
        <w:t>Non-ocular S</w:t>
      </w:r>
      <w:r w:rsidR="00D54B92">
        <w:t>AE</w:t>
      </w:r>
      <w:r w:rsidR="00E63E8C">
        <w:t>s</w:t>
      </w:r>
      <w:r>
        <w:t xml:space="preserve"> occurred in </w:t>
      </w:r>
      <w:r w:rsidR="00071A19">
        <w:t xml:space="preserve">32.8%, 32.3% and 42.6% of patients in the 0.2 mg, 0.1 </w:t>
      </w:r>
      <w:proofErr w:type="gramStart"/>
      <w:r w:rsidR="00071A19">
        <w:t>mg</w:t>
      </w:r>
      <w:proofErr w:type="gramEnd"/>
      <w:r w:rsidR="00071A19">
        <w:t xml:space="preserve"> and laser groups, respectively</w:t>
      </w:r>
      <w:r>
        <w:t>.</w:t>
      </w:r>
      <w:r w:rsidR="0003659F">
        <w:t xml:space="preserve"> </w:t>
      </w:r>
      <w:r>
        <w:t xml:space="preserve">The </w:t>
      </w:r>
      <w:r w:rsidR="00071A19">
        <w:t>most common</w:t>
      </w:r>
      <w:r>
        <w:t xml:space="preserve"> S</w:t>
      </w:r>
      <w:r w:rsidR="00D54B92">
        <w:t>AE</w:t>
      </w:r>
      <w:r w:rsidR="00E63E8C">
        <w:t>s</w:t>
      </w:r>
      <w:r>
        <w:t xml:space="preserve"> were</w:t>
      </w:r>
      <w:r w:rsidR="00071A19">
        <w:t xml:space="preserve"> bronchitis (5.6%), pneumonia (4.4%) and bronchiolitis in accordance with the known co-morbidities of the patient population.</w:t>
      </w:r>
    </w:p>
    <w:p w14:paraId="25AA2BC5" w14:textId="50A42B8E" w:rsidR="00071A19" w:rsidRDefault="00071A19" w:rsidP="00071A19">
      <w:r>
        <w:t>Seven (3.9%) patients experienced ocular S</w:t>
      </w:r>
      <w:r w:rsidR="00D54B92">
        <w:t>AE</w:t>
      </w:r>
      <w:r>
        <w:t>, including two S</w:t>
      </w:r>
      <w:r w:rsidR="00D54B92">
        <w:t>AE</w:t>
      </w:r>
      <w:r w:rsidR="00E63E8C">
        <w:t>s</w:t>
      </w:r>
      <w:r>
        <w:t xml:space="preserve"> of retinal detachment in the </w:t>
      </w:r>
      <w:r w:rsidR="00E63E8C">
        <w:t xml:space="preserve">ranibizumab </w:t>
      </w:r>
      <w:r>
        <w:t xml:space="preserve">0.1 mg group. No patients in the </w:t>
      </w:r>
      <w:r w:rsidR="00E63E8C">
        <w:t xml:space="preserve">ranibizumab </w:t>
      </w:r>
      <w:r>
        <w:t>0.2 mg group had ocular S</w:t>
      </w:r>
      <w:r w:rsidR="00D54B92">
        <w:t>AE</w:t>
      </w:r>
      <w:r w:rsidR="00E63E8C">
        <w:t>s</w:t>
      </w:r>
      <w:r>
        <w:t>.</w:t>
      </w:r>
    </w:p>
    <w:p w14:paraId="3A56E479" w14:textId="5B73E200" w:rsidR="00071A19" w:rsidRDefault="00071A19" w:rsidP="00071A19">
      <w:pPr>
        <w:pStyle w:val="Heading5"/>
      </w:pPr>
      <w:r>
        <w:t xml:space="preserve">Adverse events of special interest and </w:t>
      </w:r>
      <w:r w:rsidR="002E3BA2">
        <w:t>long</w:t>
      </w:r>
      <w:r w:rsidR="00D54B92">
        <w:t>-</w:t>
      </w:r>
      <w:r w:rsidR="002E3BA2">
        <w:t>term</w:t>
      </w:r>
      <w:r>
        <w:t xml:space="preserve"> safety</w:t>
      </w:r>
    </w:p>
    <w:p w14:paraId="3287B6EC" w14:textId="77777777" w:rsidR="00071A19" w:rsidRDefault="00071A19" w:rsidP="00071A19">
      <w:r>
        <w:t>Neurodevelopmental impairment is an important potential risk of ranibizumab for the ROP indication, and a recognised complication of prematurity with the risk increasing with decreasing gestational age.</w:t>
      </w:r>
    </w:p>
    <w:p w14:paraId="1B8141B8" w14:textId="68AB15C8" w:rsidR="00071A19" w:rsidRDefault="00071A19" w:rsidP="00071A19">
      <w:r>
        <w:t xml:space="preserve">The sponsor provided an analysis of neurodevelopmental impairment for </w:t>
      </w:r>
      <w:r w:rsidR="00303FE8">
        <w:t xml:space="preserve">the RAINBOW extension trial </w:t>
      </w:r>
      <w:r>
        <w:t>(to</w:t>
      </w:r>
      <w:r w:rsidR="00E63E8C">
        <w:t xml:space="preserve"> the second interim analysis</w:t>
      </w:r>
      <w:r>
        <w:t xml:space="preserve"> </w:t>
      </w:r>
      <w:r w:rsidR="00E63E8C">
        <w:t>(</w:t>
      </w:r>
      <w:r>
        <w:t>IA2</w:t>
      </w:r>
      <w:r w:rsidR="00E63E8C">
        <w:t>)</w:t>
      </w:r>
      <w:r>
        <w:t xml:space="preserve"> cut</w:t>
      </w:r>
      <w:r w:rsidR="007B599A">
        <w:t xml:space="preserve"> </w:t>
      </w:r>
      <w:r>
        <w:t>off) using two approaches:</w:t>
      </w:r>
    </w:p>
    <w:p w14:paraId="6CBE3F43" w14:textId="43746FD0" w:rsidR="00E63E8C" w:rsidRDefault="00071A19" w:rsidP="00071A19">
      <w:pPr>
        <w:pStyle w:val="ListBullet"/>
      </w:pPr>
      <w:r>
        <w:t xml:space="preserve">A broader medical review of all relevant </w:t>
      </w:r>
      <w:r w:rsidR="00D54B92">
        <w:t>AE</w:t>
      </w:r>
      <w:r>
        <w:t xml:space="preserve"> reported in </w:t>
      </w:r>
      <w:r w:rsidR="00B1395F">
        <w:t>Study H2301</w:t>
      </w:r>
      <w:r w:rsidR="00E63E8C">
        <w:t>E1 (</w:t>
      </w:r>
      <w:r w:rsidR="00303FE8">
        <w:t>RAINBOW extension trial</w:t>
      </w:r>
      <w:r w:rsidR="00E63E8C">
        <w:t>),</w:t>
      </w:r>
      <w:r>
        <w:t xml:space="preserve"> up to the IA2 cut-off) that may be considered related to overall developmental impairment associated with central nervous system (CNS) disorders was conducted.</w:t>
      </w:r>
    </w:p>
    <w:p w14:paraId="4C52A3F6" w14:textId="58BFF7CA" w:rsidR="00E63E8C" w:rsidRDefault="00071A19" w:rsidP="00A4695C">
      <w:pPr>
        <w:pStyle w:val="ListBullet"/>
        <w:numPr>
          <w:ilvl w:val="0"/>
          <w:numId w:val="0"/>
        </w:numPr>
        <w:ind w:left="360"/>
      </w:pPr>
      <w:r>
        <w:t>The review revealed</w:t>
      </w:r>
      <w:r w:rsidR="00E63E8C">
        <w:t>:</w:t>
      </w:r>
    </w:p>
    <w:p w14:paraId="1647044A" w14:textId="66190CE4" w:rsidR="00E63E8C" w:rsidRDefault="00071A19" w:rsidP="00A4695C">
      <w:pPr>
        <w:pStyle w:val="ListBullet2"/>
      </w:pPr>
      <w:r>
        <w:t xml:space="preserve">37 patients: 14 (23.0%), 9 (13.9%), and 14 (25.9%) patients in the </w:t>
      </w:r>
      <w:r w:rsidR="00E63E8C">
        <w:t xml:space="preserve">ranibizumab </w:t>
      </w:r>
      <w:r>
        <w:t xml:space="preserve">0.2 mg, 0.1 </w:t>
      </w:r>
      <w:proofErr w:type="gramStart"/>
      <w:r>
        <w:t>mg</w:t>
      </w:r>
      <w:proofErr w:type="gramEnd"/>
      <w:r>
        <w:t xml:space="preserve"> and laser groups, respectively.</w:t>
      </w:r>
    </w:p>
    <w:p w14:paraId="56042A31" w14:textId="512A594D" w:rsidR="00E63E8C" w:rsidRDefault="00071A19" w:rsidP="00A4695C">
      <w:pPr>
        <w:pStyle w:val="ListBullet2"/>
        <w:numPr>
          <w:ilvl w:val="0"/>
          <w:numId w:val="0"/>
        </w:numPr>
        <w:ind w:left="720"/>
      </w:pPr>
      <w:r>
        <w:t>Of those</w:t>
      </w:r>
      <w:r w:rsidR="00E63E8C">
        <w:t>:</w:t>
      </w:r>
    </w:p>
    <w:p w14:paraId="76C2F172" w14:textId="0D8CD726" w:rsidR="00B80553" w:rsidRDefault="00071A19" w:rsidP="00A4695C">
      <w:pPr>
        <w:pStyle w:val="ListBullet2"/>
      </w:pPr>
      <w:r>
        <w:t>11</w:t>
      </w:r>
      <w:r w:rsidR="006026E9">
        <w:t xml:space="preserve"> out of </w:t>
      </w:r>
      <w:r>
        <w:t>14 versus 6</w:t>
      </w:r>
      <w:r w:rsidR="006026E9">
        <w:t xml:space="preserve"> out of </w:t>
      </w:r>
      <w:r>
        <w:t>9 versus 12</w:t>
      </w:r>
      <w:r w:rsidR="006026E9">
        <w:t xml:space="preserve"> out of </w:t>
      </w:r>
      <w:r>
        <w:t xml:space="preserve">14 patients were </w:t>
      </w:r>
      <w:r w:rsidR="00D54B92">
        <w:t>less than</w:t>
      </w:r>
      <w:r w:rsidR="007B599A">
        <w:t xml:space="preserve"> </w:t>
      </w:r>
      <w:r>
        <w:t>28 weeks gestational age, with birth weight ≤</w:t>
      </w:r>
      <w:r w:rsidR="007B599A">
        <w:t xml:space="preserve"> </w:t>
      </w:r>
      <w:r>
        <w:t>1,000 g for 29 patients, and ≤</w:t>
      </w:r>
      <w:r w:rsidR="007B599A">
        <w:t xml:space="preserve"> </w:t>
      </w:r>
      <w:r>
        <w:t>750 g for 21 patients (11 versus 3 versus 7)</w:t>
      </w:r>
      <w:r w:rsidR="00B80553">
        <w:t xml:space="preserve"> amongst the ranibizumab 0.2 mg, 0.1 mg and laser treated patients, respectively</w:t>
      </w:r>
      <w:r>
        <w:t>.</w:t>
      </w:r>
    </w:p>
    <w:p w14:paraId="48C2FC58" w14:textId="54662274" w:rsidR="00071A19" w:rsidRDefault="002E7917" w:rsidP="00A4695C">
      <w:pPr>
        <w:pStyle w:val="ListBullet2"/>
      </w:pPr>
      <w:r>
        <w:t>Twenty</w:t>
      </w:r>
      <w:r w:rsidR="00B80553">
        <w:t>-</w:t>
      </w:r>
      <w:r>
        <w:t>five</w:t>
      </w:r>
      <w:r w:rsidR="00071A19">
        <w:t xml:space="preserve"> patients had </w:t>
      </w:r>
      <w:r w:rsidR="00D54B92">
        <w:t>AE</w:t>
      </w:r>
      <w:r w:rsidR="00071A19">
        <w:t xml:space="preserve"> relating to CNS haemorrhage or lesions prior to baseline treatment in the core study (9</w:t>
      </w:r>
      <w:r w:rsidR="00541530">
        <w:t xml:space="preserve"> out of </w:t>
      </w:r>
      <w:r w:rsidR="00071A19">
        <w:t>14 versus 5</w:t>
      </w:r>
      <w:r w:rsidR="00541530">
        <w:t xml:space="preserve"> out of </w:t>
      </w:r>
      <w:r w:rsidR="00071A19">
        <w:t>9 versus 11</w:t>
      </w:r>
      <w:r w:rsidR="00541530">
        <w:t xml:space="preserve"> out of </w:t>
      </w:r>
      <w:r w:rsidR="00071A19">
        <w:lastRenderedPageBreak/>
        <w:t>14)</w:t>
      </w:r>
      <w:r w:rsidR="00B80553">
        <w:t xml:space="preserve"> amongst the ranibizumab 0.2 mg, 0.1 mg and laser treated patients, respectively</w:t>
      </w:r>
      <w:r w:rsidR="00071A19">
        <w:t>.</w:t>
      </w:r>
    </w:p>
    <w:p w14:paraId="2DF00772" w14:textId="371D9E13" w:rsidR="00B80553" w:rsidRDefault="00B80553" w:rsidP="00071A19">
      <w:pPr>
        <w:pStyle w:val="ListBullet"/>
      </w:pPr>
      <w:r>
        <w:t>A r</w:t>
      </w:r>
      <w:r w:rsidR="00071A19">
        <w:t>eview of results from a search strategy as defined in the risk management plan (RMP) v</w:t>
      </w:r>
      <w:r>
        <w:t xml:space="preserve">ersion </w:t>
      </w:r>
      <w:r w:rsidR="00071A19">
        <w:t>20.0 for the potential risk of neurodevelopmental impairment (ROP).</w:t>
      </w:r>
    </w:p>
    <w:p w14:paraId="7B57A743" w14:textId="04CFF105" w:rsidR="00071A19" w:rsidRDefault="00071A19" w:rsidP="00A4695C">
      <w:pPr>
        <w:pStyle w:val="ListBullet"/>
        <w:numPr>
          <w:ilvl w:val="0"/>
          <w:numId w:val="0"/>
        </w:numPr>
        <w:ind w:left="360"/>
      </w:pPr>
      <w:r>
        <w:t>From this review</w:t>
      </w:r>
      <w:r w:rsidR="00B80553">
        <w:t xml:space="preserve">, </w:t>
      </w:r>
      <w:r>
        <w:t xml:space="preserve">relevant </w:t>
      </w:r>
      <w:r w:rsidR="00D54B92">
        <w:t>AE</w:t>
      </w:r>
      <w:r w:rsidR="00B80553">
        <w:t>s</w:t>
      </w:r>
      <w:r>
        <w:t xml:space="preserve"> were identified for </w:t>
      </w:r>
      <w:r w:rsidR="00303FE8">
        <w:t>seven</w:t>
      </w:r>
      <w:r>
        <w:t xml:space="preserve"> (11.5%), 3 (4.6%) and 9 (16.7%) patients in the ranibizumab 0.2 mg, ranibizumab 0.1 mg and laser groups, respectively (</w:t>
      </w:r>
      <w:r w:rsidR="00B80553">
        <w:t xml:space="preserve">see </w:t>
      </w:r>
      <w:r w:rsidR="0047273B">
        <w:fldChar w:fldCharType="begin"/>
      </w:r>
      <w:r w:rsidR="0047273B">
        <w:instrText xml:space="preserve"> REF _Ref121475353 \h </w:instrText>
      </w:r>
      <w:r w:rsidR="0047273B">
        <w:fldChar w:fldCharType="separate"/>
      </w:r>
      <w:r w:rsidR="00B12C8C">
        <w:t xml:space="preserve">Table </w:t>
      </w:r>
      <w:r w:rsidR="00B12C8C">
        <w:rPr>
          <w:noProof/>
        </w:rPr>
        <w:t>13</w:t>
      </w:r>
      <w:r w:rsidR="0047273B">
        <w:fldChar w:fldCharType="end"/>
      </w:r>
      <w:r>
        <w:t>).</w:t>
      </w:r>
    </w:p>
    <w:p w14:paraId="56C44490" w14:textId="6CB8B9BC" w:rsidR="00071A19" w:rsidRDefault="00071A19" w:rsidP="00071A19">
      <w:r>
        <w:t>The results of these two reviews differ, presumably as the RMP review appeared to have been a subset of the broader review.</w:t>
      </w:r>
    </w:p>
    <w:p w14:paraId="6A3BD36E" w14:textId="67A49256" w:rsidR="0047273B" w:rsidRDefault="0047273B" w:rsidP="0047273B">
      <w:pPr>
        <w:pStyle w:val="TableTitle"/>
      </w:pPr>
      <w:bookmarkStart w:id="57" w:name="_Ref121475353"/>
      <w:r>
        <w:t xml:space="preserve">Table </w:t>
      </w:r>
      <w:r w:rsidR="002D65F1">
        <w:fldChar w:fldCharType="begin"/>
      </w:r>
      <w:r w:rsidR="002D65F1">
        <w:instrText xml:space="preserve"> SEQ Table \* ARABIC </w:instrText>
      </w:r>
      <w:r w:rsidR="002D65F1">
        <w:fldChar w:fldCharType="separate"/>
      </w:r>
      <w:r w:rsidR="00B12C8C">
        <w:rPr>
          <w:noProof/>
        </w:rPr>
        <w:t>13</w:t>
      </w:r>
      <w:r w:rsidR="002D65F1">
        <w:rPr>
          <w:noProof/>
        </w:rPr>
        <w:fldChar w:fldCharType="end"/>
      </w:r>
      <w:bookmarkEnd w:id="57"/>
      <w:r>
        <w:t xml:space="preserve">: </w:t>
      </w:r>
      <w:r w:rsidR="00B1395F">
        <w:t>Study H2301</w:t>
      </w:r>
      <w:r w:rsidR="00B80553">
        <w:t>E1 (</w:t>
      </w:r>
      <w:r w:rsidRPr="002A5615">
        <w:t>RAINBOW extension trial</w:t>
      </w:r>
      <w:r w:rsidR="00B80553">
        <w:t>) Risk management plan search strategy;</w:t>
      </w:r>
      <w:r w:rsidRPr="002A5615">
        <w:t xml:space="preserve"> </w:t>
      </w:r>
      <w:r w:rsidR="00B80553">
        <w:t>a</w:t>
      </w:r>
      <w:r w:rsidRPr="002A5615">
        <w:t>dverse events related to non-ocular safety risks up to the</w:t>
      </w:r>
      <w:r w:rsidR="00B80553">
        <w:t xml:space="preserve"> second interim analysis</w:t>
      </w:r>
      <w:r w:rsidRPr="002A5615">
        <w:t xml:space="preserve"> </w:t>
      </w:r>
      <w:r w:rsidR="00B80553">
        <w:t>(</w:t>
      </w:r>
      <w:r w:rsidRPr="002A5615">
        <w:t>IA2</w:t>
      </w:r>
      <w:r w:rsidR="00B80553">
        <w:t>)</w:t>
      </w:r>
      <w:r w:rsidRPr="002A5615">
        <w:t xml:space="preserve"> cut-off (</w:t>
      </w:r>
      <w:r w:rsidR="00B80553" w:rsidRPr="002A5615">
        <w:t>extension safety set)</w:t>
      </w:r>
    </w:p>
    <w:p w14:paraId="689A8EA7" w14:textId="7B51D86B" w:rsidR="002E7917" w:rsidRDefault="002E7917" w:rsidP="0047273B">
      <w:pPr>
        <w:pStyle w:val="TableTitle"/>
      </w:pPr>
      <w:r>
        <w:rPr>
          <w:noProof/>
          <w:lang w:val="en-GB" w:eastAsia="en-GB"/>
        </w:rPr>
        <w:drawing>
          <wp:inline distT="0" distB="0" distL="0" distR="0" wp14:anchorId="0DE86DAC" wp14:editId="24C28DE2">
            <wp:extent cx="5400040" cy="2049145"/>
            <wp:effectExtent l="0" t="0" r="0" b="8255"/>
            <wp:docPr id="16" name="Picture 16" descr="This table shows adverse events related to non-ocular safety risks up to the IA2 cut-off (Extension Safety Set) (RMP search strategy) for RAINBOW extension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table shows adverse events related to non-ocular safety risks up to the IA2 cut-off (Extension Safety Set) (RMP search strategy) for RAINBOW extension trial."/>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400040" cy="2049145"/>
                    </a:xfrm>
                    <a:prstGeom prst="rect">
                      <a:avLst/>
                    </a:prstGeom>
                  </pic:spPr>
                </pic:pic>
              </a:graphicData>
            </a:graphic>
          </wp:inline>
        </w:drawing>
      </w:r>
    </w:p>
    <w:p w14:paraId="1DB64D0D" w14:textId="64745266" w:rsidR="00071A19" w:rsidRDefault="002E7917" w:rsidP="00BF34AC">
      <w:pPr>
        <w:pStyle w:val="TableDescription"/>
      </w:pPr>
      <w:r>
        <w:t xml:space="preserve">Note: </w:t>
      </w:r>
      <w:r w:rsidR="00071A19" w:rsidRPr="00071A19">
        <w:t>Multiple occurrences of the same event in a subject were counted only once.</w:t>
      </w:r>
    </w:p>
    <w:p w14:paraId="410308EB" w14:textId="364E86FD" w:rsidR="00071A19" w:rsidRDefault="00071A19" w:rsidP="00071A19">
      <w:r w:rsidRPr="00071A19">
        <w:t>However, developmental (including cognitive) and other outcome measures were collected separately</w:t>
      </w:r>
      <w:r w:rsidR="00B80553">
        <w:t xml:space="preserve"> (see </w:t>
      </w:r>
      <w:r w:rsidR="00B80553">
        <w:fldChar w:fldCharType="begin"/>
      </w:r>
      <w:r w:rsidR="00B80553">
        <w:instrText xml:space="preserve"> REF _Ref121475399 \h </w:instrText>
      </w:r>
      <w:r w:rsidR="00B80553">
        <w:fldChar w:fldCharType="separate"/>
      </w:r>
      <w:r w:rsidR="00B80553">
        <w:t xml:space="preserve">Table </w:t>
      </w:r>
      <w:r w:rsidR="00B80553">
        <w:rPr>
          <w:noProof/>
        </w:rPr>
        <w:t>14</w:t>
      </w:r>
      <w:r w:rsidR="00B80553">
        <w:fldChar w:fldCharType="end"/>
      </w:r>
      <w:r w:rsidR="00B80553">
        <w:t>, below)</w:t>
      </w:r>
      <w:r w:rsidRPr="00071A19">
        <w:t xml:space="preserve">. Summary statistics were provided for the </w:t>
      </w:r>
      <w:r w:rsidR="00FF2EB0">
        <w:t>2</w:t>
      </w:r>
      <w:r w:rsidR="002E7917">
        <w:t>-</w:t>
      </w:r>
      <w:r w:rsidR="00FF2EB0">
        <w:t>year</w:t>
      </w:r>
      <w:r w:rsidRPr="00071A19">
        <w:t xml:space="preserve"> visit results for the following</w:t>
      </w:r>
      <w:r w:rsidR="00B80553">
        <w:t>:</w:t>
      </w:r>
    </w:p>
    <w:p w14:paraId="63F6B217" w14:textId="1CB0352F" w:rsidR="00071A19" w:rsidRDefault="00071A19" w:rsidP="00A4695C">
      <w:pPr>
        <w:pStyle w:val="ListBullet"/>
      </w:pPr>
      <w:r w:rsidRPr="002E7917">
        <w:rPr>
          <w:i/>
          <w:iCs/>
        </w:rPr>
        <w:t>Mullen Scales of Early Learning</w:t>
      </w:r>
      <w:r w:rsidR="002E7917">
        <w:t>:</w:t>
      </w:r>
      <w:bookmarkStart w:id="58" w:name="_Ref134811804"/>
      <w:r w:rsidR="00EA23D8">
        <w:rPr>
          <w:rStyle w:val="FootnoteReference"/>
        </w:rPr>
        <w:footnoteReference w:id="14"/>
      </w:r>
      <w:bookmarkEnd w:id="58"/>
      <w:r w:rsidR="002E7917">
        <w:t xml:space="preserve"> </w:t>
      </w:r>
      <w:r>
        <w:t>observed distribution of the T-score was in the lower range of the cognitive scale typical for a premature, extremely low birth weight population with corresponding co-morbidities, but scores were comparable between groups.</w:t>
      </w:r>
    </w:p>
    <w:p w14:paraId="0A1B0E06" w14:textId="073A96BA" w:rsidR="00071A19" w:rsidRDefault="00071A19" w:rsidP="00A4695C">
      <w:pPr>
        <w:pStyle w:val="ListBullet"/>
      </w:pPr>
      <w:r w:rsidRPr="002E7917">
        <w:rPr>
          <w:i/>
          <w:iCs/>
        </w:rPr>
        <w:t>Children Visual Function Questionnaire</w:t>
      </w:r>
      <w:r w:rsidR="002E7917">
        <w:t>:</w:t>
      </w:r>
      <w:r w:rsidR="00EA23D8">
        <w:rPr>
          <w:rStyle w:val="FootnoteReference"/>
        </w:rPr>
        <w:footnoteReference w:id="15"/>
      </w:r>
      <w:r w:rsidR="002E7917">
        <w:t xml:space="preserve"> </w:t>
      </w:r>
      <w:r>
        <w:t>based on 4 domains; scores were comparable between groups.</w:t>
      </w:r>
    </w:p>
    <w:p w14:paraId="4AF5C4B6" w14:textId="35E283E2" w:rsidR="00071A19" w:rsidRDefault="00071A19" w:rsidP="00A4695C">
      <w:pPr>
        <w:pStyle w:val="ListBullet"/>
      </w:pPr>
      <w:r w:rsidRPr="002E7917">
        <w:rPr>
          <w:i/>
          <w:iCs/>
        </w:rPr>
        <w:t>Gross Motor Function Classification System (GMFCS</w:t>
      </w:r>
      <w:r w:rsidR="00EA23D8">
        <w:rPr>
          <w:i/>
          <w:iCs/>
        </w:rPr>
        <w:t xml:space="preserve"> </w:t>
      </w:r>
      <w:r w:rsidRPr="002E7917">
        <w:rPr>
          <w:i/>
          <w:iCs/>
        </w:rPr>
        <w:t>-</w:t>
      </w:r>
      <w:r w:rsidR="00EA23D8">
        <w:rPr>
          <w:i/>
          <w:iCs/>
        </w:rPr>
        <w:t xml:space="preserve"> </w:t>
      </w:r>
      <w:r w:rsidRPr="002E7917">
        <w:rPr>
          <w:i/>
          <w:iCs/>
        </w:rPr>
        <w:t>E&amp;R):</w:t>
      </w:r>
      <w:r w:rsidR="00EA23D8">
        <w:rPr>
          <w:rStyle w:val="FootnoteReference"/>
          <w:i/>
          <w:iCs/>
        </w:rPr>
        <w:footnoteReference w:id="16"/>
      </w:r>
      <w:r>
        <w:t xml:space="preserve"> The GMFCS-E&amp;R was adapted by the sponsor to include Level 0</w:t>
      </w:r>
      <w:r w:rsidR="002E7917">
        <w:t xml:space="preserve"> where </w:t>
      </w:r>
      <w:r>
        <w:t>Level 0: No evidence of neurological abnormality and normal gross motor ability as described in Level 1. Level 1: Abnormal neurological status but normal gross motor ability.</w:t>
      </w:r>
    </w:p>
    <w:p w14:paraId="51884D5D" w14:textId="20A4EBBB" w:rsidR="00071A19" w:rsidRDefault="00071A19" w:rsidP="00A4695C">
      <w:pPr>
        <w:pStyle w:val="ListBullet"/>
      </w:pPr>
      <w:r w:rsidRPr="00EA23D8">
        <w:rPr>
          <w:i/>
          <w:iCs/>
        </w:rPr>
        <w:t>Respiratory function</w:t>
      </w:r>
      <w:r w:rsidR="00EA23D8">
        <w:rPr>
          <w:i/>
          <w:iCs/>
        </w:rPr>
        <w:t xml:space="preserve">: </w:t>
      </w:r>
      <w:r>
        <w:t xml:space="preserve">not included in </w:t>
      </w:r>
      <w:r w:rsidR="0047273B">
        <w:fldChar w:fldCharType="begin"/>
      </w:r>
      <w:r w:rsidR="0047273B">
        <w:instrText xml:space="preserve"> REF _Ref121475399 \h </w:instrText>
      </w:r>
      <w:r w:rsidR="00B80553">
        <w:instrText xml:space="preserve"> \* MERGEFORMAT </w:instrText>
      </w:r>
      <w:r w:rsidR="0047273B">
        <w:fldChar w:fldCharType="separate"/>
      </w:r>
      <w:r w:rsidR="00B12C8C">
        <w:t xml:space="preserve">Table </w:t>
      </w:r>
      <w:r w:rsidR="00B12C8C">
        <w:rPr>
          <w:noProof/>
        </w:rPr>
        <w:t>14</w:t>
      </w:r>
      <w:r w:rsidR="0047273B">
        <w:fldChar w:fldCharType="end"/>
      </w:r>
      <w:r>
        <w:t>, as not a validated scoring system; however, the provided results were comparable between groups.</w:t>
      </w:r>
    </w:p>
    <w:p w14:paraId="750CBB0E" w14:textId="1C9FF4C5" w:rsidR="00071A19" w:rsidRDefault="00071A19" w:rsidP="00A4695C">
      <w:pPr>
        <w:pStyle w:val="ListBullet"/>
      </w:pPr>
      <w:r w:rsidRPr="00EA23D8">
        <w:rPr>
          <w:i/>
          <w:iCs/>
        </w:rPr>
        <w:lastRenderedPageBreak/>
        <w:t>Hearing:</w:t>
      </w:r>
      <w:r>
        <w:t xml:space="preserve"> Proportion with normal or near normal hearing.</w:t>
      </w:r>
    </w:p>
    <w:p w14:paraId="0470F2DD" w14:textId="42C41ED6" w:rsidR="00071A19" w:rsidRDefault="00071A19" w:rsidP="00A4695C">
      <w:pPr>
        <w:pStyle w:val="ListBullet"/>
      </w:pPr>
      <w:r w:rsidRPr="00EA23D8">
        <w:rPr>
          <w:i/>
          <w:iCs/>
        </w:rPr>
        <w:t>Mean duration of hospitalisation</w:t>
      </w:r>
      <w:r w:rsidR="00EA23D8">
        <w:t xml:space="preserve">: </w:t>
      </w:r>
      <w:r>
        <w:t>from birth to first hospital discharge home</w:t>
      </w:r>
      <w:r w:rsidR="00EA23D8">
        <w:t>.</w:t>
      </w:r>
    </w:p>
    <w:p w14:paraId="7C21B59D" w14:textId="3F84893D" w:rsidR="00071A19" w:rsidRDefault="00071A19" w:rsidP="00A4695C">
      <w:pPr>
        <w:pStyle w:val="ListBullet"/>
      </w:pPr>
      <w:r w:rsidRPr="00EA23D8">
        <w:rPr>
          <w:i/>
          <w:iCs/>
        </w:rPr>
        <w:t>Growth parameters</w:t>
      </w:r>
      <w:r>
        <w:t xml:space="preserve">: Mean body weight, standing height and head circumference were comparable between the </w:t>
      </w:r>
      <w:r w:rsidR="00C66ACF">
        <w:t>three</w:t>
      </w:r>
      <w:r>
        <w:t xml:space="preserve"> treatment groups, with similar mean change from Baseline across the groups for each of these growth parameters. Not included in </w:t>
      </w:r>
      <w:r w:rsidR="0047273B">
        <w:fldChar w:fldCharType="begin"/>
      </w:r>
      <w:r w:rsidR="0047273B">
        <w:instrText xml:space="preserve"> REF _Ref121475399 \h </w:instrText>
      </w:r>
      <w:r w:rsidR="00B80553">
        <w:instrText xml:space="preserve"> \* MERGEFORMAT </w:instrText>
      </w:r>
      <w:r w:rsidR="0047273B">
        <w:fldChar w:fldCharType="separate"/>
      </w:r>
      <w:r w:rsidR="00B12C8C">
        <w:t xml:space="preserve">Table </w:t>
      </w:r>
      <w:r w:rsidR="00B12C8C">
        <w:rPr>
          <w:noProof/>
        </w:rPr>
        <w:t>14</w:t>
      </w:r>
      <w:r w:rsidR="0047273B">
        <w:fldChar w:fldCharType="end"/>
      </w:r>
      <w:r>
        <w:t>.</w:t>
      </w:r>
    </w:p>
    <w:p w14:paraId="38079B0A" w14:textId="5A91C519" w:rsidR="00071A19" w:rsidRDefault="00071A19" w:rsidP="00A4695C">
      <w:pPr>
        <w:pStyle w:val="ListBullet"/>
      </w:pPr>
      <w:r w:rsidRPr="00EA23D8">
        <w:rPr>
          <w:i/>
          <w:iCs/>
        </w:rPr>
        <w:t>Impaired vital organ development:</w:t>
      </w:r>
      <w:r>
        <w:t xml:space="preserve"> renal and liver function test data at the patients 2</w:t>
      </w:r>
      <w:r w:rsidR="00EA23D8">
        <w:t>-</w:t>
      </w:r>
      <w:r>
        <w:t xml:space="preserve">years corrected age were available for a small number of subjects (10 subjects or less per group for most parameters) and reference intervals not provided. No conclusions can be drawn from these data. Not included in </w:t>
      </w:r>
      <w:r w:rsidR="0047273B">
        <w:fldChar w:fldCharType="begin"/>
      </w:r>
      <w:r w:rsidR="0047273B">
        <w:instrText xml:space="preserve"> REF _Ref121475399 \h </w:instrText>
      </w:r>
      <w:r w:rsidR="00B80553">
        <w:instrText xml:space="preserve"> \* MERGEFORMAT </w:instrText>
      </w:r>
      <w:r w:rsidR="0047273B">
        <w:fldChar w:fldCharType="separate"/>
      </w:r>
      <w:r w:rsidR="00B12C8C">
        <w:t xml:space="preserve">Table </w:t>
      </w:r>
      <w:r w:rsidR="00B12C8C">
        <w:rPr>
          <w:noProof/>
        </w:rPr>
        <w:t>14</w:t>
      </w:r>
      <w:r w:rsidR="0047273B">
        <w:fldChar w:fldCharType="end"/>
      </w:r>
      <w:r>
        <w:t>.</w:t>
      </w:r>
    </w:p>
    <w:p w14:paraId="5BC64B9A" w14:textId="31021D5C" w:rsidR="00071A19" w:rsidRDefault="0047273B" w:rsidP="0047273B">
      <w:pPr>
        <w:pStyle w:val="TableTitle"/>
      </w:pPr>
      <w:bookmarkStart w:id="59" w:name="_Ref121475399"/>
      <w:r>
        <w:t xml:space="preserve">Table </w:t>
      </w:r>
      <w:r w:rsidR="002D65F1">
        <w:fldChar w:fldCharType="begin"/>
      </w:r>
      <w:r w:rsidR="002D65F1">
        <w:instrText xml:space="preserve"> SEQ Table \* ARABIC </w:instrText>
      </w:r>
      <w:r w:rsidR="002D65F1">
        <w:fldChar w:fldCharType="separate"/>
      </w:r>
      <w:r w:rsidR="00B12C8C">
        <w:rPr>
          <w:noProof/>
        </w:rPr>
        <w:t>14</w:t>
      </w:r>
      <w:r w:rsidR="002D65F1">
        <w:rPr>
          <w:noProof/>
        </w:rPr>
        <w:fldChar w:fldCharType="end"/>
      </w:r>
      <w:bookmarkEnd w:id="59"/>
      <w:r>
        <w:t xml:space="preserve">: </w:t>
      </w:r>
      <w:r w:rsidR="00B1395F">
        <w:t>Study H2301</w:t>
      </w:r>
      <w:r w:rsidR="00B80553">
        <w:t>E1 (</w:t>
      </w:r>
      <w:r w:rsidRPr="001A06B9">
        <w:t>RAINBOW extension trial</w:t>
      </w:r>
      <w:r w:rsidR="00B80553">
        <w:t>)</w:t>
      </w:r>
      <w:r w:rsidRPr="001A06B9">
        <w:t xml:space="preserve"> Selected clinical and cognitive outcomes (</w:t>
      </w:r>
      <w:r w:rsidR="00B80553">
        <w:t>second interim</w:t>
      </w:r>
      <w:r w:rsidR="00B80553" w:rsidRPr="001A06B9">
        <w:t xml:space="preserve"> </w:t>
      </w:r>
      <w:r w:rsidRPr="001A06B9">
        <w:t>analysis</w:t>
      </w:r>
      <w:r w:rsidR="00B80553">
        <w:t xml:space="preserve"> IA2</w:t>
      </w:r>
      <w:r w:rsidRPr="001A06B9">
        <w:t>)</w:t>
      </w:r>
    </w:p>
    <w:tbl>
      <w:tblPr>
        <w:tblStyle w:val="TableTGAblue"/>
        <w:tblW w:w="8637" w:type="dxa"/>
        <w:tblLook w:val="04A0" w:firstRow="1" w:lastRow="0" w:firstColumn="1" w:lastColumn="0" w:noHBand="0" w:noVBand="1"/>
      </w:tblPr>
      <w:tblGrid>
        <w:gridCol w:w="3435"/>
        <w:gridCol w:w="1779"/>
        <w:gridCol w:w="1779"/>
        <w:gridCol w:w="1644"/>
      </w:tblGrid>
      <w:tr w:rsidR="00071A19" w:rsidRPr="0039112E" w14:paraId="4387AA13" w14:textId="77777777" w:rsidTr="003A24C0">
        <w:trPr>
          <w:cnfStyle w:val="100000000000" w:firstRow="1" w:lastRow="0" w:firstColumn="0" w:lastColumn="0" w:oddVBand="0" w:evenVBand="0" w:oddHBand="0" w:evenHBand="0" w:firstRowFirstColumn="0" w:firstRowLastColumn="0" w:lastRowFirstColumn="0" w:lastRowLastColumn="0"/>
        </w:trPr>
        <w:tc>
          <w:tcPr>
            <w:tcW w:w="3435" w:type="dxa"/>
          </w:tcPr>
          <w:p w14:paraId="02C6D4C8" w14:textId="77777777" w:rsidR="00071A19" w:rsidRPr="0039112E" w:rsidRDefault="00071A19" w:rsidP="00791BA8">
            <w:pPr>
              <w:spacing w:before="60" w:after="60"/>
              <w:rPr>
                <w:rFonts w:asciiTheme="minorHAnsi" w:hAnsiTheme="minorHAnsi"/>
                <w:b w:val="0"/>
                <w:bCs/>
                <w:sz w:val="20"/>
                <w:szCs w:val="20"/>
                <w:lang w:eastAsia="ja-JP"/>
              </w:rPr>
            </w:pPr>
          </w:p>
        </w:tc>
        <w:tc>
          <w:tcPr>
            <w:tcW w:w="1779" w:type="dxa"/>
          </w:tcPr>
          <w:p w14:paraId="20DDA652" w14:textId="77777777" w:rsidR="00071A19" w:rsidRPr="0039112E" w:rsidRDefault="00071A19" w:rsidP="00791BA8">
            <w:pPr>
              <w:spacing w:before="60" w:after="60"/>
              <w:rPr>
                <w:rFonts w:asciiTheme="minorHAnsi" w:hAnsiTheme="minorHAnsi"/>
                <w:b w:val="0"/>
                <w:bCs/>
                <w:sz w:val="20"/>
                <w:szCs w:val="20"/>
                <w:lang w:eastAsia="ja-JP"/>
              </w:rPr>
            </w:pPr>
            <w:r w:rsidRPr="0039112E">
              <w:rPr>
                <w:rFonts w:asciiTheme="minorHAnsi" w:hAnsiTheme="minorHAnsi"/>
                <w:bCs/>
                <w:sz w:val="20"/>
                <w:szCs w:val="20"/>
                <w:lang w:eastAsia="ja-JP"/>
              </w:rPr>
              <w:t>Ranibizumab 0.2 mg</w:t>
            </w:r>
          </w:p>
        </w:tc>
        <w:tc>
          <w:tcPr>
            <w:tcW w:w="1779" w:type="dxa"/>
          </w:tcPr>
          <w:p w14:paraId="72424AF7" w14:textId="77777777" w:rsidR="00071A19" w:rsidRPr="0039112E" w:rsidRDefault="00071A19" w:rsidP="00791BA8">
            <w:pPr>
              <w:spacing w:before="60" w:after="60"/>
              <w:rPr>
                <w:rFonts w:asciiTheme="minorHAnsi" w:hAnsiTheme="minorHAnsi"/>
                <w:b w:val="0"/>
                <w:bCs/>
                <w:sz w:val="20"/>
                <w:szCs w:val="20"/>
                <w:lang w:eastAsia="ja-JP"/>
              </w:rPr>
            </w:pPr>
            <w:r w:rsidRPr="0039112E">
              <w:rPr>
                <w:rFonts w:asciiTheme="minorHAnsi" w:hAnsiTheme="minorHAnsi"/>
                <w:bCs/>
                <w:sz w:val="20"/>
                <w:szCs w:val="20"/>
                <w:lang w:eastAsia="ja-JP"/>
              </w:rPr>
              <w:t>Ranibizumab 0.1. mg</w:t>
            </w:r>
          </w:p>
        </w:tc>
        <w:tc>
          <w:tcPr>
            <w:tcW w:w="1644" w:type="dxa"/>
          </w:tcPr>
          <w:p w14:paraId="7442D8E4" w14:textId="77777777" w:rsidR="00071A19" w:rsidRPr="0039112E" w:rsidRDefault="00071A19" w:rsidP="00791BA8">
            <w:pPr>
              <w:spacing w:before="60" w:after="60"/>
              <w:rPr>
                <w:rFonts w:asciiTheme="minorHAnsi" w:hAnsiTheme="minorHAnsi"/>
                <w:b w:val="0"/>
                <w:bCs/>
                <w:sz w:val="20"/>
                <w:szCs w:val="20"/>
                <w:lang w:eastAsia="ja-JP"/>
              </w:rPr>
            </w:pPr>
            <w:r w:rsidRPr="0039112E">
              <w:rPr>
                <w:rFonts w:asciiTheme="minorHAnsi" w:hAnsiTheme="minorHAnsi"/>
                <w:bCs/>
                <w:sz w:val="20"/>
                <w:szCs w:val="20"/>
                <w:lang w:eastAsia="ja-JP"/>
              </w:rPr>
              <w:t>Laser therapy</w:t>
            </w:r>
          </w:p>
        </w:tc>
      </w:tr>
      <w:tr w:rsidR="00071A19" w:rsidRPr="0039112E" w14:paraId="478637BF" w14:textId="77777777" w:rsidTr="003A24C0">
        <w:tc>
          <w:tcPr>
            <w:tcW w:w="8637" w:type="dxa"/>
            <w:gridSpan w:val="4"/>
          </w:tcPr>
          <w:p w14:paraId="46946F7F" w14:textId="0B643A44" w:rsidR="00071A19" w:rsidRPr="0039112E" w:rsidRDefault="00071A19">
            <w:pPr>
              <w:spacing w:before="60" w:after="60"/>
              <w:rPr>
                <w:rFonts w:asciiTheme="minorHAnsi" w:hAnsiTheme="minorHAnsi"/>
                <w:b/>
                <w:bCs/>
                <w:sz w:val="20"/>
                <w:szCs w:val="20"/>
                <w:lang w:eastAsia="ja-JP"/>
              </w:rPr>
            </w:pPr>
            <w:r w:rsidRPr="0039112E">
              <w:rPr>
                <w:rFonts w:asciiTheme="minorHAnsi" w:hAnsiTheme="minorHAnsi"/>
                <w:b/>
                <w:bCs/>
                <w:sz w:val="20"/>
                <w:szCs w:val="20"/>
                <w:lang w:eastAsia="ja-JP"/>
              </w:rPr>
              <w:t xml:space="preserve">Neurodevelopmental impairment </w:t>
            </w:r>
            <w:r w:rsidR="00B80553">
              <w:rPr>
                <w:rFonts w:asciiTheme="minorHAnsi" w:hAnsiTheme="minorHAnsi"/>
                <w:b/>
                <w:bCs/>
                <w:sz w:val="20"/>
                <w:szCs w:val="20"/>
                <w:lang w:eastAsia="ja-JP"/>
              </w:rPr>
              <w:t>adverse events</w:t>
            </w:r>
          </w:p>
        </w:tc>
      </w:tr>
      <w:tr w:rsidR="00071A19" w:rsidRPr="0039112E" w14:paraId="19A8BC5D" w14:textId="77777777" w:rsidTr="003A24C0">
        <w:tc>
          <w:tcPr>
            <w:tcW w:w="3435" w:type="dxa"/>
          </w:tcPr>
          <w:p w14:paraId="031587B6"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Broad medical review: proportion of patients</w:t>
            </w:r>
          </w:p>
        </w:tc>
        <w:tc>
          <w:tcPr>
            <w:tcW w:w="1779" w:type="dxa"/>
          </w:tcPr>
          <w:p w14:paraId="6C04051D"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23.0%</w:t>
            </w:r>
          </w:p>
        </w:tc>
        <w:tc>
          <w:tcPr>
            <w:tcW w:w="1779" w:type="dxa"/>
          </w:tcPr>
          <w:p w14:paraId="71452BFC"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13.9%</w:t>
            </w:r>
          </w:p>
        </w:tc>
        <w:tc>
          <w:tcPr>
            <w:tcW w:w="1644" w:type="dxa"/>
          </w:tcPr>
          <w:p w14:paraId="05B55C76"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25.9%</w:t>
            </w:r>
          </w:p>
        </w:tc>
      </w:tr>
      <w:tr w:rsidR="00071A19" w:rsidRPr="0039112E" w14:paraId="3C634CD2" w14:textId="77777777" w:rsidTr="003A24C0">
        <w:tc>
          <w:tcPr>
            <w:tcW w:w="3435" w:type="dxa"/>
          </w:tcPr>
          <w:p w14:paraId="794EF6AD"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RMP review: proportion of patients</w:t>
            </w:r>
          </w:p>
        </w:tc>
        <w:tc>
          <w:tcPr>
            <w:tcW w:w="1779" w:type="dxa"/>
          </w:tcPr>
          <w:p w14:paraId="655A4235"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11.5%</w:t>
            </w:r>
          </w:p>
        </w:tc>
        <w:tc>
          <w:tcPr>
            <w:tcW w:w="1779" w:type="dxa"/>
          </w:tcPr>
          <w:p w14:paraId="52AAD2BB"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4.6%</w:t>
            </w:r>
          </w:p>
        </w:tc>
        <w:tc>
          <w:tcPr>
            <w:tcW w:w="1644" w:type="dxa"/>
          </w:tcPr>
          <w:p w14:paraId="7E6323DA"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16.7%</w:t>
            </w:r>
          </w:p>
        </w:tc>
      </w:tr>
      <w:tr w:rsidR="00071A19" w:rsidRPr="0039112E" w14:paraId="7867DC51" w14:textId="77777777" w:rsidTr="003A24C0">
        <w:tc>
          <w:tcPr>
            <w:tcW w:w="8637" w:type="dxa"/>
            <w:gridSpan w:val="4"/>
          </w:tcPr>
          <w:p w14:paraId="4886DA0C" w14:textId="77777777" w:rsidR="00071A19" w:rsidRPr="0039112E" w:rsidRDefault="00071A19" w:rsidP="00791BA8">
            <w:pPr>
              <w:spacing w:before="60" w:after="60"/>
              <w:rPr>
                <w:rFonts w:asciiTheme="minorHAnsi" w:hAnsiTheme="minorHAnsi"/>
                <w:b/>
                <w:bCs/>
                <w:sz w:val="20"/>
                <w:szCs w:val="20"/>
                <w:lang w:eastAsia="ja-JP"/>
              </w:rPr>
            </w:pPr>
            <w:r w:rsidRPr="0039112E">
              <w:rPr>
                <w:rFonts w:asciiTheme="minorHAnsi" w:hAnsiTheme="minorHAnsi"/>
                <w:b/>
                <w:bCs/>
                <w:sz w:val="20"/>
                <w:szCs w:val="20"/>
              </w:rPr>
              <w:t>Mullen Scales of Early Learning</w:t>
            </w:r>
          </w:p>
        </w:tc>
      </w:tr>
      <w:tr w:rsidR="00071A19" w:rsidRPr="0039112E" w14:paraId="0F334048" w14:textId="77777777" w:rsidTr="003A24C0">
        <w:tc>
          <w:tcPr>
            <w:tcW w:w="3435" w:type="dxa"/>
          </w:tcPr>
          <w:p w14:paraId="437C0716"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Visual Reception t-score (SD)</w:t>
            </w:r>
          </w:p>
        </w:tc>
        <w:tc>
          <w:tcPr>
            <w:tcW w:w="1779" w:type="dxa"/>
          </w:tcPr>
          <w:p w14:paraId="0828B3FB"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40.5 (13.5)</w:t>
            </w:r>
          </w:p>
        </w:tc>
        <w:tc>
          <w:tcPr>
            <w:tcW w:w="1779" w:type="dxa"/>
          </w:tcPr>
          <w:p w14:paraId="1C8D679F"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39.6 (14.4)</w:t>
            </w:r>
          </w:p>
        </w:tc>
        <w:tc>
          <w:tcPr>
            <w:tcW w:w="1644" w:type="dxa"/>
          </w:tcPr>
          <w:p w14:paraId="77CD0484"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37.2 (13.9)</w:t>
            </w:r>
          </w:p>
        </w:tc>
      </w:tr>
      <w:tr w:rsidR="00071A19" w:rsidRPr="0039112E" w14:paraId="3664F480" w14:textId="77777777" w:rsidTr="003A24C0">
        <w:tc>
          <w:tcPr>
            <w:tcW w:w="3435" w:type="dxa"/>
          </w:tcPr>
          <w:p w14:paraId="3C35B53E"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Receptive Language t-score (SD)</w:t>
            </w:r>
          </w:p>
        </w:tc>
        <w:tc>
          <w:tcPr>
            <w:tcW w:w="1779" w:type="dxa"/>
          </w:tcPr>
          <w:p w14:paraId="7376D001"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41.7 (12.2)</w:t>
            </w:r>
          </w:p>
        </w:tc>
        <w:tc>
          <w:tcPr>
            <w:tcW w:w="1779" w:type="dxa"/>
          </w:tcPr>
          <w:p w14:paraId="3016B751"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39.0 (13.3)</w:t>
            </w:r>
          </w:p>
        </w:tc>
        <w:tc>
          <w:tcPr>
            <w:tcW w:w="1644" w:type="dxa"/>
          </w:tcPr>
          <w:p w14:paraId="72836920"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38.6 (13.0)</w:t>
            </w:r>
          </w:p>
        </w:tc>
      </w:tr>
      <w:tr w:rsidR="00071A19" w:rsidRPr="0039112E" w14:paraId="3958478F" w14:textId="77777777" w:rsidTr="003A24C0">
        <w:tc>
          <w:tcPr>
            <w:tcW w:w="3435" w:type="dxa"/>
          </w:tcPr>
          <w:p w14:paraId="5A04A059"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Expressive Language t-score (SD)</w:t>
            </w:r>
          </w:p>
        </w:tc>
        <w:tc>
          <w:tcPr>
            <w:tcW w:w="1779" w:type="dxa"/>
          </w:tcPr>
          <w:p w14:paraId="7E886BF7"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36.9 (11.3)</w:t>
            </w:r>
          </w:p>
        </w:tc>
        <w:tc>
          <w:tcPr>
            <w:tcW w:w="1779" w:type="dxa"/>
          </w:tcPr>
          <w:p w14:paraId="52A2E9AD"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34.2 (11.9)</w:t>
            </w:r>
          </w:p>
        </w:tc>
        <w:tc>
          <w:tcPr>
            <w:tcW w:w="1644" w:type="dxa"/>
          </w:tcPr>
          <w:p w14:paraId="4EEB70EE"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35.2 (12.2)</w:t>
            </w:r>
          </w:p>
        </w:tc>
      </w:tr>
      <w:tr w:rsidR="00071A19" w:rsidRPr="0039112E" w14:paraId="35D5C43B" w14:textId="77777777" w:rsidTr="003A24C0">
        <w:tc>
          <w:tcPr>
            <w:tcW w:w="8637" w:type="dxa"/>
            <w:gridSpan w:val="4"/>
          </w:tcPr>
          <w:p w14:paraId="0ABDFE69" w14:textId="77777777" w:rsidR="00071A19" w:rsidRPr="0039112E" w:rsidRDefault="00071A19" w:rsidP="00791BA8">
            <w:pPr>
              <w:spacing w:before="60" w:after="60"/>
              <w:rPr>
                <w:rFonts w:asciiTheme="minorHAnsi" w:hAnsiTheme="minorHAnsi"/>
                <w:b/>
                <w:bCs/>
                <w:sz w:val="20"/>
                <w:szCs w:val="20"/>
                <w:lang w:eastAsia="ja-JP"/>
              </w:rPr>
            </w:pPr>
            <w:r w:rsidRPr="0039112E">
              <w:rPr>
                <w:rFonts w:asciiTheme="minorHAnsi" w:hAnsiTheme="minorHAnsi"/>
                <w:b/>
                <w:bCs/>
                <w:sz w:val="20"/>
                <w:szCs w:val="20"/>
              </w:rPr>
              <w:t>Children Visual Function Questionnaire</w:t>
            </w:r>
          </w:p>
        </w:tc>
      </w:tr>
      <w:tr w:rsidR="00071A19" w:rsidRPr="0039112E" w14:paraId="1C8FB3D6" w14:textId="77777777" w:rsidTr="003A24C0">
        <w:tc>
          <w:tcPr>
            <w:tcW w:w="3435" w:type="dxa"/>
          </w:tcPr>
          <w:p w14:paraId="64D5ED37"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Mean composite score (SD)</w:t>
            </w:r>
          </w:p>
        </w:tc>
        <w:tc>
          <w:tcPr>
            <w:tcW w:w="1779" w:type="dxa"/>
          </w:tcPr>
          <w:p w14:paraId="7DFA3264"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80.9 (12.0)</w:t>
            </w:r>
          </w:p>
        </w:tc>
        <w:tc>
          <w:tcPr>
            <w:tcW w:w="1779" w:type="dxa"/>
          </w:tcPr>
          <w:p w14:paraId="026C1740"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78.6 (12.3)</w:t>
            </w:r>
          </w:p>
        </w:tc>
        <w:tc>
          <w:tcPr>
            <w:tcW w:w="1644" w:type="dxa"/>
          </w:tcPr>
          <w:p w14:paraId="07C49B8A"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76.2 (11.5)</w:t>
            </w:r>
          </w:p>
        </w:tc>
      </w:tr>
      <w:tr w:rsidR="00071A19" w:rsidRPr="0039112E" w14:paraId="31B348FB" w14:textId="77777777" w:rsidTr="003A24C0">
        <w:tc>
          <w:tcPr>
            <w:tcW w:w="8637" w:type="dxa"/>
            <w:gridSpan w:val="4"/>
          </w:tcPr>
          <w:p w14:paraId="4FF2D3C7" w14:textId="77777777" w:rsidR="00071A19" w:rsidRPr="0039112E" w:rsidRDefault="00071A19" w:rsidP="00791BA8">
            <w:pPr>
              <w:spacing w:before="60" w:after="60"/>
              <w:rPr>
                <w:rFonts w:asciiTheme="minorHAnsi" w:hAnsiTheme="minorHAnsi"/>
                <w:b/>
                <w:bCs/>
                <w:sz w:val="20"/>
                <w:szCs w:val="20"/>
                <w:lang w:eastAsia="ja-JP"/>
              </w:rPr>
            </w:pPr>
            <w:r w:rsidRPr="0039112E">
              <w:rPr>
                <w:rFonts w:asciiTheme="minorHAnsi" w:hAnsiTheme="minorHAnsi"/>
                <w:b/>
                <w:bCs/>
                <w:sz w:val="20"/>
                <w:szCs w:val="20"/>
              </w:rPr>
              <w:t>Gross Motor Function Classification System (GMFCS-E&amp;R</w:t>
            </w:r>
            <w:r>
              <w:rPr>
                <w:rFonts w:asciiTheme="minorHAnsi" w:hAnsiTheme="minorHAnsi"/>
                <w:b/>
                <w:bCs/>
                <w:sz w:val="20"/>
                <w:szCs w:val="20"/>
              </w:rPr>
              <w:t>, adapted</w:t>
            </w:r>
            <w:r w:rsidRPr="0039112E">
              <w:rPr>
                <w:rFonts w:asciiTheme="minorHAnsi" w:hAnsiTheme="minorHAnsi"/>
                <w:b/>
                <w:bCs/>
                <w:sz w:val="20"/>
                <w:szCs w:val="20"/>
              </w:rPr>
              <w:t>)</w:t>
            </w:r>
          </w:p>
        </w:tc>
      </w:tr>
      <w:tr w:rsidR="00071A19" w:rsidRPr="0039112E" w14:paraId="5F180DF9" w14:textId="77777777" w:rsidTr="003A24C0">
        <w:tc>
          <w:tcPr>
            <w:tcW w:w="3435" w:type="dxa"/>
          </w:tcPr>
          <w:p w14:paraId="46039282"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Proportion at Level 0 or 1 (%)</w:t>
            </w:r>
          </w:p>
        </w:tc>
        <w:tc>
          <w:tcPr>
            <w:tcW w:w="1779" w:type="dxa"/>
          </w:tcPr>
          <w:p w14:paraId="12187074"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75.4</w:t>
            </w:r>
          </w:p>
        </w:tc>
        <w:tc>
          <w:tcPr>
            <w:tcW w:w="1779" w:type="dxa"/>
          </w:tcPr>
          <w:p w14:paraId="4E9EC2D8"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75.3</w:t>
            </w:r>
          </w:p>
        </w:tc>
        <w:tc>
          <w:tcPr>
            <w:tcW w:w="1644" w:type="dxa"/>
          </w:tcPr>
          <w:p w14:paraId="3BA5B4DB"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64.8</w:t>
            </w:r>
          </w:p>
        </w:tc>
      </w:tr>
      <w:tr w:rsidR="00071A19" w:rsidRPr="0039112E" w14:paraId="0EF7160A" w14:textId="77777777" w:rsidTr="003A24C0">
        <w:tc>
          <w:tcPr>
            <w:tcW w:w="8637" w:type="dxa"/>
            <w:gridSpan w:val="4"/>
          </w:tcPr>
          <w:p w14:paraId="38DCF02F" w14:textId="77777777" w:rsidR="00071A19" w:rsidRPr="0039112E" w:rsidRDefault="00071A19" w:rsidP="00791BA8">
            <w:pPr>
              <w:spacing w:before="60" w:after="60"/>
              <w:rPr>
                <w:rFonts w:asciiTheme="minorHAnsi" w:hAnsiTheme="minorHAnsi"/>
                <w:b/>
                <w:bCs/>
                <w:sz w:val="20"/>
                <w:szCs w:val="20"/>
                <w:lang w:eastAsia="ja-JP"/>
              </w:rPr>
            </w:pPr>
            <w:r w:rsidRPr="0039112E">
              <w:rPr>
                <w:rFonts w:asciiTheme="minorHAnsi" w:hAnsiTheme="minorHAnsi"/>
                <w:b/>
                <w:bCs/>
                <w:sz w:val="20"/>
                <w:szCs w:val="20"/>
              </w:rPr>
              <w:t>Hearing function</w:t>
            </w:r>
          </w:p>
        </w:tc>
      </w:tr>
      <w:tr w:rsidR="00071A19" w:rsidRPr="0039112E" w14:paraId="0A80153D" w14:textId="77777777" w:rsidTr="003A24C0">
        <w:tc>
          <w:tcPr>
            <w:tcW w:w="3435" w:type="dxa"/>
          </w:tcPr>
          <w:p w14:paraId="381544BE"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lang w:eastAsia="ja-JP"/>
              </w:rPr>
              <w:t xml:space="preserve">Proportion with </w:t>
            </w:r>
            <w:r w:rsidRPr="0039112E">
              <w:rPr>
                <w:rFonts w:asciiTheme="minorHAnsi" w:hAnsiTheme="minorHAnsi"/>
                <w:sz w:val="20"/>
                <w:szCs w:val="20"/>
              </w:rPr>
              <w:t>normal or near normal hearing (%)</w:t>
            </w:r>
          </w:p>
        </w:tc>
        <w:tc>
          <w:tcPr>
            <w:tcW w:w="1779" w:type="dxa"/>
          </w:tcPr>
          <w:p w14:paraId="22FAEEF6"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86.9</w:t>
            </w:r>
          </w:p>
        </w:tc>
        <w:tc>
          <w:tcPr>
            <w:tcW w:w="1779" w:type="dxa"/>
          </w:tcPr>
          <w:p w14:paraId="0FAE2737"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76.9</w:t>
            </w:r>
          </w:p>
        </w:tc>
        <w:tc>
          <w:tcPr>
            <w:tcW w:w="1644" w:type="dxa"/>
          </w:tcPr>
          <w:p w14:paraId="27232646"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81.5</w:t>
            </w:r>
          </w:p>
        </w:tc>
      </w:tr>
      <w:tr w:rsidR="00071A19" w:rsidRPr="0039112E" w14:paraId="28943C73" w14:textId="77777777" w:rsidTr="003A24C0">
        <w:tc>
          <w:tcPr>
            <w:tcW w:w="8637" w:type="dxa"/>
            <w:gridSpan w:val="4"/>
          </w:tcPr>
          <w:p w14:paraId="6EBB7569" w14:textId="77777777" w:rsidR="00071A19" w:rsidRPr="0039112E" w:rsidRDefault="00071A19" w:rsidP="00791BA8">
            <w:pPr>
              <w:spacing w:before="60" w:after="60"/>
              <w:rPr>
                <w:rFonts w:asciiTheme="minorHAnsi" w:hAnsiTheme="minorHAnsi"/>
                <w:b/>
                <w:bCs/>
                <w:sz w:val="20"/>
                <w:szCs w:val="20"/>
              </w:rPr>
            </w:pPr>
            <w:r w:rsidRPr="0039112E">
              <w:rPr>
                <w:rFonts w:asciiTheme="minorHAnsi" w:hAnsiTheme="minorHAnsi"/>
                <w:b/>
                <w:bCs/>
                <w:sz w:val="20"/>
                <w:szCs w:val="20"/>
              </w:rPr>
              <w:t>Hospitalisations</w:t>
            </w:r>
          </w:p>
        </w:tc>
      </w:tr>
      <w:tr w:rsidR="00071A19" w:rsidRPr="0039112E" w14:paraId="38FCB0D6" w14:textId="77777777" w:rsidTr="003A24C0">
        <w:tc>
          <w:tcPr>
            <w:tcW w:w="3435" w:type="dxa"/>
          </w:tcPr>
          <w:p w14:paraId="59DFD2A1" w14:textId="77777777" w:rsidR="00071A19" w:rsidRPr="0039112E" w:rsidRDefault="00071A19" w:rsidP="00791BA8">
            <w:pPr>
              <w:spacing w:before="60" w:after="60"/>
              <w:rPr>
                <w:rFonts w:asciiTheme="minorHAnsi" w:hAnsiTheme="minorHAnsi"/>
                <w:sz w:val="20"/>
                <w:szCs w:val="20"/>
                <w:lang w:eastAsia="ja-JP"/>
              </w:rPr>
            </w:pPr>
            <w:r w:rsidRPr="0039112E">
              <w:rPr>
                <w:rFonts w:asciiTheme="minorHAnsi" w:hAnsiTheme="minorHAnsi"/>
                <w:sz w:val="20"/>
                <w:szCs w:val="20"/>
              </w:rPr>
              <w:t>Mean duration of hospitalisation (from birth to first hospital discharge home)</w:t>
            </w:r>
          </w:p>
        </w:tc>
        <w:tc>
          <w:tcPr>
            <w:tcW w:w="1779" w:type="dxa"/>
          </w:tcPr>
          <w:p w14:paraId="7AA055EF" w14:textId="77777777" w:rsidR="00071A19" w:rsidRPr="0039112E" w:rsidRDefault="00071A19" w:rsidP="00791BA8">
            <w:pPr>
              <w:spacing w:before="60" w:after="60"/>
              <w:rPr>
                <w:rFonts w:asciiTheme="minorHAnsi" w:hAnsiTheme="minorHAnsi"/>
                <w:sz w:val="20"/>
                <w:szCs w:val="20"/>
              </w:rPr>
            </w:pPr>
            <w:r w:rsidRPr="0039112E">
              <w:rPr>
                <w:rFonts w:asciiTheme="minorHAnsi" w:hAnsiTheme="minorHAnsi"/>
                <w:sz w:val="20"/>
                <w:szCs w:val="20"/>
              </w:rPr>
              <w:t>111.1</w:t>
            </w:r>
          </w:p>
        </w:tc>
        <w:tc>
          <w:tcPr>
            <w:tcW w:w="1779" w:type="dxa"/>
          </w:tcPr>
          <w:p w14:paraId="740D9DCB" w14:textId="77777777" w:rsidR="00071A19" w:rsidRPr="0039112E" w:rsidRDefault="00071A19" w:rsidP="00791BA8">
            <w:pPr>
              <w:spacing w:before="60" w:after="60"/>
              <w:rPr>
                <w:rFonts w:asciiTheme="minorHAnsi" w:hAnsiTheme="minorHAnsi"/>
                <w:sz w:val="20"/>
                <w:szCs w:val="20"/>
              </w:rPr>
            </w:pPr>
            <w:r w:rsidRPr="0039112E">
              <w:rPr>
                <w:rFonts w:asciiTheme="minorHAnsi" w:hAnsiTheme="minorHAnsi"/>
                <w:sz w:val="20"/>
                <w:szCs w:val="20"/>
              </w:rPr>
              <w:t>118.0</w:t>
            </w:r>
          </w:p>
        </w:tc>
        <w:tc>
          <w:tcPr>
            <w:tcW w:w="1644" w:type="dxa"/>
          </w:tcPr>
          <w:p w14:paraId="496B6B35" w14:textId="77777777" w:rsidR="00071A19" w:rsidRPr="0039112E" w:rsidRDefault="00071A19" w:rsidP="00791BA8">
            <w:pPr>
              <w:spacing w:before="60" w:after="60"/>
              <w:rPr>
                <w:rFonts w:asciiTheme="minorHAnsi" w:hAnsiTheme="minorHAnsi"/>
                <w:sz w:val="20"/>
                <w:szCs w:val="20"/>
              </w:rPr>
            </w:pPr>
            <w:r w:rsidRPr="0039112E">
              <w:rPr>
                <w:rFonts w:asciiTheme="minorHAnsi" w:hAnsiTheme="minorHAnsi"/>
                <w:sz w:val="20"/>
                <w:szCs w:val="20"/>
              </w:rPr>
              <w:t>97.5</w:t>
            </w:r>
          </w:p>
        </w:tc>
      </w:tr>
    </w:tbl>
    <w:p w14:paraId="1174F06B" w14:textId="19E0C3FC" w:rsidR="00EA23D8" w:rsidRPr="00EA23D8" w:rsidRDefault="00EA23D8" w:rsidP="00BF34AC">
      <w:pPr>
        <w:pStyle w:val="TableDescription"/>
      </w:pPr>
      <w:r w:rsidRPr="00EA23D8">
        <w:t>Abbreviation: SD = standard deviation</w:t>
      </w:r>
      <w:r>
        <w:t>; AE = adverse event</w:t>
      </w:r>
    </w:p>
    <w:p w14:paraId="211DF6C3" w14:textId="0FAC3A0A" w:rsidR="00071A19" w:rsidRDefault="00071A19" w:rsidP="00071A19">
      <w:pPr>
        <w:pStyle w:val="Heading5"/>
      </w:pPr>
      <w:r>
        <w:t>Post-market experience</w:t>
      </w:r>
    </w:p>
    <w:p w14:paraId="20802571" w14:textId="4E35D74D" w:rsidR="00071A19" w:rsidRPr="00071A19" w:rsidRDefault="00B80553" w:rsidP="00071A19">
      <w:r>
        <w:t>Specifically in patients treated for ROP only, l</w:t>
      </w:r>
      <w:r w:rsidR="00071A19">
        <w:t>imited ROP-specific post-market data were provided in periodic safety update reports (PSUR).</w:t>
      </w:r>
      <w:r w:rsidR="00176144">
        <w:rPr>
          <w:rStyle w:val="FootnoteReference"/>
        </w:rPr>
        <w:footnoteReference w:id="17"/>
      </w:r>
      <w:r w:rsidR="00071A19">
        <w:t xml:space="preserve"> They did not reveal any new relevant safety information</w:t>
      </w:r>
    </w:p>
    <w:p w14:paraId="0ED121A1" w14:textId="77777777" w:rsidR="008E7846" w:rsidRDefault="00386150" w:rsidP="007B6132">
      <w:pPr>
        <w:pStyle w:val="Heading3"/>
        <w:rPr>
          <w:lang w:eastAsia="en-AU"/>
        </w:rPr>
      </w:pPr>
      <w:bookmarkStart w:id="60" w:name="_Toc131065562"/>
      <w:r>
        <w:rPr>
          <w:lang w:eastAsia="en-AU"/>
        </w:rPr>
        <w:lastRenderedPageBreak/>
        <w:t>Risk m</w:t>
      </w:r>
      <w:r w:rsidR="008E7846">
        <w:rPr>
          <w:lang w:eastAsia="en-AU"/>
        </w:rPr>
        <w:t xml:space="preserve">anagement </w:t>
      </w:r>
      <w:r>
        <w:rPr>
          <w:lang w:eastAsia="en-AU"/>
        </w:rPr>
        <w:t>p</w:t>
      </w:r>
      <w:r w:rsidR="008E7846">
        <w:rPr>
          <w:lang w:eastAsia="en-AU"/>
        </w:rPr>
        <w:t>lan</w:t>
      </w:r>
      <w:bookmarkEnd w:id="39"/>
      <w:bookmarkEnd w:id="60"/>
    </w:p>
    <w:p w14:paraId="16814157" w14:textId="07DF5573" w:rsidR="00071A19" w:rsidRDefault="00071A19" w:rsidP="00071A19">
      <w:bookmarkStart w:id="61" w:name="_Toc247691531"/>
      <w:bookmarkStart w:id="62" w:name="_Toc314842515"/>
      <w:bookmarkStart w:id="63" w:name="_Toc196046505"/>
      <w:bookmarkStart w:id="64" w:name="_Toc196046949"/>
      <w:r w:rsidRPr="00071A19">
        <w:t xml:space="preserve">The most recent </w:t>
      </w:r>
      <w:r w:rsidR="00C05CF3">
        <w:t>European Union (</w:t>
      </w:r>
      <w:r w:rsidRPr="00071A19">
        <w:t>EU</w:t>
      </w:r>
      <w:r w:rsidR="00C05CF3">
        <w:t xml:space="preserve">) </w:t>
      </w:r>
      <w:r w:rsidRPr="00071A19">
        <w:t xml:space="preserve">RMP was version 20.0 (dated 13 August 2019; </w:t>
      </w:r>
      <w:r w:rsidR="00C05CF3">
        <w:t>data lock point (</w:t>
      </w:r>
      <w:r w:rsidRPr="00071A19">
        <w:t>DLP</w:t>
      </w:r>
      <w:r w:rsidR="00C05CF3">
        <w:t>)</w:t>
      </w:r>
      <w:r w:rsidRPr="00071A19">
        <w:t xml:space="preserve"> 24 January 2018 for clinical trial data, and 31 May 2018 for post-marketing data) and </w:t>
      </w:r>
      <w:r w:rsidR="00C05CF3">
        <w:t>Australia-specific annex (</w:t>
      </w:r>
      <w:r w:rsidRPr="00071A19">
        <w:t>ASA</w:t>
      </w:r>
      <w:r w:rsidR="00C05CF3">
        <w:t>)</w:t>
      </w:r>
      <w:r w:rsidR="00176144">
        <w:t>,</w:t>
      </w:r>
      <w:r w:rsidR="00176144">
        <w:rPr>
          <w:rStyle w:val="FootnoteReference"/>
        </w:rPr>
        <w:footnoteReference w:id="18"/>
      </w:r>
      <w:r w:rsidRPr="00071A19">
        <w:t xml:space="preserve"> version 11.2 (dated 24 June 2021).</w:t>
      </w:r>
    </w:p>
    <w:p w14:paraId="183D4555" w14:textId="64898006" w:rsidR="0074163C" w:rsidRDefault="0074163C" w:rsidP="0074163C">
      <w:r>
        <w:t>The summary of safety concerns and their associated risk monitoring and mitigation strategies are summarised in</w:t>
      </w:r>
      <w:r w:rsidR="0047273B">
        <w:t xml:space="preserve"> </w:t>
      </w:r>
      <w:r w:rsidR="0047273B">
        <w:fldChar w:fldCharType="begin"/>
      </w:r>
      <w:r w:rsidR="0047273B">
        <w:instrText xml:space="preserve"> REF _Ref121475479 \h </w:instrText>
      </w:r>
      <w:r w:rsidR="0047273B">
        <w:fldChar w:fldCharType="separate"/>
      </w:r>
      <w:r w:rsidR="00B12C8C">
        <w:t xml:space="preserve">Table </w:t>
      </w:r>
      <w:r w:rsidR="00B12C8C">
        <w:rPr>
          <w:noProof/>
        </w:rPr>
        <w:t>15</w:t>
      </w:r>
      <w:r w:rsidR="0047273B">
        <w:fldChar w:fldCharType="end"/>
      </w:r>
      <w:r w:rsidRPr="00C66ACF">
        <w:t>.</w:t>
      </w:r>
      <w:r w:rsidR="00074F76">
        <w:rPr>
          <w:rStyle w:val="FootnoteReference"/>
        </w:rPr>
        <w:footnoteReference w:id="19"/>
      </w:r>
      <w:r>
        <w:t xml:space="preserve"> Further information regarding </w:t>
      </w:r>
      <w:r w:rsidR="00CC5044">
        <w:t>the TGA</w:t>
      </w:r>
      <w:r w:rsidR="00BF7063">
        <w:t>’</w:t>
      </w:r>
      <w:r w:rsidR="00CC5044">
        <w:t>s r</w:t>
      </w:r>
      <w:r>
        <w:t xml:space="preserve">isk management approach can be found in </w:t>
      </w:r>
      <w:hyperlink r:id="rId34" w:history="1">
        <w:r w:rsidRPr="0023444E">
          <w:rPr>
            <w:rStyle w:val="Hyperlink"/>
          </w:rPr>
          <w:t>risk management plans for medicines and biologicals</w:t>
        </w:r>
      </w:hyperlink>
      <w:r>
        <w:t xml:space="preserve"> and </w:t>
      </w:r>
      <w:hyperlink r:id="rId35" w:history="1">
        <w:r w:rsidRPr="0023444E">
          <w:rPr>
            <w:rStyle w:val="Hyperlink"/>
          </w:rPr>
          <w:t>the TGA's risk management approach</w:t>
        </w:r>
      </w:hyperlink>
      <w:r>
        <w:t>.</w:t>
      </w:r>
    </w:p>
    <w:p w14:paraId="15AC476C" w14:textId="12F527CC" w:rsidR="0047273B" w:rsidRDefault="0047273B" w:rsidP="0047273B">
      <w:pPr>
        <w:pStyle w:val="TableTitle"/>
      </w:pPr>
      <w:bookmarkStart w:id="65" w:name="_Ref121475479"/>
      <w:r>
        <w:t xml:space="preserve">Table </w:t>
      </w:r>
      <w:r w:rsidR="002D65F1">
        <w:fldChar w:fldCharType="begin"/>
      </w:r>
      <w:r w:rsidR="002D65F1">
        <w:instrText xml:space="preserve"> SEQ Table \* ARABIC </w:instrText>
      </w:r>
      <w:r w:rsidR="002D65F1">
        <w:fldChar w:fldCharType="separate"/>
      </w:r>
      <w:r w:rsidR="00B12C8C">
        <w:rPr>
          <w:noProof/>
        </w:rPr>
        <w:t>15</w:t>
      </w:r>
      <w:r w:rsidR="002D65F1">
        <w:rPr>
          <w:noProof/>
        </w:rPr>
        <w:fldChar w:fldCharType="end"/>
      </w:r>
      <w:bookmarkEnd w:id="65"/>
      <w:r>
        <w:t xml:space="preserve">: </w:t>
      </w:r>
      <w:r w:rsidRPr="003C6EBF">
        <w:t>Summary of safety concerns</w:t>
      </w:r>
    </w:p>
    <w:tbl>
      <w:tblPr>
        <w:tblStyle w:val="TableTGAblue"/>
        <w:tblW w:w="8180" w:type="dxa"/>
        <w:tblLayout w:type="fixed"/>
        <w:tblLook w:val="04A0" w:firstRow="1" w:lastRow="0" w:firstColumn="1" w:lastColumn="0" w:noHBand="0" w:noVBand="1"/>
      </w:tblPr>
      <w:tblGrid>
        <w:gridCol w:w="1430"/>
        <w:gridCol w:w="2790"/>
        <w:gridCol w:w="873"/>
        <w:gridCol w:w="1107"/>
        <w:gridCol w:w="900"/>
        <w:gridCol w:w="1080"/>
      </w:tblGrid>
      <w:tr w:rsidR="00071A19" w:rsidRPr="00071A19" w14:paraId="5A5B0B38" w14:textId="77777777" w:rsidTr="00A4695C">
        <w:trPr>
          <w:cnfStyle w:val="100000000000" w:firstRow="1" w:lastRow="0" w:firstColumn="0" w:lastColumn="0" w:oddVBand="0" w:evenVBand="0" w:oddHBand="0" w:evenHBand="0" w:firstRowFirstColumn="0" w:firstRowLastColumn="0" w:lastRowFirstColumn="0" w:lastRowLastColumn="0"/>
          <w:trHeight w:val="131"/>
        </w:trPr>
        <w:tc>
          <w:tcPr>
            <w:tcW w:w="4220" w:type="dxa"/>
            <w:gridSpan w:val="2"/>
            <w:vMerge w:val="restart"/>
          </w:tcPr>
          <w:p w14:paraId="45EE3AB7" w14:textId="77777777" w:rsidR="00071A19" w:rsidRPr="00071A19" w:rsidRDefault="00071A19" w:rsidP="00A4695C">
            <w:pPr>
              <w:spacing w:before="60" w:after="60" w:line="240" w:lineRule="auto"/>
              <w:ind w:left="0" w:right="0"/>
              <w:rPr>
                <w:b w:val="0"/>
                <w:sz w:val="19"/>
                <w:szCs w:val="22"/>
                <w:lang w:eastAsia="en-US"/>
              </w:rPr>
            </w:pPr>
            <w:r w:rsidRPr="00071A19">
              <w:rPr>
                <w:sz w:val="19"/>
                <w:szCs w:val="22"/>
                <w:lang w:eastAsia="en-US"/>
              </w:rPr>
              <w:t>Summary of safety concerns</w:t>
            </w:r>
          </w:p>
        </w:tc>
        <w:tc>
          <w:tcPr>
            <w:tcW w:w="1980" w:type="dxa"/>
            <w:gridSpan w:val="2"/>
          </w:tcPr>
          <w:p w14:paraId="5F4F4D61" w14:textId="77777777" w:rsidR="00071A19" w:rsidRPr="00071A19" w:rsidRDefault="00071A19" w:rsidP="00A4695C">
            <w:pPr>
              <w:spacing w:before="60" w:after="60" w:line="240" w:lineRule="auto"/>
              <w:ind w:left="0" w:right="0"/>
              <w:rPr>
                <w:b w:val="0"/>
                <w:sz w:val="18"/>
                <w:szCs w:val="22"/>
                <w:lang w:eastAsia="en-US"/>
              </w:rPr>
            </w:pPr>
            <w:r w:rsidRPr="00071A19">
              <w:rPr>
                <w:sz w:val="18"/>
                <w:szCs w:val="22"/>
                <w:lang w:eastAsia="en-US"/>
              </w:rPr>
              <w:t>Pharmacovigilance</w:t>
            </w:r>
          </w:p>
        </w:tc>
        <w:tc>
          <w:tcPr>
            <w:tcW w:w="1980" w:type="dxa"/>
            <w:gridSpan w:val="2"/>
          </w:tcPr>
          <w:p w14:paraId="00586659" w14:textId="77777777" w:rsidR="00071A19" w:rsidRPr="00071A19" w:rsidRDefault="00071A19" w:rsidP="00A4695C">
            <w:pPr>
              <w:spacing w:before="60" w:after="60" w:line="240" w:lineRule="auto"/>
              <w:ind w:left="0" w:right="0"/>
              <w:rPr>
                <w:b w:val="0"/>
                <w:sz w:val="18"/>
                <w:szCs w:val="22"/>
                <w:lang w:eastAsia="en-US"/>
              </w:rPr>
            </w:pPr>
            <w:r w:rsidRPr="00071A19">
              <w:rPr>
                <w:sz w:val="18"/>
                <w:szCs w:val="22"/>
                <w:lang w:eastAsia="en-US"/>
              </w:rPr>
              <w:t>Risk Minimisation</w:t>
            </w:r>
          </w:p>
        </w:tc>
      </w:tr>
      <w:tr w:rsidR="00071A19" w:rsidRPr="00071A19" w14:paraId="79349252" w14:textId="77777777" w:rsidTr="00A4695C">
        <w:trPr>
          <w:trHeight w:val="150"/>
        </w:trPr>
        <w:tc>
          <w:tcPr>
            <w:tcW w:w="4220" w:type="dxa"/>
            <w:gridSpan w:val="2"/>
            <w:vMerge/>
          </w:tcPr>
          <w:p w14:paraId="71CA4799" w14:textId="77777777" w:rsidR="00071A19" w:rsidRPr="00071A19" w:rsidRDefault="00071A19" w:rsidP="00A4695C">
            <w:pPr>
              <w:spacing w:before="60" w:after="60" w:line="240" w:lineRule="auto"/>
              <w:ind w:left="0" w:right="0"/>
              <w:rPr>
                <w:b/>
                <w:sz w:val="19"/>
                <w:szCs w:val="22"/>
                <w:lang w:eastAsia="en-US"/>
              </w:rPr>
            </w:pPr>
          </w:p>
        </w:tc>
        <w:tc>
          <w:tcPr>
            <w:tcW w:w="873" w:type="dxa"/>
          </w:tcPr>
          <w:p w14:paraId="7829A227" w14:textId="77777777" w:rsidR="00071A19" w:rsidRPr="00071A19" w:rsidRDefault="00071A19" w:rsidP="00A4695C">
            <w:pPr>
              <w:spacing w:before="60" w:after="60" w:line="240" w:lineRule="auto"/>
              <w:ind w:left="0" w:right="0"/>
              <w:rPr>
                <w:sz w:val="18"/>
                <w:szCs w:val="22"/>
                <w:lang w:eastAsia="en-US"/>
              </w:rPr>
            </w:pPr>
            <w:r w:rsidRPr="00071A19">
              <w:rPr>
                <w:sz w:val="18"/>
                <w:szCs w:val="22"/>
                <w:lang w:eastAsia="en-US"/>
              </w:rPr>
              <w:t>Routine</w:t>
            </w:r>
          </w:p>
        </w:tc>
        <w:tc>
          <w:tcPr>
            <w:tcW w:w="1107" w:type="dxa"/>
          </w:tcPr>
          <w:p w14:paraId="703EAFD2" w14:textId="77777777" w:rsidR="00071A19" w:rsidRPr="00071A19" w:rsidRDefault="00071A19" w:rsidP="00A4695C">
            <w:pPr>
              <w:spacing w:before="60" w:after="60" w:line="240" w:lineRule="auto"/>
              <w:ind w:left="0" w:right="0"/>
              <w:rPr>
                <w:sz w:val="18"/>
                <w:szCs w:val="22"/>
                <w:lang w:eastAsia="en-US"/>
              </w:rPr>
            </w:pPr>
            <w:r w:rsidRPr="00071A19">
              <w:rPr>
                <w:sz w:val="18"/>
                <w:szCs w:val="22"/>
                <w:lang w:eastAsia="en-US"/>
              </w:rPr>
              <w:t>Additional</w:t>
            </w:r>
          </w:p>
        </w:tc>
        <w:tc>
          <w:tcPr>
            <w:tcW w:w="900" w:type="dxa"/>
          </w:tcPr>
          <w:p w14:paraId="2FEBFCA8" w14:textId="77777777" w:rsidR="00071A19" w:rsidRPr="00071A19" w:rsidRDefault="00071A19" w:rsidP="00A4695C">
            <w:pPr>
              <w:spacing w:before="60" w:after="60" w:line="240" w:lineRule="auto"/>
              <w:ind w:left="0" w:right="0"/>
              <w:rPr>
                <w:sz w:val="18"/>
                <w:szCs w:val="22"/>
                <w:lang w:eastAsia="en-US"/>
              </w:rPr>
            </w:pPr>
            <w:r w:rsidRPr="00071A19">
              <w:rPr>
                <w:sz w:val="18"/>
                <w:szCs w:val="22"/>
                <w:lang w:eastAsia="en-US"/>
              </w:rPr>
              <w:t>Routine</w:t>
            </w:r>
          </w:p>
        </w:tc>
        <w:tc>
          <w:tcPr>
            <w:tcW w:w="1080" w:type="dxa"/>
          </w:tcPr>
          <w:p w14:paraId="0B488C21" w14:textId="77777777" w:rsidR="00071A19" w:rsidRPr="00071A19" w:rsidRDefault="00071A19" w:rsidP="00A4695C">
            <w:pPr>
              <w:spacing w:before="60" w:after="60" w:line="240" w:lineRule="auto"/>
              <w:ind w:left="0" w:right="0"/>
              <w:rPr>
                <w:sz w:val="18"/>
                <w:szCs w:val="22"/>
                <w:lang w:eastAsia="en-US"/>
              </w:rPr>
            </w:pPr>
            <w:r w:rsidRPr="00071A19">
              <w:rPr>
                <w:sz w:val="18"/>
                <w:szCs w:val="22"/>
                <w:lang w:eastAsia="en-US"/>
              </w:rPr>
              <w:t>Additional</w:t>
            </w:r>
          </w:p>
        </w:tc>
      </w:tr>
      <w:tr w:rsidR="00071A19" w:rsidRPr="00071A19" w14:paraId="11809B25" w14:textId="77777777" w:rsidTr="00A4695C">
        <w:trPr>
          <w:trHeight w:val="137"/>
        </w:trPr>
        <w:tc>
          <w:tcPr>
            <w:tcW w:w="1430" w:type="dxa"/>
            <w:vMerge w:val="restart"/>
          </w:tcPr>
          <w:p w14:paraId="70DE46CD" w14:textId="77777777" w:rsidR="00071A19" w:rsidRPr="00071A19" w:rsidRDefault="00071A19" w:rsidP="00A4695C">
            <w:pPr>
              <w:spacing w:before="60" w:after="60" w:line="240" w:lineRule="auto"/>
              <w:ind w:left="0" w:right="0"/>
              <w:rPr>
                <w:b/>
                <w:sz w:val="19"/>
                <w:szCs w:val="22"/>
                <w:lang w:eastAsia="en-US"/>
              </w:rPr>
            </w:pPr>
            <w:r w:rsidRPr="00071A19">
              <w:rPr>
                <w:b/>
                <w:sz w:val="19"/>
                <w:szCs w:val="22"/>
                <w:lang w:eastAsia="en-US"/>
              </w:rPr>
              <w:t>Important identified risks</w:t>
            </w:r>
          </w:p>
        </w:tc>
        <w:tc>
          <w:tcPr>
            <w:tcW w:w="2790" w:type="dxa"/>
          </w:tcPr>
          <w:p w14:paraId="1A4F1FC9" w14:textId="77777777" w:rsidR="00071A19" w:rsidRPr="00071A19" w:rsidRDefault="00071A19" w:rsidP="00A4695C">
            <w:pPr>
              <w:spacing w:before="60" w:after="60" w:line="240" w:lineRule="auto"/>
              <w:ind w:left="0" w:right="0"/>
              <w:rPr>
                <w:sz w:val="19"/>
                <w:szCs w:val="22"/>
                <w:lang w:eastAsia="en-US"/>
              </w:rPr>
            </w:pPr>
            <w:r w:rsidRPr="00071A19">
              <w:rPr>
                <w:sz w:val="19"/>
                <w:szCs w:val="22"/>
                <w:lang w:eastAsia="en-US"/>
              </w:rPr>
              <w:t>Infectious endophthalmitis</w:t>
            </w:r>
          </w:p>
        </w:tc>
        <w:tc>
          <w:tcPr>
            <w:tcW w:w="873" w:type="dxa"/>
          </w:tcPr>
          <w:p w14:paraId="6883187E"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r w:rsidRPr="00071A19">
              <w:rPr>
                <w:rFonts w:asciiTheme="majorHAnsi" w:hAnsiTheme="majorHAnsi"/>
                <w:sz w:val="19"/>
                <w:szCs w:val="20"/>
                <w:lang w:eastAsia="en-US"/>
              </w:rPr>
              <w:t>*</w:t>
            </w:r>
          </w:p>
        </w:tc>
        <w:tc>
          <w:tcPr>
            <w:tcW w:w="1107" w:type="dxa"/>
          </w:tcPr>
          <w:p w14:paraId="084F75A4"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c>
          <w:tcPr>
            <w:tcW w:w="900" w:type="dxa"/>
          </w:tcPr>
          <w:p w14:paraId="6B60BC36"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080" w:type="dxa"/>
          </w:tcPr>
          <w:p w14:paraId="79216730"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r w:rsidRPr="00071A19">
              <w:rPr>
                <w:rFonts w:asciiTheme="majorHAnsi" w:hAnsiTheme="majorHAnsi"/>
                <w:sz w:val="19"/>
                <w:szCs w:val="20"/>
                <w:lang w:eastAsia="en-US"/>
              </w:rPr>
              <w:t>†</w:t>
            </w:r>
          </w:p>
        </w:tc>
      </w:tr>
      <w:tr w:rsidR="00071A19" w:rsidRPr="00071A19" w14:paraId="30FB30D5" w14:textId="77777777" w:rsidTr="00A4695C">
        <w:trPr>
          <w:trHeight w:val="94"/>
        </w:trPr>
        <w:tc>
          <w:tcPr>
            <w:tcW w:w="1430" w:type="dxa"/>
            <w:vMerge/>
          </w:tcPr>
          <w:p w14:paraId="0DCC93EA" w14:textId="77777777" w:rsidR="00071A19" w:rsidRPr="00071A19" w:rsidRDefault="00071A19" w:rsidP="00A4695C">
            <w:pPr>
              <w:spacing w:before="60" w:after="60" w:line="240" w:lineRule="auto"/>
              <w:ind w:left="0" w:right="0"/>
              <w:rPr>
                <w:b/>
                <w:sz w:val="19"/>
                <w:szCs w:val="22"/>
                <w:lang w:eastAsia="en-US"/>
              </w:rPr>
            </w:pPr>
          </w:p>
        </w:tc>
        <w:tc>
          <w:tcPr>
            <w:tcW w:w="2790" w:type="dxa"/>
          </w:tcPr>
          <w:p w14:paraId="7C5337B2" w14:textId="77777777" w:rsidR="00071A19" w:rsidRPr="00071A19" w:rsidRDefault="00071A19" w:rsidP="00A4695C">
            <w:pPr>
              <w:tabs>
                <w:tab w:val="left" w:pos="1080"/>
              </w:tabs>
              <w:spacing w:before="60" w:after="60" w:line="240" w:lineRule="auto"/>
              <w:ind w:left="0" w:right="0"/>
              <w:rPr>
                <w:sz w:val="19"/>
                <w:szCs w:val="22"/>
                <w:lang w:eastAsia="en-US"/>
              </w:rPr>
            </w:pPr>
            <w:r w:rsidRPr="00071A19">
              <w:rPr>
                <w:sz w:val="19"/>
                <w:szCs w:val="22"/>
                <w:lang w:eastAsia="en-US"/>
              </w:rPr>
              <w:t>Retinal detachment and retinal tear</w:t>
            </w:r>
            <w:r w:rsidRPr="00071A19">
              <w:rPr>
                <w:sz w:val="19"/>
                <w:szCs w:val="22"/>
                <w:lang w:eastAsia="en-US"/>
              </w:rPr>
              <w:tab/>
            </w:r>
          </w:p>
        </w:tc>
        <w:tc>
          <w:tcPr>
            <w:tcW w:w="873" w:type="dxa"/>
          </w:tcPr>
          <w:p w14:paraId="1F8C90A4"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107" w:type="dxa"/>
          </w:tcPr>
          <w:p w14:paraId="6E95A97C"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c>
          <w:tcPr>
            <w:tcW w:w="900" w:type="dxa"/>
          </w:tcPr>
          <w:p w14:paraId="7E93E5F1"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080" w:type="dxa"/>
          </w:tcPr>
          <w:p w14:paraId="0AE93DF9"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r w:rsidRPr="00071A19">
              <w:rPr>
                <w:rFonts w:asciiTheme="majorHAnsi" w:hAnsiTheme="majorHAnsi"/>
                <w:sz w:val="19"/>
                <w:szCs w:val="20"/>
                <w:lang w:eastAsia="en-US"/>
              </w:rPr>
              <w:t>†</w:t>
            </w:r>
          </w:p>
        </w:tc>
      </w:tr>
      <w:tr w:rsidR="00071A19" w:rsidRPr="00071A19" w14:paraId="4D5E3EE8" w14:textId="77777777" w:rsidTr="00A4695C">
        <w:trPr>
          <w:trHeight w:val="94"/>
        </w:trPr>
        <w:tc>
          <w:tcPr>
            <w:tcW w:w="1430" w:type="dxa"/>
            <w:vMerge/>
          </w:tcPr>
          <w:p w14:paraId="2F8D17C6" w14:textId="77777777" w:rsidR="00071A19" w:rsidRPr="00071A19" w:rsidRDefault="00071A19" w:rsidP="00A4695C">
            <w:pPr>
              <w:spacing w:before="60" w:after="60" w:line="240" w:lineRule="auto"/>
              <w:ind w:left="0" w:right="0"/>
              <w:rPr>
                <w:b/>
                <w:sz w:val="19"/>
                <w:szCs w:val="22"/>
                <w:lang w:eastAsia="en-US"/>
              </w:rPr>
            </w:pPr>
          </w:p>
        </w:tc>
        <w:tc>
          <w:tcPr>
            <w:tcW w:w="2790" w:type="dxa"/>
          </w:tcPr>
          <w:p w14:paraId="52D5C9D7" w14:textId="77777777" w:rsidR="00071A19" w:rsidRPr="00071A19" w:rsidRDefault="00071A19" w:rsidP="00A4695C">
            <w:pPr>
              <w:tabs>
                <w:tab w:val="left" w:pos="1080"/>
              </w:tabs>
              <w:spacing w:before="60" w:after="60" w:line="240" w:lineRule="auto"/>
              <w:ind w:left="0" w:right="0"/>
              <w:rPr>
                <w:sz w:val="19"/>
                <w:szCs w:val="22"/>
                <w:lang w:eastAsia="en-US"/>
              </w:rPr>
            </w:pPr>
            <w:r w:rsidRPr="00071A19">
              <w:rPr>
                <w:sz w:val="19"/>
                <w:szCs w:val="22"/>
                <w:lang w:eastAsia="en-US"/>
              </w:rPr>
              <w:t>Intraocular inflammation</w:t>
            </w:r>
          </w:p>
        </w:tc>
        <w:tc>
          <w:tcPr>
            <w:tcW w:w="873" w:type="dxa"/>
          </w:tcPr>
          <w:p w14:paraId="6EAD1ECF"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107" w:type="dxa"/>
          </w:tcPr>
          <w:p w14:paraId="0283E603"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c>
          <w:tcPr>
            <w:tcW w:w="900" w:type="dxa"/>
          </w:tcPr>
          <w:p w14:paraId="191BA97B"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080" w:type="dxa"/>
          </w:tcPr>
          <w:p w14:paraId="5541837D"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r w:rsidRPr="00071A19">
              <w:rPr>
                <w:rFonts w:asciiTheme="majorHAnsi" w:hAnsiTheme="majorHAnsi"/>
                <w:sz w:val="19"/>
                <w:szCs w:val="20"/>
                <w:lang w:eastAsia="en-US"/>
              </w:rPr>
              <w:t>†</w:t>
            </w:r>
          </w:p>
        </w:tc>
      </w:tr>
      <w:tr w:rsidR="00071A19" w:rsidRPr="00071A19" w14:paraId="2490C083" w14:textId="77777777" w:rsidTr="00A4695C">
        <w:trPr>
          <w:trHeight w:val="187"/>
        </w:trPr>
        <w:tc>
          <w:tcPr>
            <w:tcW w:w="1430" w:type="dxa"/>
            <w:vMerge/>
          </w:tcPr>
          <w:p w14:paraId="33A024B9" w14:textId="77777777" w:rsidR="00071A19" w:rsidRPr="00071A19" w:rsidRDefault="00071A19" w:rsidP="00A4695C">
            <w:pPr>
              <w:spacing w:before="60" w:after="60" w:line="240" w:lineRule="auto"/>
              <w:ind w:left="0" w:right="0"/>
              <w:rPr>
                <w:b/>
                <w:sz w:val="19"/>
                <w:szCs w:val="22"/>
                <w:lang w:eastAsia="en-US"/>
              </w:rPr>
            </w:pPr>
          </w:p>
        </w:tc>
        <w:tc>
          <w:tcPr>
            <w:tcW w:w="2790" w:type="dxa"/>
          </w:tcPr>
          <w:p w14:paraId="21AD89E7" w14:textId="77777777" w:rsidR="00071A19" w:rsidRPr="00071A19" w:rsidRDefault="00071A19" w:rsidP="00A4695C">
            <w:pPr>
              <w:spacing w:before="60" w:after="60" w:line="240" w:lineRule="auto"/>
              <w:ind w:left="0" w:right="0"/>
              <w:rPr>
                <w:sz w:val="19"/>
                <w:szCs w:val="22"/>
                <w:lang w:eastAsia="en-US"/>
              </w:rPr>
            </w:pPr>
            <w:r w:rsidRPr="00071A19">
              <w:rPr>
                <w:sz w:val="19"/>
                <w:szCs w:val="22"/>
                <w:lang w:eastAsia="en-US"/>
              </w:rPr>
              <w:t>Intraocular pressure increase</w:t>
            </w:r>
          </w:p>
        </w:tc>
        <w:tc>
          <w:tcPr>
            <w:tcW w:w="873" w:type="dxa"/>
          </w:tcPr>
          <w:p w14:paraId="19901B57"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107" w:type="dxa"/>
          </w:tcPr>
          <w:p w14:paraId="4875A9D4"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c>
          <w:tcPr>
            <w:tcW w:w="900" w:type="dxa"/>
          </w:tcPr>
          <w:p w14:paraId="6500FFF5"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080" w:type="dxa"/>
          </w:tcPr>
          <w:p w14:paraId="726840F4"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r w:rsidRPr="00071A19">
              <w:rPr>
                <w:rFonts w:asciiTheme="majorHAnsi" w:hAnsiTheme="majorHAnsi"/>
                <w:sz w:val="19"/>
                <w:szCs w:val="20"/>
                <w:lang w:eastAsia="en-US"/>
              </w:rPr>
              <w:t>†</w:t>
            </w:r>
          </w:p>
        </w:tc>
      </w:tr>
      <w:tr w:rsidR="00071A19" w:rsidRPr="00071A19" w14:paraId="1DFF760B" w14:textId="77777777" w:rsidTr="00A4695C">
        <w:trPr>
          <w:trHeight w:val="159"/>
        </w:trPr>
        <w:tc>
          <w:tcPr>
            <w:tcW w:w="1430" w:type="dxa"/>
          </w:tcPr>
          <w:p w14:paraId="60361C68" w14:textId="77777777" w:rsidR="00071A19" w:rsidRPr="00071A19" w:rsidRDefault="00071A19" w:rsidP="00A4695C">
            <w:pPr>
              <w:spacing w:before="60" w:after="60" w:line="240" w:lineRule="auto"/>
              <w:ind w:left="0" w:right="0"/>
              <w:rPr>
                <w:b/>
                <w:sz w:val="19"/>
                <w:szCs w:val="22"/>
                <w:lang w:eastAsia="en-US"/>
              </w:rPr>
            </w:pPr>
            <w:r w:rsidRPr="00071A19">
              <w:rPr>
                <w:b/>
                <w:sz w:val="19"/>
                <w:szCs w:val="22"/>
                <w:lang w:eastAsia="en-US"/>
              </w:rPr>
              <w:t>Important potential risks</w:t>
            </w:r>
          </w:p>
        </w:tc>
        <w:tc>
          <w:tcPr>
            <w:tcW w:w="2790" w:type="dxa"/>
          </w:tcPr>
          <w:p w14:paraId="16ECB22D" w14:textId="77777777" w:rsidR="00071A19" w:rsidRPr="00071A19" w:rsidRDefault="00071A19" w:rsidP="00A4695C">
            <w:pPr>
              <w:spacing w:before="60" w:after="60" w:line="240" w:lineRule="auto"/>
              <w:ind w:left="0" w:right="0"/>
              <w:rPr>
                <w:sz w:val="19"/>
                <w:szCs w:val="22"/>
                <w:lang w:eastAsia="en-US"/>
              </w:rPr>
            </w:pPr>
            <w:r w:rsidRPr="00071A19">
              <w:rPr>
                <w:sz w:val="19"/>
                <w:szCs w:val="22"/>
                <w:lang w:eastAsia="en-US"/>
              </w:rPr>
              <w:t>Neurodevelopmental impairment (ROP)</w:t>
            </w:r>
          </w:p>
        </w:tc>
        <w:tc>
          <w:tcPr>
            <w:tcW w:w="873" w:type="dxa"/>
          </w:tcPr>
          <w:p w14:paraId="117C2D82"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107" w:type="dxa"/>
          </w:tcPr>
          <w:p w14:paraId="63EAA0CD"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c>
          <w:tcPr>
            <w:tcW w:w="900" w:type="dxa"/>
          </w:tcPr>
          <w:p w14:paraId="3B27CABD"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c>
          <w:tcPr>
            <w:tcW w:w="1080" w:type="dxa"/>
          </w:tcPr>
          <w:p w14:paraId="00998E94"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r>
      <w:tr w:rsidR="00071A19" w:rsidRPr="00071A19" w14:paraId="74FB89C8" w14:textId="77777777" w:rsidTr="00A4695C">
        <w:trPr>
          <w:trHeight w:val="178"/>
        </w:trPr>
        <w:tc>
          <w:tcPr>
            <w:tcW w:w="1430" w:type="dxa"/>
            <w:vMerge w:val="restart"/>
          </w:tcPr>
          <w:p w14:paraId="6C605943" w14:textId="77777777" w:rsidR="00071A19" w:rsidRPr="00071A19" w:rsidRDefault="00071A19" w:rsidP="00A4695C">
            <w:pPr>
              <w:spacing w:before="60" w:after="60" w:line="240" w:lineRule="auto"/>
              <w:ind w:left="0" w:right="0"/>
              <w:rPr>
                <w:b/>
                <w:sz w:val="19"/>
                <w:szCs w:val="22"/>
                <w:lang w:eastAsia="en-US"/>
              </w:rPr>
            </w:pPr>
            <w:r w:rsidRPr="00071A19">
              <w:rPr>
                <w:b/>
                <w:sz w:val="19"/>
                <w:szCs w:val="22"/>
                <w:lang w:eastAsia="en-US"/>
              </w:rPr>
              <w:t>Missing information</w:t>
            </w:r>
          </w:p>
        </w:tc>
        <w:tc>
          <w:tcPr>
            <w:tcW w:w="2790" w:type="dxa"/>
          </w:tcPr>
          <w:p w14:paraId="474D5FCE" w14:textId="77777777" w:rsidR="00071A19" w:rsidRPr="00071A19" w:rsidRDefault="00071A19" w:rsidP="00A4695C">
            <w:pPr>
              <w:spacing w:before="60" w:after="60" w:line="240" w:lineRule="auto"/>
              <w:ind w:left="0" w:right="0"/>
              <w:rPr>
                <w:sz w:val="19"/>
                <w:szCs w:val="22"/>
                <w:lang w:eastAsia="en-US"/>
              </w:rPr>
            </w:pPr>
            <w:r w:rsidRPr="00071A19">
              <w:rPr>
                <w:sz w:val="19"/>
                <w:szCs w:val="22"/>
                <w:lang w:eastAsia="en-US"/>
              </w:rPr>
              <w:t xml:space="preserve">Long term effects on the progression of the condition CNV (other than </w:t>
            </w:r>
            <w:proofErr w:type="spellStart"/>
            <w:r w:rsidRPr="00071A19">
              <w:rPr>
                <w:sz w:val="19"/>
                <w:szCs w:val="22"/>
                <w:lang w:eastAsia="en-US"/>
              </w:rPr>
              <w:t>nAMD</w:t>
            </w:r>
            <w:proofErr w:type="spellEnd"/>
            <w:r w:rsidRPr="00071A19">
              <w:rPr>
                <w:sz w:val="19"/>
                <w:szCs w:val="22"/>
                <w:lang w:eastAsia="en-US"/>
              </w:rPr>
              <w:t>)</w:t>
            </w:r>
          </w:p>
        </w:tc>
        <w:tc>
          <w:tcPr>
            <w:tcW w:w="873" w:type="dxa"/>
          </w:tcPr>
          <w:p w14:paraId="7E6138D3"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107" w:type="dxa"/>
          </w:tcPr>
          <w:p w14:paraId="72CDF26E"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c>
          <w:tcPr>
            <w:tcW w:w="900" w:type="dxa"/>
          </w:tcPr>
          <w:p w14:paraId="61DA68DC"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080" w:type="dxa"/>
          </w:tcPr>
          <w:p w14:paraId="12F5A65A"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r>
      <w:tr w:rsidR="00071A19" w:rsidRPr="00071A19" w14:paraId="7205E85E" w14:textId="77777777" w:rsidTr="00A4695C">
        <w:trPr>
          <w:trHeight w:val="103"/>
        </w:trPr>
        <w:tc>
          <w:tcPr>
            <w:tcW w:w="1430" w:type="dxa"/>
            <w:vMerge/>
          </w:tcPr>
          <w:p w14:paraId="70E1BB9C" w14:textId="77777777" w:rsidR="00071A19" w:rsidRPr="00071A19" w:rsidRDefault="00071A19" w:rsidP="00A4695C">
            <w:pPr>
              <w:spacing w:before="60" w:after="60" w:line="240" w:lineRule="auto"/>
              <w:ind w:left="0" w:right="0"/>
              <w:rPr>
                <w:sz w:val="19"/>
                <w:szCs w:val="22"/>
                <w:lang w:eastAsia="en-US"/>
              </w:rPr>
            </w:pPr>
          </w:p>
        </w:tc>
        <w:tc>
          <w:tcPr>
            <w:tcW w:w="2790" w:type="dxa"/>
          </w:tcPr>
          <w:p w14:paraId="1EE7368D" w14:textId="77777777" w:rsidR="00071A19" w:rsidRPr="00071A19" w:rsidRDefault="00071A19" w:rsidP="00A4695C">
            <w:pPr>
              <w:spacing w:before="60" w:after="60" w:line="240" w:lineRule="auto"/>
              <w:ind w:left="0" w:right="0"/>
              <w:rPr>
                <w:sz w:val="19"/>
                <w:szCs w:val="22"/>
                <w:lang w:eastAsia="en-US"/>
              </w:rPr>
            </w:pPr>
            <w:proofErr w:type="spellStart"/>
            <w:r w:rsidRPr="00071A19">
              <w:rPr>
                <w:sz w:val="19"/>
                <w:szCs w:val="22"/>
                <w:lang w:eastAsia="en-US"/>
              </w:rPr>
              <w:t>Visudyne</w:t>
            </w:r>
            <w:proofErr w:type="spellEnd"/>
            <w:r w:rsidRPr="00071A19">
              <w:rPr>
                <w:sz w:val="19"/>
                <w:szCs w:val="22"/>
                <w:lang w:eastAsia="en-US"/>
              </w:rPr>
              <w:t xml:space="preserve"> (verteporfin-PDT) given in combination with ranibizumab (PM)</w:t>
            </w:r>
          </w:p>
        </w:tc>
        <w:tc>
          <w:tcPr>
            <w:tcW w:w="873" w:type="dxa"/>
          </w:tcPr>
          <w:p w14:paraId="272481D6"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107" w:type="dxa"/>
          </w:tcPr>
          <w:p w14:paraId="3E95B493"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c>
          <w:tcPr>
            <w:tcW w:w="900" w:type="dxa"/>
          </w:tcPr>
          <w:p w14:paraId="103D5056"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sym w:font="Wingdings" w:char="F0FC"/>
            </w:r>
          </w:p>
        </w:tc>
        <w:tc>
          <w:tcPr>
            <w:tcW w:w="1080" w:type="dxa"/>
          </w:tcPr>
          <w:p w14:paraId="1B3F9A0F" w14:textId="77777777" w:rsidR="00071A19" w:rsidRPr="00071A19" w:rsidRDefault="00071A19" w:rsidP="00A4695C">
            <w:pPr>
              <w:spacing w:before="60" w:after="60" w:line="240" w:lineRule="auto"/>
              <w:ind w:left="0" w:right="0"/>
              <w:jc w:val="center"/>
              <w:rPr>
                <w:sz w:val="19"/>
                <w:szCs w:val="22"/>
                <w:lang w:eastAsia="en-US"/>
              </w:rPr>
            </w:pPr>
            <w:r w:rsidRPr="00071A19">
              <w:rPr>
                <w:sz w:val="19"/>
                <w:szCs w:val="22"/>
                <w:lang w:eastAsia="en-US"/>
              </w:rPr>
              <w:t>–</w:t>
            </w:r>
          </w:p>
        </w:tc>
      </w:tr>
      <w:tr w:rsidR="00071A19" w:rsidRPr="00071A19" w14:paraId="74FACAB6" w14:textId="77777777" w:rsidTr="00A4695C">
        <w:trPr>
          <w:trHeight w:val="140"/>
        </w:trPr>
        <w:tc>
          <w:tcPr>
            <w:tcW w:w="1430" w:type="dxa"/>
            <w:vMerge/>
          </w:tcPr>
          <w:p w14:paraId="67B063D2" w14:textId="77777777" w:rsidR="00071A19" w:rsidRPr="00071A19" w:rsidRDefault="00071A19" w:rsidP="00071A19">
            <w:pPr>
              <w:spacing w:before="60" w:after="60" w:line="240" w:lineRule="auto"/>
              <w:rPr>
                <w:sz w:val="19"/>
                <w:szCs w:val="22"/>
                <w:lang w:eastAsia="en-US"/>
              </w:rPr>
            </w:pPr>
          </w:p>
        </w:tc>
        <w:tc>
          <w:tcPr>
            <w:tcW w:w="2790" w:type="dxa"/>
          </w:tcPr>
          <w:p w14:paraId="74F24AEC" w14:textId="77777777" w:rsidR="00071A19" w:rsidRPr="00071A19" w:rsidRDefault="00071A19" w:rsidP="00A4695C">
            <w:pPr>
              <w:spacing w:before="60" w:after="60" w:line="240" w:lineRule="auto"/>
              <w:ind w:left="0"/>
              <w:rPr>
                <w:sz w:val="19"/>
                <w:szCs w:val="22"/>
                <w:lang w:eastAsia="en-US"/>
              </w:rPr>
            </w:pPr>
            <w:r w:rsidRPr="00071A19">
              <w:rPr>
                <w:sz w:val="19"/>
                <w:szCs w:val="22"/>
                <w:lang w:eastAsia="en-US"/>
              </w:rPr>
              <w:t>Long term safety of ranibizumab in the condition ROP</w:t>
            </w:r>
          </w:p>
        </w:tc>
        <w:tc>
          <w:tcPr>
            <w:tcW w:w="873" w:type="dxa"/>
          </w:tcPr>
          <w:p w14:paraId="0E31458F" w14:textId="77777777" w:rsidR="00071A19" w:rsidRPr="00071A19" w:rsidRDefault="00071A19" w:rsidP="00071A19">
            <w:pPr>
              <w:spacing w:before="60" w:after="60" w:line="240" w:lineRule="auto"/>
              <w:jc w:val="center"/>
              <w:rPr>
                <w:sz w:val="19"/>
                <w:szCs w:val="22"/>
                <w:lang w:eastAsia="en-US"/>
              </w:rPr>
            </w:pPr>
            <w:r w:rsidRPr="00071A19">
              <w:rPr>
                <w:sz w:val="19"/>
                <w:szCs w:val="22"/>
                <w:lang w:eastAsia="en-US"/>
              </w:rPr>
              <w:sym w:font="Wingdings" w:char="F0FC"/>
            </w:r>
            <w:r w:rsidRPr="00071A19">
              <w:rPr>
                <w:color w:val="7030A0"/>
                <w:sz w:val="19"/>
                <w:szCs w:val="22"/>
                <w:lang w:eastAsia="en-US"/>
              </w:rPr>
              <w:t>*</w:t>
            </w:r>
          </w:p>
        </w:tc>
        <w:tc>
          <w:tcPr>
            <w:tcW w:w="1107" w:type="dxa"/>
          </w:tcPr>
          <w:p w14:paraId="13464250" w14:textId="77777777" w:rsidR="00071A19" w:rsidRPr="00071A19" w:rsidRDefault="00071A19" w:rsidP="00071A19">
            <w:pPr>
              <w:spacing w:before="60" w:after="60" w:line="240" w:lineRule="auto"/>
              <w:jc w:val="center"/>
              <w:rPr>
                <w:sz w:val="19"/>
                <w:szCs w:val="22"/>
                <w:lang w:eastAsia="en-US"/>
              </w:rPr>
            </w:pPr>
            <w:r w:rsidRPr="00071A19">
              <w:rPr>
                <w:sz w:val="19"/>
                <w:szCs w:val="22"/>
                <w:lang w:eastAsia="en-US"/>
              </w:rPr>
              <w:t>–</w:t>
            </w:r>
          </w:p>
        </w:tc>
        <w:tc>
          <w:tcPr>
            <w:tcW w:w="900" w:type="dxa"/>
          </w:tcPr>
          <w:p w14:paraId="096AB5DB" w14:textId="77777777" w:rsidR="00071A19" w:rsidRPr="00071A19" w:rsidRDefault="00071A19" w:rsidP="00071A19">
            <w:pPr>
              <w:spacing w:before="60" w:after="60" w:line="240" w:lineRule="auto"/>
              <w:jc w:val="center"/>
              <w:rPr>
                <w:sz w:val="19"/>
                <w:szCs w:val="22"/>
                <w:lang w:eastAsia="en-US"/>
              </w:rPr>
            </w:pPr>
            <w:r w:rsidRPr="00071A19">
              <w:rPr>
                <w:sz w:val="19"/>
                <w:szCs w:val="22"/>
                <w:lang w:eastAsia="en-US"/>
              </w:rPr>
              <w:sym w:font="Wingdings" w:char="F0FC"/>
            </w:r>
          </w:p>
        </w:tc>
        <w:tc>
          <w:tcPr>
            <w:tcW w:w="1080" w:type="dxa"/>
          </w:tcPr>
          <w:p w14:paraId="5DCF4E46" w14:textId="77777777" w:rsidR="00071A19" w:rsidRPr="00071A19" w:rsidRDefault="00071A19" w:rsidP="00071A19">
            <w:pPr>
              <w:spacing w:before="60" w:after="60" w:line="240" w:lineRule="auto"/>
              <w:jc w:val="center"/>
              <w:rPr>
                <w:sz w:val="19"/>
                <w:szCs w:val="22"/>
                <w:lang w:eastAsia="en-US"/>
              </w:rPr>
            </w:pPr>
            <w:r w:rsidRPr="00071A19">
              <w:rPr>
                <w:sz w:val="19"/>
                <w:szCs w:val="22"/>
                <w:lang w:eastAsia="en-US"/>
              </w:rPr>
              <w:t>–</w:t>
            </w:r>
          </w:p>
        </w:tc>
      </w:tr>
    </w:tbl>
    <w:p w14:paraId="2A261828" w14:textId="5C9047C7" w:rsidR="00071A19" w:rsidRDefault="00071A19" w:rsidP="006C7293">
      <w:pPr>
        <w:pStyle w:val="TableDescription"/>
        <w:rPr>
          <w:snapToGrid w:val="0"/>
        </w:rPr>
      </w:pPr>
      <w:r w:rsidRPr="00071A19">
        <w:rPr>
          <w:snapToGrid w:val="0"/>
        </w:rPr>
        <w:t>*Targeted follow up form</w:t>
      </w:r>
      <w:r w:rsidR="002918FC">
        <w:rPr>
          <w:snapToGrid w:val="0"/>
        </w:rPr>
        <w:t xml:space="preserve">; </w:t>
      </w:r>
      <w:r w:rsidRPr="00071A19">
        <w:rPr>
          <w:snapToGrid w:val="0"/>
        </w:rPr>
        <w:t>†</w:t>
      </w:r>
      <w:r w:rsidR="002918FC">
        <w:rPr>
          <w:snapToGrid w:val="0"/>
        </w:rPr>
        <w:t xml:space="preserve"> </w:t>
      </w:r>
      <w:r w:rsidRPr="00071A19">
        <w:rPr>
          <w:snapToGrid w:val="0"/>
        </w:rPr>
        <w:t>Patient booklet</w:t>
      </w:r>
    </w:p>
    <w:p w14:paraId="2ED372FD" w14:textId="2E1FDF20" w:rsidR="00071A19" w:rsidRDefault="00071A19" w:rsidP="00071A19">
      <w:pPr>
        <w:rPr>
          <w:snapToGrid w:val="0"/>
        </w:rPr>
      </w:pPr>
      <w:r w:rsidRPr="00071A19">
        <w:rPr>
          <w:snapToGrid w:val="0"/>
        </w:rPr>
        <w:lastRenderedPageBreak/>
        <w:t xml:space="preserve">The summary of safety concerns contains two safety concerns relating to ROP. It aligns with the </w:t>
      </w:r>
      <w:r w:rsidR="003164D4">
        <w:rPr>
          <w:snapToGrid w:val="0"/>
        </w:rPr>
        <w:t xml:space="preserve">European Union </w:t>
      </w:r>
      <w:r w:rsidRPr="00071A19">
        <w:rPr>
          <w:snapToGrid w:val="0"/>
        </w:rPr>
        <w:t>RMP, and the safety concerns relating to ROP remain unchanged since they were considered acceptable by the RMP evaluator for the withdrawn ROP submission. The summary of safety concerns is acceptable.</w:t>
      </w:r>
    </w:p>
    <w:p w14:paraId="3070B925" w14:textId="77777777" w:rsidR="007C0BAA" w:rsidRDefault="000059BE" w:rsidP="000059BE">
      <w:pPr>
        <w:rPr>
          <w:snapToGrid w:val="0"/>
        </w:rPr>
      </w:pPr>
      <w:r w:rsidRPr="000059BE">
        <w:rPr>
          <w:snapToGrid w:val="0"/>
        </w:rPr>
        <w:t>Routine pharmacovigilance is proposed for all safety concerns. No additional pharmacovigilance is proposed in the EU or in Australia.</w:t>
      </w:r>
    </w:p>
    <w:p w14:paraId="1E83370F" w14:textId="2C285AED" w:rsidR="00EB4AE5" w:rsidRDefault="000059BE" w:rsidP="000059BE">
      <w:pPr>
        <w:rPr>
          <w:snapToGrid w:val="0"/>
        </w:rPr>
      </w:pPr>
      <w:r w:rsidRPr="000059BE">
        <w:rPr>
          <w:snapToGrid w:val="0"/>
        </w:rPr>
        <w:t>The sponsor has agreed to utilise paediatric follow-up forms in Australia as a routine pharmacovigilance activity for the safety concern ‘Long term safety of ranibizumab in the condition ROP’, as requested.</w:t>
      </w:r>
    </w:p>
    <w:p w14:paraId="5E03221D" w14:textId="603A755A" w:rsidR="000059BE" w:rsidRDefault="000059BE" w:rsidP="000059BE">
      <w:pPr>
        <w:rPr>
          <w:snapToGrid w:val="0"/>
        </w:rPr>
      </w:pPr>
      <w:r w:rsidRPr="000059BE">
        <w:rPr>
          <w:snapToGrid w:val="0"/>
        </w:rPr>
        <w:t>The pharmacovigilance plan is acceptable.</w:t>
      </w:r>
    </w:p>
    <w:p w14:paraId="3EBE8079" w14:textId="0512EDE3" w:rsidR="00E34D5B" w:rsidRDefault="00EB4AE5" w:rsidP="000059BE">
      <w:pPr>
        <w:rPr>
          <w:snapToGrid w:val="0"/>
        </w:rPr>
      </w:pPr>
      <w:r>
        <w:rPr>
          <w:snapToGrid w:val="0"/>
        </w:rPr>
        <w:t>No routine or additional</w:t>
      </w:r>
      <w:r>
        <w:t xml:space="preserve"> risk minimisation activities are proposed for safety concerns relating to ROP</w:t>
      </w:r>
      <w:r>
        <w:rPr>
          <w:snapToGrid w:val="0"/>
        </w:rPr>
        <w:t>; however, a</w:t>
      </w:r>
      <w:r w:rsidR="000059BE" w:rsidRPr="000059BE">
        <w:rPr>
          <w:snapToGrid w:val="0"/>
        </w:rPr>
        <w:t xml:space="preserve"> dedicated ROP information leaflet has been implemented in the EU. Upon request the sponsor has committed to implementing a similar leaflet for guardians of premature infants in Australia. Changes to the ‘Information for guardians of babies born prematurely’ leaflet and inclusion of this routine risk minimisation activity in the ASA, were largely implemented at </w:t>
      </w:r>
      <w:r w:rsidR="00E34D5B">
        <w:rPr>
          <w:snapToGrid w:val="0"/>
        </w:rPr>
        <w:t>the third round of evaluation</w:t>
      </w:r>
      <w:r w:rsidR="000059BE" w:rsidRPr="000059BE">
        <w:rPr>
          <w:snapToGrid w:val="0"/>
        </w:rPr>
        <w:t>. A letter will be sent to prescribers to inform them of the inclusion of an information for guardian</w:t>
      </w:r>
      <w:r w:rsidR="00694707">
        <w:rPr>
          <w:snapToGrid w:val="0"/>
        </w:rPr>
        <w:t>’</w:t>
      </w:r>
      <w:r w:rsidR="000059BE" w:rsidRPr="000059BE">
        <w:rPr>
          <w:snapToGrid w:val="0"/>
        </w:rPr>
        <w:t>s leaflet in the product packaging.</w:t>
      </w:r>
    </w:p>
    <w:p w14:paraId="088F7830" w14:textId="553331C0" w:rsidR="00EB4AE5" w:rsidRDefault="00EB4AE5" w:rsidP="00EB4AE5">
      <w:pPr>
        <w:rPr>
          <w:snapToGrid w:val="0"/>
        </w:rPr>
      </w:pPr>
      <w:r w:rsidRPr="000059BE">
        <w:rPr>
          <w:snapToGrid w:val="0"/>
        </w:rPr>
        <w:t xml:space="preserve">The PI and </w:t>
      </w:r>
      <w:r>
        <w:rPr>
          <w:snapToGrid w:val="0"/>
        </w:rPr>
        <w:t>Consumer medicine information (</w:t>
      </w:r>
      <w:r w:rsidRPr="000059BE">
        <w:rPr>
          <w:snapToGrid w:val="0"/>
        </w:rPr>
        <w:t>CMI</w:t>
      </w:r>
      <w:r>
        <w:rPr>
          <w:snapToGrid w:val="0"/>
        </w:rPr>
        <w:t>)</w:t>
      </w:r>
      <w:r w:rsidRPr="000059BE">
        <w:rPr>
          <w:snapToGrid w:val="0"/>
        </w:rPr>
        <w:t xml:space="preserve"> were revised as requested in </w:t>
      </w:r>
      <w:r>
        <w:rPr>
          <w:snapToGrid w:val="0"/>
        </w:rPr>
        <w:t>the first round of RMP evaluation with</w:t>
      </w:r>
      <w:r w:rsidRPr="000059BE">
        <w:rPr>
          <w:snapToGrid w:val="0"/>
        </w:rPr>
        <w:t xml:space="preserve"> further changes to the CMI that were recommended at </w:t>
      </w:r>
      <w:r>
        <w:rPr>
          <w:snapToGrid w:val="0"/>
        </w:rPr>
        <w:t>the second round of the RMP evaluation process implemented at the third round of evaluation.</w:t>
      </w:r>
    </w:p>
    <w:p w14:paraId="13B64115" w14:textId="266C1377" w:rsidR="00E34D5B" w:rsidRDefault="00EB4AE5" w:rsidP="000059BE">
      <w:pPr>
        <w:rPr>
          <w:snapToGrid w:val="0"/>
        </w:rPr>
      </w:pPr>
      <w:r w:rsidRPr="000059BE">
        <w:rPr>
          <w:snapToGrid w:val="0"/>
        </w:rPr>
        <w:t xml:space="preserve">The risk minimisation plan is acceptable at </w:t>
      </w:r>
      <w:r>
        <w:rPr>
          <w:snapToGrid w:val="0"/>
        </w:rPr>
        <w:t>the third round of RMP evaluation</w:t>
      </w:r>
      <w:r w:rsidRPr="000059BE">
        <w:rPr>
          <w:snapToGrid w:val="0"/>
        </w:rPr>
        <w:t>, although minor revisions have been requested to the CMI and to the ‘Information for guardians of babies born prematurely’ leaflet.</w:t>
      </w:r>
    </w:p>
    <w:p w14:paraId="26FB8B0B" w14:textId="3A5F5A76" w:rsidR="000059BE" w:rsidRPr="000059BE" w:rsidRDefault="000059BE" w:rsidP="000059BE">
      <w:pPr>
        <w:pStyle w:val="Heading4"/>
        <w:rPr>
          <w:snapToGrid w:val="0"/>
        </w:rPr>
      </w:pPr>
      <w:r w:rsidRPr="000059BE">
        <w:rPr>
          <w:snapToGrid w:val="0"/>
        </w:rPr>
        <w:t>Recommended conditions of registration</w:t>
      </w:r>
    </w:p>
    <w:p w14:paraId="4C11623A" w14:textId="0399E520" w:rsidR="000059BE" w:rsidRDefault="000059BE" w:rsidP="000059BE">
      <w:pPr>
        <w:rPr>
          <w:snapToGrid w:val="0"/>
        </w:rPr>
      </w:pPr>
      <w:r w:rsidRPr="000059BE">
        <w:rPr>
          <w:snapToGrid w:val="0"/>
        </w:rPr>
        <w:t>The recommended RMP and PSUR wording is:</w:t>
      </w:r>
    </w:p>
    <w:p w14:paraId="4EDD94B3" w14:textId="77777777" w:rsidR="000059BE" w:rsidRPr="000059BE" w:rsidRDefault="000059BE" w:rsidP="000059BE">
      <w:pPr>
        <w:ind w:left="720"/>
        <w:rPr>
          <w:i/>
          <w:iCs/>
          <w:snapToGrid w:val="0"/>
        </w:rPr>
      </w:pPr>
      <w:r w:rsidRPr="000059BE">
        <w:rPr>
          <w:i/>
          <w:iCs/>
          <w:snapToGrid w:val="0"/>
        </w:rPr>
        <w:t>The Lucentis EU-Risk Management Plan (RMP) (version 20.0, dated 13 August 2019, data lock point DLP 24 Jan 2018 for clinical trial data, 31 May 2018 for post-marketing data), with Australian Specific Annex (version 11.2, dated 24 June 2021), included with submission PM-2020-04187-1-5, and any subsequent revisions, as agreed with the TGA will be implemented in Australia.</w:t>
      </w:r>
    </w:p>
    <w:p w14:paraId="259E7BA8" w14:textId="184779AF" w:rsidR="000059BE" w:rsidRPr="000059BE" w:rsidRDefault="000059BE" w:rsidP="000059BE">
      <w:pPr>
        <w:ind w:left="720"/>
        <w:rPr>
          <w:i/>
          <w:iCs/>
          <w:snapToGrid w:val="0"/>
        </w:rPr>
      </w:pPr>
      <w:r w:rsidRPr="000059BE">
        <w:rPr>
          <w:i/>
          <w:iCs/>
          <w:snapToGrid w:val="0"/>
        </w:rPr>
        <w:t>An obligatory component of risk management plans is routine pharmacovigilance. Routine pharmacovigilance includes the submission of periodic safety update reports (PSURs).</w:t>
      </w:r>
    </w:p>
    <w:p w14:paraId="4BFAB3B2" w14:textId="0913E6B3" w:rsidR="000059BE" w:rsidRPr="000059BE" w:rsidRDefault="000059BE" w:rsidP="000059BE">
      <w:pPr>
        <w:ind w:left="720"/>
        <w:rPr>
          <w:i/>
          <w:iCs/>
          <w:snapToGrid w:val="0"/>
        </w:rPr>
      </w:pPr>
      <w:r w:rsidRPr="000059BE">
        <w:rPr>
          <w:i/>
          <w:iCs/>
          <w:snapToGrid w:val="0"/>
        </w:rPr>
        <w:t>Reports are to be provided in line with the current published list of EU reference dates and frequency of submission of PSURs until the period covered by such reports is not less than three years from the date of this approval letter.</w:t>
      </w:r>
    </w:p>
    <w:p w14:paraId="41F79E6B" w14:textId="025DE57B" w:rsidR="000059BE" w:rsidRPr="000059BE" w:rsidRDefault="000059BE" w:rsidP="000059BE">
      <w:pPr>
        <w:ind w:left="720"/>
        <w:rPr>
          <w:i/>
          <w:iCs/>
          <w:snapToGrid w:val="0"/>
        </w:rPr>
      </w:pPr>
      <w:r w:rsidRPr="000059BE">
        <w:rPr>
          <w:i/>
          <w:iCs/>
          <w:snapToGrid w:val="0"/>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67396404" w14:textId="3274B0A1" w:rsidR="000059BE" w:rsidRDefault="000059BE" w:rsidP="000059BE">
      <w:pPr>
        <w:rPr>
          <w:snapToGrid w:val="0"/>
        </w:rPr>
      </w:pPr>
      <w:r w:rsidRPr="000059BE">
        <w:rPr>
          <w:snapToGrid w:val="0"/>
        </w:rPr>
        <w:t>As the indications for Lucentis are being extended into a significantly different population it should be included in the Black Triangle Scheme as a condition of registration. The following wording is recommended for the condition of registration:</w:t>
      </w:r>
    </w:p>
    <w:p w14:paraId="1EAE5796" w14:textId="4419BC8F" w:rsidR="000059BE" w:rsidRPr="000059BE" w:rsidRDefault="000059BE" w:rsidP="000059BE">
      <w:pPr>
        <w:ind w:left="720"/>
        <w:rPr>
          <w:i/>
          <w:iCs/>
          <w:snapToGrid w:val="0"/>
        </w:rPr>
      </w:pPr>
      <w:r w:rsidRPr="000059BE">
        <w:rPr>
          <w:i/>
          <w:iCs/>
          <w:snapToGrid w:val="0"/>
        </w:rPr>
        <w:t xml:space="preserve">Lucentis (ranibizumab) is to be included in the Black Triangle Scheme. The PI and CMI for Lucentis must include the black triangle symbol and mandatory </w:t>
      </w:r>
      <w:r w:rsidRPr="000059BE">
        <w:rPr>
          <w:i/>
          <w:iCs/>
          <w:snapToGrid w:val="0"/>
        </w:rPr>
        <w:lastRenderedPageBreak/>
        <w:t>accompanying text for five years, which starts from the date the new indication is registered.</w:t>
      </w:r>
    </w:p>
    <w:p w14:paraId="3025D2A1" w14:textId="77777777" w:rsidR="008E7846" w:rsidRDefault="00AA0ED0" w:rsidP="008E7846">
      <w:pPr>
        <w:pStyle w:val="Heading3"/>
      </w:pPr>
      <w:bookmarkStart w:id="66" w:name="_Toc131065563"/>
      <w:r>
        <w:t>Risk-benefit a</w:t>
      </w:r>
      <w:r w:rsidR="008E7846">
        <w:t>nalysis</w:t>
      </w:r>
      <w:bookmarkEnd w:id="61"/>
      <w:bookmarkEnd w:id="62"/>
      <w:bookmarkEnd w:id="66"/>
    </w:p>
    <w:p w14:paraId="11D63EEB" w14:textId="73EF5D39" w:rsidR="00C7676A" w:rsidRDefault="00C7676A" w:rsidP="00C7676A">
      <w:r>
        <w:t>In 201</w:t>
      </w:r>
      <w:r w:rsidR="00C551BE">
        <w:t>8</w:t>
      </w:r>
      <w:r>
        <w:t xml:space="preserve">, the sponsor made a similar submission to extend the indications of Lucentis (ranibizumab) to allow </w:t>
      </w:r>
      <w:r w:rsidRPr="005004A3">
        <w:rPr>
          <w:i/>
        </w:rPr>
        <w:t>for use in preterm infants for the treatment of ROP</w:t>
      </w:r>
      <w:r>
        <w:t>.</w:t>
      </w:r>
      <w:r w:rsidR="00C551BE" w:rsidRPr="00C551BE">
        <w:rPr>
          <w:vertAlign w:val="superscript"/>
        </w:rPr>
        <w:t xml:space="preserve"> </w:t>
      </w:r>
      <w:r w:rsidR="00C551BE" w:rsidRPr="00385989">
        <w:rPr>
          <w:vertAlign w:val="superscript"/>
        </w:rPr>
        <w:fldChar w:fldCharType="begin"/>
      </w:r>
      <w:r w:rsidR="00C551BE" w:rsidRPr="00385989">
        <w:rPr>
          <w:vertAlign w:val="superscript"/>
        </w:rPr>
        <w:instrText xml:space="preserve"> NOTEREF _Ref130543014 \h </w:instrText>
      </w:r>
      <w:r w:rsidR="00C551BE">
        <w:rPr>
          <w:vertAlign w:val="superscript"/>
        </w:rPr>
        <w:instrText xml:space="preserve"> \* MERGEFORMAT </w:instrText>
      </w:r>
      <w:r w:rsidR="00C551BE" w:rsidRPr="00385989">
        <w:rPr>
          <w:vertAlign w:val="superscript"/>
        </w:rPr>
      </w:r>
      <w:r w:rsidR="00C551BE" w:rsidRPr="00385989">
        <w:rPr>
          <w:vertAlign w:val="superscript"/>
        </w:rPr>
        <w:fldChar w:fldCharType="separate"/>
      </w:r>
      <w:r w:rsidR="008C54AF">
        <w:rPr>
          <w:vertAlign w:val="superscript"/>
        </w:rPr>
        <w:t>9</w:t>
      </w:r>
      <w:r w:rsidR="00C551BE" w:rsidRPr="00385989">
        <w:rPr>
          <w:vertAlign w:val="superscript"/>
        </w:rPr>
        <w:fldChar w:fldCharType="end"/>
      </w:r>
      <w:r>
        <w:t xml:space="preserve"> This submission was withdrawn by the sponsor </w:t>
      </w:r>
      <w:r w:rsidR="00C551BE">
        <w:t>in January 2020 prior to</w:t>
      </w:r>
      <w:r>
        <w:t xml:space="preserve"> the</w:t>
      </w:r>
      <w:r w:rsidR="00C551BE">
        <w:t xml:space="preserve"> TGA </w:t>
      </w:r>
      <w:r w:rsidR="000874E4">
        <w:t>making</w:t>
      </w:r>
      <w:r w:rsidR="00C551BE">
        <w:t xml:space="preserve"> a regulatory decision regarding approval.</w:t>
      </w:r>
    </w:p>
    <w:p w14:paraId="71C64E19" w14:textId="2F45D57D" w:rsidR="00EC0C00" w:rsidRDefault="00EC0C00" w:rsidP="00EC0C00">
      <w:r>
        <w:t xml:space="preserve">For the previous submission, </w:t>
      </w:r>
      <w:r w:rsidR="008C54AF">
        <w:t>the</w:t>
      </w:r>
      <w:r w:rsidR="000874E4">
        <w:t xml:space="preserve"> TGA’s </w:t>
      </w:r>
      <w:r>
        <w:t>clinical evaluation, Delegate’s consideration</w:t>
      </w:r>
      <w:r w:rsidR="000874E4">
        <w:t>s</w:t>
      </w:r>
      <w:r>
        <w:t xml:space="preserve">, and </w:t>
      </w:r>
      <w:r w:rsidR="008C54AF">
        <w:t xml:space="preserve">the </w:t>
      </w:r>
      <w:r>
        <w:t>Advisory Committee o</w:t>
      </w:r>
      <w:r w:rsidR="008C54AF">
        <w:t>n</w:t>
      </w:r>
      <w:r>
        <w:t xml:space="preserve"> Medicines (ACM) did not recommend approval.</w:t>
      </w:r>
    </w:p>
    <w:p w14:paraId="5E771815" w14:textId="67D655E1" w:rsidR="00EC0C00" w:rsidRDefault="00EC0C00" w:rsidP="00EC0C00">
      <w:r>
        <w:t xml:space="preserve">The previous submission was based on data from a single pivotal </w:t>
      </w:r>
      <w:r w:rsidR="00B1395F">
        <w:t>Study H2301</w:t>
      </w:r>
      <w:r w:rsidRPr="00561C00">
        <w:t xml:space="preserve"> (</w:t>
      </w:r>
      <w:r>
        <w:t xml:space="preserve">the </w:t>
      </w:r>
      <w:r w:rsidRPr="00561C00">
        <w:t>RAINBOW</w:t>
      </w:r>
      <w:r>
        <w:t xml:space="preserve"> trial</w:t>
      </w:r>
      <w:r w:rsidRPr="00561C00">
        <w:t xml:space="preserve">) and early results from the </w:t>
      </w:r>
      <w:r w:rsidR="00B1395F">
        <w:t>Study H2301</w:t>
      </w:r>
      <w:r w:rsidRPr="00561C00">
        <w:t>E1 (</w:t>
      </w:r>
      <w:r>
        <w:t xml:space="preserve">the </w:t>
      </w:r>
      <w:r w:rsidRPr="00561C00">
        <w:t>RAINBOW extension</w:t>
      </w:r>
      <w:r>
        <w:t xml:space="preserve"> trial</w:t>
      </w:r>
      <w:r w:rsidRPr="00561C00">
        <w:t>).</w:t>
      </w:r>
    </w:p>
    <w:p w14:paraId="6FC7494E" w14:textId="44446585" w:rsidR="008C54AF" w:rsidRDefault="008C54AF" w:rsidP="005004A3">
      <w:pPr>
        <w:pStyle w:val="ListBullet"/>
        <w:numPr>
          <w:ilvl w:val="0"/>
          <w:numId w:val="0"/>
        </w:numPr>
      </w:pPr>
      <w:r>
        <w:t xml:space="preserve">In this submission, a new, second pre-defined </w:t>
      </w:r>
      <w:proofErr w:type="gramStart"/>
      <w:r>
        <w:t>2 year</w:t>
      </w:r>
      <w:proofErr w:type="gramEnd"/>
      <w:r>
        <w:t xml:space="preserve"> safety data interim analysis (IA) is provided for the RAINBOW extension trial.</w:t>
      </w:r>
    </w:p>
    <w:p w14:paraId="64A3B334" w14:textId="77777777" w:rsidR="00EC0C00" w:rsidRDefault="00EC0C00" w:rsidP="00EC0C00">
      <w:pPr>
        <w:pStyle w:val="Heading4"/>
      </w:pPr>
      <w:r>
        <w:t>Delegate’s considerations</w:t>
      </w:r>
    </w:p>
    <w:p w14:paraId="5444526D" w14:textId="6EACAF03" w:rsidR="00B04905" w:rsidRPr="00D63D82" w:rsidRDefault="00B04905" w:rsidP="00B04905">
      <w:bookmarkStart w:id="67" w:name="_Toc98931933"/>
      <w:r>
        <w:t xml:space="preserve">The Delegate for the current submission has listed the </w:t>
      </w:r>
      <w:r w:rsidR="008C54AF">
        <w:t xml:space="preserve">previous concerns from the previous (and </w:t>
      </w:r>
      <w:r>
        <w:t>withdrawn</w:t>
      </w:r>
      <w:r w:rsidR="008C54AF">
        <w:t>)</w:t>
      </w:r>
      <w:r>
        <w:t xml:space="preserve"> submission</w:t>
      </w:r>
      <w:r w:rsidR="008C54AF">
        <w:t>;</w:t>
      </w:r>
      <w:r w:rsidR="008C54AF" w:rsidRPr="005004A3">
        <w:rPr>
          <w:vertAlign w:val="superscript"/>
        </w:rPr>
        <w:fldChar w:fldCharType="begin"/>
      </w:r>
      <w:r w:rsidR="008C54AF" w:rsidRPr="005004A3">
        <w:rPr>
          <w:vertAlign w:val="superscript"/>
        </w:rPr>
        <w:instrText xml:space="preserve"> NOTEREF _Ref135040465 \h </w:instrText>
      </w:r>
      <w:r w:rsidR="008C54AF">
        <w:rPr>
          <w:vertAlign w:val="superscript"/>
        </w:rPr>
        <w:instrText xml:space="preserve"> \* MERGEFORMAT </w:instrText>
      </w:r>
      <w:r w:rsidR="008C54AF" w:rsidRPr="005004A3">
        <w:rPr>
          <w:vertAlign w:val="superscript"/>
        </w:rPr>
      </w:r>
      <w:r w:rsidR="008C54AF" w:rsidRPr="005004A3">
        <w:rPr>
          <w:vertAlign w:val="superscript"/>
        </w:rPr>
        <w:fldChar w:fldCharType="separate"/>
      </w:r>
      <w:r w:rsidR="008C54AF" w:rsidRPr="005004A3">
        <w:rPr>
          <w:vertAlign w:val="superscript"/>
        </w:rPr>
        <w:t>8</w:t>
      </w:r>
      <w:r w:rsidR="008C54AF" w:rsidRPr="005004A3">
        <w:rPr>
          <w:vertAlign w:val="superscript"/>
        </w:rPr>
        <w:fldChar w:fldCharType="end"/>
      </w:r>
      <w:r>
        <w:t xml:space="preserve"> so they can be considered against this newly submitted data.</w:t>
      </w:r>
    </w:p>
    <w:p w14:paraId="147529BB" w14:textId="1F30C63C" w:rsidR="000059BE" w:rsidRPr="00D63D82" w:rsidRDefault="0000135F" w:rsidP="005004A3">
      <w:pPr>
        <w:pStyle w:val="Heading5"/>
      </w:pPr>
      <w:r>
        <w:t>Outcomes of the previous submission</w:t>
      </w:r>
    </w:p>
    <w:p w14:paraId="0AF96768" w14:textId="78C51830" w:rsidR="0000135F" w:rsidRDefault="00A72539" w:rsidP="005004A3">
      <w:pPr>
        <w:pStyle w:val="Heading6"/>
      </w:pPr>
      <w:r>
        <w:t>Delegate’s conclusions on the previous submission</w:t>
      </w:r>
    </w:p>
    <w:p w14:paraId="6DC1CA63" w14:textId="7E615553" w:rsidR="0044261F" w:rsidRDefault="000059BE">
      <w:r w:rsidRPr="0070507C">
        <w:t>The Delegate</w:t>
      </w:r>
      <w:r w:rsidR="00B04905">
        <w:t xml:space="preserve"> for the past submission concluded their evaluation of that submission by stating the following:</w:t>
      </w:r>
    </w:p>
    <w:p w14:paraId="199AD3B5" w14:textId="0EB7754C" w:rsidR="000059BE" w:rsidRDefault="00C9389D" w:rsidP="005004A3">
      <w:pPr>
        <w:ind w:left="720"/>
      </w:pPr>
      <w:r w:rsidRPr="0070507C">
        <w:t>‘</w:t>
      </w:r>
      <w:proofErr w:type="gramStart"/>
      <w:r w:rsidR="000059BE" w:rsidRPr="0070507C">
        <w:t>at</w:t>
      </w:r>
      <w:proofErr w:type="gramEnd"/>
      <w:r w:rsidR="000059BE" w:rsidRPr="0070507C">
        <w:t xml:space="preserve"> this stage, it is uncertain whether the efficacy benefits for intravitreal ranibizumab outweigh the lack of </w:t>
      </w:r>
      <w:r w:rsidR="00521468">
        <w:t>long-term</w:t>
      </w:r>
      <w:r w:rsidR="000059BE" w:rsidRPr="0070507C">
        <w:t xml:space="preserve"> safety data and potential risk of neurodevelopmental delay. At this stage </w:t>
      </w:r>
      <w:r w:rsidR="00B04905">
        <w:t>the Delegate</w:t>
      </w:r>
      <w:r w:rsidR="000059BE" w:rsidRPr="0070507C">
        <w:t xml:space="preserve"> </w:t>
      </w:r>
      <w:r w:rsidR="00B04905">
        <w:t xml:space="preserve">is </w:t>
      </w:r>
      <w:r w:rsidR="000059BE" w:rsidRPr="0070507C">
        <w:t xml:space="preserve">of the opinion that the </w:t>
      </w:r>
      <w:r w:rsidR="00B04905">
        <w:t>submission</w:t>
      </w:r>
      <w:r w:rsidR="00B04905" w:rsidRPr="0070507C">
        <w:t xml:space="preserve"> </w:t>
      </w:r>
      <w:r w:rsidR="000059BE" w:rsidRPr="0070507C">
        <w:t xml:space="preserve">should be rejected until the </w:t>
      </w:r>
      <w:r w:rsidR="00521468" w:rsidRPr="0070507C">
        <w:t>long-term</w:t>
      </w:r>
      <w:r w:rsidR="000059BE" w:rsidRPr="0070507C">
        <w:t xml:space="preserve"> outcomes of visual acuity, visual function and developmental outcomes are known.</w:t>
      </w:r>
      <w:r w:rsidRPr="0070507C">
        <w:t>’</w:t>
      </w:r>
    </w:p>
    <w:p w14:paraId="13C01C90" w14:textId="6187192C" w:rsidR="0000135F" w:rsidRPr="0070507C" w:rsidRDefault="0000135F" w:rsidP="005004A3">
      <w:pPr>
        <w:pStyle w:val="Heading6"/>
      </w:pPr>
      <w:r>
        <w:t>Advisory Committee on Medicines advice</w:t>
      </w:r>
    </w:p>
    <w:p w14:paraId="312461DF" w14:textId="01A6755D" w:rsidR="0044261F" w:rsidRDefault="000059BE" w:rsidP="000059BE">
      <w:r w:rsidRPr="0070507C">
        <w:t xml:space="preserve">The </w:t>
      </w:r>
      <w:r w:rsidR="000874E4">
        <w:t xml:space="preserve">previous </w:t>
      </w:r>
      <w:r w:rsidRPr="0070507C">
        <w:t>ACM Ratified Resolution stated:</w:t>
      </w:r>
    </w:p>
    <w:p w14:paraId="266E19DC" w14:textId="00DE0CB0" w:rsidR="00544A38" w:rsidRDefault="00C9389D" w:rsidP="005004A3">
      <w:pPr>
        <w:ind w:left="720"/>
      </w:pPr>
      <w:r w:rsidRPr="0070507C">
        <w:t>‘</w:t>
      </w:r>
      <w:r w:rsidR="000059BE" w:rsidRPr="0070507C">
        <w:t>L</w:t>
      </w:r>
      <w:r w:rsidR="0070507C">
        <w:t>ucentis</w:t>
      </w:r>
      <w:r w:rsidR="000059BE" w:rsidRPr="0070507C">
        <w:t xml:space="preserve"> had an overall negative benefit-risk profile for the proposed extension of indications, as the evidence submitted did not satisfactorily establish the safety of the product.</w:t>
      </w:r>
    </w:p>
    <w:p w14:paraId="63B8883D" w14:textId="756A12FE" w:rsidR="000059BE" w:rsidRPr="0070507C" w:rsidRDefault="000059BE" w:rsidP="005004A3">
      <w:pPr>
        <w:ind w:left="720"/>
      </w:pPr>
      <w:r w:rsidRPr="0070507C">
        <w:t xml:space="preserve">The ACM was of the view that the </w:t>
      </w:r>
      <w:r w:rsidR="00521468" w:rsidRPr="0070507C">
        <w:t>long-term</w:t>
      </w:r>
      <w:r w:rsidRPr="0070507C">
        <w:t xml:space="preserve"> safety of the product is unclear; other similar products are used/available for this purpose; and that infants with ROP will not be disadvantaged if the current application is not approved.</w:t>
      </w:r>
      <w:r w:rsidR="00C9389D" w:rsidRPr="0070507C">
        <w:t>’</w:t>
      </w:r>
    </w:p>
    <w:p w14:paraId="394F82EC" w14:textId="12513EAB" w:rsidR="000059BE" w:rsidRPr="0070507C" w:rsidRDefault="000059BE" w:rsidP="000059BE">
      <w:r w:rsidRPr="0070507C">
        <w:t xml:space="preserve">The ACM </w:t>
      </w:r>
      <w:r w:rsidR="000874E4">
        <w:t xml:space="preserve">previously </w:t>
      </w:r>
      <w:r w:rsidRPr="0070507C">
        <w:t>raised issues concerning the following:</w:t>
      </w:r>
    </w:p>
    <w:p w14:paraId="3A5E6DC1" w14:textId="3B9047B9" w:rsidR="000059BE" w:rsidRPr="0070507C" w:rsidRDefault="000059BE" w:rsidP="00BF34AC">
      <w:pPr>
        <w:pStyle w:val="ListBullet"/>
      </w:pPr>
      <w:r w:rsidRPr="0070507C">
        <w:t>Proposed indication – considered too broad</w:t>
      </w:r>
    </w:p>
    <w:p w14:paraId="53A54CAB" w14:textId="41DD722F" w:rsidR="000059BE" w:rsidRPr="0070507C" w:rsidRDefault="000059BE" w:rsidP="00BF34AC">
      <w:pPr>
        <w:pStyle w:val="ListBullet"/>
      </w:pPr>
      <w:r w:rsidRPr="0070507C">
        <w:t>Long term visual outcomes</w:t>
      </w:r>
    </w:p>
    <w:p w14:paraId="077B27DF" w14:textId="33CD42EF" w:rsidR="000059BE" w:rsidRPr="0070507C" w:rsidRDefault="000059BE" w:rsidP="00BF34AC">
      <w:pPr>
        <w:pStyle w:val="ListBullet"/>
      </w:pPr>
      <w:r w:rsidRPr="0070507C">
        <w:t xml:space="preserve">Lack of </w:t>
      </w:r>
      <w:r w:rsidR="00521468">
        <w:t>long-term</w:t>
      </w:r>
      <w:r w:rsidRPr="0070507C">
        <w:t xml:space="preserve"> safety data</w:t>
      </w:r>
    </w:p>
    <w:p w14:paraId="1AB55122" w14:textId="40F7E734" w:rsidR="000059BE" w:rsidRPr="0070507C" w:rsidRDefault="000059BE" w:rsidP="00BF34AC">
      <w:pPr>
        <w:pStyle w:val="ListBullet"/>
      </w:pPr>
      <w:r w:rsidRPr="0070507C">
        <w:t>Increased rate of ROP recurrence and need for monitoring</w:t>
      </w:r>
    </w:p>
    <w:p w14:paraId="2C661F62" w14:textId="06523B80" w:rsidR="000059BE" w:rsidRPr="0070507C" w:rsidRDefault="000059BE" w:rsidP="00BF34AC">
      <w:pPr>
        <w:pStyle w:val="ListBullet"/>
      </w:pPr>
      <w:r w:rsidRPr="0070507C">
        <w:t xml:space="preserve">Need for specialist use restriction and education for </w:t>
      </w:r>
      <w:r w:rsidR="002E3BA2">
        <w:t>longer term</w:t>
      </w:r>
      <w:r w:rsidRPr="0070507C">
        <w:t xml:space="preserve"> monitoring</w:t>
      </w:r>
    </w:p>
    <w:p w14:paraId="2B91A237" w14:textId="079C2EC9" w:rsidR="008A7B71" w:rsidRDefault="008A7B71" w:rsidP="005004A3">
      <w:pPr>
        <w:pStyle w:val="Heading6"/>
      </w:pPr>
      <w:r w:rsidRPr="008A7B71">
        <w:lastRenderedPageBreak/>
        <w:t>Efficacy</w:t>
      </w:r>
    </w:p>
    <w:p w14:paraId="5E555A39" w14:textId="020BA7AB" w:rsidR="008A7B71" w:rsidRDefault="008A7B71" w:rsidP="008A7B71">
      <w:r>
        <w:t xml:space="preserve">There are many practical difficulties in performing clinical studies in preterm infants. </w:t>
      </w:r>
      <w:r w:rsidR="00544A38">
        <w:t xml:space="preserve">Studies H2301/E1 (the RAINBOW trial and its extension trial) </w:t>
      </w:r>
      <w:r>
        <w:t>were reasonably well designed. The primary endpoint set a rather high bar, as infants were required to have no ROP or adverse structural outcomes.</w:t>
      </w:r>
    </w:p>
    <w:p w14:paraId="0B7323F6" w14:textId="5B1C85E5" w:rsidR="008A7B71" w:rsidRDefault="008A7B71" w:rsidP="008A7B71">
      <w:r>
        <w:t xml:space="preserve">Baseline demographics and disease characteristics of patients in </w:t>
      </w:r>
      <w:r w:rsidR="003047C5">
        <w:t xml:space="preserve">the </w:t>
      </w:r>
      <w:r>
        <w:t xml:space="preserve">RAINBOW </w:t>
      </w:r>
      <w:r w:rsidR="003047C5">
        <w:t xml:space="preserve">trial </w:t>
      </w:r>
      <w:r>
        <w:t xml:space="preserve">were generally comparable across the treatment groups, </w:t>
      </w:r>
      <w:proofErr w:type="gramStart"/>
      <w:r>
        <w:t>with the exception of</w:t>
      </w:r>
      <w:proofErr w:type="gramEnd"/>
      <w:r>
        <w:t xml:space="preserve"> birth weight. The impact of the imbalance in birth weight across the </w:t>
      </w:r>
      <w:r w:rsidR="0070507C">
        <w:t>three</w:t>
      </w:r>
      <w:r>
        <w:t xml:space="preserve"> treatment groups at </w:t>
      </w:r>
      <w:r w:rsidR="007E6D6B">
        <w:t>B</w:t>
      </w:r>
      <w:r>
        <w:t>aseline (lower in the 0.2 mg group) is uncertain.</w:t>
      </w:r>
    </w:p>
    <w:p w14:paraId="5B375361" w14:textId="77777777" w:rsidR="008A7B71" w:rsidRDefault="008A7B71" w:rsidP="008A7B71">
      <w:pPr>
        <w:pStyle w:val="Heading6"/>
      </w:pPr>
      <w:r>
        <w:t>Endpoints, analysis, and clinical relevance</w:t>
      </w:r>
    </w:p>
    <w:p w14:paraId="7486A739" w14:textId="1CAC891D" w:rsidR="008A7B71" w:rsidRDefault="008A7B71" w:rsidP="008A7B71">
      <w:r>
        <w:t>At Week 24, the proportions of patients achieving treatment success were 80.0%, 75.0% and 66.2%, for the ranibizumab 0.2 mg, ranibizumab 0.1 mg and laser therapy groups, respectivel</w:t>
      </w:r>
      <w:r w:rsidRPr="003D3B50">
        <w:t>y (</w:t>
      </w:r>
      <w:r w:rsidR="00C4133F">
        <w:t xml:space="preserve">see </w:t>
      </w:r>
      <w:r w:rsidR="0047273B">
        <w:fldChar w:fldCharType="begin"/>
      </w:r>
      <w:r w:rsidR="0047273B">
        <w:instrText xml:space="preserve"> REF _Ref121474895 \h </w:instrText>
      </w:r>
      <w:r w:rsidR="0047273B">
        <w:fldChar w:fldCharType="separate"/>
      </w:r>
      <w:r w:rsidR="00C4133F">
        <w:t xml:space="preserve">Table </w:t>
      </w:r>
      <w:r w:rsidR="00C4133F">
        <w:rPr>
          <w:noProof/>
        </w:rPr>
        <w:t>6</w:t>
      </w:r>
      <w:r w:rsidR="0047273B">
        <w:fldChar w:fldCharType="end"/>
      </w:r>
      <w:r w:rsidR="00C4133F">
        <w:t>, above</w:t>
      </w:r>
      <w:r w:rsidRPr="003D3B50">
        <w:t>). The</w:t>
      </w:r>
      <w:r>
        <w:t xml:space="preserve"> primary endpoint differences were not statistically significant.</w:t>
      </w:r>
    </w:p>
    <w:p w14:paraId="6CCA20A1" w14:textId="68601CCC" w:rsidR="008A7B71" w:rsidRDefault="008A7B71" w:rsidP="008A7B71">
      <w:r>
        <w:t xml:space="preserve">However, ranibizumab had numerically higher treatment success over laser </w:t>
      </w:r>
      <w:r w:rsidR="00521468">
        <w:t>(odds ratio</w:t>
      </w:r>
      <w:r>
        <w:t xml:space="preserve"> of 2.19). Expressing the difference between treatment groups with an </w:t>
      </w:r>
      <w:r w:rsidR="00C4133F">
        <w:t>odds ratio</w:t>
      </w:r>
      <w:r>
        <w:t xml:space="preserve"> is rather questionable. Using ‘risk difference’ or ‘risk ratio’ would have been more appropriate.</w:t>
      </w:r>
    </w:p>
    <w:p w14:paraId="2152A21F" w14:textId="0AA73D62" w:rsidR="008A7B71" w:rsidRDefault="008A7B71" w:rsidP="008A7B71">
      <w:r>
        <w:t>Although the study did not demonstrate statistical significance for the primary endpoint, i</w:t>
      </w:r>
      <w:r w:rsidR="00C05CF3">
        <w:t>t</w:t>
      </w:r>
      <w:r>
        <w:t xml:space="preserve"> i</w:t>
      </w:r>
      <w:r w:rsidR="00C05CF3">
        <w:t>s</w:t>
      </w:r>
      <w:r>
        <w:t xml:space="preserve"> acknowledged that preterm infants are a vulnerable study population and the statistical challenges in paediatric studies. Further, the composite endpoint ‘treatment </w:t>
      </w:r>
      <w:proofErr w:type="gramStart"/>
      <w:r>
        <w:t>success’</w:t>
      </w:r>
      <w:proofErr w:type="gramEnd"/>
      <w:r>
        <w:t xml:space="preserve"> was rather stringent, with death, treatment switch, any active ROP or unfavourable structural outcomes all considered as treatment failure.</w:t>
      </w:r>
    </w:p>
    <w:p w14:paraId="7A224CCF" w14:textId="6B1EEB3B" w:rsidR="008A7B71" w:rsidRDefault="008A7B71" w:rsidP="008A7B71">
      <w:r>
        <w:t xml:space="preserve">However, the structural outcomes are not necessarily correlated with visual function, but likely a reasonable surrogate endpoint for neonates. Visual function itself was measured at the </w:t>
      </w:r>
      <w:r w:rsidR="00521468">
        <w:t>2-year</w:t>
      </w:r>
      <w:r>
        <w:t xml:space="preserve"> visit (</w:t>
      </w:r>
      <w:r w:rsidR="00DB62A4">
        <w:t xml:space="preserve">see </w:t>
      </w:r>
      <w:r w:rsidR="0047273B">
        <w:fldChar w:fldCharType="begin"/>
      </w:r>
      <w:r w:rsidR="0047273B">
        <w:instrText xml:space="preserve"> REF _Ref121475314 \h </w:instrText>
      </w:r>
      <w:r w:rsidR="0047273B">
        <w:fldChar w:fldCharType="separate"/>
      </w:r>
      <w:r w:rsidR="00B12C8C">
        <w:t xml:space="preserve">Table </w:t>
      </w:r>
      <w:r w:rsidR="00B12C8C">
        <w:rPr>
          <w:noProof/>
        </w:rPr>
        <w:t>12</w:t>
      </w:r>
      <w:r w:rsidR="0047273B">
        <w:fldChar w:fldCharType="end"/>
      </w:r>
      <w:r w:rsidR="00DB62A4">
        <w:t>, above</w:t>
      </w:r>
      <w:r>
        <w:t>), but only for a subgroup, unmasked, and using a limited range of tests.</w:t>
      </w:r>
    </w:p>
    <w:p w14:paraId="5E8FDF8D" w14:textId="77777777" w:rsidR="00AB0307" w:rsidRDefault="008A7B71" w:rsidP="008A7B71">
      <w:r>
        <w:t xml:space="preserve">Overall, the results </w:t>
      </w:r>
      <w:proofErr w:type="gramStart"/>
      <w:r>
        <w:t>are considered to be</w:t>
      </w:r>
      <w:proofErr w:type="gramEnd"/>
      <w:r>
        <w:t xml:space="preserve"> clinically relevant. Sensitivity analyses were generally supportive of the primary analysis</w:t>
      </w:r>
      <w:r w:rsidR="00AB0307">
        <w:t>.</w:t>
      </w:r>
    </w:p>
    <w:p w14:paraId="6DDEDE5E" w14:textId="20184806" w:rsidR="008A7B71" w:rsidRDefault="008A7B71" w:rsidP="008A7B71">
      <w:pPr>
        <w:pStyle w:val="Heading6"/>
      </w:pPr>
      <w:r>
        <w:t>Main limitations of the clinical trial program</w:t>
      </w:r>
    </w:p>
    <w:p w14:paraId="1A05A799" w14:textId="3FFBBE78" w:rsidR="008A7B71" w:rsidRDefault="008A7B71" w:rsidP="008A7B71">
      <w:r>
        <w:t>There was only one pivotal efficacy and safety study (</w:t>
      </w:r>
      <w:r w:rsidR="00B1395F">
        <w:t>Study H2301</w:t>
      </w:r>
      <w:r w:rsidR="00DB62A4">
        <w:t xml:space="preserve">, or the </w:t>
      </w:r>
      <w:r>
        <w:t>RAINBOW</w:t>
      </w:r>
      <w:r w:rsidR="003047C5">
        <w:t xml:space="preserve"> trial</w:t>
      </w:r>
      <w:r>
        <w:t xml:space="preserve">), and a second pivotal study may have provided additional data that would further support registration for the proposed indication. The extension part of the pivotal RAINBOW </w:t>
      </w:r>
      <w:r w:rsidR="003047C5">
        <w:t xml:space="preserve">trial </w:t>
      </w:r>
      <w:r>
        <w:t>is still ongoing (</w:t>
      </w:r>
      <w:r w:rsidR="00B1395F">
        <w:t>Study H2301</w:t>
      </w:r>
      <w:r w:rsidR="00DB62A4">
        <w:t>E1 (RAINBOW extension trial).</w:t>
      </w:r>
    </w:p>
    <w:p w14:paraId="65FB5E57" w14:textId="2074E113" w:rsidR="008A7B71" w:rsidRDefault="008A7B71" w:rsidP="008A7B71">
      <w:r>
        <w:t xml:space="preserve">There was an imbalance in birth weight across the </w:t>
      </w:r>
      <w:r w:rsidR="00052E86">
        <w:t>three</w:t>
      </w:r>
      <w:r>
        <w:t xml:space="preserve"> treatment groups at </w:t>
      </w:r>
      <w:r w:rsidR="002E3BA2">
        <w:t>B</w:t>
      </w:r>
      <w:r>
        <w:t xml:space="preserve">aseline with uncertain impact (lower </w:t>
      </w:r>
      <w:r w:rsidR="00DB62A4">
        <w:t xml:space="preserve">birth weight in </w:t>
      </w:r>
      <w:r>
        <w:t>in the</w:t>
      </w:r>
      <w:r w:rsidR="00DB62A4">
        <w:t xml:space="preserve"> ranibizumab</w:t>
      </w:r>
      <w:r>
        <w:t xml:space="preserve"> 0.2 mg group).</w:t>
      </w:r>
    </w:p>
    <w:p w14:paraId="775F0D90" w14:textId="5216F66D" w:rsidR="008A7B71" w:rsidRDefault="008A7B71" w:rsidP="008A7B71">
      <w:r>
        <w:t xml:space="preserve">There are only rather limited data for </w:t>
      </w:r>
      <w:r w:rsidR="00194C3D">
        <w:t xml:space="preserve">Zone I </w:t>
      </w:r>
      <w:r>
        <w:t>(</w:t>
      </w:r>
      <w:r w:rsidR="00194C3D">
        <w:t>Stage 1</w:t>
      </w:r>
      <w:r>
        <w:t>+, 2+, or 3) disease.</w:t>
      </w:r>
    </w:p>
    <w:p w14:paraId="1A1D4BE9" w14:textId="77777777" w:rsidR="006C7293" w:rsidRPr="006C7293" w:rsidRDefault="008A7B71" w:rsidP="008A7B71">
      <w:pPr>
        <w:rPr>
          <w:i/>
          <w:iCs/>
        </w:rPr>
      </w:pPr>
      <w:r w:rsidRPr="006C7293">
        <w:rPr>
          <w:i/>
          <w:iCs/>
        </w:rPr>
        <w:t>Predictors of non-response</w:t>
      </w:r>
    </w:p>
    <w:p w14:paraId="149844FA" w14:textId="3BC9CE30" w:rsidR="008A7B71" w:rsidRDefault="008A7B71" w:rsidP="008A7B71">
      <w:r>
        <w:t xml:space="preserve">There appear to be no potential predictors of non-response to ranibizumab, </w:t>
      </w:r>
      <w:r w:rsidR="00052E86">
        <w:t>that is,</w:t>
      </w:r>
      <w:r>
        <w:t xml:space="preserve"> no identifiable demographic or disease characteristics (</w:t>
      </w:r>
      <w:r w:rsidR="00052E86">
        <w:t>for example,</w:t>
      </w:r>
      <w:r>
        <w:t xml:space="preserve"> location or severity of ROP), but the study was not powered for such assessments, especially for the lower stages of </w:t>
      </w:r>
      <w:r w:rsidR="00194C3D">
        <w:t xml:space="preserve">Zone I </w:t>
      </w:r>
      <w:r>
        <w:t>disease.</w:t>
      </w:r>
    </w:p>
    <w:p w14:paraId="496C2B5D" w14:textId="37408A95" w:rsidR="006C7293" w:rsidRPr="006C7293" w:rsidRDefault="008A7B71" w:rsidP="008A7B71">
      <w:pPr>
        <w:rPr>
          <w:i/>
          <w:iCs/>
        </w:rPr>
      </w:pPr>
      <w:r w:rsidRPr="006C7293">
        <w:rPr>
          <w:i/>
          <w:iCs/>
        </w:rPr>
        <w:t xml:space="preserve">Limited </w:t>
      </w:r>
      <w:r w:rsidR="00521468" w:rsidRPr="006C7293">
        <w:rPr>
          <w:i/>
          <w:iCs/>
        </w:rPr>
        <w:t>longer-term</w:t>
      </w:r>
      <w:r w:rsidRPr="006C7293">
        <w:rPr>
          <w:i/>
          <w:iCs/>
        </w:rPr>
        <w:t xml:space="preserve"> data</w:t>
      </w:r>
    </w:p>
    <w:p w14:paraId="309AE172" w14:textId="708DED76" w:rsidR="008A7B71" w:rsidRDefault="008A7B71" w:rsidP="008A7B71">
      <w:r>
        <w:t xml:space="preserve">There are no </w:t>
      </w:r>
      <w:r w:rsidR="00DB62A4">
        <w:t>long-term</w:t>
      </w:r>
      <w:r>
        <w:t xml:space="preserve"> data (beyond </w:t>
      </w:r>
      <w:proofErr w:type="gramStart"/>
      <w:r>
        <w:t>2 year</w:t>
      </w:r>
      <w:proofErr w:type="gramEnd"/>
      <w:r>
        <w:t xml:space="preserve"> corrected age) on visual outcomes or developmental outcomes.</w:t>
      </w:r>
    </w:p>
    <w:p w14:paraId="03A4DC56" w14:textId="3FFD0CD8" w:rsidR="006C7293" w:rsidRPr="006C7293" w:rsidRDefault="008A7B71" w:rsidP="003A24C0">
      <w:pPr>
        <w:keepNext/>
        <w:keepLines/>
        <w:rPr>
          <w:i/>
          <w:iCs/>
        </w:rPr>
      </w:pPr>
      <w:r w:rsidRPr="006C7293">
        <w:rPr>
          <w:i/>
          <w:iCs/>
        </w:rPr>
        <w:lastRenderedPageBreak/>
        <w:t xml:space="preserve">Limited </w:t>
      </w:r>
      <w:r w:rsidR="00DB62A4">
        <w:rPr>
          <w:i/>
          <w:iCs/>
        </w:rPr>
        <w:t>v</w:t>
      </w:r>
      <w:r w:rsidR="00521468">
        <w:rPr>
          <w:i/>
          <w:iCs/>
        </w:rPr>
        <w:t>isua</w:t>
      </w:r>
      <w:r w:rsidR="00521468" w:rsidRPr="00521468">
        <w:rPr>
          <w:i/>
          <w:iCs/>
        </w:rPr>
        <w:t xml:space="preserve">l </w:t>
      </w:r>
      <w:r w:rsidR="00DB62A4">
        <w:rPr>
          <w:i/>
          <w:iCs/>
        </w:rPr>
        <w:t>a</w:t>
      </w:r>
      <w:r w:rsidR="00521468" w:rsidRPr="00521468">
        <w:rPr>
          <w:i/>
          <w:iCs/>
        </w:rPr>
        <w:t>cuity</w:t>
      </w:r>
      <w:r w:rsidRPr="00521468">
        <w:rPr>
          <w:i/>
          <w:iCs/>
        </w:rPr>
        <w:t xml:space="preserve"> data</w:t>
      </w:r>
    </w:p>
    <w:p w14:paraId="40C795DA" w14:textId="4C6E7698" w:rsidR="008A7B71" w:rsidRDefault="008A7B71" w:rsidP="003A24C0">
      <w:pPr>
        <w:keepNext/>
        <w:keepLines/>
      </w:pPr>
      <w:r>
        <w:t xml:space="preserve">There were only limited </w:t>
      </w:r>
      <w:r w:rsidR="00521468">
        <w:t xml:space="preserve">visual acuity </w:t>
      </w:r>
      <w:r>
        <w:t xml:space="preserve">data (small subgroup sample size in </w:t>
      </w:r>
      <w:r w:rsidR="00B1395F">
        <w:t>Study H2301</w:t>
      </w:r>
      <w:r w:rsidR="00DB62A4">
        <w:t>E1 (RAINBOW extension trial</w:t>
      </w:r>
      <w:r>
        <w:t xml:space="preserve">) at the </w:t>
      </w:r>
      <w:r w:rsidR="00FF2EB0">
        <w:t>2</w:t>
      </w:r>
      <w:r w:rsidR="00521468">
        <w:t>-</w:t>
      </w:r>
      <w:r w:rsidR="00FF2EB0">
        <w:t>year</w:t>
      </w:r>
      <w:r>
        <w:t xml:space="preserve"> corrected age visit.</w:t>
      </w:r>
    </w:p>
    <w:p w14:paraId="43CC91F4" w14:textId="7F88A71F" w:rsidR="008A7B71" w:rsidRDefault="008A7B71" w:rsidP="008A7B71">
      <w:r>
        <w:t xml:space="preserve">The </w:t>
      </w:r>
      <w:r w:rsidR="00521468">
        <w:t>long-term</w:t>
      </w:r>
      <w:r>
        <w:t xml:space="preserve"> effect of ranibizumab on visual function however remains unknown, and it is unclear if data relating to the absence of ocular structural abnormalities correlate with </w:t>
      </w:r>
      <w:r w:rsidR="002E3BA2">
        <w:t>long term</w:t>
      </w:r>
      <w:r>
        <w:t xml:space="preserve"> visual outcomes.</w:t>
      </w:r>
    </w:p>
    <w:p w14:paraId="713AE675" w14:textId="7BA8088B" w:rsidR="00303FE8" w:rsidRPr="00303FE8" w:rsidRDefault="008A7B71" w:rsidP="008A7B71">
      <w:pPr>
        <w:rPr>
          <w:i/>
          <w:iCs/>
        </w:rPr>
      </w:pPr>
      <w:r w:rsidRPr="00303FE8">
        <w:rPr>
          <w:i/>
          <w:iCs/>
        </w:rPr>
        <w:t xml:space="preserve">Comparator issues </w:t>
      </w:r>
    </w:p>
    <w:p w14:paraId="0DBB7FF5" w14:textId="629B0C7C" w:rsidR="008A7B71" w:rsidRDefault="008A7B71" w:rsidP="008A7B71">
      <w:r>
        <w:t xml:space="preserve">Laser therapy is an appropriate comparator per se, but there have been concerns that the success rates found in </w:t>
      </w:r>
      <w:r w:rsidR="003047C5">
        <w:t xml:space="preserve">the </w:t>
      </w:r>
      <w:r>
        <w:t xml:space="preserve">RAINBOW </w:t>
      </w:r>
      <w:r w:rsidR="003047C5">
        <w:t xml:space="preserve">trial </w:t>
      </w:r>
      <w:r>
        <w:t>are inferior to those typically found in an Australian context, and that the comparison may therefore be less informative than desirable. However, even a non-active comparator for example, placebo would likely be acceptable in a clinical trial program.</w:t>
      </w:r>
    </w:p>
    <w:p w14:paraId="27618E0E" w14:textId="77777777" w:rsidR="008A7B71" w:rsidRDefault="008A7B71" w:rsidP="005004A3">
      <w:pPr>
        <w:pStyle w:val="Heading6"/>
      </w:pPr>
      <w:r>
        <w:t>Safety</w:t>
      </w:r>
    </w:p>
    <w:p w14:paraId="649389BF" w14:textId="216C6F86" w:rsidR="008A7B71" w:rsidRDefault="008A7B71" w:rsidP="008A7B71">
      <w:r>
        <w:t xml:space="preserve">Ocular </w:t>
      </w:r>
      <w:r w:rsidR="00521468">
        <w:t xml:space="preserve">adverse events </w:t>
      </w:r>
      <w:r>
        <w:t>were reported for 34.9% patients in</w:t>
      </w:r>
      <w:r w:rsidR="003047C5">
        <w:t xml:space="preserve"> the</w:t>
      </w:r>
      <w:r>
        <w:t xml:space="preserve"> RAINBOW </w:t>
      </w:r>
      <w:r w:rsidR="003047C5">
        <w:t xml:space="preserve">trial </w:t>
      </w:r>
      <w:r w:rsidR="00DB62A4">
        <w:t>(</w:t>
      </w:r>
      <w:r w:rsidR="00CD655F">
        <w:t>Study </w:t>
      </w:r>
      <w:r w:rsidR="00B1395F">
        <w:t>H2301</w:t>
      </w:r>
      <w:r w:rsidR="00CD655F">
        <w:t>)</w:t>
      </w:r>
      <w:r w:rsidR="00DB62A4">
        <w:t xml:space="preserve">; </w:t>
      </w:r>
      <w:r>
        <w:t xml:space="preserve">and 31.1% patients in the extension </w:t>
      </w:r>
      <w:r w:rsidR="003047C5">
        <w:t>trial</w:t>
      </w:r>
      <w:r>
        <w:t xml:space="preserve">. The ocular </w:t>
      </w:r>
      <w:r w:rsidR="00DB62A4">
        <w:t>adverse event</w:t>
      </w:r>
      <w:r>
        <w:t xml:space="preserve"> profile appears to be consistent with the known ocular </w:t>
      </w:r>
      <w:r w:rsidR="00DB62A4">
        <w:t xml:space="preserve">adverse event </w:t>
      </w:r>
      <w:r>
        <w:t xml:space="preserve">profile of ranibizumab in adults. The incidence of endophthalmitis was low; </w:t>
      </w:r>
      <w:r w:rsidR="00C05CF3">
        <w:t>one</w:t>
      </w:r>
      <w:r>
        <w:t xml:space="preserve"> patient in the ranibizumab 0.1 mg group during </w:t>
      </w:r>
      <w:r w:rsidR="003047C5">
        <w:t xml:space="preserve">the </w:t>
      </w:r>
      <w:r>
        <w:t>RAINBOW</w:t>
      </w:r>
      <w:r w:rsidR="003047C5">
        <w:t xml:space="preserve"> trial</w:t>
      </w:r>
      <w:r>
        <w:t>. Endophthalmitis is an important identified risk of ranibizumab and described in the</w:t>
      </w:r>
      <w:r w:rsidR="00437DAD">
        <w:t xml:space="preserve"> PI</w:t>
      </w:r>
      <w:r>
        <w:t xml:space="preserve">. The incidence of ocular </w:t>
      </w:r>
      <w:r w:rsidR="00521468">
        <w:t>serious adverse events</w:t>
      </w:r>
      <w:r>
        <w:t xml:space="preserve"> was relatively low in the core RAINBOW </w:t>
      </w:r>
      <w:r w:rsidR="003047C5">
        <w:t>trial</w:t>
      </w:r>
      <w:r>
        <w:t xml:space="preserve"> (4.1%) and RAINBOW extension </w:t>
      </w:r>
      <w:r w:rsidR="003047C5">
        <w:t>trial</w:t>
      </w:r>
      <w:r>
        <w:t xml:space="preserve"> (3.9%). There were no patients in the ranibizumab 0.2 mg group with </w:t>
      </w:r>
      <w:r w:rsidR="00DB62A4">
        <w:t xml:space="preserve">serious </w:t>
      </w:r>
      <w:r>
        <w:t xml:space="preserve">ocular </w:t>
      </w:r>
      <w:r w:rsidR="00DB62A4">
        <w:t xml:space="preserve">adverse events </w:t>
      </w:r>
      <w:r>
        <w:t>in the extension study.</w:t>
      </w:r>
    </w:p>
    <w:p w14:paraId="3DD8638F" w14:textId="5CF5551C" w:rsidR="008A7B71" w:rsidRDefault="008A7B71" w:rsidP="008A7B71">
      <w:r>
        <w:t xml:space="preserve">Non-ocular </w:t>
      </w:r>
      <w:r w:rsidR="00DB62A4">
        <w:t xml:space="preserve">adverse events </w:t>
      </w:r>
      <w:r>
        <w:t>were reported for 81.2% patients in RAINBOW</w:t>
      </w:r>
      <w:r w:rsidR="003047C5">
        <w:t xml:space="preserve"> trial</w:t>
      </w:r>
      <w:r>
        <w:t xml:space="preserve"> and 75.0% patients in RAINBOW extension</w:t>
      </w:r>
      <w:r w:rsidR="003047C5">
        <w:t xml:space="preserve"> trial</w:t>
      </w:r>
      <w:r>
        <w:t xml:space="preserve">. Non-ocular </w:t>
      </w:r>
      <w:r w:rsidR="00DB62A4">
        <w:t xml:space="preserve">adverse events </w:t>
      </w:r>
      <w:r>
        <w:t xml:space="preserve">were </w:t>
      </w:r>
      <w:proofErr w:type="gramStart"/>
      <w:r>
        <w:t>most commonly reported</w:t>
      </w:r>
      <w:proofErr w:type="gramEnd"/>
      <w:r>
        <w:t xml:space="preserve"> in the </w:t>
      </w:r>
      <w:r w:rsidR="00437DAD">
        <w:t>i</w:t>
      </w:r>
      <w:r>
        <w:t xml:space="preserve">nfection and infections disorders and </w:t>
      </w:r>
      <w:r w:rsidR="00437DAD">
        <w:t>r</w:t>
      </w:r>
      <w:r>
        <w:t xml:space="preserve">espiratory, thoracic and mediastinal disorders </w:t>
      </w:r>
      <w:r w:rsidR="00DB62A4">
        <w:t xml:space="preserve">System Organ Classes </w:t>
      </w:r>
      <w:r>
        <w:t>and are generally consistent with co</w:t>
      </w:r>
      <w:r w:rsidR="00DB62A4">
        <w:noBreakHyphen/>
      </w:r>
      <w:r>
        <w:t>morbidities of a premature infant patient population.</w:t>
      </w:r>
    </w:p>
    <w:p w14:paraId="25D9C5DD" w14:textId="297F367E" w:rsidR="008A7B71" w:rsidRDefault="008A7B71" w:rsidP="00C66DB5">
      <w:pPr>
        <w:pStyle w:val="Heading5"/>
      </w:pPr>
      <w:r>
        <w:t>Issues for consideration</w:t>
      </w:r>
      <w:r w:rsidR="008F7403">
        <w:t xml:space="preserve"> for the current submission</w:t>
      </w:r>
    </w:p>
    <w:p w14:paraId="3B1BF75F" w14:textId="31858003" w:rsidR="00B1395F" w:rsidRPr="006B7211" w:rsidRDefault="008F7403" w:rsidP="005004A3">
      <w:r>
        <w:t>Further relevant issues (including safety issues) are discussed below.</w:t>
      </w:r>
    </w:p>
    <w:p w14:paraId="2E886742" w14:textId="4F94BF70" w:rsidR="008A7B71" w:rsidRDefault="008A7B71" w:rsidP="00C66DB5">
      <w:pPr>
        <w:pStyle w:val="Heading6"/>
      </w:pPr>
      <w:r>
        <w:t>Long</w:t>
      </w:r>
      <w:r w:rsidR="00521468">
        <w:t>-</w:t>
      </w:r>
      <w:r>
        <w:t>term visual outcomes</w:t>
      </w:r>
    </w:p>
    <w:p w14:paraId="66D1E06B" w14:textId="265ECE85" w:rsidR="008A7B71" w:rsidRDefault="00C05CF3" w:rsidP="008A7B71">
      <w:r>
        <w:t xml:space="preserve">For the previous </w:t>
      </w:r>
      <w:proofErr w:type="gramStart"/>
      <w:r>
        <w:t>application</w:t>
      </w:r>
      <w:r w:rsidR="00DB62A4">
        <w:t>;</w:t>
      </w:r>
      <w:proofErr w:type="gramEnd"/>
      <w:r w:rsidR="00DB62A4" w:rsidRPr="005004A3">
        <w:rPr>
          <w:vertAlign w:val="superscript"/>
        </w:rPr>
        <w:fldChar w:fldCharType="begin"/>
      </w:r>
      <w:r w:rsidR="00DB62A4" w:rsidRPr="005004A3">
        <w:rPr>
          <w:vertAlign w:val="superscript"/>
        </w:rPr>
        <w:instrText xml:space="preserve"> NOTEREF _Ref130543014 \h </w:instrText>
      </w:r>
      <w:r w:rsidR="00DB62A4">
        <w:rPr>
          <w:vertAlign w:val="superscript"/>
        </w:rPr>
        <w:instrText xml:space="preserve"> \* MERGEFORMAT </w:instrText>
      </w:r>
      <w:r w:rsidR="00DB62A4" w:rsidRPr="005004A3">
        <w:rPr>
          <w:vertAlign w:val="superscript"/>
        </w:rPr>
      </w:r>
      <w:r w:rsidR="00DB62A4" w:rsidRPr="005004A3">
        <w:rPr>
          <w:vertAlign w:val="superscript"/>
        </w:rPr>
        <w:fldChar w:fldCharType="separate"/>
      </w:r>
      <w:r w:rsidR="00DB62A4" w:rsidRPr="005004A3">
        <w:rPr>
          <w:vertAlign w:val="superscript"/>
        </w:rPr>
        <w:t>6</w:t>
      </w:r>
      <w:r w:rsidR="00DB62A4" w:rsidRPr="005004A3">
        <w:rPr>
          <w:vertAlign w:val="superscript"/>
        </w:rPr>
        <w:fldChar w:fldCharType="end"/>
      </w:r>
      <w:r w:rsidR="00DB62A4">
        <w:t xml:space="preserve"> </w:t>
      </w:r>
      <w:r>
        <w:t>w</w:t>
      </w:r>
      <w:r w:rsidR="008A7B71">
        <w:t>ith regard to the 24</w:t>
      </w:r>
      <w:r w:rsidR="00521468">
        <w:t>-</w:t>
      </w:r>
      <w:r w:rsidR="008A7B71">
        <w:t xml:space="preserve">week ocular outcomes (primary analysis time point in </w:t>
      </w:r>
      <w:r w:rsidR="003047C5">
        <w:t xml:space="preserve">the </w:t>
      </w:r>
      <w:r w:rsidR="00DB62A4">
        <w:t xml:space="preserve">core </w:t>
      </w:r>
      <w:r w:rsidR="008A7B71">
        <w:t>RAINBOW</w:t>
      </w:r>
      <w:r w:rsidR="003047C5" w:rsidRPr="003047C5">
        <w:t xml:space="preserve"> </w:t>
      </w:r>
      <w:r w:rsidR="003047C5">
        <w:t>trial</w:t>
      </w:r>
      <w:r w:rsidR="00DB62A4">
        <w:t xml:space="preserve"> (</w:t>
      </w:r>
      <w:r w:rsidR="00B1395F">
        <w:t>Study H2301</w:t>
      </w:r>
      <w:r w:rsidR="00DB62A4">
        <w:t xml:space="preserve">E1) </w:t>
      </w:r>
      <w:r w:rsidR="008A7B71">
        <w:t>the ACM considered there was a low correlation between structural changes at 24</w:t>
      </w:r>
      <w:r w:rsidR="002E3BA2">
        <w:t> </w:t>
      </w:r>
      <w:r w:rsidR="008A7B71">
        <w:t xml:space="preserve">weeks and </w:t>
      </w:r>
      <w:r w:rsidR="00521468">
        <w:t>long-term</w:t>
      </w:r>
      <w:r w:rsidR="008A7B71">
        <w:t xml:space="preserve"> visual outcomes. The ACM noted case reports of patients with recurrent ROP at 2</w:t>
      </w:r>
      <w:r w:rsidR="00DB62A4">
        <w:t> </w:t>
      </w:r>
      <w:r w:rsidR="008A7B71">
        <w:t xml:space="preserve">years after bevacizumab treatment, and the findings of the </w:t>
      </w:r>
      <w:r w:rsidR="006C7293" w:rsidRPr="00ED11DD">
        <w:t>Cryotherapy for Retinopathy of Prematurity (</w:t>
      </w:r>
      <w:r w:rsidR="008A7B71">
        <w:t>CRYO-ROP</w:t>
      </w:r>
      <w:r w:rsidR="006C7293">
        <w:t>)</w:t>
      </w:r>
      <w:r w:rsidR="008A7B71">
        <w:t xml:space="preserve"> study</w:t>
      </w:r>
      <w:r w:rsidR="00B20F74">
        <w:t>;</w:t>
      </w:r>
      <w:r w:rsidR="00B20F74">
        <w:rPr>
          <w:rStyle w:val="FootnoteReference"/>
        </w:rPr>
        <w:footnoteReference w:id="20"/>
      </w:r>
      <w:r w:rsidR="008A7B71">
        <w:t xml:space="preserve"> indicating there is a risk of retinal detachment in treated eyes at 15</w:t>
      </w:r>
      <w:r w:rsidR="003047C5">
        <w:t> </w:t>
      </w:r>
      <w:r w:rsidR="008A7B71">
        <w:t>years follow-up.</w:t>
      </w:r>
    </w:p>
    <w:p w14:paraId="67B2A7C4" w14:textId="5EB12530" w:rsidR="008A7B71" w:rsidRDefault="00C05CF3" w:rsidP="008A7B71">
      <w:r>
        <w:t xml:space="preserve">For the current </w:t>
      </w:r>
      <w:r w:rsidR="00B20F74">
        <w:t>submission</w:t>
      </w:r>
      <w:r>
        <w:t>, t</w:t>
      </w:r>
      <w:r w:rsidR="008A7B71">
        <w:t xml:space="preserve">he mean </w:t>
      </w:r>
      <w:r w:rsidR="00B20F74">
        <w:t xml:space="preserve">visual acuity </w:t>
      </w:r>
      <w:r w:rsidR="008A7B71">
        <w:t>scores were generally comparable across the treatment groups, but the available data were limited (</w:t>
      </w:r>
      <w:r w:rsidR="00B20F74">
        <w:t xml:space="preserve">that is, </w:t>
      </w:r>
      <w:r w:rsidR="008A7B71">
        <w:t>19</w:t>
      </w:r>
      <w:r w:rsidR="00B20F74">
        <w:t xml:space="preserve"> to </w:t>
      </w:r>
      <w:r w:rsidR="008A7B71">
        <w:t xml:space="preserve">26 patients per group). There are limitations to the Cardiff Acuity </w:t>
      </w:r>
      <w:r w:rsidR="00B20F74">
        <w:t>t</w:t>
      </w:r>
      <w:r w:rsidR="008A7B71">
        <w:t>est (CAT)</w:t>
      </w:r>
      <w:r w:rsidR="00B20F74">
        <w:t>;</w:t>
      </w:r>
      <w:r w:rsidR="00B20F74" w:rsidRPr="005004A3">
        <w:rPr>
          <w:vertAlign w:val="superscript"/>
        </w:rPr>
        <w:fldChar w:fldCharType="begin"/>
      </w:r>
      <w:r w:rsidR="00B20F74" w:rsidRPr="005004A3">
        <w:rPr>
          <w:vertAlign w:val="superscript"/>
        </w:rPr>
        <w:instrText xml:space="preserve"> NOTEREF _Ref134809001 \h </w:instrText>
      </w:r>
      <w:r w:rsidR="00B20F74">
        <w:rPr>
          <w:vertAlign w:val="superscript"/>
        </w:rPr>
        <w:instrText xml:space="preserve"> \* MERGEFORMAT </w:instrText>
      </w:r>
      <w:r w:rsidR="00B20F74" w:rsidRPr="005004A3">
        <w:rPr>
          <w:vertAlign w:val="superscript"/>
        </w:rPr>
      </w:r>
      <w:r w:rsidR="00B20F74" w:rsidRPr="005004A3">
        <w:rPr>
          <w:vertAlign w:val="superscript"/>
        </w:rPr>
        <w:fldChar w:fldCharType="separate"/>
      </w:r>
      <w:r w:rsidR="00B20F74" w:rsidRPr="005004A3">
        <w:rPr>
          <w:vertAlign w:val="superscript"/>
        </w:rPr>
        <w:t>9</w:t>
      </w:r>
      <w:r w:rsidR="00B20F74" w:rsidRPr="005004A3">
        <w:rPr>
          <w:vertAlign w:val="superscript"/>
        </w:rPr>
        <w:fldChar w:fldCharType="end"/>
      </w:r>
      <w:r w:rsidR="008A7B71">
        <w:t xml:space="preserve"> and another method (</w:t>
      </w:r>
      <w:r w:rsidR="00B20F74">
        <w:t>for example,</w:t>
      </w:r>
      <w:r w:rsidR="008A7B71">
        <w:t xml:space="preserve"> Teller</w:t>
      </w:r>
      <w:r w:rsidR="00B20F74">
        <w:t xml:space="preserve"> Acuity test</w:t>
      </w:r>
      <w:r w:rsidR="008A7B71">
        <w:t>)</w:t>
      </w:r>
      <w:r w:rsidR="00B20F74">
        <w:t>;</w:t>
      </w:r>
      <w:r w:rsidR="00B20F74">
        <w:rPr>
          <w:rStyle w:val="FootnoteReference"/>
        </w:rPr>
        <w:footnoteReference w:id="21"/>
      </w:r>
      <w:r w:rsidR="008A7B71">
        <w:t xml:space="preserve"> could have been employed. It is noted that the 5</w:t>
      </w:r>
      <w:r w:rsidR="00521468">
        <w:t>-</w:t>
      </w:r>
      <w:r w:rsidR="008A7B71">
        <w:t>year tests will be masked as per</w:t>
      </w:r>
      <w:r w:rsidR="00437DAD">
        <w:t xml:space="preserve"> the </w:t>
      </w:r>
      <w:r w:rsidR="008A7B71">
        <w:t>EMA</w:t>
      </w:r>
      <w:r w:rsidR="00437DAD">
        <w:t xml:space="preserve"> </w:t>
      </w:r>
      <w:r w:rsidR="008A7B71">
        <w:t>request.</w:t>
      </w:r>
    </w:p>
    <w:p w14:paraId="38C77343" w14:textId="2A63E2B8" w:rsidR="00C66DB5" w:rsidRDefault="0000135F" w:rsidP="00C66DB5">
      <w:pPr>
        <w:pStyle w:val="Heading6"/>
      </w:pPr>
      <w:r>
        <w:lastRenderedPageBreak/>
        <w:t>R</w:t>
      </w:r>
      <w:r w:rsidR="00B20F74">
        <w:t>etinopathy of prematurity</w:t>
      </w:r>
      <w:r w:rsidR="00C66DB5">
        <w:t xml:space="preserve"> recurrence</w:t>
      </w:r>
    </w:p>
    <w:p w14:paraId="767B3AE2" w14:textId="633151B5" w:rsidR="00C66DB5" w:rsidRDefault="00C05CF3" w:rsidP="00C66DB5">
      <w:r>
        <w:t xml:space="preserve">For the previous </w:t>
      </w:r>
      <w:proofErr w:type="gramStart"/>
      <w:r w:rsidR="00B20F74">
        <w:t>submission;</w:t>
      </w:r>
      <w:proofErr w:type="gramEnd"/>
      <w:r w:rsidR="00B20F74" w:rsidRPr="005004A3">
        <w:rPr>
          <w:vertAlign w:val="superscript"/>
        </w:rPr>
        <w:fldChar w:fldCharType="begin"/>
      </w:r>
      <w:r w:rsidR="00B20F74" w:rsidRPr="005004A3">
        <w:rPr>
          <w:vertAlign w:val="superscript"/>
        </w:rPr>
        <w:instrText xml:space="preserve"> NOTEREF _Ref130543014 \h </w:instrText>
      </w:r>
      <w:r w:rsidR="00B20F74">
        <w:rPr>
          <w:vertAlign w:val="superscript"/>
        </w:rPr>
        <w:instrText xml:space="preserve"> \* MERGEFORMAT </w:instrText>
      </w:r>
      <w:r w:rsidR="00B20F74" w:rsidRPr="005004A3">
        <w:rPr>
          <w:vertAlign w:val="superscript"/>
        </w:rPr>
      </w:r>
      <w:r w:rsidR="00B20F74" w:rsidRPr="005004A3">
        <w:rPr>
          <w:vertAlign w:val="superscript"/>
        </w:rPr>
        <w:fldChar w:fldCharType="separate"/>
      </w:r>
      <w:r w:rsidR="00B20F74" w:rsidRPr="005004A3">
        <w:rPr>
          <w:vertAlign w:val="superscript"/>
        </w:rPr>
        <w:t>6</w:t>
      </w:r>
      <w:r w:rsidR="00B20F74" w:rsidRPr="005004A3">
        <w:rPr>
          <w:vertAlign w:val="superscript"/>
        </w:rPr>
        <w:fldChar w:fldCharType="end"/>
      </w:r>
      <w:r>
        <w:t xml:space="preserve"> t</w:t>
      </w:r>
      <w:r w:rsidR="00C66DB5">
        <w:t>he ACM considered the increased rate of ROP recurrence with ranibizumab and the need for retreatment an important negative outcome, noting similar trends observed with bevacizumab. Infants will require frequent close follow up for many months after initial treatment to assess potential reoccurrence.</w:t>
      </w:r>
    </w:p>
    <w:p w14:paraId="5AC3AC27" w14:textId="3557B615" w:rsidR="00AB0307" w:rsidRDefault="00C66DB5" w:rsidP="00C66DB5">
      <w:r>
        <w:t xml:space="preserve">In the core RAINBOW </w:t>
      </w:r>
      <w:r w:rsidR="003047C5">
        <w:t>trial</w:t>
      </w:r>
      <w:r w:rsidR="002F74F2">
        <w:t xml:space="preserve"> (</w:t>
      </w:r>
      <w:r w:rsidR="00B1395F">
        <w:t>Study H2301</w:t>
      </w:r>
      <w:r w:rsidR="002F74F2">
        <w:t xml:space="preserve">) </w:t>
      </w:r>
      <w:r>
        <w:t>recurrence of ROP was higher for ranibizumab treated patients (31.1</w:t>
      </w:r>
      <w:r w:rsidR="002E3BA2">
        <w:t xml:space="preserve"> to </w:t>
      </w:r>
      <w:r>
        <w:t xml:space="preserve">31.2%) </w:t>
      </w:r>
      <w:r w:rsidR="002F0AC0">
        <w:t>versus</w:t>
      </w:r>
      <w:r>
        <w:t xml:space="preserve"> laser patients (18.9%)</w:t>
      </w:r>
      <w:r w:rsidR="00AB0307">
        <w:t>.</w:t>
      </w:r>
    </w:p>
    <w:p w14:paraId="117B7831" w14:textId="44030EB8" w:rsidR="00C66DB5" w:rsidRDefault="00C05CF3" w:rsidP="00C66DB5">
      <w:r>
        <w:t xml:space="preserve">For the current </w:t>
      </w:r>
      <w:r w:rsidR="002F74F2">
        <w:t>submission</w:t>
      </w:r>
      <w:r>
        <w:t xml:space="preserve">, </w:t>
      </w:r>
      <w:r w:rsidR="00C66DB5">
        <w:t xml:space="preserve">in the RAINBOW extension </w:t>
      </w:r>
      <w:r w:rsidR="003047C5">
        <w:t>trial</w:t>
      </w:r>
      <w:r w:rsidR="00EE0623">
        <w:t xml:space="preserve"> (</w:t>
      </w:r>
      <w:r w:rsidR="00B1395F">
        <w:t>Study H2301</w:t>
      </w:r>
      <w:r w:rsidR="00EE0623">
        <w:t>E1)</w:t>
      </w:r>
      <w:r w:rsidR="00C66DB5">
        <w:t>, no patients required additional treatment with ranibizumab after the baseline visit of the extension study. One</w:t>
      </w:r>
      <w:r w:rsidR="00EE0623">
        <w:t> </w:t>
      </w:r>
      <w:r w:rsidR="00C66DB5">
        <w:t xml:space="preserve">patient in the ranibizumab 0.1 mg had active ROP at the </w:t>
      </w:r>
      <w:proofErr w:type="gramStart"/>
      <w:r w:rsidR="00C66DB5">
        <w:t>52</w:t>
      </w:r>
      <w:r w:rsidR="00437DAD">
        <w:t xml:space="preserve"> </w:t>
      </w:r>
      <w:r w:rsidR="00C66DB5">
        <w:t>week</w:t>
      </w:r>
      <w:proofErr w:type="gramEnd"/>
      <w:r w:rsidR="00C66DB5">
        <w:t xml:space="preserve"> visit. At the </w:t>
      </w:r>
      <w:proofErr w:type="gramStart"/>
      <w:r w:rsidR="00C66DB5">
        <w:t>2</w:t>
      </w:r>
      <w:r w:rsidR="00437DAD">
        <w:t xml:space="preserve"> </w:t>
      </w:r>
      <w:r w:rsidR="00C66DB5">
        <w:t>year</w:t>
      </w:r>
      <w:proofErr w:type="gramEnd"/>
      <w:r w:rsidR="00C66DB5">
        <w:t xml:space="preserve"> corrected age visit there were no cases of active ROP.</w:t>
      </w:r>
    </w:p>
    <w:p w14:paraId="2C7BB158" w14:textId="35BED3B5" w:rsidR="008A7B71" w:rsidRDefault="00C66DB5" w:rsidP="00C66DB5">
      <w:r>
        <w:t>Patients receiving initial ranibizumab treatment for ROP may need longer</w:t>
      </w:r>
      <w:r w:rsidR="002E3BA2">
        <w:t xml:space="preserve"> </w:t>
      </w:r>
      <w:r>
        <w:t>term monitoring for disease recurrence. Appropriate information in the PI or otherwise (</w:t>
      </w:r>
      <w:r w:rsidR="00437DAD">
        <w:t xml:space="preserve">for example, </w:t>
      </w:r>
      <w:r>
        <w:t>prescriber education) should be provided.</w:t>
      </w:r>
    </w:p>
    <w:p w14:paraId="372743AB" w14:textId="46DC02AF" w:rsidR="00C66DB5" w:rsidRDefault="00C66DB5" w:rsidP="00FF617F">
      <w:pPr>
        <w:pStyle w:val="Heading6"/>
      </w:pPr>
      <w:r>
        <w:t xml:space="preserve">Lack of </w:t>
      </w:r>
      <w:r w:rsidR="002E3BA2">
        <w:t>long</w:t>
      </w:r>
      <w:r w:rsidR="00521468">
        <w:t>-</w:t>
      </w:r>
      <w:r w:rsidR="002E3BA2">
        <w:t>term</w:t>
      </w:r>
      <w:r>
        <w:t xml:space="preserve"> safety data beyond </w:t>
      </w:r>
      <w:proofErr w:type="gramStart"/>
      <w:r>
        <w:t>2 year</w:t>
      </w:r>
      <w:proofErr w:type="gramEnd"/>
      <w:r>
        <w:t xml:space="preserve"> visit</w:t>
      </w:r>
    </w:p>
    <w:p w14:paraId="08DF6E45" w14:textId="7005E339" w:rsidR="0085596D" w:rsidRDefault="00C05CF3" w:rsidP="00C66DB5">
      <w:r w:rsidRPr="003A24C0">
        <w:t xml:space="preserve">In the previous </w:t>
      </w:r>
      <w:proofErr w:type="gramStart"/>
      <w:r w:rsidR="00EE0623">
        <w:t>submission;</w:t>
      </w:r>
      <w:proofErr w:type="gramEnd"/>
      <w:r w:rsidR="00EE0623" w:rsidRPr="005004A3">
        <w:rPr>
          <w:vertAlign w:val="superscript"/>
        </w:rPr>
        <w:fldChar w:fldCharType="begin"/>
      </w:r>
      <w:r w:rsidR="00EE0623" w:rsidRPr="005004A3">
        <w:rPr>
          <w:vertAlign w:val="superscript"/>
        </w:rPr>
        <w:instrText xml:space="preserve"> NOTEREF _Ref130543014 \h </w:instrText>
      </w:r>
      <w:r w:rsidR="00EE0623">
        <w:rPr>
          <w:vertAlign w:val="superscript"/>
        </w:rPr>
        <w:instrText xml:space="preserve"> \* MERGEFORMAT </w:instrText>
      </w:r>
      <w:r w:rsidR="00EE0623" w:rsidRPr="005004A3">
        <w:rPr>
          <w:vertAlign w:val="superscript"/>
        </w:rPr>
      </w:r>
      <w:r w:rsidR="00EE0623" w:rsidRPr="005004A3">
        <w:rPr>
          <w:vertAlign w:val="superscript"/>
        </w:rPr>
        <w:fldChar w:fldCharType="separate"/>
      </w:r>
      <w:r w:rsidR="00EE0623" w:rsidRPr="005004A3">
        <w:rPr>
          <w:vertAlign w:val="superscript"/>
        </w:rPr>
        <w:t>6</w:t>
      </w:r>
      <w:r w:rsidR="00EE0623" w:rsidRPr="005004A3">
        <w:rPr>
          <w:vertAlign w:val="superscript"/>
        </w:rPr>
        <w:fldChar w:fldCharType="end"/>
      </w:r>
      <w:r w:rsidR="00EE0623">
        <w:t xml:space="preserve"> </w:t>
      </w:r>
      <w:r>
        <w:t>t</w:t>
      </w:r>
      <w:r w:rsidR="00C66DB5">
        <w:t>he lack of long</w:t>
      </w:r>
      <w:r w:rsidR="00521468">
        <w:t>-</w:t>
      </w:r>
      <w:r w:rsidR="00C66DB5">
        <w:t xml:space="preserve">term safety data was a significant concern for the ACM, particularly with uncertainties regarding effects on mortality and neurodevelopment, as well as effects on other body systems such as renal (including hypertension) and respiratory outcomes. The ACM </w:t>
      </w:r>
      <w:r w:rsidR="00CD655F">
        <w:t xml:space="preserve">previously </w:t>
      </w:r>
      <w:r w:rsidR="00C66DB5">
        <w:t>stated:</w:t>
      </w:r>
    </w:p>
    <w:p w14:paraId="762FB63E" w14:textId="3DB71264" w:rsidR="00C66DB5" w:rsidRDefault="00FF617F" w:rsidP="005004A3">
      <w:pPr>
        <w:ind w:left="720"/>
      </w:pPr>
      <w:r>
        <w:t>‘</w:t>
      </w:r>
      <w:r w:rsidR="00C66DB5">
        <w:t xml:space="preserve">Given the safety concerns raised, particularly in relation to neurodevelopmental defects, the ACM was of the view that it would be preferable to have at least the </w:t>
      </w:r>
      <w:r w:rsidR="00521468">
        <w:t>2</w:t>
      </w:r>
      <w:r w:rsidR="0085596D">
        <w:noBreakHyphen/>
      </w:r>
      <w:r w:rsidR="00C66DB5">
        <w:t>year safety outcomes of the RAINBOW</w:t>
      </w:r>
      <w:r w:rsidR="003047C5">
        <w:t xml:space="preserve"> trial</w:t>
      </w:r>
      <w:r w:rsidR="00C66DB5">
        <w:t xml:space="preserve"> before </w:t>
      </w:r>
      <w:r w:rsidR="00694707">
        <w:t xml:space="preserve">Lucentis </w:t>
      </w:r>
      <w:r w:rsidR="00C66DB5">
        <w:t xml:space="preserve">were considered for registration, or ideally the </w:t>
      </w:r>
      <w:r w:rsidR="00521468">
        <w:t>5-</w:t>
      </w:r>
      <w:r w:rsidR="00C66DB5">
        <w:t>year outcomes. At a minimum, the ACM was of the view that safety data from a second pre-defined interim analysis (IA2) of the ongoing extension Study H2301E1 (due for submission in Q2 2020) should be provided before registration were considered.</w:t>
      </w:r>
      <w:r>
        <w:t>’</w:t>
      </w:r>
    </w:p>
    <w:p w14:paraId="0E458E03" w14:textId="58AD5094" w:rsidR="00C66DB5" w:rsidRDefault="00394F93" w:rsidP="00C66DB5">
      <w:r>
        <w:t xml:space="preserve">In the current </w:t>
      </w:r>
      <w:r w:rsidR="0085596D">
        <w:t>submission</w:t>
      </w:r>
      <w:r>
        <w:t>, o</w:t>
      </w:r>
      <w:r w:rsidR="00C66DB5">
        <w:t xml:space="preserve">cular </w:t>
      </w:r>
      <w:r w:rsidR="0085596D">
        <w:t>adverse events</w:t>
      </w:r>
      <w:r w:rsidR="00C66DB5">
        <w:t xml:space="preserve"> at the </w:t>
      </w:r>
      <w:r w:rsidR="00FF2EB0">
        <w:t>2</w:t>
      </w:r>
      <w:r w:rsidR="00521468">
        <w:t>-</w:t>
      </w:r>
      <w:r w:rsidR="00FF2EB0">
        <w:t>year</w:t>
      </w:r>
      <w:r w:rsidR="00C66DB5">
        <w:t xml:space="preserve"> corrected age visit were generally consistent with the known profile of ranibizumab in adults. Non-ocular </w:t>
      </w:r>
      <w:r w:rsidR="0085596D">
        <w:t xml:space="preserve">adverse events </w:t>
      </w:r>
      <w:r w:rsidR="00C66DB5">
        <w:t xml:space="preserve">at the </w:t>
      </w:r>
      <w:r w:rsidR="00FF2EB0">
        <w:t>2</w:t>
      </w:r>
      <w:r w:rsidR="00521468">
        <w:t>-</w:t>
      </w:r>
      <w:r w:rsidR="00FF2EB0">
        <w:t>year</w:t>
      </w:r>
      <w:r w:rsidR="00C66DB5">
        <w:t xml:space="preserve"> corrected age visit were generally consistent with co-morbidities associated with a premature infant patient population.</w:t>
      </w:r>
    </w:p>
    <w:p w14:paraId="1D65CA48" w14:textId="1388E367" w:rsidR="00C66DB5" w:rsidRDefault="00C66DB5" w:rsidP="00C66DB5">
      <w:r>
        <w:t xml:space="preserve">Growth parameters at the </w:t>
      </w:r>
      <w:r w:rsidR="00FF2EB0">
        <w:t>2</w:t>
      </w:r>
      <w:r w:rsidR="00521468">
        <w:t>-</w:t>
      </w:r>
      <w:r w:rsidR="00FF2EB0">
        <w:t>year</w:t>
      </w:r>
      <w:r>
        <w:t xml:space="preserve"> corrected age visit (weight, head circumference, standing height and leg length) were comparable across the </w:t>
      </w:r>
      <w:r w:rsidR="00437DAD">
        <w:t>three</w:t>
      </w:r>
      <w:r>
        <w:t xml:space="preserve"> treatment groups.</w:t>
      </w:r>
    </w:p>
    <w:p w14:paraId="79085558" w14:textId="77777777" w:rsidR="00AB0307" w:rsidRDefault="00C66DB5" w:rsidP="00C66DB5">
      <w:r>
        <w:t>Respiratory function data were limited and not evaluated using a validated assessment tool</w:t>
      </w:r>
      <w:r w:rsidR="00AB0307">
        <w:t>.</w:t>
      </w:r>
    </w:p>
    <w:p w14:paraId="715007BA" w14:textId="77777777" w:rsidR="00AB0307" w:rsidRDefault="00C66DB5" w:rsidP="00C66DB5">
      <w:r>
        <w:t>Impaired vital organ development was a non-approved potential risk subsequently removed from the current RMP in consultation with the EMA</w:t>
      </w:r>
      <w:r w:rsidR="00AB0307">
        <w:t>.</w:t>
      </w:r>
    </w:p>
    <w:p w14:paraId="778B8789" w14:textId="4F97A16C" w:rsidR="00C66DB5" w:rsidRDefault="00C66DB5" w:rsidP="00C66DB5">
      <w:r>
        <w:t>Longer</w:t>
      </w:r>
      <w:r w:rsidR="002E3BA2">
        <w:t xml:space="preserve"> </w:t>
      </w:r>
      <w:r>
        <w:t xml:space="preserve">term safety (beyond 2 years) remains uncertain. </w:t>
      </w:r>
      <w:r w:rsidR="00B1395F">
        <w:t>Study H2301</w:t>
      </w:r>
      <w:r w:rsidR="00234F5C">
        <w:t xml:space="preserve">E1 (the </w:t>
      </w:r>
      <w:r w:rsidR="0085596D">
        <w:t xml:space="preserve">Rainbow </w:t>
      </w:r>
      <w:r>
        <w:t>extension</w:t>
      </w:r>
      <w:r w:rsidR="00234F5C">
        <w:t xml:space="preserve">) </w:t>
      </w:r>
      <w:r>
        <w:t>is ongoing and will provide additional long</w:t>
      </w:r>
      <w:r w:rsidR="002E3BA2">
        <w:t xml:space="preserve"> </w:t>
      </w:r>
      <w:r>
        <w:t>term safety data at the patient’s fifth birthday.</w:t>
      </w:r>
    </w:p>
    <w:p w14:paraId="3EDB8C9A" w14:textId="7AF9A57B" w:rsidR="00C66DB5" w:rsidRDefault="00C66DB5" w:rsidP="00FF617F">
      <w:pPr>
        <w:pStyle w:val="Heading6"/>
      </w:pPr>
      <w:r>
        <w:t>Systemic ranibizumab exposure and potential effect on VEGF</w:t>
      </w:r>
    </w:p>
    <w:p w14:paraId="07ADD746" w14:textId="6196EA81" w:rsidR="00C66DB5" w:rsidRDefault="00C66DB5" w:rsidP="00C66DB5">
      <w:r>
        <w:t>Systemic ranibizumab exposure in premature infants was 12</w:t>
      </w:r>
      <w:r w:rsidR="00234F5C">
        <w:t>-</w:t>
      </w:r>
      <w:r>
        <w:t xml:space="preserve"> to 16</w:t>
      </w:r>
      <w:r w:rsidR="00521468">
        <w:t>-</w:t>
      </w:r>
      <w:r>
        <w:t>fold higher following intravitreal ranibizumab 0.2 mg per eye (and 5</w:t>
      </w:r>
      <w:r w:rsidR="00234F5C">
        <w:t>-</w:t>
      </w:r>
      <w:r>
        <w:t xml:space="preserve"> to 7.6</w:t>
      </w:r>
      <w:r w:rsidR="00234F5C">
        <w:t>-</w:t>
      </w:r>
      <w:r w:rsidR="0070507C">
        <w:t>fold</w:t>
      </w:r>
      <w:r>
        <w:t xml:space="preserve"> higher following intravitreal ranibizumab 0.1 mg per eye) compared with adults receiving ranibizumab 0.5 mg per eye. However, no definite relationship with VEGF was demonstrated in </w:t>
      </w:r>
      <w:r w:rsidR="00521468">
        <w:lastRenderedPageBreak/>
        <w:t>pharmacokinetic/pharmacodynamics</w:t>
      </w:r>
      <w:r>
        <w:t xml:space="preserve"> analyses. There were no definite ranibizumab dose</w:t>
      </w:r>
      <w:r w:rsidR="002E3BA2">
        <w:t xml:space="preserve"> </w:t>
      </w:r>
      <w:r>
        <w:t xml:space="preserve">related trends observed for </w:t>
      </w:r>
      <w:r w:rsidR="00234F5C">
        <w:t xml:space="preserve">adverse events </w:t>
      </w:r>
      <w:r>
        <w:t>in</w:t>
      </w:r>
      <w:r w:rsidR="00830AAB">
        <w:t xml:space="preserve"> the</w:t>
      </w:r>
      <w:r>
        <w:t xml:space="preserve"> RAINBOW</w:t>
      </w:r>
      <w:r w:rsidR="00830AAB">
        <w:t xml:space="preserve"> </w:t>
      </w:r>
      <w:r>
        <w:t>o</w:t>
      </w:r>
      <w:r w:rsidR="00234F5C">
        <w:t xml:space="preserve">r </w:t>
      </w:r>
      <w:r>
        <w:t>RAINBOW extens</w:t>
      </w:r>
      <w:r w:rsidR="00830AAB">
        <w:t>ion trials</w:t>
      </w:r>
      <w:r>
        <w:t>.</w:t>
      </w:r>
    </w:p>
    <w:p w14:paraId="33285E6A" w14:textId="0140F847" w:rsidR="00C66DB5" w:rsidRDefault="00C66DB5" w:rsidP="00C66DB5">
      <w:r>
        <w:t>However, the ranibizumab C</w:t>
      </w:r>
      <w:r w:rsidRPr="00437DAD">
        <w:rPr>
          <w:vertAlign w:val="subscript"/>
        </w:rPr>
        <w:t>max</w:t>
      </w:r>
      <w:r>
        <w:t xml:space="preserve"> values found in the population PK/PD analysis were capable of inhibiting VEGF receptors by 50% (range given in </w:t>
      </w:r>
      <w:r w:rsidR="00F73D30">
        <w:t>the PI</w:t>
      </w:r>
      <w:r>
        <w:t>: 11</w:t>
      </w:r>
      <w:r w:rsidR="002E3BA2">
        <w:t xml:space="preserve"> to </w:t>
      </w:r>
      <w:r>
        <w:t xml:space="preserve">27 ng/mL; based on </w:t>
      </w:r>
      <w:r w:rsidRPr="00437DAD">
        <w:rPr>
          <w:i/>
          <w:iCs/>
        </w:rPr>
        <w:t>in vitro</w:t>
      </w:r>
      <w:r>
        <w:t xml:space="preserve"> data) with possible implications for safety and development in premature infants. In response, the sponsor stated that serum ranibizumab concentration would be predicted to decline below </w:t>
      </w:r>
      <w:r w:rsidR="00694707">
        <w:t>50% inhibitory concentration (</w:t>
      </w:r>
      <w:r>
        <w:t>IC</w:t>
      </w:r>
      <w:r w:rsidRPr="005004A3">
        <w:rPr>
          <w:vertAlign w:val="subscript"/>
        </w:rPr>
        <w:t>50</w:t>
      </w:r>
      <w:r w:rsidR="00694707">
        <w:t>)</w:t>
      </w:r>
      <w:r>
        <w:t xml:space="preserve"> in approximately </w:t>
      </w:r>
      <w:r w:rsidR="00521468">
        <w:t>one</w:t>
      </w:r>
      <w:r>
        <w:t xml:space="preserve"> week following a 0.2 mg dose (based on apparent </w:t>
      </w:r>
      <w:r w:rsidR="00F73D30">
        <w:t>half-life</w:t>
      </w:r>
      <w:r>
        <w:t>); and ranibizumab treatment would be of low frequency with low exposure, and thus VEGF inhibition would not likely be prolonged, with a likelihood to affect safety outcomes.</w:t>
      </w:r>
    </w:p>
    <w:p w14:paraId="2EBAD503" w14:textId="2369861C" w:rsidR="00C66DB5" w:rsidRDefault="00C66DB5" w:rsidP="00C66DB5">
      <w:r>
        <w:t>There is mixed evidence on VEGF. Furthermore, measuring VEGF is rather difficult, comparing levels between studies may not be meaningful (</w:t>
      </w:r>
      <w:r w:rsidR="00521468">
        <w:t>for example,</w:t>
      </w:r>
      <w:r>
        <w:t xml:space="preserve"> due to different assays), and VEGF levels may be affected by factors other than ranibizumab exposure.</w:t>
      </w:r>
    </w:p>
    <w:p w14:paraId="508A9906" w14:textId="2F5609DF" w:rsidR="00C66DB5" w:rsidRDefault="00C66DB5" w:rsidP="00C66DB5">
      <w:r>
        <w:t>Premature infants have an immature blood</w:t>
      </w:r>
      <w:r w:rsidR="002E3BA2">
        <w:t xml:space="preserve"> </w:t>
      </w:r>
      <w:r>
        <w:t>retinal barrier. Potential suppression of VEGF cannot be excluded. The effects of systemic VEGF suppression on neurodevelopmental and vital organ development in premature infants are uncertain.</w:t>
      </w:r>
    </w:p>
    <w:p w14:paraId="701D5936" w14:textId="77777777" w:rsidR="00C66DB5" w:rsidRDefault="00C66DB5" w:rsidP="00C66DB5">
      <w:r>
        <w:t>Over 77% ranibizumab treated patients required initial bilateral treatment only, therefore further exposure to ranibizumab was not required for most patients.</w:t>
      </w:r>
    </w:p>
    <w:p w14:paraId="30F46B3F" w14:textId="17A00B5C" w:rsidR="00C66DB5" w:rsidRDefault="00C66DB5" w:rsidP="00FF617F">
      <w:pPr>
        <w:pStyle w:val="Heading6"/>
      </w:pPr>
      <w:r>
        <w:t>Potential risk of neurodevelopmental impairment</w:t>
      </w:r>
    </w:p>
    <w:p w14:paraId="2BC328D4" w14:textId="087682B7" w:rsidR="00C66DB5" w:rsidRDefault="00C66DB5" w:rsidP="00C66DB5">
      <w:r>
        <w:t xml:space="preserve">The </w:t>
      </w:r>
      <w:r w:rsidR="00694707">
        <w:t xml:space="preserve">clinical </w:t>
      </w:r>
      <w:r w:rsidR="00F73D30">
        <w:t xml:space="preserve">evaluation </w:t>
      </w:r>
      <w:r>
        <w:t>drew attention to the inconsistency in the literature regarding adverse neurodevelopmental outcomes among infants with ROP treated with anti-VEGF agents.</w:t>
      </w:r>
    </w:p>
    <w:p w14:paraId="4E71B305" w14:textId="696EA1C3" w:rsidR="00AB0307" w:rsidRDefault="00C66DB5" w:rsidP="00C66DB5">
      <w:r>
        <w:t xml:space="preserve">Neurodevelopmental impairment is an important potential risk for ranibizumab in the ROP population. In </w:t>
      </w:r>
      <w:r w:rsidR="00F73D30">
        <w:t xml:space="preserve">the </w:t>
      </w:r>
      <w:r>
        <w:t>RAINBOW extension</w:t>
      </w:r>
      <w:r w:rsidR="00830AAB">
        <w:t xml:space="preserve"> trial</w:t>
      </w:r>
      <w:r w:rsidR="00F73D30">
        <w:t xml:space="preserve"> (</w:t>
      </w:r>
      <w:r w:rsidR="00B1395F">
        <w:t>Study H2301</w:t>
      </w:r>
      <w:r w:rsidR="00F73D30" w:rsidRPr="00F73D30">
        <w:t>E1</w:t>
      </w:r>
      <w:r w:rsidR="00F73D30">
        <w:t>)</w:t>
      </w:r>
      <w:r>
        <w:t xml:space="preserve">, in the broad medical review, neurodevelopmental impairment </w:t>
      </w:r>
      <w:r w:rsidR="00F73D30">
        <w:t xml:space="preserve">adverse events </w:t>
      </w:r>
      <w:r>
        <w:t>occurred in 23.0% (</w:t>
      </w:r>
      <w:r w:rsidR="00F73D30">
        <w:t xml:space="preserve">ranibizumab </w:t>
      </w:r>
      <w:r>
        <w:t>0.2</w:t>
      </w:r>
      <w:r w:rsidR="00F73D30">
        <w:t> </w:t>
      </w:r>
      <w:r>
        <w:t>mg), 13.9% (</w:t>
      </w:r>
      <w:r w:rsidR="00F73D30">
        <w:t xml:space="preserve">ranibizumab </w:t>
      </w:r>
      <w:r>
        <w:t xml:space="preserve">0.1 mg) and 25.9% (laser therapy) of patients. Most of these infants were </w:t>
      </w:r>
      <w:r w:rsidR="00521468">
        <w:t xml:space="preserve">less than </w:t>
      </w:r>
      <w:r>
        <w:t xml:space="preserve">28 weeks gestational age with birth weights </w:t>
      </w:r>
      <w:r w:rsidR="00521468">
        <w:t xml:space="preserve">less than </w:t>
      </w:r>
      <w:r>
        <w:t xml:space="preserve">1,000 g and had CNS co-morbidities at </w:t>
      </w:r>
      <w:r w:rsidR="002E3BA2">
        <w:t>B</w:t>
      </w:r>
      <w:r>
        <w:t xml:space="preserve">aseline. There were no notable differences between </w:t>
      </w:r>
      <w:proofErr w:type="gramStart"/>
      <w:r>
        <w:t>ranibizumab</w:t>
      </w:r>
      <w:proofErr w:type="gramEnd"/>
      <w:r>
        <w:t xml:space="preserve"> and laser treated patients regarding the types of neurodevelopmental impairment </w:t>
      </w:r>
      <w:r w:rsidR="00F73D30">
        <w:t>adverse events</w:t>
      </w:r>
      <w:r w:rsidR="00AB0307">
        <w:t>.</w:t>
      </w:r>
    </w:p>
    <w:p w14:paraId="6057AB39" w14:textId="46016340" w:rsidR="00C66DB5" w:rsidRDefault="00C66DB5" w:rsidP="00C66DB5">
      <w:r>
        <w:t xml:space="preserve">Cognitive status was assessed at the </w:t>
      </w:r>
      <w:r w:rsidR="00521468">
        <w:t>2-year</w:t>
      </w:r>
      <w:r>
        <w:t xml:space="preserve"> corrected age visit using the Mullen Scales for Early Learning</w:t>
      </w:r>
      <w:r w:rsidR="00F73D30">
        <w:t>;</w:t>
      </w:r>
      <w:r w:rsidR="00F73D30" w:rsidRPr="005004A3">
        <w:rPr>
          <w:vertAlign w:val="superscript"/>
        </w:rPr>
        <w:fldChar w:fldCharType="begin"/>
      </w:r>
      <w:r w:rsidR="00F73D30" w:rsidRPr="005004A3">
        <w:rPr>
          <w:vertAlign w:val="superscript"/>
        </w:rPr>
        <w:instrText xml:space="preserve"> NOTEREF _Ref134811804 \h </w:instrText>
      </w:r>
      <w:r w:rsidR="00F73D30">
        <w:rPr>
          <w:vertAlign w:val="superscript"/>
        </w:rPr>
        <w:instrText xml:space="preserve"> \* MERGEFORMAT </w:instrText>
      </w:r>
      <w:r w:rsidR="00F73D30" w:rsidRPr="005004A3">
        <w:rPr>
          <w:vertAlign w:val="superscript"/>
        </w:rPr>
      </w:r>
      <w:r w:rsidR="00F73D30" w:rsidRPr="005004A3">
        <w:rPr>
          <w:vertAlign w:val="superscript"/>
        </w:rPr>
        <w:fldChar w:fldCharType="separate"/>
      </w:r>
      <w:r w:rsidR="00F73D30" w:rsidRPr="005004A3">
        <w:rPr>
          <w:vertAlign w:val="superscript"/>
        </w:rPr>
        <w:t>11</w:t>
      </w:r>
      <w:r w:rsidR="00F73D30" w:rsidRPr="005004A3">
        <w:rPr>
          <w:vertAlign w:val="superscript"/>
        </w:rPr>
        <w:fldChar w:fldCharType="end"/>
      </w:r>
      <w:r>
        <w:t xml:space="preserve"> a validated endpoint in children within the study age group. The mean T</w:t>
      </w:r>
      <w:r w:rsidR="00437DAD">
        <w:noBreakHyphen/>
      </w:r>
      <w:r>
        <w:t xml:space="preserve">scores for each of the </w:t>
      </w:r>
      <w:r w:rsidR="00437DAD">
        <w:t>three</w:t>
      </w:r>
      <w:r>
        <w:t xml:space="preserve"> subscales were comparable across the treatment groups.</w:t>
      </w:r>
    </w:p>
    <w:p w14:paraId="1E5099E1" w14:textId="5212860C" w:rsidR="00C66DB5" w:rsidRDefault="00C66DB5" w:rsidP="00C66DB5">
      <w:r>
        <w:t xml:space="preserve">The types of </w:t>
      </w:r>
      <w:r w:rsidR="00F73D30">
        <w:t xml:space="preserve">adverse events </w:t>
      </w:r>
      <w:r>
        <w:t xml:space="preserve">of neurodevelopmental impairment were variable with no notable differences between groups. From the data provided there do not appear to be any temporal trends observed in time to onset of relevant </w:t>
      </w:r>
      <w:r w:rsidR="003055FF">
        <w:t xml:space="preserve">adverse events </w:t>
      </w:r>
      <w:r>
        <w:t xml:space="preserve">and ranibizumab treatment or re-treatment. The </w:t>
      </w:r>
      <w:r w:rsidR="003055FF">
        <w:t xml:space="preserve">adverse event </w:t>
      </w:r>
      <w:r>
        <w:t xml:space="preserve">profile retrieved using the </w:t>
      </w:r>
      <w:r w:rsidR="003055FF">
        <w:t xml:space="preserve">risk management plan </w:t>
      </w:r>
      <w:r>
        <w:t>search strategy was consistent with the broader review.</w:t>
      </w:r>
    </w:p>
    <w:p w14:paraId="152BFCFF" w14:textId="4818247D" w:rsidR="00C66DB5" w:rsidRDefault="00C66DB5" w:rsidP="00C66DB5">
      <w:r>
        <w:t xml:space="preserve">The </w:t>
      </w:r>
      <w:r w:rsidR="00521468">
        <w:t>long-term</w:t>
      </w:r>
      <w:r>
        <w:t xml:space="preserve"> effects (beyond the study period) of ranibizumab on neurodevelopmental outcomes are unknown. Whilst the ongoing RAINBOW extension </w:t>
      </w:r>
      <w:r w:rsidR="00830AAB">
        <w:t xml:space="preserve">trial </w:t>
      </w:r>
      <w:r>
        <w:t xml:space="preserve">will provide additional </w:t>
      </w:r>
      <w:r w:rsidR="00521468">
        <w:t>long-term</w:t>
      </w:r>
      <w:r>
        <w:t xml:space="preserve"> data regarding neurodevelopmental impairment at the patient’s fifth birthday, the study cohort is small. Larger patient numbers would likely be needed to address confounding issues and fully characterise this risk.</w:t>
      </w:r>
    </w:p>
    <w:p w14:paraId="53957536" w14:textId="491136F3" w:rsidR="00C66DB5" w:rsidRDefault="00C66DB5" w:rsidP="00D37A4E">
      <w:pPr>
        <w:pStyle w:val="Heading6"/>
      </w:pPr>
      <w:r>
        <w:t>Translating clinical trial data into an indication</w:t>
      </w:r>
    </w:p>
    <w:p w14:paraId="27BE89C3" w14:textId="7F1E6423" w:rsidR="00C66DB5" w:rsidRDefault="00C66DB5" w:rsidP="00C66DB5">
      <w:r>
        <w:t>Intravitreal anti-VEGF injection therapy may offer some benefits over laser photocoagulation, including a quicker, less technically challenging procedure and potentially requiring less sedation</w:t>
      </w:r>
      <w:r w:rsidR="00437DAD">
        <w:t xml:space="preserve"> and </w:t>
      </w:r>
      <w:r>
        <w:t>anaesthetic. Intravitreal anti-VEGF injection agents provide another option of treatment for ROP.</w:t>
      </w:r>
    </w:p>
    <w:p w14:paraId="4AB26FBC" w14:textId="08678BEC" w:rsidR="00C66DB5" w:rsidRDefault="00C66DB5" w:rsidP="00C66DB5">
      <w:r>
        <w:lastRenderedPageBreak/>
        <w:t xml:space="preserve">For the previous </w:t>
      </w:r>
      <w:proofErr w:type="gramStart"/>
      <w:r w:rsidR="008E108C">
        <w:t>submission;</w:t>
      </w:r>
      <w:proofErr w:type="gramEnd"/>
      <w:r w:rsidR="008E108C" w:rsidRPr="005004A3">
        <w:rPr>
          <w:vertAlign w:val="superscript"/>
        </w:rPr>
        <w:fldChar w:fldCharType="begin"/>
      </w:r>
      <w:r w:rsidR="008E108C" w:rsidRPr="005004A3">
        <w:rPr>
          <w:vertAlign w:val="superscript"/>
        </w:rPr>
        <w:instrText xml:space="preserve"> NOTEREF _Ref130543014 \h </w:instrText>
      </w:r>
      <w:r w:rsidR="008E108C">
        <w:rPr>
          <w:vertAlign w:val="superscript"/>
        </w:rPr>
        <w:instrText xml:space="preserve"> \* MERGEFORMAT </w:instrText>
      </w:r>
      <w:r w:rsidR="008E108C" w:rsidRPr="005004A3">
        <w:rPr>
          <w:vertAlign w:val="superscript"/>
        </w:rPr>
      </w:r>
      <w:r w:rsidR="008E108C" w:rsidRPr="005004A3">
        <w:rPr>
          <w:vertAlign w:val="superscript"/>
        </w:rPr>
        <w:fldChar w:fldCharType="separate"/>
      </w:r>
      <w:r w:rsidR="008E108C" w:rsidRPr="005004A3">
        <w:rPr>
          <w:vertAlign w:val="superscript"/>
        </w:rPr>
        <w:t>6</w:t>
      </w:r>
      <w:r w:rsidR="008E108C" w:rsidRPr="005004A3">
        <w:rPr>
          <w:vertAlign w:val="superscript"/>
        </w:rPr>
        <w:fldChar w:fldCharType="end"/>
      </w:r>
      <w:r>
        <w:t xml:space="preserve"> the ACM noted that in </w:t>
      </w:r>
      <w:r w:rsidR="00830AAB">
        <w:t xml:space="preserve">the </w:t>
      </w:r>
      <w:r>
        <w:t>RAINBOW</w:t>
      </w:r>
      <w:r w:rsidR="00830AAB">
        <w:t xml:space="preserve"> trial</w:t>
      </w:r>
      <w:r>
        <w:t xml:space="preserve">, the proportion of infants with </w:t>
      </w:r>
      <w:r w:rsidR="00194C3D">
        <w:t xml:space="preserve">Zone I </w:t>
      </w:r>
      <w:r>
        <w:t xml:space="preserve">and </w:t>
      </w:r>
      <w:r w:rsidR="008E108C">
        <w:t>a</w:t>
      </w:r>
      <w:r w:rsidR="008E108C" w:rsidRPr="008E108C">
        <w:t>ggressive posterior retinopathy of prematurity</w:t>
      </w:r>
      <w:r w:rsidR="008E108C" w:rsidRPr="008E108C" w:rsidDel="008E108C">
        <w:t xml:space="preserve"> </w:t>
      </w:r>
      <w:r w:rsidR="008E108C">
        <w:t xml:space="preserve">(AP-ROP) </w:t>
      </w:r>
      <w:r>
        <w:t>was larger than typically observed in an Australian context.</w:t>
      </w:r>
    </w:p>
    <w:p w14:paraId="3A754EF2" w14:textId="77777777" w:rsidR="00C66DB5" w:rsidRDefault="00C66DB5" w:rsidP="00C66DB5">
      <w:r>
        <w:t>The then proposed indication was:</w:t>
      </w:r>
    </w:p>
    <w:p w14:paraId="416276FA" w14:textId="77777777" w:rsidR="00C66DB5" w:rsidRPr="00830AAB" w:rsidRDefault="00C66DB5" w:rsidP="00830AAB">
      <w:pPr>
        <w:ind w:left="720"/>
        <w:rPr>
          <w:i/>
          <w:iCs/>
        </w:rPr>
      </w:pPr>
      <w:r w:rsidRPr="00830AAB">
        <w:rPr>
          <w:i/>
          <w:iCs/>
        </w:rPr>
        <w:t>Lucentis (ranibizumab) is indicated in preterm infants for: the treatment of retinopathy of prematurity (ROP).</w:t>
      </w:r>
    </w:p>
    <w:p w14:paraId="797B1F39" w14:textId="701EC4B5" w:rsidR="00C66DB5" w:rsidRDefault="00C66DB5" w:rsidP="00C66DB5">
      <w:r>
        <w:t xml:space="preserve">The ACM noted that the proposed indication using the clinical criteria as per </w:t>
      </w:r>
      <w:r w:rsidR="00437DAD">
        <w:t xml:space="preserve">the </w:t>
      </w:r>
      <w:r>
        <w:t xml:space="preserve">RAINBOW </w:t>
      </w:r>
      <w:r w:rsidR="00830AAB">
        <w:t>trail</w:t>
      </w:r>
      <w:r>
        <w:t xml:space="preserve"> could result in more infants being treated with Lucentis compared to those currently exposed to anti-VEGF agents in Australia.</w:t>
      </w:r>
    </w:p>
    <w:p w14:paraId="4152249A" w14:textId="0E977732" w:rsidR="006A0734" w:rsidRDefault="0000135F" w:rsidP="005004A3">
      <w:pPr>
        <w:pStyle w:val="Heading5"/>
      </w:pPr>
      <w:r>
        <w:t>Considerations of the current submission</w:t>
      </w:r>
    </w:p>
    <w:p w14:paraId="29C431B5" w14:textId="69F3C2B1" w:rsidR="006A0734" w:rsidRPr="006A0734" w:rsidRDefault="006A0734" w:rsidP="005004A3">
      <w:pPr>
        <w:pStyle w:val="Heading6"/>
      </w:pPr>
      <w:r>
        <w:t>P</w:t>
      </w:r>
      <w:r w:rsidRPr="006A0734">
        <w:t>roposed indication based on inclusion criteria</w:t>
      </w:r>
    </w:p>
    <w:p w14:paraId="179EEA98" w14:textId="6F674255" w:rsidR="00C64AC5" w:rsidRDefault="00C66DB5" w:rsidP="00C66DB5">
      <w:r>
        <w:t xml:space="preserve">In the current </w:t>
      </w:r>
      <w:r w:rsidR="00C64AC5">
        <w:t>submission</w:t>
      </w:r>
      <w:r>
        <w:t xml:space="preserve">, the </w:t>
      </w:r>
      <w:r w:rsidR="00C64AC5">
        <w:t xml:space="preserve">proposed </w:t>
      </w:r>
      <w:r>
        <w:t>indication is restricted to:</w:t>
      </w:r>
    </w:p>
    <w:p w14:paraId="26395446" w14:textId="62451AE7" w:rsidR="00C64AC5" w:rsidRDefault="00C66DB5" w:rsidP="005004A3">
      <w:pPr>
        <w:pStyle w:val="ListBullet"/>
      </w:pPr>
      <w:r>
        <w:t xml:space="preserve">ROP in </w:t>
      </w:r>
      <w:r w:rsidR="00194C3D">
        <w:t xml:space="preserve">Zone I </w:t>
      </w:r>
      <w:r>
        <w:t>(</w:t>
      </w:r>
      <w:r w:rsidR="00194C3D">
        <w:t>Stage 1</w:t>
      </w:r>
      <w:r>
        <w:t>+, 2+, 3 or 3+</w:t>
      </w:r>
      <w:proofErr w:type="gramStart"/>
      <w:r>
        <w:t>)</w:t>
      </w:r>
      <w:r w:rsidR="00C64AC5">
        <w:t>;</w:t>
      </w:r>
      <w:proofErr w:type="gramEnd"/>
    </w:p>
    <w:p w14:paraId="5FAD0D04" w14:textId="01F61824" w:rsidR="00C64AC5" w:rsidRDefault="00194C3D" w:rsidP="005004A3">
      <w:pPr>
        <w:pStyle w:val="ListBullet"/>
      </w:pPr>
      <w:r>
        <w:t>Zone II</w:t>
      </w:r>
      <w:r w:rsidR="00C66DB5">
        <w:t xml:space="preserve"> (</w:t>
      </w:r>
      <w:r>
        <w:t>Stage 3</w:t>
      </w:r>
      <w:r w:rsidR="00C66DB5">
        <w:t>+)</w:t>
      </w:r>
      <w:r w:rsidR="00C64AC5">
        <w:t>;</w:t>
      </w:r>
      <w:r w:rsidR="00C66DB5">
        <w:t xml:space="preserve"> or</w:t>
      </w:r>
    </w:p>
    <w:p w14:paraId="27FD10B7" w14:textId="2020C1BB" w:rsidR="00C64AC5" w:rsidRDefault="00C66DB5" w:rsidP="005004A3">
      <w:pPr>
        <w:pStyle w:val="ListBullet"/>
      </w:pPr>
      <w:r>
        <w:t>AP-ROP disease.</w:t>
      </w:r>
    </w:p>
    <w:p w14:paraId="096CBF18" w14:textId="05674934" w:rsidR="00C66DB5" w:rsidRDefault="00C66DB5">
      <w:r>
        <w:t xml:space="preserve">It no longer includes the lower risk Type 2 ROP: </w:t>
      </w:r>
      <w:r w:rsidR="00194C3D">
        <w:t xml:space="preserve">Zone I </w:t>
      </w:r>
      <w:r>
        <w:t>(</w:t>
      </w:r>
      <w:r w:rsidR="00194C3D">
        <w:t>Stage 1</w:t>
      </w:r>
      <w:r>
        <w:t xml:space="preserve"> or 2),</w:t>
      </w:r>
      <w:r w:rsidR="00C64AC5">
        <w:t xml:space="preserve"> or</w:t>
      </w:r>
      <w:r>
        <w:t xml:space="preserve"> </w:t>
      </w:r>
      <w:r w:rsidR="00194C3D">
        <w:t>Zone II</w:t>
      </w:r>
      <w:r>
        <w:t xml:space="preserve"> (</w:t>
      </w:r>
      <w:r w:rsidR="00194C3D">
        <w:t>Stage 3</w:t>
      </w:r>
      <w:r>
        <w:t>). This means that only forms that include ‘plus’ disease (</w:t>
      </w:r>
      <w:proofErr w:type="gramStart"/>
      <w:r>
        <w:t>with the exception of</w:t>
      </w:r>
      <w:proofErr w:type="gramEnd"/>
      <w:r>
        <w:t xml:space="preserve"> </w:t>
      </w:r>
      <w:r w:rsidR="00194C3D">
        <w:t xml:space="preserve">Zone I </w:t>
      </w:r>
      <w:r>
        <w:t>(</w:t>
      </w:r>
      <w:r w:rsidR="00194C3D">
        <w:t>Stage</w:t>
      </w:r>
      <w:r w:rsidR="00C64AC5">
        <w:t> </w:t>
      </w:r>
      <w:r w:rsidR="00194C3D">
        <w:t>3</w:t>
      </w:r>
      <w:r>
        <w:t>) disease) are included in the indication.</w:t>
      </w:r>
    </w:p>
    <w:p w14:paraId="2BEBA322" w14:textId="69E26684" w:rsidR="00C66DB5" w:rsidRDefault="00C66DB5" w:rsidP="00C66DB5">
      <w:r>
        <w:t xml:space="preserve">The inclusion criteria in </w:t>
      </w:r>
      <w:r w:rsidR="00B1395F">
        <w:t>Study H2301</w:t>
      </w:r>
      <w:r w:rsidR="00C64AC5" w:rsidRPr="00C64AC5">
        <w:t xml:space="preserve"> </w:t>
      </w:r>
      <w:r w:rsidR="00C64AC5">
        <w:t xml:space="preserve">(the </w:t>
      </w:r>
      <w:r>
        <w:t xml:space="preserve">RAINBOW </w:t>
      </w:r>
      <w:r w:rsidR="00830AAB">
        <w:t>tria</w:t>
      </w:r>
      <w:r w:rsidR="00C64AC5">
        <w:t>l)</w:t>
      </w:r>
      <w:r>
        <w:t xml:space="preserve"> and the proposed indication are still slightly broader than typical criteria used in Australia for off-label use of anti-VEGF medicines, but to a much lesser extent compared to the previous application (</w:t>
      </w:r>
      <w:r w:rsidR="00C64AC5">
        <w:t xml:space="preserve">see </w:t>
      </w:r>
      <w:r w:rsidR="0047273B">
        <w:fldChar w:fldCharType="begin"/>
      </w:r>
      <w:r w:rsidR="0047273B">
        <w:instrText xml:space="preserve"> REF _Ref121475604 \h </w:instrText>
      </w:r>
      <w:r w:rsidR="0047273B">
        <w:fldChar w:fldCharType="separate"/>
      </w:r>
      <w:r w:rsidR="00C64AC5">
        <w:t xml:space="preserve">Table </w:t>
      </w:r>
      <w:r w:rsidR="00C64AC5">
        <w:rPr>
          <w:noProof/>
        </w:rPr>
        <w:t>17</w:t>
      </w:r>
      <w:r w:rsidR="0047273B">
        <w:fldChar w:fldCharType="end"/>
      </w:r>
      <w:r w:rsidR="00C64AC5">
        <w:t>, below</w:t>
      </w:r>
      <w:r>
        <w:t>).</w:t>
      </w:r>
    </w:p>
    <w:p w14:paraId="09DE17A9" w14:textId="50402399" w:rsidR="00C66DB5" w:rsidRPr="006A0734" w:rsidRDefault="002F0AC0" w:rsidP="005004A3">
      <w:pPr>
        <w:pStyle w:val="Heading6"/>
      </w:pPr>
      <w:r w:rsidRPr="006A0734">
        <w:t>C</w:t>
      </w:r>
      <w:r w:rsidR="00C66DB5" w:rsidRPr="006A0734">
        <w:t>linical trial data mainly from certain subgroups</w:t>
      </w:r>
    </w:p>
    <w:p w14:paraId="283E6CBD" w14:textId="2CAD489E" w:rsidR="00C66DB5" w:rsidRDefault="00C66DB5" w:rsidP="00C66DB5">
      <w:r>
        <w:t>Most data (approx</w:t>
      </w:r>
      <w:r w:rsidR="00437DAD">
        <w:t>imately</w:t>
      </w:r>
      <w:r>
        <w:t xml:space="preserve"> 90% of patients) in </w:t>
      </w:r>
      <w:r w:rsidR="00B1395F">
        <w:t>Study H2301</w:t>
      </w:r>
      <w:r w:rsidR="00C64AC5" w:rsidRPr="00C64AC5">
        <w:t xml:space="preserve"> </w:t>
      </w:r>
      <w:r w:rsidR="00C64AC5">
        <w:t xml:space="preserve">(the RAINBOW trial) </w:t>
      </w:r>
      <w:r>
        <w:t xml:space="preserve">are derived from patients with </w:t>
      </w:r>
      <w:r w:rsidR="00194C3D">
        <w:t>Zone II</w:t>
      </w:r>
      <w:r>
        <w:t xml:space="preserve"> (</w:t>
      </w:r>
      <w:r w:rsidR="00194C3D">
        <w:t>Stage 3</w:t>
      </w:r>
      <w:r>
        <w:t xml:space="preserve">+) disease, </w:t>
      </w:r>
      <w:r w:rsidR="00194C3D">
        <w:t xml:space="preserve">Zone I </w:t>
      </w:r>
      <w:r>
        <w:t>(</w:t>
      </w:r>
      <w:r w:rsidR="00194C3D">
        <w:t>Stage 3</w:t>
      </w:r>
      <w:r>
        <w:t>+) disease and AP</w:t>
      </w:r>
      <w:r w:rsidR="00CD655F">
        <w:noBreakHyphen/>
      </w:r>
      <w:r>
        <w:t>ROP (</w:t>
      </w:r>
      <w:r w:rsidR="00705115">
        <w:t>zone</w:t>
      </w:r>
      <w:r>
        <w:t xml:space="preserve"> I) disease. Furthermore, a distinction between anterior and posterior disease appears not to have been made in the trial (except for AP-ROP which is defined as posterior disease). There are only rather limited data for </w:t>
      </w:r>
      <w:r w:rsidR="00194C3D">
        <w:t xml:space="preserve">Zone I </w:t>
      </w:r>
      <w:r>
        <w:t>(</w:t>
      </w:r>
      <w:r w:rsidR="00194C3D">
        <w:t>Stage 1</w:t>
      </w:r>
      <w:r>
        <w:t>+, 2+, or 3) disease. Extrapolation from AP-ROP (</w:t>
      </w:r>
      <w:r w:rsidR="00705115">
        <w:t>zone</w:t>
      </w:r>
      <w:r>
        <w:t xml:space="preserve"> I) disease to AP-ROP (</w:t>
      </w:r>
      <w:r w:rsidR="00194C3D">
        <w:t>Zone II</w:t>
      </w:r>
      <w:r>
        <w:t>) disease would not be unreasonable. Extrapolation to other ‘plus’ disease states could be considered reasonable.</w:t>
      </w:r>
    </w:p>
    <w:p w14:paraId="7DDE46EE" w14:textId="0A945DEF" w:rsidR="00C66DB5" w:rsidRPr="006A0734" w:rsidRDefault="002F0AC0" w:rsidP="005004A3">
      <w:pPr>
        <w:pStyle w:val="Heading6"/>
      </w:pPr>
      <w:r w:rsidRPr="006A0734">
        <w:t>R</w:t>
      </w:r>
      <w:r w:rsidR="00C66DB5" w:rsidRPr="006A0734">
        <w:t>esults by baseline disease classification</w:t>
      </w:r>
    </w:p>
    <w:p w14:paraId="0B47270A" w14:textId="1B9FFDAC" w:rsidR="00AB0307" w:rsidRDefault="00C66DB5" w:rsidP="009B03BB">
      <w:r>
        <w:t xml:space="preserve">The primary (or other) endpoint subgroup analyses were not originally stratified by baseline disease classification other than by zone. This has been requested from the sponsor and the stratified primary efficacy endpoint results shown in </w:t>
      </w:r>
      <w:bookmarkStart w:id="68" w:name="_Hlk121469745"/>
      <w:r w:rsidR="00C64AC5">
        <w:fldChar w:fldCharType="begin"/>
      </w:r>
      <w:r w:rsidR="00C64AC5">
        <w:instrText xml:space="preserve"> REF _Ref121474943 \h  \* MERGEFORMAT </w:instrText>
      </w:r>
      <w:r w:rsidR="00C64AC5">
        <w:fldChar w:fldCharType="separate"/>
      </w:r>
      <w:r w:rsidR="00C64AC5">
        <w:t xml:space="preserve">Tables </w:t>
      </w:r>
      <w:r w:rsidR="00C64AC5">
        <w:rPr>
          <w:noProof/>
        </w:rPr>
        <w:t>7</w:t>
      </w:r>
      <w:r w:rsidR="00C64AC5">
        <w:fldChar w:fldCharType="end"/>
      </w:r>
      <w:r w:rsidR="00C64AC5" w:rsidRPr="001C1BB1">
        <w:t xml:space="preserve">, </w:t>
      </w:r>
      <w:r w:rsidR="0047273B">
        <w:fldChar w:fldCharType="begin"/>
      </w:r>
      <w:r w:rsidR="0047273B">
        <w:instrText xml:space="preserve"> REF _Ref121475074 \h </w:instrText>
      </w:r>
      <w:r w:rsidR="009B03BB">
        <w:instrText xml:space="preserve"> \* MERGEFORMAT </w:instrText>
      </w:r>
      <w:r w:rsidR="0047273B">
        <w:fldChar w:fldCharType="separate"/>
      </w:r>
      <w:r w:rsidR="00B12C8C">
        <w:rPr>
          <w:noProof/>
        </w:rPr>
        <w:t>10</w:t>
      </w:r>
      <w:r w:rsidR="0047273B">
        <w:fldChar w:fldCharType="end"/>
      </w:r>
      <w:r w:rsidRPr="001C1BB1">
        <w:t>, and</w:t>
      </w:r>
      <w:r w:rsidR="0047273B">
        <w:t xml:space="preserve"> </w:t>
      </w:r>
      <w:r w:rsidR="0047273B">
        <w:rPr>
          <w:b/>
        </w:rPr>
        <w:fldChar w:fldCharType="begin"/>
      </w:r>
      <w:r w:rsidR="0047273B">
        <w:instrText xml:space="preserve"> REF _Ref121475162 \h </w:instrText>
      </w:r>
      <w:r w:rsidR="009B03BB">
        <w:instrText xml:space="preserve"> \* MERGEFORMAT </w:instrText>
      </w:r>
      <w:r w:rsidR="0047273B">
        <w:rPr>
          <w:b/>
        </w:rPr>
      </w:r>
      <w:r w:rsidR="0047273B">
        <w:rPr>
          <w:b/>
        </w:rPr>
        <w:fldChar w:fldCharType="separate"/>
      </w:r>
      <w:r w:rsidR="009B03BB">
        <w:rPr>
          <w:noProof/>
        </w:rPr>
        <w:t>11</w:t>
      </w:r>
      <w:r w:rsidR="0047273B">
        <w:fldChar w:fldCharType="end"/>
      </w:r>
      <w:r w:rsidR="00C64AC5">
        <w:t xml:space="preserve"> (above)</w:t>
      </w:r>
      <w:r w:rsidR="00AB0307">
        <w:t>.</w:t>
      </w:r>
    </w:p>
    <w:bookmarkEnd w:id="68"/>
    <w:p w14:paraId="58E1CA81" w14:textId="576EBA8A" w:rsidR="00C66DB5" w:rsidRDefault="00C66DB5" w:rsidP="00C66DB5">
      <w:r>
        <w:t xml:space="preserve">Ranibizumab 0.2 mg was effective in both ROP </w:t>
      </w:r>
      <w:r w:rsidR="00705115">
        <w:t>zone</w:t>
      </w:r>
      <w:r>
        <w:t xml:space="preserve"> </w:t>
      </w:r>
      <w:bookmarkStart w:id="69" w:name="_Hlk121471112"/>
      <w:r>
        <w:t xml:space="preserve">subgroups, with 67.9% </w:t>
      </w:r>
      <w:bookmarkEnd w:id="69"/>
      <w:r>
        <w:t xml:space="preserve">of patients with </w:t>
      </w:r>
      <w:r w:rsidR="00194C3D">
        <w:t xml:space="preserve">Zone I </w:t>
      </w:r>
      <w:r>
        <w:t xml:space="preserve">disease and 88.1% of patients with </w:t>
      </w:r>
      <w:r w:rsidR="00194C3D">
        <w:t>Zone II</w:t>
      </w:r>
      <w:r>
        <w:t xml:space="preserve"> disease achieving treatment success at Week 24.</w:t>
      </w:r>
    </w:p>
    <w:p w14:paraId="17811DA1" w14:textId="0605A92A" w:rsidR="00C66DB5" w:rsidRPr="006A0734" w:rsidRDefault="002F0AC0" w:rsidP="005004A3">
      <w:pPr>
        <w:pStyle w:val="Heading6"/>
      </w:pPr>
      <w:r w:rsidRPr="006A0734">
        <w:t>C</w:t>
      </w:r>
      <w:r w:rsidR="00C66DB5" w:rsidRPr="006A0734">
        <w:t>omparison of the proposed indication to Australian guidance</w:t>
      </w:r>
    </w:p>
    <w:p w14:paraId="4F5A61E9" w14:textId="3D3D0F74" w:rsidR="00C66DB5" w:rsidRDefault="00C66DB5" w:rsidP="00C66DB5">
      <w:r>
        <w:t>With regard to ROP classification, the Australia and New Zealand ROP Group Consensus on Avastin</w:t>
      </w:r>
      <w:r w:rsidR="004F0BC2">
        <w:t xml:space="preserve"> (b</w:t>
      </w:r>
      <w:r w:rsidR="004F0BC2" w:rsidRPr="004F0BC2">
        <w:t>evacizumab</w:t>
      </w:r>
      <w:r w:rsidR="004F0BC2">
        <w:t>)</w:t>
      </w:r>
      <w:r>
        <w:t xml:space="preserve"> in ROP</w:t>
      </w:r>
      <w:r w:rsidR="007C236E">
        <w:t>;</w:t>
      </w:r>
      <w:r w:rsidR="007C236E">
        <w:rPr>
          <w:rStyle w:val="FootnoteReference"/>
        </w:rPr>
        <w:footnoteReference w:id="22"/>
      </w:r>
      <w:r>
        <w:t xml:space="preserve"> appears to recommend Avastin for </w:t>
      </w:r>
      <w:r w:rsidR="00194C3D">
        <w:t xml:space="preserve">Zone I </w:t>
      </w:r>
      <w:r>
        <w:t xml:space="preserve">disease and AP-ROP, but not </w:t>
      </w:r>
      <w:r w:rsidR="00194C3D">
        <w:t>Zone II</w:t>
      </w:r>
      <w:r>
        <w:t xml:space="preserve"> disease, whereas the more recent 2021 </w:t>
      </w:r>
      <w:r w:rsidR="00B677DC">
        <w:t xml:space="preserve">Australasian Neonatal </w:t>
      </w:r>
      <w:r w:rsidR="00B677DC">
        <w:lastRenderedPageBreak/>
        <w:t>Medicines Formulary (ANMF)</w:t>
      </w:r>
      <w:r>
        <w:t xml:space="preserve"> </w:t>
      </w:r>
      <w:r w:rsidR="008E16C0">
        <w:t>monograph;</w:t>
      </w:r>
      <w:bookmarkStart w:id="70" w:name="_Ref134818366"/>
      <w:r w:rsidR="008E16C0">
        <w:rPr>
          <w:rStyle w:val="FootnoteReference"/>
        </w:rPr>
        <w:footnoteReference w:id="23"/>
      </w:r>
      <w:bookmarkEnd w:id="70"/>
      <w:r>
        <w:t xml:space="preserve"> appears to nearly match the sponsor-proposed ROP indication, with the exception of </w:t>
      </w:r>
      <w:r w:rsidR="00194C3D">
        <w:t>Zone II</w:t>
      </w:r>
      <w:r>
        <w:t xml:space="preserve"> (</w:t>
      </w:r>
      <w:r w:rsidR="00194C3D">
        <w:t>Stage 2</w:t>
      </w:r>
      <w:r>
        <w:t xml:space="preserve">+) and anterior </w:t>
      </w:r>
      <w:r w:rsidR="00194C3D">
        <w:t>Zone II</w:t>
      </w:r>
      <w:r>
        <w:t xml:space="preserve"> (</w:t>
      </w:r>
      <w:r w:rsidR="00194C3D">
        <w:t>Stage 3</w:t>
      </w:r>
      <w:r>
        <w:t>+) disease (</w:t>
      </w:r>
      <w:r w:rsidR="004F0BC2">
        <w:t xml:space="preserve">see </w:t>
      </w:r>
      <w:r w:rsidR="0047273B">
        <w:fldChar w:fldCharType="begin"/>
      </w:r>
      <w:r w:rsidR="0047273B">
        <w:instrText xml:space="preserve"> REF _Ref121475604 \h </w:instrText>
      </w:r>
      <w:r w:rsidR="0047273B">
        <w:fldChar w:fldCharType="separate"/>
      </w:r>
      <w:r w:rsidR="00B12C8C">
        <w:t xml:space="preserve">Table </w:t>
      </w:r>
      <w:r w:rsidR="00B12C8C">
        <w:rPr>
          <w:noProof/>
        </w:rPr>
        <w:t>17</w:t>
      </w:r>
      <w:r w:rsidR="0047273B">
        <w:fldChar w:fldCharType="end"/>
      </w:r>
      <w:r>
        <w:t xml:space="preserve">). The ANMF guidance does not state why it restricts the </w:t>
      </w:r>
      <w:r w:rsidR="00194C3D">
        <w:t>Zone</w:t>
      </w:r>
      <w:r w:rsidR="003A24C0">
        <w:t xml:space="preserve"> II </w:t>
      </w:r>
      <w:r>
        <w:t xml:space="preserve">classifications to posterior disease only. However, this it likely due to posterior disease typically being more severe than anterior disease, and the more posterior the disease, the more severe and likely the progression may be. The inclusion criteria and the proposed indication are silent </w:t>
      </w:r>
      <w:proofErr w:type="gramStart"/>
      <w:r>
        <w:t>with regard to</w:t>
      </w:r>
      <w:proofErr w:type="gramEnd"/>
      <w:r>
        <w:t xml:space="preserve"> laser therapy.</w:t>
      </w:r>
    </w:p>
    <w:p w14:paraId="20769391" w14:textId="3EFD3F6D" w:rsidR="0047273B" w:rsidRDefault="0047273B" w:rsidP="0047273B">
      <w:pPr>
        <w:pStyle w:val="TableTitle"/>
      </w:pPr>
      <w:bookmarkStart w:id="71" w:name="_Ref121475604"/>
      <w:r>
        <w:t xml:space="preserve">Table </w:t>
      </w:r>
      <w:r w:rsidR="002D65F1">
        <w:fldChar w:fldCharType="begin"/>
      </w:r>
      <w:r w:rsidR="002D65F1">
        <w:instrText xml:space="preserve"> SEQ Table \* ARABIC </w:instrText>
      </w:r>
      <w:r w:rsidR="002D65F1">
        <w:fldChar w:fldCharType="separate"/>
      </w:r>
      <w:r w:rsidR="00B12C8C">
        <w:rPr>
          <w:noProof/>
        </w:rPr>
        <w:t>17</w:t>
      </w:r>
      <w:r w:rsidR="002D65F1">
        <w:rPr>
          <w:noProof/>
        </w:rPr>
        <w:fldChar w:fldCharType="end"/>
      </w:r>
      <w:bookmarkEnd w:id="71"/>
      <w:r>
        <w:t xml:space="preserve">: </w:t>
      </w:r>
      <w:r w:rsidR="004F0BC2">
        <w:t>Cl</w:t>
      </w:r>
      <w:r w:rsidRPr="00886208">
        <w:t>assification</w:t>
      </w:r>
      <w:r w:rsidR="004F0BC2">
        <w:t xml:space="preserve"> of retinopathy</w:t>
      </w:r>
      <w:r w:rsidRPr="00886208">
        <w:t xml:space="preserve">: </w:t>
      </w:r>
      <w:r w:rsidR="004F0BC2">
        <w:t>c</w:t>
      </w:r>
      <w:r w:rsidRPr="00886208">
        <w:t>omparison of consensus group guidance, study inclusion criteria, and proposed indication.</w:t>
      </w:r>
    </w:p>
    <w:tbl>
      <w:tblPr>
        <w:tblStyle w:val="TableTGAblue"/>
        <w:tblW w:w="8720" w:type="dxa"/>
        <w:tblLook w:val="04A0" w:firstRow="1" w:lastRow="0" w:firstColumn="1" w:lastColumn="0" w:noHBand="0" w:noVBand="1"/>
      </w:tblPr>
      <w:tblGrid>
        <w:gridCol w:w="1187"/>
        <w:gridCol w:w="1382"/>
        <w:gridCol w:w="1891"/>
        <w:gridCol w:w="4260"/>
      </w:tblGrid>
      <w:tr w:rsidR="004A050F" w:rsidRPr="007B0E2C" w14:paraId="61DDE36E" w14:textId="77777777" w:rsidTr="005004A3">
        <w:trPr>
          <w:cnfStyle w:val="100000000000" w:firstRow="1" w:lastRow="0" w:firstColumn="0" w:lastColumn="0" w:oddVBand="0" w:evenVBand="0" w:oddHBand="0" w:evenHBand="0" w:firstRowFirstColumn="0" w:firstRowLastColumn="0" w:lastRowFirstColumn="0" w:lastRowLastColumn="0"/>
        </w:trPr>
        <w:tc>
          <w:tcPr>
            <w:tcW w:w="0" w:type="dxa"/>
          </w:tcPr>
          <w:p w14:paraId="108694A8" w14:textId="77777777" w:rsidR="004A050F" w:rsidRPr="007B0E2C" w:rsidRDefault="004A050F" w:rsidP="005004A3">
            <w:pPr>
              <w:ind w:left="0" w:right="0"/>
              <w:rPr>
                <w:b w:val="0"/>
                <w:bCs/>
                <w:sz w:val="20"/>
                <w:szCs w:val="20"/>
                <w:lang w:eastAsia="ja-JP"/>
              </w:rPr>
            </w:pPr>
            <w:r w:rsidRPr="007B0E2C">
              <w:rPr>
                <w:bCs/>
                <w:sz w:val="20"/>
                <w:szCs w:val="20"/>
                <w:lang w:eastAsia="ja-JP"/>
              </w:rPr>
              <w:t>Australia and New Zealand ROP Group Consensus on Avastin in ROP*</w:t>
            </w:r>
          </w:p>
        </w:tc>
        <w:tc>
          <w:tcPr>
            <w:tcW w:w="0" w:type="dxa"/>
          </w:tcPr>
          <w:p w14:paraId="1601BCA3" w14:textId="77777777" w:rsidR="004A050F" w:rsidRPr="007B0E2C" w:rsidRDefault="004A050F" w:rsidP="005004A3">
            <w:pPr>
              <w:ind w:left="0" w:right="0"/>
              <w:rPr>
                <w:b w:val="0"/>
                <w:bCs/>
                <w:sz w:val="20"/>
                <w:szCs w:val="20"/>
                <w:lang w:eastAsia="ja-JP"/>
              </w:rPr>
            </w:pPr>
            <w:bookmarkStart w:id="72" w:name="_Hlk81577496"/>
            <w:r w:rsidRPr="007B0E2C">
              <w:rPr>
                <w:bCs/>
                <w:sz w:val="20"/>
                <w:szCs w:val="20"/>
                <w:lang w:eastAsia="ja-JP"/>
              </w:rPr>
              <w:t>Australasian Neonatal Medicines Formulary (ANMF) consensus group guidance (2021)</w:t>
            </w:r>
            <w:bookmarkEnd w:id="72"/>
          </w:p>
        </w:tc>
        <w:tc>
          <w:tcPr>
            <w:tcW w:w="2387" w:type="dxa"/>
          </w:tcPr>
          <w:p w14:paraId="5BAE7741" w14:textId="77777777" w:rsidR="004A050F" w:rsidRPr="007B0E2C" w:rsidRDefault="004A050F" w:rsidP="005004A3">
            <w:pPr>
              <w:ind w:left="0" w:right="0"/>
              <w:rPr>
                <w:b w:val="0"/>
                <w:bCs/>
                <w:sz w:val="20"/>
                <w:szCs w:val="20"/>
                <w:lang w:eastAsia="ja-JP"/>
              </w:rPr>
            </w:pPr>
            <w:r w:rsidRPr="007B0E2C">
              <w:rPr>
                <w:bCs/>
                <w:sz w:val="20"/>
                <w:szCs w:val="20"/>
                <w:lang w:eastAsia="ja-JP"/>
              </w:rPr>
              <w:t>RAINBOW inclusion criteria</w:t>
            </w:r>
          </w:p>
        </w:tc>
        <w:tc>
          <w:tcPr>
            <w:tcW w:w="1800" w:type="dxa"/>
          </w:tcPr>
          <w:p w14:paraId="4F21E1BD" w14:textId="77777777" w:rsidR="004A050F" w:rsidRPr="007B0E2C" w:rsidRDefault="004A050F" w:rsidP="005004A3">
            <w:pPr>
              <w:ind w:left="0" w:right="0"/>
              <w:rPr>
                <w:b w:val="0"/>
                <w:bCs/>
                <w:sz w:val="20"/>
                <w:szCs w:val="20"/>
                <w:lang w:eastAsia="ja-JP"/>
              </w:rPr>
            </w:pPr>
            <w:r w:rsidRPr="007B0E2C">
              <w:rPr>
                <w:bCs/>
                <w:sz w:val="20"/>
                <w:szCs w:val="20"/>
                <w:lang w:eastAsia="ja-JP"/>
              </w:rPr>
              <w:t>Sponsor-proposed indication</w:t>
            </w:r>
          </w:p>
        </w:tc>
      </w:tr>
      <w:tr w:rsidR="004A050F" w:rsidRPr="007B0E2C" w14:paraId="3BEBF515" w14:textId="77777777" w:rsidTr="005004A3">
        <w:tc>
          <w:tcPr>
            <w:tcW w:w="0" w:type="dxa"/>
          </w:tcPr>
          <w:p w14:paraId="186ACFA6" w14:textId="74BA4FBE" w:rsidR="004A050F" w:rsidRPr="007B0E2C" w:rsidRDefault="004A050F" w:rsidP="005004A3">
            <w:pPr>
              <w:ind w:left="0" w:right="0"/>
              <w:rPr>
                <w:sz w:val="20"/>
                <w:szCs w:val="20"/>
                <w:lang w:eastAsia="ja-JP"/>
              </w:rPr>
            </w:pPr>
            <w:r w:rsidRPr="007B0E2C">
              <w:rPr>
                <w:sz w:val="20"/>
                <w:szCs w:val="20"/>
                <w:lang w:eastAsia="ja-JP"/>
              </w:rPr>
              <w:t>Zone I (</w:t>
            </w:r>
            <w:r w:rsidR="00194C3D">
              <w:rPr>
                <w:sz w:val="20"/>
                <w:szCs w:val="20"/>
                <w:lang w:eastAsia="ja-JP"/>
              </w:rPr>
              <w:t>Stage 1</w:t>
            </w:r>
            <w:r w:rsidRPr="007B0E2C">
              <w:rPr>
                <w:sz w:val="20"/>
                <w:szCs w:val="20"/>
                <w:lang w:eastAsia="ja-JP"/>
              </w:rPr>
              <w:t>+, 2+, 3 or 3+)</w:t>
            </w:r>
          </w:p>
        </w:tc>
        <w:tc>
          <w:tcPr>
            <w:tcW w:w="0" w:type="dxa"/>
          </w:tcPr>
          <w:p w14:paraId="54ACE13B" w14:textId="2A922615" w:rsidR="004A050F" w:rsidRPr="007B0E2C" w:rsidRDefault="004A050F" w:rsidP="005004A3">
            <w:pPr>
              <w:ind w:left="0" w:right="0"/>
              <w:rPr>
                <w:sz w:val="20"/>
                <w:szCs w:val="20"/>
                <w:lang w:eastAsia="ja-JP"/>
              </w:rPr>
            </w:pPr>
            <w:r w:rsidRPr="007B0E2C">
              <w:rPr>
                <w:sz w:val="20"/>
                <w:szCs w:val="20"/>
                <w:lang w:eastAsia="ja-JP"/>
              </w:rPr>
              <w:t>Zone I (</w:t>
            </w:r>
            <w:r w:rsidR="00194C3D">
              <w:rPr>
                <w:sz w:val="20"/>
                <w:szCs w:val="20"/>
                <w:lang w:eastAsia="ja-JP"/>
              </w:rPr>
              <w:t>Stage 1</w:t>
            </w:r>
            <w:r w:rsidRPr="007B0E2C">
              <w:rPr>
                <w:sz w:val="20"/>
                <w:szCs w:val="20"/>
                <w:lang w:eastAsia="ja-JP"/>
              </w:rPr>
              <w:t>+, 2+, 3 or 3+)</w:t>
            </w:r>
          </w:p>
        </w:tc>
        <w:tc>
          <w:tcPr>
            <w:tcW w:w="2387" w:type="dxa"/>
          </w:tcPr>
          <w:p w14:paraId="07496AAE" w14:textId="43CBC96C" w:rsidR="004A050F" w:rsidRPr="007B0E2C" w:rsidRDefault="004A050F" w:rsidP="005004A3">
            <w:pPr>
              <w:ind w:left="0" w:right="0"/>
              <w:rPr>
                <w:sz w:val="20"/>
                <w:szCs w:val="20"/>
                <w:lang w:eastAsia="ja-JP"/>
              </w:rPr>
            </w:pPr>
            <w:r w:rsidRPr="007B0E2C">
              <w:rPr>
                <w:sz w:val="20"/>
                <w:szCs w:val="20"/>
                <w:lang w:eastAsia="ja-JP"/>
              </w:rPr>
              <w:t>Zone I (</w:t>
            </w:r>
            <w:r w:rsidR="00194C3D">
              <w:rPr>
                <w:sz w:val="20"/>
                <w:szCs w:val="20"/>
                <w:lang w:eastAsia="ja-JP"/>
              </w:rPr>
              <w:t>Stage 1</w:t>
            </w:r>
            <w:r w:rsidRPr="007B0E2C">
              <w:rPr>
                <w:sz w:val="20"/>
                <w:szCs w:val="20"/>
                <w:lang w:eastAsia="ja-JP"/>
              </w:rPr>
              <w:t>+, 2+, 3 or 3+)</w:t>
            </w:r>
          </w:p>
        </w:tc>
        <w:tc>
          <w:tcPr>
            <w:tcW w:w="1800" w:type="dxa"/>
          </w:tcPr>
          <w:p w14:paraId="268E4B50" w14:textId="7BFB0D3F" w:rsidR="004A050F" w:rsidRPr="007B0E2C" w:rsidRDefault="004A050F" w:rsidP="005004A3">
            <w:pPr>
              <w:ind w:left="0" w:right="0"/>
              <w:rPr>
                <w:sz w:val="20"/>
                <w:szCs w:val="20"/>
                <w:lang w:eastAsia="ja-JP"/>
              </w:rPr>
            </w:pPr>
            <w:r w:rsidRPr="007B0E2C">
              <w:rPr>
                <w:sz w:val="20"/>
                <w:szCs w:val="20"/>
                <w:lang w:eastAsia="ja-JP"/>
              </w:rPr>
              <w:t>Zone I (</w:t>
            </w:r>
            <w:r w:rsidR="00194C3D">
              <w:rPr>
                <w:sz w:val="20"/>
                <w:szCs w:val="20"/>
                <w:lang w:eastAsia="ja-JP"/>
              </w:rPr>
              <w:t>Stage 1</w:t>
            </w:r>
            <w:r w:rsidRPr="007B0E2C">
              <w:rPr>
                <w:sz w:val="20"/>
                <w:szCs w:val="20"/>
                <w:lang w:eastAsia="ja-JP"/>
              </w:rPr>
              <w:t>+, 2+, 3 or 3+)</w:t>
            </w:r>
          </w:p>
        </w:tc>
      </w:tr>
      <w:tr w:rsidR="004A050F" w:rsidRPr="007B0E2C" w14:paraId="24BE660A" w14:textId="77777777" w:rsidTr="005004A3">
        <w:tc>
          <w:tcPr>
            <w:tcW w:w="0" w:type="dxa"/>
          </w:tcPr>
          <w:p w14:paraId="6626093C" w14:textId="77777777" w:rsidR="004A050F" w:rsidRPr="007B0E2C" w:rsidRDefault="004A050F" w:rsidP="005004A3">
            <w:pPr>
              <w:ind w:left="0" w:right="0"/>
              <w:rPr>
                <w:sz w:val="20"/>
                <w:szCs w:val="20"/>
                <w:lang w:eastAsia="ja-JP"/>
              </w:rPr>
            </w:pPr>
            <w:r w:rsidRPr="007B0E2C">
              <w:rPr>
                <w:sz w:val="20"/>
                <w:szCs w:val="20"/>
                <w:lang w:eastAsia="ja-JP"/>
              </w:rPr>
              <w:t>--</w:t>
            </w:r>
          </w:p>
        </w:tc>
        <w:tc>
          <w:tcPr>
            <w:tcW w:w="0" w:type="dxa"/>
          </w:tcPr>
          <w:p w14:paraId="5C3D1E22" w14:textId="693821FF" w:rsidR="004A050F" w:rsidRPr="007B0E2C" w:rsidRDefault="004A050F" w:rsidP="005004A3">
            <w:pPr>
              <w:ind w:left="0" w:right="0"/>
              <w:rPr>
                <w:sz w:val="20"/>
                <w:szCs w:val="20"/>
                <w:lang w:eastAsia="ja-JP"/>
              </w:rPr>
            </w:pPr>
            <w:r w:rsidRPr="007B0E2C">
              <w:rPr>
                <w:sz w:val="20"/>
                <w:szCs w:val="20"/>
                <w:lang w:eastAsia="ja-JP"/>
              </w:rPr>
              <w:t>Zone II (</w:t>
            </w:r>
            <w:r w:rsidR="00194C3D">
              <w:rPr>
                <w:sz w:val="20"/>
                <w:szCs w:val="20"/>
                <w:lang w:eastAsia="ja-JP"/>
              </w:rPr>
              <w:t>Stage 2</w:t>
            </w:r>
            <w:r w:rsidRPr="007B0E2C">
              <w:rPr>
                <w:sz w:val="20"/>
                <w:szCs w:val="20"/>
                <w:lang w:eastAsia="ja-JP"/>
              </w:rPr>
              <w:t>+ or 3+) (posterior)</w:t>
            </w:r>
          </w:p>
        </w:tc>
        <w:tc>
          <w:tcPr>
            <w:tcW w:w="2387" w:type="dxa"/>
          </w:tcPr>
          <w:p w14:paraId="2FB9E84D" w14:textId="297D1412" w:rsidR="004A050F" w:rsidRPr="007B0E2C" w:rsidRDefault="004A050F" w:rsidP="005004A3">
            <w:pPr>
              <w:ind w:left="0" w:right="0"/>
              <w:rPr>
                <w:sz w:val="20"/>
                <w:szCs w:val="20"/>
                <w:lang w:eastAsia="ja-JP"/>
              </w:rPr>
            </w:pPr>
            <w:r w:rsidRPr="007B0E2C">
              <w:rPr>
                <w:sz w:val="20"/>
                <w:szCs w:val="20"/>
                <w:lang w:eastAsia="ja-JP"/>
              </w:rPr>
              <w:t>Zone II (</w:t>
            </w:r>
            <w:r w:rsidR="00194C3D">
              <w:rPr>
                <w:sz w:val="20"/>
                <w:szCs w:val="20"/>
                <w:lang w:eastAsia="ja-JP"/>
              </w:rPr>
              <w:t>Stage 3</w:t>
            </w:r>
            <w:r w:rsidRPr="007B0E2C">
              <w:rPr>
                <w:sz w:val="20"/>
                <w:szCs w:val="20"/>
                <w:lang w:eastAsia="ja-JP"/>
              </w:rPr>
              <w:t>+)</w:t>
            </w:r>
          </w:p>
          <w:p w14:paraId="0A11A5AC" w14:textId="77777777" w:rsidR="004A050F" w:rsidRPr="007B0E2C" w:rsidRDefault="004A050F" w:rsidP="005004A3">
            <w:pPr>
              <w:ind w:left="0" w:right="0"/>
              <w:rPr>
                <w:sz w:val="20"/>
                <w:szCs w:val="20"/>
                <w:lang w:eastAsia="ja-JP"/>
              </w:rPr>
            </w:pPr>
          </w:p>
        </w:tc>
        <w:tc>
          <w:tcPr>
            <w:tcW w:w="1800" w:type="dxa"/>
          </w:tcPr>
          <w:p w14:paraId="620D66D6" w14:textId="3E77C79D" w:rsidR="004A050F" w:rsidRPr="007B0E2C" w:rsidRDefault="004A050F" w:rsidP="005004A3">
            <w:pPr>
              <w:ind w:left="0" w:right="0"/>
              <w:rPr>
                <w:sz w:val="20"/>
                <w:szCs w:val="20"/>
                <w:lang w:eastAsia="ja-JP"/>
              </w:rPr>
            </w:pPr>
            <w:r w:rsidRPr="007B0E2C">
              <w:rPr>
                <w:sz w:val="20"/>
                <w:szCs w:val="20"/>
                <w:lang w:eastAsia="ja-JP"/>
              </w:rPr>
              <w:t>Zone II (</w:t>
            </w:r>
            <w:r w:rsidR="00194C3D">
              <w:rPr>
                <w:sz w:val="20"/>
                <w:szCs w:val="20"/>
                <w:lang w:eastAsia="ja-JP"/>
              </w:rPr>
              <w:t>Stage 3</w:t>
            </w:r>
            <w:r w:rsidRPr="007B0E2C">
              <w:rPr>
                <w:sz w:val="20"/>
                <w:szCs w:val="20"/>
                <w:lang w:eastAsia="ja-JP"/>
              </w:rPr>
              <w:t>+)</w:t>
            </w:r>
          </w:p>
          <w:p w14:paraId="372F1827" w14:textId="77777777" w:rsidR="004A050F" w:rsidRPr="007B0E2C" w:rsidRDefault="004A050F" w:rsidP="005004A3">
            <w:pPr>
              <w:ind w:left="0" w:right="0"/>
              <w:rPr>
                <w:sz w:val="20"/>
                <w:szCs w:val="20"/>
                <w:lang w:eastAsia="ja-JP"/>
              </w:rPr>
            </w:pPr>
          </w:p>
        </w:tc>
      </w:tr>
      <w:tr w:rsidR="004A050F" w:rsidRPr="007B0E2C" w14:paraId="6906B0A5" w14:textId="77777777" w:rsidTr="005004A3">
        <w:tc>
          <w:tcPr>
            <w:tcW w:w="0" w:type="dxa"/>
          </w:tcPr>
          <w:p w14:paraId="1083563E" w14:textId="14319A0B" w:rsidR="004A050F" w:rsidRPr="007B0E2C" w:rsidRDefault="004A050F" w:rsidP="005004A3">
            <w:pPr>
              <w:ind w:left="0" w:right="0"/>
              <w:rPr>
                <w:sz w:val="20"/>
                <w:szCs w:val="20"/>
                <w:lang w:eastAsia="ja-JP"/>
              </w:rPr>
            </w:pPr>
            <w:r w:rsidRPr="007B0E2C">
              <w:rPr>
                <w:sz w:val="20"/>
                <w:szCs w:val="20"/>
                <w:lang w:eastAsia="ja-JP"/>
              </w:rPr>
              <w:t>AP-ROP</w:t>
            </w:r>
          </w:p>
        </w:tc>
        <w:tc>
          <w:tcPr>
            <w:tcW w:w="0" w:type="dxa"/>
          </w:tcPr>
          <w:p w14:paraId="4E6311C6" w14:textId="4DEF60D3" w:rsidR="004A050F" w:rsidRPr="007B0E2C" w:rsidRDefault="004A050F" w:rsidP="005004A3">
            <w:pPr>
              <w:ind w:left="0" w:right="0"/>
              <w:rPr>
                <w:sz w:val="20"/>
                <w:szCs w:val="20"/>
                <w:lang w:eastAsia="ja-JP"/>
              </w:rPr>
            </w:pPr>
            <w:r w:rsidRPr="007B0E2C">
              <w:rPr>
                <w:sz w:val="20"/>
                <w:szCs w:val="20"/>
                <w:lang w:eastAsia="ja-JP"/>
              </w:rPr>
              <w:t>AP-ROP</w:t>
            </w:r>
          </w:p>
        </w:tc>
        <w:tc>
          <w:tcPr>
            <w:tcW w:w="2387" w:type="dxa"/>
          </w:tcPr>
          <w:p w14:paraId="49ADB6D1" w14:textId="77777777" w:rsidR="004A050F" w:rsidRPr="007B0E2C" w:rsidRDefault="004A050F" w:rsidP="005004A3">
            <w:pPr>
              <w:ind w:left="0" w:right="0"/>
              <w:rPr>
                <w:sz w:val="20"/>
                <w:szCs w:val="20"/>
                <w:lang w:eastAsia="ja-JP"/>
              </w:rPr>
            </w:pPr>
            <w:r w:rsidRPr="007B0E2C">
              <w:rPr>
                <w:sz w:val="20"/>
                <w:szCs w:val="20"/>
                <w:lang w:eastAsia="ja-JP"/>
              </w:rPr>
              <w:t>AP-ROP</w:t>
            </w:r>
          </w:p>
        </w:tc>
        <w:tc>
          <w:tcPr>
            <w:tcW w:w="1800" w:type="dxa"/>
          </w:tcPr>
          <w:p w14:paraId="284B3A42" w14:textId="77777777" w:rsidR="004A050F" w:rsidRPr="007B0E2C" w:rsidRDefault="004A050F" w:rsidP="005004A3">
            <w:pPr>
              <w:ind w:left="0" w:right="0"/>
              <w:rPr>
                <w:sz w:val="20"/>
                <w:szCs w:val="20"/>
                <w:lang w:eastAsia="ja-JP"/>
              </w:rPr>
            </w:pPr>
            <w:r w:rsidRPr="007B0E2C">
              <w:rPr>
                <w:sz w:val="20"/>
                <w:szCs w:val="20"/>
                <w:lang w:eastAsia="ja-JP"/>
              </w:rPr>
              <w:t>AP-ROP</w:t>
            </w:r>
          </w:p>
        </w:tc>
      </w:tr>
      <w:tr w:rsidR="004A050F" w:rsidRPr="007B0E2C" w14:paraId="67EE226E" w14:textId="77777777" w:rsidTr="005004A3">
        <w:tc>
          <w:tcPr>
            <w:tcW w:w="0" w:type="dxa"/>
          </w:tcPr>
          <w:p w14:paraId="40B38C66" w14:textId="77777777" w:rsidR="004A050F" w:rsidRPr="007B0E2C" w:rsidRDefault="004A050F" w:rsidP="005004A3">
            <w:pPr>
              <w:ind w:left="0" w:right="0"/>
              <w:rPr>
                <w:sz w:val="20"/>
                <w:szCs w:val="20"/>
                <w:lang w:eastAsia="ja-JP"/>
              </w:rPr>
            </w:pPr>
            <w:r w:rsidRPr="007B0E2C">
              <w:rPr>
                <w:sz w:val="20"/>
                <w:szCs w:val="20"/>
                <w:lang w:eastAsia="ja-JP"/>
              </w:rPr>
              <w:t>Failed laser therapy</w:t>
            </w:r>
          </w:p>
          <w:p w14:paraId="431DF275" w14:textId="77777777" w:rsidR="004A050F" w:rsidRPr="007B0E2C" w:rsidRDefault="004A050F" w:rsidP="005004A3">
            <w:pPr>
              <w:ind w:left="0" w:right="0"/>
              <w:rPr>
                <w:sz w:val="20"/>
                <w:szCs w:val="20"/>
                <w:lang w:eastAsia="ja-JP"/>
              </w:rPr>
            </w:pPr>
            <w:r w:rsidRPr="007B0E2C">
              <w:rPr>
                <w:sz w:val="20"/>
                <w:szCs w:val="20"/>
                <w:lang w:eastAsia="ja-JP"/>
              </w:rPr>
              <w:t>Cases for which laser therapy is not possible due to poor view of retina or baby too unwell to tolerate laser therapy</w:t>
            </w:r>
          </w:p>
        </w:tc>
        <w:tc>
          <w:tcPr>
            <w:tcW w:w="0" w:type="dxa"/>
          </w:tcPr>
          <w:p w14:paraId="6EEB3E54" w14:textId="77777777" w:rsidR="004A050F" w:rsidRPr="007B0E2C" w:rsidRDefault="004A050F" w:rsidP="005004A3">
            <w:pPr>
              <w:ind w:left="0" w:right="0"/>
              <w:rPr>
                <w:sz w:val="20"/>
                <w:szCs w:val="20"/>
                <w:lang w:eastAsia="ja-JP"/>
              </w:rPr>
            </w:pPr>
            <w:r w:rsidRPr="007B0E2C">
              <w:rPr>
                <w:sz w:val="20"/>
                <w:szCs w:val="20"/>
                <w:lang w:eastAsia="ja-JP"/>
              </w:rPr>
              <w:t>Failed laser therapy</w:t>
            </w:r>
          </w:p>
          <w:p w14:paraId="51C315D3" w14:textId="77777777" w:rsidR="004A050F" w:rsidRPr="007B0E2C" w:rsidRDefault="004A050F" w:rsidP="005004A3">
            <w:pPr>
              <w:ind w:left="0" w:right="0"/>
              <w:rPr>
                <w:sz w:val="20"/>
                <w:szCs w:val="20"/>
                <w:lang w:eastAsia="ja-JP"/>
              </w:rPr>
            </w:pPr>
            <w:r w:rsidRPr="007B0E2C">
              <w:rPr>
                <w:sz w:val="20"/>
                <w:szCs w:val="20"/>
                <w:lang w:eastAsia="ja-JP"/>
              </w:rPr>
              <w:t>Cases for which laser therapy is not possible due to media opacity</w:t>
            </w:r>
          </w:p>
        </w:tc>
        <w:tc>
          <w:tcPr>
            <w:tcW w:w="2387" w:type="dxa"/>
          </w:tcPr>
          <w:p w14:paraId="44291C7D" w14:textId="77777777" w:rsidR="004A050F" w:rsidRPr="007B0E2C" w:rsidRDefault="004A050F" w:rsidP="005004A3">
            <w:pPr>
              <w:ind w:left="0" w:right="0"/>
              <w:rPr>
                <w:sz w:val="20"/>
                <w:szCs w:val="20"/>
                <w:lang w:eastAsia="ja-JP"/>
              </w:rPr>
            </w:pPr>
            <w:r w:rsidRPr="007B0E2C">
              <w:rPr>
                <w:sz w:val="20"/>
                <w:szCs w:val="20"/>
                <w:lang w:eastAsia="ja-JP"/>
              </w:rPr>
              <w:t>--</w:t>
            </w:r>
          </w:p>
        </w:tc>
        <w:tc>
          <w:tcPr>
            <w:tcW w:w="1800" w:type="dxa"/>
          </w:tcPr>
          <w:p w14:paraId="7836C345" w14:textId="77777777" w:rsidR="004A050F" w:rsidRPr="007B0E2C" w:rsidRDefault="004A050F" w:rsidP="005004A3">
            <w:pPr>
              <w:ind w:left="0" w:right="0"/>
              <w:rPr>
                <w:sz w:val="20"/>
                <w:szCs w:val="20"/>
                <w:lang w:eastAsia="ja-JP"/>
              </w:rPr>
            </w:pPr>
            <w:r w:rsidRPr="007B0E2C">
              <w:rPr>
                <w:sz w:val="20"/>
                <w:szCs w:val="20"/>
                <w:lang w:eastAsia="ja-JP"/>
              </w:rPr>
              <w:t>--</w:t>
            </w:r>
          </w:p>
        </w:tc>
      </w:tr>
      <w:tr w:rsidR="004A050F" w:rsidRPr="007B0E2C" w14:paraId="17085733" w14:textId="77777777" w:rsidTr="005004A3">
        <w:tc>
          <w:tcPr>
            <w:tcW w:w="8720" w:type="dxa"/>
            <w:gridSpan w:val="4"/>
          </w:tcPr>
          <w:p w14:paraId="35ABB33F" w14:textId="73626DC5" w:rsidR="004A050F" w:rsidRPr="007B0E2C" w:rsidRDefault="004A050F" w:rsidP="005004A3">
            <w:pPr>
              <w:ind w:left="0" w:right="0"/>
              <w:rPr>
                <w:color w:val="FF0000"/>
                <w:sz w:val="20"/>
                <w:szCs w:val="20"/>
                <w:lang w:eastAsia="ja-JP"/>
              </w:rPr>
            </w:pPr>
            <w:r w:rsidRPr="007B0E2C">
              <w:rPr>
                <w:sz w:val="20"/>
                <w:szCs w:val="20"/>
                <w:lang w:eastAsia="ja-JP"/>
              </w:rPr>
              <w:t>*</w:t>
            </w:r>
            <w:r w:rsidR="00812802">
              <w:rPr>
                <w:sz w:val="20"/>
                <w:szCs w:val="20"/>
                <w:lang w:eastAsia="ja-JP"/>
              </w:rPr>
              <w:t>S</w:t>
            </w:r>
            <w:r w:rsidRPr="007B0E2C">
              <w:rPr>
                <w:sz w:val="20"/>
                <w:szCs w:val="20"/>
                <w:lang w:eastAsia="ja-JP"/>
              </w:rPr>
              <w:t>pecific to Avastin, but in the past commonly used for all anti-VEGF agents</w:t>
            </w:r>
          </w:p>
        </w:tc>
      </w:tr>
    </w:tbl>
    <w:p w14:paraId="3421B88F" w14:textId="3481930D" w:rsidR="00CD655F" w:rsidRDefault="00CD655F" w:rsidP="005004A3">
      <w:pPr>
        <w:pStyle w:val="TableDescription"/>
      </w:pPr>
      <w:r>
        <w:t>Guidance referenced:</w:t>
      </w:r>
    </w:p>
    <w:p w14:paraId="3F834F01" w14:textId="76B90C81" w:rsidR="00CD655F" w:rsidRPr="00CD655F" w:rsidRDefault="00CD655F" w:rsidP="005004A3">
      <w:pPr>
        <w:pStyle w:val="TableDescription"/>
        <w:rPr>
          <w:lang w:val="en-GB"/>
        </w:rPr>
      </w:pPr>
      <w:r w:rsidRPr="00CD655F">
        <w:lastRenderedPageBreak/>
        <w:t xml:space="preserve">The Royal Australian and New Zealand College of </w:t>
      </w:r>
      <w:proofErr w:type="spellStart"/>
      <w:r w:rsidRPr="00CD655F">
        <w:t>Ophthalmolgists</w:t>
      </w:r>
      <w:proofErr w:type="spellEnd"/>
      <w:r w:rsidRPr="00CD655F">
        <w:t xml:space="preserve">. Retinopathy of prematurity (ROP) screening and treatment guidelines. Available from: </w:t>
      </w:r>
      <w:hyperlink r:id="rId36" w:history="1">
        <w:r w:rsidRPr="00CD655F">
          <w:rPr>
            <w:rStyle w:val="Hyperlink"/>
          </w:rPr>
          <w:t>https://ranzco.edu/</w:t>
        </w:r>
      </w:hyperlink>
      <w:r w:rsidRPr="00CD655F">
        <w:t xml:space="preserve"> </w:t>
      </w:r>
    </w:p>
    <w:p w14:paraId="23E681C3" w14:textId="431BA282" w:rsidR="00CD655F" w:rsidRDefault="00CD655F" w:rsidP="005004A3">
      <w:pPr>
        <w:pStyle w:val="TableDescription"/>
      </w:pPr>
      <w:r w:rsidRPr="00CD655F">
        <w:t xml:space="preserve">Australasian Neonatal Medicines Formulary (ANMF) monograph: ranibizumab - Lucentis. ANMF consensus group; 2021. Archived version available at: </w:t>
      </w:r>
      <w:hyperlink r:id="rId37" w:history="1">
        <w:r w:rsidRPr="00CD655F">
          <w:rPr>
            <w:rStyle w:val="Hyperlink"/>
          </w:rPr>
          <w:t>ranibizumab-lucentis-20052021-1.0.pdf (anmfonline.org)</w:t>
        </w:r>
      </w:hyperlink>
    </w:p>
    <w:p w14:paraId="7AA0BF9C" w14:textId="5F784471" w:rsidR="00C66DB5" w:rsidRDefault="00C66DB5" w:rsidP="00C66DB5">
      <w:r>
        <w:t>It could be considered to restrict the indication (</w:t>
      </w:r>
      <w:r w:rsidR="006A0734">
        <w:t xml:space="preserve">for example, </w:t>
      </w:r>
      <w:r>
        <w:t xml:space="preserve">to higher risk forms of ROP). Potential major indication options are outlined in </w:t>
      </w:r>
      <w:r w:rsidR="000509AE">
        <w:fldChar w:fldCharType="begin"/>
      </w:r>
      <w:r w:rsidR="000509AE">
        <w:instrText xml:space="preserve"> REF _Ref121475722 \h </w:instrText>
      </w:r>
      <w:r w:rsidR="000509AE">
        <w:fldChar w:fldCharType="separate"/>
      </w:r>
      <w:r w:rsidR="00B12C8C">
        <w:t xml:space="preserve">Table </w:t>
      </w:r>
      <w:r w:rsidR="00B12C8C">
        <w:rPr>
          <w:noProof/>
        </w:rPr>
        <w:t>18</w:t>
      </w:r>
      <w:r w:rsidR="000509AE">
        <w:fldChar w:fldCharType="end"/>
      </w:r>
      <w:r>
        <w:t>.</w:t>
      </w:r>
    </w:p>
    <w:p w14:paraId="03E3B258" w14:textId="11997093" w:rsidR="00C66DB5" w:rsidRDefault="000509AE" w:rsidP="000509AE">
      <w:pPr>
        <w:pStyle w:val="TableTitle"/>
      </w:pPr>
      <w:bookmarkStart w:id="73" w:name="_Ref121475722"/>
      <w:r>
        <w:t xml:space="preserve">Table </w:t>
      </w:r>
      <w:r w:rsidR="002D65F1">
        <w:fldChar w:fldCharType="begin"/>
      </w:r>
      <w:r w:rsidR="002D65F1">
        <w:instrText xml:space="preserve"> SEQ Table \* ARABIC </w:instrText>
      </w:r>
      <w:r w:rsidR="002D65F1">
        <w:fldChar w:fldCharType="separate"/>
      </w:r>
      <w:r w:rsidR="00B12C8C">
        <w:rPr>
          <w:noProof/>
        </w:rPr>
        <w:t>18</w:t>
      </w:r>
      <w:r w:rsidR="002D65F1">
        <w:rPr>
          <w:noProof/>
        </w:rPr>
        <w:fldChar w:fldCharType="end"/>
      </w:r>
      <w:bookmarkEnd w:id="73"/>
      <w:r>
        <w:t>: Potential indication options</w:t>
      </w:r>
      <w:r w:rsidR="004F0BC2">
        <w:t xml:space="preserve"> for this submission</w:t>
      </w:r>
    </w:p>
    <w:tbl>
      <w:tblPr>
        <w:tblStyle w:val="TableTGAblue"/>
        <w:tblW w:w="0" w:type="auto"/>
        <w:tblLook w:val="04A0" w:firstRow="1" w:lastRow="0" w:firstColumn="1" w:lastColumn="0" w:noHBand="0" w:noVBand="1"/>
      </w:tblPr>
      <w:tblGrid>
        <w:gridCol w:w="4228"/>
        <w:gridCol w:w="4256"/>
      </w:tblGrid>
      <w:tr w:rsidR="004A050F" w:rsidRPr="001C4C8E" w14:paraId="6C99ADA8" w14:textId="77777777" w:rsidTr="004A050F">
        <w:trPr>
          <w:cnfStyle w:val="100000000000" w:firstRow="1" w:lastRow="0" w:firstColumn="0" w:lastColumn="0" w:oddVBand="0" w:evenVBand="0" w:oddHBand="0" w:evenHBand="0" w:firstRowFirstColumn="0" w:firstRowLastColumn="0" w:lastRowFirstColumn="0" w:lastRowLastColumn="0"/>
        </w:trPr>
        <w:tc>
          <w:tcPr>
            <w:tcW w:w="4508" w:type="dxa"/>
          </w:tcPr>
          <w:p w14:paraId="7B43040E" w14:textId="77777777" w:rsidR="004A050F" w:rsidRPr="001C4C8E" w:rsidRDefault="004A050F" w:rsidP="00791BA8">
            <w:pPr>
              <w:rPr>
                <w:b w:val="0"/>
                <w:bCs/>
              </w:rPr>
            </w:pPr>
            <w:r>
              <w:rPr>
                <w:bCs/>
              </w:rPr>
              <w:t>Selected potential i</w:t>
            </w:r>
            <w:r w:rsidRPr="001C4C8E">
              <w:rPr>
                <w:bCs/>
              </w:rPr>
              <w:t>ndication option</w:t>
            </w:r>
            <w:r>
              <w:rPr>
                <w:bCs/>
              </w:rPr>
              <w:t>s</w:t>
            </w:r>
          </w:p>
        </w:tc>
        <w:tc>
          <w:tcPr>
            <w:tcW w:w="4508" w:type="dxa"/>
          </w:tcPr>
          <w:p w14:paraId="54FF98E7" w14:textId="77777777" w:rsidR="004A050F" w:rsidRPr="001C4C8E" w:rsidRDefault="004A050F" w:rsidP="00791BA8">
            <w:pPr>
              <w:rPr>
                <w:b w:val="0"/>
                <w:bCs/>
              </w:rPr>
            </w:pPr>
            <w:r w:rsidRPr="001C4C8E">
              <w:rPr>
                <w:bCs/>
              </w:rPr>
              <w:t>Comment</w:t>
            </w:r>
          </w:p>
        </w:tc>
      </w:tr>
      <w:tr w:rsidR="004A050F" w14:paraId="18013260" w14:textId="77777777" w:rsidTr="004A050F">
        <w:tc>
          <w:tcPr>
            <w:tcW w:w="4508" w:type="dxa"/>
          </w:tcPr>
          <w:p w14:paraId="5EA7FAC5" w14:textId="221A06B8" w:rsidR="004A050F" w:rsidRDefault="004A050F" w:rsidP="00791BA8">
            <w:r>
              <w:t>Zone I (</w:t>
            </w:r>
            <w:r w:rsidR="00194C3D">
              <w:t>Stage 1</w:t>
            </w:r>
            <w:r>
              <w:t>+, 2+, 3 or 3+)</w:t>
            </w:r>
          </w:p>
          <w:p w14:paraId="6D4C3167" w14:textId="5B8086E6" w:rsidR="004A050F" w:rsidRDefault="004A050F" w:rsidP="00791BA8">
            <w:r>
              <w:t>Zone II (</w:t>
            </w:r>
            <w:r w:rsidR="00194C3D">
              <w:t>Stage 3</w:t>
            </w:r>
            <w:r>
              <w:t>+)</w:t>
            </w:r>
          </w:p>
          <w:p w14:paraId="1F103475" w14:textId="77777777" w:rsidR="004A050F" w:rsidRDefault="004A050F" w:rsidP="00791BA8">
            <w:r>
              <w:t>AP-ROP</w:t>
            </w:r>
          </w:p>
        </w:tc>
        <w:tc>
          <w:tcPr>
            <w:tcW w:w="4508" w:type="dxa"/>
          </w:tcPr>
          <w:p w14:paraId="4BB91FAE" w14:textId="1C887D7F" w:rsidR="004A050F" w:rsidRDefault="004A050F" w:rsidP="00791BA8">
            <w:r>
              <w:t xml:space="preserve">Sponsor-proposed, as per </w:t>
            </w:r>
            <w:r w:rsidR="00B1395F">
              <w:t>Study H2301</w:t>
            </w:r>
            <w:r w:rsidR="004F0BC2">
              <w:t xml:space="preserve"> (RAINBOW trial) </w:t>
            </w:r>
            <w:r>
              <w:t>inclusion criteria.</w:t>
            </w:r>
          </w:p>
        </w:tc>
      </w:tr>
      <w:tr w:rsidR="004A050F" w14:paraId="31B02552" w14:textId="77777777" w:rsidTr="004A050F">
        <w:tc>
          <w:tcPr>
            <w:tcW w:w="4508" w:type="dxa"/>
          </w:tcPr>
          <w:p w14:paraId="00F65064" w14:textId="6CC41F63" w:rsidR="004A050F" w:rsidRDefault="004A050F" w:rsidP="00791BA8">
            <w:r>
              <w:t>Zone I (</w:t>
            </w:r>
            <w:r w:rsidR="00194C3D">
              <w:t>Stage 3</w:t>
            </w:r>
            <w:r>
              <w:t>+)</w:t>
            </w:r>
          </w:p>
          <w:p w14:paraId="0476B2B2" w14:textId="3AF50024" w:rsidR="004A050F" w:rsidRDefault="004A050F" w:rsidP="00791BA8">
            <w:r>
              <w:t>Zone II (</w:t>
            </w:r>
            <w:r w:rsidR="00194C3D">
              <w:t>Stage 3</w:t>
            </w:r>
            <w:r>
              <w:t>+)</w:t>
            </w:r>
          </w:p>
          <w:p w14:paraId="58B20A24" w14:textId="77777777" w:rsidR="004A050F" w:rsidRDefault="004A050F" w:rsidP="00791BA8">
            <w:r>
              <w:t>AP-ROP (Zone I)</w:t>
            </w:r>
          </w:p>
        </w:tc>
        <w:tc>
          <w:tcPr>
            <w:tcW w:w="4508" w:type="dxa"/>
          </w:tcPr>
          <w:p w14:paraId="413BE43F" w14:textId="77777777" w:rsidR="004A050F" w:rsidRDefault="004A050F" w:rsidP="00791BA8">
            <w:r>
              <w:t xml:space="preserve">Restriction to </w:t>
            </w:r>
            <w:r w:rsidRPr="001C4C8E">
              <w:t>disease classification</w:t>
            </w:r>
            <w:r>
              <w:t>s with most clinical trial data</w:t>
            </w:r>
          </w:p>
        </w:tc>
      </w:tr>
    </w:tbl>
    <w:p w14:paraId="54B5F79A" w14:textId="7CEBB748" w:rsidR="00C66DB5" w:rsidRPr="00D63D82" w:rsidRDefault="00C66DB5" w:rsidP="00D63D82">
      <w:pPr>
        <w:pStyle w:val="Heading6"/>
      </w:pPr>
      <w:r>
        <w:t>Dosing</w:t>
      </w:r>
    </w:p>
    <w:p w14:paraId="63E8B2BF" w14:textId="77777777" w:rsidR="00C66DB5" w:rsidRDefault="00C66DB5" w:rsidP="00C66DB5">
      <w:r>
        <w:t>Two ROP dosing regimens are under consideration based on clinical trial data: 0.2 mg or 0.1 mg (per eye by intravitreal injection). The sponsor proposes the use of the 0.2 mg dose.</w:t>
      </w:r>
    </w:p>
    <w:p w14:paraId="31A97B26" w14:textId="0B935B20" w:rsidR="00C66DB5" w:rsidRDefault="00812802" w:rsidP="00C66DB5">
      <w:r>
        <w:t>A</w:t>
      </w:r>
      <w:r w:rsidR="00C66DB5">
        <w:t xml:space="preserve"> dose lower than 0.2 mg appears not to have been considered in the previous </w:t>
      </w:r>
      <w:r w:rsidR="004F0BC2">
        <w:t xml:space="preserve">submission </w:t>
      </w:r>
      <w:r w:rsidR="00C66DB5">
        <w:t>by the Delegate, partly due to the at least numerically (but not statistically different) more favourable efficacy results from the 0.2 mg dose compared to the 0.1 mg dose.</w:t>
      </w:r>
    </w:p>
    <w:p w14:paraId="14649D9E" w14:textId="2BAC37C8" w:rsidR="00C66DB5" w:rsidRDefault="00394F93" w:rsidP="00C66DB5">
      <w:r>
        <w:t>In the current application, t</w:t>
      </w:r>
      <w:r w:rsidR="00C66DB5">
        <w:t>here may be a reasonable justification for either dose, or even both. It is noted that other regulators have recommended different doses: The EMA and H</w:t>
      </w:r>
      <w:r w:rsidR="00B677DC">
        <w:t xml:space="preserve">ealth </w:t>
      </w:r>
      <w:r w:rsidR="00C66DB5">
        <w:t>S</w:t>
      </w:r>
      <w:r w:rsidR="00B677DC">
        <w:t xml:space="preserve">ciences </w:t>
      </w:r>
      <w:r w:rsidR="00C66DB5">
        <w:t>A</w:t>
      </w:r>
      <w:r w:rsidR="00B677DC">
        <w:t>uthority (HSA)</w:t>
      </w:r>
      <w:r w:rsidR="00C66DB5">
        <w:t xml:space="preserve"> Singapore have chosen the 0.2 mg dose, whereas </w:t>
      </w:r>
      <w:proofErr w:type="spellStart"/>
      <w:r w:rsidR="00C66DB5">
        <w:t>Swissmedic</w:t>
      </w:r>
      <w:proofErr w:type="spellEnd"/>
      <w:r w:rsidR="00C66DB5">
        <w:t xml:space="preserve"> have chosen the 0.1</w:t>
      </w:r>
      <w:r w:rsidR="00B677DC">
        <w:t> </w:t>
      </w:r>
      <w:r w:rsidR="00C66DB5">
        <w:t>mg dose (</w:t>
      </w:r>
      <w:r w:rsidR="004F0BC2">
        <w:t xml:space="preserve">see </w:t>
      </w:r>
      <w:r w:rsidR="000509AE">
        <w:fldChar w:fldCharType="begin"/>
      </w:r>
      <w:r w:rsidR="000509AE">
        <w:instrText xml:space="preserve"> REF _Ref99705479 \h </w:instrText>
      </w:r>
      <w:r w:rsidR="000509AE">
        <w:fldChar w:fldCharType="separate"/>
      </w:r>
      <w:r w:rsidR="00B12C8C">
        <w:t xml:space="preserve">Table </w:t>
      </w:r>
      <w:r w:rsidR="00B12C8C">
        <w:rPr>
          <w:noProof/>
        </w:rPr>
        <w:t>1</w:t>
      </w:r>
      <w:r w:rsidR="000509AE">
        <w:fldChar w:fldCharType="end"/>
      </w:r>
      <w:r w:rsidR="004F0BC2">
        <w:t>, above</w:t>
      </w:r>
      <w:r w:rsidR="00C66DB5">
        <w:t>).</w:t>
      </w:r>
    </w:p>
    <w:p w14:paraId="4B7C48D3" w14:textId="449966FD" w:rsidR="00C66DB5" w:rsidRDefault="00C66DB5" w:rsidP="00C66DB5">
      <w:r>
        <w:t>The efficacy data from</w:t>
      </w:r>
      <w:r w:rsidR="004F0BC2">
        <w:t xml:space="preserve"> second</w:t>
      </w:r>
      <w:r>
        <w:t xml:space="preserve"> </w:t>
      </w:r>
      <w:r w:rsidR="004F0BC2">
        <w:t>interim analysis (</w:t>
      </w:r>
      <w:r>
        <w:t>IA2</w:t>
      </w:r>
      <w:r w:rsidR="004F0BC2">
        <w:t>)</w:t>
      </w:r>
      <w:r>
        <w:t xml:space="preserve"> of the </w:t>
      </w:r>
      <w:r w:rsidR="00B1395F">
        <w:t>Study H2301</w:t>
      </w:r>
      <w:r w:rsidR="004F0BC2">
        <w:t xml:space="preserve">E1 (Rainbow extension trial) </w:t>
      </w:r>
      <w:r>
        <w:t>appears to favour a 0.2 mg dose. A numerically higher proportion in the 0.2 mg group (v</w:t>
      </w:r>
      <w:r w:rsidR="002F0AC0">
        <w:t>ersus</w:t>
      </w:r>
      <w:r>
        <w:t xml:space="preserve"> 0.1 mg) had absence of ocular abnormalities (98.3% v</w:t>
      </w:r>
      <w:r w:rsidR="002F0AC0">
        <w:t>ersus</w:t>
      </w:r>
      <w:r>
        <w:t xml:space="preserve"> 93.8%) and full peripheral vascularisation of the retina (56.9% v</w:t>
      </w:r>
      <w:r w:rsidR="002F0AC0">
        <w:t>ersus</w:t>
      </w:r>
      <w:r>
        <w:t xml:space="preserve"> 44.8%) at the </w:t>
      </w:r>
      <w:r w:rsidR="006A0734">
        <w:t>2-year</w:t>
      </w:r>
      <w:r>
        <w:t xml:space="preserve"> corrected age visit. The differences were not statistically significant. However, for the small group of AP-ROP patients, the 0.1 mg dose was numerically favourable for the primary outcome for all timepoints (24 weeks, 40 weeks, and 2 years (</w:t>
      </w:r>
      <w:r w:rsidR="0000135F">
        <w:t xml:space="preserve">see </w:t>
      </w:r>
      <w:r w:rsidR="000509AE">
        <w:fldChar w:fldCharType="begin"/>
      </w:r>
      <w:r w:rsidR="000509AE">
        <w:instrText xml:space="preserve"> REF _Ref121475074 \h </w:instrText>
      </w:r>
      <w:r w:rsidR="000509AE">
        <w:fldChar w:fldCharType="separate"/>
      </w:r>
      <w:r w:rsidR="0000135F">
        <w:t xml:space="preserve">Table </w:t>
      </w:r>
      <w:r w:rsidR="0000135F">
        <w:rPr>
          <w:noProof/>
        </w:rPr>
        <w:t>10</w:t>
      </w:r>
      <w:r w:rsidR="000509AE">
        <w:fldChar w:fldCharType="end"/>
      </w:r>
      <w:r w:rsidR="0000135F">
        <w:t>, above</w:t>
      </w:r>
      <w:r w:rsidR="000509AE">
        <w:t>)</w:t>
      </w:r>
      <w:r w:rsidRPr="004A050F">
        <w:t>),</w:t>
      </w:r>
      <w:r>
        <w:t xml:space="preserve"> but the sample size was extremely small, and the differences would not be statistically significant.</w:t>
      </w:r>
    </w:p>
    <w:p w14:paraId="7A029267" w14:textId="266AF494" w:rsidR="00C66DB5" w:rsidRDefault="002E3BA2" w:rsidP="00C66DB5">
      <w:r>
        <w:t>Long term</w:t>
      </w:r>
      <w:r w:rsidR="00C66DB5">
        <w:t xml:space="preserve"> visual outcomes (beyond 2 years) based on dose remain uncertain.</w:t>
      </w:r>
    </w:p>
    <w:p w14:paraId="0971A7B0" w14:textId="6E6E7FC7" w:rsidR="00C66DB5" w:rsidRDefault="00C66DB5" w:rsidP="00C66DB5">
      <w:proofErr w:type="gramStart"/>
      <w:r>
        <w:t>With regard to</w:t>
      </w:r>
      <w:proofErr w:type="gramEnd"/>
      <w:r>
        <w:t xml:space="preserve"> safety (in particular non-ocular safety results, including neurodevelopmental</w:t>
      </w:r>
      <w:r w:rsidR="00B677DC">
        <w:t xml:space="preserve"> </w:t>
      </w:r>
      <w:r>
        <w:t>effects)</w:t>
      </w:r>
      <w:r w:rsidR="00B677DC">
        <w:t xml:space="preserve">, </w:t>
      </w:r>
      <w:r>
        <w:t>the sample size is too small to draw meaningful conclusions between dose groups.</w:t>
      </w:r>
    </w:p>
    <w:p w14:paraId="683AB1F9" w14:textId="7C67DB77" w:rsidR="00C66DB5" w:rsidRDefault="00C66DB5" w:rsidP="00C66DB5">
      <w:r>
        <w:t>As stated above, systemic ranibizumab exposure in premature infants was 12</w:t>
      </w:r>
      <w:r w:rsidR="0000135F">
        <w:t>-</w:t>
      </w:r>
      <w:r>
        <w:t xml:space="preserve"> to </w:t>
      </w:r>
      <w:r w:rsidR="006A0734">
        <w:t>16-fold</w:t>
      </w:r>
      <w:r>
        <w:t xml:space="preserve"> higher following intravitreal ranibizumab 0.2 mg per eye (and 5</w:t>
      </w:r>
      <w:r w:rsidR="0000135F">
        <w:t>-</w:t>
      </w:r>
      <w:r>
        <w:t xml:space="preserve"> to </w:t>
      </w:r>
      <w:r w:rsidR="006A0734">
        <w:t>7.6-fold</w:t>
      </w:r>
      <w:r>
        <w:t xml:space="preserve"> higher following intravitreal ranibizumab 0.1 mg per eye) compared with adults receiving ranibizumab 0.5 mg per eye. The significance of this is unknown.</w:t>
      </w:r>
    </w:p>
    <w:p w14:paraId="2ECA8FA6" w14:textId="77777777" w:rsidR="00C66DB5" w:rsidRDefault="00C66DB5" w:rsidP="00C66DB5">
      <w:r>
        <w:lastRenderedPageBreak/>
        <w:t>There are no clinical data available to differentiate the dose based on disease severity, disease location, age, repeat dose, or other factors.</w:t>
      </w:r>
    </w:p>
    <w:p w14:paraId="09F7C204" w14:textId="52F333C2" w:rsidR="00C66DB5" w:rsidRDefault="00394F93" w:rsidP="00C66DB5">
      <w:r>
        <w:t>For practical considerations, i</w:t>
      </w:r>
      <w:r w:rsidR="00C66DB5">
        <w:t xml:space="preserve">n the </w:t>
      </w:r>
      <w:r w:rsidR="006A0734">
        <w:t>off-label</w:t>
      </w:r>
      <w:r w:rsidR="00C66DB5">
        <w:t xml:space="preserve"> usage guidance by </w:t>
      </w:r>
      <w:r w:rsidR="0000135F">
        <w:t>the</w:t>
      </w:r>
      <w:r w:rsidR="0000135F" w:rsidRPr="0000135F">
        <w:t xml:space="preserve"> Australasian Neonatal Medicines Formulary (ANMF)</w:t>
      </w:r>
      <w:r w:rsidR="0000135F">
        <w:t xml:space="preserve"> </w:t>
      </w:r>
      <w:r w:rsidR="00C66DB5">
        <w:t>Consensus group states that any dose under 0.12</w:t>
      </w:r>
      <w:r w:rsidR="00B677DC">
        <w:t> </w:t>
      </w:r>
      <w:r w:rsidR="00C66DB5">
        <w:t>mg is difficult to draw up.</w:t>
      </w:r>
      <w:r w:rsidR="0000135F" w:rsidRPr="005004A3">
        <w:rPr>
          <w:vertAlign w:val="superscript"/>
        </w:rPr>
        <w:fldChar w:fldCharType="begin"/>
      </w:r>
      <w:r w:rsidR="0000135F" w:rsidRPr="005004A3">
        <w:rPr>
          <w:vertAlign w:val="superscript"/>
        </w:rPr>
        <w:instrText xml:space="preserve"> NOTEREF _Ref134818366 \h </w:instrText>
      </w:r>
      <w:r w:rsidR="0000135F">
        <w:rPr>
          <w:vertAlign w:val="superscript"/>
        </w:rPr>
        <w:instrText xml:space="preserve"> \* MERGEFORMAT </w:instrText>
      </w:r>
      <w:r w:rsidR="0000135F" w:rsidRPr="005004A3">
        <w:rPr>
          <w:vertAlign w:val="superscript"/>
        </w:rPr>
      </w:r>
      <w:r w:rsidR="0000135F" w:rsidRPr="005004A3">
        <w:rPr>
          <w:vertAlign w:val="superscript"/>
        </w:rPr>
        <w:fldChar w:fldCharType="separate"/>
      </w:r>
      <w:r w:rsidR="0000135F" w:rsidRPr="005004A3">
        <w:rPr>
          <w:vertAlign w:val="superscript"/>
        </w:rPr>
        <w:t>20</w:t>
      </w:r>
      <w:r w:rsidR="0000135F" w:rsidRPr="005004A3">
        <w:rPr>
          <w:vertAlign w:val="superscript"/>
        </w:rPr>
        <w:fldChar w:fldCharType="end"/>
      </w:r>
      <w:r w:rsidR="00C66DB5">
        <w:t xml:space="preserve"> This should not affect any decision regarding dose, as this can potentially be addressed with amending the product presentation, if required.</w:t>
      </w:r>
    </w:p>
    <w:p w14:paraId="00DAC1FD" w14:textId="77777777" w:rsidR="00C66DB5" w:rsidRDefault="00C66DB5" w:rsidP="00C66DB5">
      <w:r>
        <w:t>The sponsor has provided information on dosing in Switzerland, where the 0.1 mg dose is used. The same 1 mL syringe with 0.01 mL graduations is typically used for this (as it was in the clinical trial), and there appear to be no reports of dosing errors with the smaller dose since registration.</w:t>
      </w:r>
    </w:p>
    <w:p w14:paraId="29E326F6" w14:textId="4484586A" w:rsidR="00C66DB5" w:rsidRDefault="00394F93" w:rsidP="00C66DB5">
      <w:r>
        <w:t>Dosing o</w:t>
      </w:r>
      <w:r w:rsidR="00C66DB5">
        <w:t>ptions include (dose per eye by intravitreal injection):</w:t>
      </w:r>
    </w:p>
    <w:p w14:paraId="0A5A6C55" w14:textId="3DE9E9C8" w:rsidR="00C66DB5" w:rsidRDefault="00C66DB5" w:rsidP="00B677DC">
      <w:pPr>
        <w:pStyle w:val="ListBullet"/>
      </w:pPr>
      <w:r>
        <w:t>Recommending a 0.2 mg dose</w:t>
      </w:r>
    </w:p>
    <w:p w14:paraId="49FABEDD" w14:textId="7B1C6292" w:rsidR="00C66DB5" w:rsidRDefault="00C66DB5" w:rsidP="00B677DC">
      <w:pPr>
        <w:pStyle w:val="ListBullet"/>
      </w:pPr>
      <w:r>
        <w:t>Recommending a 0.1 mg dose</w:t>
      </w:r>
    </w:p>
    <w:p w14:paraId="3378F0CA" w14:textId="5EE1F5D2" w:rsidR="00C66DB5" w:rsidRDefault="00C66DB5" w:rsidP="00B677DC">
      <w:pPr>
        <w:pStyle w:val="ListBullet"/>
      </w:pPr>
      <w:r>
        <w:t>Recommending a 0.1 mg or 0.2 mg dose</w:t>
      </w:r>
    </w:p>
    <w:p w14:paraId="41BA3A51" w14:textId="631C14A0" w:rsidR="00C66DB5" w:rsidRDefault="00C66DB5" w:rsidP="00B677DC">
      <w:pPr>
        <w:pStyle w:val="ListBullet"/>
      </w:pPr>
      <w:r>
        <w:t>Recommending a 0.1 mg to 0.2 mg dose</w:t>
      </w:r>
    </w:p>
    <w:p w14:paraId="205C1377" w14:textId="77777777" w:rsidR="00C66DB5" w:rsidRDefault="00C66DB5" w:rsidP="00C66DB5">
      <w:r>
        <w:t>However, giving prescribers a choice of dosing in the absence of clear clinical data may cause confusion in some prescribers.</w:t>
      </w:r>
    </w:p>
    <w:p w14:paraId="07636E23" w14:textId="6CB4AB51" w:rsidR="00C66DB5" w:rsidRDefault="00C66DB5" w:rsidP="00D37A4E">
      <w:pPr>
        <w:pStyle w:val="Heading6"/>
      </w:pPr>
      <w:r>
        <w:t>Specialist use restriction and education</w:t>
      </w:r>
    </w:p>
    <w:p w14:paraId="61A43348" w14:textId="77777777" w:rsidR="00C66DB5" w:rsidRDefault="00C66DB5" w:rsidP="00C66DB5">
      <w:r>
        <w:t>For the previous application, the ACM was concerned that the ease of administration of intravitreal injections may lead to less skilled clinicians using this treatment, who may not be aware of the need for close observation over several months to monitor for possible recurrence of disease.</w:t>
      </w:r>
    </w:p>
    <w:p w14:paraId="4F0C6DDE" w14:textId="1222293B" w:rsidR="00D37A4E" w:rsidRDefault="00394F93" w:rsidP="00C66DB5">
      <w:r>
        <w:t>For the current application, c</w:t>
      </w:r>
      <w:r w:rsidR="00C66DB5">
        <w:t>oncerns over use by less skilled clinicians have been noted, and these should be able to be mitigated with specialist use restriction, and prescriber and referrer education and training. It is desirable that only clinicians highly skilled and experienced in the treatment of ROP in conjunction with Australian best practice guidelines would use Lucentis for treatment. Frequent follow</w:t>
      </w:r>
      <w:r w:rsidR="00AB0307">
        <w:t xml:space="preserve"> </w:t>
      </w:r>
      <w:r w:rsidR="00C66DB5">
        <w:t>up in addition yearly follow</w:t>
      </w:r>
      <w:r w:rsidR="00AB0307">
        <w:t xml:space="preserve"> </w:t>
      </w:r>
      <w:r w:rsidR="00C66DB5">
        <w:t>up by a paediatrician or other appropriate specialist to screen for potential developmental abnormalities is recommended</w:t>
      </w:r>
      <w:r w:rsidR="00812802">
        <w:t>.</w:t>
      </w:r>
    </w:p>
    <w:p w14:paraId="6862A9B7" w14:textId="538C790B" w:rsidR="00C66DB5" w:rsidRDefault="00C66DB5" w:rsidP="00D37A4E">
      <w:pPr>
        <w:pStyle w:val="Heading5"/>
      </w:pPr>
      <w:r>
        <w:t>Proposed action</w:t>
      </w:r>
    </w:p>
    <w:p w14:paraId="14B0F98B" w14:textId="4E4469F6" w:rsidR="00C66DB5" w:rsidRDefault="00C66DB5" w:rsidP="00C66DB5">
      <w:r>
        <w:t xml:space="preserve">Based on the evidence available, the Delegate deemed it would not be unreasonable to register Lucentis for a ROP indication, </w:t>
      </w:r>
      <w:proofErr w:type="gramStart"/>
      <w:r>
        <w:t>as long as</w:t>
      </w:r>
      <w:proofErr w:type="gramEnd"/>
      <w:r>
        <w:t xml:space="preserve"> appropriate conditions are in place to retain a positive benefit</w:t>
      </w:r>
      <w:r w:rsidR="00AB0307">
        <w:t xml:space="preserve"> </w:t>
      </w:r>
      <w:r>
        <w:t xml:space="preserve">risk balance. These conditions include but are not limited </w:t>
      </w:r>
      <w:proofErr w:type="gramStart"/>
      <w:r>
        <w:t>to</w:t>
      </w:r>
      <w:r w:rsidR="00812802">
        <w:t>;</w:t>
      </w:r>
      <w:proofErr w:type="gramEnd"/>
      <w:r>
        <w:t xml:space="preserve"> an appropriate indication, an appropriate dosing schedule, appropriate prescriber restriction and education, and appropriate reporting of the remaining clinical study data.</w:t>
      </w:r>
    </w:p>
    <w:p w14:paraId="788B2A3E" w14:textId="52663340" w:rsidR="00C972CA" w:rsidRDefault="00C972CA" w:rsidP="005004A3">
      <w:pPr>
        <w:spacing w:before="0" w:after="200" w:line="0" w:lineRule="auto"/>
      </w:pPr>
      <w:r>
        <w:br w:type="page"/>
      </w:r>
    </w:p>
    <w:p w14:paraId="53404F3C" w14:textId="77777777" w:rsidR="0074163C" w:rsidRPr="00F73346" w:rsidRDefault="0074163C" w:rsidP="0074163C">
      <w:pPr>
        <w:pStyle w:val="Heading4"/>
      </w:pPr>
      <w:bookmarkStart w:id="74" w:name="_Toc98931936"/>
      <w:bookmarkStart w:id="75" w:name="_Toc247691532"/>
      <w:bookmarkStart w:id="76" w:name="_Toc314842516"/>
      <w:bookmarkEnd w:id="29"/>
      <w:bookmarkEnd w:id="63"/>
      <w:bookmarkEnd w:id="64"/>
      <w:bookmarkEnd w:id="67"/>
      <w:r w:rsidRPr="00F73346">
        <w:lastRenderedPageBreak/>
        <w:t>Advisory Committee considerations</w:t>
      </w:r>
      <w:bookmarkEnd w:id="74"/>
    </w:p>
    <w:p w14:paraId="652C8BD5" w14:textId="71C9C11A" w:rsidR="0074163C" w:rsidRDefault="0074163C" w:rsidP="0074163C">
      <w:pPr>
        <w:rPr>
          <w:bCs/>
        </w:rPr>
      </w:pPr>
      <w:r w:rsidRPr="00456765">
        <w:rPr>
          <w:bCs/>
        </w:rPr>
        <w:t xml:space="preserve">The </w:t>
      </w:r>
      <w:hyperlink r:id="rId38"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78FD5ED0" w14:textId="7E108795" w:rsidR="0074163C" w:rsidRDefault="0074163C" w:rsidP="0074163C">
      <w:pPr>
        <w:pStyle w:val="Heading5"/>
      </w:pPr>
      <w:r w:rsidRPr="00F73346">
        <w:t>Specific advice to the Delegate</w:t>
      </w:r>
    </w:p>
    <w:p w14:paraId="1E286637" w14:textId="77777777" w:rsidR="00597676" w:rsidRDefault="00597676" w:rsidP="00597676">
      <w:r>
        <w:t>The ACM advised the following in response to the Delegate’s specific request for advice:</w:t>
      </w:r>
    </w:p>
    <w:p w14:paraId="0EE5FFE9" w14:textId="5D4D775C" w:rsidR="00597676" w:rsidRPr="00D37A4E" w:rsidRDefault="00597676" w:rsidP="00D37A4E">
      <w:pPr>
        <w:pStyle w:val="Numberbullet0"/>
        <w:rPr>
          <w:b/>
          <w:bCs/>
          <w:i/>
          <w:iCs/>
        </w:rPr>
      </w:pPr>
      <w:r w:rsidRPr="00D37A4E">
        <w:rPr>
          <w:b/>
          <w:bCs/>
          <w:i/>
          <w:iCs/>
        </w:rPr>
        <w:t xml:space="preserve">Can the ACM comment on systemic ranibizumab exposure and the potential associated suppression of </w:t>
      </w:r>
      <w:r w:rsidR="00D37A4E" w:rsidRPr="00D37A4E">
        <w:rPr>
          <w:b/>
          <w:bCs/>
          <w:i/>
          <w:iCs/>
        </w:rPr>
        <w:t>vascular endothelial growth facto</w:t>
      </w:r>
      <w:r w:rsidR="00D37A4E">
        <w:rPr>
          <w:b/>
          <w:bCs/>
          <w:i/>
          <w:iCs/>
        </w:rPr>
        <w:t>r</w:t>
      </w:r>
      <w:r w:rsidR="00D37A4E" w:rsidRPr="00D37A4E">
        <w:rPr>
          <w:b/>
          <w:bCs/>
          <w:i/>
          <w:iCs/>
        </w:rPr>
        <w:t xml:space="preserve"> </w:t>
      </w:r>
      <w:r w:rsidR="00D37A4E">
        <w:rPr>
          <w:b/>
          <w:bCs/>
          <w:i/>
          <w:iCs/>
        </w:rPr>
        <w:t>(</w:t>
      </w:r>
      <w:r w:rsidRPr="00D37A4E">
        <w:rPr>
          <w:b/>
          <w:bCs/>
          <w:i/>
          <w:iCs/>
        </w:rPr>
        <w:t>VEGF</w:t>
      </w:r>
      <w:r w:rsidR="00D37A4E">
        <w:rPr>
          <w:b/>
          <w:bCs/>
          <w:i/>
          <w:iCs/>
        </w:rPr>
        <w:t>)</w:t>
      </w:r>
      <w:r w:rsidRPr="00D37A4E">
        <w:rPr>
          <w:b/>
          <w:bCs/>
          <w:i/>
          <w:iCs/>
        </w:rPr>
        <w:t>?</w:t>
      </w:r>
    </w:p>
    <w:p w14:paraId="28973C67" w14:textId="4B715DD7" w:rsidR="00597676" w:rsidRDefault="00597676" w:rsidP="00597676">
      <w:r>
        <w:t xml:space="preserve">The ACM was of the view that there are several findings from the </w:t>
      </w:r>
      <w:r w:rsidR="00B1395F">
        <w:t>Study H2301</w:t>
      </w:r>
      <w:r w:rsidR="00C972CA">
        <w:t xml:space="preserve"> (the RAINBOW trial) </w:t>
      </w:r>
      <w:r>
        <w:t xml:space="preserve">cohort that provide some reassurance regarding suppression of VEGF following ranibizumab. Within this cohort the reduction of ranibizumab levels in the systemic circulation occurred over a relatively short </w:t>
      </w:r>
      <w:proofErr w:type="gramStart"/>
      <w:r>
        <w:t>time period</w:t>
      </w:r>
      <w:proofErr w:type="gramEnd"/>
      <w:r>
        <w:t xml:space="preserve">, with a median </w:t>
      </w:r>
      <w:r w:rsidR="00284012">
        <w:t>half-life</w:t>
      </w:r>
      <w:r>
        <w:t xml:space="preserve"> elimination of 5.6 days. The ACM also noted that no statistically significant differences in plasma free VEGF concentrations were apparent between groups on Days 15 or 29 within the study.</w:t>
      </w:r>
    </w:p>
    <w:p w14:paraId="4CF4FC15" w14:textId="5F289EDA" w:rsidR="00597676" w:rsidRDefault="00597676" w:rsidP="00597676">
      <w:r>
        <w:t xml:space="preserve">This view was further supported by the CARE-ROP </w:t>
      </w:r>
      <w:r w:rsidR="00C972CA">
        <w:t>trial;</w:t>
      </w:r>
      <w:r w:rsidR="00C972CA">
        <w:rPr>
          <w:rStyle w:val="FootnoteReference"/>
        </w:rPr>
        <w:footnoteReference w:id="24"/>
      </w:r>
      <w:r w:rsidR="00C972CA">
        <w:rPr>
          <w:vertAlign w:val="superscript"/>
        </w:rPr>
        <w:t>.</w:t>
      </w:r>
      <w:bookmarkStart w:id="77" w:name="_Ref134822231"/>
      <w:r w:rsidR="00C972CA">
        <w:rPr>
          <w:rStyle w:val="FootnoteReference"/>
        </w:rPr>
        <w:footnoteReference w:id="25"/>
      </w:r>
      <w:bookmarkEnd w:id="77"/>
      <w:r>
        <w:t xml:space="preserve"> which found VEGF plasma levels were not systemically altered in ranibizumab 0.12 mg or 0.20 mg groups, however low patient numbers within this study (n = 19) were noted by the ACM.</w:t>
      </w:r>
    </w:p>
    <w:p w14:paraId="6D778219" w14:textId="741AE09D" w:rsidR="00597676" w:rsidRDefault="00597676" w:rsidP="00597676">
      <w:r>
        <w:t xml:space="preserve">In </w:t>
      </w:r>
      <w:r w:rsidR="00B1395F">
        <w:t>Study H2301</w:t>
      </w:r>
      <w:r w:rsidR="00C972CA">
        <w:t xml:space="preserve"> (the RAINBOW trial)</w:t>
      </w:r>
      <w:r>
        <w:t>, based on VEGF level plots on Day 1, 15 or 29, there was no apparent difference between ranibizumab groups compared with laser. The ACM concluded that while there is potential for systemic suppression of VEGF, this is unlikely to contribute to a significant increase in clinically significant non-ocular adverse outcomes.</w:t>
      </w:r>
    </w:p>
    <w:p w14:paraId="1CC6FC6F" w14:textId="69CE5730" w:rsidR="00597676" w:rsidRPr="00D37A4E" w:rsidRDefault="00597676" w:rsidP="00D37A4E">
      <w:pPr>
        <w:pStyle w:val="Numberbullet0"/>
        <w:rPr>
          <w:b/>
          <w:bCs/>
          <w:i/>
          <w:iCs/>
        </w:rPr>
      </w:pPr>
      <w:r w:rsidRPr="00D37A4E">
        <w:rPr>
          <w:b/>
          <w:bCs/>
          <w:i/>
          <w:iCs/>
        </w:rPr>
        <w:t>Can the ACM comment on whether the available safety data are sufficient to support registration of the proposed indication?</w:t>
      </w:r>
    </w:p>
    <w:p w14:paraId="18CEF1D6" w14:textId="76FEFF88" w:rsidR="00597676" w:rsidRDefault="00597676" w:rsidP="00597676">
      <w:r>
        <w:t xml:space="preserve">The ACM commented that </w:t>
      </w:r>
      <w:r w:rsidR="00B1395F">
        <w:t>Study H2301</w:t>
      </w:r>
      <w:r w:rsidR="00C972CA">
        <w:t>E1 (the Rainbow extension trial)</w:t>
      </w:r>
      <w:r w:rsidR="00C972CA" w:rsidDel="00C972CA">
        <w:t xml:space="preserve"> </w:t>
      </w:r>
      <w:r>
        <w:t xml:space="preserve">is the first study to provide visual function and developmental outcome data from a randomised sample of children receiving ranibizumab versus laser treatment and noted that the data provided is the interim analysis at 2 years, with primary outcome data planned for </w:t>
      </w:r>
      <w:proofErr w:type="gramStart"/>
      <w:r>
        <w:t>5</w:t>
      </w:r>
      <w:r w:rsidR="00AB0307">
        <w:t xml:space="preserve"> </w:t>
      </w:r>
      <w:r>
        <w:t>year</w:t>
      </w:r>
      <w:proofErr w:type="gramEnd"/>
      <w:r>
        <w:t xml:space="preserve"> assessment.</w:t>
      </w:r>
    </w:p>
    <w:p w14:paraId="56206B78" w14:textId="77777777" w:rsidR="00597676" w:rsidRDefault="00597676" w:rsidP="00597676">
      <w:r>
        <w:t xml:space="preserve">The ACM were reassured by the ocular outcomes from the RAINBOW extension data that showed fewer occurrences of high myopia which is important to help reduce the risk of retinal detachments later in life. There appeared to be no significant difference in the incidence of strabismus, </w:t>
      </w:r>
      <w:proofErr w:type="gramStart"/>
      <w:r>
        <w:t>nystagmus</w:t>
      </w:r>
      <w:proofErr w:type="gramEnd"/>
      <w:r>
        <w:t xml:space="preserve"> or abnormal ocular fixation, but early risks including endophthalmitis, cataract and haemorrhage need to be considered.</w:t>
      </w:r>
    </w:p>
    <w:p w14:paraId="34C7B46F" w14:textId="38DB727C" w:rsidR="00597676" w:rsidRDefault="00597676" w:rsidP="00597676">
      <w:r>
        <w:t xml:space="preserve">The ACM were further reassured by the </w:t>
      </w:r>
      <w:proofErr w:type="gramStart"/>
      <w:r w:rsidR="00FF2EB0">
        <w:t>2 year</w:t>
      </w:r>
      <w:proofErr w:type="gramEnd"/>
      <w:r>
        <w:t xml:space="preserve"> interim safety data on development and non-ocular adverse outcomes, as it demonstrated no evidence of trends to adverse outcomes.</w:t>
      </w:r>
    </w:p>
    <w:p w14:paraId="6C61D7FE" w14:textId="12851F4B" w:rsidR="00597676" w:rsidRDefault="00597676" w:rsidP="00597676">
      <w:r>
        <w:t>The ACM also commented that anti-VEGF treatment has become standard in many places around the world and is increasingly being used in Australia as standard treatment, particularly for those children with posterior ROP, and that ranibizumab may potentially be associated with less risk than other medications currently being used.</w:t>
      </w:r>
    </w:p>
    <w:p w14:paraId="00A82B08" w14:textId="5A888368" w:rsidR="00597676" w:rsidRDefault="00597676" w:rsidP="00597676">
      <w:r>
        <w:t xml:space="preserve">The RAINBOW extension </w:t>
      </w:r>
      <w:r w:rsidR="003047C5">
        <w:t xml:space="preserve">trial </w:t>
      </w:r>
      <w:r>
        <w:t xml:space="preserve">has not shown significant neurodevelopmental changes. Compared to laser treatment, the ACM noted no significant difference in developmental outcomes including visual reception, receptive language, and expressive language. No </w:t>
      </w:r>
      <w:r>
        <w:lastRenderedPageBreak/>
        <w:t>significant difference in outcomes for motor function, hearing impairment, growth, respiratory symptoms, or mean systolic or diastolic blood pressure were noted either.</w:t>
      </w:r>
    </w:p>
    <w:p w14:paraId="4E8779D8" w14:textId="0870AE1F" w:rsidR="00597676" w:rsidRDefault="00597676" w:rsidP="00597676">
      <w:r>
        <w:t xml:space="preserve">The ACM agreed that the interim data at 2 years appears reasonably predictive of the </w:t>
      </w:r>
      <w:proofErr w:type="gramStart"/>
      <w:r w:rsidR="00C9389D">
        <w:t>5</w:t>
      </w:r>
      <w:r w:rsidR="00C972CA">
        <w:t> </w:t>
      </w:r>
      <w:r w:rsidR="00C9389D">
        <w:t>year</w:t>
      </w:r>
      <w:proofErr w:type="gramEnd"/>
      <w:r>
        <w:t xml:space="preserve"> data and in general the data is reasonably robust at the </w:t>
      </w:r>
      <w:r w:rsidR="00FF2EB0">
        <w:t>2 year</w:t>
      </w:r>
      <w:r>
        <w:t xml:space="preserve"> mark. The ACM did, however, note that the final study containing the </w:t>
      </w:r>
      <w:proofErr w:type="gramStart"/>
      <w:r>
        <w:t>5</w:t>
      </w:r>
      <w:r w:rsidR="00AB0307">
        <w:t xml:space="preserve"> </w:t>
      </w:r>
      <w:r>
        <w:t>year</w:t>
      </w:r>
      <w:proofErr w:type="gramEnd"/>
      <w:r>
        <w:t xml:space="preserve"> assessment data should be provided to the TGA once available.</w:t>
      </w:r>
    </w:p>
    <w:p w14:paraId="3E5A2631" w14:textId="32A1519E" w:rsidR="00597676" w:rsidRPr="00D37A4E" w:rsidRDefault="00597676" w:rsidP="00D37A4E">
      <w:pPr>
        <w:pStyle w:val="Numberbullet0"/>
        <w:rPr>
          <w:b/>
          <w:bCs/>
          <w:i/>
          <w:iCs/>
        </w:rPr>
      </w:pPr>
      <w:r w:rsidRPr="00D37A4E">
        <w:rPr>
          <w:b/>
          <w:bCs/>
          <w:i/>
          <w:iCs/>
        </w:rPr>
        <w:t xml:space="preserve">Can the ACM comment on the proposed indication, </w:t>
      </w:r>
      <w:proofErr w:type="gramStart"/>
      <w:r w:rsidRPr="00D37A4E">
        <w:rPr>
          <w:b/>
          <w:bCs/>
          <w:i/>
          <w:iCs/>
        </w:rPr>
        <w:t>in particular in</w:t>
      </w:r>
      <w:proofErr w:type="gramEnd"/>
      <w:r w:rsidRPr="00D37A4E">
        <w:rPr>
          <w:b/>
          <w:bCs/>
          <w:i/>
          <w:iCs/>
        </w:rPr>
        <w:t xml:space="preserve"> the context of the disease subgroups less represented in the RAINBOW study?</w:t>
      </w:r>
    </w:p>
    <w:p w14:paraId="2377F920" w14:textId="0F99CAC0" w:rsidR="00597676" w:rsidRDefault="00597676" w:rsidP="00597676">
      <w:r>
        <w:t>The ACM was of the view that treatment</w:t>
      </w:r>
      <w:r w:rsidR="00AB0307">
        <w:t xml:space="preserve"> </w:t>
      </w:r>
      <w:r>
        <w:t xml:space="preserve">requiring </w:t>
      </w:r>
      <w:r w:rsidR="00194C3D">
        <w:t xml:space="preserve">Zone I </w:t>
      </w:r>
      <w:r>
        <w:t xml:space="preserve">disease of any stage can benefit greatly from intravitreal anti-VEGF and there is no evidence to suggest that children with </w:t>
      </w:r>
      <w:r w:rsidR="001A0E71">
        <w:t>Z</w:t>
      </w:r>
      <w:r>
        <w:t xml:space="preserve">one I, </w:t>
      </w:r>
      <w:r w:rsidR="00194C3D">
        <w:t>Stage 1</w:t>
      </w:r>
      <w:r>
        <w:t>+, 2+ or 3 disease should have a higher risk of non-ocular adverse events.</w:t>
      </w:r>
    </w:p>
    <w:p w14:paraId="4C9CF380" w14:textId="0967B001" w:rsidR="00597676" w:rsidRDefault="00597676" w:rsidP="00597676">
      <w:r>
        <w:t>The ACM noted that the alternative is laser treatment which ablates the retina so that there cannot be development of peripheral retinal vessels. The ACM noted from the ET</w:t>
      </w:r>
      <w:r w:rsidR="00C9389D">
        <w:t> </w:t>
      </w:r>
      <w:r>
        <w:t xml:space="preserve">ROP </w:t>
      </w:r>
      <w:r w:rsidR="007D537A">
        <w:t>trial;</w:t>
      </w:r>
      <w:r w:rsidR="007D537A">
        <w:rPr>
          <w:rStyle w:val="FootnoteReference"/>
        </w:rPr>
        <w:footnoteReference w:id="26"/>
      </w:r>
      <w:r w:rsidR="007D537A">
        <w:rPr>
          <w:vertAlign w:val="superscript"/>
        </w:rPr>
        <w:t>,</w:t>
      </w:r>
      <w:r w:rsidR="007D537A">
        <w:rPr>
          <w:rStyle w:val="FootnoteReference"/>
        </w:rPr>
        <w:footnoteReference w:id="27"/>
      </w:r>
      <w:r w:rsidR="007D537A">
        <w:t xml:space="preserve"> </w:t>
      </w:r>
      <w:r>
        <w:t>that the outcomes from treatment</w:t>
      </w:r>
      <w:r w:rsidR="00AB0307">
        <w:t xml:space="preserve"> </w:t>
      </w:r>
      <w:r>
        <w:t xml:space="preserve">requiring </w:t>
      </w:r>
      <w:r w:rsidR="00194C3D">
        <w:t xml:space="preserve">Zone I </w:t>
      </w:r>
      <w:r>
        <w:t>disease after laser treatment were generally poor.</w:t>
      </w:r>
    </w:p>
    <w:p w14:paraId="3C365C27" w14:textId="1AEB7079" w:rsidR="00597676" w:rsidRPr="00D37A4E" w:rsidRDefault="00597676" w:rsidP="00D37A4E">
      <w:pPr>
        <w:pStyle w:val="Numberbullet0"/>
        <w:rPr>
          <w:b/>
          <w:bCs/>
          <w:i/>
          <w:iCs/>
        </w:rPr>
      </w:pPr>
      <w:r w:rsidRPr="00D37A4E">
        <w:rPr>
          <w:b/>
          <w:bCs/>
          <w:i/>
          <w:iCs/>
        </w:rPr>
        <w:t xml:space="preserve">Assuming </w:t>
      </w:r>
      <w:r w:rsidR="007D537A" w:rsidRPr="00D37A4E">
        <w:rPr>
          <w:b/>
          <w:bCs/>
          <w:i/>
          <w:iCs/>
        </w:rPr>
        <w:t>L</w:t>
      </w:r>
      <w:r w:rsidR="007D537A">
        <w:rPr>
          <w:b/>
          <w:bCs/>
          <w:i/>
          <w:iCs/>
        </w:rPr>
        <w:t>ucentis</w:t>
      </w:r>
      <w:r w:rsidR="007D537A" w:rsidRPr="00D37A4E">
        <w:rPr>
          <w:b/>
          <w:bCs/>
          <w:i/>
          <w:iCs/>
        </w:rPr>
        <w:t xml:space="preserve"> </w:t>
      </w:r>
      <w:r w:rsidRPr="00D37A4E">
        <w:rPr>
          <w:b/>
          <w:bCs/>
          <w:i/>
          <w:iCs/>
        </w:rPr>
        <w:t>were registered for the sponsor-proposed or a similar indication, can the ACM comment on the most appropriate dosing option?</w:t>
      </w:r>
    </w:p>
    <w:p w14:paraId="0C7A182B" w14:textId="77777777" w:rsidR="00597676" w:rsidRDefault="00597676" w:rsidP="00597676">
      <w:r>
        <w:t>The ACM highlighted that the aim of treatment is to minimise the reactivation of ROP. The ACM also acknowledged the importance of minimising re-injection, noting that every intervention is associated with a level of risk and these risks must be a significant consideration in treatment options.</w:t>
      </w:r>
    </w:p>
    <w:p w14:paraId="70A2D2C3" w14:textId="630B6866" w:rsidR="00AB0307" w:rsidRDefault="00597676" w:rsidP="00597676">
      <w:r>
        <w:t xml:space="preserve">During discussion the ACM acknowledged the CARE-ROP </w:t>
      </w:r>
      <w:r w:rsidR="007D537A">
        <w:t>trial,</w:t>
      </w:r>
      <w:r>
        <w:t xml:space="preserve"> which showed that 0.12</w:t>
      </w:r>
      <w:r w:rsidR="00C9389D">
        <w:t> </w:t>
      </w:r>
      <w:r>
        <w:t>mg was effective in treating ROP without suppressing systemic VEGF levels</w:t>
      </w:r>
      <w:r w:rsidR="00AB0307">
        <w:t>.</w:t>
      </w:r>
      <w:r w:rsidR="007D537A" w:rsidRPr="007D537A">
        <w:rPr>
          <w:vertAlign w:val="superscript"/>
        </w:rPr>
        <w:t xml:space="preserve"> </w:t>
      </w:r>
      <w:r w:rsidR="007D537A" w:rsidRPr="00EB37DF">
        <w:rPr>
          <w:vertAlign w:val="superscript"/>
        </w:rPr>
        <w:fldChar w:fldCharType="begin"/>
      </w:r>
      <w:r w:rsidR="007D537A" w:rsidRPr="00EB37DF">
        <w:rPr>
          <w:vertAlign w:val="superscript"/>
        </w:rPr>
        <w:instrText xml:space="preserve"> NOTEREF _Ref134822231 \h </w:instrText>
      </w:r>
      <w:r w:rsidR="007D537A">
        <w:rPr>
          <w:vertAlign w:val="superscript"/>
        </w:rPr>
        <w:instrText xml:space="preserve"> \* MERGEFORMAT </w:instrText>
      </w:r>
      <w:r w:rsidR="007D537A" w:rsidRPr="00EB37DF">
        <w:rPr>
          <w:vertAlign w:val="superscript"/>
        </w:rPr>
      </w:r>
      <w:r w:rsidR="007D537A" w:rsidRPr="00EB37DF">
        <w:rPr>
          <w:vertAlign w:val="superscript"/>
        </w:rPr>
        <w:fldChar w:fldCharType="separate"/>
      </w:r>
      <w:r w:rsidR="007D537A" w:rsidRPr="00EB37DF">
        <w:rPr>
          <w:vertAlign w:val="superscript"/>
        </w:rPr>
        <w:t>22</w:t>
      </w:r>
      <w:r w:rsidR="007D537A" w:rsidRPr="00EB37DF">
        <w:rPr>
          <w:vertAlign w:val="superscript"/>
        </w:rPr>
        <w:fldChar w:fldCharType="end"/>
      </w:r>
    </w:p>
    <w:p w14:paraId="1DE752FA" w14:textId="6614F244" w:rsidR="00597676" w:rsidRDefault="00597676" w:rsidP="00597676">
      <w:r>
        <w:t>The ACM noted that the data provided do not indicate that 0.2 mg carries a significantly higher risk of non-ocular adverse outcomes when compared to the 0.1 mg dose. Additionally, noting that clinical expertise is suggestive that a dose of 0.2 mg/0.02 mL (40% of the adult dose) may minimi</w:t>
      </w:r>
      <w:r w:rsidR="008846C1">
        <w:t>s</w:t>
      </w:r>
      <w:r>
        <w:t>e repeated injections.</w:t>
      </w:r>
    </w:p>
    <w:p w14:paraId="4E66F1D3" w14:textId="7D83BC1C" w:rsidR="00597676" w:rsidRDefault="00597676" w:rsidP="00597676">
      <w:r>
        <w:t>The ACM was of the view that the current presentation of the medicine makes precise infant dosing difficult. The pre-filled syringe for intravitreal injection has only the adult dose of 0.5 mg/0.05 mL on the barrel and there is no lower dose marked. The ACM commented that it is difficult to draw up a dose of less than 0.02 mL from the 2.3</w:t>
      </w:r>
      <w:r w:rsidR="00C9389D">
        <w:t> </w:t>
      </w:r>
      <w:r>
        <w:t>mg/0.23</w:t>
      </w:r>
      <w:r w:rsidR="00C9389D">
        <w:t> </w:t>
      </w:r>
      <w:r>
        <w:t>mL vial and noted that a syringe with appropriate dosage markings for infant doses would be beneficial.</w:t>
      </w:r>
    </w:p>
    <w:p w14:paraId="5E57FD8C" w14:textId="77777777" w:rsidR="00597676" w:rsidRDefault="00597676" w:rsidP="00597676">
      <w:r>
        <w:t>On balance, the ACM agreed that either the 0.1 mg or 0.2 mg dose could be appropriate and were of the view that the decision to utilise 0.1 mg or 0.2 mg should be made by the treating ophthalmologist. In making this recommendation the ACM noted that prescribing is limited to a subset of ophthalmologists with expertise in ROP.</w:t>
      </w:r>
    </w:p>
    <w:p w14:paraId="70A6D227" w14:textId="3B2CDBF8" w:rsidR="00597676" w:rsidRPr="00D37A4E" w:rsidRDefault="00597676" w:rsidP="00D37A4E">
      <w:pPr>
        <w:pStyle w:val="Numberbullet0"/>
        <w:rPr>
          <w:b/>
          <w:bCs/>
          <w:i/>
          <w:iCs/>
        </w:rPr>
      </w:pPr>
      <w:r w:rsidRPr="00D37A4E">
        <w:rPr>
          <w:b/>
          <w:bCs/>
          <w:i/>
          <w:iCs/>
        </w:rPr>
        <w:t>Assuming L</w:t>
      </w:r>
      <w:r w:rsidR="00C9389D">
        <w:rPr>
          <w:b/>
          <w:bCs/>
          <w:i/>
          <w:iCs/>
        </w:rPr>
        <w:t>ucentis</w:t>
      </w:r>
      <w:r w:rsidRPr="00D37A4E">
        <w:rPr>
          <w:b/>
          <w:bCs/>
          <w:i/>
          <w:iCs/>
        </w:rPr>
        <w:t xml:space="preserve"> were registered for the sponsor</w:t>
      </w:r>
      <w:r w:rsidR="00AB0307">
        <w:rPr>
          <w:b/>
          <w:bCs/>
          <w:i/>
          <w:iCs/>
        </w:rPr>
        <w:t xml:space="preserve"> </w:t>
      </w:r>
      <w:r w:rsidRPr="00D37A4E">
        <w:rPr>
          <w:b/>
          <w:bCs/>
          <w:i/>
          <w:iCs/>
        </w:rPr>
        <w:t>proposed or a similar indication, can the ACM comment on the need for specific prescriber restriction and education?</w:t>
      </w:r>
    </w:p>
    <w:p w14:paraId="4AD90A65" w14:textId="60393D91" w:rsidR="00597676" w:rsidRDefault="00597676" w:rsidP="00597676">
      <w:r>
        <w:t>The ACM highlighted the importance of restricting use to paediatric ophthalmologists who regularly treat ROP, as these prescribers are aware of the treatment risks, the need for longer and more frequent follow</w:t>
      </w:r>
      <w:r w:rsidR="00AB0307">
        <w:t xml:space="preserve"> </w:t>
      </w:r>
      <w:r>
        <w:t>up, and the potential need for re-treatment.</w:t>
      </w:r>
    </w:p>
    <w:p w14:paraId="037091A6" w14:textId="77777777" w:rsidR="00597676" w:rsidRDefault="00597676" w:rsidP="00597676">
      <w:r>
        <w:lastRenderedPageBreak/>
        <w:t>The ACM also endorsed the use of an informed parental consent process and ongoing prescriber and referrer education and training.</w:t>
      </w:r>
    </w:p>
    <w:p w14:paraId="10902F53" w14:textId="04186325" w:rsidR="00597676" w:rsidRPr="00D37A4E" w:rsidRDefault="00597676" w:rsidP="00D37A4E">
      <w:pPr>
        <w:pStyle w:val="Numberbullet0"/>
        <w:rPr>
          <w:b/>
          <w:bCs/>
          <w:i/>
          <w:iCs/>
        </w:rPr>
      </w:pPr>
      <w:r w:rsidRPr="00D37A4E">
        <w:rPr>
          <w:b/>
          <w:bCs/>
          <w:i/>
          <w:iCs/>
        </w:rPr>
        <w:t xml:space="preserve">The committee is also requested to provide advice on any other issues that it thinks may be relevant to a decision on </w:t>
      </w:r>
      <w:proofErr w:type="gramStart"/>
      <w:r w:rsidRPr="00D37A4E">
        <w:rPr>
          <w:b/>
          <w:bCs/>
          <w:i/>
          <w:iCs/>
        </w:rPr>
        <w:t>whether or not</w:t>
      </w:r>
      <w:proofErr w:type="gramEnd"/>
      <w:r w:rsidRPr="00D37A4E">
        <w:rPr>
          <w:b/>
          <w:bCs/>
          <w:i/>
          <w:iCs/>
        </w:rPr>
        <w:t xml:space="preserve"> to approve this application.</w:t>
      </w:r>
    </w:p>
    <w:p w14:paraId="06744877" w14:textId="77777777" w:rsidR="00597676" w:rsidRDefault="00597676" w:rsidP="00597676">
      <w:r>
        <w:t>The ACM commented that laser treatment appears to be the preferred treatment for ROP except in specific circumstances. Lucentis may also have a role in Type 1 ROP where the infant is too unwell to cope with laser surgery or where there is a risk of re-activation of ROP after adequate laser treatment. The ACM noted that this could be considered in relation to the wording of the indication.</w:t>
      </w:r>
    </w:p>
    <w:p w14:paraId="1FFDC044" w14:textId="77777777" w:rsidR="00597676" w:rsidRDefault="00597676" w:rsidP="00D37A4E">
      <w:pPr>
        <w:pStyle w:val="Heading5"/>
      </w:pPr>
      <w:r>
        <w:t>Conclusion</w:t>
      </w:r>
    </w:p>
    <w:p w14:paraId="64C5A500" w14:textId="6B997780" w:rsidR="00597676" w:rsidRDefault="00597676" w:rsidP="00597676">
      <w:r>
        <w:t>The ACM considered this product to have an overall positive benefit</w:t>
      </w:r>
      <w:r w:rsidR="00AB0307">
        <w:t xml:space="preserve"> </w:t>
      </w:r>
      <w:r>
        <w:t>risk profile for the indication:</w:t>
      </w:r>
    </w:p>
    <w:p w14:paraId="5B2E5823" w14:textId="499EBD2C" w:rsidR="00597676" w:rsidRPr="00D37A4E" w:rsidRDefault="00597676" w:rsidP="00D37A4E">
      <w:pPr>
        <w:ind w:left="720"/>
        <w:rPr>
          <w:i/>
          <w:iCs/>
        </w:rPr>
      </w:pPr>
      <w:r w:rsidRPr="00D37A4E">
        <w:rPr>
          <w:i/>
          <w:iCs/>
        </w:rPr>
        <w:t xml:space="preserve">Lucentis is indicated in preterm infants for the treatment of retinopathy of prematurity (ROP) with </w:t>
      </w:r>
      <w:r w:rsidR="00194C3D">
        <w:rPr>
          <w:i/>
          <w:iCs/>
        </w:rPr>
        <w:t xml:space="preserve">Zone I </w:t>
      </w:r>
      <w:r w:rsidRPr="00D37A4E">
        <w:rPr>
          <w:i/>
          <w:iCs/>
        </w:rPr>
        <w:t>(</w:t>
      </w:r>
      <w:r w:rsidR="00194C3D">
        <w:rPr>
          <w:i/>
          <w:iCs/>
        </w:rPr>
        <w:t>Stage 1</w:t>
      </w:r>
      <w:r w:rsidRPr="00D37A4E">
        <w:rPr>
          <w:i/>
          <w:iCs/>
        </w:rPr>
        <w:t xml:space="preserve">+, 2+, 3 or 3+), </w:t>
      </w:r>
      <w:r w:rsidR="00194C3D">
        <w:rPr>
          <w:i/>
          <w:iCs/>
        </w:rPr>
        <w:t>Zone II</w:t>
      </w:r>
      <w:r w:rsidRPr="00D37A4E">
        <w:rPr>
          <w:i/>
          <w:iCs/>
        </w:rPr>
        <w:t xml:space="preserve"> (</w:t>
      </w:r>
      <w:r w:rsidR="00194C3D">
        <w:rPr>
          <w:i/>
          <w:iCs/>
        </w:rPr>
        <w:t>Stage 3</w:t>
      </w:r>
      <w:r w:rsidRPr="00D37A4E">
        <w:rPr>
          <w:i/>
          <w:iCs/>
        </w:rPr>
        <w:t>+) or AP-ROP (aggressive posterior ROP) disease.</w:t>
      </w:r>
    </w:p>
    <w:p w14:paraId="2AE9C885" w14:textId="18AB1CA3" w:rsidR="00597676" w:rsidRDefault="008E7846" w:rsidP="00C9389D">
      <w:pPr>
        <w:pStyle w:val="Heading2"/>
      </w:pPr>
      <w:bookmarkStart w:id="78" w:name="_Toc131065564"/>
      <w:r>
        <w:t>Outcome</w:t>
      </w:r>
      <w:bookmarkStart w:id="79" w:name="_Toc247691533"/>
      <w:bookmarkStart w:id="80" w:name="_Toc314842517"/>
      <w:bookmarkEnd w:id="75"/>
      <w:bookmarkEnd w:id="76"/>
      <w:bookmarkEnd w:id="78"/>
    </w:p>
    <w:p w14:paraId="4D36C926" w14:textId="77777777" w:rsidR="00597676" w:rsidRDefault="00597676" w:rsidP="00597676">
      <w:r>
        <w:t>Based on a review of quality, safety, and efficacy, the TGA approved the registration of Lucentis ranibizumab (</w:t>
      </w:r>
      <w:proofErr w:type="spellStart"/>
      <w:r>
        <w:t>rbe</w:t>
      </w:r>
      <w:proofErr w:type="spellEnd"/>
      <w:r>
        <w:t>) 2.3 mg/0.23 mL solution for injection vial indicated for the following extension of indications:</w:t>
      </w:r>
    </w:p>
    <w:p w14:paraId="3A8DFFE2" w14:textId="77777777" w:rsidR="00597676" w:rsidRPr="00B677DC" w:rsidRDefault="00597676" w:rsidP="00B677DC">
      <w:pPr>
        <w:ind w:left="360"/>
        <w:rPr>
          <w:i/>
          <w:iCs/>
        </w:rPr>
      </w:pPr>
      <w:r w:rsidRPr="00B677DC">
        <w:rPr>
          <w:i/>
          <w:iCs/>
        </w:rPr>
        <w:t xml:space="preserve">In preterm infants for: </w:t>
      </w:r>
    </w:p>
    <w:p w14:paraId="749E4908" w14:textId="7DA2F3A7" w:rsidR="00597676" w:rsidRPr="00B677DC" w:rsidRDefault="00597676" w:rsidP="00B677DC">
      <w:pPr>
        <w:pStyle w:val="ListBullet"/>
        <w:ind w:left="720"/>
        <w:rPr>
          <w:i/>
          <w:iCs/>
        </w:rPr>
      </w:pPr>
      <w:r w:rsidRPr="00B677DC">
        <w:rPr>
          <w:i/>
          <w:iCs/>
        </w:rPr>
        <w:t xml:space="preserve">the treatment of retinopathy of prematurity (ROP) with </w:t>
      </w:r>
      <w:r w:rsidR="00194C3D">
        <w:rPr>
          <w:i/>
          <w:iCs/>
        </w:rPr>
        <w:t xml:space="preserve">Zone I </w:t>
      </w:r>
      <w:r w:rsidRPr="00B677DC">
        <w:rPr>
          <w:i/>
          <w:iCs/>
        </w:rPr>
        <w:t>(</w:t>
      </w:r>
      <w:r w:rsidR="00194C3D">
        <w:rPr>
          <w:i/>
          <w:iCs/>
        </w:rPr>
        <w:t>Stage 1</w:t>
      </w:r>
      <w:r w:rsidRPr="00B677DC">
        <w:rPr>
          <w:i/>
          <w:iCs/>
        </w:rPr>
        <w:t xml:space="preserve">+, 2+, 3 or 3+), </w:t>
      </w:r>
      <w:r w:rsidR="00194C3D">
        <w:rPr>
          <w:i/>
          <w:iCs/>
        </w:rPr>
        <w:t>Zone II</w:t>
      </w:r>
      <w:r w:rsidRPr="00B677DC">
        <w:rPr>
          <w:i/>
          <w:iCs/>
        </w:rPr>
        <w:t xml:space="preserve"> (</w:t>
      </w:r>
      <w:r w:rsidR="00194C3D">
        <w:rPr>
          <w:i/>
          <w:iCs/>
        </w:rPr>
        <w:t>Stage 3</w:t>
      </w:r>
      <w:r w:rsidRPr="00B677DC">
        <w:rPr>
          <w:i/>
          <w:iCs/>
        </w:rPr>
        <w:t>+) or AP-ROP (aggressive posterior ROP) disease</w:t>
      </w:r>
    </w:p>
    <w:p w14:paraId="7764A021" w14:textId="77777777" w:rsidR="00597676" w:rsidRDefault="00597676" w:rsidP="00597676">
      <w:r>
        <w:t xml:space="preserve">As such, the full indications </w:t>
      </w:r>
      <w:proofErr w:type="gramStart"/>
      <w:r>
        <w:t>at this time</w:t>
      </w:r>
      <w:proofErr w:type="gramEnd"/>
      <w:r>
        <w:t xml:space="preserve"> were:</w:t>
      </w:r>
    </w:p>
    <w:p w14:paraId="6A60054D" w14:textId="77777777" w:rsidR="00597676" w:rsidRPr="00B677DC" w:rsidRDefault="00597676" w:rsidP="00B677DC">
      <w:pPr>
        <w:ind w:left="360"/>
        <w:rPr>
          <w:i/>
          <w:iCs/>
        </w:rPr>
      </w:pPr>
      <w:r w:rsidRPr="00B677DC">
        <w:rPr>
          <w:i/>
          <w:iCs/>
        </w:rPr>
        <w:t xml:space="preserve">Lucentis (ranibizumab) is indicated in adults for: </w:t>
      </w:r>
    </w:p>
    <w:p w14:paraId="00B849CC" w14:textId="0CE23B1A" w:rsidR="00597676" w:rsidRPr="00B677DC" w:rsidRDefault="00597676" w:rsidP="00B677DC">
      <w:pPr>
        <w:pStyle w:val="ListBullet"/>
        <w:ind w:left="720"/>
        <w:rPr>
          <w:i/>
          <w:iCs/>
        </w:rPr>
      </w:pPr>
      <w:r w:rsidRPr="00B677DC">
        <w:rPr>
          <w:i/>
          <w:iCs/>
        </w:rPr>
        <w:t>the treatment of neovascular (wet) age-related macular degeneration (AMD)</w:t>
      </w:r>
    </w:p>
    <w:p w14:paraId="38F3BD06" w14:textId="5E01F93C" w:rsidR="00597676" w:rsidRPr="00B677DC" w:rsidRDefault="00597676" w:rsidP="00B677DC">
      <w:pPr>
        <w:pStyle w:val="ListBullet"/>
        <w:ind w:left="720"/>
        <w:rPr>
          <w:i/>
          <w:iCs/>
        </w:rPr>
      </w:pPr>
      <w:r w:rsidRPr="00B677DC">
        <w:rPr>
          <w:i/>
          <w:iCs/>
        </w:rPr>
        <w:t>the treatment of visual impairment due to diabetic macular oedema (DME)</w:t>
      </w:r>
    </w:p>
    <w:p w14:paraId="79A76592" w14:textId="0CC353C2" w:rsidR="00597676" w:rsidRPr="00B677DC" w:rsidRDefault="00597676" w:rsidP="00B677DC">
      <w:pPr>
        <w:pStyle w:val="ListBullet"/>
        <w:ind w:left="720"/>
        <w:rPr>
          <w:i/>
          <w:iCs/>
        </w:rPr>
      </w:pPr>
      <w:r w:rsidRPr="00B677DC">
        <w:rPr>
          <w:i/>
          <w:iCs/>
        </w:rPr>
        <w:t>treatment of proliferative diabetic retinopathy (PDR)</w:t>
      </w:r>
    </w:p>
    <w:p w14:paraId="25F087E7" w14:textId="3C70EE9A" w:rsidR="00597676" w:rsidRPr="00B677DC" w:rsidRDefault="00597676" w:rsidP="00B677DC">
      <w:pPr>
        <w:pStyle w:val="ListBullet"/>
        <w:ind w:left="720"/>
        <w:rPr>
          <w:i/>
          <w:iCs/>
        </w:rPr>
      </w:pPr>
      <w:r w:rsidRPr="00B677DC">
        <w:rPr>
          <w:i/>
          <w:iCs/>
        </w:rPr>
        <w:t>the treatment of visual impairment due to choroidal neovascularisation</w:t>
      </w:r>
    </w:p>
    <w:p w14:paraId="179A781F" w14:textId="537E5B77" w:rsidR="00597676" w:rsidRPr="00B677DC" w:rsidRDefault="00597676" w:rsidP="00B677DC">
      <w:pPr>
        <w:pStyle w:val="ListBullet"/>
        <w:ind w:left="720"/>
        <w:rPr>
          <w:i/>
          <w:iCs/>
        </w:rPr>
      </w:pPr>
      <w:r w:rsidRPr="00B677DC">
        <w:rPr>
          <w:i/>
          <w:iCs/>
        </w:rPr>
        <w:t>the treatment of visual impairment due to choroidal neovascularisation (CNV)secondary to pathologic myopia (PM)</w:t>
      </w:r>
    </w:p>
    <w:p w14:paraId="1BFEF084" w14:textId="3187D60C" w:rsidR="00597676" w:rsidRPr="00B677DC" w:rsidRDefault="00597676" w:rsidP="00B677DC">
      <w:pPr>
        <w:pStyle w:val="ListBullet"/>
        <w:ind w:left="720"/>
        <w:rPr>
          <w:i/>
          <w:iCs/>
        </w:rPr>
      </w:pPr>
      <w:r w:rsidRPr="00B677DC">
        <w:rPr>
          <w:i/>
          <w:iCs/>
        </w:rPr>
        <w:t xml:space="preserve">the treatment of visual impairment due to macular oedema secondary to retinal </w:t>
      </w:r>
      <w:proofErr w:type="spellStart"/>
      <w:r w:rsidRPr="00B677DC">
        <w:rPr>
          <w:i/>
          <w:iCs/>
        </w:rPr>
        <w:t>veinocclusion</w:t>
      </w:r>
      <w:proofErr w:type="spellEnd"/>
      <w:r w:rsidRPr="00B677DC">
        <w:rPr>
          <w:i/>
          <w:iCs/>
        </w:rPr>
        <w:t xml:space="preserve"> (RVO)</w:t>
      </w:r>
    </w:p>
    <w:p w14:paraId="1E5DB4B9" w14:textId="77777777" w:rsidR="00597676" w:rsidRPr="00B677DC" w:rsidRDefault="00597676" w:rsidP="00B677DC">
      <w:pPr>
        <w:ind w:left="360"/>
        <w:rPr>
          <w:i/>
          <w:iCs/>
        </w:rPr>
      </w:pPr>
      <w:r w:rsidRPr="00B677DC">
        <w:rPr>
          <w:i/>
          <w:iCs/>
        </w:rPr>
        <w:t xml:space="preserve">Lucentis is indicated in preterm infants for: </w:t>
      </w:r>
    </w:p>
    <w:p w14:paraId="0BEADC9A" w14:textId="167876D2" w:rsidR="00597676" w:rsidRPr="00B677DC" w:rsidRDefault="00597676" w:rsidP="00B677DC">
      <w:pPr>
        <w:pStyle w:val="ListBullet"/>
        <w:ind w:left="720"/>
        <w:rPr>
          <w:i/>
          <w:iCs/>
        </w:rPr>
      </w:pPr>
      <w:r w:rsidRPr="00B677DC">
        <w:rPr>
          <w:i/>
          <w:iCs/>
        </w:rPr>
        <w:t xml:space="preserve">the treatment of retinopathy of prematurity (ROP) with </w:t>
      </w:r>
      <w:r w:rsidR="00194C3D">
        <w:rPr>
          <w:i/>
          <w:iCs/>
        </w:rPr>
        <w:t xml:space="preserve">Zone I </w:t>
      </w:r>
      <w:r w:rsidRPr="00B677DC">
        <w:rPr>
          <w:i/>
          <w:iCs/>
        </w:rPr>
        <w:t>(</w:t>
      </w:r>
      <w:r w:rsidR="00194C3D">
        <w:rPr>
          <w:i/>
          <w:iCs/>
        </w:rPr>
        <w:t>Stage 1</w:t>
      </w:r>
      <w:r w:rsidRPr="00B677DC">
        <w:rPr>
          <w:i/>
          <w:iCs/>
        </w:rPr>
        <w:t>+, 2+, 3 or 3+</w:t>
      </w:r>
      <w:proofErr w:type="gramStart"/>
      <w:r w:rsidRPr="00B677DC">
        <w:rPr>
          <w:i/>
          <w:iCs/>
        </w:rPr>
        <w:t>),</w:t>
      </w:r>
      <w:r w:rsidR="00194C3D">
        <w:rPr>
          <w:i/>
          <w:iCs/>
        </w:rPr>
        <w:t>Zone</w:t>
      </w:r>
      <w:proofErr w:type="gramEnd"/>
      <w:r w:rsidR="00194C3D">
        <w:rPr>
          <w:i/>
          <w:iCs/>
        </w:rPr>
        <w:t xml:space="preserve"> II</w:t>
      </w:r>
      <w:r w:rsidRPr="00B677DC">
        <w:rPr>
          <w:i/>
          <w:iCs/>
        </w:rPr>
        <w:t xml:space="preserve"> (</w:t>
      </w:r>
      <w:r w:rsidR="00194C3D">
        <w:rPr>
          <w:i/>
          <w:iCs/>
        </w:rPr>
        <w:t>Stage 3</w:t>
      </w:r>
      <w:r w:rsidRPr="00B677DC">
        <w:rPr>
          <w:i/>
          <w:iCs/>
        </w:rPr>
        <w:t>+) or AP-ROP (aggressive posterior ROP) disease</w:t>
      </w:r>
    </w:p>
    <w:p w14:paraId="52D0C382" w14:textId="4C1DA6AF" w:rsidR="00597676" w:rsidRDefault="00597676" w:rsidP="00597676">
      <w:r>
        <w:t xml:space="preserve">The above extension of indications </w:t>
      </w:r>
      <w:proofErr w:type="gramStart"/>
      <w:r>
        <w:t>are</w:t>
      </w:r>
      <w:proofErr w:type="gramEnd"/>
      <w:r>
        <w:t xml:space="preserve"> inclusive of the previous approved indications.</w:t>
      </w:r>
    </w:p>
    <w:p w14:paraId="4A36FCE7" w14:textId="77777777" w:rsidR="00D23139" w:rsidRPr="00D23139" w:rsidRDefault="00D23139" w:rsidP="00D212F3">
      <w:pPr>
        <w:pStyle w:val="Heading3"/>
      </w:pPr>
      <w:bookmarkStart w:id="81" w:name="_Toc131065565"/>
      <w:r w:rsidRPr="00D23139">
        <w:t>Specific conditions of registration applying to these goods</w:t>
      </w:r>
      <w:bookmarkEnd w:id="81"/>
    </w:p>
    <w:p w14:paraId="0F82379D" w14:textId="573506BC" w:rsidR="00597676" w:rsidRDefault="00597676" w:rsidP="00B677DC">
      <w:pPr>
        <w:pStyle w:val="ListBullet"/>
      </w:pPr>
      <w:r>
        <w:t>Lucentis (ranibizumab) is to be included in the Black Triangle Scheme. The PI</w:t>
      </w:r>
      <w:r w:rsidR="00B677DC">
        <w:t xml:space="preserve"> [Product Information]</w:t>
      </w:r>
      <w:r>
        <w:t xml:space="preserve"> and CMI </w:t>
      </w:r>
      <w:r w:rsidR="00B677DC">
        <w:t xml:space="preserve">[Consumer Medicine Information] </w:t>
      </w:r>
      <w:r>
        <w:t xml:space="preserve">for Lucentis must include the </w:t>
      </w:r>
      <w:r>
        <w:lastRenderedPageBreak/>
        <w:t>black triangle symbol and mandatory accompanying text for five years, which starts from the date the new indication is registered.</w:t>
      </w:r>
    </w:p>
    <w:p w14:paraId="306A5803" w14:textId="0EA49256" w:rsidR="00597676" w:rsidRDefault="00597676" w:rsidP="00B677DC">
      <w:pPr>
        <w:pStyle w:val="ListBullet"/>
      </w:pPr>
      <w:r>
        <w:t>The final Clinical study report (CSR) for Study RFB002H2301E1 (RAINBOW extension study) should be submitted to the TGA, once available (planned completion: 30 June 2023).</w:t>
      </w:r>
    </w:p>
    <w:p w14:paraId="175C8948" w14:textId="174B2A9A" w:rsidR="00597676" w:rsidRDefault="00597676" w:rsidP="00B677DC">
      <w:pPr>
        <w:pStyle w:val="ListBullet"/>
      </w:pPr>
      <w:r>
        <w:t xml:space="preserve">The Lucentis EU-Risk Management Plan (RMP) (version 20.0, dated 13 August 2019, data lock point DLP 24 Jan 2018 for clinical trial data, 31 May 2018 for post-marketing data), with Australia </w:t>
      </w:r>
      <w:r w:rsidR="00B677DC">
        <w:t>s</w:t>
      </w:r>
      <w:r>
        <w:t xml:space="preserve">pecific </w:t>
      </w:r>
      <w:r w:rsidR="00B677DC">
        <w:t>a</w:t>
      </w:r>
      <w:r>
        <w:t>nnex (version 11.2, dated 24 June 2021), included with submission PM-2020-04187-1-5, and any subsequent revisions, as agreed with the TGA will be implemented in Australia.</w:t>
      </w:r>
    </w:p>
    <w:p w14:paraId="50BCFEDD" w14:textId="04FB02B3" w:rsidR="00597676" w:rsidRDefault="00597676" w:rsidP="00B677DC">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0C88FF1D" w14:textId="77777777" w:rsidR="00AB0307" w:rsidRDefault="00597676" w:rsidP="00B677DC">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r w:rsidR="00AB0307">
        <w:t>.</w:t>
      </w:r>
    </w:p>
    <w:p w14:paraId="0A14C30C" w14:textId="317C6705" w:rsidR="00597676" w:rsidRDefault="00597676" w:rsidP="00B677DC">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18F57E27" w14:textId="6B43B431" w:rsidR="0074163C" w:rsidRDefault="00597676" w:rsidP="0074163C">
      <w:pPr>
        <w:pStyle w:val="ListBullet"/>
      </w:pPr>
      <w:r>
        <w:t>For all injectable products the Product Information must be included with the product as a package insert.</w:t>
      </w:r>
    </w:p>
    <w:p w14:paraId="1CF564E7" w14:textId="7C60C8D9" w:rsidR="008E7846" w:rsidRDefault="00A80B5B" w:rsidP="00D23139">
      <w:pPr>
        <w:pStyle w:val="Heading2"/>
      </w:pPr>
      <w:bookmarkStart w:id="82" w:name="_Toc131065566"/>
      <w:r>
        <w:t xml:space="preserve">Attachment 1. </w:t>
      </w:r>
      <w:r w:rsidR="008E7846">
        <w:t xml:space="preserve">Product </w:t>
      </w:r>
      <w:r w:rsidR="00AA0ED0">
        <w:t>I</w:t>
      </w:r>
      <w:r w:rsidR="008E7846">
        <w:t>nformation</w:t>
      </w:r>
      <w:bookmarkEnd w:id="79"/>
      <w:bookmarkEnd w:id="80"/>
      <w:bookmarkEnd w:id="82"/>
    </w:p>
    <w:p w14:paraId="0D2CB761" w14:textId="4F1C651B" w:rsidR="00523A21" w:rsidRDefault="006136D7" w:rsidP="00C80137">
      <w:r w:rsidRPr="002B3624">
        <w:t xml:space="preserve">The </w:t>
      </w:r>
      <w:r>
        <w:t>PI</w:t>
      </w:r>
      <w:r w:rsidRPr="002B3624">
        <w:t xml:space="preserve"> for </w:t>
      </w:r>
      <w:r w:rsidR="00B677DC">
        <w:t xml:space="preserve">Lucentis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39" w:history="1">
        <w:r w:rsidR="0074163C" w:rsidRPr="008A698E">
          <w:rPr>
            <w:rStyle w:val="Hyperlink"/>
          </w:rPr>
          <w:t>PI/CMI search facility</w:t>
        </w:r>
        <w:r w:rsidR="0074163C" w:rsidRPr="00EB36D6">
          <w:rPr>
            <w:rStyle w:val="Hyperlink"/>
            <w:color w:val="auto"/>
            <w:u w:val="none"/>
          </w:rPr>
          <w:t>.</w:t>
        </w:r>
      </w:hyperlink>
    </w:p>
    <w:p w14:paraId="663CE1B6" w14:textId="77777777" w:rsidR="008E7846" w:rsidRPr="00EB36D6" w:rsidRDefault="008E7846" w:rsidP="00EB36D6">
      <w:r w:rsidRPr="00C80137">
        <w:br w:type="page"/>
      </w:r>
    </w:p>
    <w:p w14:paraId="49352418" w14:textId="77777777"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59C735D" w14:textId="77777777" w:rsidTr="00A05FA4">
        <w:trPr>
          <w:trHeight w:hRule="exact" w:val="704"/>
        </w:trPr>
        <w:tc>
          <w:tcPr>
            <w:tcW w:w="9175" w:type="dxa"/>
          </w:tcPr>
          <w:p w14:paraId="16B695C5" w14:textId="77777777" w:rsidR="001C32CD" w:rsidRPr="00487162" w:rsidRDefault="001C32CD" w:rsidP="00A05FA4">
            <w:pPr>
              <w:pStyle w:val="TGASignoff"/>
            </w:pPr>
            <w:r w:rsidRPr="00487162">
              <w:lastRenderedPageBreak/>
              <w:t>Therapeutic Goods Administration</w:t>
            </w:r>
          </w:p>
        </w:tc>
      </w:tr>
      <w:tr w:rsidR="001C32CD" w:rsidRPr="004C239D" w14:paraId="1C709967" w14:textId="77777777" w:rsidTr="00A05FA4">
        <w:trPr>
          <w:trHeight w:val="1221"/>
        </w:trPr>
        <w:tc>
          <w:tcPr>
            <w:tcW w:w="9175" w:type="dxa"/>
            <w:tcMar>
              <w:top w:w="28" w:type="dxa"/>
            </w:tcMar>
          </w:tcPr>
          <w:p w14:paraId="0E02BDF6" w14:textId="77777777" w:rsidR="001C32CD" w:rsidRPr="00487162" w:rsidRDefault="001C32CD" w:rsidP="00A05FA4">
            <w:pPr>
              <w:pStyle w:val="Address"/>
            </w:pPr>
            <w:r w:rsidRPr="00487162">
              <w:t>PO Box 100 Woden ACT 2606 Australia</w:t>
            </w:r>
          </w:p>
          <w:p w14:paraId="1A3E2D8F" w14:textId="0F5F9740" w:rsidR="001C32CD" w:rsidRPr="00487162" w:rsidRDefault="001C32CD" w:rsidP="00A05FA4">
            <w:pPr>
              <w:pStyle w:val="Address"/>
            </w:pPr>
            <w:r w:rsidRPr="00487162">
              <w:t xml:space="preserve">Email: </w:t>
            </w:r>
            <w:hyperlink r:id="rId44" w:history="1">
              <w:r w:rsidRPr="004C239D">
                <w:rPr>
                  <w:rStyle w:val="Hyperlink"/>
                </w:rPr>
                <w:t>info@tga.gov.au</w:t>
              </w:r>
            </w:hyperlink>
            <w:r w:rsidR="0003659F">
              <w:t xml:space="preserve"> </w:t>
            </w:r>
            <w:r w:rsidRPr="00487162">
              <w:t>Phone: 1800 020 653</w:t>
            </w:r>
            <w:r w:rsidR="0003659F">
              <w:t xml:space="preserve"> </w:t>
            </w:r>
            <w:r w:rsidRPr="00487162">
              <w:t>Fax: 02 6232 8605</w:t>
            </w:r>
          </w:p>
          <w:p w14:paraId="5E667A59" w14:textId="613A2EF1" w:rsidR="001C32CD" w:rsidRPr="004C239D" w:rsidRDefault="00445461"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14:paraId="26B9BB91"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E1DC8" w14:textId="77777777" w:rsidR="002D65F1" w:rsidRDefault="002D65F1" w:rsidP="00C40A36">
      <w:pPr>
        <w:spacing w:after="0"/>
      </w:pPr>
      <w:r>
        <w:separator/>
      </w:r>
    </w:p>
  </w:endnote>
  <w:endnote w:type="continuationSeparator" w:id="0">
    <w:p w14:paraId="560B2A1A" w14:textId="77777777" w:rsidR="002D65F1" w:rsidRDefault="002D65F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A1"/>
    <w:family w:val="auto"/>
    <w:notTrueType/>
    <w:pitch w:val="default"/>
    <w:sig w:usb0="00000081" w:usb1="08070000" w:usb2="00000010" w:usb3="00000000" w:csb0="00020008"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3936" w14:textId="77777777" w:rsidR="00211D6B" w:rsidRDefault="00211D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B7211" w:rsidRPr="00487162" w14:paraId="69335534" w14:textId="77777777" w:rsidTr="00DB750B">
      <w:trPr>
        <w:trHeight w:val="269"/>
      </w:trPr>
      <w:tc>
        <w:tcPr>
          <w:tcW w:w="7371" w:type="dxa"/>
          <w:tcMar>
            <w:top w:w="142" w:type="dxa"/>
            <w:bottom w:w="0" w:type="dxa"/>
          </w:tcMar>
        </w:tcPr>
        <w:p w14:paraId="71E53632" w14:textId="0685680A" w:rsidR="006B7211" w:rsidRPr="00487162" w:rsidRDefault="006B7211" w:rsidP="00460036">
          <w:pPr>
            <w:pStyle w:val="Footer"/>
          </w:pPr>
          <w:r w:rsidRPr="00487162">
            <w:t>AusPA</w:t>
          </w:r>
          <w:r>
            <w:t xml:space="preserve">R - </w:t>
          </w:r>
          <w:r w:rsidRPr="00446A8A">
            <w:t>Lucentis - Ranibizumab - Novartis Pharmaceuticals Australia Pty Ltd - PM-2020-04187-1-5</w:t>
          </w:r>
          <w:r>
            <w:br/>
          </w:r>
          <w:r w:rsidR="00211D6B">
            <w:t>Final 19 May 2023</w:t>
          </w:r>
        </w:p>
      </w:tc>
      <w:tc>
        <w:tcPr>
          <w:tcW w:w="1490" w:type="dxa"/>
          <w:tcMar>
            <w:top w:w="142" w:type="dxa"/>
            <w:bottom w:w="0" w:type="dxa"/>
          </w:tcMar>
        </w:tcPr>
        <w:p w14:paraId="015D091D" w14:textId="2D9DB999" w:rsidR="006B7211" w:rsidRPr="00487162" w:rsidRDefault="006B7211" w:rsidP="00DB750B">
          <w:pPr>
            <w:pStyle w:val="Footer"/>
            <w:jc w:val="right"/>
          </w:pPr>
          <w:r w:rsidRPr="00487162">
            <w:t xml:space="preserve">Page </w:t>
          </w:r>
          <w:r>
            <w:fldChar w:fldCharType="begin"/>
          </w:r>
          <w:r>
            <w:instrText xml:space="preserve"> PAGE  \* Arabic </w:instrText>
          </w:r>
          <w:r>
            <w:fldChar w:fldCharType="separate"/>
          </w:r>
          <w:r w:rsidR="008C54AF">
            <w:rPr>
              <w:noProof/>
            </w:rPr>
            <w:t>29</w:t>
          </w:r>
          <w:r>
            <w:fldChar w:fldCharType="end"/>
          </w:r>
          <w:r w:rsidRPr="00487162">
            <w:t xml:space="preserve"> of </w:t>
          </w:r>
          <w:r w:rsidR="002D65F1">
            <w:fldChar w:fldCharType="begin"/>
          </w:r>
          <w:r w:rsidR="002D65F1">
            <w:instrText xml:space="preserve"> NUMPAGES  \* Arabic </w:instrText>
          </w:r>
          <w:r w:rsidR="002D65F1">
            <w:fldChar w:fldCharType="separate"/>
          </w:r>
          <w:r w:rsidR="008C54AF">
            <w:rPr>
              <w:noProof/>
            </w:rPr>
            <w:t>42</w:t>
          </w:r>
          <w:r w:rsidR="002D65F1">
            <w:rPr>
              <w:noProof/>
            </w:rPr>
            <w:fldChar w:fldCharType="end"/>
          </w:r>
        </w:p>
      </w:tc>
    </w:tr>
  </w:tbl>
  <w:p w14:paraId="7158AA85" w14:textId="77777777" w:rsidR="006B7211" w:rsidRDefault="006B7211"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C351D" w14:textId="77777777" w:rsidR="00211D6B" w:rsidRDefault="00211D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B7211" w:rsidRPr="00487162" w14:paraId="54E174B9" w14:textId="77777777" w:rsidTr="00E45619">
      <w:trPr>
        <w:trHeight w:val="269"/>
      </w:trPr>
      <w:tc>
        <w:tcPr>
          <w:tcW w:w="4519" w:type="dxa"/>
          <w:tcBorders>
            <w:top w:val="single" w:sz="4" w:space="0" w:color="auto"/>
          </w:tcBorders>
          <w:tcMar>
            <w:top w:w="142" w:type="dxa"/>
            <w:bottom w:w="0" w:type="dxa"/>
          </w:tcMar>
        </w:tcPr>
        <w:p w14:paraId="594205A0" w14:textId="77777777" w:rsidR="006B7211" w:rsidRPr="00487162" w:rsidRDefault="006B7211" w:rsidP="00FE1DEE">
          <w:pPr>
            <w:pStyle w:val="Footer"/>
          </w:pPr>
          <w:r w:rsidRPr="00487162">
            <w:t>Document title, Part #, Section # - Section title</w:t>
          </w:r>
        </w:p>
        <w:p w14:paraId="54DEB8E5" w14:textId="77777777" w:rsidR="006B7211" w:rsidRPr="00487162" w:rsidRDefault="006B7211" w:rsidP="00FE1DEE">
          <w:pPr>
            <w:pStyle w:val="Footer"/>
          </w:pPr>
          <w:r w:rsidRPr="00487162">
            <w:t>V1.0 October 2010</w:t>
          </w:r>
        </w:p>
      </w:tc>
      <w:tc>
        <w:tcPr>
          <w:tcW w:w="4342" w:type="dxa"/>
          <w:tcBorders>
            <w:top w:val="single" w:sz="4" w:space="0" w:color="auto"/>
          </w:tcBorders>
          <w:tcMar>
            <w:top w:w="142" w:type="dxa"/>
            <w:bottom w:w="0" w:type="dxa"/>
          </w:tcMar>
        </w:tcPr>
        <w:p w14:paraId="7F680700" w14:textId="77777777" w:rsidR="006B7211" w:rsidRPr="00487162" w:rsidRDefault="006B721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D65F1">
            <w:fldChar w:fldCharType="begin"/>
          </w:r>
          <w:r w:rsidR="002D65F1">
            <w:instrText xml:space="preserve"> NUMPAGES  </w:instrText>
          </w:r>
          <w:r w:rsidR="002D65F1">
            <w:fldChar w:fldCharType="separate"/>
          </w:r>
          <w:r>
            <w:rPr>
              <w:noProof/>
            </w:rPr>
            <w:t>21</w:t>
          </w:r>
          <w:r w:rsidR="002D65F1">
            <w:rPr>
              <w:noProof/>
            </w:rPr>
            <w:fldChar w:fldCharType="end"/>
          </w:r>
        </w:p>
      </w:tc>
    </w:tr>
  </w:tbl>
  <w:p w14:paraId="6847C26F" w14:textId="77777777" w:rsidR="006B7211" w:rsidRDefault="006B72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BFE5" w14:textId="77777777" w:rsidR="006B7211" w:rsidRPr="001C32CD" w:rsidRDefault="006B721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B7211" w14:paraId="3430BA72" w14:textId="77777777" w:rsidTr="0010601F">
      <w:trPr>
        <w:trHeight w:val="108"/>
      </w:trPr>
      <w:tc>
        <w:tcPr>
          <w:tcW w:w="8875" w:type="dxa"/>
          <w:gridSpan w:val="2"/>
          <w:tcBorders>
            <w:bottom w:val="single" w:sz="4" w:space="0" w:color="auto"/>
          </w:tcBorders>
          <w:tcMar>
            <w:right w:w="284" w:type="dxa"/>
          </w:tcMar>
        </w:tcPr>
        <w:p w14:paraId="1AE3B450" w14:textId="77777777" w:rsidR="006B7211" w:rsidRDefault="006B7211" w:rsidP="006E08B3">
          <w:pPr>
            <w:pStyle w:val="Heading3"/>
          </w:pPr>
          <w:r>
            <w:t>Copyright</w:t>
          </w:r>
        </w:p>
        <w:p w14:paraId="2C8920D4" w14:textId="77777777" w:rsidR="006B7211" w:rsidRDefault="006B7211" w:rsidP="006E08B3">
          <w:r>
            <w:rPr>
              <w:rFonts w:cs="Arial"/>
            </w:rPr>
            <w:t>©</w:t>
          </w:r>
          <w:r>
            <w:t xml:space="preserve"> Commonwealth of Australia [add year]</w:t>
          </w:r>
        </w:p>
        <w:p w14:paraId="23BD2E99" w14:textId="77777777" w:rsidR="006B7211" w:rsidRDefault="006B7211" w:rsidP="006E08B3"/>
        <w:p w14:paraId="2BB1654C" w14:textId="2C66AE65" w:rsidR="006B7211" w:rsidRDefault="006B721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F87D38C" w14:textId="77777777" w:rsidR="006B7211" w:rsidRDefault="006B7211" w:rsidP="006E08B3"/>
        <w:p w14:paraId="28CB91E1" w14:textId="77777777" w:rsidR="006B7211" w:rsidRDefault="006B7211" w:rsidP="006E08B3">
          <w:pPr>
            <w:pStyle w:val="Heading3"/>
          </w:pPr>
          <w:r>
            <w:t>Confidentiality</w:t>
          </w:r>
        </w:p>
        <w:p w14:paraId="24A82D6C" w14:textId="77777777" w:rsidR="006B7211" w:rsidRDefault="006B721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2E3430D" w14:textId="77777777" w:rsidR="006B7211" w:rsidRDefault="006B7211" w:rsidP="006E08B3"/>
        <w:p w14:paraId="43903A1D" w14:textId="77777777" w:rsidR="006B7211" w:rsidRDefault="006B7211" w:rsidP="006E08B3">
          <w:r>
            <w:t>For submission made by individuals, all personal details, other than your name, will be removed from your submission before it is published on the TGA’s Internet site.</w:t>
          </w:r>
        </w:p>
        <w:p w14:paraId="0F125610" w14:textId="77777777" w:rsidR="006B7211" w:rsidRDefault="006B7211" w:rsidP="006E08B3"/>
        <w:p w14:paraId="4D7C4A07" w14:textId="77777777" w:rsidR="006B7211" w:rsidRDefault="006B7211" w:rsidP="006E08B3">
          <w:r>
            <w:t>In addition, a list of parties making submissions will be published. If you do not wish to be identified with your submission you must specifically request this in the space provided in the submission coversheet.</w:t>
          </w:r>
        </w:p>
      </w:tc>
    </w:tr>
    <w:tr w:rsidR="006B7211" w14:paraId="792ADA12" w14:textId="77777777" w:rsidTr="0010601F">
      <w:trPr>
        <w:trHeight w:val="417"/>
      </w:trPr>
      <w:tc>
        <w:tcPr>
          <w:tcW w:w="4519" w:type="dxa"/>
          <w:tcBorders>
            <w:top w:val="single" w:sz="4" w:space="0" w:color="auto"/>
          </w:tcBorders>
          <w:tcMar>
            <w:top w:w="142" w:type="dxa"/>
            <w:bottom w:w="0" w:type="dxa"/>
          </w:tcMar>
        </w:tcPr>
        <w:p w14:paraId="4C6D8154" w14:textId="77777777" w:rsidR="006B7211" w:rsidRDefault="006B7211" w:rsidP="006E08B3">
          <w:r>
            <w:t>Document title, Part #, Section # - Section title</w:t>
          </w:r>
        </w:p>
        <w:p w14:paraId="20074C28" w14:textId="77777777" w:rsidR="006B7211" w:rsidRDefault="006B7211" w:rsidP="006E08B3">
          <w:r>
            <w:t>V1.0 October 2010</w:t>
          </w:r>
        </w:p>
      </w:tc>
      <w:tc>
        <w:tcPr>
          <w:tcW w:w="4356" w:type="dxa"/>
          <w:tcBorders>
            <w:top w:val="single" w:sz="4" w:space="0" w:color="auto"/>
          </w:tcBorders>
          <w:tcMar>
            <w:top w:w="142" w:type="dxa"/>
            <w:bottom w:w="0" w:type="dxa"/>
          </w:tcMar>
        </w:tcPr>
        <w:p w14:paraId="53016FCC" w14:textId="167DF777" w:rsidR="006B7211" w:rsidRDefault="006B721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D65F1">
            <w:fldChar w:fldCharType="begin"/>
          </w:r>
          <w:r w:rsidR="002D65F1">
            <w:instrText xml:space="preserve"> NUMPAGES  \* Arabic </w:instrText>
          </w:r>
          <w:r w:rsidR="002D65F1">
            <w:fldChar w:fldCharType="separate"/>
          </w:r>
          <w:r>
            <w:rPr>
              <w:noProof/>
            </w:rPr>
            <w:t>21</w:t>
          </w:r>
          <w:r w:rsidR="002D65F1">
            <w:rPr>
              <w:noProof/>
            </w:rPr>
            <w:fldChar w:fldCharType="end"/>
          </w:r>
          <w:r>
            <w:t xml:space="preserve"> </w:t>
          </w:r>
        </w:p>
      </w:tc>
    </w:tr>
  </w:tbl>
  <w:p w14:paraId="7BFCD321" w14:textId="77777777" w:rsidR="006B7211" w:rsidRDefault="006B72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A5CD0" w14:textId="77777777" w:rsidR="002D65F1" w:rsidRDefault="002D65F1" w:rsidP="00C40A36">
      <w:pPr>
        <w:spacing w:after="0"/>
      </w:pPr>
      <w:r>
        <w:separator/>
      </w:r>
    </w:p>
  </w:footnote>
  <w:footnote w:type="continuationSeparator" w:id="0">
    <w:p w14:paraId="158E7DA1" w14:textId="77777777" w:rsidR="002D65F1" w:rsidRDefault="002D65F1" w:rsidP="00C40A36">
      <w:pPr>
        <w:spacing w:after="0"/>
      </w:pPr>
      <w:r>
        <w:continuationSeparator/>
      </w:r>
    </w:p>
  </w:footnote>
  <w:footnote w:id="1">
    <w:p w14:paraId="2E9AD278" w14:textId="74147DE0" w:rsidR="006B7211" w:rsidRDefault="006B7211">
      <w:pPr>
        <w:pStyle w:val="FootnoteText"/>
      </w:pPr>
      <w:r>
        <w:rPr>
          <w:rStyle w:val="FootnoteReference"/>
        </w:rPr>
        <w:footnoteRef/>
      </w:r>
      <w:r>
        <w:t xml:space="preserve"> </w:t>
      </w:r>
      <w:r w:rsidRPr="00074F76">
        <w:t xml:space="preserve">The </w:t>
      </w:r>
      <w:r w:rsidRPr="00074F76">
        <w:rPr>
          <w:b/>
          <w:bCs/>
        </w:rPr>
        <w:t>Black Triangle Scheme</w:t>
      </w:r>
      <w:r w:rsidRPr="00074F7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32504A3" w14:textId="0777BF7A" w:rsidR="006B7211" w:rsidRPr="00A4695C" w:rsidRDefault="006B7211">
      <w:pPr>
        <w:pStyle w:val="FootnoteText"/>
        <w:rPr>
          <w:lang w:val="en-GB"/>
        </w:rPr>
      </w:pPr>
      <w:r>
        <w:rPr>
          <w:rStyle w:val="FootnoteReference"/>
        </w:rPr>
        <w:footnoteRef/>
      </w:r>
      <w:r>
        <w:t xml:space="preserve"> </w:t>
      </w:r>
      <w:r w:rsidRPr="008F7403">
        <w:t xml:space="preserve">Gilbert C. Retinopathy of prematurity: a global perspective of the epidemics, population of babies at risk and implications for control. </w:t>
      </w:r>
      <w:r w:rsidRPr="00A4695C">
        <w:rPr>
          <w:i/>
        </w:rPr>
        <w:t>Early Hum Dev.</w:t>
      </w:r>
      <w:r w:rsidRPr="008F7403">
        <w:t xml:space="preserve"> 2008;84(2):77-82.</w:t>
      </w:r>
    </w:p>
  </w:footnote>
  <w:footnote w:id="3">
    <w:p w14:paraId="447A01C7" w14:textId="4397D20E" w:rsidR="006B7211" w:rsidRPr="00A4695C" w:rsidRDefault="006B7211">
      <w:pPr>
        <w:pStyle w:val="FootnoteText"/>
        <w:rPr>
          <w:lang w:val="en-GB"/>
        </w:rPr>
      </w:pPr>
      <w:r>
        <w:rPr>
          <w:rStyle w:val="FootnoteReference"/>
        </w:rPr>
        <w:footnoteRef/>
      </w:r>
      <w:r>
        <w:t xml:space="preserve"> </w:t>
      </w:r>
      <w:r w:rsidRPr="00526433">
        <w:t xml:space="preserve">Rivera, J.C., Holm, M., Austeng, D. et al. Retinopathy of prematurity: inflammation, choroidal degeneration, and novel promising therapeutic strategies. </w:t>
      </w:r>
      <w:r w:rsidRPr="00A4695C">
        <w:rPr>
          <w:i/>
        </w:rPr>
        <w:t xml:space="preserve">J Neuroinflammation </w:t>
      </w:r>
      <w:r w:rsidRPr="00526433">
        <w:t>14, 165 (2017).</w:t>
      </w:r>
    </w:p>
  </w:footnote>
  <w:footnote w:id="4">
    <w:p w14:paraId="764B2E50" w14:textId="759584C6" w:rsidR="006B7211" w:rsidRPr="00A4695C" w:rsidRDefault="006B7211">
      <w:pPr>
        <w:pStyle w:val="FootnoteText"/>
        <w:rPr>
          <w:lang w:val="en-GB"/>
        </w:rPr>
      </w:pPr>
      <w:r>
        <w:rPr>
          <w:rStyle w:val="FootnoteReference"/>
        </w:rPr>
        <w:footnoteRef/>
      </w:r>
      <w:r>
        <w:t xml:space="preserve"> </w:t>
      </w:r>
      <w:r w:rsidRPr="00625ED4">
        <w:t xml:space="preserve">Chiang MF, Quinn GE, Fielder AR, et al. International Classification of Retinopathy of Prematurity, Third Edition. </w:t>
      </w:r>
      <w:r w:rsidRPr="00A4695C">
        <w:rPr>
          <w:i/>
        </w:rPr>
        <w:t>Ophthalmology</w:t>
      </w:r>
      <w:r w:rsidRPr="00625ED4">
        <w:t>. 2021;128(10</w:t>
      </w:r>
      <w:proofErr w:type="gramStart"/>
      <w:r w:rsidRPr="00625ED4">
        <w:t>):e</w:t>
      </w:r>
      <w:proofErr w:type="gramEnd"/>
      <w:r w:rsidRPr="00625ED4">
        <w:t>51-e68.</w:t>
      </w:r>
    </w:p>
  </w:footnote>
  <w:footnote w:id="5">
    <w:p w14:paraId="36A853B6" w14:textId="77777777" w:rsidR="006B7211" w:rsidRDefault="006B7211" w:rsidP="00074F76">
      <w:pPr>
        <w:pStyle w:val="FootnoteText"/>
      </w:pPr>
      <w:r>
        <w:rPr>
          <w:rStyle w:val="FootnoteReference"/>
        </w:rPr>
        <w:footnoteRef/>
      </w:r>
      <w:r>
        <w:t xml:space="preserve"> International Committee for the Classification of Retinopathy of Prematurity. The International Classification</w:t>
      </w:r>
    </w:p>
    <w:p w14:paraId="0EDB7BA2" w14:textId="72A04515" w:rsidR="006B7211" w:rsidRDefault="006B7211" w:rsidP="00074F76">
      <w:pPr>
        <w:pStyle w:val="FootnoteText"/>
      </w:pPr>
      <w:r>
        <w:t xml:space="preserve">of Retinopathy of Prematurity Revisited. </w:t>
      </w:r>
      <w:r w:rsidRPr="00561C00">
        <w:rPr>
          <w:i/>
          <w:iCs/>
        </w:rPr>
        <w:t>Archives of Ophthalmology</w:t>
      </w:r>
      <w:r>
        <w:t>. 2005, 123(7):991-9</w:t>
      </w:r>
    </w:p>
  </w:footnote>
  <w:footnote w:id="6">
    <w:p w14:paraId="005BAB1A" w14:textId="7AC5CCBA" w:rsidR="006B7211" w:rsidRPr="00A4695C" w:rsidRDefault="006B7211">
      <w:pPr>
        <w:pStyle w:val="FootnoteText"/>
        <w:rPr>
          <w:lang w:val="en-GB"/>
        </w:rPr>
      </w:pPr>
      <w:r>
        <w:rPr>
          <w:rStyle w:val="FootnoteReference"/>
        </w:rPr>
        <w:footnoteRef/>
      </w:r>
      <w:r>
        <w:t xml:space="preserve"> Chow, SSW, Creighton, P, Chambers, GM, Lui, K. 2020. Report of the Australian and New Zealand Neonatal Network 2018. Sydney: ANZNN.</w:t>
      </w:r>
    </w:p>
  </w:footnote>
  <w:footnote w:id="7">
    <w:p w14:paraId="2D129EAC" w14:textId="0965455D" w:rsidR="006B7211" w:rsidRDefault="006B7211">
      <w:pPr>
        <w:pStyle w:val="FootnoteText"/>
      </w:pPr>
      <w:r>
        <w:rPr>
          <w:rStyle w:val="FootnoteReference"/>
        </w:rPr>
        <w:footnoteRef/>
      </w:r>
      <w:r>
        <w:t xml:space="preserve"> </w:t>
      </w:r>
      <w:r w:rsidRPr="00ED11DD">
        <w:t>Therapeutic goods must be entered in the Australian Register of Therapeutic Goods (ARTG) before they can be lawfully supplied in or exported from Australia, unless exempt from being entered in the ARTG, or otherwise authorised by the TGA. For further information visit: https://www.tga.gov.au/australian-register-therapeutic-goods.</w:t>
      </w:r>
    </w:p>
  </w:footnote>
  <w:footnote w:id="8">
    <w:p w14:paraId="6B551BA1" w14:textId="77777777" w:rsidR="006B7211" w:rsidRDefault="006B7211" w:rsidP="00E10F63">
      <w:pPr>
        <w:pStyle w:val="FootnoteText"/>
      </w:pPr>
      <w:r>
        <w:rPr>
          <w:rStyle w:val="FootnoteReference"/>
        </w:rPr>
        <w:footnoteRef/>
      </w:r>
      <w:r>
        <w:t xml:space="preserve"> AusPAR for Lucentis (ranibizumab) Novartis Pharmaceuticals Australia Pty Ltd;</w:t>
      </w:r>
      <w:r>
        <w:br/>
        <w:t xml:space="preserve">Submission </w:t>
      </w:r>
      <w:r w:rsidRPr="00C551BE">
        <w:t>PM-2018-04902-1-5</w:t>
      </w:r>
      <w:r>
        <w:t xml:space="preserve">. Published 10 September 2020. Available at: </w:t>
      </w:r>
      <w:hyperlink r:id="rId1" w:history="1">
        <w:r w:rsidRPr="003E76A5">
          <w:rPr>
            <w:rStyle w:val="Hyperlink"/>
          </w:rPr>
          <w:t>https://www.tga.gov.au/resources/auspar/auspar-ranibizumab-rbe</w:t>
        </w:r>
      </w:hyperlink>
    </w:p>
    <w:p w14:paraId="3B11D936" w14:textId="77777777" w:rsidR="006B7211" w:rsidRDefault="006B7211" w:rsidP="00E10F63">
      <w:pPr>
        <w:pStyle w:val="FootnoteText"/>
      </w:pPr>
      <w:r>
        <w:t xml:space="preserve">This AusPAR describes a withdrawn submission that had proposed to extend the indications of Lucentis to include the following indication: </w:t>
      </w:r>
      <w:r w:rsidRPr="00A3707C">
        <w:rPr>
          <w:i/>
        </w:rPr>
        <w:t>Lucentis is indicated in preterm infants for the treatment of retinopathy of prematurity (ROP).</w:t>
      </w:r>
      <w:r>
        <w:t xml:space="preserve">  </w:t>
      </w:r>
    </w:p>
  </w:footnote>
  <w:footnote w:id="9">
    <w:p w14:paraId="46EB76E7" w14:textId="77777777" w:rsidR="006B7211" w:rsidRDefault="006B7211" w:rsidP="00111473">
      <w:pPr>
        <w:pStyle w:val="FootnoteText"/>
      </w:pPr>
      <w:r>
        <w:rPr>
          <w:rStyle w:val="FootnoteReference"/>
        </w:rPr>
        <w:footnoteRef/>
      </w:r>
      <w:r>
        <w:t xml:space="preserve"> '</w:t>
      </w:r>
      <w:r w:rsidRPr="00074F76">
        <w:rPr>
          <w:b/>
          <w:bCs/>
        </w:rPr>
        <w:t>Orphan drugs</w:t>
      </w:r>
      <w:r w:rsidRPr="00074F76">
        <w:t>'</w:t>
      </w:r>
      <w:r w:rsidRPr="00074F76">
        <w:rPr>
          <w:b/>
          <w:bCs/>
        </w:rPr>
        <w:t xml:space="preserve"> </w:t>
      </w:r>
      <w:r>
        <w:t xml:space="preserve">are often developed to treat small and very specific patient populations who suffer from rare diseases and conditions. </w:t>
      </w:r>
      <w:proofErr w:type="gramStart"/>
      <w:r>
        <w:t>In order to</w:t>
      </w:r>
      <w:proofErr w:type="gramEnd"/>
      <w:r>
        <w:t xml:space="preserve">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10">
    <w:p w14:paraId="7B46AF21" w14:textId="088DFC96" w:rsidR="008C54AF" w:rsidRPr="005004A3" w:rsidRDefault="008C54AF">
      <w:pPr>
        <w:pStyle w:val="FootnoteText"/>
        <w:rPr>
          <w:lang w:val="en-GB"/>
        </w:rPr>
      </w:pPr>
      <w:r>
        <w:rPr>
          <w:rStyle w:val="FootnoteReference"/>
        </w:rPr>
        <w:footnoteRef/>
      </w:r>
      <w:r>
        <w:t xml:space="preserve"> Study (CRFB</w:t>
      </w:r>
      <w:proofErr w:type="gramStart"/>
      <w:r>
        <w:t>002)H</w:t>
      </w:r>
      <w:proofErr w:type="gramEnd"/>
      <w:r>
        <w:t>2301: RAnibizumab Compared With Laser Therapy for the Treatment of INfants BOrn Prematurely With Retinopathy of Prematurity (RAINBOW trial).</w:t>
      </w:r>
      <w:r>
        <w:br/>
        <w:t>ClinicalTrials.gov Identifier: NCT02375971; EudraCT Number: 2014-003041-10.</w:t>
      </w:r>
    </w:p>
  </w:footnote>
  <w:footnote w:id="11">
    <w:p w14:paraId="4ADA8530" w14:textId="43E73827" w:rsidR="008C54AF" w:rsidRPr="005004A3" w:rsidRDefault="008C54AF">
      <w:pPr>
        <w:pStyle w:val="FootnoteText"/>
        <w:rPr>
          <w:lang w:val="en-GB"/>
        </w:rPr>
      </w:pPr>
      <w:r>
        <w:rPr>
          <w:rStyle w:val="FootnoteReference"/>
        </w:rPr>
        <w:footnoteRef/>
      </w:r>
      <w:r>
        <w:t xml:space="preserve"> Study (CRFB</w:t>
      </w:r>
      <w:proofErr w:type="gramStart"/>
      <w:r>
        <w:t>002)H</w:t>
      </w:r>
      <w:proofErr w:type="gramEnd"/>
      <w:r>
        <w:t>2301E1: An Extension Study to Evaluate the Long Term Efficacy and Safety of RAnibizumab Compared With Laser Therapy for the Treatment of INfants BOrn Prematurely With Retinopathy of Prematurity (RAINBOW extension trial).</w:t>
      </w:r>
      <w:r>
        <w:br/>
        <w:t>ClinicalTrials.gov Identifier: NCT02640664; EudraCT Number: 2014-004048-36.</w:t>
      </w:r>
    </w:p>
  </w:footnote>
  <w:footnote w:id="12">
    <w:p w14:paraId="1C721D64" w14:textId="3F927714" w:rsidR="006B7211" w:rsidRPr="00AF267F" w:rsidRDefault="006B7211" w:rsidP="00AF267F">
      <w:pPr>
        <w:pStyle w:val="FootnoteText"/>
      </w:pPr>
      <w:r>
        <w:rPr>
          <w:rStyle w:val="FootnoteReference"/>
        </w:rPr>
        <w:footnoteRef/>
      </w:r>
      <w:r>
        <w:t xml:space="preserve"> The </w:t>
      </w:r>
      <w:r w:rsidRPr="005004A3">
        <w:rPr>
          <w:b/>
        </w:rPr>
        <w:t>Cardiff Acuity test</w:t>
      </w:r>
      <w:r>
        <w:t xml:space="preserve"> (</w:t>
      </w:r>
      <w:r w:rsidRPr="005004A3">
        <w:rPr>
          <w:b/>
        </w:rPr>
        <w:t>CAT</w:t>
      </w:r>
      <w:r>
        <w:t xml:space="preserve">) is based on the principle of vanishing optotypes and is a set of six cards with six easily recognisable shapes (including house, fish, dog, duck, train) positioned either at the top or bottom half of a card. The cards are calibrated to give visual acuity of equivalent of 20/20 to 20/200 at one metre viewing distance. The child is comfortably </w:t>
      </w:r>
      <w:proofErr w:type="gramStart"/>
      <w:r>
        <w:t>seated</w:t>
      </w:r>
      <w:proofErr w:type="gramEnd"/>
      <w:r>
        <w:t xml:space="preserve"> and the cards are presented at eye level at a distance of one meter. The examiner watches the eye movements towards the shape. If the child is looking at the shape, then the next card is presented. This procedure is continued until no definite fixation is observed.</w:t>
      </w:r>
      <w:r w:rsidR="005C2470">
        <w:t xml:space="preserve"> The test is performed at 1 met</w:t>
      </w:r>
      <w:r>
        <w:t>r</w:t>
      </w:r>
      <w:r w:rsidR="005C2470">
        <w:t>e</w:t>
      </w:r>
      <w:r>
        <w:t xml:space="preserve"> distance but altered to 0.5 metres if the child is unable to see the first card. The identification score and Snellen's equivalent of each card is mentioned at the back of card.</w:t>
      </w:r>
    </w:p>
  </w:footnote>
  <w:footnote w:id="13">
    <w:p w14:paraId="7012353F" w14:textId="2F6F13CC" w:rsidR="006B7211" w:rsidRDefault="006B7211">
      <w:pPr>
        <w:pStyle w:val="FootnoteText"/>
      </w:pPr>
      <w:r>
        <w:rPr>
          <w:rStyle w:val="FootnoteReference"/>
        </w:rPr>
        <w:footnoteRef/>
      </w:r>
      <w:r>
        <w:t xml:space="preserve"> </w:t>
      </w:r>
      <w:r w:rsidRPr="006C7293">
        <w:t>Logarithm of the Minimum Angle of Resolution</w:t>
      </w:r>
      <w:r>
        <w:t xml:space="preserve"> (LogMAR) scoring used for assessing visual acuity.</w:t>
      </w:r>
    </w:p>
  </w:footnote>
  <w:footnote w:id="14">
    <w:p w14:paraId="2EF50A44" w14:textId="61E1C556" w:rsidR="006B7211" w:rsidRDefault="006B7211">
      <w:pPr>
        <w:pStyle w:val="FootnoteText"/>
      </w:pPr>
      <w:r>
        <w:rPr>
          <w:rStyle w:val="FootnoteReference"/>
        </w:rPr>
        <w:footnoteRef/>
      </w:r>
      <w:r>
        <w:t xml:space="preserve"> </w:t>
      </w:r>
      <w:r w:rsidRPr="00EA23D8">
        <w:t>Mullen Scales of Early Learning (MSEL; Mullen, 1995) is a standardized developmental test for children ages 3</w:t>
      </w:r>
      <w:r>
        <w:t xml:space="preserve"> - 6</w:t>
      </w:r>
      <w:r w:rsidRPr="00EA23D8">
        <w:t xml:space="preserve">0 months that </w:t>
      </w:r>
      <w:r>
        <w:t xml:space="preserve">with five scale </w:t>
      </w:r>
      <w:r w:rsidRPr="00EA23D8">
        <w:t>scores representing developmental ages</w:t>
      </w:r>
      <w:r>
        <w:t>.</w:t>
      </w:r>
    </w:p>
  </w:footnote>
  <w:footnote w:id="15">
    <w:p w14:paraId="2D7326CF" w14:textId="52C6F9C0" w:rsidR="006B7211" w:rsidRDefault="006B7211">
      <w:pPr>
        <w:pStyle w:val="FootnoteText"/>
      </w:pPr>
      <w:r>
        <w:rPr>
          <w:rStyle w:val="FootnoteReference"/>
        </w:rPr>
        <w:footnoteRef/>
      </w:r>
      <w:r>
        <w:t xml:space="preserve"> The Children Visual Function Questionnaire is </w:t>
      </w:r>
      <w:proofErr w:type="gramStart"/>
      <w:r>
        <w:t>a  vision</w:t>
      </w:r>
      <w:proofErr w:type="gramEnd"/>
      <w:r>
        <w:t xml:space="preserve"> specific quality of life questionnaire, designed for use with parents of infants and young children.</w:t>
      </w:r>
    </w:p>
    <w:p w14:paraId="6DB512D8" w14:textId="538F4DB7" w:rsidR="006B7211" w:rsidRDefault="006B7211">
      <w:pPr>
        <w:pStyle w:val="FootnoteText"/>
      </w:pPr>
      <w:r>
        <w:t xml:space="preserve"> </w:t>
      </w:r>
    </w:p>
  </w:footnote>
  <w:footnote w:id="16">
    <w:p w14:paraId="0DFC0FAC" w14:textId="6E171983" w:rsidR="006B7211" w:rsidRDefault="006B7211">
      <w:pPr>
        <w:pStyle w:val="FootnoteText"/>
      </w:pPr>
      <w:r>
        <w:rPr>
          <w:rStyle w:val="FootnoteReference"/>
        </w:rPr>
        <w:footnoteRef/>
      </w:r>
      <w:r>
        <w:t xml:space="preserve"> Gross Motor Function Classification System (GMFCS - E&amp;R) categorises the gross motor function of children and young people into five levels.</w:t>
      </w:r>
    </w:p>
  </w:footnote>
  <w:footnote w:id="17">
    <w:p w14:paraId="31F021B8" w14:textId="528FDDF0" w:rsidR="006B7211" w:rsidRPr="00176144" w:rsidRDefault="006B7211" w:rsidP="00176144">
      <w:pPr>
        <w:spacing w:before="0" w:after="0" w:line="240" w:lineRule="auto"/>
        <w:rPr>
          <w:rFonts w:eastAsia="Times New Roman" w:cs="Calibri"/>
          <w:color w:val="000000"/>
          <w:sz w:val="18"/>
          <w:szCs w:val="18"/>
          <w:lang w:eastAsia="en-AU"/>
        </w:rPr>
      </w:pPr>
      <w:r>
        <w:rPr>
          <w:rStyle w:val="FootnoteReference"/>
        </w:rPr>
        <w:footnoteRef/>
      </w:r>
      <w:r>
        <w:t xml:space="preserve"> </w:t>
      </w:r>
      <w:r w:rsidRPr="00176144">
        <w:rPr>
          <w:rFonts w:eastAsia="Times New Roman" w:cs="Calibri"/>
          <w:color w:val="000000"/>
          <w:sz w:val="18"/>
          <w:szCs w:val="18"/>
          <w:lang w:eastAsia="en-AU"/>
        </w:rPr>
        <w:t xml:space="preserve">A </w:t>
      </w:r>
      <w:r w:rsidRPr="00176144">
        <w:rPr>
          <w:rFonts w:eastAsia="Times New Roman" w:cs="Calibri"/>
          <w:b/>
          <w:bCs/>
          <w:color w:val="000000"/>
          <w:sz w:val="18"/>
          <w:szCs w:val="18"/>
          <w:lang w:eastAsia="en-AU"/>
        </w:rPr>
        <w:t>periodic safety update report (PSUR)</w:t>
      </w:r>
      <w:r w:rsidRPr="00176144">
        <w:rPr>
          <w:rFonts w:eastAsia="Times New Roman" w:cs="Calibri"/>
          <w:color w:val="000000"/>
          <w:sz w:val="18"/>
          <w:szCs w:val="18"/>
          <w:lang w:eastAsia="en-AU"/>
        </w:rPr>
        <w:t xml:space="preserve"> is a systematic review of the global safety data of an approved medicine that becomes available during a defined </w:t>
      </w:r>
      <w:proofErr w:type="gramStart"/>
      <w:r w:rsidRPr="00176144">
        <w:rPr>
          <w:rFonts w:eastAsia="Times New Roman" w:cs="Calibri"/>
          <w:color w:val="000000"/>
          <w:sz w:val="18"/>
          <w:szCs w:val="18"/>
          <w:lang w:eastAsia="en-AU"/>
        </w:rPr>
        <w:t>time period</w:t>
      </w:r>
      <w:proofErr w:type="gramEnd"/>
      <w:r w:rsidRPr="00176144">
        <w:rPr>
          <w:rFonts w:eastAsia="Times New Roman" w:cs="Calibri"/>
          <w:color w:val="000000"/>
          <w:sz w:val="18"/>
          <w:szCs w:val="18"/>
          <w:lang w:eastAsia="en-AU"/>
        </w:rPr>
        <w:t>. PSURs are also referred to as periodic benefit–risk evaluation reports (PBRERs).</w:t>
      </w:r>
    </w:p>
  </w:footnote>
  <w:footnote w:id="18">
    <w:p w14:paraId="4B3EC478" w14:textId="299E8641" w:rsidR="006B7211" w:rsidRDefault="006B7211" w:rsidP="00176144">
      <w:pPr>
        <w:spacing w:before="0" w:after="0" w:line="240" w:lineRule="auto"/>
        <w:rPr>
          <w:rFonts w:eastAsia="Times New Roman" w:cs="Calibri"/>
          <w:color w:val="000000"/>
          <w:sz w:val="18"/>
          <w:szCs w:val="18"/>
          <w:lang w:eastAsia="en-AU"/>
        </w:rPr>
      </w:pPr>
      <w:r>
        <w:rPr>
          <w:rStyle w:val="FootnoteReference"/>
        </w:rPr>
        <w:footnoteRef/>
      </w:r>
      <w:r>
        <w:t xml:space="preserve"> </w:t>
      </w:r>
      <w:r w:rsidRPr="00176144">
        <w:rPr>
          <w:rFonts w:eastAsia="Times New Roman" w:cs="Calibri"/>
          <w:b/>
          <w:bCs/>
          <w:color w:val="000000"/>
          <w:sz w:val="18"/>
          <w:szCs w:val="18"/>
          <w:lang w:eastAsia="en-AU"/>
        </w:rPr>
        <w:t>The Australian specific annex (ASA)</w:t>
      </w:r>
      <w:r w:rsidRPr="00176144">
        <w:rPr>
          <w:rFonts w:eastAsia="Times New Roman" w:cs="Calibri"/>
          <w:color w:val="000000"/>
          <w:sz w:val="18"/>
          <w:szCs w:val="18"/>
          <w:lang w:eastAsia="en-AU"/>
        </w:rPr>
        <w:t xml:space="preserve"> enables the European Union-risk management plan (EU-RMP), or, if no current EU-RMP exists, then a core or global RMP, to be adapted to the Australian context</w:t>
      </w:r>
      <w:r>
        <w:rPr>
          <w:rFonts w:eastAsia="Times New Roman" w:cs="Calibri"/>
          <w:color w:val="000000"/>
          <w:sz w:val="18"/>
          <w:szCs w:val="18"/>
          <w:lang w:eastAsia="en-AU"/>
        </w:rPr>
        <w:t>.</w:t>
      </w:r>
    </w:p>
    <w:p w14:paraId="69EB32A9" w14:textId="3418771E" w:rsidR="006B7211" w:rsidRPr="00176144" w:rsidRDefault="006B7211" w:rsidP="00176144">
      <w:pPr>
        <w:spacing w:before="0" w:after="0" w:line="240" w:lineRule="auto"/>
        <w:rPr>
          <w:rFonts w:eastAsia="Times New Roman" w:cs="Calibri"/>
          <w:color w:val="000000"/>
          <w:sz w:val="18"/>
          <w:szCs w:val="18"/>
          <w:lang w:eastAsia="en-AU"/>
        </w:rPr>
      </w:pPr>
      <w:r w:rsidRPr="00176144">
        <w:rPr>
          <w:rFonts w:eastAsia="Times New Roman" w:cs="Calibri"/>
          <w:color w:val="000000"/>
          <w:sz w:val="18"/>
          <w:szCs w:val="18"/>
          <w:lang w:eastAsia="en-AU"/>
        </w:rPr>
        <w:t>The ASA is required because global activities proposed in the EU-RMP may differ from those planned for Australia. For example, the sponsor may propose different wording for the Australian PI than that proposed in the EU-RMP for the European Summary of Product Characteristics (SmPC).</w:t>
      </w:r>
      <w:r w:rsidRPr="00176144">
        <w:rPr>
          <w:rFonts w:eastAsia="Times New Roman" w:cs="Calibri"/>
          <w:color w:val="000000"/>
          <w:sz w:val="18"/>
          <w:szCs w:val="18"/>
          <w:lang w:eastAsia="en-AU"/>
        </w:rPr>
        <w:br/>
        <w:t>The ASA should provide Australian‐specific information that is important in assessing the risk in Australia (and therefore appropriateness of proposed plans/activities) and the relevance of product vigilance and risk minimisation activities to Australia, and identify and explain the reasons for any differences from activities planned overseas (this includes product information statements). If an RMP activity to be conducted overseas will not include Australian data, the ASA should address the applicability of that activity to the Australian context.</w:t>
      </w:r>
    </w:p>
    <w:p w14:paraId="1DDDC671" w14:textId="767EDE7F" w:rsidR="006B7211" w:rsidRDefault="006B7211">
      <w:pPr>
        <w:pStyle w:val="FootnoteText"/>
      </w:pPr>
    </w:p>
  </w:footnote>
  <w:footnote w:id="19">
    <w:p w14:paraId="61C4EF64" w14:textId="2F80742B" w:rsidR="006B7211" w:rsidRDefault="006B7211" w:rsidP="00074F76">
      <w:pPr>
        <w:pStyle w:val="FootnoteText"/>
      </w:pPr>
      <w:r>
        <w:rPr>
          <w:rStyle w:val="FootnoteReference"/>
        </w:rPr>
        <w:footnoteRef/>
      </w:r>
      <w:r>
        <w:t xml:space="preserve"> </w:t>
      </w:r>
      <w:r w:rsidRPr="006C7293">
        <w:rPr>
          <w:b/>
          <w:bCs/>
        </w:rPr>
        <w:t>Routine risk minimisation</w:t>
      </w:r>
      <w:r>
        <w:t xml:space="preserve"> activities may be limited to ensuring that suitable warnings are included in the product information or by careful use of labelling and packaging.</w:t>
      </w:r>
    </w:p>
    <w:p w14:paraId="5B20BDD9" w14:textId="77777777" w:rsidR="006B7211" w:rsidRDefault="006B7211" w:rsidP="00074F76">
      <w:pPr>
        <w:pStyle w:val="FootnoteText"/>
      </w:pPr>
      <w:r w:rsidRPr="006C7293">
        <w:rPr>
          <w:b/>
          <w:bCs/>
        </w:rPr>
        <w:t>Routine pharmacovigilance</w:t>
      </w:r>
      <w:r>
        <w:t xml:space="preserve"> practices involve the following activities:</w:t>
      </w:r>
    </w:p>
    <w:p w14:paraId="1220049A" w14:textId="5251C349" w:rsidR="006B7211" w:rsidRDefault="006B7211" w:rsidP="00074F76">
      <w:pPr>
        <w:pStyle w:val="FootnoteText"/>
      </w:pPr>
      <w:r>
        <w:t xml:space="preserve">•     All suspected adverse reactions that are reported to the personnel of the company are collected and collated in an accessible </w:t>
      </w:r>
      <w:proofErr w:type="gramStart"/>
      <w:r>
        <w:t>manner;</w:t>
      </w:r>
      <w:proofErr w:type="gramEnd"/>
    </w:p>
    <w:p w14:paraId="715D4875" w14:textId="4E9C5E16" w:rsidR="006B7211" w:rsidRDefault="006B7211" w:rsidP="00074F76">
      <w:pPr>
        <w:pStyle w:val="FootnoteText"/>
      </w:pPr>
      <w:r>
        <w:t xml:space="preserve">•     Reporting to regulatory </w:t>
      </w:r>
      <w:proofErr w:type="gramStart"/>
      <w:r>
        <w:t>authorities;</w:t>
      </w:r>
      <w:proofErr w:type="gramEnd"/>
    </w:p>
    <w:p w14:paraId="22B19968" w14:textId="20B79A52" w:rsidR="006B7211" w:rsidRDefault="006B7211" w:rsidP="00074F76">
      <w:pPr>
        <w:pStyle w:val="FootnoteText"/>
      </w:pPr>
      <w:r>
        <w:t xml:space="preserve">•     Continuous monitoring of the safety profiles of approved products including signal detection and updating of </w:t>
      </w:r>
      <w:proofErr w:type="gramStart"/>
      <w:r>
        <w:t>labelling;</w:t>
      </w:r>
      <w:proofErr w:type="gramEnd"/>
    </w:p>
    <w:p w14:paraId="1256E9A6" w14:textId="4B49AEEB" w:rsidR="006B7211" w:rsidRDefault="006B7211" w:rsidP="00074F76">
      <w:pPr>
        <w:pStyle w:val="FootnoteText"/>
      </w:pPr>
      <w:r>
        <w:t xml:space="preserve">•     Submission of </w:t>
      </w:r>
      <w:proofErr w:type="gramStart"/>
      <w:r>
        <w:t>PSURs;</w:t>
      </w:r>
      <w:proofErr w:type="gramEnd"/>
    </w:p>
    <w:p w14:paraId="77E9A0F2" w14:textId="44FCB331" w:rsidR="006B7211" w:rsidRDefault="006B7211" w:rsidP="00074F76">
      <w:pPr>
        <w:pStyle w:val="FootnoteText"/>
      </w:pPr>
      <w:r>
        <w:t>•     Meeting other local regulatory agency requirements.</w:t>
      </w:r>
    </w:p>
  </w:footnote>
  <w:footnote w:id="20">
    <w:p w14:paraId="21B3ACD4" w14:textId="3ED1EA41" w:rsidR="006B7211" w:rsidRPr="00D63D82" w:rsidRDefault="006B7211" w:rsidP="00B20F74">
      <w:pPr>
        <w:pStyle w:val="FootnoteText"/>
      </w:pPr>
      <w:r>
        <w:rPr>
          <w:rStyle w:val="FootnoteReference"/>
        </w:rPr>
        <w:footnoteRef/>
      </w:r>
      <w:r>
        <w:t xml:space="preserve"> Study </w:t>
      </w:r>
      <w:r w:rsidRPr="00B20F74">
        <w:t>NEI-32</w:t>
      </w:r>
      <w:r>
        <w:t xml:space="preserve">: </w:t>
      </w:r>
      <w:r w:rsidRPr="00B20F74">
        <w:t>Cryotherapy for Retinopathy of Prematurity (CRYO-ROP</w:t>
      </w:r>
      <w:r>
        <w:t xml:space="preserve"> trial</w:t>
      </w:r>
      <w:r w:rsidRPr="00B20F74">
        <w:t>) - Outcome Study of Cryotherapy for Retinopathy of Prematurity</w:t>
      </w:r>
      <w:r>
        <w:t>. ClinicalTrials.gov Identifier: NCT00000133.</w:t>
      </w:r>
    </w:p>
  </w:footnote>
  <w:footnote w:id="21">
    <w:p w14:paraId="632B2A3F" w14:textId="449BD63B" w:rsidR="006B7211" w:rsidRPr="005004A3" w:rsidRDefault="006B7211">
      <w:pPr>
        <w:pStyle w:val="FootnoteText"/>
        <w:rPr>
          <w:lang w:val="en-GB"/>
        </w:rPr>
      </w:pPr>
      <w:r>
        <w:rPr>
          <w:rStyle w:val="FootnoteReference"/>
        </w:rPr>
        <w:footnoteRef/>
      </w:r>
      <w:r>
        <w:t xml:space="preserve"> </w:t>
      </w:r>
      <w:proofErr w:type="gramStart"/>
      <w:r>
        <w:t xml:space="preserve">The </w:t>
      </w:r>
      <w:r w:rsidRPr="005004A3">
        <w:rPr>
          <w:b/>
        </w:rPr>
        <w:t>Teller Acuity test</w:t>
      </w:r>
      <w:r w:rsidRPr="00B20F74">
        <w:t>,</w:t>
      </w:r>
      <w:proofErr w:type="gramEnd"/>
      <w:r w:rsidRPr="00B20F74">
        <w:t xml:space="preserve"> </w:t>
      </w:r>
      <w:r>
        <w:t>is preferential-looking test,</w:t>
      </w:r>
      <w:r w:rsidRPr="00B20F74">
        <w:t xml:space="preserve"> an exam carried out to assess, objectively and quantitatively, the visual acuity of patients, mainly children, who are unable to collaborate in subjective visual tests because they cannot yet speak or have psychomotor difficulties impeding them from doing so.</w:t>
      </w:r>
      <w:r>
        <w:t xml:space="preserve"> </w:t>
      </w:r>
      <w:r w:rsidRPr="00B20F74">
        <w:t>The Teller acuity card procedure provides a quantitative measure of grating acuity in infants and young children and has been used in clinical and laboratory settings.</w:t>
      </w:r>
    </w:p>
  </w:footnote>
  <w:footnote w:id="22">
    <w:p w14:paraId="004979D2" w14:textId="22DB6DA5" w:rsidR="006B7211" w:rsidRPr="005004A3" w:rsidRDefault="006B7211">
      <w:pPr>
        <w:pStyle w:val="FootnoteText"/>
        <w:rPr>
          <w:lang w:val="en-GB"/>
        </w:rPr>
      </w:pPr>
      <w:r>
        <w:rPr>
          <w:rStyle w:val="FootnoteReference"/>
        </w:rPr>
        <w:footnoteRef/>
      </w:r>
      <w:r>
        <w:t xml:space="preserve"> The Royal Australian and New Zealand College of Ophthalmolgists. Retinopathy of prematurity (ROP) screening and treatment guidelines. Available from: </w:t>
      </w:r>
      <w:hyperlink r:id="rId2" w:history="1">
        <w:r w:rsidR="00CD655F" w:rsidRPr="003B769C">
          <w:rPr>
            <w:rStyle w:val="Hyperlink"/>
          </w:rPr>
          <w:t>https://ranzco.edu/</w:t>
        </w:r>
      </w:hyperlink>
      <w:r w:rsidR="00CD655F">
        <w:t xml:space="preserve"> </w:t>
      </w:r>
    </w:p>
  </w:footnote>
  <w:footnote w:id="23">
    <w:p w14:paraId="19FD129A" w14:textId="050F14A8" w:rsidR="006B7211" w:rsidRPr="005004A3" w:rsidRDefault="006B7211">
      <w:pPr>
        <w:pStyle w:val="FootnoteText"/>
        <w:rPr>
          <w:lang w:val="en-GB"/>
        </w:rPr>
      </w:pPr>
      <w:r>
        <w:rPr>
          <w:rStyle w:val="FootnoteReference"/>
        </w:rPr>
        <w:footnoteRef/>
      </w:r>
      <w:r>
        <w:t xml:space="preserve"> </w:t>
      </w:r>
      <w:r w:rsidRPr="008E16C0">
        <w:t>Australasian Neonatal Medicines Formulary (ANMF) monograph</w:t>
      </w:r>
      <w:r>
        <w:t xml:space="preserve">: ranibizumab - Lucentis. ANMF consensus group; 2021. Archived version available at: </w:t>
      </w:r>
      <w:hyperlink r:id="rId3" w:history="1">
        <w:r>
          <w:rPr>
            <w:rStyle w:val="Hyperlink"/>
          </w:rPr>
          <w:t>ranibizumab-lucentis-20052021-1.0.pdf (anmfonline.org)</w:t>
        </w:r>
      </w:hyperlink>
    </w:p>
  </w:footnote>
  <w:footnote w:id="24">
    <w:p w14:paraId="68071E27" w14:textId="0161D45F" w:rsidR="006B7211" w:rsidRPr="00D63D82" w:rsidRDefault="006B7211" w:rsidP="00C972CA">
      <w:pPr>
        <w:pStyle w:val="FootnoteText"/>
      </w:pPr>
      <w:r>
        <w:rPr>
          <w:rStyle w:val="FootnoteReference"/>
        </w:rPr>
        <w:footnoteRef/>
      </w:r>
      <w:r>
        <w:t xml:space="preserve"> Stahl A, Krohne TU, Eter N, Oberacher-Velten I, Guthoff R, Meltendorf S, et al. Comparing alternative ranibizumab dosages for safety and efficacy in retinopathy of prematurity: </w:t>
      </w:r>
      <w:proofErr w:type="gramStart"/>
      <w:r>
        <w:t>a  randomized</w:t>
      </w:r>
      <w:proofErr w:type="gramEnd"/>
      <w:r>
        <w:t xml:space="preserve"> clinical trial</w:t>
      </w:r>
      <w:r w:rsidRPr="005004A3">
        <w:rPr>
          <w:i/>
        </w:rPr>
        <w:t>. Jama, Pediatr.</w:t>
      </w:r>
      <w:r>
        <w:t xml:space="preserve"> 2018;172(3):278-86.</w:t>
      </w:r>
    </w:p>
  </w:footnote>
  <w:footnote w:id="25">
    <w:p w14:paraId="69E5DBC3" w14:textId="0F670C4B" w:rsidR="006B7211" w:rsidRPr="005004A3" w:rsidRDefault="006B7211">
      <w:pPr>
        <w:pStyle w:val="FootnoteText"/>
        <w:rPr>
          <w:lang w:val="en-GB"/>
        </w:rPr>
      </w:pPr>
      <w:r>
        <w:rPr>
          <w:rStyle w:val="FootnoteReference"/>
        </w:rPr>
        <w:footnoteRef/>
      </w:r>
      <w:r>
        <w:t xml:space="preserve"> CARE-ROP trial: </w:t>
      </w:r>
      <w:r w:rsidRPr="00C972CA">
        <w:t>Comparing Alternative Ranibizumab Dosages for Safety and Efficacy</w:t>
      </w:r>
      <w:r>
        <w:t xml:space="preserve"> in Retinopathy of Prematurity. </w:t>
      </w:r>
      <w:r w:rsidRPr="00C972CA">
        <w:t>ClinicalTrials.gov Identifier: NCT02134457</w:t>
      </w:r>
    </w:p>
  </w:footnote>
  <w:footnote w:id="26">
    <w:p w14:paraId="758C38B7" w14:textId="199DF9D9" w:rsidR="006B7211" w:rsidRPr="005004A3" w:rsidRDefault="006B7211">
      <w:pPr>
        <w:pStyle w:val="FootnoteText"/>
        <w:rPr>
          <w:lang w:val="en-GB"/>
        </w:rPr>
      </w:pPr>
      <w:r>
        <w:rPr>
          <w:rStyle w:val="FootnoteReference"/>
        </w:rPr>
        <w:footnoteRef/>
      </w:r>
      <w:r>
        <w:t xml:space="preserve"> </w:t>
      </w:r>
      <w:r w:rsidRPr="007D537A">
        <w:t xml:space="preserve">Good WV; Early Treatment for Retinopathy of Prematurity Cooperative Group. </w:t>
      </w:r>
      <w:proofErr w:type="gramStart"/>
      <w:r w:rsidRPr="007D537A">
        <w:t>Final results</w:t>
      </w:r>
      <w:proofErr w:type="gramEnd"/>
      <w:r w:rsidRPr="007D537A">
        <w:t xml:space="preserve"> of the Early Treatment for Retinopathy of Prematurity (ETROP) randomized trial. Trans Am Ophthalmol Soc. </w:t>
      </w:r>
      <w:proofErr w:type="gramStart"/>
      <w:r w:rsidRPr="007D537A">
        <w:t>2004;102:233</w:t>
      </w:r>
      <w:proofErr w:type="gramEnd"/>
      <w:r w:rsidRPr="007D537A">
        <w:t>-250.</w:t>
      </w:r>
    </w:p>
  </w:footnote>
  <w:footnote w:id="27">
    <w:p w14:paraId="7C895A85" w14:textId="401BC3D9" w:rsidR="006B7211" w:rsidRPr="00D63D82" w:rsidRDefault="006B7211" w:rsidP="007D537A">
      <w:pPr>
        <w:pStyle w:val="FootnoteText"/>
      </w:pPr>
      <w:r>
        <w:rPr>
          <w:rStyle w:val="FootnoteReference"/>
        </w:rPr>
        <w:footnoteRef/>
      </w:r>
      <w:r>
        <w:t xml:space="preserve"> </w:t>
      </w:r>
      <w:r w:rsidRPr="007D537A">
        <w:t>The Early Treatment for Retinopa</w:t>
      </w:r>
      <w:r>
        <w:t>thy of Prematurity Study (ETROP trial). ClinicalTrials.gov Identifier: NCT00027222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210C" w14:textId="77777777" w:rsidR="00211D6B" w:rsidRDefault="00211D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3733" w14:textId="77777777" w:rsidR="006B7211" w:rsidRDefault="006B721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8061" w14:textId="77777777" w:rsidR="006B7211" w:rsidRDefault="006B7211">
    <w:pPr>
      <w:rPr>
        <w:noProof/>
        <w:lang w:eastAsia="en-AU"/>
      </w:rPr>
    </w:pPr>
    <w:r w:rsidRPr="00347824">
      <w:rPr>
        <w:noProof/>
        <w:lang w:val="en-GB" w:eastAsia="en-GB"/>
      </w:rPr>
      <w:drawing>
        <wp:anchor distT="0" distB="0" distL="114300" distR="114300" simplePos="0" relativeHeight="251659264" behindDoc="1" locked="0" layoutInCell="1" allowOverlap="1" wp14:anchorId="3E616388" wp14:editId="393435FE">
          <wp:simplePos x="0" y="0"/>
          <wp:positionH relativeFrom="column">
            <wp:posOffset>-1089660</wp:posOffset>
          </wp:positionH>
          <wp:positionV relativeFrom="paragraph">
            <wp:posOffset>-585470</wp:posOffset>
          </wp:positionV>
          <wp:extent cx="7572375" cy="10706100"/>
          <wp:effectExtent l="19050" t="0" r="0" b="0"/>
          <wp:wrapNone/>
          <wp:docPr id="1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4ECB" w14:textId="77777777" w:rsidR="006B7211" w:rsidRDefault="006B72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6C61" w14:textId="77777777" w:rsidR="006B7211" w:rsidRDefault="006B721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B632" w14:textId="77777777" w:rsidR="006B7211" w:rsidRDefault="006B7211">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00AD" w14:textId="77777777" w:rsidR="006B7211" w:rsidRDefault="006B72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7396" w14:textId="77777777" w:rsidR="006B7211" w:rsidRDefault="006B721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B743E" w14:textId="77777777" w:rsidR="006B7211" w:rsidRDefault="006B7211" w:rsidP="006E08B3">
    <w:r>
      <w:t>Therapeutic Goods Administration</w:t>
    </w:r>
  </w:p>
  <w:p w14:paraId="4AD73DCC" w14:textId="77777777" w:rsidR="006B7211" w:rsidRDefault="006B7211"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D5AA69D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2B2038D0"/>
    <w:multiLevelType w:val="hybridMultilevel"/>
    <w:tmpl w:val="BD44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10698B"/>
    <w:multiLevelType w:val="hybridMultilevel"/>
    <w:tmpl w:val="8716E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54150D"/>
    <w:multiLevelType w:val="multilevel"/>
    <w:tmpl w:val="710E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0F3B5C"/>
    <w:multiLevelType w:val="hybridMultilevel"/>
    <w:tmpl w:val="1A687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F673DEA"/>
    <w:multiLevelType w:val="hybridMultilevel"/>
    <w:tmpl w:val="F3F82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6"/>
  </w:num>
  <w:num w:numId="29">
    <w:abstractNumId w:val="6"/>
  </w:num>
  <w:num w:numId="30">
    <w:abstractNumId w:val="10"/>
  </w:num>
  <w:num w:numId="31">
    <w:abstractNumId w:val="4"/>
  </w:num>
  <w:num w:numId="32">
    <w:abstractNumId w:val="14"/>
  </w:num>
  <w:num w:numId="33">
    <w:abstractNumId w:val="15"/>
  </w:num>
  <w:num w:numId="34">
    <w:abstractNumId w:val="8"/>
  </w:num>
  <w:num w:numId="35">
    <w:abstractNumId w:val="12"/>
  </w:num>
  <w:num w:numId="36">
    <w:abstractNumId w:val="9"/>
  </w:num>
  <w:num w:numId="37">
    <w:abstractNumId w:val="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104"/>
    <w:rsid w:val="0000135F"/>
    <w:rsid w:val="00002031"/>
    <w:rsid w:val="00004734"/>
    <w:rsid w:val="000059BE"/>
    <w:rsid w:val="00006B22"/>
    <w:rsid w:val="00006FAB"/>
    <w:rsid w:val="0001276A"/>
    <w:rsid w:val="000246AE"/>
    <w:rsid w:val="00025C67"/>
    <w:rsid w:val="0003659F"/>
    <w:rsid w:val="00044772"/>
    <w:rsid w:val="0004541C"/>
    <w:rsid w:val="00045C8F"/>
    <w:rsid w:val="000509AE"/>
    <w:rsid w:val="00052E86"/>
    <w:rsid w:val="0005559E"/>
    <w:rsid w:val="000604D6"/>
    <w:rsid w:val="00070436"/>
    <w:rsid w:val="00071A19"/>
    <w:rsid w:val="000734D8"/>
    <w:rsid w:val="00074F76"/>
    <w:rsid w:val="00077775"/>
    <w:rsid w:val="000874E4"/>
    <w:rsid w:val="00090471"/>
    <w:rsid w:val="00096AA7"/>
    <w:rsid w:val="000A3AED"/>
    <w:rsid w:val="000B3532"/>
    <w:rsid w:val="000B3A75"/>
    <w:rsid w:val="000B415C"/>
    <w:rsid w:val="000B6CCB"/>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1473"/>
    <w:rsid w:val="00112F56"/>
    <w:rsid w:val="00117C1F"/>
    <w:rsid w:val="00122C2E"/>
    <w:rsid w:val="00124ACD"/>
    <w:rsid w:val="00125318"/>
    <w:rsid w:val="001305A2"/>
    <w:rsid w:val="00133238"/>
    <w:rsid w:val="00133A1B"/>
    <w:rsid w:val="001348E1"/>
    <w:rsid w:val="001404D2"/>
    <w:rsid w:val="0014197B"/>
    <w:rsid w:val="001447CD"/>
    <w:rsid w:val="001516B1"/>
    <w:rsid w:val="00154EBB"/>
    <w:rsid w:val="00156316"/>
    <w:rsid w:val="00161181"/>
    <w:rsid w:val="00161D56"/>
    <w:rsid w:val="00162D14"/>
    <w:rsid w:val="00163780"/>
    <w:rsid w:val="00165389"/>
    <w:rsid w:val="00176144"/>
    <w:rsid w:val="0017693F"/>
    <w:rsid w:val="0018110E"/>
    <w:rsid w:val="00181684"/>
    <w:rsid w:val="001843C6"/>
    <w:rsid w:val="001850E0"/>
    <w:rsid w:val="00185407"/>
    <w:rsid w:val="00194C3D"/>
    <w:rsid w:val="001A03AF"/>
    <w:rsid w:val="001A0E71"/>
    <w:rsid w:val="001A2158"/>
    <w:rsid w:val="001A525F"/>
    <w:rsid w:val="001A5A00"/>
    <w:rsid w:val="001A66B8"/>
    <w:rsid w:val="001B09F9"/>
    <w:rsid w:val="001B1DA4"/>
    <w:rsid w:val="001B5147"/>
    <w:rsid w:val="001B5C90"/>
    <w:rsid w:val="001B6448"/>
    <w:rsid w:val="001C1BB1"/>
    <w:rsid w:val="001C32CD"/>
    <w:rsid w:val="001D2984"/>
    <w:rsid w:val="001E07CF"/>
    <w:rsid w:val="001E359E"/>
    <w:rsid w:val="001E59F1"/>
    <w:rsid w:val="001F2CEE"/>
    <w:rsid w:val="001F3DD1"/>
    <w:rsid w:val="001F49EB"/>
    <w:rsid w:val="001F6CBA"/>
    <w:rsid w:val="00201D4E"/>
    <w:rsid w:val="00202503"/>
    <w:rsid w:val="002033B9"/>
    <w:rsid w:val="002076C9"/>
    <w:rsid w:val="00211D6B"/>
    <w:rsid w:val="00220B8A"/>
    <w:rsid w:val="002257F3"/>
    <w:rsid w:val="002314EA"/>
    <w:rsid w:val="00231B80"/>
    <w:rsid w:val="00233456"/>
    <w:rsid w:val="002339A5"/>
    <w:rsid w:val="00234F5C"/>
    <w:rsid w:val="00250271"/>
    <w:rsid w:val="00250F35"/>
    <w:rsid w:val="00257848"/>
    <w:rsid w:val="002578E8"/>
    <w:rsid w:val="0027084A"/>
    <w:rsid w:val="00271E85"/>
    <w:rsid w:val="00280265"/>
    <w:rsid w:val="00284012"/>
    <w:rsid w:val="00286434"/>
    <w:rsid w:val="00286C59"/>
    <w:rsid w:val="00287118"/>
    <w:rsid w:val="002918FC"/>
    <w:rsid w:val="00291957"/>
    <w:rsid w:val="002942D1"/>
    <w:rsid w:val="0029501A"/>
    <w:rsid w:val="002A1DA7"/>
    <w:rsid w:val="002A3721"/>
    <w:rsid w:val="002B1638"/>
    <w:rsid w:val="002B3624"/>
    <w:rsid w:val="002D0952"/>
    <w:rsid w:val="002D65F1"/>
    <w:rsid w:val="002E3BA2"/>
    <w:rsid w:val="002E40B3"/>
    <w:rsid w:val="002E4C9A"/>
    <w:rsid w:val="002E7917"/>
    <w:rsid w:val="002F0AC0"/>
    <w:rsid w:val="002F11F8"/>
    <w:rsid w:val="002F3F56"/>
    <w:rsid w:val="002F44B5"/>
    <w:rsid w:val="002F479C"/>
    <w:rsid w:val="002F498B"/>
    <w:rsid w:val="002F5122"/>
    <w:rsid w:val="002F74F2"/>
    <w:rsid w:val="00303FE8"/>
    <w:rsid w:val="003047C5"/>
    <w:rsid w:val="003055FF"/>
    <w:rsid w:val="00311AC0"/>
    <w:rsid w:val="003164D4"/>
    <w:rsid w:val="003176FC"/>
    <w:rsid w:val="00324E45"/>
    <w:rsid w:val="0032583B"/>
    <w:rsid w:val="00327883"/>
    <w:rsid w:val="00332715"/>
    <w:rsid w:val="00335504"/>
    <w:rsid w:val="00340C18"/>
    <w:rsid w:val="003442FD"/>
    <w:rsid w:val="00347824"/>
    <w:rsid w:val="00350567"/>
    <w:rsid w:val="003521E8"/>
    <w:rsid w:val="00354BF6"/>
    <w:rsid w:val="00370CE3"/>
    <w:rsid w:val="003713D9"/>
    <w:rsid w:val="003728F3"/>
    <w:rsid w:val="003735BC"/>
    <w:rsid w:val="0037496E"/>
    <w:rsid w:val="00383221"/>
    <w:rsid w:val="00386150"/>
    <w:rsid w:val="003874CE"/>
    <w:rsid w:val="00390900"/>
    <w:rsid w:val="00394F93"/>
    <w:rsid w:val="003A24C0"/>
    <w:rsid w:val="003A7F6C"/>
    <w:rsid w:val="003B18CA"/>
    <w:rsid w:val="003B4D60"/>
    <w:rsid w:val="003B7E39"/>
    <w:rsid w:val="003C58DC"/>
    <w:rsid w:val="003D1E62"/>
    <w:rsid w:val="003D3B50"/>
    <w:rsid w:val="003D4A79"/>
    <w:rsid w:val="003E0B99"/>
    <w:rsid w:val="003E2486"/>
    <w:rsid w:val="003E3208"/>
    <w:rsid w:val="003E382A"/>
    <w:rsid w:val="003F0B04"/>
    <w:rsid w:val="00401292"/>
    <w:rsid w:val="0040134E"/>
    <w:rsid w:val="00407552"/>
    <w:rsid w:val="00426791"/>
    <w:rsid w:val="004334C7"/>
    <w:rsid w:val="00437DAD"/>
    <w:rsid w:val="00440A2D"/>
    <w:rsid w:val="00441C3F"/>
    <w:rsid w:val="0044261F"/>
    <w:rsid w:val="00444D1A"/>
    <w:rsid w:val="00445461"/>
    <w:rsid w:val="00446A8A"/>
    <w:rsid w:val="0045186A"/>
    <w:rsid w:val="00454BDC"/>
    <w:rsid w:val="00455946"/>
    <w:rsid w:val="004564A7"/>
    <w:rsid w:val="00456765"/>
    <w:rsid w:val="00460036"/>
    <w:rsid w:val="004617BF"/>
    <w:rsid w:val="00463658"/>
    <w:rsid w:val="004637A0"/>
    <w:rsid w:val="00470BE1"/>
    <w:rsid w:val="004722CC"/>
    <w:rsid w:val="0047273B"/>
    <w:rsid w:val="0048383F"/>
    <w:rsid w:val="00490483"/>
    <w:rsid w:val="004936E4"/>
    <w:rsid w:val="00494E60"/>
    <w:rsid w:val="00497487"/>
    <w:rsid w:val="004A050F"/>
    <w:rsid w:val="004A2771"/>
    <w:rsid w:val="004A6189"/>
    <w:rsid w:val="004A7390"/>
    <w:rsid w:val="004B7B76"/>
    <w:rsid w:val="004C239D"/>
    <w:rsid w:val="004C2B1B"/>
    <w:rsid w:val="004C2DCA"/>
    <w:rsid w:val="004C4FBE"/>
    <w:rsid w:val="004C61D2"/>
    <w:rsid w:val="004E2C2E"/>
    <w:rsid w:val="004F0BC2"/>
    <w:rsid w:val="004F0C4A"/>
    <w:rsid w:val="004F0F38"/>
    <w:rsid w:val="004F47D6"/>
    <w:rsid w:val="00500337"/>
    <w:rsid w:val="005004A3"/>
    <w:rsid w:val="00501921"/>
    <w:rsid w:val="00505417"/>
    <w:rsid w:val="00521468"/>
    <w:rsid w:val="0052149B"/>
    <w:rsid w:val="00523A21"/>
    <w:rsid w:val="00525EFD"/>
    <w:rsid w:val="00526433"/>
    <w:rsid w:val="00530354"/>
    <w:rsid w:val="0053625B"/>
    <w:rsid w:val="00541530"/>
    <w:rsid w:val="005434C6"/>
    <w:rsid w:val="00543B39"/>
    <w:rsid w:val="00544A38"/>
    <w:rsid w:val="00545CDB"/>
    <w:rsid w:val="00546154"/>
    <w:rsid w:val="00550096"/>
    <w:rsid w:val="00555280"/>
    <w:rsid w:val="00557FF9"/>
    <w:rsid w:val="00561C00"/>
    <w:rsid w:val="00562327"/>
    <w:rsid w:val="005711D5"/>
    <w:rsid w:val="00576378"/>
    <w:rsid w:val="00577130"/>
    <w:rsid w:val="00577945"/>
    <w:rsid w:val="00577E38"/>
    <w:rsid w:val="00585322"/>
    <w:rsid w:val="005857C6"/>
    <w:rsid w:val="00592F6E"/>
    <w:rsid w:val="00593AD1"/>
    <w:rsid w:val="00597676"/>
    <w:rsid w:val="005A68B6"/>
    <w:rsid w:val="005A79F5"/>
    <w:rsid w:val="005C2470"/>
    <w:rsid w:val="005C494B"/>
    <w:rsid w:val="005C5570"/>
    <w:rsid w:val="005C5B66"/>
    <w:rsid w:val="005C79A4"/>
    <w:rsid w:val="005D53DD"/>
    <w:rsid w:val="005D5442"/>
    <w:rsid w:val="005D5791"/>
    <w:rsid w:val="006026E9"/>
    <w:rsid w:val="00603F32"/>
    <w:rsid w:val="00605AD4"/>
    <w:rsid w:val="006136D7"/>
    <w:rsid w:val="00625A6E"/>
    <w:rsid w:val="00625ED4"/>
    <w:rsid w:val="00632398"/>
    <w:rsid w:val="00640FC3"/>
    <w:rsid w:val="00642020"/>
    <w:rsid w:val="006430EE"/>
    <w:rsid w:val="00643CE5"/>
    <w:rsid w:val="0065337B"/>
    <w:rsid w:val="0065419D"/>
    <w:rsid w:val="006603BC"/>
    <w:rsid w:val="006604D8"/>
    <w:rsid w:val="00664A5B"/>
    <w:rsid w:val="0066735C"/>
    <w:rsid w:val="006763D2"/>
    <w:rsid w:val="00680C08"/>
    <w:rsid w:val="006901BA"/>
    <w:rsid w:val="006916A0"/>
    <w:rsid w:val="006931B1"/>
    <w:rsid w:val="00694707"/>
    <w:rsid w:val="006A0734"/>
    <w:rsid w:val="006A15C0"/>
    <w:rsid w:val="006A58A8"/>
    <w:rsid w:val="006B170E"/>
    <w:rsid w:val="006B7211"/>
    <w:rsid w:val="006C3E2A"/>
    <w:rsid w:val="006C642F"/>
    <w:rsid w:val="006C7293"/>
    <w:rsid w:val="006D03E5"/>
    <w:rsid w:val="006D5D3E"/>
    <w:rsid w:val="006E08B3"/>
    <w:rsid w:val="006E7D4A"/>
    <w:rsid w:val="006F17AC"/>
    <w:rsid w:val="006F25B8"/>
    <w:rsid w:val="006F572E"/>
    <w:rsid w:val="007046D6"/>
    <w:rsid w:val="0070507C"/>
    <w:rsid w:val="00705115"/>
    <w:rsid w:val="00705DB0"/>
    <w:rsid w:val="0072292E"/>
    <w:rsid w:val="00722B57"/>
    <w:rsid w:val="00730F8A"/>
    <w:rsid w:val="00731F88"/>
    <w:rsid w:val="00735A8C"/>
    <w:rsid w:val="0074163C"/>
    <w:rsid w:val="0074253D"/>
    <w:rsid w:val="00744121"/>
    <w:rsid w:val="0074429B"/>
    <w:rsid w:val="00747539"/>
    <w:rsid w:val="007615BC"/>
    <w:rsid w:val="00762F05"/>
    <w:rsid w:val="0076494C"/>
    <w:rsid w:val="007652FF"/>
    <w:rsid w:val="007703EF"/>
    <w:rsid w:val="00770CAC"/>
    <w:rsid w:val="00770EF1"/>
    <w:rsid w:val="0077131A"/>
    <w:rsid w:val="00773EF7"/>
    <w:rsid w:val="00774E1D"/>
    <w:rsid w:val="007765D8"/>
    <w:rsid w:val="0077675A"/>
    <w:rsid w:val="00780355"/>
    <w:rsid w:val="007819FD"/>
    <w:rsid w:val="00785717"/>
    <w:rsid w:val="00785721"/>
    <w:rsid w:val="00791BA8"/>
    <w:rsid w:val="00793A59"/>
    <w:rsid w:val="007A15C2"/>
    <w:rsid w:val="007A46F5"/>
    <w:rsid w:val="007A6505"/>
    <w:rsid w:val="007B599A"/>
    <w:rsid w:val="007B6132"/>
    <w:rsid w:val="007B6E9F"/>
    <w:rsid w:val="007C0BAA"/>
    <w:rsid w:val="007C1216"/>
    <w:rsid w:val="007C1AF7"/>
    <w:rsid w:val="007C236E"/>
    <w:rsid w:val="007C6B9B"/>
    <w:rsid w:val="007D537A"/>
    <w:rsid w:val="007D53B6"/>
    <w:rsid w:val="007E6D6B"/>
    <w:rsid w:val="00804D99"/>
    <w:rsid w:val="00805D27"/>
    <w:rsid w:val="00806DCB"/>
    <w:rsid w:val="008110BC"/>
    <w:rsid w:val="00812802"/>
    <w:rsid w:val="00821776"/>
    <w:rsid w:val="00830AAB"/>
    <w:rsid w:val="008321F5"/>
    <w:rsid w:val="00832369"/>
    <w:rsid w:val="00833ED8"/>
    <w:rsid w:val="00834660"/>
    <w:rsid w:val="00836BC2"/>
    <w:rsid w:val="0085156D"/>
    <w:rsid w:val="00852B28"/>
    <w:rsid w:val="0085596D"/>
    <w:rsid w:val="0085641B"/>
    <w:rsid w:val="00857136"/>
    <w:rsid w:val="00865B03"/>
    <w:rsid w:val="00875A6B"/>
    <w:rsid w:val="008846C1"/>
    <w:rsid w:val="00885B11"/>
    <w:rsid w:val="00886D15"/>
    <w:rsid w:val="00887DD8"/>
    <w:rsid w:val="00891BA9"/>
    <w:rsid w:val="00896018"/>
    <w:rsid w:val="008960DD"/>
    <w:rsid w:val="0089635C"/>
    <w:rsid w:val="008A2B9D"/>
    <w:rsid w:val="008A3D9F"/>
    <w:rsid w:val="008A5E0B"/>
    <w:rsid w:val="008A6D59"/>
    <w:rsid w:val="008A7B71"/>
    <w:rsid w:val="008B4B03"/>
    <w:rsid w:val="008B596F"/>
    <w:rsid w:val="008C159F"/>
    <w:rsid w:val="008C1623"/>
    <w:rsid w:val="008C1850"/>
    <w:rsid w:val="008C51A9"/>
    <w:rsid w:val="008C54AF"/>
    <w:rsid w:val="008E108C"/>
    <w:rsid w:val="008E16C0"/>
    <w:rsid w:val="008E250B"/>
    <w:rsid w:val="008E48E5"/>
    <w:rsid w:val="008E7846"/>
    <w:rsid w:val="008F02E5"/>
    <w:rsid w:val="008F1CCC"/>
    <w:rsid w:val="008F2181"/>
    <w:rsid w:val="008F2967"/>
    <w:rsid w:val="008F6943"/>
    <w:rsid w:val="008F7403"/>
    <w:rsid w:val="00902A21"/>
    <w:rsid w:val="0091523F"/>
    <w:rsid w:val="00920330"/>
    <w:rsid w:val="009219D7"/>
    <w:rsid w:val="00922D53"/>
    <w:rsid w:val="00923B70"/>
    <w:rsid w:val="00924482"/>
    <w:rsid w:val="00930237"/>
    <w:rsid w:val="00937C17"/>
    <w:rsid w:val="00940A89"/>
    <w:rsid w:val="00941F77"/>
    <w:rsid w:val="0094383B"/>
    <w:rsid w:val="00946EA5"/>
    <w:rsid w:val="009556D7"/>
    <w:rsid w:val="00960520"/>
    <w:rsid w:val="00963C08"/>
    <w:rsid w:val="009752A5"/>
    <w:rsid w:val="009835E9"/>
    <w:rsid w:val="0098585A"/>
    <w:rsid w:val="00986344"/>
    <w:rsid w:val="009A4CED"/>
    <w:rsid w:val="009A690D"/>
    <w:rsid w:val="009B03BB"/>
    <w:rsid w:val="009B1D12"/>
    <w:rsid w:val="009B416B"/>
    <w:rsid w:val="009C4BD5"/>
    <w:rsid w:val="009D7B77"/>
    <w:rsid w:val="009E065A"/>
    <w:rsid w:val="009E0BB0"/>
    <w:rsid w:val="009E3FBB"/>
    <w:rsid w:val="009E5A87"/>
    <w:rsid w:val="009F2673"/>
    <w:rsid w:val="009F7353"/>
    <w:rsid w:val="00A04F85"/>
    <w:rsid w:val="00A05FA4"/>
    <w:rsid w:val="00A102E4"/>
    <w:rsid w:val="00A1219C"/>
    <w:rsid w:val="00A12C42"/>
    <w:rsid w:val="00A14DF7"/>
    <w:rsid w:val="00A22D57"/>
    <w:rsid w:val="00A25C19"/>
    <w:rsid w:val="00A3246D"/>
    <w:rsid w:val="00A36FA7"/>
    <w:rsid w:val="00A44DDB"/>
    <w:rsid w:val="00A4695C"/>
    <w:rsid w:val="00A475B7"/>
    <w:rsid w:val="00A47AF7"/>
    <w:rsid w:val="00A47C3E"/>
    <w:rsid w:val="00A50226"/>
    <w:rsid w:val="00A5772E"/>
    <w:rsid w:val="00A60BAD"/>
    <w:rsid w:val="00A72539"/>
    <w:rsid w:val="00A77905"/>
    <w:rsid w:val="00A77F87"/>
    <w:rsid w:val="00A804F8"/>
    <w:rsid w:val="00A80B5B"/>
    <w:rsid w:val="00A82B96"/>
    <w:rsid w:val="00A84E36"/>
    <w:rsid w:val="00A964D1"/>
    <w:rsid w:val="00AA0ED0"/>
    <w:rsid w:val="00AB0307"/>
    <w:rsid w:val="00AC2B40"/>
    <w:rsid w:val="00AC2BB2"/>
    <w:rsid w:val="00AC2C3C"/>
    <w:rsid w:val="00AC512D"/>
    <w:rsid w:val="00AD0083"/>
    <w:rsid w:val="00AD3935"/>
    <w:rsid w:val="00AE1B1B"/>
    <w:rsid w:val="00AE65EB"/>
    <w:rsid w:val="00AE67A7"/>
    <w:rsid w:val="00AF1D94"/>
    <w:rsid w:val="00AF2313"/>
    <w:rsid w:val="00AF267F"/>
    <w:rsid w:val="00AF5CBB"/>
    <w:rsid w:val="00AF60C5"/>
    <w:rsid w:val="00AF67C6"/>
    <w:rsid w:val="00B009C6"/>
    <w:rsid w:val="00B01548"/>
    <w:rsid w:val="00B04905"/>
    <w:rsid w:val="00B06D8C"/>
    <w:rsid w:val="00B12C8C"/>
    <w:rsid w:val="00B130C5"/>
    <w:rsid w:val="00B1395F"/>
    <w:rsid w:val="00B13EBD"/>
    <w:rsid w:val="00B1406F"/>
    <w:rsid w:val="00B20F74"/>
    <w:rsid w:val="00B21D29"/>
    <w:rsid w:val="00B25034"/>
    <w:rsid w:val="00B33588"/>
    <w:rsid w:val="00B33863"/>
    <w:rsid w:val="00B37D17"/>
    <w:rsid w:val="00B4175E"/>
    <w:rsid w:val="00B41C85"/>
    <w:rsid w:val="00B452CE"/>
    <w:rsid w:val="00B54C25"/>
    <w:rsid w:val="00B55032"/>
    <w:rsid w:val="00B6258F"/>
    <w:rsid w:val="00B677DC"/>
    <w:rsid w:val="00B76B91"/>
    <w:rsid w:val="00B77EB1"/>
    <w:rsid w:val="00B80553"/>
    <w:rsid w:val="00B811C6"/>
    <w:rsid w:val="00B855B0"/>
    <w:rsid w:val="00B92E08"/>
    <w:rsid w:val="00B93302"/>
    <w:rsid w:val="00BB0B78"/>
    <w:rsid w:val="00BB75D6"/>
    <w:rsid w:val="00BC622A"/>
    <w:rsid w:val="00BE0A78"/>
    <w:rsid w:val="00BE6542"/>
    <w:rsid w:val="00BE79F0"/>
    <w:rsid w:val="00BF046D"/>
    <w:rsid w:val="00BF1190"/>
    <w:rsid w:val="00BF34AC"/>
    <w:rsid w:val="00BF3774"/>
    <w:rsid w:val="00BF5D04"/>
    <w:rsid w:val="00BF7063"/>
    <w:rsid w:val="00C009AA"/>
    <w:rsid w:val="00C05CF3"/>
    <w:rsid w:val="00C063F8"/>
    <w:rsid w:val="00C1164D"/>
    <w:rsid w:val="00C16861"/>
    <w:rsid w:val="00C32A1B"/>
    <w:rsid w:val="00C34133"/>
    <w:rsid w:val="00C346AB"/>
    <w:rsid w:val="00C404A6"/>
    <w:rsid w:val="00C40A36"/>
    <w:rsid w:val="00C4133F"/>
    <w:rsid w:val="00C44419"/>
    <w:rsid w:val="00C45E7B"/>
    <w:rsid w:val="00C471B1"/>
    <w:rsid w:val="00C525A2"/>
    <w:rsid w:val="00C52E24"/>
    <w:rsid w:val="00C551BE"/>
    <w:rsid w:val="00C60538"/>
    <w:rsid w:val="00C6316B"/>
    <w:rsid w:val="00C634A9"/>
    <w:rsid w:val="00C64586"/>
    <w:rsid w:val="00C64AC5"/>
    <w:rsid w:val="00C66ACF"/>
    <w:rsid w:val="00C66DB5"/>
    <w:rsid w:val="00C70A36"/>
    <w:rsid w:val="00C70D53"/>
    <w:rsid w:val="00C73D0B"/>
    <w:rsid w:val="00C74F5C"/>
    <w:rsid w:val="00C7676A"/>
    <w:rsid w:val="00C772FF"/>
    <w:rsid w:val="00C80137"/>
    <w:rsid w:val="00C801AF"/>
    <w:rsid w:val="00C80256"/>
    <w:rsid w:val="00C85251"/>
    <w:rsid w:val="00C9389D"/>
    <w:rsid w:val="00C94CD4"/>
    <w:rsid w:val="00C972CA"/>
    <w:rsid w:val="00C9747E"/>
    <w:rsid w:val="00CB6BC0"/>
    <w:rsid w:val="00CC1B7C"/>
    <w:rsid w:val="00CC5044"/>
    <w:rsid w:val="00CC727F"/>
    <w:rsid w:val="00CD655F"/>
    <w:rsid w:val="00CF15C3"/>
    <w:rsid w:val="00CF2B6F"/>
    <w:rsid w:val="00CF2F3E"/>
    <w:rsid w:val="00CF58B6"/>
    <w:rsid w:val="00CF5DAD"/>
    <w:rsid w:val="00D00026"/>
    <w:rsid w:val="00D0062D"/>
    <w:rsid w:val="00D017ED"/>
    <w:rsid w:val="00D040D3"/>
    <w:rsid w:val="00D04C65"/>
    <w:rsid w:val="00D12080"/>
    <w:rsid w:val="00D153D8"/>
    <w:rsid w:val="00D201D2"/>
    <w:rsid w:val="00D212F3"/>
    <w:rsid w:val="00D224FE"/>
    <w:rsid w:val="00D23139"/>
    <w:rsid w:val="00D37A4E"/>
    <w:rsid w:val="00D425BB"/>
    <w:rsid w:val="00D44FB5"/>
    <w:rsid w:val="00D453FA"/>
    <w:rsid w:val="00D54B92"/>
    <w:rsid w:val="00D56348"/>
    <w:rsid w:val="00D572BC"/>
    <w:rsid w:val="00D5747D"/>
    <w:rsid w:val="00D63797"/>
    <w:rsid w:val="00D63D82"/>
    <w:rsid w:val="00D6493E"/>
    <w:rsid w:val="00D7195D"/>
    <w:rsid w:val="00D72CBA"/>
    <w:rsid w:val="00D7301E"/>
    <w:rsid w:val="00D81BC8"/>
    <w:rsid w:val="00D83AE1"/>
    <w:rsid w:val="00D854AC"/>
    <w:rsid w:val="00D855D4"/>
    <w:rsid w:val="00D902C9"/>
    <w:rsid w:val="00D93466"/>
    <w:rsid w:val="00D96091"/>
    <w:rsid w:val="00DA1124"/>
    <w:rsid w:val="00DA4A3D"/>
    <w:rsid w:val="00DA64CB"/>
    <w:rsid w:val="00DB06B8"/>
    <w:rsid w:val="00DB6124"/>
    <w:rsid w:val="00DB62A4"/>
    <w:rsid w:val="00DB750B"/>
    <w:rsid w:val="00DB75B7"/>
    <w:rsid w:val="00DC0A2F"/>
    <w:rsid w:val="00DC1948"/>
    <w:rsid w:val="00DC6E02"/>
    <w:rsid w:val="00DD28CD"/>
    <w:rsid w:val="00DD4A8A"/>
    <w:rsid w:val="00DE02AE"/>
    <w:rsid w:val="00DE39D1"/>
    <w:rsid w:val="00DE5A5F"/>
    <w:rsid w:val="00DF1D7F"/>
    <w:rsid w:val="00DF4BE4"/>
    <w:rsid w:val="00DF7C6F"/>
    <w:rsid w:val="00E02382"/>
    <w:rsid w:val="00E02FB4"/>
    <w:rsid w:val="00E10F63"/>
    <w:rsid w:val="00E13FC7"/>
    <w:rsid w:val="00E1532C"/>
    <w:rsid w:val="00E20571"/>
    <w:rsid w:val="00E235F7"/>
    <w:rsid w:val="00E23659"/>
    <w:rsid w:val="00E239D4"/>
    <w:rsid w:val="00E26130"/>
    <w:rsid w:val="00E311F3"/>
    <w:rsid w:val="00E33D42"/>
    <w:rsid w:val="00E34D5B"/>
    <w:rsid w:val="00E40B22"/>
    <w:rsid w:val="00E44ED1"/>
    <w:rsid w:val="00E45619"/>
    <w:rsid w:val="00E4588F"/>
    <w:rsid w:val="00E462EB"/>
    <w:rsid w:val="00E46DA3"/>
    <w:rsid w:val="00E5123F"/>
    <w:rsid w:val="00E51BB1"/>
    <w:rsid w:val="00E520B2"/>
    <w:rsid w:val="00E55CB0"/>
    <w:rsid w:val="00E624A5"/>
    <w:rsid w:val="00E63E8C"/>
    <w:rsid w:val="00E64BA4"/>
    <w:rsid w:val="00E7344E"/>
    <w:rsid w:val="00E82665"/>
    <w:rsid w:val="00E934B9"/>
    <w:rsid w:val="00E9361B"/>
    <w:rsid w:val="00EA23D8"/>
    <w:rsid w:val="00EB0798"/>
    <w:rsid w:val="00EB36D6"/>
    <w:rsid w:val="00EB40AD"/>
    <w:rsid w:val="00EB4AE5"/>
    <w:rsid w:val="00EB586E"/>
    <w:rsid w:val="00EB5C2A"/>
    <w:rsid w:val="00EB5FC8"/>
    <w:rsid w:val="00EC0C00"/>
    <w:rsid w:val="00EC3104"/>
    <w:rsid w:val="00EC463D"/>
    <w:rsid w:val="00EC7A85"/>
    <w:rsid w:val="00ED11DD"/>
    <w:rsid w:val="00ED2922"/>
    <w:rsid w:val="00ED3CAD"/>
    <w:rsid w:val="00ED5A41"/>
    <w:rsid w:val="00EE0623"/>
    <w:rsid w:val="00EE1DE8"/>
    <w:rsid w:val="00EE27C2"/>
    <w:rsid w:val="00EF4BAD"/>
    <w:rsid w:val="00EF59DC"/>
    <w:rsid w:val="00F033EC"/>
    <w:rsid w:val="00F04F68"/>
    <w:rsid w:val="00F1182D"/>
    <w:rsid w:val="00F12670"/>
    <w:rsid w:val="00F14B27"/>
    <w:rsid w:val="00F16151"/>
    <w:rsid w:val="00F3148D"/>
    <w:rsid w:val="00F325C5"/>
    <w:rsid w:val="00F32FE0"/>
    <w:rsid w:val="00F35298"/>
    <w:rsid w:val="00F47333"/>
    <w:rsid w:val="00F47E37"/>
    <w:rsid w:val="00F53C07"/>
    <w:rsid w:val="00F54B65"/>
    <w:rsid w:val="00F63DBF"/>
    <w:rsid w:val="00F640B6"/>
    <w:rsid w:val="00F66DF2"/>
    <w:rsid w:val="00F73D30"/>
    <w:rsid w:val="00F80E40"/>
    <w:rsid w:val="00F848D9"/>
    <w:rsid w:val="00F931CE"/>
    <w:rsid w:val="00FA4BBA"/>
    <w:rsid w:val="00FA5069"/>
    <w:rsid w:val="00FA5B82"/>
    <w:rsid w:val="00FA639E"/>
    <w:rsid w:val="00FA7214"/>
    <w:rsid w:val="00FB35D2"/>
    <w:rsid w:val="00FC1FCA"/>
    <w:rsid w:val="00FC25E4"/>
    <w:rsid w:val="00FC2C21"/>
    <w:rsid w:val="00FC4EF7"/>
    <w:rsid w:val="00FD0824"/>
    <w:rsid w:val="00FD119B"/>
    <w:rsid w:val="00FD1EDC"/>
    <w:rsid w:val="00FE1DEE"/>
    <w:rsid w:val="00FF2126"/>
    <w:rsid w:val="00FF2EB0"/>
    <w:rsid w:val="00FF5755"/>
    <w:rsid w:val="00FF617F"/>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A31E0"/>
  <w15:docId w15:val="{88D1A51B-2D24-4337-9232-0111C9EA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676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rsid w:val="002033B9"/>
    <w:pPr>
      <w:ind w:left="720"/>
      <w:contextualSpacing/>
    </w:pPr>
  </w:style>
  <w:style w:type="character" w:customStyle="1" w:styleId="list-label">
    <w:name w:val="list-label"/>
    <w:basedOn w:val="DefaultParagraphFont"/>
    <w:rsid w:val="00625ED4"/>
  </w:style>
  <w:style w:type="paragraph" w:styleId="NormalWeb">
    <w:name w:val="Normal (Web)"/>
    <w:basedOn w:val="Normal"/>
    <w:uiPriority w:val="99"/>
    <w:semiHidden/>
    <w:unhideWhenUsed/>
    <w:rsid w:val="00625ED4"/>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nchor-text">
    <w:name w:val="anchor-text"/>
    <w:basedOn w:val="DefaultParagraphFont"/>
    <w:rsid w:val="00625ED4"/>
  </w:style>
  <w:style w:type="character" w:styleId="Emphasis">
    <w:name w:val="Emphasis"/>
    <w:basedOn w:val="DefaultParagraphFont"/>
    <w:uiPriority w:val="20"/>
    <w:qFormat/>
    <w:rsid w:val="00625E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47285">
      <w:bodyDiv w:val="1"/>
      <w:marLeft w:val="0"/>
      <w:marRight w:val="0"/>
      <w:marTop w:val="0"/>
      <w:marBottom w:val="0"/>
      <w:divBdr>
        <w:top w:val="none" w:sz="0" w:space="0" w:color="auto"/>
        <w:left w:val="none" w:sz="0" w:space="0" w:color="auto"/>
        <w:bottom w:val="none" w:sz="0" w:space="0" w:color="auto"/>
        <w:right w:val="none" w:sz="0" w:space="0" w:color="auto"/>
      </w:divBdr>
    </w:div>
    <w:div w:id="165170518">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99208003">
      <w:bodyDiv w:val="1"/>
      <w:marLeft w:val="0"/>
      <w:marRight w:val="0"/>
      <w:marTop w:val="0"/>
      <w:marBottom w:val="0"/>
      <w:divBdr>
        <w:top w:val="none" w:sz="0" w:space="0" w:color="auto"/>
        <w:left w:val="none" w:sz="0" w:space="0" w:color="auto"/>
        <w:bottom w:val="none" w:sz="0" w:space="0" w:color="auto"/>
        <w:right w:val="none" w:sz="0" w:space="0" w:color="auto"/>
      </w:divBdr>
    </w:div>
    <w:div w:id="1219703926">
      <w:bodyDiv w:val="1"/>
      <w:marLeft w:val="0"/>
      <w:marRight w:val="0"/>
      <w:marTop w:val="0"/>
      <w:marBottom w:val="0"/>
      <w:divBdr>
        <w:top w:val="none" w:sz="0" w:space="0" w:color="auto"/>
        <w:left w:val="none" w:sz="0" w:space="0" w:color="auto"/>
        <w:bottom w:val="none" w:sz="0" w:space="0" w:color="auto"/>
        <w:right w:val="none" w:sz="0" w:space="0" w:color="auto"/>
      </w:divBdr>
    </w:div>
    <w:div w:id="1452747283">
      <w:bodyDiv w:val="1"/>
      <w:marLeft w:val="0"/>
      <w:marRight w:val="0"/>
      <w:marTop w:val="0"/>
      <w:marBottom w:val="0"/>
      <w:divBdr>
        <w:top w:val="none" w:sz="0" w:space="0" w:color="auto"/>
        <w:left w:val="none" w:sz="0" w:space="0" w:color="auto"/>
        <w:bottom w:val="none" w:sz="0" w:space="0" w:color="auto"/>
        <w:right w:val="none" w:sz="0" w:space="0" w:color="auto"/>
      </w:divBdr>
    </w:div>
    <w:div w:id="1547646629">
      <w:bodyDiv w:val="1"/>
      <w:marLeft w:val="0"/>
      <w:marRight w:val="0"/>
      <w:marTop w:val="0"/>
      <w:marBottom w:val="0"/>
      <w:divBdr>
        <w:top w:val="none" w:sz="0" w:space="0" w:color="auto"/>
        <w:left w:val="none" w:sz="0" w:space="0" w:color="auto"/>
        <w:bottom w:val="none" w:sz="0" w:space="0" w:color="auto"/>
        <w:right w:val="none" w:sz="0" w:space="0" w:color="auto"/>
      </w:divBdr>
    </w:div>
    <w:div w:id="1625306187">
      <w:bodyDiv w:val="1"/>
      <w:marLeft w:val="0"/>
      <w:marRight w:val="0"/>
      <w:marTop w:val="0"/>
      <w:marBottom w:val="0"/>
      <w:divBdr>
        <w:top w:val="none" w:sz="0" w:space="0" w:color="auto"/>
        <w:left w:val="none" w:sz="0" w:space="0" w:color="auto"/>
        <w:bottom w:val="none" w:sz="0" w:space="0" w:color="auto"/>
        <w:right w:val="none" w:sz="0" w:space="0" w:color="auto"/>
      </w:divBdr>
    </w:div>
    <w:div w:id="1728801463">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08418467">
      <w:bodyDiv w:val="1"/>
      <w:marLeft w:val="0"/>
      <w:marRight w:val="0"/>
      <w:marTop w:val="0"/>
      <w:marBottom w:val="0"/>
      <w:divBdr>
        <w:top w:val="none" w:sz="0" w:space="0" w:color="auto"/>
        <w:left w:val="none" w:sz="0" w:space="0" w:color="auto"/>
        <w:bottom w:val="none" w:sz="0" w:space="0" w:color="auto"/>
        <w:right w:val="none" w:sz="0" w:space="0" w:color="auto"/>
      </w:divBdr>
    </w:div>
    <w:div w:id="1946570390">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microsoft.com/office/2007/relationships/hdphoto" Target="media/hdphoto1.wdp"/><Relationship Id="rId39" Type="http://schemas.openxmlformats.org/officeDocument/2006/relationships/hyperlink" Target="https://www.tga.gov.au/picmi-search-facility" TargetMode="Externa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s://www.tga.gov.au/publication/risk-management-plans-medicines-and-biologicals" TargetMode="External"/><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tga.gov.au/black-triangle-scheme" TargetMode="External"/><Relationship Id="rId25" Type="http://schemas.openxmlformats.org/officeDocument/2006/relationships/image" Target="media/image7.png"/><Relationship Id="rId33" Type="http://schemas.microsoft.com/office/2007/relationships/hdphoto" Target="media/hdphoto3.wdp"/><Relationship Id="rId38" Type="http://schemas.openxmlformats.org/officeDocument/2006/relationships/hyperlink" Target="https://www.tga.gov.au/committee/advisory-committee-medicines-acm" TargetMode="Externa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tga.gov.au/picmi-search-facility" TargetMode="External"/><Relationship Id="rId29" Type="http://schemas.openxmlformats.org/officeDocument/2006/relationships/image" Target="media/image9.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www.anmfonline.org/wp-content/uploads/2021/06/ranibizumab-lucentis-20052021-1.0.pdf" TargetMode="External"/><Relationship Id="rId40" Type="http://schemas.openxmlformats.org/officeDocument/2006/relationships/header" Target="header4.xml"/><Relationship Id="rId45"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microsoft.com/office/2007/relationships/hdphoto" Target="media/hdphoto2.wdp"/><Relationship Id="rId36" Type="http://schemas.openxmlformats.org/officeDocument/2006/relationships/hyperlink" Target="https://ranzco.edu/" TargetMode="External"/><Relationship Id="rId49" Type="http://schemas.openxmlformats.org/officeDocument/2006/relationships/header" Target="header9.xml"/><Relationship Id="rId10" Type="http://schemas.openxmlformats.org/officeDocument/2006/relationships/hyperlink" Target="mailto:tga.copyright@tga.gov.au" TargetMode="External"/><Relationship Id="rId19" Type="http://schemas.openxmlformats.org/officeDocument/2006/relationships/hyperlink" Target="https://www.tga.gov.au/resources/resource/guidance/orphan-drug-designation" TargetMode="External"/><Relationship Id="rId31" Type="http://schemas.openxmlformats.org/officeDocument/2006/relationships/image" Target="media/image11.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tga.gov.au/tgas-risk-management-approach" TargetMode="External"/><Relationship Id="rId43" Type="http://schemas.openxmlformats.org/officeDocument/2006/relationships/footer" Target="footer4.xml"/><Relationship Id="rId48" Type="http://schemas.openxmlformats.org/officeDocument/2006/relationships/footer" Target="footer5.xml"/><Relationship Id="rId8" Type="http://schemas.openxmlformats.org/officeDocument/2006/relationships/hyperlink" Target="https://www.tga.gov.au"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nmfonline.org/wp-content/uploads/2021/06/ranibizumab-lucentis-20052021-1.0.pdf" TargetMode="External"/><Relationship Id="rId2" Type="http://schemas.openxmlformats.org/officeDocument/2006/relationships/hyperlink" Target="https://ranzco.edu/" TargetMode="External"/><Relationship Id="rId1" Type="http://schemas.openxmlformats.org/officeDocument/2006/relationships/hyperlink" Target="https://www.tga.gov.au/resources/auspar/auspar-ranibizumab-r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kit\AppData\Local\Hewlett-Packard\HP%20TRIM\TEMP\HPTRIM.20732\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518B4-385E-4E65-AAC0-4CF99F32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745</TotalTime>
  <Pages>41</Pages>
  <Words>13403</Words>
  <Characters>76399</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Lucentis</dc:title>
  <dc:subject>prescription medicine regulation</dc:subject>
  <dc:creator>Therapeutic Goods Administration</dc:creator>
  <cp:keywords/>
  <cp:lastModifiedBy>PITKIN, Brendan</cp:lastModifiedBy>
  <cp:revision>20</cp:revision>
  <cp:lastPrinted>2019-08-14T04:30:00Z</cp:lastPrinted>
  <dcterms:created xsi:type="dcterms:W3CDTF">2023-05-12T00:04:00Z</dcterms:created>
  <dcterms:modified xsi:type="dcterms:W3CDTF">2023-05-24T03:16:00Z</dcterms:modified>
  <cp:category/>
</cp:coreProperties>
</file>