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6A37CA" w14:paraId="08AE1D54" w14:textId="77777777" w:rsidTr="00346EC2">
        <w:trPr>
          <w:trHeight w:val="1558"/>
        </w:trPr>
        <w:tc>
          <w:tcPr>
            <w:tcW w:w="8720" w:type="dxa"/>
          </w:tcPr>
          <w:p w14:paraId="2538A211" w14:textId="11A99137" w:rsidR="00F02AEC" w:rsidRPr="006A37CA" w:rsidRDefault="00346EC2" w:rsidP="007452E8">
            <w:pPr>
              <w:pStyle w:val="Title"/>
            </w:pPr>
            <w:r w:rsidRPr="006A37CA">
              <w:t xml:space="preserve">Australian Public Assessment Report for </w:t>
            </w:r>
            <w:r w:rsidR="00EE36B1" w:rsidRPr="006A37CA">
              <w:t>Prevenar 20</w:t>
            </w:r>
          </w:p>
        </w:tc>
      </w:tr>
      <w:tr w:rsidR="00F02AEC" w:rsidRPr="006A37CA" w14:paraId="318A40A3" w14:textId="77777777" w:rsidTr="00346EC2">
        <w:trPr>
          <w:trHeight w:val="995"/>
        </w:trPr>
        <w:tc>
          <w:tcPr>
            <w:tcW w:w="8720" w:type="dxa"/>
          </w:tcPr>
          <w:p w14:paraId="1AA7C701" w14:textId="15E1797F" w:rsidR="00F02AEC" w:rsidRPr="006A37CA" w:rsidRDefault="00346EC2" w:rsidP="007452E8">
            <w:pPr>
              <w:pStyle w:val="Subtitle"/>
              <w:ind w:left="0"/>
            </w:pPr>
            <w:r w:rsidRPr="006A37CA">
              <w:t xml:space="preserve">Active ingredient/s: </w:t>
            </w:r>
            <w:r w:rsidR="00EE36B1" w:rsidRPr="006A37CA">
              <w:t>Pneumococcal polysaccharide conjugate vaccine</w:t>
            </w:r>
          </w:p>
        </w:tc>
      </w:tr>
      <w:tr w:rsidR="00346EC2" w:rsidRPr="006A37CA" w14:paraId="362CCAE4" w14:textId="77777777" w:rsidTr="007452E8">
        <w:trPr>
          <w:trHeight w:val="1916"/>
        </w:trPr>
        <w:tc>
          <w:tcPr>
            <w:tcW w:w="8720" w:type="dxa"/>
          </w:tcPr>
          <w:p w14:paraId="709C45C0" w14:textId="197D94F0" w:rsidR="00346EC2" w:rsidRPr="006A37CA" w:rsidRDefault="00346EC2" w:rsidP="007452E8">
            <w:pPr>
              <w:pStyle w:val="Subtitle"/>
              <w:ind w:left="0"/>
            </w:pPr>
            <w:r w:rsidRPr="006A37CA">
              <w:t xml:space="preserve">Sponsor: </w:t>
            </w:r>
            <w:r w:rsidR="00EE36B1" w:rsidRPr="006A37CA">
              <w:t>Pfizer Australia Pty Ltd</w:t>
            </w:r>
          </w:p>
        </w:tc>
      </w:tr>
      <w:tr w:rsidR="00F02AEC" w:rsidRPr="006A37CA" w14:paraId="37F2AA1F" w14:textId="77777777" w:rsidTr="007452E8">
        <w:tc>
          <w:tcPr>
            <w:tcW w:w="8720" w:type="dxa"/>
          </w:tcPr>
          <w:p w14:paraId="1FDE8DCD" w14:textId="56BD668F" w:rsidR="00F02AEC" w:rsidRPr="006A37CA" w:rsidRDefault="000A1BEA" w:rsidP="007452E8">
            <w:pPr>
              <w:pStyle w:val="Date"/>
            </w:pPr>
            <w:r>
              <w:t>May</w:t>
            </w:r>
            <w:r w:rsidRPr="006A37CA">
              <w:t xml:space="preserve"> </w:t>
            </w:r>
            <w:r w:rsidR="00EE36B1" w:rsidRPr="006A37CA">
              <w:t>2023</w:t>
            </w:r>
          </w:p>
        </w:tc>
      </w:tr>
    </w:tbl>
    <w:p w14:paraId="73752706" w14:textId="77777777" w:rsidR="00F02AEC" w:rsidRPr="006A37CA" w:rsidRDefault="00F02AEC" w:rsidP="007452E8">
      <w:pPr>
        <w:pStyle w:val="ListBullet"/>
        <w:numPr>
          <w:ilvl w:val="0"/>
          <w:numId w:val="0"/>
        </w:numPr>
        <w:sectPr w:rsidR="00F02AEC" w:rsidRPr="006A37CA"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6A37CA" w:rsidRDefault="00346EC2" w:rsidP="00346EC2">
      <w:pPr>
        <w:pStyle w:val="NonTOCHeading20"/>
      </w:pPr>
      <w:r w:rsidRPr="006A37CA">
        <w:lastRenderedPageBreak/>
        <w:t>About the Therapeutic Goods Administration (TGA)</w:t>
      </w:r>
    </w:p>
    <w:p w14:paraId="79558AE9" w14:textId="77777777" w:rsidR="00346EC2" w:rsidRPr="006A37CA" w:rsidRDefault="00346EC2" w:rsidP="0056766D">
      <w:pPr>
        <w:pStyle w:val="ListBullet"/>
      </w:pPr>
      <w:r w:rsidRPr="006A37CA">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6A37CA" w:rsidRDefault="00346EC2" w:rsidP="00346EC2">
      <w:pPr>
        <w:pStyle w:val="ListBullet"/>
      </w:pPr>
      <w:r w:rsidRPr="006A37CA">
        <w:t xml:space="preserve">The TGA administers the </w:t>
      </w:r>
      <w:r w:rsidRPr="006A37CA">
        <w:rPr>
          <w:i/>
          <w:iCs/>
        </w:rPr>
        <w:t>Therapeutic Goods Act 1989</w:t>
      </w:r>
      <w:r w:rsidRPr="006A37CA">
        <w:t xml:space="preserve"> (the Act), applying a risk management approach designed to ensure therapeutic goods supplied in Australia meet acceptable standards of quality, safety, and efficacy.</w:t>
      </w:r>
    </w:p>
    <w:p w14:paraId="77180CB3" w14:textId="77777777" w:rsidR="00346EC2" w:rsidRPr="006A37CA" w:rsidRDefault="00346EC2" w:rsidP="00346EC2">
      <w:pPr>
        <w:pStyle w:val="ListBullet"/>
      </w:pPr>
      <w:r w:rsidRPr="006A37CA">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6A37CA" w:rsidRDefault="00346EC2" w:rsidP="00346EC2">
      <w:pPr>
        <w:pStyle w:val="ListBullet"/>
      </w:pPr>
      <w:r w:rsidRPr="006A37CA">
        <w:t>The TGA relies on the public, healthcare professionals and industry to report problems with therapeutic goods. The TGA investigates reports received to determine any necessary regulatory action.</w:t>
      </w:r>
    </w:p>
    <w:p w14:paraId="17DC24C6" w14:textId="47A6D88D" w:rsidR="00346EC2" w:rsidRPr="006A37CA" w:rsidRDefault="00346EC2" w:rsidP="00346EC2">
      <w:pPr>
        <w:pStyle w:val="ListBullet"/>
      </w:pPr>
      <w:r w:rsidRPr="006A37CA">
        <w:t xml:space="preserve">To report a problem with a therapeutic good, please see the information on the </w:t>
      </w:r>
      <w:hyperlink r:id="rId12" w:history="1">
        <w:r w:rsidRPr="006A37CA">
          <w:rPr>
            <w:rStyle w:val="Hyperlink"/>
          </w:rPr>
          <w:t>TGA website</w:t>
        </w:r>
      </w:hyperlink>
      <w:r w:rsidRPr="006A37CA">
        <w:t>.</w:t>
      </w:r>
    </w:p>
    <w:p w14:paraId="737B7A99" w14:textId="77777777" w:rsidR="00346EC2" w:rsidRPr="006A37CA" w:rsidRDefault="00346EC2" w:rsidP="00346EC2">
      <w:pPr>
        <w:pStyle w:val="NonTOCHeading20"/>
      </w:pPr>
      <w:r w:rsidRPr="006A37CA">
        <w:t xml:space="preserve">About </w:t>
      </w:r>
      <w:proofErr w:type="spellStart"/>
      <w:r w:rsidRPr="006A37CA">
        <w:t>AusPARs</w:t>
      </w:r>
      <w:proofErr w:type="spellEnd"/>
    </w:p>
    <w:p w14:paraId="631B2209" w14:textId="66CE7C0D" w:rsidR="00346EC2" w:rsidRPr="006A37CA" w:rsidRDefault="00346EC2" w:rsidP="00346EC2">
      <w:pPr>
        <w:pStyle w:val="ListBullet"/>
      </w:pPr>
      <w:r w:rsidRPr="006A37CA">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6A37CA">
          <w:rPr>
            <w:rStyle w:val="Hyperlink"/>
          </w:rPr>
          <w:t>Australian Public Assessment Report (AusPAR) guidance</w:t>
        </w:r>
      </w:hyperlink>
      <w:r w:rsidRPr="006A37CA">
        <w:t>.</w:t>
      </w:r>
    </w:p>
    <w:p w14:paraId="22F5A730" w14:textId="77777777" w:rsidR="00346EC2" w:rsidRPr="006A37CA" w:rsidRDefault="00346EC2" w:rsidP="00346EC2">
      <w:pPr>
        <w:pStyle w:val="ListBullet"/>
      </w:pPr>
      <w:proofErr w:type="spellStart"/>
      <w:r w:rsidRPr="006A37CA">
        <w:t>AusPARs</w:t>
      </w:r>
      <w:proofErr w:type="spellEnd"/>
      <w:r w:rsidRPr="006A37CA">
        <w:t xml:space="preserve"> are prepared and published by the TGA.</w:t>
      </w:r>
    </w:p>
    <w:p w14:paraId="451B8FD7" w14:textId="77777777" w:rsidR="00346EC2" w:rsidRPr="006A37CA" w:rsidRDefault="00346EC2" w:rsidP="00346EC2">
      <w:pPr>
        <w:pStyle w:val="ListBullet"/>
      </w:pPr>
      <w:proofErr w:type="spellStart"/>
      <w:r w:rsidRPr="006A37CA">
        <w:t>AusPARs</w:t>
      </w:r>
      <w:proofErr w:type="spellEnd"/>
      <w:r w:rsidRPr="006A37CA">
        <w:t xml:space="preserve">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6A37CA" w:rsidRDefault="00346EC2" w:rsidP="00346EC2">
      <w:pPr>
        <w:pStyle w:val="ListBullet"/>
      </w:pPr>
      <w:r w:rsidRPr="006A37CA">
        <w:t>A new AusPAR may be provided to reflect changes to indications or major variations to a prescription medicine subject to evaluation by the TGA.</w:t>
      </w:r>
    </w:p>
    <w:p w14:paraId="7067011F" w14:textId="510D5C5C" w:rsidR="00F02AEC" w:rsidRPr="006A37CA" w:rsidRDefault="00F02AEC" w:rsidP="00FB10EB">
      <w:pPr>
        <w:pStyle w:val="LegalSubheading"/>
        <w:spacing w:before="3720"/>
      </w:pPr>
      <w:r w:rsidRPr="006A37CA">
        <w:t>Copyright</w:t>
      </w:r>
    </w:p>
    <w:p w14:paraId="170A8A5D" w14:textId="1A79EEF8" w:rsidR="00175CD8" w:rsidRPr="006A37CA" w:rsidRDefault="00F02AEC" w:rsidP="00346EC2">
      <w:pPr>
        <w:pStyle w:val="LegalCopy"/>
        <w:rPr>
          <w:rFonts w:cs="Arial"/>
        </w:rPr>
      </w:pPr>
      <w:r w:rsidRPr="006A37CA">
        <w:rPr>
          <w:rFonts w:cs="Arial"/>
        </w:rPr>
        <w:t>© Commonwealth of Australia 202</w:t>
      </w:r>
      <w:r w:rsidR="00E47E0C" w:rsidRPr="006A37CA">
        <w:rPr>
          <w:rFonts w:cs="Arial"/>
        </w:rPr>
        <w:t>3</w:t>
      </w:r>
      <w:r w:rsidRPr="006A37CA">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A37CA">
        <w:rPr>
          <w:rFonts w:cs="Arial"/>
          <w:i/>
        </w:rPr>
        <w:t>Copyright Act 1968</w:t>
      </w:r>
      <w:r w:rsidRPr="006A37CA">
        <w:rPr>
          <w:rFonts w:cs="Arial"/>
        </w:rPr>
        <w:t xml:space="preserve"> or allowed by this copyright notice, all other rights are </w:t>
      </w:r>
      <w:proofErr w:type="gramStart"/>
      <w:r w:rsidRPr="006A37CA">
        <w:rPr>
          <w:rFonts w:cs="Arial"/>
        </w:rPr>
        <w:t>reserved</w:t>
      </w:r>
      <w:proofErr w:type="gramEnd"/>
      <w:r w:rsidRPr="006A37CA">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6A37CA">
          <w:rPr>
            <w:rStyle w:val="Hyperlink"/>
            <w:rFonts w:cs="Arial"/>
          </w:rPr>
          <w:t>tga.copyright@tga.gov.au</w:t>
        </w:r>
      </w:hyperlink>
      <w:r w:rsidRPr="006A37CA">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6A37CA" w:rsidRDefault="00F02AEC" w:rsidP="007452E8">
          <w:pPr>
            <w:pStyle w:val="NonTOCheading2"/>
          </w:pPr>
          <w:r w:rsidRPr="006A37CA">
            <w:t>Contents</w:t>
          </w:r>
        </w:p>
        <w:p w14:paraId="1B3B90CF" w14:textId="59F34413" w:rsidR="00AC74BD" w:rsidRDefault="00F02AEC">
          <w:pPr>
            <w:pStyle w:val="TOC1"/>
            <w:rPr>
              <w:rFonts w:asciiTheme="minorHAnsi" w:eastAsiaTheme="minorEastAsia" w:hAnsiTheme="minorHAnsi" w:cstheme="minorBidi"/>
              <w:b w:val="0"/>
              <w:noProof/>
              <w:color w:val="auto"/>
              <w:sz w:val="22"/>
              <w:szCs w:val="22"/>
              <w:lang w:eastAsia="en-AU"/>
            </w:rPr>
          </w:pPr>
          <w:r w:rsidRPr="006A37CA">
            <w:fldChar w:fldCharType="begin"/>
          </w:r>
          <w:r w:rsidRPr="006A37CA">
            <w:instrText xml:space="preserve"> TOC \h \z \u \t "Heading 2,1,Heading 3,2,Heading 4,3" </w:instrText>
          </w:r>
          <w:r w:rsidRPr="006A37CA">
            <w:fldChar w:fldCharType="separate"/>
          </w:r>
          <w:hyperlink w:anchor="_Toc135124801" w:history="1">
            <w:r w:rsidR="00AC74BD" w:rsidRPr="00AC2FCD">
              <w:rPr>
                <w:rStyle w:val="Hyperlink"/>
                <w:noProof/>
              </w:rPr>
              <w:t>List of abbreviations</w:t>
            </w:r>
            <w:r w:rsidR="00AC74BD">
              <w:rPr>
                <w:noProof/>
                <w:webHidden/>
              </w:rPr>
              <w:tab/>
            </w:r>
            <w:r w:rsidR="00AC74BD">
              <w:rPr>
                <w:noProof/>
                <w:webHidden/>
              </w:rPr>
              <w:fldChar w:fldCharType="begin"/>
            </w:r>
            <w:r w:rsidR="00AC74BD">
              <w:rPr>
                <w:noProof/>
                <w:webHidden/>
              </w:rPr>
              <w:instrText xml:space="preserve"> PAGEREF _Toc135124801 \h </w:instrText>
            </w:r>
            <w:r w:rsidR="00AC74BD">
              <w:rPr>
                <w:noProof/>
                <w:webHidden/>
              </w:rPr>
            </w:r>
            <w:r w:rsidR="00AC74BD">
              <w:rPr>
                <w:noProof/>
                <w:webHidden/>
              </w:rPr>
              <w:fldChar w:fldCharType="separate"/>
            </w:r>
            <w:r w:rsidR="004B2F77">
              <w:rPr>
                <w:noProof/>
                <w:webHidden/>
              </w:rPr>
              <w:t>4</w:t>
            </w:r>
            <w:r w:rsidR="00AC74BD">
              <w:rPr>
                <w:noProof/>
                <w:webHidden/>
              </w:rPr>
              <w:fldChar w:fldCharType="end"/>
            </w:r>
          </w:hyperlink>
        </w:p>
        <w:p w14:paraId="572F0C58" w14:textId="63749E9E" w:rsidR="00AC74BD" w:rsidRDefault="004B2F77">
          <w:pPr>
            <w:pStyle w:val="TOC1"/>
            <w:rPr>
              <w:rFonts w:asciiTheme="minorHAnsi" w:eastAsiaTheme="minorEastAsia" w:hAnsiTheme="minorHAnsi" w:cstheme="minorBidi"/>
              <w:b w:val="0"/>
              <w:noProof/>
              <w:color w:val="auto"/>
              <w:sz w:val="22"/>
              <w:szCs w:val="22"/>
              <w:lang w:eastAsia="en-AU"/>
            </w:rPr>
          </w:pPr>
          <w:hyperlink w:anchor="_Toc135124802" w:history="1">
            <w:r w:rsidR="00AC74BD" w:rsidRPr="00AC2FCD">
              <w:rPr>
                <w:rStyle w:val="Hyperlink"/>
                <w:noProof/>
              </w:rPr>
              <w:t>Product submission</w:t>
            </w:r>
            <w:r w:rsidR="00AC74BD">
              <w:rPr>
                <w:noProof/>
                <w:webHidden/>
              </w:rPr>
              <w:tab/>
            </w:r>
            <w:r w:rsidR="00AC74BD">
              <w:rPr>
                <w:noProof/>
                <w:webHidden/>
              </w:rPr>
              <w:fldChar w:fldCharType="begin"/>
            </w:r>
            <w:r w:rsidR="00AC74BD">
              <w:rPr>
                <w:noProof/>
                <w:webHidden/>
              </w:rPr>
              <w:instrText xml:space="preserve"> PAGEREF _Toc135124802 \h </w:instrText>
            </w:r>
            <w:r w:rsidR="00AC74BD">
              <w:rPr>
                <w:noProof/>
                <w:webHidden/>
              </w:rPr>
            </w:r>
            <w:r w:rsidR="00AC74BD">
              <w:rPr>
                <w:noProof/>
                <w:webHidden/>
              </w:rPr>
              <w:fldChar w:fldCharType="separate"/>
            </w:r>
            <w:r>
              <w:rPr>
                <w:noProof/>
                <w:webHidden/>
              </w:rPr>
              <w:t>6</w:t>
            </w:r>
            <w:r w:rsidR="00AC74BD">
              <w:rPr>
                <w:noProof/>
                <w:webHidden/>
              </w:rPr>
              <w:fldChar w:fldCharType="end"/>
            </w:r>
          </w:hyperlink>
        </w:p>
        <w:p w14:paraId="42F9802F" w14:textId="2C77608B"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03" w:history="1">
            <w:r w:rsidR="00AC74BD" w:rsidRPr="00AC2FCD">
              <w:rPr>
                <w:rStyle w:val="Hyperlink"/>
                <w:noProof/>
                <w:lang w:eastAsia="en-AU"/>
              </w:rPr>
              <w:t>Submission details</w:t>
            </w:r>
            <w:r w:rsidR="00AC74BD">
              <w:rPr>
                <w:noProof/>
                <w:webHidden/>
              </w:rPr>
              <w:tab/>
            </w:r>
            <w:r w:rsidR="00AC74BD">
              <w:rPr>
                <w:noProof/>
                <w:webHidden/>
              </w:rPr>
              <w:fldChar w:fldCharType="begin"/>
            </w:r>
            <w:r w:rsidR="00AC74BD">
              <w:rPr>
                <w:noProof/>
                <w:webHidden/>
              </w:rPr>
              <w:instrText xml:space="preserve"> PAGEREF _Toc135124803 \h </w:instrText>
            </w:r>
            <w:r w:rsidR="00AC74BD">
              <w:rPr>
                <w:noProof/>
                <w:webHidden/>
              </w:rPr>
            </w:r>
            <w:r w:rsidR="00AC74BD">
              <w:rPr>
                <w:noProof/>
                <w:webHidden/>
              </w:rPr>
              <w:fldChar w:fldCharType="separate"/>
            </w:r>
            <w:r>
              <w:rPr>
                <w:noProof/>
                <w:webHidden/>
              </w:rPr>
              <w:t>6</w:t>
            </w:r>
            <w:r w:rsidR="00AC74BD">
              <w:rPr>
                <w:noProof/>
                <w:webHidden/>
              </w:rPr>
              <w:fldChar w:fldCharType="end"/>
            </w:r>
          </w:hyperlink>
        </w:p>
        <w:p w14:paraId="78B75A58" w14:textId="752A9019"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04" w:history="1">
            <w:r w:rsidR="00AC74BD" w:rsidRPr="00AC2FCD">
              <w:rPr>
                <w:rStyle w:val="Hyperlink"/>
                <w:noProof/>
              </w:rPr>
              <w:t>Product background</w:t>
            </w:r>
            <w:r w:rsidR="00AC74BD">
              <w:rPr>
                <w:noProof/>
                <w:webHidden/>
              </w:rPr>
              <w:tab/>
            </w:r>
            <w:r w:rsidR="00AC74BD">
              <w:rPr>
                <w:noProof/>
                <w:webHidden/>
              </w:rPr>
              <w:fldChar w:fldCharType="begin"/>
            </w:r>
            <w:r w:rsidR="00AC74BD">
              <w:rPr>
                <w:noProof/>
                <w:webHidden/>
              </w:rPr>
              <w:instrText xml:space="preserve"> PAGEREF _Toc135124804 \h </w:instrText>
            </w:r>
            <w:r w:rsidR="00AC74BD">
              <w:rPr>
                <w:noProof/>
                <w:webHidden/>
              </w:rPr>
            </w:r>
            <w:r w:rsidR="00AC74BD">
              <w:rPr>
                <w:noProof/>
                <w:webHidden/>
              </w:rPr>
              <w:fldChar w:fldCharType="separate"/>
            </w:r>
            <w:r>
              <w:rPr>
                <w:noProof/>
                <w:webHidden/>
              </w:rPr>
              <w:t>7</w:t>
            </w:r>
            <w:r w:rsidR="00AC74BD">
              <w:rPr>
                <w:noProof/>
                <w:webHidden/>
              </w:rPr>
              <w:fldChar w:fldCharType="end"/>
            </w:r>
          </w:hyperlink>
        </w:p>
        <w:p w14:paraId="2D11E8EB" w14:textId="03A2666D"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05" w:history="1">
            <w:r w:rsidR="00AC74BD" w:rsidRPr="00AC2FCD">
              <w:rPr>
                <w:rStyle w:val="Hyperlink"/>
                <w:noProof/>
              </w:rPr>
              <w:t>Regulatory status</w:t>
            </w:r>
            <w:r w:rsidR="00AC74BD">
              <w:rPr>
                <w:noProof/>
                <w:webHidden/>
              </w:rPr>
              <w:tab/>
            </w:r>
            <w:r w:rsidR="00AC74BD">
              <w:rPr>
                <w:noProof/>
                <w:webHidden/>
              </w:rPr>
              <w:fldChar w:fldCharType="begin"/>
            </w:r>
            <w:r w:rsidR="00AC74BD">
              <w:rPr>
                <w:noProof/>
                <w:webHidden/>
              </w:rPr>
              <w:instrText xml:space="preserve"> PAGEREF _Toc135124805 \h </w:instrText>
            </w:r>
            <w:r w:rsidR="00AC74BD">
              <w:rPr>
                <w:noProof/>
                <w:webHidden/>
              </w:rPr>
            </w:r>
            <w:r w:rsidR="00AC74BD">
              <w:rPr>
                <w:noProof/>
                <w:webHidden/>
              </w:rPr>
              <w:fldChar w:fldCharType="separate"/>
            </w:r>
            <w:r>
              <w:rPr>
                <w:noProof/>
                <w:webHidden/>
              </w:rPr>
              <w:t>10</w:t>
            </w:r>
            <w:r w:rsidR="00AC74BD">
              <w:rPr>
                <w:noProof/>
                <w:webHidden/>
              </w:rPr>
              <w:fldChar w:fldCharType="end"/>
            </w:r>
          </w:hyperlink>
        </w:p>
        <w:p w14:paraId="23213818" w14:textId="31C722B5"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06" w:history="1">
            <w:r w:rsidR="00AC74BD" w:rsidRPr="00AC2FCD">
              <w:rPr>
                <w:rStyle w:val="Hyperlink"/>
                <w:noProof/>
              </w:rPr>
              <w:t>Product Information</w:t>
            </w:r>
            <w:r w:rsidR="00AC74BD">
              <w:rPr>
                <w:noProof/>
                <w:webHidden/>
              </w:rPr>
              <w:tab/>
            </w:r>
            <w:r w:rsidR="00AC74BD">
              <w:rPr>
                <w:noProof/>
                <w:webHidden/>
              </w:rPr>
              <w:fldChar w:fldCharType="begin"/>
            </w:r>
            <w:r w:rsidR="00AC74BD">
              <w:rPr>
                <w:noProof/>
                <w:webHidden/>
              </w:rPr>
              <w:instrText xml:space="preserve"> PAGEREF _Toc135124806 \h </w:instrText>
            </w:r>
            <w:r w:rsidR="00AC74BD">
              <w:rPr>
                <w:noProof/>
                <w:webHidden/>
              </w:rPr>
            </w:r>
            <w:r w:rsidR="00AC74BD">
              <w:rPr>
                <w:noProof/>
                <w:webHidden/>
              </w:rPr>
              <w:fldChar w:fldCharType="separate"/>
            </w:r>
            <w:r>
              <w:rPr>
                <w:noProof/>
                <w:webHidden/>
              </w:rPr>
              <w:t>11</w:t>
            </w:r>
            <w:r w:rsidR="00AC74BD">
              <w:rPr>
                <w:noProof/>
                <w:webHidden/>
              </w:rPr>
              <w:fldChar w:fldCharType="end"/>
            </w:r>
          </w:hyperlink>
        </w:p>
        <w:p w14:paraId="4C71B773" w14:textId="26720EC8" w:rsidR="00AC74BD" w:rsidRDefault="004B2F77">
          <w:pPr>
            <w:pStyle w:val="TOC1"/>
            <w:rPr>
              <w:rFonts w:asciiTheme="minorHAnsi" w:eastAsiaTheme="minorEastAsia" w:hAnsiTheme="minorHAnsi" w:cstheme="minorBidi"/>
              <w:b w:val="0"/>
              <w:noProof/>
              <w:color w:val="auto"/>
              <w:sz w:val="22"/>
              <w:szCs w:val="22"/>
              <w:lang w:eastAsia="en-AU"/>
            </w:rPr>
          </w:pPr>
          <w:hyperlink w:anchor="_Toc135124807" w:history="1">
            <w:r w:rsidR="00AC74BD" w:rsidRPr="00AC2FCD">
              <w:rPr>
                <w:rStyle w:val="Hyperlink"/>
                <w:noProof/>
              </w:rPr>
              <w:t>Registration timeline</w:t>
            </w:r>
            <w:r w:rsidR="00AC74BD">
              <w:rPr>
                <w:noProof/>
                <w:webHidden/>
              </w:rPr>
              <w:tab/>
            </w:r>
            <w:r w:rsidR="00AC74BD">
              <w:rPr>
                <w:noProof/>
                <w:webHidden/>
              </w:rPr>
              <w:fldChar w:fldCharType="begin"/>
            </w:r>
            <w:r w:rsidR="00AC74BD">
              <w:rPr>
                <w:noProof/>
                <w:webHidden/>
              </w:rPr>
              <w:instrText xml:space="preserve"> PAGEREF _Toc135124807 \h </w:instrText>
            </w:r>
            <w:r w:rsidR="00AC74BD">
              <w:rPr>
                <w:noProof/>
                <w:webHidden/>
              </w:rPr>
            </w:r>
            <w:r w:rsidR="00AC74BD">
              <w:rPr>
                <w:noProof/>
                <w:webHidden/>
              </w:rPr>
              <w:fldChar w:fldCharType="separate"/>
            </w:r>
            <w:r>
              <w:rPr>
                <w:noProof/>
                <w:webHidden/>
              </w:rPr>
              <w:t>11</w:t>
            </w:r>
            <w:r w:rsidR="00AC74BD">
              <w:rPr>
                <w:noProof/>
                <w:webHidden/>
              </w:rPr>
              <w:fldChar w:fldCharType="end"/>
            </w:r>
          </w:hyperlink>
        </w:p>
        <w:p w14:paraId="4197A299" w14:textId="0DA5045B" w:rsidR="00AC74BD" w:rsidRDefault="004B2F77">
          <w:pPr>
            <w:pStyle w:val="TOC1"/>
            <w:rPr>
              <w:rFonts w:asciiTheme="minorHAnsi" w:eastAsiaTheme="minorEastAsia" w:hAnsiTheme="minorHAnsi" w:cstheme="minorBidi"/>
              <w:b w:val="0"/>
              <w:noProof/>
              <w:color w:val="auto"/>
              <w:sz w:val="22"/>
              <w:szCs w:val="22"/>
              <w:lang w:eastAsia="en-AU"/>
            </w:rPr>
          </w:pPr>
          <w:hyperlink w:anchor="_Toc135124808" w:history="1">
            <w:r w:rsidR="00AC74BD" w:rsidRPr="00AC2FCD">
              <w:rPr>
                <w:rStyle w:val="Hyperlink"/>
                <w:noProof/>
              </w:rPr>
              <w:t>Submission overview and risk/benefit assessment</w:t>
            </w:r>
            <w:r w:rsidR="00AC74BD">
              <w:rPr>
                <w:noProof/>
                <w:webHidden/>
              </w:rPr>
              <w:tab/>
            </w:r>
            <w:r w:rsidR="00AC74BD">
              <w:rPr>
                <w:noProof/>
                <w:webHidden/>
              </w:rPr>
              <w:fldChar w:fldCharType="begin"/>
            </w:r>
            <w:r w:rsidR="00AC74BD">
              <w:rPr>
                <w:noProof/>
                <w:webHidden/>
              </w:rPr>
              <w:instrText xml:space="preserve"> PAGEREF _Toc135124808 \h </w:instrText>
            </w:r>
            <w:r w:rsidR="00AC74BD">
              <w:rPr>
                <w:noProof/>
                <w:webHidden/>
              </w:rPr>
            </w:r>
            <w:r w:rsidR="00AC74BD">
              <w:rPr>
                <w:noProof/>
                <w:webHidden/>
              </w:rPr>
              <w:fldChar w:fldCharType="separate"/>
            </w:r>
            <w:r>
              <w:rPr>
                <w:noProof/>
                <w:webHidden/>
              </w:rPr>
              <w:t>12</w:t>
            </w:r>
            <w:r w:rsidR="00AC74BD">
              <w:rPr>
                <w:noProof/>
                <w:webHidden/>
              </w:rPr>
              <w:fldChar w:fldCharType="end"/>
            </w:r>
          </w:hyperlink>
        </w:p>
        <w:p w14:paraId="7145B008" w14:textId="6BB6AC6C"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09" w:history="1">
            <w:r w:rsidR="00AC74BD" w:rsidRPr="00AC2FCD">
              <w:rPr>
                <w:rStyle w:val="Hyperlink"/>
                <w:noProof/>
              </w:rPr>
              <w:t>Quality</w:t>
            </w:r>
            <w:r w:rsidR="00AC74BD">
              <w:rPr>
                <w:noProof/>
                <w:webHidden/>
              </w:rPr>
              <w:tab/>
            </w:r>
            <w:r w:rsidR="00AC74BD">
              <w:rPr>
                <w:noProof/>
                <w:webHidden/>
              </w:rPr>
              <w:fldChar w:fldCharType="begin"/>
            </w:r>
            <w:r w:rsidR="00AC74BD">
              <w:rPr>
                <w:noProof/>
                <w:webHidden/>
              </w:rPr>
              <w:instrText xml:space="preserve"> PAGEREF _Toc135124809 \h </w:instrText>
            </w:r>
            <w:r w:rsidR="00AC74BD">
              <w:rPr>
                <w:noProof/>
                <w:webHidden/>
              </w:rPr>
            </w:r>
            <w:r w:rsidR="00AC74BD">
              <w:rPr>
                <w:noProof/>
                <w:webHidden/>
              </w:rPr>
              <w:fldChar w:fldCharType="separate"/>
            </w:r>
            <w:r>
              <w:rPr>
                <w:noProof/>
                <w:webHidden/>
              </w:rPr>
              <w:t>12</w:t>
            </w:r>
            <w:r w:rsidR="00AC74BD">
              <w:rPr>
                <w:noProof/>
                <w:webHidden/>
              </w:rPr>
              <w:fldChar w:fldCharType="end"/>
            </w:r>
          </w:hyperlink>
        </w:p>
        <w:p w14:paraId="197F04B1" w14:textId="1439086B"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10" w:history="1">
            <w:r w:rsidR="00AC74BD" w:rsidRPr="00AC2FCD">
              <w:rPr>
                <w:rStyle w:val="Hyperlink"/>
                <w:noProof/>
              </w:rPr>
              <w:t>Nonclinical</w:t>
            </w:r>
            <w:r w:rsidR="00AC74BD">
              <w:rPr>
                <w:noProof/>
                <w:webHidden/>
              </w:rPr>
              <w:tab/>
            </w:r>
            <w:r w:rsidR="00AC74BD">
              <w:rPr>
                <w:noProof/>
                <w:webHidden/>
              </w:rPr>
              <w:fldChar w:fldCharType="begin"/>
            </w:r>
            <w:r w:rsidR="00AC74BD">
              <w:rPr>
                <w:noProof/>
                <w:webHidden/>
              </w:rPr>
              <w:instrText xml:space="preserve"> PAGEREF _Toc135124810 \h </w:instrText>
            </w:r>
            <w:r w:rsidR="00AC74BD">
              <w:rPr>
                <w:noProof/>
                <w:webHidden/>
              </w:rPr>
            </w:r>
            <w:r w:rsidR="00AC74BD">
              <w:rPr>
                <w:noProof/>
                <w:webHidden/>
              </w:rPr>
              <w:fldChar w:fldCharType="separate"/>
            </w:r>
            <w:r>
              <w:rPr>
                <w:noProof/>
                <w:webHidden/>
              </w:rPr>
              <w:t>13</w:t>
            </w:r>
            <w:r w:rsidR="00AC74BD">
              <w:rPr>
                <w:noProof/>
                <w:webHidden/>
              </w:rPr>
              <w:fldChar w:fldCharType="end"/>
            </w:r>
          </w:hyperlink>
        </w:p>
        <w:p w14:paraId="38E3AF6D" w14:textId="38F5E309"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11" w:history="1">
            <w:r w:rsidR="00AC74BD" w:rsidRPr="00AC2FCD">
              <w:rPr>
                <w:rStyle w:val="Hyperlink"/>
                <w:noProof/>
              </w:rPr>
              <w:t>Clinical</w:t>
            </w:r>
            <w:r w:rsidR="00AC74BD">
              <w:rPr>
                <w:noProof/>
                <w:webHidden/>
              </w:rPr>
              <w:tab/>
            </w:r>
            <w:r w:rsidR="00AC74BD">
              <w:rPr>
                <w:noProof/>
                <w:webHidden/>
              </w:rPr>
              <w:fldChar w:fldCharType="begin"/>
            </w:r>
            <w:r w:rsidR="00AC74BD">
              <w:rPr>
                <w:noProof/>
                <w:webHidden/>
              </w:rPr>
              <w:instrText xml:space="preserve"> PAGEREF _Toc135124811 \h </w:instrText>
            </w:r>
            <w:r w:rsidR="00AC74BD">
              <w:rPr>
                <w:noProof/>
                <w:webHidden/>
              </w:rPr>
            </w:r>
            <w:r w:rsidR="00AC74BD">
              <w:rPr>
                <w:noProof/>
                <w:webHidden/>
              </w:rPr>
              <w:fldChar w:fldCharType="separate"/>
            </w:r>
            <w:r>
              <w:rPr>
                <w:noProof/>
                <w:webHidden/>
              </w:rPr>
              <w:t>13</w:t>
            </w:r>
            <w:r w:rsidR="00AC74BD">
              <w:rPr>
                <w:noProof/>
                <w:webHidden/>
              </w:rPr>
              <w:fldChar w:fldCharType="end"/>
            </w:r>
          </w:hyperlink>
        </w:p>
        <w:p w14:paraId="11CDBA1F" w14:textId="2ADBA035" w:rsidR="00AC74BD" w:rsidRDefault="004B2F77">
          <w:pPr>
            <w:pStyle w:val="TOC3"/>
            <w:rPr>
              <w:rFonts w:asciiTheme="minorHAnsi" w:eastAsiaTheme="minorEastAsia" w:hAnsiTheme="minorHAnsi" w:cstheme="minorBidi"/>
              <w:b w:val="0"/>
              <w:noProof/>
              <w:color w:val="auto"/>
              <w:szCs w:val="22"/>
              <w:lang w:eastAsia="en-AU"/>
            </w:rPr>
          </w:pPr>
          <w:hyperlink w:anchor="_Toc135124812" w:history="1">
            <w:r w:rsidR="00AC74BD" w:rsidRPr="00AC2FCD">
              <w:rPr>
                <w:rStyle w:val="Hyperlink"/>
                <w:noProof/>
              </w:rPr>
              <w:t>Summary of clinical studies</w:t>
            </w:r>
            <w:r w:rsidR="00AC74BD">
              <w:rPr>
                <w:noProof/>
                <w:webHidden/>
              </w:rPr>
              <w:tab/>
            </w:r>
            <w:r w:rsidR="00AC74BD">
              <w:rPr>
                <w:noProof/>
                <w:webHidden/>
              </w:rPr>
              <w:fldChar w:fldCharType="begin"/>
            </w:r>
            <w:r w:rsidR="00AC74BD">
              <w:rPr>
                <w:noProof/>
                <w:webHidden/>
              </w:rPr>
              <w:instrText xml:space="preserve"> PAGEREF _Toc135124812 \h </w:instrText>
            </w:r>
            <w:r w:rsidR="00AC74BD">
              <w:rPr>
                <w:noProof/>
                <w:webHidden/>
              </w:rPr>
            </w:r>
            <w:r w:rsidR="00AC74BD">
              <w:rPr>
                <w:noProof/>
                <w:webHidden/>
              </w:rPr>
              <w:fldChar w:fldCharType="separate"/>
            </w:r>
            <w:r>
              <w:rPr>
                <w:noProof/>
                <w:webHidden/>
              </w:rPr>
              <w:t>13</w:t>
            </w:r>
            <w:r w:rsidR="00AC74BD">
              <w:rPr>
                <w:noProof/>
                <w:webHidden/>
              </w:rPr>
              <w:fldChar w:fldCharType="end"/>
            </w:r>
          </w:hyperlink>
        </w:p>
        <w:p w14:paraId="1C6A02B8" w14:textId="35AF4A77" w:rsidR="00AC74BD" w:rsidRDefault="004B2F77">
          <w:pPr>
            <w:pStyle w:val="TOC3"/>
            <w:rPr>
              <w:rFonts w:asciiTheme="minorHAnsi" w:eastAsiaTheme="minorEastAsia" w:hAnsiTheme="minorHAnsi" w:cstheme="minorBidi"/>
              <w:b w:val="0"/>
              <w:noProof/>
              <w:color w:val="auto"/>
              <w:szCs w:val="22"/>
              <w:lang w:eastAsia="en-AU"/>
            </w:rPr>
          </w:pPr>
          <w:hyperlink w:anchor="_Toc135124813" w:history="1">
            <w:r w:rsidR="00AC74BD" w:rsidRPr="00AC2FCD">
              <w:rPr>
                <w:rStyle w:val="Hyperlink"/>
                <w:noProof/>
              </w:rPr>
              <w:t>Pharmacology</w:t>
            </w:r>
            <w:r w:rsidR="00AC74BD">
              <w:rPr>
                <w:noProof/>
                <w:webHidden/>
              </w:rPr>
              <w:tab/>
            </w:r>
            <w:r w:rsidR="00AC74BD">
              <w:rPr>
                <w:noProof/>
                <w:webHidden/>
              </w:rPr>
              <w:fldChar w:fldCharType="begin"/>
            </w:r>
            <w:r w:rsidR="00AC74BD">
              <w:rPr>
                <w:noProof/>
                <w:webHidden/>
              </w:rPr>
              <w:instrText xml:space="preserve"> PAGEREF _Toc135124813 \h </w:instrText>
            </w:r>
            <w:r w:rsidR="00AC74BD">
              <w:rPr>
                <w:noProof/>
                <w:webHidden/>
              </w:rPr>
            </w:r>
            <w:r w:rsidR="00AC74BD">
              <w:rPr>
                <w:noProof/>
                <w:webHidden/>
              </w:rPr>
              <w:fldChar w:fldCharType="separate"/>
            </w:r>
            <w:r>
              <w:rPr>
                <w:noProof/>
                <w:webHidden/>
              </w:rPr>
              <w:t>14</w:t>
            </w:r>
            <w:r w:rsidR="00AC74BD">
              <w:rPr>
                <w:noProof/>
                <w:webHidden/>
              </w:rPr>
              <w:fldChar w:fldCharType="end"/>
            </w:r>
          </w:hyperlink>
        </w:p>
        <w:p w14:paraId="29F6FCF3" w14:textId="5EFE97B2" w:rsidR="00AC74BD" w:rsidRDefault="004B2F77">
          <w:pPr>
            <w:pStyle w:val="TOC3"/>
            <w:rPr>
              <w:rFonts w:asciiTheme="minorHAnsi" w:eastAsiaTheme="minorEastAsia" w:hAnsiTheme="minorHAnsi" w:cstheme="minorBidi"/>
              <w:b w:val="0"/>
              <w:noProof/>
              <w:color w:val="auto"/>
              <w:szCs w:val="22"/>
              <w:lang w:eastAsia="en-AU"/>
            </w:rPr>
          </w:pPr>
          <w:hyperlink w:anchor="_Toc135124814" w:history="1">
            <w:r w:rsidR="00AC74BD" w:rsidRPr="00AC2FCD">
              <w:rPr>
                <w:rStyle w:val="Hyperlink"/>
                <w:noProof/>
              </w:rPr>
              <w:t>Safety</w:t>
            </w:r>
            <w:r w:rsidR="00AC74BD">
              <w:rPr>
                <w:noProof/>
                <w:webHidden/>
              </w:rPr>
              <w:tab/>
            </w:r>
            <w:r w:rsidR="00AC74BD">
              <w:rPr>
                <w:noProof/>
                <w:webHidden/>
              </w:rPr>
              <w:fldChar w:fldCharType="begin"/>
            </w:r>
            <w:r w:rsidR="00AC74BD">
              <w:rPr>
                <w:noProof/>
                <w:webHidden/>
              </w:rPr>
              <w:instrText xml:space="preserve"> PAGEREF _Toc135124814 \h </w:instrText>
            </w:r>
            <w:r w:rsidR="00AC74BD">
              <w:rPr>
                <w:noProof/>
                <w:webHidden/>
              </w:rPr>
            </w:r>
            <w:r w:rsidR="00AC74BD">
              <w:rPr>
                <w:noProof/>
                <w:webHidden/>
              </w:rPr>
              <w:fldChar w:fldCharType="separate"/>
            </w:r>
            <w:r>
              <w:rPr>
                <w:noProof/>
                <w:webHidden/>
              </w:rPr>
              <w:t>26</w:t>
            </w:r>
            <w:r w:rsidR="00AC74BD">
              <w:rPr>
                <w:noProof/>
                <w:webHidden/>
              </w:rPr>
              <w:fldChar w:fldCharType="end"/>
            </w:r>
          </w:hyperlink>
        </w:p>
        <w:p w14:paraId="0352C149" w14:textId="04CE9BA2" w:rsidR="00AC74BD" w:rsidRDefault="004B2F77">
          <w:pPr>
            <w:pStyle w:val="TOC3"/>
            <w:rPr>
              <w:rFonts w:asciiTheme="minorHAnsi" w:eastAsiaTheme="minorEastAsia" w:hAnsiTheme="minorHAnsi" w:cstheme="minorBidi"/>
              <w:b w:val="0"/>
              <w:noProof/>
              <w:color w:val="auto"/>
              <w:szCs w:val="22"/>
              <w:lang w:eastAsia="en-AU"/>
            </w:rPr>
          </w:pPr>
          <w:hyperlink w:anchor="_Toc135124815" w:history="1">
            <w:r w:rsidR="00AC74BD" w:rsidRPr="00AC2FCD">
              <w:rPr>
                <w:rStyle w:val="Hyperlink"/>
                <w:noProof/>
              </w:rPr>
              <w:t>Review of sponsor’s response to questions raised by the TGA</w:t>
            </w:r>
            <w:r w:rsidR="00AC74BD">
              <w:rPr>
                <w:noProof/>
                <w:webHidden/>
              </w:rPr>
              <w:tab/>
            </w:r>
            <w:r w:rsidR="00AC74BD">
              <w:rPr>
                <w:noProof/>
                <w:webHidden/>
              </w:rPr>
              <w:fldChar w:fldCharType="begin"/>
            </w:r>
            <w:r w:rsidR="00AC74BD">
              <w:rPr>
                <w:noProof/>
                <w:webHidden/>
              </w:rPr>
              <w:instrText xml:space="preserve"> PAGEREF _Toc135124815 \h </w:instrText>
            </w:r>
            <w:r w:rsidR="00AC74BD">
              <w:rPr>
                <w:noProof/>
                <w:webHidden/>
              </w:rPr>
            </w:r>
            <w:r w:rsidR="00AC74BD">
              <w:rPr>
                <w:noProof/>
                <w:webHidden/>
              </w:rPr>
              <w:fldChar w:fldCharType="separate"/>
            </w:r>
            <w:r>
              <w:rPr>
                <w:noProof/>
                <w:webHidden/>
              </w:rPr>
              <w:t>32</w:t>
            </w:r>
            <w:r w:rsidR="00AC74BD">
              <w:rPr>
                <w:noProof/>
                <w:webHidden/>
              </w:rPr>
              <w:fldChar w:fldCharType="end"/>
            </w:r>
          </w:hyperlink>
        </w:p>
        <w:p w14:paraId="18CDBA2E" w14:textId="581D5822"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16" w:history="1">
            <w:r w:rsidR="00AC74BD" w:rsidRPr="00AC2FCD">
              <w:rPr>
                <w:rStyle w:val="Hyperlink"/>
                <w:noProof/>
                <w:lang w:eastAsia="en-AU"/>
              </w:rPr>
              <w:t>Risk management plan</w:t>
            </w:r>
            <w:r w:rsidR="00AC74BD">
              <w:rPr>
                <w:noProof/>
                <w:webHidden/>
              </w:rPr>
              <w:tab/>
            </w:r>
            <w:r w:rsidR="00AC74BD">
              <w:rPr>
                <w:noProof/>
                <w:webHidden/>
              </w:rPr>
              <w:fldChar w:fldCharType="begin"/>
            </w:r>
            <w:r w:rsidR="00AC74BD">
              <w:rPr>
                <w:noProof/>
                <w:webHidden/>
              </w:rPr>
              <w:instrText xml:space="preserve"> PAGEREF _Toc135124816 \h </w:instrText>
            </w:r>
            <w:r w:rsidR="00AC74BD">
              <w:rPr>
                <w:noProof/>
                <w:webHidden/>
              </w:rPr>
            </w:r>
            <w:r w:rsidR="00AC74BD">
              <w:rPr>
                <w:noProof/>
                <w:webHidden/>
              </w:rPr>
              <w:fldChar w:fldCharType="separate"/>
            </w:r>
            <w:r>
              <w:rPr>
                <w:noProof/>
                <w:webHidden/>
              </w:rPr>
              <w:t>33</w:t>
            </w:r>
            <w:r w:rsidR="00AC74BD">
              <w:rPr>
                <w:noProof/>
                <w:webHidden/>
              </w:rPr>
              <w:fldChar w:fldCharType="end"/>
            </w:r>
          </w:hyperlink>
        </w:p>
        <w:p w14:paraId="276C3415" w14:textId="7281F2EE"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17" w:history="1">
            <w:r w:rsidR="00AC74BD" w:rsidRPr="00AC2FCD">
              <w:rPr>
                <w:rStyle w:val="Hyperlink"/>
                <w:noProof/>
              </w:rPr>
              <w:t>Risk-benefit analysis</w:t>
            </w:r>
            <w:r w:rsidR="00AC74BD">
              <w:rPr>
                <w:noProof/>
                <w:webHidden/>
              </w:rPr>
              <w:tab/>
            </w:r>
            <w:r w:rsidR="00AC74BD">
              <w:rPr>
                <w:noProof/>
                <w:webHidden/>
              </w:rPr>
              <w:fldChar w:fldCharType="begin"/>
            </w:r>
            <w:r w:rsidR="00AC74BD">
              <w:rPr>
                <w:noProof/>
                <w:webHidden/>
              </w:rPr>
              <w:instrText xml:space="preserve"> PAGEREF _Toc135124817 \h </w:instrText>
            </w:r>
            <w:r w:rsidR="00AC74BD">
              <w:rPr>
                <w:noProof/>
                <w:webHidden/>
              </w:rPr>
            </w:r>
            <w:r w:rsidR="00AC74BD">
              <w:rPr>
                <w:noProof/>
                <w:webHidden/>
              </w:rPr>
              <w:fldChar w:fldCharType="separate"/>
            </w:r>
            <w:r>
              <w:rPr>
                <w:noProof/>
                <w:webHidden/>
              </w:rPr>
              <w:t>34</w:t>
            </w:r>
            <w:r w:rsidR="00AC74BD">
              <w:rPr>
                <w:noProof/>
                <w:webHidden/>
              </w:rPr>
              <w:fldChar w:fldCharType="end"/>
            </w:r>
          </w:hyperlink>
        </w:p>
        <w:p w14:paraId="7D16CB0A" w14:textId="388614F7" w:rsidR="00AC74BD" w:rsidRDefault="004B2F77">
          <w:pPr>
            <w:pStyle w:val="TOC3"/>
            <w:rPr>
              <w:rFonts w:asciiTheme="minorHAnsi" w:eastAsiaTheme="minorEastAsia" w:hAnsiTheme="minorHAnsi" w:cstheme="minorBidi"/>
              <w:b w:val="0"/>
              <w:noProof/>
              <w:color w:val="auto"/>
              <w:szCs w:val="22"/>
              <w:lang w:eastAsia="en-AU"/>
            </w:rPr>
          </w:pPr>
          <w:hyperlink w:anchor="_Toc135124818" w:history="1">
            <w:r w:rsidR="00AC74BD" w:rsidRPr="00AC2FCD">
              <w:rPr>
                <w:rStyle w:val="Hyperlink"/>
                <w:noProof/>
              </w:rPr>
              <w:t>Delegate’s considerations</w:t>
            </w:r>
            <w:r w:rsidR="00AC74BD">
              <w:rPr>
                <w:noProof/>
                <w:webHidden/>
              </w:rPr>
              <w:tab/>
            </w:r>
            <w:r w:rsidR="00AC74BD">
              <w:rPr>
                <w:noProof/>
                <w:webHidden/>
              </w:rPr>
              <w:fldChar w:fldCharType="begin"/>
            </w:r>
            <w:r w:rsidR="00AC74BD">
              <w:rPr>
                <w:noProof/>
                <w:webHidden/>
              </w:rPr>
              <w:instrText xml:space="preserve"> PAGEREF _Toc135124818 \h </w:instrText>
            </w:r>
            <w:r w:rsidR="00AC74BD">
              <w:rPr>
                <w:noProof/>
                <w:webHidden/>
              </w:rPr>
            </w:r>
            <w:r w:rsidR="00AC74BD">
              <w:rPr>
                <w:noProof/>
                <w:webHidden/>
              </w:rPr>
              <w:fldChar w:fldCharType="separate"/>
            </w:r>
            <w:r>
              <w:rPr>
                <w:noProof/>
                <w:webHidden/>
              </w:rPr>
              <w:t>34</w:t>
            </w:r>
            <w:r w:rsidR="00AC74BD">
              <w:rPr>
                <w:noProof/>
                <w:webHidden/>
              </w:rPr>
              <w:fldChar w:fldCharType="end"/>
            </w:r>
          </w:hyperlink>
        </w:p>
        <w:p w14:paraId="6E782E6C" w14:textId="1A8E4D4D" w:rsidR="00AC74BD" w:rsidRDefault="004B2F77">
          <w:pPr>
            <w:pStyle w:val="TOC3"/>
            <w:rPr>
              <w:rFonts w:asciiTheme="minorHAnsi" w:eastAsiaTheme="minorEastAsia" w:hAnsiTheme="minorHAnsi" w:cstheme="minorBidi"/>
              <w:b w:val="0"/>
              <w:noProof/>
              <w:color w:val="auto"/>
              <w:szCs w:val="22"/>
              <w:lang w:eastAsia="en-AU"/>
            </w:rPr>
          </w:pPr>
          <w:hyperlink w:anchor="_Toc135124819" w:history="1">
            <w:r w:rsidR="00AC74BD" w:rsidRPr="00AC2FCD">
              <w:rPr>
                <w:rStyle w:val="Hyperlink"/>
                <w:noProof/>
              </w:rPr>
              <w:t>Proposed action</w:t>
            </w:r>
            <w:r w:rsidR="00AC74BD">
              <w:rPr>
                <w:noProof/>
                <w:webHidden/>
              </w:rPr>
              <w:tab/>
            </w:r>
            <w:r w:rsidR="00AC74BD">
              <w:rPr>
                <w:noProof/>
                <w:webHidden/>
              </w:rPr>
              <w:fldChar w:fldCharType="begin"/>
            </w:r>
            <w:r w:rsidR="00AC74BD">
              <w:rPr>
                <w:noProof/>
                <w:webHidden/>
              </w:rPr>
              <w:instrText xml:space="preserve"> PAGEREF _Toc135124819 \h </w:instrText>
            </w:r>
            <w:r w:rsidR="00AC74BD">
              <w:rPr>
                <w:noProof/>
                <w:webHidden/>
              </w:rPr>
            </w:r>
            <w:r w:rsidR="00AC74BD">
              <w:rPr>
                <w:noProof/>
                <w:webHidden/>
              </w:rPr>
              <w:fldChar w:fldCharType="separate"/>
            </w:r>
            <w:r>
              <w:rPr>
                <w:noProof/>
                <w:webHidden/>
              </w:rPr>
              <w:t>34</w:t>
            </w:r>
            <w:r w:rsidR="00AC74BD">
              <w:rPr>
                <w:noProof/>
                <w:webHidden/>
              </w:rPr>
              <w:fldChar w:fldCharType="end"/>
            </w:r>
          </w:hyperlink>
        </w:p>
        <w:p w14:paraId="1399E5BD" w14:textId="1714AD1E" w:rsidR="00AC74BD" w:rsidRDefault="004B2F77">
          <w:pPr>
            <w:pStyle w:val="TOC3"/>
            <w:rPr>
              <w:rFonts w:asciiTheme="minorHAnsi" w:eastAsiaTheme="minorEastAsia" w:hAnsiTheme="minorHAnsi" w:cstheme="minorBidi"/>
              <w:b w:val="0"/>
              <w:noProof/>
              <w:color w:val="auto"/>
              <w:szCs w:val="22"/>
              <w:lang w:eastAsia="en-AU"/>
            </w:rPr>
          </w:pPr>
          <w:hyperlink w:anchor="_Toc135124820" w:history="1">
            <w:r w:rsidR="00AC74BD" w:rsidRPr="00AC2FCD">
              <w:rPr>
                <w:rStyle w:val="Hyperlink"/>
                <w:noProof/>
              </w:rPr>
              <w:t>Questions for the sponsor</w:t>
            </w:r>
            <w:r w:rsidR="00AC74BD">
              <w:rPr>
                <w:noProof/>
                <w:webHidden/>
              </w:rPr>
              <w:tab/>
            </w:r>
            <w:r w:rsidR="00AC74BD">
              <w:rPr>
                <w:noProof/>
                <w:webHidden/>
              </w:rPr>
              <w:fldChar w:fldCharType="begin"/>
            </w:r>
            <w:r w:rsidR="00AC74BD">
              <w:rPr>
                <w:noProof/>
                <w:webHidden/>
              </w:rPr>
              <w:instrText xml:space="preserve"> PAGEREF _Toc135124820 \h </w:instrText>
            </w:r>
            <w:r w:rsidR="00AC74BD">
              <w:rPr>
                <w:noProof/>
                <w:webHidden/>
              </w:rPr>
            </w:r>
            <w:r w:rsidR="00AC74BD">
              <w:rPr>
                <w:noProof/>
                <w:webHidden/>
              </w:rPr>
              <w:fldChar w:fldCharType="separate"/>
            </w:r>
            <w:r>
              <w:rPr>
                <w:noProof/>
                <w:webHidden/>
              </w:rPr>
              <w:t>35</w:t>
            </w:r>
            <w:r w:rsidR="00AC74BD">
              <w:rPr>
                <w:noProof/>
                <w:webHidden/>
              </w:rPr>
              <w:fldChar w:fldCharType="end"/>
            </w:r>
          </w:hyperlink>
        </w:p>
        <w:p w14:paraId="120F4AEC" w14:textId="3FFF0AE6" w:rsidR="00AC74BD" w:rsidRDefault="004B2F77">
          <w:pPr>
            <w:pStyle w:val="TOC3"/>
            <w:rPr>
              <w:rFonts w:asciiTheme="minorHAnsi" w:eastAsiaTheme="minorEastAsia" w:hAnsiTheme="minorHAnsi" w:cstheme="minorBidi"/>
              <w:b w:val="0"/>
              <w:noProof/>
              <w:color w:val="auto"/>
              <w:szCs w:val="22"/>
              <w:lang w:eastAsia="en-AU"/>
            </w:rPr>
          </w:pPr>
          <w:hyperlink w:anchor="_Toc135124821" w:history="1">
            <w:r w:rsidR="00AC74BD" w:rsidRPr="00AC2FCD">
              <w:rPr>
                <w:rStyle w:val="Hyperlink"/>
                <w:noProof/>
              </w:rPr>
              <w:t>Advisory Committee considerations</w:t>
            </w:r>
            <w:r w:rsidR="00AC74BD">
              <w:rPr>
                <w:noProof/>
                <w:webHidden/>
              </w:rPr>
              <w:tab/>
            </w:r>
            <w:r w:rsidR="00AC74BD">
              <w:rPr>
                <w:noProof/>
                <w:webHidden/>
              </w:rPr>
              <w:fldChar w:fldCharType="begin"/>
            </w:r>
            <w:r w:rsidR="00AC74BD">
              <w:rPr>
                <w:noProof/>
                <w:webHidden/>
              </w:rPr>
              <w:instrText xml:space="preserve"> PAGEREF _Toc135124821 \h </w:instrText>
            </w:r>
            <w:r w:rsidR="00AC74BD">
              <w:rPr>
                <w:noProof/>
                <w:webHidden/>
              </w:rPr>
            </w:r>
            <w:r w:rsidR="00AC74BD">
              <w:rPr>
                <w:noProof/>
                <w:webHidden/>
              </w:rPr>
              <w:fldChar w:fldCharType="separate"/>
            </w:r>
            <w:r>
              <w:rPr>
                <w:noProof/>
                <w:webHidden/>
              </w:rPr>
              <w:t>35</w:t>
            </w:r>
            <w:r w:rsidR="00AC74BD">
              <w:rPr>
                <w:noProof/>
                <w:webHidden/>
              </w:rPr>
              <w:fldChar w:fldCharType="end"/>
            </w:r>
          </w:hyperlink>
        </w:p>
        <w:p w14:paraId="6FB9E93E" w14:textId="1DECCD1E" w:rsidR="00AC74BD" w:rsidRDefault="004B2F77">
          <w:pPr>
            <w:pStyle w:val="TOC1"/>
            <w:rPr>
              <w:rFonts w:asciiTheme="minorHAnsi" w:eastAsiaTheme="minorEastAsia" w:hAnsiTheme="minorHAnsi" w:cstheme="minorBidi"/>
              <w:b w:val="0"/>
              <w:noProof/>
              <w:color w:val="auto"/>
              <w:sz w:val="22"/>
              <w:szCs w:val="22"/>
              <w:lang w:eastAsia="en-AU"/>
            </w:rPr>
          </w:pPr>
          <w:hyperlink w:anchor="_Toc135124822" w:history="1">
            <w:r w:rsidR="00AC74BD" w:rsidRPr="00AC2FCD">
              <w:rPr>
                <w:rStyle w:val="Hyperlink"/>
                <w:noProof/>
              </w:rPr>
              <w:t>Outcome</w:t>
            </w:r>
            <w:r w:rsidR="00AC74BD">
              <w:rPr>
                <w:noProof/>
                <w:webHidden/>
              </w:rPr>
              <w:tab/>
            </w:r>
            <w:r w:rsidR="00AC74BD">
              <w:rPr>
                <w:noProof/>
                <w:webHidden/>
              </w:rPr>
              <w:fldChar w:fldCharType="begin"/>
            </w:r>
            <w:r w:rsidR="00AC74BD">
              <w:rPr>
                <w:noProof/>
                <w:webHidden/>
              </w:rPr>
              <w:instrText xml:space="preserve"> PAGEREF _Toc135124822 \h </w:instrText>
            </w:r>
            <w:r w:rsidR="00AC74BD">
              <w:rPr>
                <w:noProof/>
                <w:webHidden/>
              </w:rPr>
            </w:r>
            <w:r w:rsidR="00AC74BD">
              <w:rPr>
                <w:noProof/>
                <w:webHidden/>
              </w:rPr>
              <w:fldChar w:fldCharType="separate"/>
            </w:r>
            <w:r>
              <w:rPr>
                <w:noProof/>
                <w:webHidden/>
              </w:rPr>
              <w:t>37</w:t>
            </w:r>
            <w:r w:rsidR="00AC74BD">
              <w:rPr>
                <w:noProof/>
                <w:webHidden/>
              </w:rPr>
              <w:fldChar w:fldCharType="end"/>
            </w:r>
          </w:hyperlink>
        </w:p>
        <w:p w14:paraId="4A35E17D" w14:textId="56870309" w:rsidR="00AC74BD" w:rsidRDefault="004B2F77">
          <w:pPr>
            <w:pStyle w:val="TOC2"/>
            <w:rPr>
              <w:rFonts w:asciiTheme="minorHAnsi" w:eastAsiaTheme="minorEastAsia" w:hAnsiTheme="minorHAnsi" w:cstheme="minorBidi"/>
              <w:b w:val="0"/>
              <w:noProof/>
              <w:color w:val="auto"/>
              <w:sz w:val="22"/>
              <w:szCs w:val="22"/>
              <w:lang w:eastAsia="en-AU"/>
            </w:rPr>
          </w:pPr>
          <w:hyperlink w:anchor="_Toc135124823" w:history="1">
            <w:r w:rsidR="00AC74BD" w:rsidRPr="00AC2FCD">
              <w:rPr>
                <w:rStyle w:val="Hyperlink"/>
                <w:noProof/>
              </w:rPr>
              <w:t>Specific conditions of registration applying to these goods</w:t>
            </w:r>
            <w:r w:rsidR="00AC74BD">
              <w:rPr>
                <w:noProof/>
                <w:webHidden/>
              </w:rPr>
              <w:tab/>
            </w:r>
            <w:r w:rsidR="00AC74BD">
              <w:rPr>
                <w:noProof/>
                <w:webHidden/>
              </w:rPr>
              <w:fldChar w:fldCharType="begin"/>
            </w:r>
            <w:r w:rsidR="00AC74BD">
              <w:rPr>
                <w:noProof/>
                <w:webHidden/>
              </w:rPr>
              <w:instrText xml:space="preserve"> PAGEREF _Toc135124823 \h </w:instrText>
            </w:r>
            <w:r w:rsidR="00AC74BD">
              <w:rPr>
                <w:noProof/>
                <w:webHidden/>
              </w:rPr>
            </w:r>
            <w:r w:rsidR="00AC74BD">
              <w:rPr>
                <w:noProof/>
                <w:webHidden/>
              </w:rPr>
              <w:fldChar w:fldCharType="separate"/>
            </w:r>
            <w:r>
              <w:rPr>
                <w:noProof/>
                <w:webHidden/>
              </w:rPr>
              <w:t>37</w:t>
            </w:r>
            <w:r w:rsidR="00AC74BD">
              <w:rPr>
                <w:noProof/>
                <w:webHidden/>
              </w:rPr>
              <w:fldChar w:fldCharType="end"/>
            </w:r>
          </w:hyperlink>
        </w:p>
        <w:p w14:paraId="10185CE4" w14:textId="02861F7C" w:rsidR="00AC74BD" w:rsidRDefault="004B2F77">
          <w:pPr>
            <w:pStyle w:val="TOC1"/>
            <w:rPr>
              <w:rFonts w:asciiTheme="minorHAnsi" w:eastAsiaTheme="minorEastAsia" w:hAnsiTheme="minorHAnsi" w:cstheme="minorBidi"/>
              <w:b w:val="0"/>
              <w:noProof/>
              <w:color w:val="auto"/>
              <w:sz w:val="22"/>
              <w:szCs w:val="22"/>
              <w:lang w:eastAsia="en-AU"/>
            </w:rPr>
          </w:pPr>
          <w:hyperlink w:anchor="_Toc135124824" w:history="1">
            <w:r w:rsidR="00AC74BD" w:rsidRPr="00AC2FCD">
              <w:rPr>
                <w:rStyle w:val="Hyperlink"/>
                <w:noProof/>
              </w:rPr>
              <w:t>Attachment 1. Product Information</w:t>
            </w:r>
            <w:r w:rsidR="00AC74BD">
              <w:rPr>
                <w:noProof/>
                <w:webHidden/>
              </w:rPr>
              <w:tab/>
            </w:r>
            <w:r w:rsidR="00AC74BD">
              <w:rPr>
                <w:noProof/>
                <w:webHidden/>
              </w:rPr>
              <w:fldChar w:fldCharType="begin"/>
            </w:r>
            <w:r w:rsidR="00AC74BD">
              <w:rPr>
                <w:noProof/>
                <w:webHidden/>
              </w:rPr>
              <w:instrText xml:space="preserve"> PAGEREF _Toc135124824 \h </w:instrText>
            </w:r>
            <w:r w:rsidR="00AC74BD">
              <w:rPr>
                <w:noProof/>
                <w:webHidden/>
              </w:rPr>
            </w:r>
            <w:r w:rsidR="00AC74BD">
              <w:rPr>
                <w:noProof/>
                <w:webHidden/>
              </w:rPr>
              <w:fldChar w:fldCharType="separate"/>
            </w:r>
            <w:r>
              <w:rPr>
                <w:noProof/>
                <w:webHidden/>
              </w:rPr>
              <w:t>38</w:t>
            </w:r>
            <w:r w:rsidR="00AC74BD">
              <w:rPr>
                <w:noProof/>
                <w:webHidden/>
              </w:rPr>
              <w:fldChar w:fldCharType="end"/>
            </w:r>
          </w:hyperlink>
        </w:p>
        <w:p w14:paraId="77659F2D" w14:textId="11B06090" w:rsidR="00F02AEC" w:rsidRPr="006A37CA" w:rsidRDefault="00F02AEC" w:rsidP="007452E8">
          <w:r w:rsidRPr="006A37CA">
            <w:fldChar w:fldCharType="end"/>
          </w:r>
        </w:p>
      </w:sdtContent>
    </w:sdt>
    <w:p w14:paraId="10987AE2" w14:textId="77777777" w:rsidR="00F02AEC" w:rsidRPr="006A37CA" w:rsidRDefault="00F02AEC" w:rsidP="007452E8">
      <w:r w:rsidRPr="006A37CA">
        <w:br w:type="page"/>
      </w:r>
    </w:p>
    <w:p w14:paraId="1E73AB93" w14:textId="77777777" w:rsidR="00324B33" w:rsidRPr="006A37CA" w:rsidRDefault="00324B33" w:rsidP="00324B33">
      <w:pPr>
        <w:pStyle w:val="Heading2"/>
      </w:pPr>
      <w:bookmarkStart w:id="0" w:name="_Toc98931917"/>
      <w:bookmarkStart w:id="1" w:name="_Toc103679287"/>
      <w:bookmarkStart w:id="2" w:name="_Toc135124801"/>
      <w:bookmarkStart w:id="3" w:name="_Toc323739589"/>
      <w:bookmarkStart w:id="4" w:name="_Toc356305216"/>
      <w:r w:rsidRPr="006A37CA">
        <w:lastRenderedPageBreak/>
        <w:t>List of abbreviations</w:t>
      </w:r>
      <w:bookmarkEnd w:id="0"/>
      <w:bookmarkEnd w:id="1"/>
      <w:bookmarkEnd w:id="2"/>
    </w:p>
    <w:tbl>
      <w:tblPr>
        <w:tblStyle w:val="TableTGAblue2023"/>
        <w:tblW w:w="8926" w:type="dxa"/>
        <w:tblLook w:val="04A0" w:firstRow="1" w:lastRow="0" w:firstColumn="1" w:lastColumn="0" w:noHBand="0" w:noVBand="1"/>
      </w:tblPr>
      <w:tblGrid>
        <w:gridCol w:w="2263"/>
        <w:gridCol w:w="6663"/>
      </w:tblGrid>
      <w:tr w:rsidR="00324B33" w:rsidRPr="006A37CA" w14:paraId="2117AEF6" w14:textId="77777777" w:rsidTr="009253B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207B6A7" w14:textId="67F7D360" w:rsidR="00324B33" w:rsidRPr="006A37CA" w:rsidRDefault="00324B33" w:rsidP="00B358CE">
            <w:r w:rsidRPr="006A37CA">
              <w:t>Abbreviation</w:t>
            </w:r>
          </w:p>
        </w:tc>
        <w:tc>
          <w:tcPr>
            <w:tcW w:w="6663" w:type="dxa"/>
          </w:tcPr>
          <w:p w14:paraId="4CF6D0CD" w14:textId="2974FA0B" w:rsidR="00324B33" w:rsidRPr="006A37CA" w:rsidRDefault="00324B33" w:rsidP="00B358CE">
            <w:pPr>
              <w:cnfStyle w:val="100000000000" w:firstRow="1" w:lastRow="0" w:firstColumn="0" w:lastColumn="0" w:oddVBand="0" w:evenVBand="0" w:oddHBand="0" w:evenHBand="0" w:firstRowFirstColumn="0" w:firstRowLastColumn="0" w:lastRowFirstColumn="0" w:lastRowLastColumn="0"/>
            </w:pPr>
            <w:r w:rsidRPr="006A37CA">
              <w:t>Meaning</w:t>
            </w:r>
          </w:p>
        </w:tc>
      </w:tr>
      <w:tr w:rsidR="006A37CA" w:rsidRPr="006A37CA" w14:paraId="2C8657A9"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6CFA8D" w14:textId="7C23357C" w:rsidR="006A37CA" w:rsidRPr="006A37CA" w:rsidRDefault="006A37CA" w:rsidP="006A37CA">
            <w:r w:rsidRPr="006A37CA">
              <w:t>7vPnC</w:t>
            </w:r>
          </w:p>
        </w:tc>
        <w:tc>
          <w:tcPr>
            <w:tcW w:w="6663" w:type="dxa"/>
          </w:tcPr>
          <w:p w14:paraId="53D4D108" w14:textId="74F9B2DB"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7-valent pneumococcal conjugate vaccine</w:t>
            </w:r>
            <w:r>
              <w:t xml:space="preserve"> (</w:t>
            </w:r>
            <w:r w:rsidRPr="006A37CA">
              <w:t>Prevenar</w:t>
            </w:r>
            <w:r>
              <w:t>)</w:t>
            </w:r>
          </w:p>
        </w:tc>
      </w:tr>
      <w:tr w:rsidR="006A37CA" w:rsidRPr="006A37CA" w14:paraId="339BC8D0"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852E3C" w14:textId="686BC388" w:rsidR="006A37CA" w:rsidRPr="006A37CA" w:rsidRDefault="006A37CA" w:rsidP="006A37CA">
            <w:r w:rsidRPr="006A37CA">
              <w:t>13vPnC</w:t>
            </w:r>
          </w:p>
        </w:tc>
        <w:tc>
          <w:tcPr>
            <w:tcW w:w="6663" w:type="dxa"/>
          </w:tcPr>
          <w:p w14:paraId="2A4BA8E9" w14:textId="166A636C"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13-valent pneumococcal conjugate vaccine</w:t>
            </w:r>
            <w:r>
              <w:t xml:space="preserve"> (</w:t>
            </w:r>
            <w:r w:rsidRPr="006A37CA">
              <w:t>Prevenar</w:t>
            </w:r>
            <w:r>
              <w:t xml:space="preserve"> 13)</w:t>
            </w:r>
          </w:p>
        </w:tc>
      </w:tr>
      <w:tr w:rsidR="006A37CA" w:rsidRPr="006A37CA" w14:paraId="44184BFB"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7B6D782" w14:textId="414EF5D8" w:rsidR="006A37CA" w:rsidRPr="006A37CA" w:rsidRDefault="006A37CA" w:rsidP="006A37CA">
            <w:r w:rsidRPr="006A37CA">
              <w:t>1</w:t>
            </w:r>
            <w:r>
              <w:t>5</w:t>
            </w:r>
            <w:r w:rsidRPr="006A37CA">
              <w:t>vPnC</w:t>
            </w:r>
          </w:p>
        </w:tc>
        <w:tc>
          <w:tcPr>
            <w:tcW w:w="6663" w:type="dxa"/>
          </w:tcPr>
          <w:p w14:paraId="5C765E9B" w14:textId="1208CC99"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1</w:t>
            </w:r>
            <w:r>
              <w:t>5</w:t>
            </w:r>
            <w:r w:rsidRPr="006A37CA">
              <w:t>-valent pneumococcal conjugate vaccine</w:t>
            </w:r>
            <w:r>
              <w:t xml:space="preserve"> (</w:t>
            </w:r>
            <w:r w:rsidRPr="006A37CA">
              <w:t>Vaxneuvance</w:t>
            </w:r>
            <w:r>
              <w:t>)</w:t>
            </w:r>
          </w:p>
        </w:tc>
      </w:tr>
      <w:tr w:rsidR="006A37CA" w:rsidRPr="006A37CA" w14:paraId="65D21E58"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B788563" w14:textId="1F849D48" w:rsidR="006A37CA" w:rsidRPr="006A37CA" w:rsidRDefault="006A37CA" w:rsidP="006A37CA">
            <w:r w:rsidRPr="006A37CA">
              <w:t>20vPnC</w:t>
            </w:r>
          </w:p>
        </w:tc>
        <w:tc>
          <w:tcPr>
            <w:tcW w:w="6663" w:type="dxa"/>
          </w:tcPr>
          <w:p w14:paraId="49A1F8C9" w14:textId="36B7B0CA"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20-valent pneumococcal conjugate vaccine</w:t>
            </w:r>
            <w:r>
              <w:t xml:space="preserve"> (</w:t>
            </w:r>
            <w:r w:rsidRPr="006A37CA">
              <w:t>Prevenar</w:t>
            </w:r>
            <w:r>
              <w:t xml:space="preserve"> 20)</w:t>
            </w:r>
          </w:p>
        </w:tc>
      </w:tr>
      <w:tr w:rsidR="006A37CA" w:rsidRPr="006A37CA" w14:paraId="66AB7380"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A62BEA" w14:textId="2F34273E" w:rsidR="006A37CA" w:rsidRPr="006A37CA" w:rsidRDefault="006A37CA" w:rsidP="006A37CA">
            <w:r w:rsidRPr="006A37CA">
              <w:t>ACV</w:t>
            </w:r>
          </w:p>
        </w:tc>
        <w:tc>
          <w:tcPr>
            <w:tcW w:w="6663" w:type="dxa"/>
          </w:tcPr>
          <w:p w14:paraId="67EF6967" w14:textId="7ED24A0A"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Advisory Committee on Vaccines</w:t>
            </w:r>
          </w:p>
        </w:tc>
      </w:tr>
      <w:tr w:rsidR="006A37CA" w:rsidRPr="006A37CA" w14:paraId="664FDF6F"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DDBCB8E" w14:textId="646F5DA3" w:rsidR="006A37CA" w:rsidRPr="006A37CA" w:rsidRDefault="006A37CA" w:rsidP="006A37CA">
            <w:r w:rsidRPr="006A37CA">
              <w:t>ASA</w:t>
            </w:r>
          </w:p>
        </w:tc>
        <w:tc>
          <w:tcPr>
            <w:tcW w:w="6663" w:type="dxa"/>
          </w:tcPr>
          <w:p w14:paraId="041CF782" w14:textId="1F6827BC"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Australia specific annex</w:t>
            </w:r>
          </w:p>
        </w:tc>
      </w:tr>
      <w:tr w:rsidR="00270509" w:rsidRPr="006A37CA" w14:paraId="16ABA078"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C2966E2" w14:textId="7717ADA7" w:rsidR="00270509" w:rsidRPr="006A37CA" w:rsidRDefault="00270509" w:rsidP="006A37CA">
            <w:r w:rsidRPr="00270509">
              <w:t>ATAGI</w:t>
            </w:r>
          </w:p>
        </w:tc>
        <w:tc>
          <w:tcPr>
            <w:tcW w:w="6663" w:type="dxa"/>
          </w:tcPr>
          <w:p w14:paraId="5B5CEAE1" w14:textId="2CB383B0" w:rsidR="00270509" w:rsidRPr="006A37CA" w:rsidRDefault="00270509" w:rsidP="006A37CA">
            <w:pPr>
              <w:cnfStyle w:val="000000000000" w:firstRow="0" w:lastRow="0" w:firstColumn="0" w:lastColumn="0" w:oddVBand="0" w:evenVBand="0" w:oddHBand="0" w:evenHBand="0" w:firstRowFirstColumn="0" w:firstRowLastColumn="0" w:lastRowFirstColumn="0" w:lastRowLastColumn="0"/>
            </w:pPr>
            <w:r w:rsidRPr="00270509">
              <w:t>Australian Technical Advisory Group on Immunisation</w:t>
            </w:r>
          </w:p>
        </w:tc>
      </w:tr>
      <w:tr w:rsidR="006A37CA" w:rsidRPr="006A37CA" w14:paraId="3FFDAEC7"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A356993" w14:textId="79C911E3" w:rsidR="006A37CA" w:rsidRPr="006A37CA" w:rsidRDefault="006A37CA" w:rsidP="006A37CA">
            <w:r w:rsidRPr="006A37CA">
              <w:t>ARTG</w:t>
            </w:r>
          </w:p>
        </w:tc>
        <w:tc>
          <w:tcPr>
            <w:tcW w:w="6663" w:type="dxa"/>
          </w:tcPr>
          <w:p w14:paraId="4E201620" w14:textId="31C03351"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Australian Register of Therapeutic Goods</w:t>
            </w:r>
          </w:p>
        </w:tc>
      </w:tr>
      <w:tr w:rsidR="006A37CA" w:rsidRPr="006A37CA" w14:paraId="6A395AB4"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95B277" w14:textId="357D7C06" w:rsidR="006A37CA" w:rsidRPr="006A37CA" w:rsidRDefault="006A37CA" w:rsidP="006A37CA">
            <w:r w:rsidRPr="006A37CA">
              <w:t xml:space="preserve">CHMP </w:t>
            </w:r>
          </w:p>
        </w:tc>
        <w:tc>
          <w:tcPr>
            <w:tcW w:w="6663" w:type="dxa"/>
          </w:tcPr>
          <w:p w14:paraId="13EC45AB" w14:textId="2A0BC49A"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Committee for Medicinal Products for Human Use (European Medicines Agency, European Union)</w:t>
            </w:r>
          </w:p>
        </w:tc>
      </w:tr>
      <w:tr w:rsidR="006A37CA" w:rsidRPr="006A37CA" w14:paraId="601B7B1B"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EA1F300" w14:textId="20821A4B" w:rsidR="006A37CA" w:rsidRPr="006A37CA" w:rsidRDefault="006A37CA" w:rsidP="006A37CA">
            <w:r w:rsidRPr="006A37CA">
              <w:t xml:space="preserve">CI </w:t>
            </w:r>
          </w:p>
        </w:tc>
        <w:tc>
          <w:tcPr>
            <w:tcW w:w="6663" w:type="dxa"/>
          </w:tcPr>
          <w:p w14:paraId="65F416CC" w14:textId="3B146E5E" w:rsidR="006A37CA" w:rsidRPr="006A37CA" w:rsidRDefault="000A1BEA" w:rsidP="006A37CA">
            <w:pPr>
              <w:cnfStyle w:val="000000000000" w:firstRow="0" w:lastRow="0" w:firstColumn="0" w:lastColumn="0" w:oddVBand="0" w:evenVBand="0" w:oddHBand="0" w:evenHBand="0" w:firstRowFirstColumn="0" w:firstRowLastColumn="0" w:lastRowFirstColumn="0" w:lastRowLastColumn="0"/>
            </w:pPr>
            <w:r>
              <w:t>C</w:t>
            </w:r>
            <w:r w:rsidR="006A37CA" w:rsidRPr="006A37CA">
              <w:t>onfidence interval</w:t>
            </w:r>
          </w:p>
        </w:tc>
      </w:tr>
      <w:tr w:rsidR="006A37CA" w:rsidRPr="006A37CA" w14:paraId="3EB3DB02"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232386A" w14:textId="7D681B9F" w:rsidR="006A37CA" w:rsidRPr="006A37CA" w:rsidRDefault="006A37CA" w:rsidP="006A37CA">
            <w:r w:rsidRPr="006A37CA">
              <w:t>CMI</w:t>
            </w:r>
          </w:p>
        </w:tc>
        <w:tc>
          <w:tcPr>
            <w:tcW w:w="6663" w:type="dxa"/>
          </w:tcPr>
          <w:p w14:paraId="0BAB1E3E" w14:textId="1DF89840"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Consumer Medicines Information</w:t>
            </w:r>
          </w:p>
        </w:tc>
      </w:tr>
      <w:tr w:rsidR="006A37CA" w:rsidRPr="006A37CA" w14:paraId="7CDB223D"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0302B8D" w14:textId="64F5A1E5" w:rsidR="006A37CA" w:rsidRPr="006A37CA" w:rsidRDefault="006A37CA" w:rsidP="006A37CA">
            <w:r w:rsidRPr="006A37CA">
              <w:t>COVID</w:t>
            </w:r>
            <w:r w:rsidRPr="006A37CA">
              <w:noBreakHyphen/>
              <w:t>19</w:t>
            </w:r>
          </w:p>
        </w:tc>
        <w:tc>
          <w:tcPr>
            <w:tcW w:w="6663" w:type="dxa"/>
          </w:tcPr>
          <w:p w14:paraId="43039E42" w14:textId="3E50B571"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Coronavirus disease 2019</w:t>
            </w:r>
          </w:p>
        </w:tc>
      </w:tr>
      <w:tr w:rsidR="006A37CA" w:rsidRPr="006A37CA" w14:paraId="67D881D5"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DCA4E16" w14:textId="394D956E" w:rsidR="006A37CA" w:rsidRPr="006A37CA" w:rsidRDefault="006A37CA" w:rsidP="006A37CA">
            <w:r w:rsidRPr="006A37CA">
              <w:t>DLP</w:t>
            </w:r>
          </w:p>
        </w:tc>
        <w:tc>
          <w:tcPr>
            <w:tcW w:w="6663" w:type="dxa"/>
          </w:tcPr>
          <w:p w14:paraId="152281C1" w14:textId="706A6D95"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Data lock point</w:t>
            </w:r>
          </w:p>
        </w:tc>
      </w:tr>
      <w:tr w:rsidR="006A37CA" w:rsidRPr="006A37CA" w14:paraId="40FB3C8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66AC4F" w14:textId="19DACDA3" w:rsidR="006A37CA" w:rsidRPr="006A37CA" w:rsidRDefault="006A37CA" w:rsidP="006A37CA">
            <w:r w:rsidRPr="006A37CA">
              <w:t xml:space="preserve">EMA </w:t>
            </w:r>
          </w:p>
        </w:tc>
        <w:tc>
          <w:tcPr>
            <w:tcW w:w="6663" w:type="dxa"/>
          </w:tcPr>
          <w:p w14:paraId="36ED1995" w14:textId="7A0FB69C" w:rsidR="006A37CA" w:rsidRPr="006A37CA" w:rsidRDefault="006A37CA" w:rsidP="000A1BEA">
            <w:pPr>
              <w:cnfStyle w:val="000000000000" w:firstRow="0" w:lastRow="0" w:firstColumn="0" w:lastColumn="0" w:oddVBand="0" w:evenVBand="0" w:oddHBand="0" w:evenHBand="0" w:firstRowFirstColumn="0" w:firstRowLastColumn="0" w:lastRowFirstColumn="0" w:lastRowLastColumn="0"/>
            </w:pPr>
            <w:r w:rsidRPr="006A37CA">
              <w:t>European Medicines Agency (European Union)</w:t>
            </w:r>
          </w:p>
        </w:tc>
      </w:tr>
      <w:tr w:rsidR="006A37CA" w:rsidRPr="006A37CA" w14:paraId="6F35338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15D6CB" w14:textId="26610C89" w:rsidR="006A37CA" w:rsidRPr="006A37CA" w:rsidRDefault="006A37CA" w:rsidP="006A37CA">
            <w:r w:rsidRPr="006A37CA">
              <w:t xml:space="preserve">EU </w:t>
            </w:r>
          </w:p>
        </w:tc>
        <w:tc>
          <w:tcPr>
            <w:tcW w:w="6663" w:type="dxa"/>
          </w:tcPr>
          <w:p w14:paraId="5BDE0365" w14:textId="742AB690"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European Union</w:t>
            </w:r>
          </w:p>
        </w:tc>
      </w:tr>
      <w:tr w:rsidR="006A37CA" w:rsidRPr="006A37CA" w14:paraId="5023DA8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24D33D" w14:textId="25AAA781" w:rsidR="006A37CA" w:rsidRPr="006A37CA" w:rsidRDefault="006A37CA" w:rsidP="006A37CA">
            <w:r w:rsidRPr="006A37CA">
              <w:t>FDA</w:t>
            </w:r>
          </w:p>
        </w:tc>
        <w:tc>
          <w:tcPr>
            <w:tcW w:w="6663" w:type="dxa"/>
          </w:tcPr>
          <w:p w14:paraId="7FC8A9B7" w14:textId="54D7EC49"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Food and Drug Administration (Unite</w:t>
            </w:r>
            <w:r w:rsidR="000A1BEA">
              <w:t>d</w:t>
            </w:r>
            <w:r w:rsidRPr="006A37CA">
              <w:t xml:space="preserve"> States of America)</w:t>
            </w:r>
          </w:p>
        </w:tc>
      </w:tr>
      <w:tr w:rsidR="006A37CA" w:rsidRPr="006A37CA" w14:paraId="6D66B6B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6374659" w14:textId="60B35C96" w:rsidR="006A37CA" w:rsidRPr="006A37CA" w:rsidRDefault="006A37CA" w:rsidP="006A37CA">
            <w:r w:rsidRPr="006A37CA">
              <w:t xml:space="preserve">GMFR </w:t>
            </w:r>
          </w:p>
        </w:tc>
        <w:tc>
          <w:tcPr>
            <w:tcW w:w="6663" w:type="dxa"/>
          </w:tcPr>
          <w:p w14:paraId="0192878C" w14:textId="4933A6B1"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Geometric </w:t>
            </w:r>
            <w:r w:rsidR="006A37CA" w:rsidRPr="006A37CA">
              <w:t>mean fold rise</w:t>
            </w:r>
          </w:p>
        </w:tc>
      </w:tr>
      <w:tr w:rsidR="006A37CA" w:rsidRPr="006A37CA" w14:paraId="0A54C9BB"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D3E1B52" w14:textId="32A77D39" w:rsidR="006A37CA" w:rsidRPr="006A37CA" w:rsidRDefault="006A37CA" w:rsidP="006A37CA">
            <w:r w:rsidRPr="006A37CA">
              <w:t xml:space="preserve">GMR </w:t>
            </w:r>
          </w:p>
        </w:tc>
        <w:tc>
          <w:tcPr>
            <w:tcW w:w="6663" w:type="dxa"/>
          </w:tcPr>
          <w:p w14:paraId="52AB226E" w14:textId="48BAEA38"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Geometric </w:t>
            </w:r>
            <w:r w:rsidR="006A37CA" w:rsidRPr="006A37CA">
              <w:t>mean ratio</w:t>
            </w:r>
          </w:p>
        </w:tc>
      </w:tr>
      <w:tr w:rsidR="006A37CA" w:rsidRPr="006A37CA" w14:paraId="0A736AFD"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1B0194E" w14:textId="4C33606E" w:rsidR="006A37CA" w:rsidRPr="006A37CA" w:rsidRDefault="006A37CA" w:rsidP="006A37CA">
            <w:r w:rsidRPr="006A37CA">
              <w:t xml:space="preserve">GMT </w:t>
            </w:r>
          </w:p>
        </w:tc>
        <w:tc>
          <w:tcPr>
            <w:tcW w:w="6663" w:type="dxa"/>
          </w:tcPr>
          <w:p w14:paraId="0BC7C8EA" w14:textId="4A466871"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Geometric </w:t>
            </w:r>
            <w:r w:rsidR="006A37CA" w:rsidRPr="006A37CA">
              <w:t>mean titre</w:t>
            </w:r>
          </w:p>
        </w:tc>
      </w:tr>
      <w:tr w:rsidR="006A37CA" w:rsidRPr="006A37CA" w14:paraId="37AD8444"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B8B8744" w14:textId="33907529" w:rsidR="006A37CA" w:rsidRPr="006A37CA" w:rsidRDefault="006A37CA" w:rsidP="006A37CA">
            <w:r w:rsidRPr="006A37CA">
              <w:t>GVP</w:t>
            </w:r>
          </w:p>
        </w:tc>
        <w:tc>
          <w:tcPr>
            <w:tcW w:w="6663" w:type="dxa"/>
          </w:tcPr>
          <w:p w14:paraId="52D104AF" w14:textId="47EB753E"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Good Pharmacovigilance Practices</w:t>
            </w:r>
          </w:p>
        </w:tc>
      </w:tr>
      <w:tr w:rsidR="006A37CA" w:rsidRPr="006A37CA" w14:paraId="2FE16A4D"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E2D452C" w14:textId="2EFDB313" w:rsidR="006A37CA" w:rsidRPr="006A37CA" w:rsidRDefault="006A37CA" w:rsidP="006A37CA">
            <w:r w:rsidRPr="006A37CA">
              <w:t>LLOQ</w:t>
            </w:r>
          </w:p>
        </w:tc>
        <w:tc>
          <w:tcPr>
            <w:tcW w:w="6663" w:type="dxa"/>
          </w:tcPr>
          <w:p w14:paraId="09C3996C" w14:textId="4575645A"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Lower </w:t>
            </w:r>
            <w:r w:rsidR="006A37CA" w:rsidRPr="006A37CA">
              <w:t>limit of quantitation</w:t>
            </w:r>
          </w:p>
        </w:tc>
      </w:tr>
      <w:tr w:rsidR="006A37CA" w:rsidRPr="006A37CA" w14:paraId="6DABEED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5C17C07" w14:textId="03C9BDE4" w:rsidR="006A37CA" w:rsidRPr="006A37CA" w:rsidRDefault="006A37CA" w:rsidP="006A37CA">
            <w:r w:rsidRPr="006A37CA">
              <w:t>mRNA</w:t>
            </w:r>
          </w:p>
        </w:tc>
        <w:tc>
          <w:tcPr>
            <w:tcW w:w="6663" w:type="dxa"/>
          </w:tcPr>
          <w:p w14:paraId="3ABFDDC7" w14:textId="2DBAECD4"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Messenger </w:t>
            </w:r>
            <w:r w:rsidR="006A37CA" w:rsidRPr="006A37CA">
              <w:t>ribonucleic acid</w:t>
            </w:r>
          </w:p>
        </w:tc>
      </w:tr>
      <w:tr w:rsidR="006A37CA" w:rsidRPr="006A37CA" w14:paraId="62FC46B4"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FFFF3A3" w14:textId="5A0AAF26" w:rsidR="006A37CA" w:rsidRPr="006A37CA" w:rsidRDefault="006A37CA" w:rsidP="006A37CA">
            <w:r w:rsidRPr="006A37CA">
              <w:t xml:space="preserve">OPA </w:t>
            </w:r>
          </w:p>
        </w:tc>
        <w:tc>
          <w:tcPr>
            <w:tcW w:w="6663" w:type="dxa"/>
          </w:tcPr>
          <w:p w14:paraId="39328A9C" w14:textId="14F8FF31"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 xml:space="preserve">Opsonophagocytic </w:t>
            </w:r>
            <w:r w:rsidR="006A37CA" w:rsidRPr="006A37CA">
              <w:t>activity</w:t>
            </w:r>
          </w:p>
        </w:tc>
      </w:tr>
      <w:tr w:rsidR="006A37CA" w:rsidRPr="006A37CA" w14:paraId="102710B7"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A84AA0" w14:textId="5A1FDA55" w:rsidR="006A37CA" w:rsidRPr="006A37CA" w:rsidRDefault="006A37CA" w:rsidP="006A37CA">
            <w:r w:rsidRPr="006A37CA">
              <w:t>PI</w:t>
            </w:r>
          </w:p>
        </w:tc>
        <w:tc>
          <w:tcPr>
            <w:tcW w:w="6663" w:type="dxa"/>
          </w:tcPr>
          <w:p w14:paraId="1B43B943" w14:textId="1307E1BF"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Product Information</w:t>
            </w:r>
          </w:p>
        </w:tc>
      </w:tr>
      <w:tr w:rsidR="006A37CA" w:rsidRPr="006A37CA" w14:paraId="3762CEC7"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02C38CE" w14:textId="3ECB540C" w:rsidR="006A37CA" w:rsidRPr="006A37CA" w:rsidRDefault="006A37CA" w:rsidP="006A37CA">
            <w:r w:rsidRPr="006A37CA">
              <w:t>PPSV23</w:t>
            </w:r>
          </w:p>
        </w:tc>
        <w:tc>
          <w:tcPr>
            <w:tcW w:w="6663" w:type="dxa"/>
          </w:tcPr>
          <w:p w14:paraId="2B8C1087" w14:textId="4D7477F1"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23-valent pneumococcal polysaccharide vaccine</w:t>
            </w:r>
            <w:r>
              <w:t xml:space="preserve"> (</w:t>
            </w:r>
            <w:r w:rsidRPr="006A37CA">
              <w:t>Pneumovax 23</w:t>
            </w:r>
            <w:r>
              <w:t>)</w:t>
            </w:r>
          </w:p>
        </w:tc>
      </w:tr>
      <w:tr w:rsidR="006A37CA" w:rsidRPr="006A37CA" w14:paraId="10EABDD6"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C798B4" w14:textId="275C8AEB" w:rsidR="006A37CA" w:rsidRPr="006A37CA" w:rsidRDefault="006A37CA" w:rsidP="006A37CA">
            <w:r w:rsidRPr="006A37CA">
              <w:t>PSUR</w:t>
            </w:r>
          </w:p>
        </w:tc>
        <w:tc>
          <w:tcPr>
            <w:tcW w:w="6663" w:type="dxa"/>
          </w:tcPr>
          <w:p w14:paraId="0939FEA5" w14:textId="244A322A"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Periodic safety update report</w:t>
            </w:r>
          </w:p>
        </w:tc>
      </w:tr>
      <w:tr w:rsidR="006A37CA" w:rsidRPr="006A37CA" w14:paraId="4491CE7F"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A6F70F" w14:textId="4D733219" w:rsidR="006A37CA" w:rsidRPr="006A37CA" w:rsidRDefault="006A37CA" w:rsidP="006A37CA">
            <w:r w:rsidRPr="006A37CA">
              <w:t>PYO</w:t>
            </w:r>
          </w:p>
        </w:tc>
        <w:tc>
          <w:tcPr>
            <w:tcW w:w="6663" w:type="dxa"/>
          </w:tcPr>
          <w:p w14:paraId="5360D32A" w14:textId="7945DA22"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Person</w:t>
            </w:r>
            <w:r w:rsidR="006A37CA" w:rsidRPr="006A37CA">
              <w:t>-years of observation</w:t>
            </w:r>
          </w:p>
        </w:tc>
      </w:tr>
      <w:tr w:rsidR="006A37CA" w:rsidRPr="006A37CA" w14:paraId="67574E5F"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8FEA129" w14:textId="12F808D2" w:rsidR="006A37CA" w:rsidRPr="006A37CA" w:rsidRDefault="006A37CA" w:rsidP="006A37CA">
            <w:r w:rsidRPr="006A37CA">
              <w:t>RMP</w:t>
            </w:r>
          </w:p>
        </w:tc>
        <w:tc>
          <w:tcPr>
            <w:tcW w:w="6663" w:type="dxa"/>
          </w:tcPr>
          <w:p w14:paraId="2B794BA2" w14:textId="5077109E"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Risk management plan</w:t>
            </w:r>
          </w:p>
        </w:tc>
      </w:tr>
      <w:tr w:rsidR="006A37CA" w:rsidRPr="006A37CA" w14:paraId="72CB1DA3"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0AE52F0" w14:textId="02C55D50" w:rsidR="006A37CA" w:rsidRPr="006A37CA" w:rsidRDefault="006A37CA" w:rsidP="006A37CA">
            <w:r w:rsidRPr="006A37CA">
              <w:t xml:space="preserve">SmPC </w:t>
            </w:r>
          </w:p>
        </w:tc>
        <w:tc>
          <w:tcPr>
            <w:tcW w:w="6663" w:type="dxa"/>
          </w:tcPr>
          <w:p w14:paraId="4AB09183" w14:textId="6899665B"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Summary of Product Characteristics</w:t>
            </w:r>
          </w:p>
        </w:tc>
      </w:tr>
      <w:tr w:rsidR="006A37CA" w:rsidRPr="006A37CA" w14:paraId="063D5C9F"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93E92C2" w14:textId="5FF895EA" w:rsidR="006A37CA" w:rsidRPr="006A37CA" w:rsidRDefault="006A37CA" w:rsidP="006A37CA">
            <w:r w:rsidRPr="006A37CA">
              <w:t>Tdap</w:t>
            </w:r>
          </w:p>
        </w:tc>
        <w:tc>
          <w:tcPr>
            <w:tcW w:w="6663" w:type="dxa"/>
          </w:tcPr>
          <w:p w14:paraId="7091036D" w14:textId="0DB9163C" w:rsidR="006A37CA" w:rsidRPr="006A37CA" w:rsidRDefault="009253BF" w:rsidP="006A37CA">
            <w:pPr>
              <w:cnfStyle w:val="000000000000" w:firstRow="0" w:lastRow="0" w:firstColumn="0" w:lastColumn="0" w:oddVBand="0" w:evenVBand="0" w:oddHBand="0" w:evenHBand="0" w:firstRowFirstColumn="0" w:firstRowLastColumn="0" w:lastRowFirstColumn="0" w:lastRowLastColumn="0"/>
            </w:pPr>
            <w:r w:rsidRPr="006A37CA">
              <w:t>Diphtheria</w:t>
            </w:r>
            <w:r w:rsidR="006A37CA" w:rsidRPr="006A37CA">
              <w:t>-tetanus-acellular pertussis combination vaccine</w:t>
            </w:r>
          </w:p>
        </w:tc>
      </w:tr>
      <w:tr w:rsidR="006A37CA" w:rsidRPr="006A37CA" w14:paraId="4029E4BA"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5B7227" w14:textId="2400AFB0" w:rsidR="006A37CA" w:rsidRPr="006A37CA" w:rsidRDefault="006A37CA" w:rsidP="006A37CA">
            <w:r w:rsidRPr="006A37CA">
              <w:t>TGA</w:t>
            </w:r>
          </w:p>
        </w:tc>
        <w:tc>
          <w:tcPr>
            <w:tcW w:w="6663" w:type="dxa"/>
          </w:tcPr>
          <w:p w14:paraId="0836FA38" w14:textId="4960AC55"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Therapeutic Goods Administration</w:t>
            </w:r>
          </w:p>
        </w:tc>
      </w:tr>
      <w:tr w:rsidR="006A37CA" w:rsidRPr="006A37CA" w14:paraId="2763FA9B" w14:textId="77777777" w:rsidTr="009253B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F71DEC9" w14:textId="1CC017F7" w:rsidR="006A37CA" w:rsidRPr="006A37CA" w:rsidRDefault="006A37CA" w:rsidP="006A37CA">
            <w:r w:rsidRPr="006A37CA">
              <w:lastRenderedPageBreak/>
              <w:t>US(A)</w:t>
            </w:r>
          </w:p>
        </w:tc>
        <w:tc>
          <w:tcPr>
            <w:tcW w:w="6663" w:type="dxa"/>
          </w:tcPr>
          <w:p w14:paraId="1E7C7367" w14:textId="10642577" w:rsidR="006A37CA" w:rsidRPr="006A37CA" w:rsidRDefault="006A37CA" w:rsidP="006A37CA">
            <w:pPr>
              <w:cnfStyle w:val="000000000000" w:firstRow="0" w:lastRow="0" w:firstColumn="0" w:lastColumn="0" w:oddVBand="0" w:evenVBand="0" w:oddHBand="0" w:evenHBand="0" w:firstRowFirstColumn="0" w:firstRowLastColumn="0" w:lastRowFirstColumn="0" w:lastRowLastColumn="0"/>
            </w:pPr>
            <w:r w:rsidRPr="006A37CA">
              <w:t>United States (of America)</w:t>
            </w:r>
          </w:p>
        </w:tc>
      </w:tr>
    </w:tbl>
    <w:p w14:paraId="02FB1F38" w14:textId="7D152B8B" w:rsidR="00324B33" w:rsidRPr="006A37CA" w:rsidRDefault="00324B33" w:rsidP="00324B33">
      <w:pPr>
        <w:spacing w:after="200" w:line="0" w:lineRule="auto"/>
        <w:rPr>
          <w:b/>
          <w:i/>
          <w:sz w:val="24"/>
          <w:szCs w:val="24"/>
        </w:rPr>
      </w:pPr>
      <w:r w:rsidRPr="006A37CA">
        <w:rPr>
          <w:b/>
          <w:i/>
          <w:sz w:val="24"/>
          <w:szCs w:val="24"/>
        </w:rPr>
        <w:br w:type="page"/>
      </w:r>
    </w:p>
    <w:p w14:paraId="44C2A39C" w14:textId="77777777" w:rsidR="00324B33" w:rsidRPr="006A37CA" w:rsidRDefault="00324B33" w:rsidP="00324B33">
      <w:pPr>
        <w:pStyle w:val="Heading2"/>
      </w:pPr>
      <w:bookmarkStart w:id="5" w:name="_Toc103679288"/>
      <w:bookmarkStart w:id="6" w:name="_Toc135124802"/>
      <w:r w:rsidRPr="006A37CA">
        <w:lastRenderedPageBreak/>
        <w:t>Product submission</w:t>
      </w:r>
      <w:bookmarkEnd w:id="5"/>
      <w:bookmarkEnd w:id="6"/>
    </w:p>
    <w:p w14:paraId="21D559DF" w14:textId="77777777" w:rsidR="00324B33" w:rsidRPr="006A37CA" w:rsidRDefault="00324B33" w:rsidP="00324B33">
      <w:pPr>
        <w:pStyle w:val="Heading3"/>
        <w:rPr>
          <w:lang w:eastAsia="en-AU"/>
        </w:rPr>
      </w:pPr>
      <w:bookmarkStart w:id="7" w:name="_Toc247691502"/>
      <w:bookmarkStart w:id="8" w:name="_Toc314842483"/>
      <w:bookmarkStart w:id="9" w:name="_Toc103679289"/>
      <w:bookmarkStart w:id="10" w:name="_Toc135124803"/>
      <w:r w:rsidRPr="006A37CA">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6A37CA" w14:paraId="77D11C95" w14:textId="77777777" w:rsidTr="00F865A7">
        <w:tc>
          <w:tcPr>
            <w:tcW w:w="1577" w:type="pct"/>
          </w:tcPr>
          <w:p w14:paraId="10E57D62" w14:textId="77777777" w:rsidR="00324B33" w:rsidRPr="006A37CA" w:rsidRDefault="00324B33" w:rsidP="007452E8">
            <w:pPr>
              <w:rPr>
                <w:i/>
              </w:rPr>
            </w:pPr>
            <w:r w:rsidRPr="006A37CA">
              <w:rPr>
                <w:i/>
              </w:rPr>
              <w:t>Type of submission:</w:t>
            </w:r>
          </w:p>
        </w:tc>
        <w:tc>
          <w:tcPr>
            <w:tcW w:w="3423" w:type="pct"/>
          </w:tcPr>
          <w:p w14:paraId="4F07C303" w14:textId="6052B19B" w:rsidR="00324B33" w:rsidRPr="006A37CA" w:rsidRDefault="00324B33" w:rsidP="00983060">
            <w:r w:rsidRPr="006A37CA">
              <w:t xml:space="preserve">New </w:t>
            </w:r>
            <w:r w:rsidR="0047699B" w:rsidRPr="006A37CA">
              <w:t>biological</w:t>
            </w:r>
            <w:r w:rsidRPr="006A37CA">
              <w:t xml:space="preserve"> entity</w:t>
            </w:r>
          </w:p>
        </w:tc>
      </w:tr>
      <w:tr w:rsidR="00324B33" w:rsidRPr="006A37CA" w14:paraId="13482B61" w14:textId="77777777" w:rsidTr="00F865A7">
        <w:tc>
          <w:tcPr>
            <w:tcW w:w="1577" w:type="pct"/>
          </w:tcPr>
          <w:p w14:paraId="2C427FCF" w14:textId="7853E2C5" w:rsidR="00324B33" w:rsidRPr="006A37CA" w:rsidRDefault="00324B33" w:rsidP="007452E8">
            <w:pPr>
              <w:rPr>
                <w:i/>
              </w:rPr>
            </w:pPr>
            <w:r w:rsidRPr="006A37CA">
              <w:rPr>
                <w:i/>
              </w:rPr>
              <w:t>Product name:</w:t>
            </w:r>
          </w:p>
        </w:tc>
        <w:tc>
          <w:tcPr>
            <w:tcW w:w="3423" w:type="pct"/>
          </w:tcPr>
          <w:p w14:paraId="0E2DEF76" w14:textId="4304BBB3" w:rsidR="00324B33" w:rsidRPr="006A37CA" w:rsidRDefault="00EE36B1" w:rsidP="00983060">
            <w:r w:rsidRPr="006A37CA">
              <w:t>Prevenar 20</w:t>
            </w:r>
          </w:p>
        </w:tc>
      </w:tr>
      <w:tr w:rsidR="00324B33" w:rsidRPr="006A37CA" w14:paraId="01255B5B" w14:textId="77777777" w:rsidTr="00F865A7">
        <w:tc>
          <w:tcPr>
            <w:tcW w:w="1577" w:type="pct"/>
          </w:tcPr>
          <w:p w14:paraId="52B4F3D7" w14:textId="1D76179B" w:rsidR="00324B33" w:rsidRPr="006A37CA" w:rsidRDefault="00324B33" w:rsidP="007452E8">
            <w:pPr>
              <w:rPr>
                <w:i/>
              </w:rPr>
            </w:pPr>
            <w:r w:rsidRPr="006A37CA">
              <w:rPr>
                <w:i/>
              </w:rPr>
              <w:t>Active ingredient:</w:t>
            </w:r>
          </w:p>
        </w:tc>
        <w:tc>
          <w:tcPr>
            <w:tcW w:w="3423" w:type="pct"/>
          </w:tcPr>
          <w:p w14:paraId="02FB6383" w14:textId="56629F75" w:rsidR="00324B33" w:rsidRPr="006A37CA" w:rsidRDefault="00EE36B1" w:rsidP="00983060">
            <w:r w:rsidRPr="006A37CA">
              <w:t>Pneumococcal polysaccharide conjugate vaccine</w:t>
            </w:r>
          </w:p>
        </w:tc>
      </w:tr>
      <w:tr w:rsidR="00324B33" w:rsidRPr="006A37CA" w14:paraId="219A281B" w14:textId="77777777" w:rsidTr="00F865A7">
        <w:tc>
          <w:tcPr>
            <w:tcW w:w="1577" w:type="pct"/>
          </w:tcPr>
          <w:p w14:paraId="112E5F78" w14:textId="77777777" w:rsidR="00324B33" w:rsidRPr="006A37CA" w:rsidRDefault="00324B33" w:rsidP="007452E8">
            <w:pPr>
              <w:rPr>
                <w:i/>
              </w:rPr>
            </w:pPr>
            <w:r w:rsidRPr="006A37CA">
              <w:rPr>
                <w:i/>
              </w:rPr>
              <w:t>Decision:</w:t>
            </w:r>
          </w:p>
        </w:tc>
        <w:tc>
          <w:tcPr>
            <w:tcW w:w="3423" w:type="pct"/>
          </w:tcPr>
          <w:p w14:paraId="3B114BEA" w14:textId="06DE8201" w:rsidR="00324B33" w:rsidRPr="006A37CA" w:rsidRDefault="00324B33" w:rsidP="00983060">
            <w:r w:rsidRPr="006A37CA">
              <w:t>Approved</w:t>
            </w:r>
          </w:p>
        </w:tc>
      </w:tr>
      <w:tr w:rsidR="00AE1947" w:rsidRPr="006A37CA" w14:paraId="32B72632" w14:textId="77777777" w:rsidTr="00F865A7">
        <w:tc>
          <w:tcPr>
            <w:tcW w:w="1577" w:type="pct"/>
          </w:tcPr>
          <w:p w14:paraId="332A5CD5" w14:textId="376BB8AD" w:rsidR="00AE1947" w:rsidRPr="006A37CA" w:rsidRDefault="00AE1947" w:rsidP="00EE36B1">
            <w:pPr>
              <w:rPr>
                <w:i/>
              </w:rPr>
            </w:pPr>
            <w:r w:rsidRPr="006A37CA">
              <w:rPr>
                <w:i/>
              </w:rPr>
              <w:t>Date of decision:</w:t>
            </w:r>
          </w:p>
        </w:tc>
        <w:tc>
          <w:tcPr>
            <w:tcW w:w="3423" w:type="pct"/>
          </w:tcPr>
          <w:p w14:paraId="7B381CD6" w14:textId="404F7077" w:rsidR="00AE1947" w:rsidRPr="006A37CA" w:rsidRDefault="0047699B" w:rsidP="00983060">
            <w:r w:rsidRPr="006A37CA">
              <w:t>30 November 2022</w:t>
            </w:r>
          </w:p>
        </w:tc>
      </w:tr>
      <w:tr w:rsidR="00324B33" w:rsidRPr="006A37CA" w14:paraId="60A25F5A" w14:textId="77777777" w:rsidTr="00F865A7">
        <w:tc>
          <w:tcPr>
            <w:tcW w:w="1577" w:type="pct"/>
          </w:tcPr>
          <w:p w14:paraId="5C5E4CBA" w14:textId="77777777" w:rsidR="00324B33" w:rsidRPr="006A37CA" w:rsidRDefault="00324B33" w:rsidP="007452E8">
            <w:pPr>
              <w:rPr>
                <w:i/>
              </w:rPr>
            </w:pPr>
            <w:r w:rsidRPr="006A37CA">
              <w:rPr>
                <w:i/>
              </w:rPr>
              <w:t>Date of entry onto ARTG:</w:t>
            </w:r>
          </w:p>
        </w:tc>
        <w:tc>
          <w:tcPr>
            <w:tcW w:w="3423" w:type="pct"/>
          </w:tcPr>
          <w:p w14:paraId="28B270E9" w14:textId="7C12F8AB" w:rsidR="00324B33" w:rsidRPr="006A37CA" w:rsidRDefault="0047699B" w:rsidP="00983060">
            <w:r w:rsidRPr="006A37CA">
              <w:t>2 December 2022</w:t>
            </w:r>
          </w:p>
        </w:tc>
      </w:tr>
      <w:tr w:rsidR="00324B33" w:rsidRPr="006A37CA" w14:paraId="547E08D7" w14:textId="77777777" w:rsidTr="00F865A7">
        <w:tc>
          <w:tcPr>
            <w:tcW w:w="1577" w:type="pct"/>
          </w:tcPr>
          <w:p w14:paraId="5030EF30" w14:textId="77AAB7DC" w:rsidR="00324B33" w:rsidRPr="006A37CA" w:rsidRDefault="00324B33" w:rsidP="007452E8">
            <w:pPr>
              <w:rPr>
                <w:i/>
              </w:rPr>
            </w:pPr>
            <w:r w:rsidRPr="006A37CA">
              <w:rPr>
                <w:i/>
              </w:rPr>
              <w:t>ARTG number:</w:t>
            </w:r>
          </w:p>
        </w:tc>
        <w:tc>
          <w:tcPr>
            <w:tcW w:w="3423" w:type="pct"/>
          </w:tcPr>
          <w:p w14:paraId="0054E912" w14:textId="4312E0C8" w:rsidR="00324B33" w:rsidRPr="006A37CA" w:rsidRDefault="0047699B" w:rsidP="00983060">
            <w:r w:rsidRPr="006A37CA">
              <w:t>376353</w:t>
            </w:r>
          </w:p>
        </w:tc>
      </w:tr>
      <w:tr w:rsidR="00324B33" w:rsidRPr="006A37CA" w14:paraId="7618393F" w14:textId="77777777" w:rsidTr="00F865A7">
        <w:tc>
          <w:tcPr>
            <w:tcW w:w="1577" w:type="pct"/>
          </w:tcPr>
          <w:p w14:paraId="6C24CEB6" w14:textId="33E9B36E" w:rsidR="00E47E0C" w:rsidRPr="006A37CA" w:rsidRDefault="00324B33" w:rsidP="007452E8">
            <w:pPr>
              <w:rPr>
                <w:rStyle w:val="Hyperlink"/>
                <w:i/>
              </w:rPr>
            </w:pPr>
            <w:r w:rsidRPr="006A37CA">
              <w:rPr>
                <w:rFonts w:ascii="Wingdings 3" w:hAnsi="Wingdings 3"/>
                <w:sz w:val="34"/>
                <w:szCs w:val="34"/>
                <w:lang w:eastAsia="en-AU"/>
              </w:rPr>
              <w:t></w:t>
            </w:r>
            <w:hyperlink r:id="rId15" w:history="1">
              <w:r w:rsidRPr="006A37CA">
                <w:rPr>
                  <w:rStyle w:val="Hyperlink"/>
                </w:rPr>
                <w:t>Black Triangle Scheme</w:t>
              </w:r>
            </w:hyperlink>
          </w:p>
          <w:p w14:paraId="02260DE2" w14:textId="1FC334AE" w:rsidR="00324B33" w:rsidRPr="006A37CA" w:rsidRDefault="00E47E0C" w:rsidP="007452E8">
            <w:pPr>
              <w:rPr>
                <w:i/>
              </w:rPr>
            </w:pPr>
            <w:r w:rsidRPr="006A37CA">
              <w:rPr>
                <w:i/>
              </w:rPr>
              <w:t xml:space="preserve">for </w:t>
            </w:r>
            <w:r w:rsidR="007B04DE" w:rsidRPr="006A37CA">
              <w:rPr>
                <w:i/>
              </w:rPr>
              <w:t>the current</w:t>
            </w:r>
            <w:r w:rsidRPr="006A37CA">
              <w:rPr>
                <w:i/>
              </w:rPr>
              <w:t xml:space="preserve"> submission</w:t>
            </w:r>
            <w:r w:rsidR="00324B33" w:rsidRPr="006A37CA">
              <w:rPr>
                <w:i/>
              </w:rPr>
              <w:t>:</w:t>
            </w:r>
          </w:p>
        </w:tc>
        <w:tc>
          <w:tcPr>
            <w:tcW w:w="3423" w:type="pct"/>
          </w:tcPr>
          <w:p w14:paraId="6FF3C6A2" w14:textId="3135D40E" w:rsidR="000A1BEA" w:rsidRPr="006A37CA" w:rsidRDefault="00740474" w:rsidP="00983060">
            <w:r>
              <w:t>Yes</w:t>
            </w:r>
            <w:r w:rsidR="00ED6153">
              <w:t>. T</w:t>
            </w:r>
            <w:r w:rsidR="000A1BEA" w:rsidRPr="000A1BEA">
              <w:t>his product will remain in the scheme for 5 years, starting on the date the product is first supplied in Australia</w:t>
            </w:r>
            <w:r w:rsidR="000A1BEA">
              <w:t>.</w:t>
            </w:r>
          </w:p>
        </w:tc>
      </w:tr>
      <w:tr w:rsidR="00324B33" w:rsidRPr="006A37CA" w14:paraId="179E09FE" w14:textId="77777777" w:rsidTr="00F865A7">
        <w:tc>
          <w:tcPr>
            <w:tcW w:w="1577" w:type="pct"/>
          </w:tcPr>
          <w:p w14:paraId="1A592498" w14:textId="77777777" w:rsidR="00324B33" w:rsidRPr="006A37CA" w:rsidRDefault="00324B33" w:rsidP="007452E8">
            <w:pPr>
              <w:rPr>
                <w:i/>
              </w:rPr>
            </w:pPr>
            <w:r w:rsidRPr="006A37CA">
              <w:rPr>
                <w:i/>
              </w:rPr>
              <w:t>Sponsor’s name and address:</w:t>
            </w:r>
          </w:p>
        </w:tc>
        <w:tc>
          <w:tcPr>
            <w:tcW w:w="3423" w:type="pct"/>
          </w:tcPr>
          <w:p w14:paraId="1D3A27F7" w14:textId="77777777" w:rsidR="00324B33" w:rsidRPr="006A37CA" w:rsidRDefault="00EE36B1" w:rsidP="00983060">
            <w:r w:rsidRPr="006A37CA">
              <w:t>Pfizer Australia Pty Ltd</w:t>
            </w:r>
          </w:p>
          <w:p w14:paraId="15C7CC9A" w14:textId="77777777" w:rsidR="00EE36B1" w:rsidRPr="006A37CA" w:rsidRDefault="00EE36B1" w:rsidP="00983060">
            <w:r w:rsidRPr="006A37CA">
              <w:t>Level 17, 151 Clarence Street</w:t>
            </w:r>
          </w:p>
          <w:p w14:paraId="68DD94B0" w14:textId="2D00E78B" w:rsidR="00EE36B1" w:rsidRPr="006A37CA" w:rsidRDefault="00EE36B1" w:rsidP="00983060">
            <w:r w:rsidRPr="006A37CA">
              <w:t>Sydney NSW 2000</w:t>
            </w:r>
          </w:p>
        </w:tc>
      </w:tr>
      <w:tr w:rsidR="00324B33" w:rsidRPr="006A37CA" w14:paraId="5322B989" w14:textId="77777777" w:rsidTr="00F865A7">
        <w:tc>
          <w:tcPr>
            <w:tcW w:w="1577" w:type="pct"/>
          </w:tcPr>
          <w:p w14:paraId="24F217E3" w14:textId="09BE038B" w:rsidR="00324B33" w:rsidRPr="006A37CA" w:rsidRDefault="00324B33" w:rsidP="007452E8">
            <w:pPr>
              <w:rPr>
                <w:i/>
              </w:rPr>
            </w:pPr>
            <w:r w:rsidRPr="006A37CA">
              <w:rPr>
                <w:i/>
              </w:rPr>
              <w:t>Dose form:</w:t>
            </w:r>
          </w:p>
        </w:tc>
        <w:tc>
          <w:tcPr>
            <w:tcW w:w="3423" w:type="pct"/>
          </w:tcPr>
          <w:p w14:paraId="768B254C" w14:textId="55D78DB4" w:rsidR="00324B33" w:rsidRPr="006A37CA" w:rsidRDefault="0047699B" w:rsidP="00983060">
            <w:r w:rsidRPr="006A37CA">
              <w:t>Suspension for injection</w:t>
            </w:r>
          </w:p>
        </w:tc>
      </w:tr>
      <w:tr w:rsidR="00324B33" w:rsidRPr="006A37CA" w14:paraId="115243E6" w14:textId="77777777" w:rsidTr="00F865A7">
        <w:tc>
          <w:tcPr>
            <w:tcW w:w="1577" w:type="pct"/>
          </w:tcPr>
          <w:p w14:paraId="7634B062" w14:textId="1A2AFB24" w:rsidR="00324B33" w:rsidRPr="006A37CA" w:rsidRDefault="00324B33" w:rsidP="007452E8">
            <w:pPr>
              <w:rPr>
                <w:i/>
              </w:rPr>
            </w:pPr>
            <w:r w:rsidRPr="006A37CA">
              <w:rPr>
                <w:i/>
              </w:rPr>
              <w:t>Strengths:</w:t>
            </w:r>
          </w:p>
        </w:tc>
        <w:tc>
          <w:tcPr>
            <w:tcW w:w="3423" w:type="pct"/>
          </w:tcPr>
          <w:p w14:paraId="62699381" w14:textId="4E855F37" w:rsidR="00924E54" w:rsidRPr="006A37CA" w:rsidRDefault="00924E54" w:rsidP="00983060">
            <w:r w:rsidRPr="006A37CA">
              <w:t>Each 0.5 mL dose contains 46.2 µg of total pneumococcal polysaccharides.</w:t>
            </w:r>
          </w:p>
          <w:p w14:paraId="5E5F83DB" w14:textId="6AC29388" w:rsidR="00983060" w:rsidRPr="006A37CA" w:rsidRDefault="00924E54" w:rsidP="000A1BEA">
            <w:r w:rsidRPr="006A37CA">
              <w:t xml:space="preserve">Each dose </w:t>
            </w:r>
            <w:r w:rsidR="000A1BEA">
              <w:t>contains</w:t>
            </w:r>
            <w:r w:rsidRPr="006A37CA">
              <w:t xml:space="preserve"> 2.2 µg </w:t>
            </w:r>
            <w:r w:rsidR="000A1BEA">
              <w:t>of</w:t>
            </w:r>
            <w:r w:rsidRPr="006A37CA">
              <w:t xml:space="preserve"> pneumococcal polysaccharide</w:t>
            </w:r>
            <w:r w:rsidR="000A1BEA">
              <w:t>s for each of the following</w:t>
            </w:r>
            <w:r w:rsidRPr="006A37CA">
              <w:t xml:space="preserve"> serotypes 1, 3, 4, 5, 6A, 7F, 8, 9V, 10A, 11A, 12F, 14, 15B, 18C, 19A, 19F, 22F, 23F, and 33F</w:t>
            </w:r>
            <w:r w:rsidR="000A1BEA">
              <w:t>;</w:t>
            </w:r>
            <w:r w:rsidRPr="006A37CA">
              <w:t xml:space="preserve"> and 4.4 µg of serotype 6B.</w:t>
            </w:r>
          </w:p>
        </w:tc>
      </w:tr>
      <w:tr w:rsidR="00324B33" w:rsidRPr="006A37CA" w14:paraId="34B07BA6" w14:textId="77777777" w:rsidTr="00F865A7">
        <w:tc>
          <w:tcPr>
            <w:tcW w:w="1577" w:type="pct"/>
          </w:tcPr>
          <w:p w14:paraId="1C039224" w14:textId="317A1357" w:rsidR="00324B33" w:rsidRPr="006A37CA" w:rsidRDefault="00324B33" w:rsidP="007452E8">
            <w:pPr>
              <w:rPr>
                <w:i/>
              </w:rPr>
            </w:pPr>
            <w:r w:rsidRPr="006A37CA">
              <w:rPr>
                <w:i/>
              </w:rPr>
              <w:t>Container:</w:t>
            </w:r>
          </w:p>
        </w:tc>
        <w:tc>
          <w:tcPr>
            <w:tcW w:w="3423" w:type="pct"/>
          </w:tcPr>
          <w:p w14:paraId="500A42C6" w14:textId="45A2C217" w:rsidR="00324B33" w:rsidRPr="006A37CA" w:rsidRDefault="00020CC2" w:rsidP="00983060">
            <w:r>
              <w:t xml:space="preserve">Prefilled </w:t>
            </w:r>
            <w:r w:rsidR="00270509">
              <w:t>s</w:t>
            </w:r>
            <w:r w:rsidR="0047699B" w:rsidRPr="006A37CA">
              <w:t>yringe</w:t>
            </w:r>
          </w:p>
        </w:tc>
      </w:tr>
      <w:tr w:rsidR="00324B33" w:rsidRPr="006A37CA" w14:paraId="176B6773" w14:textId="77777777" w:rsidTr="00F865A7">
        <w:tc>
          <w:tcPr>
            <w:tcW w:w="1577" w:type="pct"/>
          </w:tcPr>
          <w:p w14:paraId="71846159" w14:textId="73F90304" w:rsidR="00324B33" w:rsidRPr="006A37CA" w:rsidRDefault="00324B33" w:rsidP="007452E8">
            <w:pPr>
              <w:rPr>
                <w:i/>
              </w:rPr>
            </w:pPr>
            <w:r w:rsidRPr="006A37CA">
              <w:rPr>
                <w:i/>
              </w:rPr>
              <w:t>Pack sizes:</w:t>
            </w:r>
          </w:p>
        </w:tc>
        <w:tc>
          <w:tcPr>
            <w:tcW w:w="3423" w:type="pct"/>
          </w:tcPr>
          <w:p w14:paraId="7E978F8F" w14:textId="07960450" w:rsidR="00324B33" w:rsidRPr="006A37CA" w:rsidRDefault="0047699B" w:rsidP="00983060">
            <w:r w:rsidRPr="006A37CA">
              <w:t>1 and 10</w:t>
            </w:r>
          </w:p>
        </w:tc>
      </w:tr>
      <w:tr w:rsidR="00324B33" w:rsidRPr="006A37CA" w14:paraId="19A2544A" w14:textId="77777777" w:rsidTr="00F865A7">
        <w:tc>
          <w:tcPr>
            <w:tcW w:w="1577" w:type="pct"/>
          </w:tcPr>
          <w:p w14:paraId="0E6C5C0E" w14:textId="7DB3FC66" w:rsidR="00324B33" w:rsidRPr="006A37CA" w:rsidRDefault="00324B33" w:rsidP="007452E8">
            <w:pPr>
              <w:rPr>
                <w:i/>
              </w:rPr>
            </w:pPr>
            <w:r w:rsidRPr="006A37CA">
              <w:rPr>
                <w:i/>
              </w:rPr>
              <w:t>Approved therapeutic use</w:t>
            </w:r>
            <w:r w:rsidR="00E47E0C" w:rsidRPr="006A37CA">
              <w:rPr>
                <w:i/>
              </w:rPr>
              <w:t xml:space="preserve"> </w:t>
            </w:r>
            <w:r w:rsidR="007B04DE" w:rsidRPr="006A37CA">
              <w:rPr>
                <w:i/>
              </w:rPr>
              <w:t>for the current</w:t>
            </w:r>
            <w:r w:rsidR="00E47E0C" w:rsidRPr="006A37CA">
              <w:rPr>
                <w:i/>
              </w:rPr>
              <w:t xml:space="preserve"> submission</w:t>
            </w:r>
            <w:r w:rsidRPr="006A37CA">
              <w:rPr>
                <w:i/>
              </w:rPr>
              <w:t>:</w:t>
            </w:r>
          </w:p>
        </w:tc>
        <w:tc>
          <w:tcPr>
            <w:tcW w:w="3423" w:type="pct"/>
          </w:tcPr>
          <w:p w14:paraId="48B85775" w14:textId="03F7A7AE" w:rsidR="00D122FC" w:rsidRPr="006A37CA" w:rsidRDefault="00D122FC" w:rsidP="00D122FC">
            <w:pPr>
              <w:rPr>
                <w:i/>
                <w:iCs/>
              </w:rPr>
            </w:pPr>
            <w:r w:rsidRPr="006A37CA">
              <w:rPr>
                <w:i/>
                <w:iCs/>
              </w:rPr>
              <w:t>Active immunisation for the prevention of pneumococcal disease caused by Streptococcus pneumoniae serotypes 1, 3, 4, 5, 6A, 6B, 7F, 8, 9V, 10A, 11A, 12F, 14, 15B, 18C, 19A, 19F, 22F, 23F, and 33F in adults 18 years of age and older.</w:t>
            </w:r>
          </w:p>
          <w:p w14:paraId="0F25E77C" w14:textId="317CEB98" w:rsidR="00D122FC" w:rsidRPr="006A37CA" w:rsidRDefault="00D122FC" w:rsidP="00D122FC">
            <w:pPr>
              <w:rPr>
                <w:i/>
                <w:iCs/>
              </w:rPr>
            </w:pPr>
            <w:r w:rsidRPr="006A37CA">
              <w:rPr>
                <w:i/>
                <w:iCs/>
              </w:rPr>
              <w:t>Prevenar 20 may not prevent disease caused by S. pneumoniae serotypes that are not contained in the vaccine.</w:t>
            </w:r>
          </w:p>
          <w:p w14:paraId="6E143E2E" w14:textId="3C2E315A" w:rsidR="00D122FC" w:rsidRPr="006A37CA" w:rsidRDefault="00D122FC" w:rsidP="00D122FC">
            <w:r w:rsidRPr="006A37CA">
              <w:rPr>
                <w:i/>
                <w:iCs/>
              </w:rPr>
              <w:t>Prevenar 20 should be used in accordance with official recommendations.</w:t>
            </w:r>
          </w:p>
        </w:tc>
      </w:tr>
      <w:tr w:rsidR="00324B33" w:rsidRPr="006A37CA" w14:paraId="5AFDEED3" w14:textId="77777777" w:rsidTr="00F865A7">
        <w:tc>
          <w:tcPr>
            <w:tcW w:w="1577" w:type="pct"/>
          </w:tcPr>
          <w:p w14:paraId="03884BD1" w14:textId="139BA405" w:rsidR="00324B33" w:rsidRPr="006A37CA" w:rsidRDefault="00324B33" w:rsidP="007452E8">
            <w:pPr>
              <w:rPr>
                <w:i/>
              </w:rPr>
            </w:pPr>
            <w:r w:rsidRPr="006A37CA">
              <w:rPr>
                <w:i/>
              </w:rPr>
              <w:t>Route of administration:</w:t>
            </w:r>
          </w:p>
        </w:tc>
        <w:tc>
          <w:tcPr>
            <w:tcW w:w="3423" w:type="pct"/>
          </w:tcPr>
          <w:p w14:paraId="1ED1357E" w14:textId="5CCDD639" w:rsidR="00324B33" w:rsidRPr="006A37CA" w:rsidRDefault="0047699B" w:rsidP="00983060">
            <w:r w:rsidRPr="006A37CA">
              <w:t>Intramuscular</w:t>
            </w:r>
          </w:p>
        </w:tc>
      </w:tr>
      <w:tr w:rsidR="00324B33" w:rsidRPr="006A37CA" w14:paraId="70D7E9FA" w14:textId="77777777" w:rsidTr="00F865A7">
        <w:tc>
          <w:tcPr>
            <w:tcW w:w="1577" w:type="pct"/>
          </w:tcPr>
          <w:p w14:paraId="5ABFFC80" w14:textId="77777777" w:rsidR="00324B33" w:rsidRPr="006A37CA" w:rsidRDefault="00324B33" w:rsidP="007452E8">
            <w:pPr>
              <w:rPr>
                <w:i/>
              </w:rPr>
            </w:pPr>
            <w:r w:rsidRPr="006A37CA">
              <w:rPr>
                <w:i/>
              </w:rPr>
              <w:t>Dosage:</w:t>
            </w:r>
          </w:p>
        </w:tc>
        <w:tc>
          <w:tcPr>
            <w:tcW w:w="3423" w:type="pct"/>
          </w:tcPr>
          <w:p w14:paraId="7B4F8D84" w14:textId="4112DB09" w:rsidR="00983060" w:rsidRPr="006A37CA" w:rsidRDefault="00CB365D" w:rsidP="00983060">
            <w:r w:rsidRPr="006A37CA">
              <w:t>Prevenar</w:t>
            </w:r>
            <w:r w:rsidR="00983060" w:rsidRPr="006A37CA">
              <w:t xml:space="preserve"> 20 is to be administered as a single dose to adults 18</w:t>
            </w:r>
            <w:r w:rsidR="00DF2B5F" w:rsidRPr="006A37CA">
              <w:t> </w:t>
            </w:r>
            <w:r w:rsidR="00983060" w:rsidRPr="006A37CA">
              <w:t>years of age and older.</w:t>
            </w:r>
          </w:p>
          <w:p w14:paraId="10FB4725" w14:textId="71151730" w:rsidR="00983060" w:rsidRPr="006A37CA" w:rsidRDefault="00983060" w:rsidP="00983060">
            <w:r w:rsidRPr="006A37CA">
              <w:t xml:space="preserve">The need for revaccination with a subsequent dose of </w:t>
            </w:r>
            <w:r w:rsidR="00CB365D" w:rsidRPr="006A37CA">
              <w:t>Prevenar</w:t>
            </w:r>
            <w:r w:rsidR="00DF2B5F" w:rsidRPr="006A37CA">
              <w:t> </w:t>
            </w:r>
            <w:r w:rsidRPr="006A37CA">
              <w:t>20 has not been established. Refer to local recommendations.</w:t>
            </w:r>
          </w:p>
          <w:p w14:paraId="23AEB72D" w14:textId="7826A791" w:rsidR="00983060" w:rsidRPr="006A37CA" w:rsidRDefault="00983060" w:rsidP="00983060">
            <w:r w:rsidRPr="006A37CA">
              <w:lastRenderedPageBreak/>
              <w:t>Based on the clinical experience with a related pneumococcal conjugate vaccine (Prevenar 13), if the use of Pneumovax</w:t>
            </w:r>
            <w:r w:rsidR="007E456C" w:rsidRPr="006A37CA">
              <w:t xml:space="preserve"> </w:t>
            </w:r>
            <w:r w:rsidRPr="006A37CA">
              <w:t xml:space="preserve">23, pneumococcal vaccine polyvalent (23vPPV), is considered appropriate, </w:t>
            </w:r>
            <w:r w:rsidR="00CB365D" w:rsidRPr="006A37CA">
              <w:t>Prevenar</w:t>
            </w:r>
            <w:r w:rsidRPr="006A37CA">
              <w:t xml:space="preserve"> 20 should be given first (see </w:t>
            </w:r>
            <w:r w:rsidR="00DF2B5F" w:rsidRPr="006A37CA">
              <w:t>S</w:t>
            </w:r>
            <w:r w:rsidRPr="006A37CA">
              <w:t>ection</w:t>
            </w:r>
            <w:r w:rsidR="00DF2B5F" w:rsidRPr="006A37CA">
              <w:t> </w:t>
            </w:r>
            <w:r w:rsidRPr="006A37CA">
              <w:t>5.1 Pharmacodynamic properties</w:t>
            </w:r>
            <w:r w:rsidR="00F602CA" w:rsidRPr="006A37CA">
              <w:t xml:space="preserve"> of the Product Information</w:t>
            </w:r>
            <w:r w:rsidRPr="006A37CA">
              <w:t>).</w:t>
            </w:r>
          </w:p>
          <w:p w14:paraId="3D0B2D5C" w14:textId="00B60747" w:rsidR="00324B33" w:rsidRPr="006A37CA" w:rsidRDefault="00324B33" w:rsidP="00983060">
            <w:r w:rsidRPr="006A37CA">
              <w:t>For further information regarding dosage, refer to the Product Information.</w:t>
            </w:r>
          </w:p>
        </w:tc>
      </w:tr>
      <w:tr w:rsidR="00324B33" w:rsidRPr="006A37CA" w14:paraId="24DC408E" w14:textId="77777777" w:rsidTr="00F865A7">
        <w:tc>
          <w:tcPr>
            <w:tcW w:w="1577" w:type="pct"/>
          </w:tcPr>
          <w:p w14:paraId="26380792" w14:textId="77777777" w:rsidR="00324B33" w:rsidRPr="006A37CA" w:rsidRDefault="00324B33" w:rsidP="007452E8">
            <w:pPr>
              <w:rPr>
                <w:i/>
              </w:rPr>
            </w:pPr>
            <w:r w:rsidRPr="006A37CA">
              <w:rPr>
                <w:i/>
              </w:rPr>
              <w:lastRenderedPageBreak/>
              <w:t>Pregnancy category:</w:t>
            </w:r>
          </w:p>
        </w:tc>
        <w:tc>
          <w:tcPr>
            <w:tcW w:w="3423" w:type="pct"/>
          </w:tcPr>
          <w:p w14:paraId="7515219F" w14:textId="46CE1DD5" w:rsidR="00983060" w:rsidRPr="006A37CA" w:rsidRDefault="00983060" w:rsidP="00983060">
            <w:r w:rsidRPr="006A37CA">
              <w:t>B1</w:t>
            </w:r>
          </w:p>
          <w:p w14:paraId="35AFD465" w14:textId="77777777" w:rsidR="00983060" w:rsidRPr="006A37CA" w:rsidRDefault="00983060" w:rsidP="00983060">
            <w:r w:rsidRPr="006A37CA">
              <w:t>Drugs which have been taken by only a limited number of pregnant women and women of childbearing age, without an increase in the frequency of malformation or other direct or indirect harmful effects on the human fetus having been observed.</w:t>
            </w:r>
          </w:p>
          <w:p w14:paraId="7EA6C0FF" w14:textId="3D5C5D8E" w:rsidR="00983060" w:rsidRPr="006A37CA" w:rsidRDefault="00983060" w:rsidP="00983060">
            <w:r w:rsidRPr="006A37CA">
              <w:t>Studies in animals have not shown evidence of an increased occurrence of fetal damage.</w:t>
            </w:r>
          </w:p>
          <w:p w14:paraId="5E2AA3D6" w14:textId="4EA75598" w:rsidR="00324B33" w:rsidRPr="006A37CA" w:rsidRDefault="00324B33" w:rsidP="00983060">
            <w:r w:rsidRPr="006A37CA">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Pr="006A37CA" w:rsidRDefault="00324B33" w:rsidP="00324B33">
      <w:pPr>
        <w:pStyle w:val="Heading3"/>
      </w:pPr>
      <w:bookmarkStart w:id="11" w:name="_Toc247691503"/>
      <w:bookmarkStart w:id="12" w:name="_Toc314842484"/>
      <w:bookmarkStart w:id="13" w:name="_Toc103679290"/>
      <w:bookmarkStart w:id="14" w:name="_Toc135124804"/>
      <w:r w:rsidRPr="006A37CA">
        <w:t>Product background</w:t>
      </w:r>
      <w:bookmarkEnd w:id="11"/>
      <w:bookmarkEnd w:id="12"/>
      <w:bookmarkEnd w:id="13"/>
      <w:bookmarkEnd w:id="14"/>
    </w:p>
    <w:p w14:paraId="56B27CF2" w14:textId="1BA76444" w:rsidR="00324B33" w:rsidRPr="006A37CA" w:rsidRDefault="00324B33" w:rsidP="00324B33">
      <w:r w:rsidRPr="006A37CA">
        <w:t xml:space="preserve">This AusPAR describes the submission by </w:t>
      </w:r>
      <w:r w:rsidR="00EE36B1" w:rsidRPr="006A37CA">
        <w:t>Pfizer Australia Pty Ltd</w:t>
      </w:r>
      <w:r w:rsidRPr="006A37CA">
        <w:t xml:space="preserve"> (the sponsor) to register </w:t>
      </w:r>
      <w:r w:rsidR="00EE36B1" w:rsidRPr="006A37CA">
        <w:t xml:space="preserve">Prevenar 20 </w:t>
      </w:r>
      <w:r w:rsidRPr="006A37CA">
        <w:t>(</w:t>
      </w:r>
      <w:r w:rsidR="00EE36B1" w:rsidRPr="006A37CA">
        <w:t>pneumococcal polysaccharide conjugate vaccine</w:t>
      </w:r>
      <w:r w:rsidRPr="006A37CA">
        <w:t xml:space="preserve">) </w:t>
      </w:r>
      <w:r w:rsidR="00924E54" w:rsidRPr="006A37CA">
        <w:t>46.2 µg</w:t>
      </w:r>
      <w:r w:rsidR="008557F6" w:rsidRPr="006A37CA">
        <w:t>/</w:t>
      </w:r>
      <w:r w:rsidR="00924E54" w:rsidRPr="006A37CA">
        <w:t xml:space="preserve">0.5 </w:t>
      </w:r>
      <w:r w:rsidR="008557F6" w:rsidRPr="006A37CA">
        <w:t>mL</w:t>
      </w:r>
      <w:r w:rsidRPr="006A37CA">
        <w:t xml:space="preserve">, </w:t>
      </w:r>
      <w:r w:rsidR="008557F6" w:rsidRPr="006A37CA">
        <w:t>suspension for injection</w:t>
      </w:r>
      <w:r w:rsidR="00D62877" w:rsidRPr="006A37CA">
        <w:t xml:space="preserve">, </w:t>
      </w:r>
      <w:r w:rsidR="008557F6" w:rsidRPr="006A37CA">
        <w:t>syringe</w:t>
      </w:r>
      <w:r w:rsidRPr="006A37CA">
        <w:t xml:space="preserve"> for the following proposed indication:</w:t>
      </w:r>
      <w:r w:rsidR="00D63760" w:rsidRPr="006A37CA">
        <w:rPr>
          <w:rStyle w:val="FootnoteReference"/>
        </w:rPr>
        <w:footnoteReference w:id="1"/>
      </w:r>
    </w:p>
    <w:p w14:paraId="12E01DD8" w14:textId="34EB58D7" w:rsidR="00FB10EB" w:rsidRPr="006A37CA" w:rsidRDefault="00FB10EB" w:rsidP="00FB10EB">
      <w:pPr>
        <w:ind w:left="720"/>
        <w:rPr>
          <w:i/>
          <w:iCs/>
        </w:rPr>
      </w:pPr>
      <w:r w:rsidRPr="006A37CA">
        <w:rPr>
          <w:i/>
          <w:iCs/>
        </w:rPr>
        <w:t>Active immunisation for the prevention of pneumococcal disease caused by Streptococcus pneumoniae serotypes 1, 3, 4, 5, 6A, 6B, 7F, 8, 9V, 10A, 11A, 12F, 14, 15B, 18C, 19A, 19F, 22F, 23F, and 33F in adults 18 years of age and older.</w:t>
      </w:r>
    </w:p>
    <w:p w14:paraId="3F784EA4" w14:textId="3AE5B58B" w:rsidR="00FB10EB" w:rsidRPr="006A37CA" w:rsidRDefault="00FB10EB" w:rsidP="00FB10EB">
      <w:pPr>
        <w:ind w:left="720"/>
        <w:rPr>
          <w:i/>
          <w:iCs/>
        </w:rPr>
      </w:pPr>
      <w:r w:rsidRPr="006A37CA">
        <w:rPr>
          <w:i/>
          <w:iCs/>
        </w:rPr>
        <w:t>The use of Prevenar 20 should be guided by official recommendations.</w:t>
      </w:r>
    </w:p>
    <w:p w14:paraId="6B28EDBD" w14:textId="07F2A59B" w:rsidR="008557F6" w:rsidRPr="006A37CA" w:rsidRDefault="008557F6" w:rsidP="00B358CE">
      <w:bookmarkStart w:id="15" w:name="_Toc314842485"/>
      <w:bookmarkStart w:id="16" w:name="_Toc247691504"/>
      <w:r w:rsidRPr="006A37CA">
        <w:t xml:space="preserve">Pneumococcal disease is caused by the bacterium </w:t>
      </w:r>
      <w:r w:rsidRPr="006A37CA">
        <w:rPr>
          <w:i/>
          <w:iCs/>
        </w:rPr>
        <w:t>Streptococcus pneumoniae</w:t>
      </w:r>
      <w:r w:rsidR="00F414EF">
        <w:t>, a significant cause of morbidity and mortality among adults.</w:t>
      </w:r>
      <w:bookmarkStart w:id="17" w:name="_Ref134548955"/>
      <w:r w:rsidR="00F414EF">
        <w:rPr>
          <w:rStyle w:val="FootnoteReference"/>
        </w:rPr>
        <w:footnoteReference w:id="2"/>
      </w:r>
      <w:bookmarkEnd w:id="17"/>
      <w:r w:rsidR="00A76417">
        <w:rPr>
          <w:vertAlign w:val="superscript"/>
        </w:rPr>
        <w:t>,</w:t>
      </w:r>
      <w:bookmarkStart w:id="18" w:name="_Ref134548958"/>
      <w:r w:rsidR="00A76417">
        <w:rPr>
          <w:rStyle w:val="FootnoteReference"/>
        </w:rPr>
        <w:footnoteReference w:id="3"/>
      </w:r>
      <w:bookmarkEnd w:id="18"/>
      <w:r w:rsidRPr="006A37CA">
        <w:t xml:space="preserve"> In a human host, </w:t>
      </w:r>
      <w:r w:rsidRPr="006A37CA">
        <w:rPr>
          <w:i/>
          <w:iCs/>
        </w:rPr>
        <w:t>Streptococcus pneumoniae</w:t>
      </w:r>
      <w:r w:rsidRPr="006A37CA">
        <w:t xml:space="preserve"> colonises the nasopharynx and can cause disease of the respiratory tract, such as pneumonia and sinusitis.</w:t>
      </w:r>
      <w:r w:rsidR="00A76417" w:rsidRPr="00270509">
        <w:rPr>
          <w:vertAlign w:val="superscript"/>
        </w:rPr>
        <w:fldChar w:fldCharType="begin"/>
      </w:r>
      <w:r w:rsidR="00A76417" w:rsidRPr="00270509">
        <w:rPr>
          <w:vertAlign w:val="superscript"/>
        </w:rPr>
        <w:instrText xml:space="preserve"> NOTEREF _Ref134548955 \h </w:instrText>
      </w:r>
      <w:r w:rsidR="00A76417">
        <w:rPr>
          <w:vertAlign w:val="superscript"/>
        </w:rPr>
        <w:instrText xml:space="preserve"> \* MERGEFORMAT </w:instrText>
      </w:r>
      <w:r w:rsidR="00A76417" w:rsidRPr="00270509">
        <w:rPr>
          <w:vertAlign w:val="superscript"/>
        </w:rPr>
      </w:r>
      <w:r w:rsidR="00A76417" w:rsidRPr="00270509">
        <w:rPr>
          <w:vertAlign w:val="superscript"/>
        </w:rPr>
        <w:fldChar w:fldCharType="separate"/>
      </w:r>
      <w:r w:rsidR="00AC74BD">
        <w:rPr>
          <w:vertAlign w:val="superscript"/>
        </w:rPr>
        <w:t>2</w:t>
      </w:r>
      <w:r w:rsidR="00A76417" w:rsidRPr="00270509">
        <w:rPr>
          <w:vertAlign w:val="superscript"/>
        </w:rPr>
        <w:fldChar w:fldCharType="end"/>
      </w:r>
      <w:r w:rsidR="00A76417" w:rsidRPr="00270509">
        <w:rPr>
          <w:vertAlign w:val="superscript"/>
        </w:rPr>
        <w:t>,</w:t>
      </w:r>
      <w:r w:rsidR="00A76417" w:rsidRPr="00270509">
        <w:rPr>
          <w:vertAlign w:val="superscript"/>
        </w:rPr>
        <w:fldChar w:fldCharType="begin"/>
      </w:r>
      <w:r w:rsidR="00A76417" w:rsidRPr="00270509">
        <w:rPr>
          <w:vertAlign w:val="superscript"/>
        </w:rPr>
        <w:instrText xml:space="preserve"> NOTEREF _Ref134548958 \h </w:instrText>
      </w:r>
      <w:r w:rsidR="00A76417">
        <w:rPr>
          <w:vertAlign w:val="superscript"/>
        </w:rPr>
        <w:instrText xml:space="preserve"> \* MERGEFORMAT </w:instrText>
      </w:r>
      <w:r w:rsidR="00A76417" w:rsidRPr="00270509">
        <w:rPr>
          <w:vertAlign w:val="superscript"/>
        </w:rPr>
      </w:r>
      <w:r w:rsidR="00A76417" w:rsidRPr="00270509">
        <w:rPr>
          <w:vertAlign w:val="superscript"/>
        </w:rPr>
        <w:fldChar w:fldCharType="separate"/>
      </w:r>
      <w:r w:rsidR="00AC74BD">
        <w:rPr>
          <w:vertAlign w:val="superscript"/>
        </w:rPr>
        <w:t>3</w:t>
      </w:r>
      <w:r w:rsidR="00A76417" w:rsidRPr="00270509">
        <w:rPr>
          <w:vertAlign w:val="superscript"/>
        </w:rPr>
        <w:fldChar w:fldCharType="end"/>
      </w:r>
      <w:r w:rsidRPr="006A37CA">
        <w:t xml:space="preserve"> It can also invade the bloodstream directly from the carriage state or site of mucosal disease, resulting in bacteraemia or sepsis, and seed the meninges or other distal anatomic sites, causing a variety of clinical syndromes.</w:t>
      </w:r>
      <w:r w:rsidR="00A76417" w:rsidRPr="00270509">
        <w:rPr>
          <w:vertAlign w:val="superscript"/>
        </w:rPr>
        <w:fldChar w:fldCharType="begin"/>
      </w:r>
      <w:r w:rsidR="00A76417" w:rsidRPr="00270509">
        <w:rPr>
          <w:vertAlign w:val="superscript"/>
        </w:rPr>
        <w:instrText xml:space="preserve"> NOTEREF _Ref134548958 \h </w:instrText>
      </w:r>
      <w:r w:rsidR="00A76417">
        <w:rPr>
          <w:vertAlign w:val="superscript"/>
        </w:rPr>
        <w:instrText xml:space="preserve"> \* MERGEFORMAT </w:instrText>
      </w:r>
      <w:r w:rsidR="00A76417" w:rsidRPr="00270509">
        <w:rPr>
          <w:vertAlign w:val="superscript"/>
        </w:rPr>
      </w:r>
      <w:r w:rsidR="00A76417" w:rsidRPr="00270509">
        <w:rPr>
          <w:vertAlign w:val="superscript"/>
        </w:rPr>
        <w:fldChar w:fldCharType="separate"/>
      </w:r>
      <w:r w:rsidR="00AC74BD">
        <w:rPr>
          <w:vertAlign w:val="superscript"/>
        </w:rPr>
        <w:t>3</w:t>
      </w:r>
      <w:r w:rsidR="00A76417" w:rsidRPr="00270509">
        <w:rPr>
          <w:vertAlign w:val="superscript"/>
        </w:rPr>
        <w:fldChar w:fldCharType="end"/>
      </w:r>
    </w:p>
    <w:p w14:paraId="1C356652" w14:textId="47E5E043" w:rsidR="008557F6" w:rsidRPr="006A37CA" w:rsidRDefault="008557F6" w:rsidP="00B358CE">
      <w:r w:rsidRPr="006A37CA">
        <w:rPr>
          <w:i/>
          <w:iCs/>
        </w:rPr>
        <w:lastRenderedPageBreak/>
        <w:t>Streptococcus pneumoniae</w:t>
      </w:r>
      <w:r w:rsidRPr="006A37CA">
        <w:t xml:space="preserve"> is a leading cause of invasive pneumococcal disease such as bacteraemia</w:t>
      </w:r>
      <w:r w:rsidR="00FB10EB" w:rsidRPr="006A37CA">
        <w:t xml:space="preserve"> or </w:t>
      </w:r>
      <w:r w:rsidRPr="006A37CA">
        <w:t xml:space="preserve">sepsis, </w:t>
      </w:r>
      <w:proofErr w:type="spellStart"/>
      <w:r w:rsidRPr="006A37CA">
        <w:t>bacteraemic</w:t>
      </w:r>
      <w:proofErr w:type="spellEnd"/>
      <w:r w:rsidRPr="006A37CA">
        <w:t xml:space="preserve"> pneumonia, meningitis, and septic arthritis, and non</w:t>
      </w:r>
      <w:r w:rsidR="007C18D7" w:rsidRPr="006A37CA">
        <w:noBreakHyphen/>
      </w:r>
      <w:r w:rsidRPr="006A37CA">
        <w:t>invasive pneumococcal disease such as non-</w:t>
      </w:r>
      <w:proofErr w:type="spellStart"/>
      <w:r w:rsidRPr="006A37CA">
        <w:t>bacteraemic</w:t>
      </w:r>
      <w:proofErr w:type="spellEnd"/>
      <w:r w:rsidRPr="006A37CA">
        <w:t xml:space="preserve"> pneumonia, sinusitis, and acute otitis media.</w:t>
      </w:r>
      <w:r w:rsidR="00A76417" w:rsidRPr="00270509">
        <w:rPr>
          <w:vertAlign w:val="superscript"/>
        </w:rPr>
        <w:fldChar w:fldCharType="begin"/>
      </w:r>
      <w:r w:rsidR="00A76417" w:rsidRPr="00270509">
        <w:rPr>
          <w:vertAlign w:val="superscript"/>
        </w:rPr>
        <w:instrText xml:space="preserve"> NOTEREF _Ref134548955 \h </w:instrText>
      </w:r>
      <w:r w:rsidR="00A76417">
        <w:rPr>
          <w:vertAlign w:val="superscript"/>
        </w:rPr>
        <w:instrText xml:space="preserve"> \* MERGEFORMAT </w:instrText>
      </w:r>
      <w:r w:rsidR="00A76417" w:rsidRPr="00270509">
        <w:rPr>
          <w:vertAlign w:val="superscript"/>
        </w:rPr>
      </w:r>
      <w:r w:rsidR="00A76417" w:rsidRPr="00270509">
        <w:rPr>
          <w:vertAlign w:val="superscript"/>
        </w:rPr>
        <w:fldChar w:fldCharType="separate"/>
      </w:r>
      <w:r w:rsidR="00AC74BD">
        <w:rPr>
          <w:vertAlign w:val="superscript"/>
        </w:rPr>
        <w:t>2</w:t>
      </w:r>
      <w:r w:rsidR="00A76417" w:rsidRPr="00270509">
        <w:rPr>
          <w:vertAlign w:val="superscript"/>
        </w:rPr>
        <w:fldChar w:fldCharType="end"/>
      </w:r>
      <w:r w:rsidR="00A76417">
        <w:rPr>
          <w:vertAlign w:val="superscript"/>
        </w:rPr>
        <w:t>,</w:t>
      </w:r>
      <w:r w:rsidR="00A76417">
        <w:rPr>
          <w:rStyle w:val="FootnoteReference"/>
        </w:rPr>
        <w:footnoteReference w:id="4"/>
      </w:r>
    </w:p>
    <w:p w14:paraId="47A3189A" w14:textId="50FD03F6" w:rsidR="008557F6" w:rsidRPr="006A37CA" w:rsidRDefault="008557F6" w:rsidP="00B358CE">
      <w:r w:rsidRPr="006A37CA">
        <w:t>In Australia, pneumococcal disease disproportionately affects the Aboriginal and Torres Strait Islander people.</w:t>
      </w:r>
      <w:bookmarkStart w:id="19" w:name="_Ref131000374"/>
      <w:r w:rsidRPr="006A37CA">
        <w:rPr>
          <w:vertAlign w:val="superscript"/>
        </w:rPr>
        <w:footnoteReference w:id="5"/>
      </w:r>
      <w:bookmarkEnd w:id="19"/>
      <w:r w:rsidRPr="006A37CA">
        <w:t xml:space="preserve"> Around 97 different serotypes of pneumococci have been detected to date, with a limited number of serotypes accounting for most cases of pneumococcal disease. The main serotypes that cause disease vary according to geographical region.</w:t>
      </w:r>
      <w:r w:rsidRPr="006A37CA">
        <w:rPr>
          <w:vertAlign w:val="superscript"/>
        </w:rPr>
        <w:footnoteReference w:id="6"/>
      </w:r>
    </w:p>
    <w:p w14:paraId="61455805" w14:textId="77777777" w:rsidR="008557F6" w:rsidRPr="006A37CA" w:rsidRDefault="008557F6" w:rsidP="00B358CE">
      <w:r w:rsidRPr="006A37CA">
        <w:t xml:space="preserve">In adults, pneumonia is the most common presentation of pneumococcal disease. Among older Australians, pneumococcus the </w:t>
      </w:r>
      <w:proofErr w:type="gramStart"/>
      <w:r w:rsidRPr="006A37CA">
        <w:t>most commonly identified</w:t>
      </w:r>
      <w:proofErr w:type="gramEnd"/>
      <w:r w:rsidRPr="006A37CA">
        <w:t xml:space="preserve"> aetiology of community-acquired pneumonia.</w:t>
      </w:r>
      <w:r w:rsidRPr="006A37CA">
        <w:rPr>
          <w:vertAlign w:val="superscript"/>
        </w:rPr>
        <w:footnoteReference w:id="7"/>
      </w:r>
    </w:p>
    <w:p w14:paraId="4E59E73E" w14:textId="21BD8587" w:rsidR="00C7565F" w:rsidRPr="0090226F" w:rsidRDefault="008557F6" w:rsidP="00C7565F">
      <w:r w:rsidRPr="006A37CA">
        <w:t>Recommendations</w:t>
      </w:r>
      <w:r w:rsidR="0090226F">
        <w:t xml:space="preserve"> </w:t>
      </w:r>
      <w:r w:rsidRPr="006A37CA">
        <w:t xml:space="preserve">for pneumococcal vaccines on the </w:t>
      </w:r>
      <w:hyperlink r:id="rId16" w:history="1">
        <w:r w:rsidRPr="00C7565F">
          <w:rPr>
            <w:rStyle w:val="Hyperlink"/>
          </w:rPr>
          <w:t>National Immunisation Program</w:t>
        </w:r>
      </w:hyperlink>
      <w:r w:rsidR="00C7565F">
        <w:t xml:space="preserve"> schedule </w:t>
      </w:r>
      <w:r w:rsidRPr="006A37CA">
        <w:t>were extensively revised with changes coming into effect in July 2020.</w:t>
      </w:r>
      <w:r w:rsidR="00CB365D" w:rsidRPr="006A37CA">
        <w:rPr>
          <w:vertAlign w:val="superscript"/>
        </w:rPr>
        <w:fldChar w:fldCharType="begin"/>
      </w:r>
      <w:r w:rsidR="00CB365D" w:rsidRPr="006A37CA">
        <w:rPr>
          <w:vertAlign w:val="superscript"/>
        </w:rPr>
        <w:instrText xml:space="preserve"> NOTEREF _Ref131000374 \h  \* MERGEFORMAT </w:instrText>
      </w:r>
      <w:r w:rsidR="00CB365D" w:rsidRPr="006A37CA">
        <w:rPr>
          <w:vertAlign w:val="superscript"/>
        </w:rPr>
      </w:r>
      <w:r w:rsidR="00CB365D" w:rsidRPr="006A37CA">
        <w:rPr>
          <w:vertAlign w:val="superscript"/>
        </w:rPr>
        <w:fldChar w:fldCharType="separate"/>
      </w:r>
      <w:r w:rsidR="00AC74BD">
        <w:rPr>
          <w:vertAlign w:val="superscript"/>
        </w:rPr>
        <w:t>5</w:t>
      </w:r>
      <w:r w:rsidR="00CB365D" w:rsidRPr="006A37CA">
        <w:rPr>
          <w:vertAlign w:val="superscript"/>
        </w:rPr>
        <w:fldChar w:fldCharType="end"/>
      </w:r>
      <w:r w:rsidRPr="006A37CA">
        <w:rPr>
          <w:vertAlign w:val="superscript"/>
        </w:rPr>
        <w:t>,</w:t>
      </w:r>
      <w:r w:rsidRPr="006A37CA">
        <w:rPr>
          <w:vertAlign w:val="superscript"/>
        </w:rPr>
        <w:footnoteReference w:id="8"/>
      </w:r>
      <w:r w:rsidR="0090226F">
        <w:rPr>
          <w:vertAlign w:val="superscript"/>
        </w:rPr>
        <w:t xml:space="preserve"> </w:t>
      </w:r>
      <w:r w:rsidR="00C7565F">
        <w:t xml:space="preserve">Further information on immunisation in Australia is available via the </w:t>
      </w:r>
      <w:hyperlink r:id="rId17" w:history="1">
        <w:r w:rsidR="00C7565F" w:rsidRPr="0090226F">
          <w:rPr>
            <w:rStyle w:val="Hyperlink"/>
          </w:rPr>
          <w:t>Australian Immunisation Handbook</w:t>
        </w:r>
      </w:hyperlink>
      <w:r w:rsidR="00C7565F">
        <w:t>, and o</w:t>
      </w:r>
      <w:r w:rsidR="0090226F">
        <w:t xml:space="preserve">ngoing updates on the </w:t>
      </w:r>
      <w:hyperlink r:id="rId18" w:history="1">
        <w:r w:rsidR="0090226F" w:rsidRPr="007F18AD">
          <w:rPr>
            <w:rStyle w:val="Hyperlink"/>
          </w:rPr>
          <w:t>National Immunisation Program schedule for pneumococcal disease</w:t>
        </w:r>
      </w:hyperlink>
      <w:r w:rsidR="0090226F">
        <w:t xml:space="preserve"> are available online.</w:t>
      </w:r>
    </w:p>
    <w:p w14:paraId="41B0524C" w14:textId="3B6632DB" w:rsidR="008557F6" w:rsidRPr="006A37CA" w:rsidRDefault="008557F6" w:rsidP="00B358CE">
      <w:r w:rsidRPr="006A37CA">
        <w:t xml:space="preserve">There are </w:t>
      </w:r>
      <w:r w:rsidR="00CB365D" w:rsidRPr="006A37CA">
        <w:t>three</w:t>
      </w:r>
      <w:r w:rsidRPr="006A37CA">
        <w:t xml:space="preserve"> vaccines currently approved by the </w:t>
      </w:r>
      <w:hyperlink r:id="rId19" w:history="1">
        <w:r w:rsidRPr="00C7565F">
          <w:rPr>
            <w:rStyle w:val="Hyperlink"/>
          </w:rPr>
          <w:t>Australian Technical Advisory Group on Immunisation</w:t>
        </w:r>
      </w:hyperlink>
      <w:r w:rsidR="000A1BEA">
        <w:t xml:space="preserve"> (</w:t>
      </w:r>
      <w:hyperlink r:id="rId20" w:history="1">
        <w:r w:rsidR="000A1BEA" w:rsidRPr="00C7565F">
          <w:rPr>
            <w:rStyle w:val="Hyperlink"/>
          </w:rPr>
          <w:t>ATAGI</w:t>
        </w:r>
      </w:hyperlink>
      <w:r w:rsidR="000A1BEA">
        <w:t>)</w:t>
      </w:r>
      <w:r w:rsidRPr="006A37CA">
        <w:t xml:space="preserve"> for the prevention of pneumococcal disease in adults</w:t>
      </w:r>
      <w:r w:rsidR="009253BF">
        <w:t xml:space="preserve">: </w:t>
      </w:r>
      <w:r w:rsidR="00103675">
        <w:t>a </w:t>
      </w:r>
      <w:r w:rsidR="006A37CA" w:rsidRPr="006A37CA">
        <w:t>13-valent pneumococcal conjugate vaccine (13vPnC</w:t>
      </w:r>
      <w:r w:rsidR="006A37CA">
        <w:t>,</w:t>
      </w:r>
      <w:r w:rsidR="006A37CA" w:rsidRPr="006A37CA">
        <w:t xml:space="preserve"> </w:t>
      </w:r>
      <w:r w:rsidR="006A37CA">
        <w:t xml:space="preserve">also known as </w:t>
      </w:r>
      <w:r w:rsidR="006A37CA" w:rsidRPr="006A37CA">
        <w:t>Prevenar 13</w:t>
      </w:r>
      <w:r w:rsidR="006A37CA">
        <w:t>)</w:t>
      </w:r>
      <w:r w:rsidR="00103675">
        <w:t>;</w:t>
      </w:r>
      <w:bookmarkStart w:id="21" w:name="_Ref134526641"/>
      <w:r w:rsidR="009253BF">
        <w:rPr>
          <w:rStyle w:val="FootnoteReference"/>
        </w:rPr>
        <w:footnoteReference w:id="9"/>
      </w:r>
      <w:bookmarkEnd w:id="21"/>
      <w:r w:rsidR="00CB365D" w:rsidRPr="006A37CA">
        <w:t xml:space="preserve"> </w:t>
      </w:r>
      <w:r w:rsidR="00103675">
        <w:t xml:space="preserve">a </w:t>
      </w:r>
      <w:r w:rsidR="006A37CA" w:rsidRPr="006A37CA">
        <w:t>23-valent pneumococcal polysaccharide vaccine (</w:t>
      </w:r>
      <w:r w:rsidR="006A37CA">
        <w:t xml:space="preserve">PPSV23, also known as </w:t>
      </w:r>
      <w:r w:rsidR="006A37CA" w:rsidRPr="006A37CA">
        <w:t>Pneumovax 23)</w:t>
      </w:r>
      <w:r w:rsidR="00103675">
        <w:t>;</w:t>
      </w:r>
      <w:bookmarkStart w:id="22" w:name="_Ref134526768"/>
      <w:r w:rsidR="009253BF">
        <w:rPr>
          <w:rStyle w:val="FootnoteReference"/>
        </w:rPr>
        <w:footnoteReference w:id="10"/>
      </w:r>
      <w:bookmarkEnd w:id="22"/>
      <w:r w:rsidR="00CB365D" w:rsidRPr="006A37CA">
        <w:t xml:space="preserve"> and </w:t>
      </w:r>
      <w:r w:rsidR="00103675">
        <w:t xml:space="preserve">a </w:t>
      </w:r>
      <w:r w:rsidR="006A37CA" w:rsidRPr="006A37CA">
        <w:t>15</w:t>
      </w:r>
      <w:r w:rsidR="00A76417">
        <w:noBreakHyphen/>
      </w:r>
      <w:r w:rsidR="006A37CA" w:rsidRPr="006A37CA">
        <w:t>valent pneumococcal conjugate vaccine (1</w:t>
      </w:r>
      <w:r w:rsidR="006A37CA">
        <w:t>5</w:t>
      </w:r>
      <w:r w:rsidR="006A37CA" w:rsidRPr="006A37CA">
        <w:t>vPnC</w:t>
      </w:r>
      <w:r w:rsidR="006A37CA">
        <w:t>, also known as</w:t>
      </w:r>
      <w:r w:rsidR="006A37CA" w:rsidRPr="006A37CA">
        <w:t xml:space="preserve"> Vaxneuvance)</w:t>
      </w:r>
      <w:r w:rsidRPr="006A37CA">
        <w:t>.</w:t>
      </w:r>
      <w:r w:rsidR="009253BF">
        <w:rPr>
          <w:rStyle w:val="FootnoteReference"/>
        </w:rPr>
        <w:footnoteReference w:id="11"/>
      </w:r>
    </w:p>
    <w:p w14:paraId="10B40459" w14:textId="672CBD2A" w:rsidR="00B358CE" w:rsidRPr="00270509" w:rsidRDefault="00B358CE" w:rsidP="00B358CE">
      <w:pPr>
        <w:rPr>
          <w:vertAlign w:val="superscript"/>
        </w:rPr>
      </w:pPr>
      <w:bookmarkStart w:id="23" w:name="_Toc103679291"/>
      <w:r w:rsidRPr="006A37CA">
        <w:t xml:space="preserve">Currently, 100 different serotypes of </w:t>
      </w:r>
      <w:r w:rsidRPr="006A37CA">
        <w:rPr>
          <w:i/>
          <w:iCs/>
        </w:rPr>
        <w:t>Streptococcus pneumoniae</w:t>
      </w:r>
      <w:r w:rsidRPr="006A37CA">
        <w:t xml:space="preserve"> have been identified, which vary both in the chemical structure of their </w:t>
      </w:r>
      <w:proofErr w:type="spellStart"/>
      <w:r w:rsidRPr="006A37CA">
        <w:t>sero</w:t>
      </w:r>
      <w:proofErr w:type="spellEnd"/>
      <w:r w:rsidRPr="006A37CA">
        <w:t xml:space="preserve">-reactive capsular polysaccharides and in their ability to cause disease, with </w:t>
      </w:r>
      <w:proofErr w:type="gramStart"/>
      <w:r w:rsidRPr="006A37CA">
        <w:t>the majority of</w:t>
      </w:r>
      <w:proofErr w:type="gramEnd"/>
      <w:r w:rsidRPr="006A37CA">
        <w:t xml:space="preserve"> invasive disease caused by a relatively limited number of serotypes.</w:t>
      </w:r>
      <w:r w:rsidR="00A76417">
        <w:rPr>
          <w:rStyle w:val="FootnoteReference"/>
        </w:rPr>
        <w:footnoteReference w:id="12"/>
      </w:r>
      <w:r w:rsidR="00A76417">
        <w:rPr>
          <w:vertAlign w:val="superscript"/>
        </w:rPr>
        <w:t>,</w:t>
      </w:r>
      <w:r w:rsidR="00A76417">
        <w:rPr>
          <w:rStyle w:val="FootnoteReference"/>
        </w:rPr>
        <w:footnoteReference w:id="13"/>
      </w:r>
    </w:p>
    <w:p w14:paraId="6517946F" w14:textId="7E807671" w:rsidR="00B358CE" w:rsidRPr="006A37CA" w:rsidRDefault="00B358CE" w:rsidP="00B358CE">
      <w:r w:rsidRPr="006A37CA">
        <w:t xml:space="preserve">Pneumococcal conjugate vaccines such as </w:t>
      </w:r>
      <w:r w:rsidR="00CB365D" w:rsidRPr="006A37CA">
        <w:t>Prevenar</w:t>
      </w:r>
      <w:r w:rsidRPr="006A37CA">
        <w:t xml:space="preserve"> 13 were developed to overcome the limitations attributed to unconjugated polysaccharide vaccines. In contrast to plain </w:t>
      </w:r>
      <w:r w:rsidRPr="006A37CA">
        <w:lastRenderedPageBreak/>
        <w:t>polysaccharide vaccines, pneumococcal conjugate vaccines are reported to induce an enhanced antibody response due to engagement of T-cells and generation of memory B</w:t>
      </w:r>
      <w:r w:rsidR="00CB365D" w:rsidRPr="006A37CA">
        <w:t>-</w:t>
      </w:r>
      <w:r w:rsidRPr="006A37CA">
        <w:t>cells allowing for an anamnestic (booster) response on re-exposure.</w:t>
      </w:r>
      <w:r w:rsidR="00A76417">
        <w:rPr>
          <w:rStyle w:val="FootnoteReference"/>
        </w:rPr>
        <w:footnoteReference w:id="14"/>
      </w:r>
      <w:r w:rsidR="00A76417">
        <w:rPr>
          <w:vertAlign w:val="superscript"/>
        </w:rPr>
        <w:t>,</w:t>
      </w:r>
      <w:r w:rsidR="00A76417">
        <w:rPr>
          <w:rStyle w:val="FootnoteReference"/>
        </w:rPr>
        <w:footnoteReference w:id="15"/>
      </w:r>
      <w:r w:rsidR="004A79D5">
        <w:rPr>
          <w:vertAlign w:val="superscript"/>
        </w:rPr>
        <w:t>,</w:t>
      </w:r>
      <w:r w:rsidR="004A79D5">
        <w:rPr>
          <w:rStyle w:val="FootnoteReference"/>
        </w:rPr>
        <w:footnoteReference w:id="16"/>
      </w:r>
      <w:r w:rsidR="004A79D5">
        <w:rPr>
          <w:vertAlign w:val="superscript"/>
        </w:rPr>
        <w:t>,</w:t>
      </w:r>
      <w:r w:rsidR="004A79D5">
        <w:rPr>
          <w:rStyle w:val="FootnoteReference"/>
        </w:rPr>
        <w:footnoteReference w:id="17"/>
      </w:r>
      <w:r w:rsidRPr="006A37CA">
        <w:t xml:space="preserve"> Conjugate vaccines are also reported to provide additional clinical benefits over those of plain polysaccharide vaccines such as </w:t>
      </w:r>
      <w:r w:rsidR="00103675">
        <w:t xml:space="preserve">better </w:t>
      </w:r>
      <w:r w:rsidRPr="006A37CA">
        <w:t xml:space="preserve">protection </w:t>
      </w:r>
      <w:r w:rsidR="00103675">
        <w:t xml:space="preserve">of at least 4 years duration, including protection </w:t>
      </w:r>
      <w:r w:rsidRPr="006A37CA">
        <w:t>of immunocompromised persons (including immunosenescent older adults), protection against mucosal disease such as non-</w:t>
      </w:r>
      <w:proofErr w:type="spellStart"/>
      <w:r w:rsidRPr="006A37CA">
        <w:t>bacteraemic</w:t>
      </w:r>
      <w:proofErr w:type="spellEnd"/>
      <w:r w:rsidRPr="006A37CA">
        <w:t xml:space="preserve"> pneumonia, and prevention of carriage acquisition and reduced carriage density leading to indirect protection.</w:t>
      </w:r>
      <w:bookmarkStart w:id="24" w:name="_Ref134549970"/>
      <w:r w:rsidR="004A79D5">
        <w:rPr>
          <w:rStyle w:val="FootnoteReference"/>
        </w:rPr>
        <w:footnoteReference w:id="18"/>
      </w:r>
      <w:bookmarkEnd w:id="24"/>
      <w:r w:rsidR="004A79D5">
        <w:rPr>
          <w:vertAlign w:val="superscript"/>
        </w:rPr>
        <w:t>,</w:t>
      </w:r>
      <w:r w:rsidR="004A79D5">
        <w:rPr>
          <w:rStyle w:val="FootnoteReference"/>
        </w:rPr>
        <w:footnoteReference w:id="19"/>
      </w:r>
      <w:r w:rsidR="004A79D5">
        <w:rPr>
          <w:vertAlign w:val="superscript"/>
        </w:rPr>
        <w:t>,</w:t>
      </w:r>
      <w:r w:rsidR="004A79D5">
        <w:rPr>
          <w:rStyle w:val="FootnoteReference"/>
        </w:rPr>
        <w:footnoteReference w:id="20"/>
      </w:r>
      <w:r w:rsidRPr="006A37CA">
        <w:t xml:space="preserve"> </w:t>
      </w:r>
      <w:r w:rsidR="00103675">
        <w:t>According to the</w:t>
      </w:r>
      <w:r w:rsidR="00103675" w:rsidRPr="006A37CA">
        <w:t xml:space="preserve"> </w:t>
      </w:r>
      <w:r w:rsidR="00CB365D" w:rsidRPr="006A37CA">
        <w:t>s</w:t>
      </w:r>
      <w:r w:rsidRPr="006A37CA">
        <w:t>ponsor</w:t>
      </w:r>
      <w:r w:rsidR="004A79D5">
        <w:t>,</w:t>
      </w:r>
      <w:r w:rsidRPr="006A37CA">
        <w:t xml:space="preserve"> pneumococcal conjugate vaccines</w:t>
      </w:r>
      <w:r w:rsidR="002A3AA3">
        <w:t xml:space="preserve"> </w:t>
      </w:r>
      <w:r w:rsidRPr="006A37CA">
        <w:t>provide an effective means of preventing both invasive and non-invasive pneumococcal disease, reducing the need for treatment (</w:t>
      </w:r>
      <w:r w:rsidR="00CB365D" w:rsidRPr="006A37CA">
        <w:t xml:space="preserve">for example, </w:t>
      </w:r>
      <w:r w:rsidRPr="006A37CA">
        <w:t>antibiotic use) and associated morbidity</w:t>
      </w:r>
      <w:r w:rsidR="004A79D5">
        <w:t xml:space="preserve"> and </w:t>
      </w:r>
      <w:r w:rsidRPr="006A37CA">
        <w:t>mortality.</w:t>
      </w:r>
      <w:r w:rsidR="002A3AA3">
        <w:rPr>
          <w:rStyle w:val="FootnoteReference"/>
        </w:rPr>
        <w:footnoteReference w:id="21"/>
      </w:r>
      <w:r w:rsidR="002A3AA3">
        <w:rPr>
          <w:vertAlign w:val="superscript"/>
        </w:rPr>
        <w:t>,</w:t>
      </w:r>
      <w:r w:rsidR="002A3AA3">
        <w:rPr>
          <w:rStyle w:val="FootnoteReference"/>
        </w:rPr>
        <w:footnoteReference w:id="22"/>
      </w:r>
      <w:r w:rsidR="002A3AA3">
        <w:rPr>
          <w:vertAlign w:val="superscript"/>
        </w:rPr>
        <w:t>,</w:t>
      </w:r>
      <w:r w:rsidR="002A3AA3">
        <w:rPr>
          <w:rStyle w:val="FootnoteReference"/>
        </w:rPr>
        <w:footnoteReference w:id="23"/>
      </w:r>
      <w:r w:rsidRPr="006A37CA">
        <w:t xml:space="preserve"> The </w:t>
      </w:r>
      <w:r w:rsidR="00CB365D" w:rsidRPr="006A37CA">
        <w:t>sponsor</w:t>
      </w:r>
      <w:r w:rsidRPr="006A37CA">
        <w:t xml:space="preserve"> stated that, since its introduction, </w:t>
      </w:r>
      <w:r w:rsidR="006A37CA" w:rsidRPr="006A37CA">
        <w:t>Prevenar 13</w:t>
      </w:r>
      <w:r w:rsidRPr="006A37CA">
        <w:t xml:space="preserve"> has demonstrated real-world effectiveness against pneumococcal disease in adults.</w:t>
      </w:r>
      <w:r w:rsidR="004A79D5" w:rsidRPr="00270509">
        <w:rPr>
          <w:vertAlign w:val="superscript"/>
        </w:rPr>
        <w:fldChar w:fldCharType="begin"/>
      </w:r>
      <w:r w:rsidR="004A79D5" w:rsidRPr="00270509">
        <w:rPr>
          <w:vertAlign w:val="superscript"/>
        </w:rPr>
        <w:instrText xml:space="preserve"> NOTEREF _Ref134549970 \h </w:instrText>
      </w:r>
      <w:r w:rsidR="004A79D5">
        <w:rPr>
          <w:vertAlign w:val="superscript"/>
        </w:rPr>
        <w:instrText xml:space="preserve"> \* MERGEFORMAT </w:instrText>
      </w:r>
      <w:r w:rsidR="004A79D5" w:rsidRPr="00270509">
        <w:rPr>
          <w:vertAlign w:val="superscript"/>
        </w:rPr>
      </w:r>
      <w:r w:rsidR="004A79D5" w:rsidRPr="00270509">
        <w:rPr>
          <w:vertAlign w:val="superscript"/>
        </w:rPr>
        <w:fldChar w:fldCharType="separate"/>
      </w:r>
      <w:r w:rsidR="00AC74BD">
        <w:rPr>
          <w:vertAlign w:val="superscript"/>
        </w:rPr>
        <w:t>18</w:t>
      </w:r>
      <w:r w:rsidR="004A79D5" w:rsidRPr="00270509">
        <w:rPr>
          <w:vertAlign w:val="superscript"/>
        </w:rPr>
        <w:fldChar w:fldCharType="end"/>
      </w:r>
    </w:p>
    <w:p w14:paraId="54A658D0" w14:textId="1FEC8DC1" w:rsidR="00B358CE" w:rsidRPr="00270509" w:rsidRDefault="00B358CE" w:rsidP="00B358CE">
      <w:pPr>
        <w:rPr>
          <w:vertAlign w:val="superscript"/>
        </w:rPr>
      </w:pPr>
      <w:r w:rsidRPr="006A37CA">
        <w:t xml:space="preserve">Unconjugated polysaccharide vaccines, such as </w:t>
      </w:r>
      <w:r w:rsidR="00E171F6" w:rsidRPr="006A37CA">
        <w:t>Pneumovax 23</w:t>
      </w:r>
      <w:r w:rsidRPr="006A37CA">
        <w:t>, have been reported to elicit a T</w:t>
      </w:r>
      <w:r w:rsidR="00CB365D" w:rsidRPr="006A37CA">
        <w:noBreakHyphen/>
      </w:r>
      <w:r w:rsidRPr="006A37CA">
        <w:t>cell</w:t>
      </w:r>
      <w:r w:rsidR="00CB365D" w:rsidRPr="006A37CA">
        <w:t xml:space="preserve"> </w:t>
      </w:r>
      <w:r w:rsidRPr="006A37CA">
        <w:t>independent immune response. As a result, they do not induce robust responses in certain populations (</w:t>
      </w:r>
      <w:r w:rsidR="00CB365D" w:rsidRPr="006A37CA">
        <w:t xml:space="preserve">for example, </w:t>
      </w:r>
      <w:r w:rsidRPr="006A37CA">
        <w:t xml:space="preserve">immunocompromised adults and children </w:t>
      </w:r>
      <w:r w:rsidR="00CB365D" w:rsidRPr="006A37CA">
        <w:t xml:space="preserve">younger than </w:t>
      </w:r>
      <w:r w:rsidRPr="006A37CA">
        <w:t>2 years of age)</w:t>
      </w:r>
      <w:r w:rsidR="00C0245D">
        <w:t>;</w:t>
      </w:r>
      <w:r w:rsidR="00C0245D">
        <w:rPr>
          <w:rStyle w:val="FootnoteReference"/>
        </w:rPr>
        <w:footnoteReference w:id="24"/>
      </w:r>
      <w:r w:rsidR="00C0245D">
        <w:rPr>
          <w:vertAlign w:val="superscript"/>
        </w:rPr>
        <w:t>,</w:t>
      </w:r>
      <w:r w:rsidR="00C0245D">
        <w:rPr>
          <w:rStyle w:val="FootnoteReference"/>
        </w:rPr>
        <w:footnoteReference w:id="25"/>
      </w:r>
      <w:r w:rsidRPr="006A37CA">
        <w:t xml:space="preserve"> and do not generate immunologic memory, so that their protective effect wanes over 2</w:t>
      </w:r>
      <w:r w:rsidR="00C0245D">
        <w:t> </w:t>
      </w:r>
      <w:r w:rsidRPr="006A37CA">
        <w:t>to 5</w:t>
      </w:r>
      <w:r w:rsidR="00CB365D" w:rsidRPr="006A37CA">
        <w:t> </w:t>
      </w:r>
      <w:r w:rsidRPr="006A37CA">
        <w:t>years.</w:t>
      </w:r>
      <w:r w:rsidR="009F39E1">
        <w:rPr>
          <w:rStyle w:val="FootnoteReference"/>
        </w:rPr>
        <w:footnoteReference w:id="26"/>
      </w:r>
      <w:r w:rsidR="009F39E1">
        <w:rPr>
          <w:vertAlign w:val="superscript"/>
        </w:rPr>
        <w:t>,</w:t>
      </w:r>
      <w:r w:rsidR="009F39E1">
        <w:rPr>
          <w:rStyle w:val="FootnoteReference"/>
        </w:rPr>
        <w:footnoteReference w:id="27"/>
      </w:r>
      <w:r w:rsidRPr="006A37CA">
        <w:t xml:space="preserve"> Another reported limitation is that in several studies, individuals vaccinated with </w:t>
      </w:r>
      <w:r w:rsidR="00E171F6" w:rsidRPr="006A37CA">
        <w:t>Pneumovax 23</w:t>
      </w:r>
      <w:r w:rsidRPr="006A37CA">
        <w:t xml:space="preserve"> had diminished functional antibody responses following subsequent vaccination with either another dose of pneumococcal polysaccharide vaccine or, to a lesser extent, a dose of pneumococcal conjugate vaccine, compared with the first dose of </w:t>
      </w:r>
      <w:r w:rsidRPr="006A37CA">
        <w:lastRenderedPageBreak/>
        <w:t>polysaccharide vaccine.</w:t>
      </w:r>
      <w:r w:rsidR="00C0245D">
        <w:rPr>
          <w:rStyle w:val="FootnoteReference"/>
        </w:rPr>
        <w:footnoteReference w:id="28"/>
      </w:r>
      <w:r w:rsidR="00C0245D">
        <w:rPr>
          <w:vertAlign w:val="superscript"/>
        </w:rPr>
        <w:t>,</w:t>
      </w:r>
      <w:r w:rsidR="00966B9B">
        <w:rPr>
          <w:rStyle w:val="FootnoteReference"/>
        </w:rPr>
        <w:footnoteReference w:id="29"/>
      </w:r>
      <w:r w:rsidRPr="006A37CA">
        <w:t xml:space="preserve"> The </w:t>
      </w:r>
      <w:r w:rsidR="00CB365D" w:rsidRPr="006A37CA">
        <w:t>sponsor</w:t>
      </w:r>
      <w:r w:rsidRPr="006A37CA">
        <w:t xml:space="preserve"> notes that published literature indicates that, while </w:t>
      </w:r>
      <w:r w:rsidR="00E171F6" w:rsidRPr="006A37CA">
        <w:t>Pneumovax 23</w:t>
      </w:r>
      <w:r w:rsidRPr="006A37CA">
        <w:t xml:space="preserve"> is effective against </w:t>
      </w:r>
      <w:r w:rsidR="00DF2B5F" w:rsidRPr="006A37CA">
        <w:t>invasive pneumococcal disease</w:t>
      </w:r>
      <w:r w:rsidRPr="006A37CA">
        <w:t>, albeit temporarily</w:t>
      </w:r>
      <w:r w:rsidR="00C149EC">
        <w:t>;</w:t>
      </w:r>
      <w:r w:rsidR="00C149EC">
        <w:rPr>
          <w:rStyle w:val="FootnoteReference"/>
        </w:rPr>
        <w:footnoteReference w:id="30"/>
      </w:r>
      <w:r w:rsidRPr="006A37CA">
        <w:t xml:space="preserve"> studies on the ability of </w:t>
      </w:r>
      <w:r w:rsidR="00E171F6" w:rsidRPr="006A37CA">
        <w:t>Pneumovax 23</w:t>
      </w:r>
      <w:r w:rsidRPr="006A37CA">
        <w:t xml:space="preserve"> to prevent non-invasive disease, including non-</w:t>
      </w:r>
      <w:proofErr w:type="spellStart"/>
      <w:r w:rsidRPr="006A37CA">
        <w:t>bacteraemic</w:t>
      </w:r>
      <w:proofErr w:type="spellEnd"/>
      <w:r w:rsidRPr="006A37CA">
        <w:t xml:space="preserve"> pneumonia, have been inconclusive.</w:t>
      </w:r>
      <w:r w:rsidR="0030636D">
        <w:rPr>
          <w:rStyle w:val="FootnoteReference"/>
        </w:rPr>
        <w:footnoteReference w:id="31"/>
      </w:r>
      <w:r w:rsidR="0030636D">
        <w:rPr>
          <w:vertAlign w:val="superscript"/>
        </w:rPr>
        <w:t>,</w:t>
      </w:r>
      <w:r w:rsidR="0030636D">
        <w:rPr>
          <w:rStyle w:val="FootnoteReference"/>
        </w:rPr>
        <w:footnoteReference w:id="32"/>
      </w:r>
      <w:r w:rsidR="0030636D">
        <w:rPr>
          <w:vertAlign w:val="superscript"/>
        </w:rPr>
        <w:t>,</w:t>
      </w:r>
      <w:r w:rsidR="00C149EC">
        <w:rPr>
          <w:rStyle w:val="FootnoteReference"/>
        </w:rPr>
        <w:footnoteReference w:id="33"/>
      </w:r>
      <w:r w:rsidR="00C0245D">
        <w:rPr>
          <w:vertAlign w:val="superscript"/>
        </w:rPr>
        <w:t>,</w:t>
      </w:r>
      <w:r w:rsidR="00C0245D">
        <w:rPr>
          <w:rStyle w:val="FootnoteReference"/>
        </w:rPr>
        <w:footnoteReference w:id="34"/>
      </w:r>
      <w:r w:rsidR="00C0245D">
        <w:rPr>
          <w:vertAlign w:val="superscript"/>
        </w:rPr>
        <w:t>,</w:t>
      </w:r>
      <w:r w:rsidR="00C0245D">
        <w:rPr>
          <w:rStyle w:val="FootnoteReference"/>
        </w:rPr>
        <w:footnoteReference w:id="35"/>
      </w:r>
      <w:r w:rsidR="00C0245D">
        <w:rPr>
          <w:vertAlign w:val="superscript"/>
        </w:rPr>
        <w:t>,</w:t>
      </w:r>
      <w:r w:rsidR="00C0245D">
        <w:rPr>
          <w:rStyle w:val="FootnoteReference"/>
        </w:rPr>
        <w:footnoteReference w:id="36"/>
      </w:r>
      <w:r w:rsidR="00C0245D">
        <w:rPr>
          <w:vertAlign w:val="superscript"/>
        </w:rPr>
        <w:t>,</w:t>
      </w:r>
    </w:p>
    <w:p w14:paraId="0CAA1263" w14:textId="11A9A842" w:rsidR="00B358CE" w:rsidRPr="006A37CA" w:rsidRDefault="00B358CE" w:rsidP="00B358CE">
      <w:r w:rsidRPr="006A37CA">
        <w:t>Following the original application to register Prevenar (</w:t>
      </w:r>
      <w:r w:rsidR="006A37CA" w:rsidRPr="006A37CA">
        <w:t xml:space="preserve">7-valent pneumococcal conjugate vaccine </w:t>
      </w:r>
      <w:r w:rsidR="006A37CA">
        <w:t>(</w:t>
      </w:r>
      <w:r w:rsidRPr="006A37CA">
        <w:t>7vPnC</w:t>
      </w:r>
      <w:r w:rsidR="006A37CA">
        <w:t>)</w:t>
      </w:r>
      <w:r w:rsidRPr="006A37CA">
        <w:t xml:space="preserve">) in 2000 and then </w:t>
      </w:r>
      <w:r w:rsidR="006A37CA" w:rsidRPr="006A37CA">
        <w:t>Prevenar 13</w:t>
      </w:r>
      <w:r w:rsidRPr="006A37CA">
        <w:t xml:space="preserve"> in 2009, </w:t>
      </w:r>
      <w:r w:rsidR="00C149EC">
        <w:t>t</w:t>
      </w:r>
      <w:r w:rsidRPr="006A37CA">
        <w:t xml:space="preserve">he </w:t>
      </w:r>
      <w:r w:rsidR="00CB365D" w:rsidRPr="006A37CA">
        <w:t>sponsor</w:t>
      </w:r>
      <w:r w:rsidRPr="006A37CA">
        <w:t xml:space="preserve"> now seeks registration of </w:t>
      </w:r>
      <w:bookmarkStart w:id="25" w:name="_Hlk132117081"/>
      <w:r w:rsidR="00CB365D" w:rsidRPr="006A37CA">
        <w:t>Prevenar</w:t>
      </w:r>
      <w:r w:rsidRPr="006A37CA">
        <w:t xml:space="preserve"> 20</w:t>
      </w:r>
      <w:r w:rsidR="006A37CA">
        <w:t xml:space="preserve"> </w:t>
      </w:r>
      <w:bookmarkEnd w:id="25"/>
      <w:r w:rsidR="006A37CA">
        <w:t>(</w:t>
      </w:r>
      <w:r w:rsidR="006A37CA" w:rsidRPr="006A37CA">
        <w:t>20-valent pneumococcal conjugate vaccine</w:t>
      </w:r>
      <w:r w:rsidR="006A37CA">
        <w:t xml:space="preserve"> (20</w:t>
      </w:r>
      <w:r w:rsidR="006A37CA" w:rsidRPr="006A37CA">
        <w:t>vPnC</w:t>
      </w:r>
      <w:r w:rsidR="006A37CA">
        <w:t>)</w:t>
      </w:r>
      <w:r w:rsidRPr="006A37CA">
        <w:t xml:space="preserve">, which provides protection against the 13 </w:t>
      </w:r>
      <w:r w:rsidRPr="006A37CA">
        <w:rPr>
          <w:i/>
          <w:iCs/>
        </w:rPr>
        <w:t>Streptococcus pneumoniae</w:t>
      </w:r>
      <w:r w:rsidRPr="006A37CA">
        <w:t xml:space="preserve"> serotypes in </w:t>
      </w:r>
      <w:r w:rsidR="006A37CA" w:rsidRPr="006A37CA">
        <w:t>Prevenar 13</w:t>
      </w:r>
      <w:r w:rsidRPr="006A37CA">
        <w:t xml:space="preserve"> plus an additional 7</w:t>
      </w:r>
      <w:r w:rsidR="00C149EC">
        <w:t> </w:t>
      </w:r>
      <w:r w:rsidRPr="006A37CA">
        <w:t>serotypes.</w:t>
      </w:r>
    </w:p>
    <w:p w14:paraId="739005E0" w14:textId="46F97448" w:rsidR="00B358CE" w:rsidRPr="006A37CA" w:rsidRDefault="00B358CE" w:rsidP="00B358CE">
      <w:r w:rsidRPr="006A37CA">
        <w:t xml:space="preserve">The additional 7 serotypes (8, 10A, 11A, 12F, 15B, 22F, and 33F) included in </w:t>
      </w:r>
      <w:r w:rsidR="00CB365D" w:rsidRPr="006A37CA">
        <w:t>Prevenar</w:t>
      </w:r>
      <w:r w:rsidR="00C149EC">
        <w:t> </w:t>
      </w:r>
      <w:r w:rsidRPr="006A37CA">
        <w:t>20 are each individually conjugated to the same carrier protein (</w:t>
      </w:r>
      <w:r w:rsidR="00DF2B5F" w:rsidRPr="006A37CA">
        <w:t>nontoxic variant of diphtheria toxin cross-reactive material 197</w:t>
      </w:r>
      <w:r w:rsidRPr="006A37CA">
        <w:t xml:space="preserve">) as currently used in </w:t>
      </w:r>
      <w:r w:rsidR="00CB365D" w:rsidRPr="006A37CA">
        <w:t>Prevenar</w:t>
      </w:r>
      <w:r w:rsidRPr="006A37CA">
        <w:t xml:space="preserve"> 13. Similarly, the formulation and dose level of each capsular polysaccharide conjugate in </w:t>
      </w:r>
      <w:r w:rsidR="00CB365D" w:rsidRPr="006A37CA">
        <w:t>Prevenar</w:t>
      </w:r>
      <w:r w:rsidRPr="006A37CA">
        <w:t xml:space="preserve"> 20 are consistent with those of </w:t>
      </w:r>
      <w:r w:rsidR="00CB365D" w:rsidRPr="006A37CA">
        <w:t>Prevenar</w:t>
      </w:r>
      <w:r w:rsidRPr="006A37CA">
        <w:t xml:space="preserve"> 13. These additional serotypes are responsible for a substantial proportion of the remaining burden of invasive and non-invasive pneumococcal disease in both adult and paediatric populations globally. The </w:t>
      </w:r>
      <w:r w:rsidR="00CB365D" w:rsidRPr="006A37CA">
        <w:t>sponsor</w:t>
      </w:r>
      <w:r w:rsidRPr="006A37CA">
        <w:t xml:space="preserve"> stated that, </w:t>
      </w:r>
      <w:r w:rsidR="00CB365D" w:rsidRPr="006A37CA">
        <w:t>‘</w:t>
      </w:r>
      <w:r w:rsidRPr="006A37CA">
        <w:t>given the limitations of unconjugated vaccines and the current prevalence of pneumococcal disease due to the additional 7 serotypes not covered by Prevenar 13, a medical need exists for a pneumococcal conjugate vaccine with expanded coverage</w:t>
      </w:r>
      <w:r w:rsidR="00CB365D" w:rsidRPr="006A37CA">
        <w:t>’</w:t>
      </w:r>
      <w:r w:rsidRPr="006A37CA">
        <w:t>.</w:t>
      </w:r>
    </w:p>
    <w:p w14:paraId="0D615854" w14:textId="4DE4B2B8" w:rsidR="00324B33" w:rsidRPr="006A37CA" w:rsidRDefault="00324B33" w:rsidP="00324B33">
      <w:pPr>
        <w:pStyle w:val="Heading3"/>
      </w:pPr>
      <w:bookmarkStart w:id="26" w:name="_Toc135124805"/>
      <w:r w:rsidRPr="006A37CA">
        <w:t>Regulatory status</w:t>
      </w:r>
      <w:bookmarkEnd w:id="15"/>
      <w:bookmarkEnd w:id="16"/>
      <w:bookmarkEnd w:id="23"/>
      <w:bookmarkEnd w:id="26"/>
    </w:p>
    <w:p w14:paraId="6A8633FA" w14:textId="5AC75056" w:rsidR="00324B33" w:rsidRPr="006A37CA" w:rsidRDefault="00324B33" w:rsidP="00324B33">
      <w:r w:rsidRPr="006A37CA">
        <w:t>This product is considered a new biological entity medicine for Australian regulatory purposes.</w:t>
      </w:r>
    </w:p>
    <w:p w14:paraId="715B7D2A" w14:textId="524C283B" w:rsidR="00324B33" w:rsidRPr="006A37CA" w:rsidRDefault="00324B33" w:rsidP="00324B33">
      <w:r w:rsidRPr="006A37CA">
        <w:t xml:space="preserve">At the time the TGA considered this submission, a similar submission had been approved in </w:t>
      </w:r>
      <w:r w:rsidR="00B358CE" w:rsidRPr="006A37CA">
        <w:t xml:space="preserve">Canada on </w:t>
      </w:r>
      <w:r w:rsidR="00BC1006">
        <w:t xml:space="preserve">9 May </w:t>
      </w:r>
      <w:r w:rsidR="0023473B">
        <w:t>2022</w:t>
      </w:r>
      <w:r w:rsidR="00B358CE" w:rsidRPr="006A37CA">
        <w:t>, European Union</w:t>
      </w:r>
      <w:r w:rsidR="0055561A" w:rsidRPr="006A37CA">
        <w:t xml:space="preserve"> (EU)</w:t>
      </w:r>
      <w:r w:rsidR="00B358CE" w:rsidRPr="006A37CA">
        <w:t xml:space="preserve"> on </w:t>
      </w:r>
      <w:r w:rsidR="0023473B">
        <w:t>14 February 2022</w:t>
      </w:r>
      <w:r w:rsidR="00B358CE" w:rsidRPr="006A37CA">
        <w:t xml:space="preserve">, United Kingdom on </w:t>
      </w:r>
      <w:r w:rsidR="0077658F">
        <w:t>11</w:t>
      </w:r>
      <w:r w:rsidR="00C149EC">
        <w:t> </w:t>
      </w:r>
      <w:r w:rsidR="0077658F">
        <w:t>March 2022</w:t>
      </w:r>
      <w:r w:rsidR="00B358CE" w:rsidRPr="006A37CA">
        <w:t>, and United States of America</w:t>
      </w:r>
      <w:r w:rsidR="0055561A" w:rsidRPr="006A37CA">
        <w:t xml:space="preserve"> (USA)</w:t>
      </w:r>
      <w:r w:rsidR="00B358CE" w:rsidRPr="006A37CA">
        <w:t xml:space="preserve"> on </w:t>
      </w:r>
      <w:r w:rsidR="004200D4">
        <w:t>8</w:t>
      </w:r>
      <w:r w:rsidR="001B6D08">
        <w:t xml:space="preserve"> June 2021</w:t>
      </w:r>
      <w:r w:rsidR="00B358CE" w:rsidRPr="006A37CA">
        <w:t xml:space="preserve">. </w:t>
      </w:r>
      <w:r w:rsidRPr="006A37CA">
        <w:t xml:space="preserve">A similar submission was under consideration in </w:t>
      </w:r>
      <w:r w:rsidR="00B358CE" w:rsidRPr="006A37CA">
        <w:t>Singapore</w:t>
      </w:r>
      <w:r w:rsidRPr="006A37CA">
        <w:t xml:space="preserve"> (submitted on </w:t>
      </w:r>
      <w:r w:rsidR="00B358CE" w:rsidRPr="006A37CA">
        <w:t>18</w:t>
      </w:r>
      <w:r w:rsidR="00BB7BFC">
        <w:t> </w:t>
      </w:r>
      <w:r w:rsidR="00B358CE" w:rsidRPr="006A37CA">
        <w:t>May</w:t>
      </w:r>
      <w:r w:rsidR="00BB7BFC">
        <w:t> </w:t>
      </w:r>
      <w:r w:rsidR="00B358CE" w:rsidRPr="006A37CA">
        <w:t>2022</w:t>
      </w:r>
      <w:r w:rsidRPr="006A37CA">
        <w:t>).</w:t>
      </w:r>
    </w:p>
    <w:p w14:paraId="1B9AB90D" w14:textId="3E8AA98C" w:rsidR="00324B33" w:rsidRPr="006A37CA" w:rsidRDefault="00324B33" w:rsidP="00324B33">
      <w:r w:rsidRPr="006A37CA">
        <w:t>The following table summarises these submissions and provides the indications where approved.</w:t>
      </w:r>
    </w:p>
    <w:p w14:paraId="19B9E0AC" w14:textId="4E4C8327" w:rsidR="00324B33" w:rsidRPr="00AC74BD" w:rsidRDefault="00324B33" w:rsidP="00AC74BD">
      <w:pPr>
        <w:pStyle w:val="TableTitle0"/>
      </w:pPr>
      <w:bookmarkStart w:id="27" w:name="_Ref99705479"/>
      <w:r w:rsidRPr="00AC74BD">
        <w:lastRenderedPageBreak/>
        <w:t xml:space="preserve">Table </w:t>
      </w:r>
      <w:fldSimple w:instr=" SEQ Table \* ARABIC ">
        <w:r w:rsidR="00AC74BD">
          <w:rPr>
            <w:noProof/>
          </w:rPr>
          <w:t>1</w:t>
        </w:r>
      </w:fldSimple>
      <w:bookmarkEnd w:id="27"/>
      <w:r w:rsidRPr="00AC74BD">
        <w:t>: International regulatory status</w:t>
      </w:r>
    </w:p>
    <w:tbl>
      <w:tblPr>
        <w:tblStyle w:val="TableTGAblue2023"/>
        <w:tblW w:w="0" w:type="auto"/>
        <w:tblLayout w:type="fixed"/>
        <w:tblLook w:val="04A0" w:firstRow="1" w:lastRow="0" w:firstColumn="1" w:lastColumn="0" w:noHBand="0" w:noVBand="1"/>
      </w:tblPr>
      <w:tblGrid>
        <w:gridCol w:w="1355"/>
        <w:gridCol w:w="1979"/>
        <w:gridCol w:w="2061"/>
        <w:gridCol w:w="3665"/>
      </w:tblGrid>
      <w:tr w:rsidR="00324B33" w:rsidRPr="006A37CA" w14:paraId="405E5D78" w14:textId="16839333" w:rsidTr="00D33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14:paraId="185B099B" w14:textId="7A4C0E6C" w:rsidR="00324B33" w:rsidRPr="006A37CA" w:rsidRDefault="00324B33" w:rsidP="00324B33">
            <w:r w:rsidRPr="006A37CA">
              <w:t>Region</w:t>
            </w:r>
          </w:p>
        </w:tc>
        <w:tc>
          <w:tcPr>
            <w:tcW w:w="1979" w:type="dxa"/>
          </w:tcPr>
          <w:p w14:paraId="778C35C7" w14:textId="52D23C85" w:rsidR="00324B33" w:rsidRPr="006A37CA" w:rsidRDefault="00324B33" w:rsidP="00324B33">
            <w:pPr>
              <w:cnfStyle w:val="100000000000" w:firstRow="1" w:lastRow="0" w:firstColumn="0" w:lastColumn="0" w:oddVBand="0" w:evenVBand="0" w:oddHBand="0" w:evenHBand="0" w:firstRowFirstColumn="0" w:firstRowLastColumn="0" w:lastRowFirstColumn="0" w:lastRowLastColumn="0"/>
            </w:pPr>
            <w:r w:rsidRPr="006A37CA">
              <w:t>Submission date</w:t>
            </w:r>
          </w:p>
        </w:tc>
        <w:tc>
          <w:tcPr>
            <w:tcW w:w="2061" w:type="dxa"/>
          </w:tcPr>
          <w:p w14:paraId="58F81584" w14:textId="66689ABF" w:rsidR="00324B33" w:rsidRPr="006A37CA" w:rsidRDefault="00324B33" w:rsidP="00324B33">
            <w:pPr>
              <w:cnfStyle w:val="100000000000" w:firstRow="1" w:lastRow="0" w:firstColumn="0" w:lastColumn="0" w:oddVBand="0" w:evenVBand="0" w:oddHBand="0" w:evenHBand="0" w:firstRowFirstColumn="0" w:firstRowLastColumn="0" w:lastRowFirstColumn="0" w:lastRowLastColumn="0"/>
            </w:pPr>
            <w:r w:rsidRPr="006A37CA">
              <w:t>Status</w:t>
            </w:r>
          </w:p>
        </w:tc>
        <w:tc>
          <w:tcPr>
            <w:tcW w:w="3665" w:type="dxa"/>
          </w:tcPr>
          <w:p w14:paraId="50B2D435" w14:textId="560588D2" w:rsidR="00324B33" w:rsidRPr="006A37CA" w:rsidRDefault="00324B33" w:rsidP="00324B33">
            <w:pPr>
              <w:cnfStyle w:val="100000000000" w:firstRow="1" w:lastRow="0" w:firstColumn="0" w:lastColumn="0" w:oddVBand="0" w:evenVBand="0" w:oddHBand="0" w:evenHBand="0" w:firstRowFirstColumn="0" w:firstRowLastColumn="0" w:lastRowFirstColumn="0" w:lastRowLastColumn="0"/>
            </w:pPr>
            <w:r w:rsidRPr="006A37CA">
              <w:t>Approved indications</w:t>
            </w:r>
          </w:p>
        </w:tc>
      </w:tr>
      <w:tr w:rsidR="00324B33" w:rsidRPr="006A37CA" w14:paraId="38D24E86" w14:textId="77777777" w:rsidTr="00D33247">
        <w:tc>
          <w:tcPr>
            <w:cnfStyle w:val="001000000000" w:firstRow="0" w:lastRow="0" w:firstColumn="1" w:lastColumn="0" w:oddVBand="0" w:evenVBand="0" w:oddHBand="0" w:evenHBand="0" w:firstRowFirstColumn="0" w:firstRowLastColumn="0" w:lastRowFirstColumn="0" w:lastRowLastColumn="0"/>
            <w:tcW w:w="1355" w:type="dxa"/>
          </w:tcPr>
          <w:p w14:paraId="4C540DE5" w14:textId="06976816" w:rsidR="00324B33" w:rsidRPr="006A37CA" w:rsidRDefault="007C18D7" w:rsidP="00B358CE">
            <w:pPr>
              <w:ind w:left="0"/>
            </w:pPr>
            <w:r w:rsidRPr="006A37CA">
              <w:t>Canada</w:t>
            </w:r>
          </w:p>
        </w:tc>
        <w:tc>
          <w:tcPr>
            <w:tcW w:w="1979" w:type="dxa"/>
          </w:tcPr>
          <w:p w14:paraId="4FA5DDA9" w14:textId="58F72213" w:rsidR="00324B33"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24 May 2021</w:t>
            </w:r>
          </w:p>
        </w:tc>
        <w:tc>
          <w:tcPr>
            <w:tcW w:w="2061" w:type="dxa"/>
          </w:tcPr>
          <w:p w14:paraId="29358393" w14:textId="1188521A" w:rsidR="00324B33" w:rsidRPr="006A37CA" w:rsidRDefault="00324B33" w:rsidP="00B358CE">
            <w:pPr>
              <w:ind w:left="0"/>
              <w:cnfStyle w:val="000000000000" w:firstRow="0" w:lastRow="0" w:firstColumn="0" w:lastColumn="0" w:oddVBand="0" w:evenVBand="0" w:oddHBand="0" w:evenHBand="0" w:firstRowFirstColumn="0" w:firstRowLastColumn="0" w:lastRowFirstColumn="0" w:lastRowLastColumn="0"/>
            </w:pPr>
            <w:r w:rsidRPr="006A37CA">
              <w:t xml:space="preserve">Approved on </w:t>
            </w:r>
            <w:r w:rsidR="00DE2E8B">
              <w:t>9</w:t>
            </w:r>
            <w:r w:rsidR="00C149EC">
              <w:t> </w:t>
            </w:r>
            <w:r w:rsidR="00DE2E8B">
              <w:t>May</w:t>
            </w:r>
            <w:r w:rsidR="00C149EC">
              <w:t> </w:t>
            </w:r>
            <w:r w:rsidR="00DE2E8B">
              <w:t>2022</w:t>
            </w:r>
          </w:p>
        </w:tc>
        <w:tc>
          <w:tcPr>
            <w:tcW w:w="3665" w:type="dxa"/>
          </w:tcPr>
          <w:p w14:paraId="05055674" w14:textId="252C52C8" w:rsidR="00324B33" w:rsidRPr="006A37CA" w:rsidRDefault="007C18D7" w:rsidP="000D4FB1">
            <w:pPr>
              <w:ind w:left="0"/>
              <w:cnfStyle w:val="000000000000" w:firstRow="0" w:lastRow="0" w:firstColumn="0" w:lastColumn="0" w:oddVBand="0" w:evenVBand="0" w:oddHBand="0" w:evenHBand="0" w:firstRowFirstColumn="0" w:firstRowLastColumn="0" w:lastRowFirstColumn="0" w:lastRowLastColumn="0"/>
              <w:rPr>
                <w:i/>
                <w:iCs/>
              </w:rPr>
            </w:pPr>
            <w:r w:rsidRPr="006A37CA">
              <w:rPr>
                <w:i/>
                <w:iCs/>
              </w:rPr>
              <w:t xml:space="preserve">Active immunization for the prevention of pneumonia and invasive pneumococcal disease (including sepsis, meningitis, </w:t>
            </w:r>
            <w:proofErr w:type="spellStart"/>
            <w:r w:rsidRPr="006A37CA">
              <w:rPr>
                <w:i/>
                <w:iCs/>
              </w:rPr>
              <w:t>bacteremic</w:t>
            </w:r>
            <w:proofErr w:type="spellEnd"/>
            <w:r w:rsidRPr="006A37CA">
              <w:rPr>
                <w:i/>
                <w:iCs/>
              </w:rPr>
              <w:t xml:space="preserve"> pneumonia, pleural </w:t>
            </w:r>
            <w:proofErr w:type="gramStart"/>
            <w:r w:rsidRPr="006A37CA">
              <w:rPr>
                <w:i/>
                <w:iCs/>
              </w:rPr>
              <w:t>empyema</w:t>
            </w:r>
            <w:proofErr w:type="gramEnd"/>
            <w:r w:rsidRPr="006A37CA">
              <w:rPr>
                <w:i/>
                <w:iCs/>
              </w:rPr>
              <w:t xml:space="preserve"> and </w:t>
            </w:r>
            <w:proofErr w:type="spellStart"/>
            <w:r w:rsidRPr="006A37CA">
              <w:rPr>
                <w:i/>
                <w:iCs/>
              </w:rPr>
              <w:t>bacteremia</w:t>
            </w:r>
            <w:proofErr w:type="spellEnd"/>
            <w:r w:rsidRPr="006A37CA">
              <w:rPr>
                <w:i/>
                <w:iCs/>
              </w:rPr>
              <w:t>) caused by Streptococcus pneumoniae serotypes 1, 3, 4, 5, 6A, 6B, 7F, 8, 9V, 10A, 11A, 12F, 14, 15B, 18C, 19A, 19F, 22F, 23F, and 33F in adults 18 years of age and older.</w:t>
            </w:r>
          </w:p>
        </w:tc>
      </w:tr>
      <w:tr w:rsidR="00324B33" w:rsidRPr="006A37CA" w14:paraId="18B6E2AA" w14:textId="7783D66F" w:rsidTr="00D33247">
        <w:tc>
          <w:tcPr>
            <w:cnfStyle w:val="001000000000" w:firstRow="0" w:lastRow="0" w:firstColumn="1" w:lastColumn="0" w:oddVBand="0" w:evenVBand="0" w:oddHBand="0" w:evenHBand="0" w:firstRowFirstColumn="0" w:firstRowLastColumn="0" w:lastRowFirstColumn="0" w:lastRowLastColumn="0"/>
            <w:tcW w:w="1355" w:type="dxa"/>
          </w:tcPr>
          <w:p w14:paraId="7F348960" w14:textId="51EDC6B3" w:rsidR="00324B33" w:rsidRPr="006A37CA" w:rsidRDefault="007C18D7" w:rsidP="00B358CE">
            <w:pPr>
              <w:ind w:left="0"/>
            </w:pPr>
            <w:r w:rsidRPr="006A37CA">
              <w:t>European Union</w:t>
            </w:r>
          </w:p>
        </w:tc>
        <w:tc>
          <w:tcPr>
            <w:tcW w:w="1979" w:type="dxa"/>
          </w:tcPr>
          <w:p w14:paraId="1D871E57" w14:textId="0C890450" w:rsidR="00324B33"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 xml:space="preserve">5 </w:t>
            </w:r>
            <w:r w:rsidR="00D33247" w:rsidRPr="006A37CA">
              <w:t>Feb</w:t>
            </w:r>
            <w:r w:rsidR="00D33247">
              <w:t>ruary</w:t>
            </w:r>
            <w:r w:rsidRPr="006A37CA">
              <w:t xml:space="preserve"> 2021</w:t>
            </w:r>
          </w:p>
        </w:tc>
        <w:tc>
          <w:tcPr>
            <w:tcW w:w="2061" w:type="dxa"/>
          </w:tcPr>
          <w:p w14:paraId="63A3A9D3" w14:textId="7BAD7CAC" w:rsidR="00324B33"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Approved</w:t>
            </w:r>
            <w:r w:rsidR="00B358CE" w:rsidRPr="006A37CA">
              <w:t xml:space="preserve"> on </w:t>
            </w:r>
            <w:r w:rsidR="00201053">
              <w:t>14</w:t>
            </w:r>
            <w:r w:rsidR="00C149EC">
              <w:t> </w:t>
            </w:r>
            <w:r w:rsidR="00972D84">
              <w:t>Feb</w:t>
            </w:r>
            <w:r w:rsidR="00B64EAC">
              <w:t>ruary</w:t>
            </w:r>
            <w:r w:rsidR="00972D84">
              <w:t xml:space="preserve"> 2022</w:t>
            </w:r>
          </w:p>
        </w:tc>
        <w:tc>
          <w:tcPr>
            <w:tcW w:w="3665" w:type="dxa"/>
          </w:tcPr>
          <w:p w14:paraId="17C650B8" w14:textId="3877D576" w:rsidR="00324B33" w:rsidRPr="006A37CA" w:rsidRDefault="007C18D7" w:rsidP="00B358CE">
            <w:pPr>
              <w:ind w:left="0"/>
              <w:cnfStyle w:val="000000000000" w:firstRow="0" w:lastRow="0" w:firstColumn="0" w:lastColumn="0" w:oddVBand="0" w:evenVBand="0" w:oddHBand="0" w:evenHBand="0" w:firstRowFirstColumn="0" w:firstRowLastColumn="0" w:lastRowFirstColumn="0" w:lastRowLastColumn="0"/>
              <w:rPr>
                <w:i/>
                <w:iCs/>
              </w:rPr>
            </w:pPr>
            <w:r w:rsidRPr="006A37CA">
              <w:rPr>
                <w:i/>
                <w:iCs/>
              </w:rPr>
              <w:t>Active immunisation for the prevention of invasive disease and pneumonia caused by Streptococcus pneumoniae in individuals 18 years of age and older.</w:t>
            </w:r>
          </w:p>
        </w:tc>
      </w:tr>
      <w:tr w:rsidR="007C18D7" w:rsidRPr="006A37CA" w14:paraId="0B10D196" w14:textId="77777777" w:rsidTr="00D33247">
        <w:tc>
          <w:tcPr>
            <w:cnfStyle w:val="001000000000" w:firstRow="0" w:lastRow="0" w:firstColumn="1" w:lastColumn="0" w:oddVBand="0" w:evenVBand="0" w:oddHBand="0" w:evenHBand="0" w:firstRowFirstColumn="0" w:firstRowLastColumn="0" w:lastRowFirstColumn="0" w:lastRowLastColumn="0"/>
            <w:tcW w:w="1355" w:type="dxa"/>
          </w:tcPr>
          <w:p w14:paraId="2180BD1F" w14:textId="1E471FAA" w:rsidR="007C18D7" w:rsidRPr="006A37CA" w:rsidRDefault="007C18D7" w:rsidP="00B358CE">
            <w:pPr>
              <w:ind w:left="0"/>
            </w:pPr>
            <w:r w:rsidRPr="006A37CA">
              <w:t>Singapore</w:t>
            </w:r>
          </w:p>
        </w:tc>
        <w:tc>
          <w:tcPr>
            <w:tcW w:w="1979" w:type="dxa"/>
          </w:tcPr>
          <w:p w14:paraId="62E4099A" w14:textId="5796EBE0"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18 May 2022</w:t>
            </w:r>
          </w:p>
        </w:tc>
        <w:tc>
          <w:tcPr>
            <w:tcW w:w="2061" w:type="dxa"/>
          </w:tcPr>
          <w:p w14:paraId="615153C0" w14:textId="67D9E894" w:rsidR="007C18D7" w:rsidRPr="006A37CA" w:rsidRDefault="00B64EAC" w:rsidP="00B358CE">
            <w:pPr>
              <w:ind w:left="0"/>
              <w:cnfStyle w:val="000000000000" w:firstRow="0" w:lastRow="0" w:firstColumn="0" w:lastColumn="0" w:oddVBand="0" w:evenVBand="0" w:oddHBand="0" w:evenHBand="0" w:firstRowFirstColumn="0" w:firstRowLastColumn="0" w:lastRowFirstColumn="0" w:lastRowLastColumn="0"/>
            </w:pPr>
            <w:r>
              <w:t>Under consideration</w:t>
            </w:r>
          </w:p>
        </w:tc>
        <w:tc>
          <w:tcPr>
            <w:tcW w:w="3665" w:type="dxa"/>
          </w:tcPr>
          <w:p w14:paraId="0806E1CB" w14:textId="57B013DA" w:rsidR="007C18D7" w:rsidRPr="006A37CA" w:rsidRDefault="00B64EAC" w:rsidP="00943379">
            <w:pPr>
              <w:ind w:left="0"/>
              <w:cnfStyle w:val="000000000000" w:firstRow="0" w:lastRow="0" w:firstColumn="0" w:lastColumn="0" w:oddVBand="0" w:evenVBand="0" w:oddHBand="0" w:evenHBand="0" w:firstRowFirstColumn="0" w:firstRowLastColumn="0" w:lastRowFirstColumn="0" w:lastRowLastColumn="0"/>
            </w:pPr>
            <w:r>
              <w:t>Under consideration</w:t>
            </w:r>
          </w:p>
        </w:tc>
      </w:tr>
      <w:tr w:rsidR="007C18D7" w:rsidRPr="006A37CA" w14:paraId="124ABB36" w14:textId="77777777" w:rsidTr="00D33247">
        <w:tc>
          <w:tcPr>
            <w:cnfStyle w:val="001000000000" w:firstRow="0" w:lastRow="0" w:firstColumn="1" w:lastColumn="0" w:oddVBand="0" w:evenVBand="0" w:oddHBand="0" w:evenHBand="0" w:firstRowFirstColumn="0" w:firstRowLastColumn="0" w:lastRowFirstColumn="0" w:lastRowLastColumn="0"/>
            <w:tcW w:w="1355" w:type="dxa"/>
          </w:tcPr>
          <w:p w14:paraId="2351DFAC" w14:textId="34FE7DC2" w:rsidR="007C18D7" w:rsidRPr="006A37CA" w:rsidRDefault="007C18D7" w:rsidP="00B358CE">
            <w:pPr>
              <w:ind w:left="0"/>
            </w:pPr>
            <w:r w:rsidRPr="006A37CA">
              <w:t>United Kingdom</w:t>
            </w:r>
          </w:p>
        </w:tc>
        <w:tc>
          <w:tcPr>
            <w:tcW w:w="1979" w:type="dxa"/>
          </w:tcPr>
          <w:p w14:paraId="16FE826F" w14:textId="0077BE07"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22 Dec</w:t>
            </w:r>
            <w:r w:rsidR="00D33247">
              <w:t>ember</w:t>
            </w:r>
            <w:r w:rsidRPr="006A37CA">
              <w:t xml:space="preserve"> 2021</w:t>
            </w:r>
          </w:p>
        </w:tc>
        <w:tc>
          <w:tcPr>
            <w:tcW w:w="2061" w:type="dxa"/>
          </w:tcPr>
          <w:p w14:paraId="3CDE9199" w14:textId="6D964170"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Approved</w:t>
            </w:r>
            <w:r w:rsidR="00B358CE" w:rsidRPr="006A37CA">
              <w:t xml:space="preserve"> on </w:t>
            </w:r>
            <w:r w:rsidR="00C24CBA">
              <w:t>11</w:t>
            </w:r>
            <w:r w:rsidR="00C149EC">
              <w:t> </w:t>
            </w:r>
            <w:r w:rsidR="00C24CBA">
              <w:t>Mar</w:t>
            </w:r>
            <w:r w:rsidR="00B64EAC">
              <w:t>ch</w:t>
            </w:r>
            <w:r w:rsidR="00C24CBA">
              <w:t xml:space="preserve"> 2022</w:t>
            </w:r>
          </w:p>
        </w:tc>
        <w:tc>
          <w:tcPr>
            <w:tcW w:w="3665" w:type="dxa"/>
          </w:tcPr>
          <w:p w14:paraId="41847A0A" w14:textId="4DB5D90C"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rPr>
                <w:i/>
                <w:iCs/>
              </w:rPr>
            </w:pPr>
            <w:r w:rsidRPr="006A37CA">
              <w:rPr>
                <w:i/>
                <w:iCs/>
              </w:rPr>
              <w:t>Active immunisation for the prevention of invasive disease and pneumonia caused by Streptococcus pneumoniae in individuals 18 years of age and older.</w:t>
            </w:r>
          </w:p>
        </w:tc>
      </w:tr>
      <w:tr w:rsidR="007C18D7" w:rsidRPr="006A37CA" w14:paraId="4B3AF102" w14:textId="77777777" w:rsidTr="00D33247">
        <w:tc>
          <w:tcPr>
            <w:cnfStyle w:val="001000000000" w:firstRow="0" w:lastRow="0" w:firstColumn="1" w:lastColumn="0" w:oddVBand="0" w:evenVBand="0" w:oddHBand="0" w:evenHBand="0" w:firstRowFirstColumn="0" w:firstRowLastColumn="0" w:lastRowFirstColumn="0" w:lastRowLastColumn="0"/>
            <w:tcW w:w="1355" w:type="dxa"/>
          </w:tcPr>
          <w:p w14:paraId="7E392C66" w14:textId="47937183" w:rsidR="007C18D7" w:rsidRPr="006A37CA" w:rsidRDefault="007C18D7" w:rsidP="00B358CE">
            <w:pPr>
              <w:ind w:left="0"/>
            </w:pPr>
            <w:r w:rsidRPr="006A37CA">
              <w:t>United States of America</w:t>
            </w:r>
          </w:p>
        </w:tc>
        <w:tc>
          <w:tcPr>
            <w:tcW w:w="1979" w:type="dxa"/>
          </w:tcPr>
          <w:p w14:paraId="72693C30" w14:textId="6AA3F8DB"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8 Oct</w:t>
            </w:r>
            <w:r w:rsidR="00D33247">
              <w:t>ober</w:t>
            </w:r>
            <w:r w:rsidRPr="006A37CA">
              <w:t xml:space="preserve"> 2020</w:t>
            </w:r>
          </w:p>
        </w:tc>
        <w:tc>
          <w:tcPr>
            <w:tcW w:w="2061" w:type="dxa"/>
          </w:tcPr>
          <w:p w14:paraId="4A36F672" w14:textId="34BAF258"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pPr>
            <w:r w:rsidRPr="006A37CA">
              <w:t>Approved</w:t>
            </w:r>
            <w:r w:rsidR="00B358CE" w:rsidRPr="006A37CA">
              <w:t xml:space="preserve"> on</w:t>
            </w:r>
            <w:r w:rsidR="00970E5B">
              <w:t xml:space="preserve"> 8</w:t>
            </w:r>
            <w:r w:rsidR="00C149EC">
              <w:t> </w:t>
            </w:r>
            <w:r w:rsidR="00970E5B">
              <w:t>Jun</w:t>
            </w:r>
            <w:r w:rsidR="00B64EAC">
              <w:t>e</w:t>
            </w:r>
            <w:r w:rsidR="00970E5B">
              <w:t xml:space="preserve"> 2021</w:t>
            </w:r>
          </w:p>
        </w:tc>
        <w:tc>
          <w:tcPr>
            <w:tcW w:w="3665" w:type="dxa"/>
          </w:tcPr>
          <w:p w14:paraId="39995ABE" w14:textId="3A94B488" w:rsidR="007C18D7" w:rsidRPr="006A37CA" w:rsidRDefault="007C18D7" w:rsidP="00B358CE">
            <w:pPr>
              <w:ind w:left="0"/>
              <w:cnfStyle w:val="000000000000" w:firstRow="0" w:lastRow="0" w:firstColumn="0" w:lastColumn="0" w:oddVBand="0" w:evenVBand="0" w:oddHBand="0" w:evenHBand="0" w:firstRowFirstColumn="0" w:firstRowLastColumn="0" w:lastRowFirstColumn="0" w:lastRowLastColumn="0"/>
              <w:rPr>
                <w:i/>
                <w:iCs/>
              </w:rPr>
            </w:pPr>
            <w:r w:rsidRPr="006A37CA">
              <w:rPr>
                <w:i/>
                <w:iCs/>
              </w:rPr>
              <w:t>Active immunization for the prevention of pneumonia and invasive disease caused by Streptococcus pneumoniae serotypes 1, 3, 4, 5, 6A, 6B, 7F, 8, 9V, 10A, 11A, 12F, 14, 15B, 18C, 19A, 19F, 22F, 23F, and 33F in adults 18 years of age and older.</w:t>
            </w:r>
          </w:p>
        </w:tc>
      </w:tr>
    </w:tbl>
    <w:p w14:paraId="064CCADF" w14:textId="77777777" w:rsidR="00324B33" w:rsidRPr="006A37CA" w:rsidRDefault="00324B33" w:rsidP="00324B33">
      <w:pPr>
        <w:pStyle w:val="Heading3"/>
      </w:pPr>
      <w:bookmarkStart w:id="28" w:name="_Toc103679292"/>
      <w:bookmarkStart w:id="29" w:name="_Toc135124806"/>
      <w:r w:rsidRPr="006A37CA">
        <w:t>Product Information</w:t>
      </w:r>
      <w:bookmarkEnd w:id="28"/>
      <w:bookmarkEnd w:id="29"/>
    </w:p>
    <w:p w14:paraId="4B0F7D57" w14:textId="5B0FB416" w:rsidR="00324B33" w:rsidRPr="006A37CA" w:rsidRDefault="00324B33" w:rsidP="00324B33">
      <w:bookmarkStart w:id="30" w:name="_Toc504480011"/>
      <w:r w:rsidRPr="006A37CA">
        <w:t xml:space="preserve">The </w:t>
      </w:r>
      <w:hyperlink r:id="rId21" w:history="1">
        <w:r w:rsidRPr="006A37CA">
          <w:rPr>
            <w:rStyle w:val="Hyperlink"/>
          </w:rPr>
          <w:t>Product Information</w:t>
        </w:r>
      </w:hyperlink>
      <w:r w:rsidRPr="006A37CA">
        <w:t xml:space="preserve"> (</w:t>
      </w:r>
      <w:hyperlink r:id="rId22" w:history="1">
        <w:r w:rsidRPr="006A37CA">
          <w:rPr>
            <w:rStyle w:val="Hyperlink"/>
          </w:rPr>
          <w:t>PI</w:t>
        </w:r>
      </w:hyperlink>
      <w:r w:rsidRPr="006A37CA">
        <w:t>) approved with the submission which is described in this AusPAR can be found as Attachment 1. For the most recent PI</w:t>
      </w:r>
      <w:r w:rsidR="00A93DC6" w:rsidRPr="006A37CA">
        <w:t xml:space="preserve"> and </w:t>
      </w:r>
      <w:hyperlink r:id="rId23" w:history="1">
        <w:r w:rsidR="00A93DC6" w:rsidRPr="006A37CA">
          <w:rPr>
            <w:rStyle w:val="Hyperlink"/>
          </w:rPr>
          <w:t>Consumer Medicines Information</w:t>
        </w:r>
      </w:hyperlink>
      <w:r w:rsidR="00A93DC6" w:rsidRPr="006A37CA">
        <w:t xml:space="preserve"> (CMI)</w:t>
      </w:r>
      <w:r w:rsidRPr="006A37CA">
        <w:t xml:space="preserve">, please refer to the TGA </w:t>
      </w:r>
      <w:hyperlink r:id="rId24" w:history="1">
        <w:r w:rsidRPr="006A37CA">
          <w:rPr>
            <w:rStyle w:val="Hyperlink"/>
          </w:rPr>
          <w:t>PI/CMI search facility.</w:t>
        </w:r>
      </w:hyperlink>
    </w:p>
    <w:p w14:paraId="6D92589C" w14:textId="77777777" w:rsidR="00324B33" w:rsidRPr="006A37CA" w:rsidRDefault="00324B33" w:rsidP="00324B33">
      <w:pPr>
        <w:pStyle w:val="Heading2"/>
      </w:pPr>
      <w:bookmarkStart w:id="31" w:name="_Toc103679293"/>
      <w:bookmarkStart w:id="32" w:name="_Toc135124807"/>
      <w:r w:rsidRPr="006A37CA">
        <w:t>Registration timeline</w:t>
      </w:r>
      <w:bookmarkEnd w:id="30"/>
      <w:bookmarkEnd w:id="31"/>
      <w:bookmarkEnd w:id="32"/>
    </w:p>
    <w:p w14:paraId="225E3D87" w14:textId="1F3070CE" w:rsidR="00324B33" w:rsidRPr="006A37CA" w:rsidRDefault="00324B33" w:rsidP="00324B33">
      <w:r w:rsidRPr="006A37CA">
        <w:t>The following table captures the key steps and dates for this submission.</w:t>
      </w:r>
    </w:p>
    <w:p w14:paraId="6BB76942" w14:textId="047C93BA" w:rsidR="00477C4E" w:rsidRPr="006A37CA" w:rsidRDefault="00477C4E" w:rsidP="00324B33">
      <w:r w:rsidRPr="006A37CA">
        <w:t xml:space="preserve">This submission was evaluated under the </w:t>
      </w:r>
      <w:hyperlink r:id="rId25" w:history="1">
        <w:r w:rsidRPr="006A37CA">
          <w:rPr>
            <w:rStyle w:val="Hyperlink"/>
          </w:rPr>
          <w:t>standard prescription medicines registration process</w:t>
        </w:r>
      </w:hyperlink>
      <w:r w:rsidRPr="006A37CA">
        <w:t>.</w:t>
      </w:r>
    </w:p>
    <w:p w14:paraId="44628C5F" w14:textId="4BB037CF" w:rsidR="00324B33" w:rsidRPr="00AC74BD" w:rsidRDefault="00324B33" w:rsidP="00AC74BD">
      <w:pPr>
        <w:pStyle w:val="TableTitle0"/>
      </w:pPr>
      <w:r w:rsidRPr="00AC74BD">
        <w:lastRenderedPageBreak/>
        <w:t xml:space="preserve">Table </w:t>
      </w:r>
      <w:fldSimple w:instr=" SEQ Table \* ARABIC ">
        <w:r w:rsidR="00AC74BD">
          <w:rPr>
            <w:noProof/>
          </w:rPr>
          <w:t>2</w:t>
        </w:r>
      </w:fldSimple>
      <w:r w:rsidRPr="00AC74BD">
        <w:t xml:space="preserve">: Timeline for Submission </w:t>
      </w:r>
      <w:r w:rsidR="008557F6" w:rsidRPr="00AC74BD">
        <w:t>PM-2021-04721-1-2</w:t>
      </w:r>
    </w:p>
    <w:tbl>
      <w:tblPr>
        <w:tblStyle w:val="TableTGAblue2023"/>
        <w:tblW w:w="8642" w:type="dxa"/>
        <w:tblLook w:val="04A0" w:firstRow="1" w:lastRow="0" w:firstColumn="1" w:lastColumn="0" w:noHBand="0" w:noVBand="1"/>
      </w:tblPr>
      <w:tblGrid>
        <w:gridCol w:w="4390"/>
        <w:gridCol w:w="4252"/>
      </w:tblGrid>
      <w:tr w:rsidR="00324B33" w:rsidRPr="006A37CA"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6A37CA" w:rsidRDefault="00324B33" w:rsidP="00B358CE">
            <w:r w:rsidRPr="006A37CA">
              <w:t>Description</w:t>
            </w:r>
          </w:p>
        </w:tc>
        <w:tc>
          <w:tcPr>
            <w:tcW w:w="4252" w:type="dxa"/>
          </w:tcPr>
          <w:p w14:paraId="79AFDC4B" w14:textId="05792035" w:rsidR="00324B33" w:rsidRPr="006A37CA" w:rsidRDefault="00324B33" w:rsidP="00B358CE">
            <w:pPr>
              <w:cnfStyle w:val="100000000000" w:firstRow="1" w:lastRow="0" w:firstColumn="0" w:lastColumn="0" w:oddVBand="0" w:evenVBand="0" w:oddHBand="0" w:evenHBand="0" w:firstRowFirstColumn="0" w:firstRowLastColumn="0" w:lastRowFirstColumn="0" w:lastRowLastColumn="0"/>
            </w:pPr>
            <w:r w:rsidRPr="006A37CA">
              <w:t>Date</w:t>
            </w:r>
          </w:p>
        </w:tc>
      </w:tr>
      <w:tr w:rsidR="00324B33" w:rsidRPr="006A37CA"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6A37CA" w:rsidRDefault="00324B33" w:rsidP="00B358CE">
            <w:r w:rsidRPr="006A37CA">
              <w:t>Submission dossier accepted and first round evaluation commenced</w:t>
            </w:r>
          </w:p>
        </w:tc>
        <w:tc>
          <w:tcPr>
            <w:tcW w:w="4252" w:type="dxa"/>
          </w:tcPr>
          <w:p w14:paraId="2963D9D8" w14:textId="443775AD" w:rsidR="00324B33" w:rsidRPr="006A37CA" w:rsidRDefault="008557F6" w:rsidP="00B358CE">
            <w:pPr>
              <w:cnfStyle w:val="000000000000" w:firstRow="0" w:lastRow="0" w:firstColumn="0" w:lastColumn="0" w:oddVBand="0" w:evenVBand="0" w:oddHBand="0" w:evenHBand="0" w:firstRowFirstColumn="0" w:firstRowLastColumn="0" w:lastRowFirstColumn="0" w:lastRowLastColumn="0"/>
            </w:pPr>
            <w:r w:rsidRPr="006A37CA">
              <w:t>30 November 2021</w:t>
            </w:r>
          </w:p>
        </w:tc>
      </w:tr>
      <w:tr w:rsidR="00324B33" w:rsidRPr="006A37CA"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6A37CA" w:rsidRDefault="00324B33" w:rsidP="00B358CE">
            <w:r w:rsidRPr="006A37CA">
              <w:t>First round evaluation completed</w:t>
            </w:r>
          </w:p>
        </w:tc>
        <w:tc>
          <w:tcPr>
            <w:tcW w:w="4252" w:type="dxa"/>
          </w:tcPr>
          <w:p w14:paraId="3CEAFAAB" w14:textId="2AE79272" w:rsidR="00324B33" w:rsidRPr="006A37CA" w:rsidRDefault="008557F6" w:rsidP="00B358CE">
            <w:pPr>
              <w:cnfStyle w:val="000000000000" w:firstRow="0" w:lastRow="0" w:firstColumn="0" w:lastColumn="0" w:oddVBand="0" w:evenVBand="0" w:oddHBand="0" w:evenHBand="0" w:firstRowFirstColumn="0" w:firstRowLastColumn="0" w:lastRowFirstColumn="0" w:lastRowLastColumn="0"/>
            </w:pPr>
            <w:r w:rsidRPr="006A37CA">
              <w:t>2 May 2022</w:t>
            </w:r>
          </w:p>
        </w:tc>
      </w:tr>
      <w:tr w:rsidR="00324B33" w:rsidRPr="006A37CA"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6A37CA" w:rsidRDefault="00324B33" w:rsidP="00B358CE">
            <w:r w:rsidRPr="006A37CA">
              <w:t>Sponsor provides responses on questions raised in first round evaluation</w:t>
            </w:r>
          </w:p>
        </w:tc>
        <w:tc>
          <w:tcPr>
            <w:tcW w:w="4252" w:type="dxa"/>
          </w:tcPr>
          <w:p w14:paraId="68A577C1" w14:textId="7554EFDC" w:rsidR="00324B33"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1 July 2022</w:t>
            </w:r>
          </w:p>
        </w:tc>
      </w:tr>
      <w:tr w:rsidR="00324B33" w:rsidRPr="006A37CA"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6A37CA" w:rsidRDefault="00324B33" w:rsidP="00B358CE">
            <w:r w:rsidRPr="006A37CA">
              <w:t>Second round evaluation completed</w:t>
            </w:r>
          </w:p>
        </w:tc>
        <w:tc>
          <w:tcPr>
            <w:tcW w:w="4252" w:type="dxa"/>
          </w:tcPr>
          <w:p w14:paraId="4E47DF62" w14:textId="61091795" w:rsidR="00324B33" w:rsidRPr="006A37CA" w:rsidRDefault="008557F6" w:rsidP="00B358CE">
            <w:pPr>
              <w:cnfStyle w:val="000000000000" w:firstRow="0" w:lastRow="0" w:firstColumn="0" w:lastColumn="0" w:oddVBand="0" w:evenVBand="0" w:oddHBand="0" w:evenHBand="0" w:firstRowFirstColumn="0" w:firstRowLastColumn="0" w:lastRowFirstColumn="0" w:lastRowLastColumn="0"/>
            </w:pPr>
            <w:r w:rsidRPr="006A37CA">
              <w:t>5 September 2022</w:t>
            </w:r>
          </w:p>
        </w:tc>
      </w:tr>
      <w:tr w:rsidR="00B358CE" w:rsidRPr="006A37CA"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057F2EB1" w:rsidR="00B358CE" w:rsidRPr="006A37CA" w:rsidRDefault="00B358CE" w:rsidP="00B358CE">
            <w:r w:rsidRPr="006A37CA">
              <w:rPr>
                <w:color w:val="000000" w:themeColor="text1"/>
              </w:rPr>
              <w:t>Delegate’s Overall benefit-risk assessment and request for Advisory Committee advice</w:t>
            </w:r>
          </w:p>
        </w:tc>
        <w:tc>
          <w:tcPr>
            <w:tcW w:w="4252" w:type="dxa"/>
          </w:tcPr>
          <w:p w14:paraId="3BA6EF79" w14:textId="08CE0ABF"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14 September 2022</w:t>
            </w:r>
          </w:p>
        </w:tc>
      </w:tr>
      <w:tr w:rsidR="00B358CE" w:rsidRPr="006A37CA"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B358CE" w:rsidRPr="006A37CA" w:rsidRDefault="00B358CE" w:rsidP="00B358CE">
            <w:r w:rsidRPr="006A37CA">
              <w:t>Sponsor’s pre-Advisory Committee response</w:t>
            </w:r>
          </w:p>
        </w:tc>
        <w:tc>
          <w:tcPr>
            <w:tcW w:w="4252" w:type="dxa"/>
          </w:tcPr>
          <w:p w14:paraId="5AE04841" w14:textId="637EF10A"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21 September 2022</w:t>
            </w:r>
          </w:p>
        </w:tc>
      </w:tr>
      <w:tr w:rsidR="00B358CE" w:rsidRPr="006A37CA"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B358CE" w:rsidRPr="006A37CA" w:rsidRDefault="00B358CE" w:rsidP="00B358CE">
            <w:r w:rsidRPr="006A37CA">
              <w:t>Advisory Committee meeting</w:t>
            </w:r>
          </w:p>
        </w:tc>
        <w:tc>
          <w:tcPr>
            <w:tcW w:w="4252" w:type="dxa"/>
          </w:tcPr>
          <w:p w14:paraId="5BE1EDE7" w14:textId="17F1FA8E"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5 October 2022</w:t>
            </w:r>
          </w:p>
        </w:tc>
      </w:tr>
      <w:tr w:rsidR="00B358CE" w:rsidRPr="006A37CA"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B358CE" w:rsidRPr="006A37CA" w:rsidRDefault="00B358CE" w:rsidP="00B358CE">
            <w:r w:rsidRPr="006A37CA">
              <w:t>Registration decision (Outcome)</w:t>
            </w:r>
          </w:p>
        </w:tc>
        <w:tc>
          <w:tcPr>
            <w:tcW w:w="4252" w:type="dxa"/>
          </w:tcPr>
          <w:p w14:paraId="62987ABD" w14:textId="061FA17B"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30 November 2022</w:t>
            </w:r>
          </w:p>
        </w:tc>
      </w:tr>
      <w:tr w:rsidR="00B358CE" w:rsidRPr="006A37CA"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458EB044" w:rsidR="00B358CE" w:rsidRPr="006A37CA" w:rsidRDefault="00B358CE" w:rsidP="00B358CE">
            <w:r w:rsidRPr="006A37CA">
              <w:t>Completion of administrative activities and registration on the ARTG</w:t>
            </w:r>
          </w:p>
        </w:tc>
        <w:tc>
          <w:tcPr>
            <w:tcW w:w="4252" w:type="dxa"/>
          </w:tcPr>
          <w:p w14:paraId="5A8923FD" w14:textId="0C40F649"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2 December 2022</w:t>
            </w:r>
          </w:p>
        </w:tc>
      </w:tr>
      <w:tr w:rsidR="00B358CE" w:rsidRPr="006A37CA"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B358CE" w:rsidRPr="006A37CA" w:rsidRDefault="00B358CE" w:rsidP="00B358CE">
            <w:r w:rsidRPr="006A37CA">
              <w:t>Number of working days from submission dossier acceptance to registration decision*</w:t>
            </w:r>
          </w:p>
        </w:tc>
        <w:tc>
          <w:tcPr>
            <w:tcW w:w="4252" w:type="dxa"/>
          </w:tcPr>
          <w:p w14:paraId="5BAF9FA1" w14:textId="7B4ADA09" w:rsidR="00B358CE" w:rsidRPr="006A37CA" w:rsidRDefault="00B358CE" w:rsidP="00B358CE">
            <w:pPr>
              <w:cnfStyle w:val="000000000000" w:firstRow="0" w:lastRow="0" w:firstColumn="0" w:lastColumn="0" w:oddVBand="0" w:evenVBand="0" w:oddHBand="0" w:evenHBand="0" w:firstRowFirstColumn="0" w:firstRowLastColumn="0" w:lastRowFirstColumn="0" w:lastRowLastColumn="0"/>
            </w:pPr>
            <w:r w:rsidRPr="006A37CA">
              <w:t>204</w:t>
            </w:r>
          </w:p>
        </w:tc>
      </w:tr>
    </w:tbl>
    <w:p w14:paraId="7B02554C" w14:textId="77777777" w:rsidR="00433318" w:rsidRPr="006A37CA" w:rsidRDefault="00433318" w:rsidP="00433318">
      <w:pPr>
        <w:pStyle w:val="TableDescription0"/>
      </w:pPr>
      <w:r w:rsidRPr="006A37CA">
        <w:t>*Statutory timeframe for standard submissions is 255 working days</w:t>
      </w:r>
    </w:p>
    <w:p w14:paraId="220925F1" w14:textId="77777777" w:rsidR="00C22214" w:rsidRPr="006A37CA" w:rsidRDefault="00C22214" w:rsidP="00C22214">
      <w:pPr>
        <w:pStyle w:val="Heading2"/>
      </w:pPr>
      <w:bookmarkStart w:id="33" w:name="_Toc196046504"/>
      <w:bookmarkStart w:id="34" w:name="_Toc247691527"/>
      <w:bookmarkStart w:id="35" w:name="_Toc314842510"/>
      <w:bookmarkStart w:id="36" w:name="_Toc103679294"/>
      <w:bookmarkStart w:id="37" w:name="_Toc135124808"/>
      <w:r w:rsidRPr="006A37CA">
        <w:t>Submission overview and risk/benefit assessment</w:t>
      </w:r>
      <w:bookmarkEnd w:id="33"/>
      <w:bookmarkEnd w:id="34"/>
      <w:bookmarkEnd w:id="35"/>
      <w:bookmarkEnd w:id="36"/>
      <w:bookmarkEnd w:id="37"/>
    </w:p>
    <w:p w14:paraId="540151FC" w14:textId="77777777" w:rsidR="00C22214" w:rsidRPr="006A37CA" w:rsidRDefault="00C22214" w:rsidP="00C22214">
      <w:pPr>
        <w:pStyle w:val="Instructions"/>
        <w:rPr>
          <w:i w:val="0"/>
          <w:color w:val="000000" w:themeColor="text1"/>
        </w:rPr>
      </w:pPr>
      <w:bookmarkStart w:id="38" w:name="_Toc247691528"/>
      <w:bookmarkStart w:id="39" w:name="_Toc314842511"/>
      <w:r w:rsidRPr="006A37CA">
        <w:rPr>
          <w:i w:val="0"/>
          <w:color w:val="auto"/>
        </w:rPr>
        <w:t xml:space="preserve">A </w:t>
      </w:r>
      <w:r w:rsidRPr="006A37CA">
        <w:rPr>
          <w:i w:val="0"/>
          <w:color w:val="000000" w:themeColor="text1"/>
        </w:rPr>
        <w:t>summary of the TGA’s assessment for this submission is provided below.</w:t>
      </w:r>
    </w:p>
    <w:p w14:paraId="764CCADD" w14:textId="49F3D935" w:rsidR="007072A1" w:rsidRPr="006A37CA" w:rsidRDefault="007072A1" w:rsidP="00966EF1">
      <w:pPr>
        <w:rPr>
          <w:color w:val="000000" w:themeColor="text1"/>
        </w:rPr>
      </w:pPr>
      <w:r w:rsidRPr="006A37CA">
        <w:rPr>
          <w:color w:val="000000" w:themeColor="text1"/>
        </w:rPr>
        <w:t>The following guideline was referred to by the Delegate as being relevant to this submission:</w:t>
      </w:r>
    </w:p>
    <w:p w14:paraId="10915B5F" w14:textId="0C9B6B57" w:rsidR="00C149EC" w:rsidRPr="00270509" w:rsidRDefault="00B358CE" w:rsidP="00B10E84">
      <w:pPr>
        <w:pStyle w:val="ListBullet"/>
        <w:numPr>
          <w:ilvl w:val="0"/>
          <w:numId w:val="0"/>
        </w:numPr>
        <w:ind w:left="360"/>
        <w:rPr>
          <w:color w:val="000000" w:themeColor="text1"/>
        </w:rPr>
      </w:pPr>
      <w:r w:rsidRPr="00270509">
        <w:rPr>
          <w:color w:val="000000" w:themeColor="text1"/>
        </w:rPr>
        <w:t>European Medicines Evaluation Agency (EMEA), Committee for Medicinal Products for Human Use (CHMP), Guideline on Clinical Evaluation of New Vaccines, EMEA/CHMP/VWP/164653/2005, 18 October 2006.</w:t>
      </w:r>
    </w:p>
    <w:p w14:paraId="37F5A1C0" w14:textId="77777777" w:rsidR="00C22214" w:rsidRPr="006A37CA" w:rsidRDefault="00C22214" w:rsidP="00C22214">
      <w:pPr>
        <w:pStyle w:val="Heading3"/>
      </w:pPr>
      <w:bookmarkStart w:id="40" w:name="_Toc103679295"/>
      <w:bookmarkStart w:id="41" w:name="_Toc135124809"/>
      <w:r w:rsidRPr="006A37CA">
        <w:t>Quality</w:t>
      </w:r>
      <w:bookmarkEnd w:id="38"/>
      <w:bookmarkEnd w:id="39"/>
      <w:bookmarkEnd w:id="40"/>
      <w:bookmarkEnd w:id="41"/>
    </w:p>
    <w:p w14:paraId="5CE9CA87" w14:textId="5343BDBE" w:rsidR="00B358CE" w:rsidRPr="006A37CA" w:rsidRDefault="00B358CE" w:rsidP="00B358CE">
      <w:r w:rsidRPr="006A37CA">
        <w:t xml:space="preserve">Prevenar 20 is a 20-valent pneumococcal polysaccharide conjugate vaccine comprising capsular polysaccharide antigens of </w:t>
      </w:r>
      <w:r w:rsidRPr="006A37CA">
        <w:rPr>
          <w:i/>
          <w:iCs/>
        </w:rPr>
        <w:t>Streptococcus pneumoniae</w:t>
      </w:r>
      <w:r w:rsidRPr="006A37CA">
        <w:t xml:space="preserve"> serotypes 1, 3, 4, 5, 6A, 6B, 7F, 8, 9V, 10A, 11A, 12F, 14, 15B, 18C, 19A, 19F, 22F, 23F, and 33F individually conjugated to </w:t>
      </w:r>
      <w:r w:rsidR="002556B1">
        <w:t>CRM197.</w:t>
      </w:r>
      <w:r w:rsidR="002556B1">
        <w:rPr>
          <w:rStyle w:val="FootnoteReference"/>
        </w:rPr>
        <w:footnoteReference w:id="37"/>
      </w:r>
    </w:p>
    <w:p w14:paraId="1A1A897B" w14:textId="1DBFFB62" w:rsidR="00B358CE" w:rsidRPr="006A37CA" w:rsidRDefault="00B358CE" w:rsidP="00B358CE">
      <w:r w:rsidRPr="006A37CA">
        <w:lastRenderedPageBreak/>
        <w:t>The vaccine is a sterile liquid suspension for intramuscular administration. Each prefilled 1</w:t>
      </w:r>
      <w:r w:rsidR="00E171F6" w:rsidRPr="006A37CA">
        <w:t> </w:t>
      </w:r>
      <w:r w:rsidRPr="006A37CA">
        <w:t xml:space="preserve">mL syringe is a single dose of the </w:t>
      </w:r>
      <w:r w:rsidR="00B500BC" w:rsidRPr="006A37CA">
        <w:t xml:space="preserve">drug product </w:t>
      </w:r>
      <w:r w:rsidRPr="006A37CA">
        <w:t xml:space="preserve">designed to deliver 2.2 </w:t>
      </w:r>
      <w:proofErr w:type="spellStart"/>
      <w:r w:rsidRPr="006A37CA">
        <w:t>μg</w:t>
      </w:r>
      <w:proofErr w:type="spellEnd"/>
      <w:r w:rsidRPr="006A37CA">
        <w:t xml:space="preserve"> of each conjugate serotype, except </w:t>
      </w:r>
      <w:r w:rsidR="009253BF">
        <w:t xml:space="preserve">serotype </w:t>
      </w:r>
      <w:r w:rsidRPr="006A37CA">
        <w:t xml:space="preserve">6B where 4.4 </w:t>
      </w:r>
      <w:proofErr w:type="spellStart"/>
      <w:r w:rsidRPr="006A37CA">
        <w:t>μg</w:t>
      </w:r>
      <w:proofErr w:type="spellEnd"/>
      <w:r w:rsidRPr="006A37CA">
        <w:t xml:space="preserve"> of conjugate serotype is delivered, in a 0.5 mL dose of vaccine. The vaccine is supplied as a single dose injection for parenteral administration, with no preservative.</w:t>
      </w:r>
    </w:p>
    <w:p w14:paraId="2AD3CADF" w14:textId="43994800" w:rsidR="00B358CE" w:rsidRPr="006A37CA" w:rsidRDefault="00B358CE" w:rsidP="00B358CE">
      <w:r w:rsidRPr="006A37CA">
        <w:t xml:space="preserve">Based upon stability data submitted by the </w:t>
      </w:r>
      <w:r w:rsidR="00CB365D" w:rsidRPr="006A37CA">
        <w:t>sponsor</w:t>
      </w:r>
      <w:r w:rsidRPr="006A37CA">
        <w:t>, the recommended shelf life and storage conditions for the drug product is 24 months at 2</w:t>
      </w:r>
      <w:r w:rsidR="00CD22D2" w:rsidRPr="006A37CA">
        <w:t xml:space="preserve">°C to </w:t>
      </w:r>
      <w:r w:rsidRPr="006A37CA">
        <w:t>8°C</w:t>
      </w:r>
      <w:r w:rsidR="00CD22D2" w:rsidRPr="006A37CA">
        <w:t>.</w:t>
      </w:r>
    </w:p>
    <w:p w14:paraId="75C93487" w14:textId="68D3017B" w:rsidR="008557F6" w:rsidRPr="006A37CA" w:rsidRDefault="00B358CE" w:rsidP="00B358CE">
      <w:r w:rsidRPr="006A37CA">
        <w:t>The quality</w:t>
      </w:r>
      <w:r w:rsidR="008557F6" w:rsidRPr="006A37CA">
        <w:t xml:space="preserve"> evaluat</w:t>
      </w:r>
      <w:r w:rsidRPr="006A37CA">
        <w:t>ion</w:t>
      </w:r>
      <w:r w:rsidR="008557F6" w:rsidRPr="006A37CA">
        <w:t xml:space="preserve"> concluded that the </w:t>
      </w:r>
      <w:r w:rsidR="00CB365D" w:rsidRPr="006A37CA">
        <w:t>sponsor</w:t>
      </w:r>
      <w:r w:rsidR="008557F6" w:rsidRPr="006A37CA">
        <w:t xml:space="preserve"> has provided adequate information to ensure the product’s quality </w:t>
      </w:r>
      <w:r w:rsidR="00165241">
        <w:t>is suitable for</w:t>
      </w:r>
      <w:r w:rsidR="008557F6" w:rsidRPr="006A37CA">
        <w:t xml:space="preserve"> registration. It is recommended that the product is suitable for approval </w:t>
      </w:r>
      <w:proofErr w:type="gramStart"/>
      <w:r w:rsidR="008557F6" w:rsidRPr="006A37CA">
        <w:t>with regard to</w:t>
      </w:r>
      <w:proofErr w:type="gramEnd"/>
      <w:r w:rsidR="008557F6" w:rsidRPr="006A37CA">
        <w:t xml:space="preserve"> manufacturing quality, however there are specific conditions for approval, as outlined</w:t>
      </w:r>
      <w:r w:rsidRPr="006A37CA">
        <w:t xml:space="preserve"> below:</w:t>
      </w:r>
    </w:p>
    <w:p w14:paraId="42F117FA" w14:textId="31884D12" w:rsidR="008557F6" w:rsidRPr="006A37CA" w:rsidRDefault="008557F6" w:rsidP="00B358CE">
      <w:r w:rsidRPr="006A37CA">
        <w:t xml:space="preserve">The </w:t>
      </w:r>
      <w:r w:rsidR="00CD22D2" w:rsidRPr="006A37CA">
        <w:t xml:space="preserve">quality </w:t>
      </w:r>
      <w:r w:rsidRPr="006A37CA">
        <w:t>evaluat</w:t>
      </w:r>
      <w:r w:rsidR="00CD22D2" w:rsidRPr="006A37CA">
        <w:t>ion</w:t>
      </w:r>
      <w:r w:rsidRPr="006A37CA">
        <w:t xml:space="preserve"> has drawn attention to inconsistencies </w:t>
      </w:r>
      <w:proofErr w:type="gramStart"/>
      <w:r w:rsidRPr="006A37CA">
        <w:t>in regard to</w:t>
      </w:r>
      <w:proofErr w:type="gramEnd"/>
      <w:r w:rsidRPr="006A37CA">
        <w:t xml:space="preserve"> the correct expression of the diphtheria conjugate protein on the </w:t>
      </w:r>
      <w:r w:rsidR="00DF2B5F" w:rsidRPr="006A37CA">
        <w:t>Product Information (PI)</w:t>
      </w:r>
      <w:r w:rsidRPr="006A37CA">
        <w:t xml:space="preserve"> and labels.</w:t>
      </w:r>
    </w:p>
    <w:p w14:paraId="3631B241" w14:textId="2B564223" w:rsidR="008557F6" w:rsidRPr="006A37CA" w:rsidRDefault="008557F6" w:rsidP="00B358CE">
      <w:r w:rsidRPr="006A37CA">
        <w:t>There are minor inconsistencies with respect to the product excipient expression for aluminium phosphate on the PI, Consumer Medicine Information (CMI) and product carton labels.</w:t>
      </w:r>
    </w:p>
    <w:p w14:paraId="2B9038B0" w14:textId="65C92402" w:rsidR="008557F6" w:rsidRPr="006A37CA" w:rsidRDefault="008557F6" w:rsidP="00B358CE">
      <w:r w:rsidRPr="006A37CA">
        <w:t xml:space="preserve">The </w:t>
      </w:r>
      <w:r w:rsidR="00CD22D2" w:rsidRPr="006A37CA">
        <w:t>quality</w:t>
      </w:r>
      <w:r w:rsidRPr="006A37CA">
        <w:t xml:space="preserve"> evaluat</w:t>
      </w:r>
      <w:r w:rsidR="00CD22D2" w:rsidRPr="006A37CA">
        <w:t>ion</w:t>
      </w:r>
      <w:r w:rsidRPr="006A37CA">
        <w:t xml:space="preserve"> has confirmed that it is acceptable to address the </w:t>
      </w:r>
      <w:r w:rsidR="00F602CA" w:rsidRPr="006A37CA">
        <w:t xml:space="preserve">Australian Approved Name </w:t>
      </w:r>
      <w:r w:rsidRPr="006A37CA">
        <w:t>on the PI and CMI and submit the request for a</w:t>
      </w:r>
      <w:r w:rsidR="009253BF">
        <w:t>n</w:t>
      </w:r>
      <w:r w:rsidRPr="006A37CA">
        <w:t xml:space="preserve"> exemption for the labels only.</w:t>
      </w:r>
    </w:p>
    <w:p w14:paraId="2BE90AAE" w14:textId="77777777" w:rsidR="00C22214" w:rsidRPr="006A37CA" w:rsidRDefault="00C22214" w:rsidP="00C22214">
      <w:pPr>
        <w:pStyle w:val="Heading3"/>
      </w:pPr>
      <w:bookmarkStart w:id="42" w:name="_Toc314842512"/>
      <w:bookmarkStart w:id="43" w:name="_Toc103679296"/>
      <w:bookmarkStart w:id="44" w:name="_Toc135124810"/>
      <w:r w:rsidRPr="006A37CA">
        <w:t>Nonclinical</w:t>
      </w:r>
      <w:bookmarkEnd w:id="42"/>
      <w:bookmarkEnd w:id="43"/>
      <w:bookmarkEnd w:id="44"/>
    </w:p>
    <w:p w14:paraId="228C882C" w14:textId="77777777" w:rsidR="008557F6" w:rsidRPr="006A37CA" w:rsidRDefault="008557F6" w:rsidP="00B358CE">
      <w:bookmarkStart w:id="45" w:name="_Toc247691530"/>
      <w:bookmarkStart w:id="46" w:name="_Toc314842513"/>
      <w:bookmarkStart w:id="47" w:name="_Toc103679297"/>
      <w:r w:rsidRPr="006A37CA">
        <w:t>There were no nonclinical objections to the registration of Prevenar 20.</w:t>
      </w:r>
    </w:p>
    <w:p w14:paraId="2AEF9A47" w14:textId="77777777" w:rsidR="008557F6" w:rsidRPr="006A37CA" w:rsidRDefault="008557F6" w:rsidP="00B358CE">
      <w:r w:rsidRPr="006A37CA">
        <w:t>The primary pharmacology studies sufficiently demonstrated immunogenicity of the vaccine.</w:t>
      </w:r>
    </w:p>
    <w:p w14:paraId="44FE5841" w14:textId="77777777" w:rsidR="008557F6" w:rsidRPr="006A37CA" w:rsidRDefault="008557F6" w:rsidP="00B358CE">
      <w:r w:rsidRPr="006A37CA">
        <w:t>The repeat-dose toxicity study did not reveal any unexpected adverse effects.</w:t>
      </w:r>
    </w:p>
    <w:p w14:paraId="6C8C93DF" w14:textId="20B1E9E1" w:rsidR="008557F6" w:rsidRPr="006A37CA" w:rsidRDefault="008557F6" w:rsidP="00B358CE">
      <w:r w:rsidRPr="006A37CA">
        <w:t>The combined fertility, embryofetal developmental and pre- and post</w:t>
      </w:r>
      <w:r w:rsidR="000D4FB1" w:rsidRPr="006A37CA">
        <w:t>-</w:t>
      </w:r>
      <w:r w:rsidRPr="006A37CA">
        <w:t>natal study (which included teratogenicity and postnatal investigations) did not reveal any adverse effects of the vaccine.</w:t>
      </w:r>
    </w:p>
    <w:p w14:paraId="52316FE8" w14:textId="1F7DC691" w:rsidR="008557F6" w:rsidRPr="006A37CA" w:rsidRDefault="008557F6" w:rsidP="00B358CE">
      <w:r w:rsidRPr="006A37CA">
        <w:t xml:space="preserve">Recommendations to the </w:t>
      </w:r>
      <w:r w:rsidR="00DF2B5F" w:rsidRPr="006A37CA">
        <w:t>Product Information (PI)</w:t>
      </w:r>
      <w:r w:rsidRPr="006A37CA">
        <w:t xml:space="preserve"> were requested.</w:t>
      </w:r>
      <w:r w:rsidR="000D4FB1" w:rsidRPr="006A37CA">
        <w:t xml:space="preserve"> </w:t>
      </w:r>
      <w:r w:rsidRPr="006A37CA">
        <w:t xml:space="preserve">The </w:t>
      </w:r>
      <w:r w:rsidR="00CB365D" w:rsidRPr="006A37CA">
        <w:t>sponsor</w:t>
      </w:r>
      <w:r w:rsidRPr="006A37CA">
        <w:t xml:space="preserve"> has since accepted all PI changes recommended </w:t>
      </w:r>
      <w:r w:rsidR="000D4FB1" w:rsidRPr="006A37CA">
        <w:t>in</w:t>
      </w:r>
      <w:r w:rsidRPr="006A37CA">
        <w:t xml:space="preserve"> the </w:t>
      </w:r>
      <w:r w:rsidR="000D4FB1" w:rsidRPr="006A37CA">
        <w:t xml:space="preserve">first round of </w:t>
      </w:r>
      <w:r w:rsidRPr="006A37CA">
        <w:t>nonclinical evaluat</w:t>
      </w:r>
      <w:r w:rsidR="000D4FB1" w:rsidRPr="006A37CA">
        <w:t>ion</w:t>
      </w:r>
      <w:r w:rsidRPr="006A37CA">
        <w:t xml:space="preserve"> report</w:t>
      </w:r>
      <w:r w:rsidR="000D4FB1" w:rsidRPr="006A37CA">
        <w:t>.</w:t>
      </w:r>
    </w:p>
    <w:p w14:paraId="35B580A5" w14:textId="69B9BE44" w:rsidR="00C22214" w:rsidRPr="006A37CA" w:rsidRDefault="00C22214" w:rsidP="008804CF">
      <w:pPr>
        <w:pStyle w:val="Heading3"/>
      </w:pPr>
      <w:bookmarkStart w:id="48" w:name="_Toc135124811"/>
      <w:r w:rsidRPr="006A37CA">
        <w:t>Clinical</w:t>
      </w:r>
      <w:bookmarkEnd w:id="45"/>
      <w:bookmarkEnd w:id="46"/>
      <w:bookmarkEnd w:id="47"/>
      <w:bookmarkEnd w:id="48"/>
    </w:p>
    <w:p w14:paraId="32B0DEDA" w14:textId="77777777" w:rsidR="00C22214" w:rsidRPr="006A37CA" w:rsidRDefault="00C22214" w:rsidP="00433318">
      <w:pPr>
        <w:pStyle w:val="Heading4"/>
      </w:pPr>
      <w:bookmarkStart w:id="49" w:name="_Toc98931928"/>
      <w:bookmarkStart w:id="50" w:name="_Toc135124812"/>
      <w:r w:rsidRPr="006A37CA">
        <w:t>Summary of clinical studies</w:t>
      </w:r>
      <w:bookmarkEnd w:id="49"/>
      <w:bookmarkEnd w:id="50"/>
    </w:p>
    <w:p w14:paraId="46622364" w14:textId="4C427B24" w:rsidR="00C22214" w:rsidRPr="006A37CA" w:rsidRDefault="00C22214" w:rsidP="00C22214">
      <w:r w:rsidRPr="006A37CA">
        <w:t>The clinical dossier consisted of</w:t>
      </w:r>
      <w:r w:rsidR="007357B9" w:rsidRPr="006A37CA">
        <w:t>:</w:t>
      </w:r>
    </w:p>
    <w:p w14:paraId="3DF49722" w14:textId="60E77D86" w:rsidR="00C22214" w:rsidRPr="006A37CA" w:rsidRDefault="00B358CE" w:rsidP="00B358CE">
      <w:pPr>
        <w:pStyle w:val="ListBullet"/>
      </w:pPr>
      <w:r w:rsidRPr="006A37CA">
        <w:t>two</w:t>
      </w:r>
      <w:r w:rsidR="00C22214" w:rsidRPr="006A37CA">
        <w:t xml:space="preserve"> Phase I studies</w:t>
      </w:r>
      <w:r w:rsidRPr="006A37CA">
        <w:t xml:space="preserve">: Study B7471001 and Study </w:t>
      </w:r>
      <w:proofErr w:type="gramStart"/>
      <w:r w:rsidRPr="006A37CA">
        <w:t>B7471005;</w:t>
      </w:r>
      <w:proofErr w:type="gramEnd"/>
    </w:p>
    <w:p w14:paraId="58B6345F" w14:textId="2F874342" w:rsidR="00B358CE" w:rsidRPr="006A37CA" w:rsidRDefault="00B358CE" w:rsidP="00B358CE">
      <w:pPr>
        <w:pStyle w:val="ListBullet"/>
      </w:pPr>
      <w:r w:rsidRPr="006A37CA">
        <w:t>one</w:t>
      </w:r>
      <w:r w:rsidR="00C22214" w:rsidRPr="006A37CA">
        <w:t xml:space="preserve"> Phase II stud</w:t>
      </w:r>
      <w:r w:rsidRPr="006A37CA">
        <w:t xml:space="preserve">y: Study </w:t>
      </w:r>
      <w:proofErr w:type="gramStart"/>
      <w:r w:rsidRPr="006A37CA">
        <w:t>B7471002;</w:t>
      </w:r>
      <w:proofErr w:type="gramEnd"/>
    </w:p>
    <w:p w14:paraId="6B56CB17" w14:textId="40D51D80" w:rsidR="00C22214" w:rsidRDefault="00B358CE" w:rsidP="00B358CE">
      <w:pPr>
        <w:pStyle w:val="ListBullet"/>
      </w:pPr>
      <w:r w:rsidRPr="006A37CA">
        <w:t>three Phase III studies: Study B7471007 (</w:t>
      </w:r>
      <w:r w:rsidR="00165241">
        <w:t xml:space="preserve">the </w:t>
      </w:r>
      <w:r w:rsidRPr="006A37CA">
        <w:t>pivotal study), Study B7471006, and Study B7471008.</w:t>
      </w:r>
    </w:p>
    <w:p w14:paraId="4AD98952" w14:textId="431CB0BB" w:rsidR="005D2E79" w:rsidRDefault="005D2E79" w:rsidP="00464BAB">
      <w:r>
        <w:t>In addition, during evaluation of this submission the sponsor submitted the following Phase</w:t>
      </w:r>
      <w:r w:rsidR="00464BAB">
        <w:t> </w:t>
      </w:r>
      <w:r>
        <w:t>III studies providing safety data related to the concomitant administration of Prevenar 20 with other vaccines:</w:t>
      </w:r>
    </w:p>
    <w:p w14:paraId="260EDECD" w14:textId="77777777" w:rsidR="005D2E79" w:rsidRDefault="005D2E79">
      <w:pPr>
        <w:pStyle w:val="ListBullet"/>
      </w:pPr>
      <w:r w:rsidRPr="006A37CA">
        <w:t>Study B7471004 (Prevenar 20 + seasonal inactivated influenza vaccine)</w:t>
      </w:r>
      <w:r>
        <w:t>; and</w:t>
      </w:r>
    </w:p>
    <w:p w14:paraId="20B5D58A" w14:textId="6D3FDAE2" w:rsidR="005D2E79" w:rsidRPr="005D2E79" w:rsidRDefault="005D2E79">
      <w:pPr>
        <w:pStyle w:val="ListBullet"/>
      </w:pPr>
      <w:r w:rsidRPr="006A37CA">
        <w:lastRenderedPageBreak/>
        <w:t xml:space="preserve">Study B7471026 (Prevenar 20 + </w:t>
      </w:r>
      <w:r>
        <w:t>Comirnaty (</w:t>
      </w:r>
      <w:r w:rsidRPr="006A37CA">
        <w:t>BNT162b2</w:t>
      </w:r>
      <w:r>
        <w:t xml:space="preserve">) </w:t>
      </w:r>
      <w:r w:rsidRPr="006A37CA">
        <w:t>COVID</w:t>
      </w:r>
      <w:r w:rsidRPr="006A37CA">
        <w:noBreakHyphen/>
        <w:t>19 (mRNA</w:t>
      </w:r>
      <w:r>
        <w:t>-based</w:t>
      </w:r>
      <w:r w:rsidRPr="006A37CA">
        <w:t>) vaccine)</w:t>
      </w:r>
      <w:r w:rsidR="00464BAB">
        <w:t>.</w:t>
      </w:r>
    </w:p>
    <w:p w14:paraId="4B5E5FD8" w14:textId="77777777" w:rsidR="008557F6" w:rsidRPr="006A37CA" w:rsidRDefault="008557F6" w:rsidP="00CC6FA5">
      <w:pPr>
        <w:pStyle w:val="Heading4"/>
      </w:pPr>
      <w:bookmarkStart w:id="51" w:name="_Toc135124813"/>
      <w:bookmarkStart w:id="52" w:name="_Toc314842514"/>
      <w:r w:rsidRPr="006A37CA">
        <w:t>Pharmacology</w:t>
      </w:r>
      <w:bookmarkEnd w:id="51"/>
    </w:p>
    <w:p w14:paraId="7E8FBF5A" w14:textId="02CA2C2B" w:rsidR="008557F6" w:rsidRPr="006A37CA" w:rsidRDefault="008557F6" w:rsidP="00CC6FA5">
      <w:pPr>
        <w:pStyle w:val="Heading5"/>
      </w:pPr>
      <w:r w:rsidRPr="006A37CA">
        <w:t>Pharmacokinetics</w:t>
      </w:r>
    </w:p>
    <w:p w14:paraId="6BACD063" w14:textId="237014F0" w:rsidR="008557F6" w:rsidRPr="006A37CA" w:rsidRDefault="008557F6" w:rsidP="008557F6">
      <w:r w:rsidRPr="006A37CA">
        <w:t xml:space="preserve">No human pharmacokinetic studies have been performed. The </w:t>
      </w:r>
      <w:r w:rsidR="00CB365D" w:rsidRPr="006A37CA">
        <w:t>sponsor</w:t>
      </w:r>
      <w:r w:rsidRPr="006A37CA">
        <w:t xml:space="preserve"> states that no new delivery systems, novel adjuvants, or excipients have been used for </w:t>
      </w:r>
      <w:r w:rsidR="00CB365D" w:rsidRPr="006A37CA">
        <w:t>Prevenar</w:t>
      </w:r>
      <w:r w:rsidRPr="006A37CA">
        <w:t xml:space="preserve"> 20.</w:t>
      </w:r>
    </w:p>
    <w:p w14:paraId="5FC346FF" w14:textId="14B5FA3D" w:rsidR="008557F6" w:rsidRPr="006A37CA" w:rsidRDefault="008557F6" w:rsidP="00CC6FA5">
      <w:pPr>
        <w:pStyle w:val="Heading5"/>
      </w:pPr>
      <w:r w:rsidRPr="006A37CA">
        <w:t>Pharmacodynamics</w:t>
      </w:r>
    </w:p>
    <w:p w14:paraId="6187872A" w14:textId="0D8152A0" w:rsidR="008557F6" w:rsidRPr="006A37CA" w:rsidRDefault="008557F6" w:rsidP="008557F6">
      <w:r w:rsidRPr="006A37CA">
        <w:t>The TGA</w:t>
      </w:r>
      <w:r w:rsidR="00165241">
        <w:t>-</w:t>
      </w:r>
      <w:r w:rsidRPr="006A37CA">
        <w:t>adopted</w:t>
      </w:r>
      <w:r w:rsidR="00376E45" w:rsidRPr="006A37CA">
        <w:t xml:space="preserve"> </w:t>
      </w:r>
      <w:r w:rsidRPr="006A37CA">
        <w:t>Guideline</w:t>
      </w:r>
      <w:r w:rsidR="00376E45" w:rsidRPr="006A37CA">
        <w:t>;</w:t>
      </w:r>
      <w:r w:rsidR="00376E45" w:rsidRPr="006A37CA">
        <w:rPr>
          <w:rStyle w:val="FootnoteReference"/>
        </w:rPr>
        <w:footnoteReference w:id="38"/>
      </w:r>
      <w:r w:rsidR="00376E45" w:rsidRPr="006A37CA">
        <w:t xml:space="preserve"> </w:t>
      </w:r>
      <w:r w:rsidRPr="006A37CA">
        <w:t xml:space="preserve">states that pharmacodynamic studies for vaccines are essentially comprised of the immunogenicity studies that characterise the immune response to the vaccine. The </w:t>
      </w:r>
      <w:r w:rsidR="00CB365D" w:rsidRPr="006A37CA">
        <w:t>sponsor</w:t>
      </w:r>
      <w:r w:rsidRPr="006A37CA">
        <w:t xml:space="preserve"> has indicated that the clinical development of </w:t>
      </w:r>
      <w:r w:rsidR="006A37CA" w:rsidRPr="006A37CA">
        <w:t xml:space="preserve">Prevenar 20 </w:t>
      </w:r>
      <w:r w:rsidRPr="006A37CA">
        <w:t xml:space="preserve">in adults builds on the record of the safety, immunogenicity, and efficacy established for </w:t>
      </w:r>
      <w:r w:rsidR="006A37CA" w:rsidRPr="006A37CA">
        <w:t>Prevenar 13</w:t>
      </w:r>
      <w:r w:rsidRPr="006A37CA">
        <w:t>.</w:t>
      </w:r>
      <w:r w:rsidR="00165241" w:rsidRPr="00270509">
        <w:rPr>
          <w:vertAlign w:val="superscript"/>
        </w:rPr>
        <w:fldChar w:fldCharType="begin"/>
      </w:r>
      <w:r w:rsidR="00165241" w:rsidRPr="00270509">
        <w:rPr>
          <w:vertAlign w:val="superscript"/>
        </w:rPr>
        <w:instrText xml:space="preserve"> NOTEREF _Ref134526641 \h </w:instrText>
      </w:r>
      <w:r w:rsidR="00165241">
        <w:rPr>
          <w:vertAlign w:val="superscript"/>
        </w:rPr>
        <w:instrText xml:space="preserve"> \* MERGEFORMAT </w:instrText>
      </w:r>
      <w:r w:rsidR="00165241" w:rsidRPr="00270509">
        <w:rPr>
          <w:vertAlign w:val="superscript"/>
        </w:rPr>
      </w:r>
      <w:r w:rsidR="00165241" w:rsidRPr="00270509">
        <w:rPr>
          <w:vertAlign w:val="superscript"/>
        </w:rPr>
        <w:fldChar w:fldCharType="separate"/>
      </w:r>
      <w:r w:rsidR="00AC74BD">
        <w:rPr>
          <w:vertAlign w:val="superscript"/>
        </w:rPr>
        <w:t>9</w:t>
      </w:r>
      <w:r w:rsidR="00165241" w:rsidRPr="00270509">
        <w:rPr>
          <w:vertAlign w:val="superscript"/>
        </w:rPr>
        <w:fldChar w:fldCharType="end"/>
      </w:r>
    </w:p>
    <w:p w14:paraId="275950FE" w14:textId="77777777" w:rsidR="008557F6" w:rsidRPr="006A37CA" w:rsidRDefault="008557F6" w:rsidP="00270509">
      <w:pPr>
        <w:pStyle w:val="Heading5"/>
      </w:pPr>
      <w:r w:rsidRPr="006A37CA">
        <w:t>Immunogenicity</w:t>
      </w:r>
    </w:p>
    <w:p w14:paraId="2884E7FB" w14:textId="7EFDDF31" w:rsidR="008557F6" w:rsidRPr="006A37CA" w:rsidRDefault="008557F6" w:rsidP="00CB365D">
      <w:r w:rsidRPr="006A37CA">
        <w:t xml:space="preserve">The clinical development program supporting approval of </w:t>
      </w:r>
      <w:r w:rsidR="00CB365D" w:rsidRPr="006A37CA">
        <w:t>Prevenar</w:t>
      </w:r>
      <w:r w:rsidRPr="006A37CA">
        <w:t xml:space="preserve"> 20 included 6 studies with immunogenicity data evaluating single</w:t>
      </w:r>
      <w:r w:rsidR="00376E45" w:rsidRPr="006A37CA">
        <w:t xml:space="preserve"> </w:t>
      </w:r>
      <w:r w:rsidRPr="006A37CA">
        <w:t xml:space="preserve">dose </w:t>
      </w:r>
      <w:r w:rsidR="006A37CA" w:rsidRPr="006A37CA">
        <w:t>Prevenar 20</w:t>
      </w:r>
      <w:r w:rsidR="006A37CA">
        <w:t xml:space="preserve"> </w:t>
      </w:r>
      <w:r w:rsidRPr="006A37CA">
        <w:t xml:space="preserve">in immunocompetent adults </w:t>
      </w:r>
      <w:r w:rsidR="00376E45" w:rsidRPr="006A37CA">
        <w:t>1</w:t>
      </w:r>
      <w:r w:rsidRPr="006A37CA">
        <w:t xml:space="preserve">8 years </w:t>
      </w:r>
      <w:r w:rsidR="00376E45" w:rsidRPr="006A37CA">
        <w:t xml:space="preserve">of age or older </w:t>
      </w:r>
      <w:r w:rsidRPr="006A37CA">
        <w:t>who were either pneumococcal vaccine</w:t>
      </w:r>
      <w:r w:rsidR="009659E2" w:rsidRPr="006A37CA">
        <w:t>-</w:t>
      </w:r>
      <w:r w:rsidRPr="006A37CA">
        <w:t xml:space="preserve">naïve or had previously been vaccinated with </w:t>
      </w:r>
      <w:r w:rsidR="00165241">
        <w:t xml:space="preserve">the conjugated </w:t>
      </w:r>
      <w:r w:rsidR="006A37CA" w:rsidRPr="006A37CA">
        <w:t>Prevenar 13</w:t>
      </w:r>
      <w:r w:rsidR="00165241">
        <w:t xml:space="preserve"> vaccine;</w:t>
      </w:r>
      <w:r w:rsidR="00165241" w:rsidRPr="00270509">
        <w:rPr>
          <w:vertAlign w:val="superscript"/>
        </w:rPr>
        <w:fldChar w:fldCharType="begin"/>
      </w:r>
      <w:r w:rsidR="00165241" w:rsidRPr="00270509">
        <w:rPr>
          <w:vertAlign w:val="superscript"/>
        </w:rPr>
        <w:instrText xml:space="preserve"> NOTEREF _Ref134526641 \h </w:instrText>
      </w:r>
      <w:r w:rsidR="00165241">
        <w:rPr>
          <w:vertAlign w:val="superscript"/>
        </w:rPr>
        <w:instrText xml:space="preserve"> \* MERGEFORMAT </w:instrText>
      </w:r>
      <w:r w:rsidR="00165241" w:rsidRPr="00270509">
        <w:rPr>
          <w:vertAlign w:val="superscript"/>
        </w:rPr>
      </w:r>
      <w:r w:rsidR="00165241" w:rsidRPr="00270509">
        <w:rPr>
          <w:vertAlign w:val="superscript"/>
        </w:rPr>
        <w:fldChar w:fldCharType="separate"/>
      </w:r>
      <w:r w:rsidR="00AC74BD">
        <w:rPr>
          <w:vertAlign w:val="superscript"/>
        </w:rPr>
        <w:t>9</w:t>
      </w:r>
      <w:r w:rsidR="00165241" w:rsidRPr="00270509">
        <w:rPr>
          <w:vertAlign w:val="superscript"/>
        </w:rPr>
        <w:fldChar w:fldCharType="end"/>
      </w:r>
      <w:r w:rsidRPr="006A37CA">
        <w:t xml:space="preserve"> and/or 23-valent </w:t>
      </w:r>
      <w:r w:rsidR="00E57B44">
        <w:t xml:space="preserve">unconjugated </w:t>
      </w:r>
      <w:r w:rsidRPr="006A37CA">
        <w:t>pneumococcal polysaccharide vaccine (</w:t>
      </w:r>
      <w:r w:rsidR="00E171F6" w:rsidRPr="006A37CA">
        <w:t>Pneumovax 23</w:t>
      </w:r>
      <w:r w:rsidRPr="006A37CA">
        <w:t>)</w:t>
      </w:r>
      <w:r w:rsidR="00165241">
        <w:t>.</w:t>
      </w:r>
      <w:r w:rsidR="00165241" w:rsidRPr="00270509">
        <w:rPr>
          <w:vertAlign w:val="superscript"/>
        </w:rPr>
        <w:fldChar w:fldCharType="begin"/>
      </w:r>
      <w:r w:rsidR="00165241" w:rsidRPr="00270509">
        <w:rPr>
          <w:vertAlign w:val="superscript"/>
        </w:rPr>
        <w:instrText xml:space="preserve"> NOTEREF _Ref134526768 \h </w:instrText>
      </w:r>
      <w:r w:rsidR="00165241">
        <w:rPr>
          <w:vertAlign w:val="superscript"/>
        </w:rPr>
        <w:instrText xml:space="preserve"> \* MERGEFORMAT </w:instrText>
      </w:r>
      <w:r w:rsidR="00165241" w:rsidRPr="00270509">
        <w:rPr>
          <w:vertAlign w:val="superscript"/>
        </w:rPr>
      </w:r>
      <w:r w:rsidR="00165241" w:rsidRPr="00270509">
        <w:rPr>
          <w:vertAlign w:val="superscript"/>
        </w:rPr>
        <w:fldChar w:fldCharType="separate"/>
      </w:r>
      <w:r w:rsidR="00AC74BD">
        <w:rPr>
          <w:vertAlign w:val="superscript"/>
        </w:rPr>
        <w:t>10</w:t>
      </w:r>
      <w:r w:rsidR="00165241" w:rsidRPr="00270509">
        <w:rPr>
          <w:vertAlign w:val="superscript"/>
        </w:rPr>
        <w:fldChar w:fldCharType="end"/>
      </w:r>
      <w:r w:rsidRPr="006A37CA">
        <w:t xml:space="preserve"> </w:t>
      </w:r>
      <w:r w:rsidR="00165241">
        <w:t xml:space="preserve">Altogether, there were </w:t>
      </w:r>
      <w:r w:rsidRPr="006A37CA">
        <w:t xml:space="preserve">three </w:t>
      </w:r>
      <w:r w:rsidR="00376E45" w:rsidRPr="006A37CA">
        <w:t>Phase III</w:t>
      </w:r>
      <w:r w:rsidRPr="006A37CA">
        <w:t xml:space="preserve"> studies, one </w:t>
      </w:r>
      <w:r w:rsidR="00376E45" w:rsidRPr="006A37CA">
        <w:t>Phase II</w:t>
      </w:r>
      <w:r w:rsidRPr="006A37CA">
        <w:t xml:space="preserve"> study, and two </w:t>
      </w:r>
      <w:r w:rsidR="00376E45" w:rsidRPr="006A37CA">
        <w:t>Phase I</w:t>
      </w:r>
      <w:r w:rsidRPr="006A37CA">
        <w:t xml:space="preserve"> studies.</w:t>
      </w:r>
    </w:p>
    <w:p w14:paraId="0DC45B82" w14:textId="2B2908CE" w:rsidR="008557F6" w:rsidRPr="006A37CA" w:rsidRDefault="008557F6" w:rsidP="00CB365D">
      <w:r w:rsidRPr="006A37CA">
        <w:t xml:space="preserve">There were no clinical efficacy studies comparing </w:t>
      </w:r>
      <w:r w:rsidR="006A37CA" w:rsidRPr="006A37CA">
        <w:t>Prevenar 20</w:t>
      </w:r>
      <w:r w:rsidRPr="006A37CA">
        <w:t xml:space="preserve"> with </w:t>
      </w:r>
      <w:r w:rsidR="006A37CA" w:rsidRPr="006A37CA">
        <w:t>Prevenar 13</w:t>
      </w:r>
      <w:r w:rsidR="00E57B44">
        <w:t>, another conjugated polysaccharide vaccine;</w:t>
      </w:r>
      <w:r w:rsidRPr="006A37CA">
        <w:t xml:space="preserve"> or</w:t>
      </w:r>
      <w:r w:rsidR="00E57B44">
        <w:t xml:space="preserve"> comparing</w:t>
      </w:r>
      <w:r w:rsidRPr="006A37CA">
        <w:t xml:space="preserve"> </w:t>
      </w:r>
      <w:r w:rsidR="006A37CA" w:rsidRPr="006A37CA">
        <w:t>Prevenar 20</w:t>
      </w:r>
      <w:r w:rsidRPr="006A37CA">
        <w:t xml:space="preserve"> with </w:t>
      </w:r>
      <w:r w:rsidR="00E57B44">
        <w:t xml:space="preserve">the unconjugated polysaccharide vaccine </w:t>
      </w:r>
      <w:r w:rsidR="00E171F6" w:rsidRPr="006A37CA">
        <w:t>Pneumovax 23</w:t>
      </w:r>
      <w:r w:rsidR="00E57B44">
        <w:t xml:space="preserve"> with</w:t>
      </w:r>
      <w:r w:rsidRPr="006A37CA">
        <w:t xml:space="preserve"> regards </w:t>
      </w:r>
      <w:r w:rsidR="00E57B44">
        <w:t xml:space="preserve">to </w:t>
      </w:r>
      <w:r w:rsidRPr="006A37CA">
        <w:t xml:space="preserve">prevention of invasive disease and pneumonia caused by </w:t>
      </w:r>
      <w:r w:rsidRPr="006A37CA">
        <w:rPr>
          <w:i/>
          <w:iCs/>
        </w:rPr>
        <w:t>Streptococcus pneumoniae</w:t>
      </w:r>
      <w:r w:rsidRPr="006A37CA">
        <w:t xml:space="preserve"> in adults aged 18 years</w:t>
      </w:r>
      <w:r w:rsidR="009659E2" w:rsidRPr="006A37CA">
        <w:t xml:space="preserve"> and over</w:t>
      </w:r>
      <w:r w:rsidRPr="006A37CA">
        <w:t xml:space="preserve">. Clinical effectiveness of active vaccination with </w:t>
      </w:r>
      <w:r w:rsidR="006A37CA" w:rsidRPr="006A37CA">
        <w:t>Prevenar 20</w:t>
      </w:r>
      <w:r w:rsidRPr="006A37CA">
        <w:t xml:space="preserve"> for these indications was inferred based on the comparability of the immune response for the 13 serotypes shared between </w:t>
      </w:r>
      <w:r w:rsidR="006A37CA" w:rsidRPr="006A37CA">
        <w:t>Prevenar 20</w:t>
      </w:r>
      <w:r w:rsidRPr="006A37CA">
        <w:t xml:space="preserve"> and </w:t>
      </w:r>
      <w:r w:rsidR="006A37CA" w:rsidRPr="006A37CA">
        <w:t>Prevenar 13</w:t>
      </w:r>
      <w:r w:rsidRPr="006A37CA">
        <w:t xml:space="preserve"> and for the additional 7 serotypes shared between </w:t>
      </w:r>
      <w:r w:rsidR="006A37CA" w:rsidRPr="006A37CA">
        <w:t>Prevenar 20</w:t>
      </w:r>
      <w:r w:rsidRPr="006A37CA">
        <w:t xml:space="preserve"> and </w:t>
      </w:r>
      <w:r w:rsidR="00E171F6" w:rsidRPr="006A37CA">
        <w:t>Pneumovax 23</w:t>
      </w:r>
      <w:r w:rsidRPr="006A37CA">
        <w:t>.</w:t>
      </w:r>
    </w:p>
    <w:p w14:paraId="742F8E7E" w14:textId="598B8D69" w:rsidR="008557F6" w:rsidRPr="006A37CA" w:rsidRDefault="008557F6" w:rsidP="00CB365D">
      <w:r w:rsidRPr="006A37CA">
        <w:t xml:space="preserve">Following </w:t>
      </w:r>
      <w:r w:rsidR="00376E45" w:rsidRPr="006A37CA">
        <w:t>questions raised by the TGA</w:t>
      </w:r>
      <w:r w:rsidRPr="006A37CA">
        <w:t xml:space="preserve">, </w:t>
      </w:r>
      <w:r w:rsidR="005D2E79">
        <w:t xml:space="preserve">the sponsor responded with </w:t>
      </w:r>
      <w:r w:rsidRPr="006A37CA">
        <w:t>two further studies</w:t>
      </w:r>
      <w:r w:rsidR="005D2E79">
        <w:t xml:space="preserve"> that</w:t>
      </w:r>
      <w:r w:rsidRPr="006A37CA">
        <w:t xml:space="preserve"> </w:t>
      </w:r>
      <w:r w:rsidR="00376E45" w:rsidRPr="006A37CA">
        <w:t xml:space="preserve">have been evaluated </w:t>
      </w:r>
      <w:r w:rsidRPr="006A37CA">
        <w:t xml:space="preserve">in relation to safety with concomitant vaccine administration in adults, including </w:t>
      </w:r>
      <w:r w:rsidR="00376E45" w:rsidRPr="006A37CA">
        <w:t>Study</w:t>
      </w:r>
      <w:r w:rsidR="009659E2" w:rsidRPr="006A37CA">
        <w:t> </w:t>
      </w:r>
      <w:r w:rsidRPr="006A37CA">
        <w:t xml:space="preserve">B7471004 </w:t>
      </w:r>
      <w:r w:rsidR="00376E45" w:rsidRPr="006A37CA">
        <w:t>(</w:t>
      </w:r>
      <w:r w:rsidR="006A37CA" w:rsidRPr="006A37CA">
        <w:t>Prevenar 20</w:t>
      </w:r>
      <w:r w:rsidRPr="006A37CA">
        <w:t xml:space="preserve"> + seasonal inactivated influenza vaccine) and </w:t>
      </w:r>
      <w:r w:rsidR="009659E2" w:rsidRPr="006A37CA">
        <w:t xml:space="preserve">Study </w:t>
      </w:r>
      <w:r w:rsidRPr="006A37CA">
        <w:t xml:space="preserve">B7471026 </w:t>
      </w:r>
      <w:r w:rsidR="00376E45" w:rsidRPr="006A37CA">
        <w:t>(</w:t>
      </w:r>
      <w:r w:rsidR="006A37CA" w:rsidRPr="006A37CA">
        <w:t>Prevenar 20</w:t>
      </w:r>
      <w:r w:rsidRPr="006A37CA">
        <w:t xml:space="preserve"> + </w:t>
      </w:r>
      <w:r w:rsidR="00E57B44">
        <w:t>Comirnaty (</w:t>
      </w:r>
      <w:r w:rsidR="00E57B44" w:rsidRPr="006A37CA">
        <w:t>BNT162b2</w:t>
      </w:r>
      <w:r w:rsidR="00E57B44">
        <w:t xml:space="preserve">) </w:t>
      </w:r>
      <w:r w:rsidRPr="006A37CA">
        <w:t>COVID</w:t>
      </w:r>
      <w:r w:rsidR="009659E2" w:rsidRPr="006A37CA">
        <w:noBreakHyphen/>
      </w:r>
      <w:r w:rsidRPr="006A37CA">
        <w:t xml:space="preserve">19 </w:t>
      </w:r>
      <w:r w:rsidR="00F602CA" w:rsidRPr="006A37CA">
        <w:t>(m</w:t>
      </w:r>
      <w:r w:rsidRPr="006A37CA">
        <w:t>RNA</w:t>
      </w:r>
      <w:r w:rsidR="00E57B44">
        <w:t>-based</w:t>
      </w:r>
      <w:r w:rsidR="00F602CA" w:rsidRPr="006A37CA">
        <w:t>)</w:t>
      </w:r>
      <w:r w:rsidRPr="006A37CA">
        <w:t xml:space="preserve"> </w:t>
      </w:r>
      <w:r w:rsidR="009659E2" w:rsidRPr="006A37CA">
        <w:t>v</w:t>
      </w:r>
      <w:r w:rsidRPr="006A37CA">
        <w:t>accine</w:t>
      </w:r>
      <w:r w:rsidR="00376E45" w:rsidRPr="006A37CA">
        <w:t>)</w:t>
      </w:r>
      <w:r w:rsidRPr="006A37CA">
        <w:t xml:space="preserve">, which resulted in further updates to the </w:t>
      </w:r>
      <w:r w:rsidR="00DF2B5F" w:rsidRPr="006A37CA">
        <w:t>Product Information (PI)</w:t>
      </w:r>
      <w:r w:rsidRPr="006A37CA">
        <w:t xml:space="preserve">. These studies are also </w:t>
      </w:r>
      <w:r w:rsidR="009659E2" w:rsidRPr="006A37CA">
        <w:t xml:space="preserve">summarised </w:t>
      </w:r>
      <w:r w:rsidRPr="006A37CA">
        <w:t xml:space="preserve">in </w:t>
      </w:r>
      <w:r w:rsidR="009659E2" w:rsidRPr="006A37CA">
        <w:fldChar w:fldCharType="begin"/>
      </w:r>
      <w:r w:rsidR="009659E2" w:rsidRPr="006A37CA">
        <w:instrText xml:space="preserve"> REF _Ref131696450 \h </w:instrText>
      </w:r>
      <w:r w:rsidR="006A37CA" w:rsidRPr="006A37CA">
        <w:instrText xml:space="preserve"> \* MERGEFORMAT </w:instrText>
      </w:r>
      <w:r w:rsidR="009659E2" w:rsidRPr="006A37CA">
        <w:fldChar w:fldCharType="separate"/>
      </w:r>
      <w:r w:rsidR="00AC74BD" w:rsidRPr="00AC74BD">
        <w:t xml:space="preserve">Table </w:t>
      </w:r>
      <w:r w:rsidR="00AC74BD">
        <w:rPr>
          <w:noProof/>
        </w:rPr>
        <w:t>3</w:t>
      </w:r>
      <w:r w:rsidR="009659E2" w:rsidRPr="006A37CA">
        <w:fldChar w:fldCharType="end"/>
      </w:r>
      <w:r w:rsidR="009659E2" w:rsidRPr="006A37CA">
        <w:t xml:space="preserve"> </w:t>
      </w:r>
      <w:r w:rsidRPr="006A37CA">
        <w:t>below.</w:t>
      </w:r>
    </w:p>
    <w:p w14:paraId="5F7A5FB3" w14:textId="10B95EEE" w:rsidR="008557F6" w:rsidRPr="00AC74BD" w:rsidRDefault="00CB365D" w:rsidP="00AC74BD">
      <w:pPr>
        <w:pStyle w:val="TableTitle0"/>
      </w:pPr>
      <w:bookmarkStart w:id="53" w:name="_Ref131696450"/>
      <w:r w:rsidRPr="00AC74BD">
        <w:t xml:space="preserve">Table </w:t>
      </w:r>
      <w:fldSimple w:instr=" SEQ Table \* ARABIC ">
        <w:r w:rsidR="00AC74BD">
          <w:rPr>
            <w:noProof/>
          </w:rPr>
          <w:t>3</w:t>
        </w:r>
      </w:fldSimple>
      <w:bookmarkEnd w:id="53"/>
      <w:r w:rsidRPr="00AC74BD">
        <w:t xml:space="preserve">: </w:t>
      </w:r>
      <w:r w:rsidR="008557F6" w:rsidRPr="00AC74BD">
        <w:t xml:space="preserve">Overview of </w:t>
      </w:r>
      <w:r w:rsidR="009659E2" w:rsidRPr="00AC74BD">
        <w:t>Phase III</w:t>
      </w:r>
      <w:r w:rsidR="008557F6" w:rsidRPr="00AC74BD">
        <w:t xml:space="preserve"> studies</w:t>
      </w:r>
    </w:p>
    <w:tbl>
      <w:tblPr>
        <w:tblStyle w:val="TableTGAblue2023"/>
        <w:tblW w:w="8990" w:type="dxa"/>
        <w:tblLook w:val="04A0" w:firstRow="1" w:lastRow="0" w:firstColumn="1" w:lastColumn="0" w:noHBand="0" w:noVBand="1"/>
      </w:tblPr>
      <w:tblGrid>
        <w:gridCol w:w="1833"/>
        <w:gridCol w:w="2552"/>
        <w:gridCol w:w="1635"/>
        <w:gridCol w:w="1170"/>
        <w:gridCol w:w="1800"/>
      </w:tblGrid>
      <w:tr w:rsidR="008557F6" w:rsidRPr="005D2E79" w14:paraId="7DBCF5D1" w14:textId="77777777" w:rsidTr="004B2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BDA9159" w14:textId="77777777" w:rsidR="009253BF" w:rsidRPr="00AC74BD" w:rsidRDefault="008557F6" w:rsidP="00AC74BD">
            <w:pPr>
              <w:pStyle w:val="TableText"/>
              <w:ind w:left="0"/>
            </w:pPr>
            <w:r w:rsidRPr="00AC74BD">
              <w:t>Stud</w:t>
            </w:r>
            <w:r w:rsidR="009253BF" w:rsidRPr="00AC74BD">
              <w:t>y</w:t>
            </w:r>
          </w:p>
          <w:p w14:paraId="5515E093" w14:textId="3D7D6BFD" w:rsidR="009253BF" w:rsidRPr="00AC74BD" w:rsidRDefault="009253BF" w:rsidP="00AC74BD">
            <w:pPr>
              <w:pStyle w:val="TableText"/>
              <w:ind w:left="0"/>
            </w:pPr>
            <w:r w:rsidRPr="00AC74BD">
              <w:t>D</w:t>
            </w:r>
            <w:r w:rsidR="008557F6" w:rsidRPr="00AC74BD">
              <w:t>ates</w:t>
            </w:r>
          </w:p>
          <w:p w14:paraId="3E0BCBD4" w14:textId="37F141FE" w:rsidR="008557F6" w:rsidRPr="00AC74BD" w:rsidRDefault="009253BF" w:rsidP="00AC74BD">
            <w:pPr>
              <w:pStyle w:val="TableText"/>
              <w:ind w:left="0"/>
            </w:pPr>
            <w:r w:rsidRPr="00AC74BD">
              <w:t>L</w:t>
            </w:r>
            <w:r w:rsidR="008557F6" w:rsidRPr="00AC74BD">
              <w:t>ocation</w:t>
            </w:r>
          </w:p>
        </w:tc>
        <w:tc>
          <w:tcPr>
            <w:tcW w:w="2552" w:type="dxa"/>
          </w:tcPr>
          <w:p w14:paraId="65975430" w14:textId="77777777" w:rsidR="008557F6" w:rsidRPr="00AC74BD" w:rsidRDefault="008557F6" w:rsidP="00AC74BD">
            <w:pPr>
              <w:pStyle w:val="TableText"/>
              <w:ind w:left="0"/>
              <w:cnfStyle w:val="100000000000" w:firstRow="1" w:lastRow="0" w:firstColumn="0" w:lastColumn="0" w:oddVBand="0" w:evenVBand="0" w:oddHBand="0" w:evenHBand="0" w:firstRowFirstColumn="0" w:firstRowLastColumn="0" w:lastRowFirstColumn="0" w:lastRowLastColumn="0"/>
            </w:pPr>
            <w:r w:rsidRPr="00AC74BD">
              <w:t>Design</w:t>
            </w:r>
          </w:p>
        </w:tc>
        <w:tc>
          <w:tcPr>
            <w:tcW w:w="1635" w:type="dxa"/>
          </w:tcPr>
          <w:p w14:paraId="79859CE9" w14:textId="77777777" w:rsidR="008557F6" w:rsidRPr="00AC74BD" w:rsidRDefault="008557F6" w:rsidP="00AC74BD">
            <w:pPr>
              <w:pStyle w:val="TableText"/>
              <w:ind w:left="0"/>
              <w:cnfStyle w:val="100000000000" w:firstRow="1" w:lastRow="0" w:firstColumn="0" w:lastColumn="0" w:oddVBand="0" w:evenVBand="0" w:oddHBand="0" w:evenHBand="0" w:firstRowFirstColumn="0" w:firstRowLastColumn="0" w:lastRowFirstColumn="0" w:lastRowLastColumn="0"/>
            </w:pPr>
            <w:r w:rsidRPr="00AC74BD">
              <w:t>Population</w:t>
            </w:r>
          </w:p>
        </w:tc>
        <w:tc>
          <w:tcPr>
            <w:tcW w:w="1170" w:type="dxa"/>
          </w:tcPr>
          <w:p w14:paraId="15E190EE" w14:textId="77777777" w:rsidR="008557F6" w:rsidRPr="00AC74BD" w:rsidRDefault="008557F6" w:rsidP="00AC74BD">
            <w:pPr>
              <w:pStyle w:val="TableText"/>
              <w:ind w:left="0"/>
              <w:cnfStyle w:val="100000000000" w:firstRow="1" w:lastRow="0" w:firstColumn="0" w:lastColumn="0" w:oddVBand="0" w:evenVBand="0" w:oddHBand="0" w:evenHBand="0" w:firstRowFirstColumn="0" w:firstRowLastColumn="0" w:lastRowFirstColumn="0" w:lastRowLastColumn="0"/>
            </w:pPr>
            <w:r w:rsidRPr="00AC74BD">
              <w:t>Number of subjects enrolled</w:t>
            </w:r>
          </w:p>
        </w:tc>
        <w:tc>
          <w:tcPr>
            <w:tcW w:w="1800" w:type="dxa"/>
          </w:tcPr>
          <w:p w14:paraId="517E84E4" w14:textId="3AAD0EF9" w:rsidR="008557F6" w:rsidRPr="00AC74BD" w:rsidRDefault="008557F6" w:rsidP="00AC74BD">
            <w:pPr>
              <w:pStyle w:val="TableText"/>
              <w:ind w:left="0"/>
              <w:cnfStyle w:val="100000000000" w:firstRow="1" w:lastRow="0" w:firstColumn="0" w:lastColumn="0" w:oddVBand="0" w:evenVBand="0" w:oddHBand="0" w:evenHBand="0" w:firstRowFirstColumn="0" w:firstRowLastColumn="0" w:lastRowFirstColumn="0" w:lastRowLastColumn="0"/>
            </w:pPr>
            <w:r w:rsidRPr="00AC74BD">
              <w:t>Follow up</w:t>
            </w:r>
          </w:p>
        </w:tc>
      </w:tr>
      <w:tr w:rsidR="008557F6" w:rsidRPr="005D2E79" w14:paraId="7E5C53A5" w14:textId="77777777" w:rsidTr="004B2F77">
        <w:tc>
          <w:tcPr>
            <w:cnfStyle w:val="001000000000" w:firstRow="0" w:lastRow="0" w:firstColumn="1" w:lastColumn="0" w:oddVBand="0" w:evenVBand="0" w:oddHBand="0" w:evenHBand="0" w:firstRowFirstColumn="0" w:firstRowLastColumn="0" w:lastRowFirstColumn="0" w:lastRowLastColumn="0"/>
            <w:tcW w:w="1833" w:type="dxa"/>
          </w:tcPr>
          <w:p w14:paraId="552F4EB5" w14:textId="77777777" w:rsidR="008557F6" w:rsidRPr="00AC74BD" w:rsidRDefault="008557F6" w:rsidP="00AC74BD">
            <w:pPr>
              <w:pStyle w:val="TableText"/>
              <w:ind w:left="0"/>
              <w:rPr>
                <w:b/>
                <w:bCs/>
              </w:rPr>
            </w:pPr>
            <w:r w:rsidRPr="00AC74BD">
              <w:rPr>
                <w:b/>
                <w:bCs/>
              </w:rPr>
              <w:t>Study B7471007</w:t>
            </w:r>
          </w:p>
          <w:p w14:paraId="1FDBBCCD" w14:textId="77777777" w:rsidR="009253BF" w:rsidRPr="00AC74BD" w:rsidRDefault="008557F6" w:rsidP="00AC74BD">
            <w:pPr>
              <w:pStyle w:val="TableText"/>
              <w:ind w:left="0"/>
            </w:pPr>
            <w:r w:rsidRPr="00AC74BD">
              <w:t>December 2018 to December 2019</w:t>
            </w:r>
          </w:p>
          <w:p w14:paraId="12EB524B" w14:textId="2A2D1DC4" w:rsidR="008557F6" w:rsidRPr="00AC74BD" w:rsidRDefault="008557F6" w:rsidP="00AC74BD">
            <w:pPr>
              <w:pStyle w:val="TableText"/>
              <w:ind w:left="0"/>
            </w:pPr>
            <w:r w:rsidRPr="00AC74BD">
              <w:t>USA and Sweden</w:t>
            </w:r>
          </w:p>
        </w:tc>
        <w:tc>
          <w:tcPr>
            <w:tcW w:w="2552" w:type="dxa"/>
          </w:tcPr>
          <w:p w14:paraId="68C0C73C" w14:textId="7DC350F2"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Randomised, active controlled, double</w:t>
            </w:r>
            <w:r w:rsidR="009253BF" w:rsidRPr="00AC74BD">
              <w:t xml:space="preserve"> </w:t>
            </w:r>
            <w:r w:rsidRPr="00AC74BD">
              <w:t>blind</w:t>
            </w:r>
          </w:p>
        </w:tc>
        <w:tc>
          <w:tcPr>
            <w:tcW w:w="1635" w:type="dxa"/>
          </w:tcPr>
          <w:p w14:paraId="46A82748" w14:textId="181A9380"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Pneumococcal vaccine</w:t>
            </w:r>
            <w:r w:rsidR="009659E2" w:rsidRPr="00AC74BD">
              <w:t>-</w:t>
            </w:r>
            <w:r w:rsidRPr="00AC74BD">
              <w:t>naïve adults ≥</w:t>
            </w:r>
            <w:r w:rsidR="009253BF" w:rsidRPr="00AC74BD">
              <w:t> </w:t>
            </w:r>
            <w:r w:rsidRPr="00AC74BD">
              <w:t>18 years</w:t>
            </w:r>
          </w:p>
        </w:tc>
        <w:tc>
          <w:tcPr>
            <w:tcW w:w="1170" w:type="dxa"/>
          </w:tcPr>
          <w:p w14:paraId="3BF7D0DE"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3902</w:t>
            </w:r>
          </w:p>
        </w:tc>
        <w:tc>
          <w:tcPr>
            <w:tcW w:w="1800" w:type="dxa"/>
          </w:tcPr>
          <w:p w14:paraId="2D14BB14" w14:textId="2C1FE48E" w:rsidR="008557F6" w:rsidRPr="00AC74BD" w:rsidRDefault="009253BF"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O</w:t>
            </w:r>
            <w:r w:rsidR="009659E2" w:rsidRPr="00AC74BD">
              <w:t>ne month</w:t>
            </w:r>
            <w:r w:rsidR="008557F6" w:rsidRPr="00AC74BD">
              <w:t xml:space="preserve"> (immunogenicity)</w:t>
            </w:r>
          </w:p>
          <w:p w14:paraId="0F59AD5C"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6 months (safety)</w:t>
            </w:r>
          </w:p>
        </w:tc>
      </w:tr>
      <w:tr w:rsidR="008557F6" w:rsidRPr="005D2E79" w14:paraId="2AACCC03" w14:textId="77777777" w:rsidTr="004B2F77">
        <w:tc>
          <w:tcPr>
            <w:cnfStyle w:val="001000000000" w:firstRow="0" w:lastRow="0" w:firstColumn="1" w:lastColumn="0" w:oddVBand="0" w:evenVBand="0" w:oddHBand="0" w:evenHBand="0" w:firstRowFirstColumn="0" w:firstRowLastColumn="0" w:lastRowFirstColumn="0" w:lastRowLastColumn="0"/>
            <w:tcW w:w="1833" w:type="dxa"/>
          </w:tcPr>
          <w:p w14:paraId="3701EE1B" w14:textId="77777777" w:rsidR="008557F6" w:rsidRPr="00AC74BD" w:rsidRDefault="008557F6" w:rsidP="00AC74BD">
            <w:pPr>
              <w:pStyle w:val="TableText"/>
              <w:ind w:left="0"/>
              <w:rPr>
                <w:b/>
                <w:bCs/>
              </w:rPr>
            </w:pPr>
            <w:r w:rsidRPr="00AC74BD">
              <w:rPr>
                <w:b/>
                <w:bCs/>
              </w:rPr>
              <w:lastRenderedPageBreak/>
              <w:t>Study B7471006</w:t>
            </w:r>
          </w:p>
          <w:p w14:paraId="0CB54300" w14:textId="77777777" w:rsidR="009253BF" w:rsidRPr="00AC74BD" w:rsidRDefault="008557F6" w:rsidP="00AC74BD">
            <w:pPr>
              <w:pStyle w:val="TableText"/>
              <w:ind w:left="0"/>
            </w:pPr>
            <w:r w:rsidRPr="00AC74BD">
              <w:t>February 2019 to February 2020</w:t>
            </w:r>
          </w:p>
          <w:p w14:paraId="601863BD" w14:textId="3143AF9F" w:rsidR="008557F6" w:rsidRPr="00AC74BD" w:rsidRDefault="008557F6" w:rsidP="00AC74BD">
            <w:pPr>
              <w:pStyle w:val="TableText"/>
              <w:ind w:left="0"/>
            </w:pPr>
            <w:r w:rsidRPr="00AC74BD">
              <w:t>USA and Sweden</w:t>
            </w:r>
          </w:p>
        </w:tc>
        <w:tc>
          <w:tcPr>
            <w:tcW w:w="2552" w:type="dxa"/>
          </w:tcPr>
          <w:p w14:paraId="22B73303" w14:textId="6A902AA1"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Randomised, open</w:t>
            </w:r>
            <w:r w:rsidR="009253BF" w:rsidRPr="00AC74BD">
              <w:t xml:space="preserve"> </w:t>
            </w:r>
            <w:r w:rsidRPr="00AC74BD">
              <w:t>label</w:t>
            </w:r>
          </w:p>
        </w:tc>
        <w:tc>
          <w:tcPr>
            <w:tcW w:w="1635" w:type="dxa"/>
          </w:tcPr>
          <w:p w14:paraId="692CBC66"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Adults ≥ 65 years with prior pneumococcal vaccine</w:t>
            </w:r>
          </w:p>
        </w:tc>
        <w:tc>
          <w:tcPr>
            <w:tcW w:w="1170" w:type="dxa"/>
          </w:tcPr>
          <w:p w14:paraId="74448BBD"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875</w:t>
            </w:r>
          </w:p>
        </w:tc>
        <w:tc>
          <w:tcPr>
            <w:tcW w:w="1800" w:type="dxa"/>
          </w:tcPr>
          <w:p w14:paraId="04B1C714" w14:textId="507A0E4A" w:rsidR="008557F6" w:rsidRPr="00AC74BD" w:rsidRDefault="009253BF"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O</w:t>
            </w:r>
            <w:r w:rsidR="009659E2" w:rsidRPr="00AC74BD">
              <w:t>ne month</w:t>
            </w:r>
            <w:r w:rsidR="008557F6" w:rsidRPr="00AC74BD">
              <w:t xml:space="preserve"> (immunogenicity)</w:t>
            </w:r>
          </w:p>
          <w:p w14:paraId="332EEFA8"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6 months (safety)</w:t>
            </w:r>
          </w:p>
        </w:tc>
      </w:tr>
      <w:tr w:rsidR="008557F6" w:rsidRPr="005D2E79" w14:paraId="26DF5A9D" w14:textId="77777777" w:rsidTr="004B2F77">
        <w:tc>
          <w:tcPr>
            <w:cnfStyle w:val="001000000000" w:firstRow="0" w:lastRow="0" w:firstColumn="1" w:lastColumn="0" w:oddVBand="0" w:evenVBand="0" w:oddHBand="0" w:evenHBand="0" w:firstRowFirstColumn="0" w:firstRowLastColumn="0" w:lastRowFirstColumn="0" w:lastRowLastColumn="0"/>
            <w:tcW w:w="1833" w:type="dxa"/>
          </w:tcPr>
          <w:p w14:paraId="421B499C" w14:textId="77777777" w:rsidR="008557F6" w:rsidRPr="00AC74BD" w:rsidRDefault="008557F6" w:rsidP="00AC74BD">
            <w:pPr>
              <w:pStyle w:val="TableText"/>
              <w:ind w:left="0"/>
              <w:rPr>
                <w:b/>
                <w:bCs/>
              </w:rPr>
            </w:pPr>
            <w:r w:rsidRPr="00AC74BD">
              <w:rPr>
                <w:b/>
                <w:bCs/>
              </w:rPr>
              <w:t>Study B7471008</w:t>
            </w:r>
          </w:p>
          <w:p w14:paraId="11A6EE3C" w14:textId="77777777" w:rsidR="009253BF" w:rsidRPr="00AC74BD" w:rsidRDefault="008557F6" w:rsidP="00AC74BD">
            <w:pPr>
              <w:pStyle w:val="TableText"/>
              <w:ind w:left="0"/>
            </w:pPr>
            <w:r w:rsidRPr="00AC74BD">
              <w:t>February 2019 to October 2019</w:t>
            </w:r>
          </w:p>
          <w:p w14:paraId="2BE3BA31" w14:textId="10A7D51A" w:rsidR="008557F6" w:rsidRPr="00AC74BD" w:rsidRDefault="008557F6" w:rsidP="00AC74BD">
            <w:pPr>
              <w:pStyle w:val="TableText"/>
              <w:ind w:left="0"/>
            </w:pPr>
            <w:r w:rsidRPr="00AC74BD">
              <w:t>USA</w:t>
            </w:r>
          </w:p>
        </w:tc>
        <w:tc>
          <w:tcPr>
            <w:tcW w:w="2552" w:type="dxa"/>
          </w:tcPr>
          <w:p w14:paraId="5A6ABF71" w14:textId="7C01411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Randomised, double</w:t>
            </w:r>
            <w:r w:rsidR="009253BF" w:rsidRPr="00AC74BD">
              <w:t xml:space="preserve"> </w:t>
            </w:r>
            <w:r w:rsidRPr="00AC74BD">
              <w:t xml:space="preserve">blind, </w:t>
            </w:r>
            <w:r w:rsidR="009253BF" w:rsidRPr="00AC74BD">
              <w:t>lot consistency</w:t>
            </w:r>
          </w:p>
        </w:tc>
        <w:tc>
          <w:tcPr>
            <w:tcW w:w="1635" w:type="dxa"/>
          </w:tcPr>
          <w:p w14:paraId="4C3F437E" w14:textId="054CC37C"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Adults aged 18</w:t>
            </w:r>
            <w:r w:rsidR="009253BF" w:rsidRPr="00AC74BD">
              <w:t xml:space="preserve"> to </w:t>
            </w:r>
            <w:r w:rsidRPr="00AC74BD">
              <w:t>49</w:t>
            </w:r>
            <w:r w:rsidR="005D2E79" w:rsidRPr="00AC74BD">
              <w:t> </w:t>
            </w:r>
            <w:r w:rsidRPr="00AC74BD">
              <w:t>years</w:t>
            </w:r>
          </w:p>
        </w:tc>
        <w:tc>
          <w:tcPr>
            <w:tcW w:w="1170" w:type="dxa"/>
          </w:tcPr>
          <w:p w14:paraId="320D12C3"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1710</w:t>
            </w:r>
          </w:p>
        </w:tc>
        <w:tc>
          <w:tcPr>
            <w:tcW w:w="1800" w:type="dxa"/>
          </w:tcPr>
          <w:p w14:paraId="3A95A273" w14:textId="41ED131E" w:rsidR="008557F6" w:rsidRPr="00AC74BD" w:rsidRDefault="009253BF"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O</w:t>
            </w:r>
            <w:r w:rsidR="009659E2" w:rsidRPr="00AC74BD">
              <w:t>ne month</w:t>
            </w:r>
            <w:r w:rsidR="008557F6" w:rsidRPr="00AC74BD">
              <w:t xml:space="preserve"> (immunogenicity)</w:t>
            </w:r>
          </w:p>
          <w:p w14:paraId="40F8E113" w14:textId="3F03315A"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6 months (safety)</w:t>
            </w:r>
          </w:p>
        </w:tc>
      </w:tr>
      <w:tr w:rsidR="008557F6" w:rsidRPr="005D2E79" w14:paraId="57C2EE7E" w14:textId="77777777" w:rsidTr="004B2F77">
        <w:tc>
          <w:tcPr>
            <w:cnfStyle w:val="001000000000" w:firstRow="0" w:lastRow="0" w:firstColumn="1" w:lastColumn="0" w:oddVBand="0" w:evenVBand="0" w:oddHBand="0" w:evenHBand="0" w:firstRowFirstColumn="0" w:firstRowLastColumn="0" w:lastRowFirstColumn="0" w:lastRowLastColumn="0"/>
            <w:tcW w:w="1833" w:type="dxa"/>
          </w:tcPr>
          <w:p w14:paraId="61A4022A" w14:textId="2BEC6BC4" w:rsidR="008557F6" w:rsidRPr="00AC74BD" w:rsidRDefault="008557F6" w:rsidP="00AC74BD">
            <w:pPr>
              <w:pStyle w:val="TableText"/>
              <w:ind w:left="0"/>
              <w:rPr>
                <w:b/>
                <w:bCs/>
              </w:rPr>
            </w:pPr>
            <w:bookmarkStart w:id="54" w:name="_Hlk113035739"/>
            <w:r w:rsidRPr="00AC74BD">
              <w:rPr>
                <w:b/>
                <w:bCs/>
              </w:rPr>
              <w:t>Study B7471004</w:t>
            </w:r>
            <w:bookmarkEnd w:id="54"/>
          </w:p>
          <w:p w14:paraId="01B10ECF" w14:textId="77777777" w:rsidR="009253BF" w:rsidRPr="00AC74BD" w:rsidRDefault="008557F6" w:rsidP="00AC74BD">
            <w:pPr>
              <w:pStyle w:val="TableText"/>
              <w:ind w:left="0"/>
            </w:pPr>
            <w:r w:rsidRPr="00AC74BD">
              <w:t>September 2020 to June 2021</w:t>
            </w:r>
          </w:p>
          <w:p w14:paraId="6BF3E9E2" w14:textId="2CB39D94" w:rsidR="008557F6" w:rsidRPr="00AC74BD" w:rsidRDefault="008557F6" w:rsidP="00AC74BD">
            <w:pPr>
              <w:pStyle w:val="TableText"/>
              <w:ind w:left="0"/>
            </w:pPr>
            <w:r w:rsidRPr="00AC74BD">
              <w:t>USA</w:t>
            </w:r>
          </w:p>
        </w:tc>
        <w:tc>
          <w:tcPr>
            <w:tcW w:w="2552" w:type="dxa"/>
          </w:tcPr>
          <w:p w14:paraId="60C9FC07" w14:textId="4702A4EE"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Randomised, double</w:t>
            </w:r>
            <w:r w:rsidR="009253BF" w:rsidRPr="00AC74BD">
              <w:t xml:space="preserve"> </w:t>
            </w:r>
            <w:r w:rsidRPr="00AC74BD">
              <w:t>blind,</w:t>
            </w:r>
            <w:r w:rsidR="009253BF" w:rsidRPr="00AC74BD">
              <w:t xml:space="preserve"> c</w:t>
            </w:r>
            <w:r w:rsidRPr="00AC74BD">
              <w:t>o</w:t>
            </w:r>
            <w:r w:rsidR="009253BF" w:rsidRPr="00AC74BD">
              <w:noBreakHyphen/>
            </w:r>
            <w:r w:rsidRPr="00AC74BD">
              <w:t>administered with seasonal inactivated influenza vaccine (</w:t>
            </w:r>
            <w:r w:rsidR="00376E45" w:rsidRPr="00AC74BD">
              <w:t>seasonal inactivated influenza vaccine</w:t>
            </w:r>
            <w:r w:rsidRPr="00AC74BD">
              <w:t xml:space="preserve">, </w:t>
            </w:r>
            <w:proofErr w:type="spellStart"/>
            <w:r w:rsidRPr="00AC74BD">
              <w:t>Fluad</w:t>
            </w:r>
            <w:proofErr w:type="spellEnd"/>
            <w:r w:rsidRPr="00AC74BD">
              <w:t xml:space="preserve"> Quadrivalent)</w:t>
            </w:r>
          </w:p>
        </w:tc>
        <w:tc>
          <w:tcPr>
            <w:tcW w:w="1635" w:type="dxa"/>
          </w:tcPr>
          <w:p w14:paraId="3FD67A06" w14:textId="53BFBD91"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Adults ≥</w:t>
            </w:r>
            <w:r w:rsidR="009253BF" w:rsidRPr="00AC74BD">
              <w:t xml:space="preserve"> </w:t>
            </w:r>
            <w:r w:rsidRPr="00AC74BD">
              <w:t xml:space="preserve">65 years </w:t>
            </w:r>
          </w:p>
        </w:tc>
        <w:tc>
          <w:tcPr>
            <w:tcW w:w="1170" w:type="dxa"/>
          </w:tcPr>
          <w:p w14:paraId="22141E16"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1796</w:t>
            </w:r>
          </w:p>
        </w:tc>
        <w:tc>
          <w:tcPr>
            <w:tcW w:w="1800" w:type="dxa"/>
          </w:tcPr>
          <w:p w14:paraId="78D2E6AA" w14:textId="3FA3B643" w:rsidR="008557F6" w:rsidRPr="00AC74BD" w:rsidRDefault="009253BF"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O</w:t>
            </w:r>
            <w:r w:rsidR="009659E2" w:rsidRPr="00AC74BD">
              <w:t>ne month</w:t>
            </w:r>
            <w:r w:rsidR="008557F6" w:rsidRPr="00AC74BD">
              <w:t xml:space="preserve"> (immunogenicity)</w:t>
            </w:r>
          </w:p>
          <w:p w14:paraId="4DE7FC32"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6 months (safety)</w:t>
            </w:r>
          </w:p>
        </w:tc>
      </w:tr>
      <w:tr w:rsidR="008557F6" w:rsidRPr="005D2E79" w14:paraId="0E8FAF66" w14:textId="77777777" w:rsidTr="004B2F77">
        <w:tc>
          <w:tcPr>
            <w:cnfStyle w:val="001000000000" w:firstRow="0" w:lastRow="0" w:firstColumn="1" w:lastColumn="0" w:oddVBand="0" w:evenVBand="0" w:oddHBand="0" w:evenHBand="0" w:firstRowFirstColumn="0" w:firstRowLastColumn="0" w:lastRowFirstColumn="0" w:lastRowLastColumn="0"/>
            <w:tcW w:w="1833" w:type="dxa"/>
          </w:tcPr>
          <w:p w14:paraId="6C4439ED" w14:textId="0091DF17" w:rsidR="008557F6" w:rsidRPr="00AC74BD" w:rsidRDefault="008557F6" w:rsidP="00AC74BD">
            <w:pPr>
              <w:pStyle w:val="TableText"/>
              <w:ind w:left="0"/>
              <w:rPr>
                <w:b/>
                <w:bCs/>
              </w:rPr>
            </w:pPr>
            <w:r w:rsidRPr="00AC74BD">
              <w:rPr>
                <w:b/>
                <w:bCs/>
              </w:rPr>
              <w:t>Study B7471026</w:t>
            </w:r>
          </w:p>
          <w:p w14:paraId="07122260" w14:textId="77777777" w:rsidR="009253BF" w:rsidRPr="00AC74BD" w:rsidRDefault="008557F6" w:rsidP="00AC74BD">
            <w:pPr>
              <w:pStyle w:val="TableText"/>
              <w:ind w:left="0"/>
            </w:pPr>
            <w:r w:rsidRPr="00AC74BD">
              <w:t>May 2021 to December 2021</w:t>
            </w:r>
          </w:p>
          <w:p w14:paraId="106F375B" w14:textId="0CCF4837" w:rsidR="008557F6" w:rsidRPr="00AC74BD" w:rsidRDefault="008557F6" w:rsidP="00AC74BD">
            <w:pPr>
              <w:pStyle w:val="TableText"/>
              <w:ind w:left="0"/>
            </w:pPr>
            <w:r w:rsidRPr="00AC74BD">
              <w:t>USA</w:t>
            </w:r>
          </w:p>
        </w:tc>
        <w:tc>
          <w:tcPr>
            <w:tcW w:w="2552" w:type="dxa"/>
          </w:tcPr>
          <w:p w14:paraId="15AB5416" w14:textId="4C83C6FC"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 xml:space="preserve">Randomised, </w:t>
            </w:r>
            <w:r w:rsidR="009253BF" w:rsidRPr="00AC74BD">
              <w:t>double-blind, co</w:t>
            </w:r>
            <w:r w:rsidR="009253BF" w:rsidRPr="00AC74BD">
              <w:noBreakHyphen/>
              <w:t xml:space="preserve">administered with a booster dose </w:t>
            </w:r>
            <w:r w:rsidRPr="00AC74BD">
              <w:t xml:space="preserve">of </w:t>
            </w:r>
            <w:r w:rsidR="009253BF" w:rsidRPr="00AC74BD">
              <w:t>Comirnaty COVID-19 v</w:t>
            </w:r>
            <w:r w:rsidRPr="00AC74BD">
              <w:t>accine</w:t>
            </w:r>
          </w:p>
        </w:tc>
        <w:tc>
          <w:tcPr>
            <w:tcW w:w="1635" w:type="dxa"/>
          </w:tcPr>
          <w:p w14:paraId="68C5820B" w14:textId="2A0F0A0B"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Adults ≥</w:t>
            </w:r>
            <w:r w:rsidR="009253BF" w:rsidRPr="00AC74BD">
              <w:t xml:space="preserve"> </w:t>
            </w:r>
            <w:r w:rsidRPr="00AC74BD">
              <w:t xml:space="preserve">65 </w:t>
            </w:r>
            <w:r w:rsidR="009253BF" w:rsidRPr="00AC74BD">
              <w:t>years of age</w:t>
            </w:r>
          </w:p>
        </w:tc>
        <w:tc>
          <w:tcPr>
            <w:tcW w:w="1170" w:type="dxa"/>
          </w:tcPr>
          <w:p w14:paraId="7C1AC6B8"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570</w:t>
            </w:r>
          </w:p>
        </w:tc>
        <w:tc>
          <w:tcPr>
            <w:tcW w:w="1800" w:type="dxa"/>
          </w:tcPr>
          <w:p w14:paraId="2A46822C" w14:textId="7621BC05" w:rsidR="008557F6" w:rsidRPr="00AC74BD" w:rsidRDefault="009253BF"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O</w:t>
            </w:r>
            <w:r w:rsidR="009659E2" w:rsidRPr="00AC74BD">
              <w:t>ne month</w:t>
            </w:r>
            <w:r w:rsidR="008557F6" w:rsidRPr="00AC74BD">
              <w:t xml:space="preserve"> (immunogenicity)</w:t>
            </w:r>
          </w:p>
          <w:p w14:paraId="6DFC993D" w14:textId="77777777" w:rsidR="008557F6" w:rsidRPr="00AC74BD" w:rsidRDefault="008557F6" w:rsidP="00AC74BD">
            <w:pPr>
              <w:pStyle w:val="TableText"/>
              <w:ind w:left="0"/>
              <w:cnfStyle w:val="000000000000" w:firstRow="0" w:lastRow="0" w:firstColumn="0" w:lastColumn="0" w:oddVBand="0" w:evenVBand="0" w:oddHBand="0" w:evenHBand="0" w:firstRowFirstColumn="0" w:firstRowLastColumn="0" w:lastRowFirstColumn="0" w:lastRowLastColumn="0"/>
            </w:pPr>
            <w:r w:rsidRPr="00AC74BD">
              <w:t>6 months (safety)</w:t>
            </w:r>
          </w:p>
        </w:tc>
      </w:tr>
    </w:tbl>
    <w:p w14:paraId="49DC23BA" w14:textId="4ED2F378" w:rsidR="009253BF" w:rsidRPr="00AC74BD" w:rsidRDefault="009253BF" w:rsidP="00AC74BD">
      <w:pPr>
        <w:pStyle w:val="Tabledescription"/>
      </w:pPr>
      <w:r w:rsidRPr="00AC74BD">
        <w:t>Abbreviations: COVID-19 = coronavirus disease 2019; USA</w:t>
      </w:r>
      <w:r w:rsidR="00C2097E" w:rsidRPr="00AC74BD">
        <w:t xml:space="preserve"> </w:t>
      </w:r>
      <w:r w:rsidRPr="00AC74BD">
        <w:t>= United States of America.</w:t>
      </w:r>
    </w:p>
    <w:p w14:paraId="315AAB3B" w14:textId="5DBD7FC9" w:rsidR="008557F6" w:rsidRPr="006A37CA" w:rsidRDefault="008557F6" w:rsidP="00CB365D">
      <w:r w:rsidRPr="006A37CA">
        <w:t xml:space="preserve">There were two </w:t>
      </w:r>
      <w:r w:rsidR="00376E45" w:rsidRPr="006A37CA">
        <w:t>Phase I</w:t>
      </w:r>
      <w:r w:rsidRPr="006A37CA">
        <w:t xml:space="preserve"> studies supporting the safety and immunogenicity of single</w:t>
      </w:r>
      <w:r w:rsidR="00957A6F" w:rsidRPr="006A37CA">
        <w:t xml:space="preserve"> </w:t>
      </w:r>
      <w:r w:rsidRPr="006A37CA">
        <w:t xml:space="preserve">dose </w:t>
      </w:r>
      <w:r w:rsidR="006A37CA" w:rsidRPr="006A37CA">
        <w:t>Prevenar 20</w:t>
      </w:r>
      <w:r w:rsidRPr="006A37CA">
        <w:t xml:space="preserve"> for the prevention of pneumococcal disease caused by </w:t>
      </w:r>
      <w:r w:rsidRPr="006A37CA">
        <w:rPr>
          <w:i/>
          <w:iCs/>
        </w:rPr>
        <w:t>Streptococcus pneumoniae</w:t>
      </w:r>
      <w:r w:rsidRPr="006A37CA">
        <w:t xml:space="preserve"> serotypes 1, 3, 4, 5, 6A, 6B, 7F, 8, 9V, 10A, 11A, 12F, 14, 15B, 18C, 19A, 19F, 22F, 23F, and 33F in healthy pneumococcal vaccine-naïve adults aged 18 through 49 years. In both studies, functional serotype-specific immune responses to all 20 serotypes anticipated to be associated with protection were observed at </w:t>
      </w:r>
      <w:r w:rsidR="009659E2" w:rsidRPr="006A37CA">
        <w:t>one</w:t>
      </w:r>
      <w:r w:rsidRPr="006A37CA">
        <w:t xml:space="preserve"> month after vaccination with </w:t>
      </w:r>
      <w:r w:rsidR="006A37CA" w:rsidRPr="006A37CA">
        <w:t>Prevenar 20</w:t>
      </w:r>
      <w:r w:rsidRPr="006A37CA">
        <w:t>.</w:t>
      </w:r>
    </w:p>
    <w:p w14:paraId="3C21E75C" w14:textId="16B8F7A4" w:rsidR="00CB365D" w:rsidRPr="006A37CA" w:rsidRDefault="00CB365D" w:rsidP="00270509">
      <w:pPr>
        <w:pStyle w:val="Heading6"/>
      </w:pPr>
      <w:r w:rsidRPr="006A37CA">
        <w:t>Study B741001</w:t>
      </w:r>
    </w:p>
    <w:p w14:paraId="7E67CAF3" w14:textId="3BEF7436" w:rsidR="008557F6" w:rsidRPr="006A37CA" w:rsidRDefault="009659E2" w:rsidP="008557F6">
      <w:r w:rsidRPr="006A37CA">
        <w:t>Study B741001 is t</w:t>
      </w:r>
      <w:r w:rsidR="008557F6" w:rsidRPr="006A37CA">
        <w:t xml:space="preserve">he </w:t>
      </w:r>
      <w:bookmarkStart w:id="55" w:name="_Hlk112836566"/>
      <w:r w:rsidR="008557F6" w:rsidRPr="006A37CA">
        <w:t xml:space="preserve">first-in-human </w:t>
      </w:r>
      <w:r w:rsidR="00376E45" w:rsidRPr="006A37CA">
        <w:t>Phase I</w:t>
      </w:r>
      <w:r w:rsidR="008557F6" w:rsidRPr="006A37CA">
        <w:t xml:space="preserve"> study</w:t>
      </w:r>
      <w:r w:rsidRPr="006A37CA">
        <w:t>. It</w:t>
      </w:r>
      <w:r w:rsidR="008557F6" w:rsidRPr="006A37CA">
        <w:t xml:space="preserve"> </w:t>
      </w:r>
      <w:bookmarkEnd w:id="55"/>
      <w:r w:rsidR="008557F6" w:rsidRPr="006A37CA">
        <w:t xml:space="preserve">provided safety and immunogenicity data supporting continued clinical development of </w:t>
      </w:r>
      <w:r w:rsidR="006A37CA" w:rsidRPr="006A37CA">
        <w:t>Prevenar 20</w:t>
      </w:r>
      <w:r w:rsidR="008557F6" w:rsidRPr="006A37CA">
        <w:t xml:space="preserve"> in adults. The study was conducted in 66 healthy, pneumococcal vaccine-naïve adults aged 18 through 49 years (33 received </w:t>
      </w:r>
      <w:r w:rsidR="006A37CA" w:rsidRPr="006A37CA">
        <w:t>Prevenar 20</w:t>
      </w:r>
      <w:r w:rsidR="008557F6" w:rsidRPr="006A37CA">
        <w:t xml:space="preserve">; 33 received Tdap, diphtheria-tetanus-acellular pertussis combination vaccine (reduced antigen formulation, </w:t>
      </w:r>
      <w:proofErr w:type="spellStart"/>
      <w:r w:rsidR="008557F6" w:rsidRPr="006A37CA">
        <w:t>Adacel</w:t>
      </w:r>
      <w:proofErr w:type="spellEnd"/>
      <w:r w:rsidR="008557F6" w:rsidRPr="006A37CA">
        <w:t xml:space="preserve">). </w:t>
      </w:r>
      <w:r w:rsidR="006A37CA" w:rsidRPr="006A37CA">
        <w:t>Prevenar 20</w:t>
      </w:r>
      <w:r w:rsidR="008557F6" w:rsidRPr="006A37CA">
        <w:t xml:space="preserve"> was well tolerated, and no safety signals were observed.</w:t>
      </w:r>
    </w:p>
    <w:p w14:paraId="70759E84" w14:textId="1DB9F85D" w:rsidR="008557F6" w:rsidRPr="006A37CA" w:rsidRDefault="008557F6" w:rsidP="009659E2">
      <w:r w:rsidRPr="006A37CA">
        <w:t xml:space="preserve">The data from </w:t>
      </w:r>
      <w:r w:rsidR="005D2E79">
        <w:t>this</w:t>
      </w:r>
      <w:r w:rsidR="005D2E79" w:rsidRPr="006A37CA">
        <w:t xml:space="preserve"> </w:t>
      </w:r>
      <w:r w:rsidRPr="006A37CA">
        <w:t xml:space="preserve">first-in-human </w:t>
      </w:r>
      <w:r w:rsidR="00376E45" w:rsidRPr="006A37CA">
        <w:t>Phase I</w:t>
      </w:r>
      <w:r w:rsidRPr="006A37CA">
        <w:t xml:space="preserve"> study (</w:t>
      </w:r>
      <w:r w:rsidR="009659E2" w:rsidRPr="006A37CA">
        <w:t xml:space="preserve">Study </w:t>
      </w:r>
      <w:r w:rsidRPr="006A37CA">
        <w:t xml:space="preserve">B7471001) were supported by the </w:t>
      </w:r>
      <w:r w:rsidR="00376E45" w:rsidRPr="006A37CA">
        <w:t>Phase</w:t>
      </w:r>
      <w:r w:rsidR="009659E2" w:rsidRPr="006A37CA">
        <w:t> </w:t>
      </w:r>
      <w:proofErr w:type="spellStart"/>
      <w:r w:rsidR="00376E45" w:rsidRPr="006A37CA">
        <w:t>I</w:t>
      </w:r>
      <w:r w:rsidRPr="006A37CA">
        <w:t>b</w:t>
      </w:r>
      <w:proofErr w:type="spellEnd"/>
      <w:r w:rsidRPr="006A37CA">
        <w:t xml:space="preserve"> study (</w:t>
      </w:r>
      <w:r w:rsidR="009659E2" w:rsidRPr="006A37CA">
        <w:t xml:space="preserve">Study </w:t>
      </w:r>
      <w:r w:rsidRPr="006A37CA">
        <w:t xml:space="preserve">B7471005) in healthy Japanese adults 18 through 49 years of age. This study was conducted in the </w:t>
      </w:r>
      <w:r w:rsidR="0055561A" w:rsidRPr="006A37CA">
        <w:t>United States</w:t>
      </w:r>
      <w:r w:rsidR="005D2E79">
        <w:t xml:space="preserve"> of America</w:t>
      </w:r>
      <w:r w:rsidR="0055561A" w:rsidRPr="006A37CA">
        <w:t xml:space="preserve"> (</w:t>
      </w:r>
      <w:r w:rsidRPr="006A37CA">
        <w:t>US</w:t>
      </w:r>
      <w:r w:rsidR="005D2E79">
        <w:t>A</w:t>
      </w:r>
      <w:r w:rsidR="0055561A" w:rsidRPr="006A37CA">
        <w:t>)</w:t>
      </w:r>
      <w:r w:rsidRPr="006A37CA">
        <w:t xml:space="preserve"> in 104 healthy, pneumococcal vaccine-naïve, Japanese adults aged 18 to 49 years (35 received </w:t>
      </w:r>
      <w:r w:rsidR="006A37CA" w:rsidRPr="006A37CA">
        <w:t>Prevenar 20</w:t>
      </w:r>
      <w:r w:rsidRPr="006A37CA">
        <w:t xml:space="preserve">; 34 received a different investigational pneumococcal conjugate vaccine </w:t>
      </w:r>
      <w:r w:rsidR="005E23E6" w:rsidRPr="005E23E6">
        <w:t xml:space="preserve">Prevenar </w:t>
      </w:r>
      <w:r w:rsidR="005E23E6">
        <w:t>(</w:t>
      </w:r>
      <w:r w:rsidRPr="006A37CA">
        <w:t>7vPnC</w:t>
      </w:r>
      <w:r w:rsidR="005E23E6">
        <w:t>)</w:t>
      </w:r>
      <w:r w:rsidRPr="006A37CA">
        <w:t xml:space="preserve">; and 35 received </w:t>
      </w:r>
      <w:r w:rsidR="006A37CA" w:rsidRPr="006A37CA">
        <w:t>Prevenar 13</w:t>
      </w:r>
      <w:r w:rsidRPr="006A37CA">
        <w:t xml:space="preserve">). In this study, </w:t>
      </w:r>
      <w:r w:rsidR="006A37CA" w:rsidRPr="006A37CA">
        <w:t>Prevenar 20</w:t>
      </w:r>
      <w:r w:rsidRPr="006A37CA">
        <w:t xml:space="preserve"> was well tolerated and its safety profile was similar to that of </w:t>
      </w:r>
      <w:r w:rsidR="006A37CA" w:rsidRPr="006A37CA">
        <w:t>Prevenar 13</w:t>
      </w:r>
      <w:r w:rsidRPr="006A37CA">
        <w:t>.</w:t>
      </w:r>
    </w:p>
    <w:p w14:paraId="533559B2" w14:textId="37B2AFFE" w:rsidR="008557F6" w:rsidRPr="006A37CA" w:rsidRDefault="008557F6" w:rsidP="00270509">
      <w:pPr>
        <w:pStyle w:val="Heading6"/>
      </w:pPr>
      <w:r w:rsidRPr="006A37CA">
        <w:t>Study B7471002</w:t>
      </w:r>
    </w:p>
    <w:p w14:paraId="40BEDB81" w14:textId="653CEEF1" w:rsidR="008557F6" w:rsidRPr="006A37CA" w:rsidRDefault="008557F6" w:rsidP="00CB365D">
      <w:r w:rsidRPr="006A37CA">
        <w:t xml:space="preserve">This was a </w:t>
      </w:r>
      <w:r w:rsidR="00376E45" w:rsidRPr="006A37CA">
        <w:t>Phase II</w:t>
      </w:r>
      <w:r w:rsidRPr="006A37CA">
        <w:t>, multicentre, randomised, active</w:t>
      </w:r>
      <w:r w:rsidR="009659E2" w:rsidRPr="006A37CA">
        <w:t xml:space="preserve"> </w:t>
      </w:r>
      <w:r w:rsidRPr="006A37CA">
        <w:t>controlled, double</w:t>
      </w:r>
      <w:r w:rsidR="009659E2" w:rsidRPr="006A37CA">
        <w:t xml:space="preserve"> </w:t>
      </w:r>
      <w:r w:rsidRPr="006A37CA">
        <w:t xml:space="preserve">blind, 2-parallel group clinical trial designed to assess the safety and immunogenicity of </w:t>
      </w:r>
      <w:r w:rsidR="006A37CA" w:rsidRPr="006A37CA">
        <w:t>Prevenar 20</w:t>
      </w:r>
      <w:r w:rsidRPr="006A37CA">
        <w:t xml:space="preserve"> in healthy pneumococcal-naïve subjects aged 60 through 64 years.</w:t>
      </w:r>
    </w:p>
    <w:p w14:paraId="74F7B588" w14:textId="47998FC9" w:rsidR="008557F6" w:rsidRPr="006A37CA" w:rsidRDefault="009659E2" w:rsidP="00CB365D">
      <w:r w:rsidRPr="006A37CA">
        <w:lastRenderedPageBreak/>
        <w:t xml:space="preserve">A total of </w:t>
      </w:r>
      <w:r w:rsidR="008557F6" w:rsidRPr="006A37CA">
        <w:t xml:space="preserve">444 </w:t>
      </w:r>
      <w:r w:rsidRPr="006A37CA">
        <w:t>s</w:t>
      </w:r>
      <w:r w:rsidR="008557F6" w:rsidRPr="006A37CA">
        <w:t>ubjects were randomised (</w:t>
      </w:r>
      <w:r w:rsidR="005D2E79">
        <w:t xml:space="preserve">in a </w:t>
      </w:r>
      <w:r w:rsidR="008557F6" w:rsidRPr="006A37CA">
        <w:t>1:1</w:t>
      </w:r>
      <w:r w:rsidR="005D2E79">
        <w:t xml:space="preserve"> ratio</w:t>
      </w:r>
      <w:r w:rsidR="008557F6" w:rsidRPr="006A37CA">
        <w:t>) to receive either a single</w:t>
      </w:r>
      <w:r w:rsidRPr="006A37CA">
        <w:t xml:space="preserve"> </w:t>
      </w:r>
      <w:r w:rsidR="008557F6" w:rsidRPr="006A37CA">
        <w:t xml:space="preserve">dose of </w:t>
      </w:r>
      <w:r w:rsidR="006A37CA" w:rsidRPr="006A37CA">
        <w:t>Prevenar 20</w:t>
      </w:r>
      <w:r w:rsidR="008557F6" w:rsidRPr="006A37CA">
        <w:t xml:space="preserve"> (Vaccination 1) followed </w:t>
      </w:r>
      <w:r w:rsidRPr="006A37CA">
        <w:t>one</w:t>
      </w:r>
      <w:r w:rsidR="008557F6" w:rsidRPr="006A37CA">
        <w:t xml:space="preserve"> month later by saline placebo (Vaccination 2) (</w:t>
      </w:r>
      <w:r w:rsidR="006A37CA" w:rsidRPr="006A37CA">
        <w:t>Prevenar 20</w:t>
      </w:r>
      <w:r w:rsidR="008557F6" w:rsidRPr="006A37CA">
        <w:t xml:space="preserve">/saline group), or a single dose of </w:t>
      </w:r>
      <w:r w:rsidR="006A37CA" w:rsidRPr="006A37CA">
        <w:t>Prevenar 13</w:t>
      </w:r>
      <w:r w:rsidR="008557F6" w:rsidRPr="006A37CA">
        <w:t xml:space="preserve"> (Vaccination 1) followed </w:t>
      </w:r>
      <w:r w:rsidRPr="006A37CA">
        <w:t>one</w:t>
      </w:r>
      <w:r w:rsidR="008557F6" w:rsidRPr="006A37CA">
        <w:t xml:space="preserve"> month later by a single</w:t>
      </w:r>
      <w:r w:rsidRPr="006A37CA">
        <w:t xml:space="preserve"> </w:t>
      </w:r>
      <w:r w:rsidR="008557F6" w:rsidRPr="006A37CA">
        <w:t xml:space="preserve">dose of </w:t>
      </w:r>
      <w:r w:rsidR="00E171F6" w:rsidRPr="006A37CA">
        <w:t>Pneumovax 23</w:t>
      </w:r>
      <w:r w:rsidR="008557F6" w:rsidRPr="006A37CA">
        <w:t xml:space="preserve"> (Vaccination 2) (</w:t>
      </w:r>
      <w:r w:rsidR="006A37CA" w:rsidRPr="006A37CA">
        <w:t>Prevenar 13</w:t>
      </w:r>
      <w:r w:rsidR="008557F6" w:rsidRPr="006A37CA">
        <w:t>/</w:t>
      </w:r>
      <w:r w:rsidR="00E171F6" w:rsidRPr="006A37CA">
        <w:t>Pneumovax 23</w:t>
      </w:r>
      <w:r w:rsidR="008557F6" w:rsidRPr="006A37CA">
        <w:t xml:space="preserve"> control group). </w:t>
      </w:r>
      <w:r w:rsidR="006A37CA" w:rsidRPr="006A37CA">
        <w:t>Prevenar 13</w:t>
      </w:r>
      <w:r w:rsidR="008557F6" w:rsidRPr="006A37CA">
        <w:t xml:space="preserve"> served as control for the 13 vaccine serotypes shared with </w:t>
      </w:r>
      <w:r w:rsidR="006A37CA" w:rsidRPr="006A37CA">
        <w:t>Prevenar 20</w:t>
      </w:r>
      <w:r w:rsidR="008557F6" w:rsidRPr="006A37CA">
        <w:t xml:space="preserve">, and </w:t>
      </w:r>
      <w:r w:rsidR="00E171F6" w:rsidRPr="006A37CA">
        <w:t>Pneumovax 23</w:t>
      </w:r>
      <w:r w:rsidR="008557F6" w:rsidRPr="006A37CA">
        <w:t xml:space="preserve"> served as control for the additional 7 serotypes in </w:t>
      </w:r>
      <w:r w:rsidR="006A37CA" w:rsidRPr="006A37CA">
        <w:t>Prevenar 20</w:t>
      </w:r>
      <w:r w:rsidR="008557F6" w:rsidRPr="006A37CA">
        <w:t>.</w:t>
      </w:r>
    </w:p>
    <w:p w14:paraId="2CB74D32" w14:textId="2BC394D2" w:rsidR="008557F6" w:rsidRPr="006A37CA" w:rsidRDefault="00F602CA" w:rsidP="00270509">
      <w:pPr>
        <w:pStyle w:val="Heading7"/>
      </w:pPr>
      <w:r w:rsidRPr="006A37CA">
        <w:t>Results</w:t>
      </w:r>
    </w:p>
    <w:p w14:paraId="0F1949E3" w14:textId="4FD92AA0" w:rsidR="008557F6" w:rsidRPr="006A37CA" w:rsidRDefault="008557F6" w:rsidP="00CB365D">
      <w:r w:rsidRPr="006A37CA">
        <w:t xml:space="preserve">The immunogenicity data from this </w:t>
      </w:r>
      <w:r w:rsidR="00376E45" w:rsidRPr="006A37CA">
        <w:t>Phase II</w:t>
      </w:r>
      <w:r w:rsidRPr="006A37CA">
        <w:t xml:space="preserve"> study supported the </w:t>
      </w:r>
      <w:r w:rsidR="00376E45" w:rsidRPr="006A37CA">
        <w:t>Phase III</w:t>
      </w:r>
      <w:r w:rsidRPr="006A37CA">
        <w:t xml:space="preserve"> development program for </w:t>
      </w:r>
      <w:r w:rsidR="006A37CA" w:rsidRPr="006A37CA">
        <w:t>Prevenar 20</w:t>
      </w:r>
      <w:r w:rsidRPr="006A37CA">
        <w:t xml:space="preserve">. At </w:t>
      </w:r>
      <w:r w:rsidR="009659E2" w:rsidRPr="006A37CA">
        <w:t>Baseline</w:t>
      </w:r>
      <w:r w:rsidRPr="006A37CA">
        <w:t xml:space="preserve">, opsonophagocytic activity (OPA) </w:t>
      </w:r>
      <w:r w:rsidR="00F602CA" w:rsidRPr="006A37CA">
        <w:t>geometric mean titres (</w:t>
      </w:r>
      <w:r w:rsidRPr="006A37CA">
        <w:t>GMTs</w:t>
      </w:r>
      <w:r w:rsidR="00F602CA" w:rsidRPr="006A37CA">
        <w:t>)</w:t>
      </w:r>
      <w:r w:rsidRPr="006A37CA">
        <w:t xml:space="preserve"> for all 20 serotypes were similar in the </w:t>
      </w:r>
      <w:r w:rsidR="006A37CA" w:rsidRPr="006A37CA">
        <w:t>Prevenar 20</w:t>
      </w:r>
      <w:r w:rsidRPr="006A37CA">
        <w:t xml:space="preserve">/saline and the </w:t>
      </w:r>
      <w:r w:rsidR="006A37CA" w:rsidRPr="006A37CA">
        <w:t>Prevenar 13</w:t>
      </w:r>
      <w:r w:rsidRPr="006A37CA">
        <w:t>/</w:t>
      </w:r>
      <w:r w:rsidR="00E171F6" w:rsidRPr="006A37CA">
        <w:t>Pneumovax 23</w:t>
      </w:r>
      <w:r w:rsidRPr="006A37CA">
        <w:t xml:space="preserve"> groups in pneumococcal vaccine-naïve subjects aged 60 through 64 years.</w:t>
      </w:r>
    </w:p>
    <w:p w14:paraId="58345152" w14:textId="298FF75D" w:rsidR="008557F6" w:rsidRPr="006A37CA" w:rsidRDefault="00F602CA" w:rsidP="00CB365D">
      <w:r w:rsidRPr="006A37CA">
        <w:t>Opsonophagocytic activity</w:t>
      </w:r>
      <w:r w:rsidR="008557F6" w:rsidRPr="006A37CA">
        <w:t xml:space="preserve"> GMTs for all 20 serotypes increased substantially from </w:t>
      </w:r>
      <w:r w:rsidR="009659E2" w:rsidRPr="006A37CA">
        <w:t>Baseline</w:t>
      </w:r>
      <w:r w:rsidR="008557F6" w:rsidRPr="006A37CA">
        <w:t xml:space="preserve"> to </w:t>
      </w:r>
      <w:r w:rsidR="009659E2" w:rsidRPr="006A37CA">
        <w:t>one month</w:t>
      </w:r>
      <w:r w:rsidR="008557F6" w:rsidRPr="006A37CA">
        <w:t xml:space="preserve"> after </w:t>
      </w:r>
      <w:r w:rsidR="006A37CA" w:rsidRPr="006A37CA">
        <w:t>Prevenar 20</w:t>
      </w:r>
      <w:r w:rsidR="008557F6" w:rsidRPr="006A37CA">
        <w:t xml:space="preserve">, then declined but remained elevated above </w:t>
      </w:r>
      <w:r w:rsidR="009659E2" w:rsidRPr="006A37CA">
        <w:t>Baseline</w:t>
      </w:r>
      <w:r w:rsidR="008557F6" w:rsidRPr="006A37CA">
        <w:t xml:space="preserve"> at 12 months after vaccination. OPA </w:t>
      </w:r>
      <w:r w:rsidRPr="006A37CA">
        <w:t>geometric mean fold rises (</w:t>
      </w:r>
      <w:r w:rsidR="008557F6" w:rsidRPr="006A37CA">
        <w:t>GMFRs</w:t>
      </w:r>
      <w:r w:rsidRPr="006A37CA">
        <w:t>)</w:t>
      </w:r>
      <w:r w:rsidR="008557F6" w:rsidRPr="006A37CA">
        <w:t xml:space="preserve"> from before vaccination to 12 months after vaccination with </w:t>
      </w:r>
      <w:r w:rsidR="006A37CA" w:rsidRPr="006A37CA">
        <w:t>Prevenar 20</w:t>
      </w:r>
      <w:r w:rsidR="008557F6" w:rsidRPr="006A37CA">
        <w:t xml:space="preserve"> ranged from 1.9 (serotype</w:t>
      </w:r>
      <w:r w:rsidR="009659E2" w:rsidRPr="006A37CA">
        <w:t> </w:t>
      </w:r>
      <w:r w:rsidR="008557F6" w:rsidRPr="006A37CA">
        <w:t>3) to 15.6 (serotype 10A).</w:t>
      </w:r>
    </w:p>
    <w:p w14:paraId="7F75D55A" w14:textId="385D378B" w:rsidR="008557F6" w:rsidRPr="006A37CA" w:rsidRDefault="008557F6" w:rsidP="00CB365D">
      <w:bookmarkStart w:id="56" w:name="_Toc290888505"/>
      <w:bookmarkStart w:id="57" w:name="_Toc416353721"/>
      <w:r w:rsidRPr="006A37CA">
        <w:t xml:space="preserve">The serotype comparison at 12 months after vaccination included data for the </w:t>
      </w:r>
      <w:r w:rsidR="006A37CA" w:rsidRPr="006A37CA">
        <w:t>Prevenar 20</w:t>
      </w:r>
      <w:r w:rsidR="0055386B">
        <w:t xml:space="preserve"> </w:t>
      </w:r>
      <w:r w:rsidRPr="006A37CA">
        <w:t>/</w:t>
      </w:r>
      <w:r w:rsidR="0055386B">
        <w:t xml:space="preserve"> </w:t>
      </w:r>
      <w:r w:rsidRPr="006A37CA">
        <w:t xml:space="preserve">saline group following </w:t>
      </w:r>
      <w:r w:rsidR="006A37CA" w:rsidRPr="006A37CA">
        <w:t>Prevenar 20</w:t>
      </w:r>
      <w:r w:rsidRPr="006A37CA">
        <w:t xml:space="preserve"> vaccination at </w:t>
      </w:r>
      <w:r w:rsidR="009659E2" w:rsidRPr="006A37CA">
        <w:t>one month</w:t>
      </w:r>
      <w:r w:rsidRPr="006A37CA">
        <w:t xml:space="preserve"> after vaccination (Vaccination 1) and saline </w:t>
      </w:r>
      <w:r w:rsidR="009659E2" w:rsidRPr="006A37CA">
        <w:t>one month</w:t>
      </w:r>
      <w:r w:rsidRPr="006A37CA">
        <w:t xml:space="preserve"> later (Vaccination 2) and data for the </w:t>
      </w:r>
      <w:r w:rsidR="006A37CA" w:rsidRPr="006A37CA">
        <w:t>Prevenar 13</w:t>
      </w:r>
      <w:r w:rsidRPr="006A37CA">
        <w:t>/</w:t>
      </w:r>
      <w:r w:rsidR="00E171F6" w:rsidRPr="006A37CA">
        <w:t>Pneumovax 23</w:t>
      </w:r>
      <w:r w:rsidRPr="006A37CA">
        <w:t xml:space="preserve"> group following </w:t>
      </w:r>
      <w:r w:rsidR="006A37CA" w:rsidRPr="006A37CA">
        <w:t>Prevenar 13</w:t>
      </w:r>
      <w:r w:rsidRPr="006A37CA">
        <w:t xml:space="preserve"> at vaccination at </w:t>
      </w:r>
      <w:r w:rsidR="009659E2" w:rsidRPr="006A37CA">
        <w:t>one month</w:t>
      </w:r>
      <w:r w:rsidRPr="006A37CA">
        <w:t xml:space="preserve"> after vaccination (Vaccination 1) and </w:t>
      </w:r>
      <w:r w:rsidR="00E171F6" w:rsidRPr="006A37CA">
        <w:t>Pneumovax 23</w:t>
      </w:r>
      <w:r w:rsidRPr="006A37CA">
        <w:t xml:space="preserve"> vaccination </w:t>
      </w:r>
      <w:r w:rsidR="009659E2" w:rsidRPr="006A37CA">
        <w:t>one month</w:t>
      </w:r>
      <w:r w:rsidRPr="006A37CA">
        <w:t xml:space="preserve"> later (Vaccination 2). There was no direct comparison for the 13 matched serotypes at 12 months after vaccination following </w:t>
      </w:r>
      <w:r w:rsidR="006A37CA" w:rsidRPr="006A37CA">
        <w:t>Prevenar 20</w:t>
      </w:r>
      <w:r w:rsidRPr="006A37CA">
        <w:t xml:space="preserve"> or </w:t>
      </w:r>
      <w:r w:rsidR="006A37CA" w:rsidRPr="006A37CA">
        <w:t>Prevenar 13</w:t>
      </w:r>
      <w:r w:rsidRPr="006A37CA">
        <w:t>.</w:t>
      </w:r>
      <w:bookmarkEnd w:id="56"/>
      <w:bookmarkEnd w:id="57"/>
    </w:p>
    <w:p w14:paraId="6103DAD1" w14:textId="150A6DA3" w:rsidR="008557F6" w:rsidRPr="006A37CA" w:rsidRDefault="008557F6" w:rsidP="00270509">
      <w:pPr>
        <w:pStyle w:val="Heading6"/>
      </w:pPr>
      <w:r w:rsidRPr="006A37CA">
        <w:t>Study B7471007</w:t>
      </w:r>
    </w:p>
    <w:p w14:paraId="6BEE72AB" w14:textId="63AFE384" w:rsidR="008557F6" w:rsidRPr="006A37CA" w:rsidRDefault="008557F6" w:rsidP="00CB365D">
      <w:r w:rsidRPr="006A37CA">
        <w:t>Study B7471007 was a randomised, controlled, double</w:t>
      </w:r>
      <w:r w:rsidR="009659E2" w:rsidRPr="006A37CA">
        <w:t xml:space="preserve"> </w:t>
      </w:r>
      <w:r w:rsidRPr="006A37CA">
        <w:t xml:space="preserve">blind, </w:t>
      </w:r>
      <w:r w:rsidR="00E8242F" w:rsidRPr="006A37CA">
        <w:t xml:space="preserve">pivotal </w:t>
      </w:r>
      <w:r w:rsidR="00376E45" w:rsidRPr="006A37CA">
        <w:t>Phase III</w:t>
      </w:r>
      <w:r w:rsidRPr="006A37CA">
        <w:t xml:space="preserve"> clinical trial designed to evaluate the safety and immunogenicity of single</w:t>
      </w:r>
      <w:r w:rsidR="009659E2" w:rsidRPr="006A37CA">
        <w:t xml:space="preserve"> </w:t>
      </w:r>
      <w:r w:rsidRPr="006A37CA">
        <w:t xml:space="preserve">dose </w:t>
      </w:r>
      <w:r w:rsidR="006A37CA" w:rsidRPr="006A37CA">
        <w:t>Prevenar 20</w:t>
      </w:r>
      <w:r w:rsidRPr="006A37CA">
        <w:t xml:space="preserve"> in approximately 3880 pneumococcal vaccine-naïve adults 18 years of age and older.</w:t>
      </w:r>
    </w:p>
    <w:p w14:paraId="35B1F5CB" w14:textId="77777777" w:rsidR="008557F6" w:rsidRPr="006A37CA" w:rsidRDefault="008557F6" w:rsidP="00270509">
      <w:pPr>
        <w:pStyle w:val="Heading7"/>
      </w:pPr>
      <w:r w:rsidRPr="006A37CA">
        <w:t>Objectives</w:t>
      </w:r>
    </w:p>
    <w:p w14:paraId="072F4757" w14:textId="4E6A6993" w:rsidR="008557F6" w:rsidRPr="006A37CA" w:rsidRDefault="008557F6" w:rsidP="00CB365D">
      <w:pPr>
        <w:pStyle w:val="ListBullet"/>
      </w:pPr>
      <w:r w:rsidRPr="006A37CA">
        <w:t xml:space="preserve">The primary safety objective (all cohorts) was to describe the safety profile of </w:t>
      </w:r>
      <w:r w:rsidR="006A37CA" w:rsidRPr="006A37CA">
        <w:t>Prevenar 20</w:t>
      </w:r>
      <w:r w:rsidRPr="006A37CA">
        <w:t xml:space="preserve"> in adults 18 years of age and older.</w:t>
      </w:r>
    </w:p>
    <w:p w14:paraId="3BD078DF" w14:textId="6152893C" w:rsidR="008557F6" w:rsidRPr="006A37CA" w:rsidRDefault="008557F6" w:rsidP="00CB365D">
      <w:pPr>
        <w:pStyle w:val="ListBullet"/>
      </w:pPr>
      <w:r w:rsidRPr="006A37CA">
        <w:t>The primary immunogenicity objectives (Cohort 1 subjects aged 60 years</w:t>
      </w:r>
      <w:r w:rsidR="009659E2" w:rsidRPr="006A37CA">
        <w:t xml:space="preserve"> and over</w:t>
      </w:r>
      <w:r w:rsidRPr="006A37CA">
        <w:t>) were:</w:t>
      </w:r>
    </w:p>
    <w:p w14:paraId="47B9D98E" w14:textId="1F86642D" w:rsidR="008557F6" w:rsidRPr="006A37CA" w:rsidRDefault="008557F6" w:rsidP="00CB365D">
      <w:pPr>
        <w:pStyle w:val="ListBullet2"/>
      </w:pPr>
      <w:r w:rsidRPr="006A37CA">
        <w:t xml:space="preserve">to demonstrate that the immune responses to the 13 serotypes in </w:t>
      </w:r>
      <w:r w:rsidR="006A37CA" w:rsidRPr="006A37CA">
        <w:t>Prevenar 13</w:t>
      </w:r>
      <w:r w:rsidRPr="006A37CA">
        <w:t xml:space="preserve"> induced by </w:t>
      </w:r>
      <w:r w:rsidR="006A37CA" w:rsidRPr="006A37CA">
        <w:t>Prevenar 20</w:t>
      </w:r>
      <w:r w:rsidRPr="006A37CA">
        <w:t xml:space="preserve"> in subjects in Cohort 1 are non-inferior to the immune response induced by </w:t>
      </w:r>
      <w:r w:rsidR="006A37CA" w:rsidRPr="006A37CA">
        <w:t>Prevenar 13</w:t>
      </w:r>
      <w:r w:rsidRPr="006A37CA">
        <w:t>; and</w:t>
      </w:r>
    </w:p>
    <w:p w14:paraId="3FDBEE8F" w14:textId="6AB0E66C" w:rsidR="008557F6" w:rsidRPr="006A37CA" w:rsidRDefault="008557F6" w:rsidP="00CB365D">
      <w:pPr>
        <w:pStyle w:val="ListBullet2"/>
      </w:pPr>
      <w:r w:rsidRPr="006A37CA">
        <w:t xml:space="preserve">to demonstrate that the immune responses to the 7 additional serotypes induced by </w:t>
      </w:r>
      <w:r w:rsidR="006A37CA" w:rsidRPr="006A37CA">
        <w:t>Prevenar 20</w:t>
      </w:r>
      <w:r w:rsidRPr="006A37CA">
        <w:t xml:space="preserve"> in subjects in Cohort 1 are non-inferior to the immune response induced by </w:t>
      </w:r>
      <w:r w:rsidR="00E171F6" w:rsidRPr="006A37CA">
        <w:t>Pneumovax 23</w:t>
      </w:r>
      <w:r w:rsidRPr="006A37CA">
        <w:t>.</w:t>
      </w:r>
    </w:p>
    <w:p w14:paraId="735BB2D9" w14:textId="5D713C3A" w:rsidR="008557F6" w:rsidRPr="006A37CA" w:rsidRDefault="008557F6" w:rsidP="00CB365D">
      <w:pPr>
        <w:pStyle w:val="ListBullet"/>
      </w:pPr>
      <w:r w:rsidRPr="006A37CA">
        <w:t>The secondary immunogenicity objectives were:</w:t>
      </w:r>
    </w:p>
    <w:p w14:paraId="1FE912F0" w14:textId="71446651" w:rsidR="008557F6" w:rsidRPr="006A37CA" w:rsidRDefault="008557F6" w:rsidP="00CB365D">
      <w:pPr>
        <w:pStyle w:val="ListBullet2"/>
      </w:pPr>
      <w:r w:rsidRPr="006A37CA">
        <w:t xml:space="preserve">to demonstrate that the immune responses to the 20 serotypes induced by </w:t>
      </w:r>
      <w:r w:rsidR="006A37CA" w:rsidRPr="006A37CA">
        <w:t>Prevenar 20</w:t>
      </w:r>
      <w:r w:rsidRPr="006A37CA">
        <w:t xml:space="preserve"> in adults aged 50 through 59 years in Cohort 2 are non-inferior to the immune responses induced by </w:t>
      </w:r>
      <w:r w:rsidR="006A37CA" w:rsidRPr="006A37CA">
        <w:t>Prevenar 20</w:t>
      </w:r>
      <w:r w:rsidRPr="006A37CA">
        <w:t xml:space="preserve"> in adults aged 60 through 64 years in a subset of Cohort 1;</w:t>
      </w:r>
    </w:p>
    <w:p w14:paraId="4B884E70" w14:textId="4B06C702" w:rsidR="008557F6" w:rsidRPr="006A37CA" w:rsidRDefault="008557F6" w:rsidP="00CB365D">
      <w:pPr>
        <w:pStyle w:val="ListBullet2"/>
      </w:pPr>
      <w:r w:rsidRPr="006A37CA">
        <w:t xml:space="preserve">to demonstrate that the immune responses to the 20 serotypes induced by </w:t>
      </w:r>
      <w:r w:rsidR="006A37CA" w:rsidRPr="006A37CA">
        <w:t>Prevenar 20</w:t>
      </w:r>
      <w:r w:rsidRPr="006A37CA">
        <w:t xml:space="preserve"> in adults aged 18 through 49 years in Cohort 3 are non-inferior to the immune responses induced by </w:t>
      </w:r>
      <w:r w:rsidR="006A37CA" w:rsidRPr="006A37CA">
        <w:t>Prevenar 20</w:t>
      </w:r>
      <w:r w:rsidRPr="006A37CA">
        <w:t xml:space="preserve"> in adults aged 60 through 64 years in a subset of Cohort 1; and</w:t>
      </w:r>
    </w:p>
    <w:p w14:paraId="7E1BB2BC" w14:textId="435D89C6" w:rsidR="008557F6" w:rsidRPr="006A37CA" w:rsidRDefault="008557F6" w:rsidP="00CB365D">
      <w:pPr>
        <w:pStyle w:val="ListBullet2"/>
      </w:pPr>
      <w:r w:rsidRPr="006A37CA">
        <w:lastRenderedPageBreak/>
        <w:t xml:space="preserve">to further describe the immune responses to </w:t>
      </w:r>
      <w:r w:rsidR="006A37CA" w:rsidRPr="006A37CA">
        <w:t>Prevenar 20</w:t>
      </w:r>
      <w:r w:rsidRPr="006A37CA">
        <w:t xml:space="preserve"> in subjects aged 60 years</w:t>
      </w:r>
      <w:r w:rsidR="009659E2" w:rsidRPr="006A37CA">
        <w:t xml:space="preserve"> and over</w:t>
      </w:r>
      <w:r w:rsidRPr="006A37CA">
        <w:t xml:space="preserve"> (Cohort 1), subjects aged 50 through 59 years (Cohort 2), and subjects aged</w:t>
      </w:r>
      <w:r w:rsidR="009659E2" w:rsidRPr="006A37CA">
        <w:t> </w:t>
      </w:r>
      <w:r w:rsidRPr="006A37CA">
        <w:t>18 through 49 years (Cohort 3).</w:t>
      </w:r>
    </w:p>
    <w:p w14:paraId="07A4D8AD" w14:textId="5FAA5AB4" w:rsidR="008557F6" w:rsidRPr="006A37CA" w:rsidRDefault="008557F6" w:rsidP="00CB365D">
      <w:pPr>
        <w:pStyle w:val="ListBullet"/>
      </w:pPr>
      <w:r w:rsidRPr="006A37CA">
        <w:t>The exploratory objectives (all cohorts) were:</w:t>
      </w:r>
    </w:p>
    <w:p w14:paraId="5A191A6C" w14:textId="70D0F1AE" w:rsidR="008557F6" w:rsidRPr="006A37CA" w:rsidRDefault="008557F6" w:rsidP="00CB365D">
      <w:pPr>
        <w:pStyle w:val="ListBullet2"/>
      </w:pPr>
      <w:r w:rsidRPr="006A37CA">
        <w:t xml:space="preserve">to further describe the immune responses to </w:t>
      </w:r>
      <w:r w:rsidR="006A37CA" w:rsidRPr="006A37CA">
        <w:t>Prevenar 20</w:t>
      </w:r>
      <w:r w:rsidRPr="006A37CA">
        <w:t xml:space="preserve"> in the three adult age cohorts; and</w:t>
      </w:r>
    </w:p>
    <w:p w14:paraId="6F1E81FA" w14:textId="660A4312" w:rsidR="008557F6" w:rsidRPr="006A37CA" w:rsidRDefault="008557F6" w:rsidP="00CB365D">
      <w:pPr>
        <w:pStyle w:val="ListBullet2"/>
      </w:pPr>
      <w:r w:rsidRPr="006A37CA">
        <w:t xml:space="preserve">to describe the immune responses to </w:t>
      </w:r>
      <w:r w:rsidR="006A37CA" w:rsidRPr="006A37CA">
        <w:t>Prevenar 20</w:t>
      </w:r>
      <w:r w:rsidRPr="006A37CA">
        <w:t xml:space="preserve"> in adults aged 18 years</w:t>
      </w:r>
      <w:r w:rsidR="009659E2" w:rsidRPr="006A37CA">
        <w:t xml:space="preserve"> and over</w:t>
      </w:r>
      <w:r w:rsidRPr="006A37CA">
        <w:t xml:space="preserve"> with underlying medical conditions or with other factors that put them at increased risk for serious pneumococcal infection (</w:t>
      </w:r>
      <w:r w:rsidR="009659E2" w:rsidRPr="006A37CA">
        <w:t>for example,</w:t>
      </w:r>
      <w:r w:rsidRPr="006A37CA">
        <w:t xml:space="preserve"> asthma, diabetes mellitus, chronic lung disease, </w:t>
      </w:r>
      <w:r w:rsidR="009659E2" w:rsidRPr="006A37CA">
        <w:t xml:space="preserve">and </w:t>
      </w:r>
      <w:r w:rsidRPr="006A37CA">
        <w:t>cigarette smoking).</w:t>
      </w:r>
    </w:p>
    <w:p w14:paraId="006D52E7" w14:textId="79016DD2" w:rsidR="008557F6" w:rsidRPr="00AC74BD" w:rsidRDefault="00CB365D" w:rsidP="00AC74BD">
      <w:pPr>
        <w:pStyle w:val="TableTitle0"/>
      </w:pPr>
      <w:r w:rsidRPr="00AC74BD">
        <w:t xml:space="preserve">Table </w:t>
      </w:r>
      <w:fldSimple w:instr=" SEQ Table \* ARABIC ">
        <w:r w:rsidR="00AC74BD">
          <w:rPr>
            <w:noProof/>
          </w:rPr>
          <w:t>4</w:t>
        </w:r>
      </w:fldSimple>
      <w:r w:rsidRPr="00AC74BD">
        <w:t>:</w:t>
      </w:r>
      <w:r w:rsidR="008557F6" w:rsidRPr="00AC74BD">
        <w:t xml:space="preserve"> Study B7471007 Study design for immunogenicity assessments</w:t>
      </w:r>
    </w:p>
    <w:p w14:paraId="75343E72" w14:textId="09EE12AD" w:rsidR="00C2097E" w:rsidRDefault="00C2097E" w:rsidP="00AC74BD">
      <w:r>
        <w:rPr>
          <w:noProof/>
          <w:lang w:val="en-GB" w:eastAsia="en-GB"/>
        </w:rPr>
        <w:drawing>
          <wp:inline distT="0" distB="0" distL="0" distR="0" wp14:anchorId="1E31EC96" wp14:editId="7F13FFE7">
            <wp:extent cx="5759450" cy="1259840"/>
            <wp:effectExtent l="0" t="0" r="0" b="0"/>
            <wp:docPr id="8" name="Picture 8" descr="Table 4: Study B7471007 Study design for immunogenic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4: Study B7471007 Study design for immunogenicity assessments"/>
                    <pic:cNvPicPr/>
                  </pic:nvPicPr>
                  <pic:blipFill>
                    <a:blip r:embed="rId26"/>
                    <a:stretch>
                      <a:fillRect/>
                    </a:stretch>
                  </pic:blipFill>
                  <pic:spPr>
                    <a:xfrm>
                      <a:off x="0" y="0"/>
                      <a:ext cx="5759450" cy="1259840"/>
                    </a:xfrm>
                    <a:prstGeom prst="rect">
                      <a:avLst/>
                    </a:prstGeom>
                  </pic:spPr>
                </pic:pic>
              </a:graphicData>
            </a:graphic>
          </wp:inline>
        </w:drawing>
      </w:r>
    </w:p>
    <w:p w14:paraId="276CA49C" w14:textId="4F0B8A8E" w:rsidR="00C2097E" w:rsidRPr="00AC74BD" w:rsidRDefault="00C2097E" w:rsidP="00AC74BD">
      <w:pPr>
        <w:pStyle w:val="Tabledescription"/>
      </w:pPr>
      <w:r w:rsidRPr="00AC74BD">
        <w:t>Abbreviations: N = number of subjects; 13vPnC = 13-valent pneumococcal conjugate vaccine; 20vPnC = .20-valent pneumococcal conjugate vaccine.</w:t>
      </w:r>
    </w:p>
    <w:p w14:paraId="08CF40A8" w14:textId="7C0BAE3D" w:rsidR="0055386B" w:rsidRPr="00AC74BD" w:rsidRDefault="0055386B" w:rsidP="00AC74BD">
      <w:pPr>
        <w:pStyle w:val="Tabledescription"/>
      </w:pPr>
      <w:r w:rsidRPr="00AC74BD">
        <w:t>√ denotes blood samples were taken on specified visit.</w:t>
      </w:r>
    </w:p>
    <w:p w14:paraId="62E778A1" w14:textId="0B0F30B7" w:rsidR="00C2097E" w:rsidRPr="00AC74BD" w:rsidRDefault="00C2097E" w:rsidP="00AC74BD">
      <w:pPr>
        <w:pStyle w:val="Tabledescription"/>
      </w:pPr>
      <w:r w:rsidRPr="00AC74BD">
        <w:t>a. 28 to 42 days after previous visit</w:t>
      </w:r>
    </w:p>
    <w:p w14:paraId="650B989F" w14:textId="77777777" w:rsidR="00C2097E" w:rsidRPr="00AC74BD" w:rsidRDefault="00C2097E" w:rsidP="00AC74BD">
      <w:pPr>
        <w:pStyle w:val="Tabledescription"/>
      </w:pPr>
      <w:r w:rsidRPr="00AC74BD">
        <w:t>b. Control and key time point for the co-primary objective for the 13 matched serotypes</w:t>
      </w:r>
    </w:p>
    <w:p w14:paraId="7D121DCA" w14:textId="732E10FC" w:rsidR="008557F6" w:rsidRPr="00AC74BD" w:rsidRDefault="00C2097E" w:rsidP="00AC74BD">
      <w:pPr>
        <w:pStyle w:val="Tabledescription"/>
      </w:pPr>
      <w:r w:rsidRPr="00AC74BD">
        <w:t>c. Control and key time point for co-primary objective for the 7 additional serotypes</w:t>
      </w:r>
    </w:p>
    <w:p w14:paraId="196DE838" w14:textId="006AC434" w:rsidR="008557F6" w:rsidRPr="006A37CA" w:rsidRDefault="008557F6" w:rsidP="00270509">
      <w:pPr>
        <w:pStyle w:val="Heading7"/>
        <w:rPr>
          <w:rFonts w:asciiTheme="minorHAnsi" w:hAnsiTheme="minorHAnsi"/>
          <w:b/>
        </w:rPr>
      </w:pPr>
      <w:r w:rsidRPr="006A37CA">
        <w:rPr>
          <w:rStyle w:val="Heading8Char"/>
        </w:rPr>
        <w:t xml:space="preserve">Primary immunogenicity endpoint </w:t>
      </w:r>
      <w:r w:rsidR="009253BF">
        <w:rPr>
          <w:rStyle w:val="Heading8Char"/>
        </w:rPr>
        <w:t xml:space="preserve">in </w:t>
      </w:r>
      <w:r w:rsidRPr="006A37CA">
        <w:rPr>
          <w:rStyle w:val="Heading8Char"/>
        </w:rPr>
        <w:t>Cohort 1 subjects aged 60</w:t>
      </w:r>
      <w:r w:rsidR="009659E2" w:rsidRPr="006A37CA">
        <w:rPr>
          <w:rStyle w:val="Heading8Char"/>
        </w:rPr>
        <w:t xml:space="preserve"> and over</w:t>
      </w:r>
    </w:p>
    <w:p w14:paraId="4CE2A76D" w14:textId="2DCC6245" w:rsidR="009659E2" w:rsidRPr="006A37CA" w:rsidRDefault="008557F6" w:rsidP="00CB365D">
      <w:r w:rsidRPr="006A37CA">
        <w:t xml:space="preserve">The primary immunogenicity endpoints were serotype-specific OPA GMTs </w:t>
      </w:r>
      <w:r w:rsidR="009659E2" w:rsidRPr="006A37CA">
        <w:t>one month</w:t>
      </w:r>
      <w:r w:rsidRPr="006A37CA">
        <w:t xml:space="preserve"> after vaccination in subjects aged 60 years </w:t>
      </w:r>
      <w:r w:rsidR="009659E2" w:rsidRPr="006A37CA">
        <w:t xml:space="preserve">and over </w:t>
      </w:r>
      <w:r w:rsidRPr="006A37CA">
        <w:t>(Cohort 1) to demonstrate:</w:t>
      </w:r>
    </w:p>
    <w:p w14:paraId="16A40458" w14:textId="56B920E4" w:rsidR="009659E2" w:rsidRPr="006A37CA" w:rsidRDefault="008557F6" w:rsidP="009659E2">
      <w:pPr>
        <w:pStyle w:val="ListBullet"/>
      </w:pPr>
      <w:r w:rsidRPr="006A37CA">
        <w:t xml:space="preserve">non-inferiority of the 13 serotypes induced by </w:t>
      </w:r>
      <w:r w:rsidR="006A37CA" w:rsidRPr="006A37CA">
        <w:t>Prevenar 20</w:t>
      </w:r>
      <w:r w:rsidRPr="006A37CA">
        <w:t xml:space="preserve"> compared to the corresponding 13 serotypes induced by</w:t>
      </w:r>
      <w:r w:rsidR="009659E2" w:rsidRPr="006A37CA">
        <w:t xml:space="preserve"> </w:t>
      </w:r>
      <w:r w:rsidR="006A37CA" w:rsidRPr="006A37CA">
        <w:t>Prevenar 13</w:t>
      </w:r>
      <w:r w:rsidRPr="006A37CA">
        <w:t>; and</w:t>
      </w:r>
    </w:p>
    <w:p w14:paraId="28725F26" w14:textId="72148A86" w:rsidR="008557F6" w:rsidRPr="006A37CA" w:rsidRDefault="008557F6" w:rsidP="009659E2">
      <w:pPr>
        <w:pStyle w:val="ListBullet"/>
      </w:pPr>
      <w:r w:rsidRPr="006A37CA">
        <w:t xml:space="preserve">non-inferiority of the additional 7 serotypes induced by </w:t>
      </w:r>
      <w:r w:rsidR="006A37CA" w:rsidRPr="006A37CA">
        <w:t>Prevenar 20</w:t>
      </w:r>
      <w:r w:rsidRPr="006A37CA">
        <w:t xml:space="preserve"> compared to the corresponding 7 serotypes induced by </w:t>
      </w:r>
      <w:r w:rsidR="00E171F6" w:rsidRPr="006A37CA">
        <w:t>Pneumovax 23</w:t>
      </w:r>
      <w:r w:rsidRPr="006A37CA">
        <w:t>.</w:t>
      </w:r>
    </w:p>
    <w:p w14:paraId="46B8EE20" w14:textId="1B8B10B7" w:rsidR="008557F6" w:rsidRPr="006A37CA" w:rsidRDefault="008557F6" w:rsidP="00270509">
      <w:pPr>
        <w:pStyle w:val="Heading7"/>
        <w:rPr>
          <w:rFonts w:eastAsia="TimesNewRoman"/>
        </w:rPr>
      </w:pPr>
      <w:r w:rsidRPr="006A37CA">
        <w:rPr>
          <w:rFonts w:eastAsia="TimesNewRoman"/>
        </w:rPr>
        <w:t xml:space="preserve">Secondary immunogenicity endpoints </w:t>
      </w:r>
      <w:r w:rsidR="00E8242F" w:rsidRPr="006A37CA">
        <w:rPr>
          <w:rFonts w:eastAsia="TimesNewRoman"/>
        </w:rPr>
        <w:t xml:space="preserve">in </w:t>
      </w:r>
      <w:r w:rsidRPr="006A37CA">
        <w:rPr>
          <w:rFonts w:eastAsia="TimesNewRoman"/>
        </w:rPr>
        <w:t xml:space="preserve">Cohort 2 </w:t>
      </w:r>
      <w:r w:rsidR="00376E45" w:rsidRPr="006A37CA">
        <w:rPr>
          <w:rFonts w:eastAsia="TimesNewRoman"/>
        </w:rPr>
        <w:t>(</w:t>
      </w:r>
      <w:r w:rsidRPr="006A37CA">
        <w:rPr>
          <w:rFonts w:eastAsia="TimesNewRoman"/>
        </w:rPr>
        <w:t>50</w:t>
      </w:r>
      <w:r w:rsidR="009659E2" w:rsidRPr="006A37CA">
        <w:rPr>
          <w:rFonts w:eastAsia="TimesNewRoman"/>
        </w:rPr>
        <w:t xml:space="preserve"> to </w:t>
      </w:r>
      <w:r w:rsidRPr="006A37CA">
        <w:rPr>
          <w:rFonts w:eastAsia="TimesNewRoman"/>
        </w:rPr>
        <w:t>59 years</w:t>
      </w:r>
      <w:r w:rsidR="00376E45" w:rsidRPr="006A37CA">
        <w:rPr>
          <w:rFonts w:eastAsia="TimesNewRoman"/>
        </w:rPr>
        <w:t>)</w:t>
      </w:r>
      <w:r w:rsidRPr="006A37CA">
        <w:rPr>
          <w:rFonts w:eastAsia="TimesNewRoman"/>
        </w:rPr>
        <w:t xml:space="preserve"> and </w:t>
      </w:r>
      <w:r w:rsidR="009659E2" w:rsidRPr="006A37CA">
        <w:rPr>
          <w:rFonts w:eastAsia="TimesNewRoman"/>
        </w:rPr>
        <w:t xml:space="preserve">Cohort </w:t>
      </w:r>
      <w:r w:rsidRPr="006A37CA">
        <w:rPr>
          <w:rFonts w:eastAsia="TimesNewRoman"/>
        </w:rPr>
        <w:t xml:space="preserve">3 </w:t>
      </w:r>
      <w:r w:rsidR="00376E45" w:rsidRPr="006A37CA">
        <w:rPr>
          <w:rFonts w:eastAsia="TimesNewRoman"/>
        </w:rPr>
        <w:t>(</w:t>
      </w:r>
      <w:r w:rsidRPr="006A37CA">
        <w:rPr>
          <w:rFonts w:eastAsia="TimesNewRoman"/>
        </w:rPr>
        <w:t>18</w:t>
      </w:r>
      <w:r w:rsidR="009659E2" w:rsidRPr="006A37CA">
        <w:rPr>
          <w:rFonts w:eastAsia="TimesNewRoman"/>
        </w:rPr>
        <w:t xml:space="preserve"> to </w:t>
      </w:r>
      <w:r w:rsidRPr="006A37CA">
        <w:rPr>
          <w:rFonts w:eastAsia="TimesNewRoman"/>
        </w:rPr>
        <w:t>49 years</w:t>
      </w:r>
      <w:r w:rsidR="00376E45" w:rsidRPr="006A37CA">
        <w:rPr>
          <w:rFonts w:eastAsia="TimesNewRoman"/>
        </w:rPr>
        <w:t>)</w:t>
      </w:r>
    </w:p>
    <w:p w14:paraId="2FAC58E1" w14:textId="7D1A4BDF" w:rsidR="008557F6" w:rsidRPr="006A37CA" w:rsidRDefault="008557F6" w:rsidP="00CB365D">
      <w:r w:rsidRPr="006A37CA">
        <w:t xml:space="preserve">The secondary immunogenicity endpoints included serotype-specific OPA GMTs </w:t>
      </w:r>
      <w:r w:rsidR="009659E2" w:rsidRPr="006A37CA">
        <w:t>one</w:t>
      </w:r>
      <w:r w:rsidRPr="006A37CA">
        <w:t xml:space="preserve"> month after vaccination to demonstrate that the immune responses to the 20 serotypes in </w:t>
      </w:r>
      <w:r w:rsidR="006A37CA" w:rsidRPr="006A37CA">
        <w:t>Prevenar 20</w:t>
      </w:r>
      <w:r w:rsidRPr="006A37CA">
        <w:t xml:space="preserve"> induced in adults aged 50 through 59 years (Cohort 2) and in adults aged 18 through 49 years (Cohort 3) were non-inferior to the immune responses induced by </w:t>
      </w:r>
      <w:r w:rsidR="006A37CA" w:rsidRPr="006A37CA">
        <w:t>Prevenar 20</w:t>
      </w:r>
      <w:r w:rsidRPr="006A37CA">
        <w:t xml:space="preserve"> in adults aged 60 through 64</w:t>
      </w:r>
      <w:r w:rsidR="009659E2" w:rsidRPr="006A37CA">
        <w:t> </w:t>
      </w:r>
      <w:r w:rsidRPr="006A37CA">
        <w:t xml:space="preserve">years (Cohort 1 subset), and to describe the immune responses to </w:t>
      </w:r>
      <w:r w:rsidR="006A37CA" w:rsidRPr="006A37CA">
        <w:t>Prevenar 20</w:t>
      </w:r>
      <w:r w:rsidRPr="006A37CA">
        <w:t xml:space="preserve"> in all three-age cohorts in adult subjects.</w:t>
      </w:r>
    </w:p>
    <w:p w14:paraId="34C08843" w14:textId="6ADB058A" w:rsidR="008557F6" w:rsidRPr="006A37CA" w:rsidRDefault="008557F6" w:rsidP="00270509">
      <w:pPr>
        <w:pStyle w:val="Heading7"/>
        <w:rPr>
          <w:rFonts w:eastAsia="Times New Roman"/>
        </w:rPr>
      </w:pPr>
      <w:r w:rsidRPr="006A37CA">
        <w:rPr>
          <w:rFonts w:eastAsia="Times New Roman"/>
        </w:rPr>
        <w:t>Results for the primary immunogenicity endpoints in Cohort 1</w:t>
      </w:r>
    </w:p>
    <w:p w14:paraId="45029B9C" w14:textId="4FE894AC" w:rsidR="00C2097E" w:rsidRDefault="008557F6" w:rsidP="00CB365D">
      <w:r w:rsidRPr="006A37CA">
        <w:t xml:space="preserve">In the evaluable 13-matched immunogenicity population, </w:t>
      </w:r>
      <w:r w:rsidR="006A37CA" w:rsidRPr="006A37CA">
        <w:t>Prevenar 20</w:t>
      </w:r>
      <w:r w:rsidRPr="006A37CA">
        <w:t xml:space="preserve"> met the primary immunogenicity endpoint for the 13-matched vaccine serotypes in Cohort 1 (subjects aged 60</w:t>
      </w:r>
      <w:r w:rsidR="00457303">
        <w:t> </w:t>
      </w:r>
      <w:r w:rsidR="009659E2" w:rsidRPr="006A37CA">
        <w:t>years</w:t>
      </w:r>
      <w:r w:rsidRPr="006A37CA">
        <w:t xml:space="preserve"> </w:t>
      </w:r>
      <w:r w:rsidR="009659E2" w:rsidRPr="006A37CA">
        <w:t>and over</w:t>
      </w:r>
      <w:r w:rsidRPr="006A37CA">
        <w:t xml:space="preserve">). One month after </w:t>
      </w:r>
      <w:r w:rsidR="006A37CA" w:rsidRPr="006A37CA">
        <w:t>Prevenar 20</w:t>
      </w:r>
      <w:r w:rsidRPr="006A37CA">
        <w:t xml:space="preserve"> or </w:t>
      </w:r>
      <w:r w:rsidR="005568B8">
        <w:t>Prevenar 13</w:t>
      </w:r>
      <w:r w:rsidRPr="006A37CA">
        <w:t>, the immune responses to all 13</w:t>
      </w:r>
      <w:r w:rsidR="00457303">
        <w:noBreakHyphen/>
      </w:r>
      <w:r w:rsidRPr="006A37CA">
        <w:t xml:space="preserve">matched vaccine serotypes induced by </w:t>
      </w:r>
      <w:r w:rsidR="006A37CA" w:rsidRPr="006A37CA">
        <w:t>Prevenar 20</w:t>
      </w:r>
      <w:r w:rsidRPr="006A37CA">
        <w:t xml:space="preserve"> were non-inferior to those induced by </w:t>
      </w:r>
      <w:r w:rsidR="005568B8">
        <w:lastRenderedPageBreak/>
        <w:t>Prevenar 13</w:t>
      </w:r>
      <w:r w:rsidRPr="006A37CA">
        <w:t xml:space="preserve">, as demonstrated by the lower bounds of the 2-sided 95% </w:t>
      </w:r>
      <w:r w:rsidR="0055561A" w:rsidRPr="006A37CA">
        <w:t>confidence intervals (</w:t>
      </w:r>
      <w:r w:rsidRPr="006A37CA">
        <w:t>CIs</w:t>
      </w:r>
      <w:r w:rsidR="0055561A" w:rsidRPr="006A37CA">
        <w:t>)</w:t>
      </w:r>
      <w:r w:rsidRPr="006A37CA">
        <w:t xml:space="preserve"> for the primary analysis of model</w:t>
      </w:r>
      <w:r w:rsidR="007A2833" w:rsidRPr="006A37CA">
        <w:noBreakHyphen/>
      </w:r>
      <w:r w:rsidRPr="006A37CA">
        <w:t>based OPA GMRs (</w:t>
      </w:r>
      <w:r w:rsidR="006A37CA" w:rsidRPr="006A37CA">
        <w:t>Prevenar 20</w:t>
      </w:r>
      <w:r w:rsidRPr="006A37CA">
        <w:t xml:space="preserve">/saline relative to </w:t>
      </w:r>
      <w:r w:rsidR="005568B8">
        <w:t>Prevenar 13</w:t>
      </w:r>
      <w:r w:rsidRPr="006A37CA">
        <w:t>/</w:t>
      </w:r>
      <w:r w:rsidR="00E171F6" w:rsidRPr="006A37CA">
        <w:t>Pneumovax 23</w:t>
      </w:r>
      <w:r w:rsidRPr="006A37CA">
        <w:t xml:space="preserve">) &gt; 0.5 (2-fold </w:t>
      </w:r>
      <w:r w:rsidR="007A2833" w:rsidRPr="006A37CA">
        <w:t>non</w:t>
      </w:r>
      <w:r w:rsidR="007A2833" w:rsidRPr="006A37CA">
        <w:noBreakHyphen/>
        <w:t>inferiority</w:t>
      </w:r>
      <w:r w:rsidRPr="006A37CA">
        <w:t xml:space="preserve"> margin). The adjusted OPA GMRs for the 13 matched serotypes were between 0.76 (serotype 6A) and 1.00 (serotype 14). The results for the 13 matched serotypes (OPA GMTS and GMRS) are summarised in </w:t>
      </w:r>
      <w:r w:rsidR="00E171F6" w:rsidRPr="006A37CA">
        <w:fldChar w:fldCharType="begin"/>
      </w:r>
      <w:r w:rsidR="00E171F6" w:rsidRPr="006A37CA">
        <w:instrText xml:space="preserve"> REF _Ref131584691 \h </w:instrText>
      </w:r>
      <w:r w:rsidR="006A37CA" w:rsidRPr="006A37CA">
        <w:instrText xml:space="preserve"> \* MERGEFORMAT </w:instrText>
      </w:r>
      <w:r w:rsidR="00E171F6" w:rsidRPr="006A37CA">
        <w:fldChar w:fldCharType="separate"/>
      </w:r>
      <w:r w:rsidR="00AC74BD" w:rsidRPr="00AC74BD">
        <w:t xml:space="preserve">Table </w:t>
      </w:r>
      <w:r w:rsidR="00AC74BD">
        <w:rPr>
          <w:noProof/>
        </w:rPr>
        <w:t>5</w:t>
      </w:r>
      <w:r w:rsidR="00E171F6" w:rsidRPr="006A37CA">
        <w:fldChar w:fldCharType="end"/>
      </w:r>
      <w:r w:rsidR="009659E2" w:rsidRPr="006A37CA">
        <w:t xml:space="preserve"> below</w:t>
      </w:r>
      <w:r w:rsidR="00E171F6" w:rsidRPr="006A37CA">
        <w:t>.</w:t>
      </w:r>
    </w:p>
    <w:p w14:paraId="10189A5F" w14:textId="50C7A759" w:rsidR="008557F6" w:rsidRPr="00AC74BD" w:rsidRDefault="00CB365D" w:rsidP="00AC74BD">
      <w:pPr>
        <w:pStyle w:val="TableTitle0"/>
      </w:pPr>
      <w:bookmarkStart w:id="58" w:name="_Ref131584691"/>
      <w:r w:rsidRPr="00AC74BD">
        <w:t xml:space="preserve">Table </w:t>
      </w:r>
      <w:fldSimple w:instr=" SEQ Table \* ARABIC ">
        <w:r w:rsidR="00AC74BD">
          <w:rPr>
            <w:noProof/>
          </w:rPr>
          <w:t>5</w:t>
        </w:r>
      </w:fldSimple>
      <w:bookmarkEnd w:id="58"/>
      <w:r w:rsidRPr="00AC74BD">
        <w:t>:</w:t>
      </w:r>
      <w:r w:rsidR="008557F6" w:rsidRPr="00AC74BD">
        <w:t xml:space="preserve"> Study B7471007 Pneumococcal </w:t>
      </w:r>
      <w:r w:rsidR="00F602CA" w:rsidRPr="00AC74BD">
        <w:t xml:space="preserve">opsonophagocytic activity geometric mean titres </w:t>
      </w:r>
      <w:r w:rsidR="008557F6" w:rsidRPr="00AC74BD">
        <w:t xml:space="preserve">and </w:t>
      </w:r>
      <w:r w:rsidR="00F602CA" w:rsidRPr="00AC74BD">
        <w:t xml:space="preserve">geometric mean ratios </w:t>
      </w:r>
      <w:r w:rsidR="008557F6" w:rsidRPr="00AC74BD">
        <w:t xml:space="preserve">for the </w:t>
      </w:r>
      <w:r w:rsidR="006A37CA" w:rsidRPr="00AC74BD">
        <w:t>13-valent pneumococcal conjugate vaccine</w:t>
      </w:r>
      <w:r w:rsidR="008557F6" w:rsidRPr="00AC74BD">
        <w:t xml:space="preserve"> serotypes </w:t>
      </w:r>
      <w:r w:rsidR="009659E2" w:rsidRPr="00AC74BD">
        <w:t>one month</w:t>
      </w:r>
      <w:r w:rsidR="008557F6" w:rsidRPr="00AC74BD">
        <w:t xml:space="preserve"> after vaccination, linear regression model</w:t>
      </w:r>
      <w:r w:rsidR="0092642A" w:rsidRPr="00AC74BD">
        <w:t xml:space="preserve"> (</w:t>
      </w:r>
      <w:r w:rsidR="008557F6" w:rsidRPr="00AC74BD">
        <w:t>Cohort 1 (60 years</w:t>
      </w:r>
      <w:r w:rsidR="009659E2" w:rsidRPr="00AC74BD">
        <w:t xml:space="preserve"> and over</w:t>
      </w:r>
      <w:r w:rsidR="008557F6" w:rsidRPr="00AC74BD">
        <w:t>)</w:t>
      </w:r>
      <w:r w:rsidR="0092642A" w:rsidRPr="00AC74BD">
        <w:t xml:space="preserve">, </w:t>
      </w:r>
      <w:r w:rsidR="008557F6" w:rsidRPr="00AC74BD">
        <w:t>evaluable 13-matched immunogenicity population</w:t>
      </w:r>
      <w:r w:rsidR="0092642A" w:rsidRPr="00AC74BD">
        <w:t>)</w:t>
      </w:r>
    </w:p>
    <w:p w14:paraId="1AE6FB2A" w14:textId="77777777" w:rsidR="008557F6" w:rsidRPr="006A37CA" w:rsidRDefault="008557F6" w:rsidP="00AC74BD">
      <w:r w:rsidRPr="006A37CA">
        <w:rPr>
          <w:noProof/>
          <w:lang w:val="en-GB" w:eastAsia="en-GB"/>
        </w:rPr>
        <w:drawing>
          <wp:inline distT="0" distB="0" distL="0" distR="0" wp14:anchorId="439925F5" wp14:editId="5D5D3CC8">
            <wp:extent cx="5730875" cy="3469005"/>
            <wp:effectExtent l="0" t="0" r="3175" b="0"/>
            <wp:docPr id="3" name="Picture 3" descr="Table 5: Study B7471007 Pneumococcal opsonophagocytic activity geometric mean titres and geometric mean ratios for the 13-valent pneumococcal conjugate vaccine serotypes one month after vaccination, linear regression model (Cohort 1 (60 years and over), evaluable 13-matched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5: Study B7471007 Pneumococcal opsonophagocytic activity geometric mean titres and geometric mean ratios for the 13-valent pneumococcal conjugate vaccine serotypes one month after vaccination, linear regression model (Cohort 1 (60 years and over), evaluable 13-matched immunogenicity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469005"/>
                    </a:xfrm>
                    <a:prstGeom prst="rect">
                      <a:avLst/>
                    </a:prstGeom>
                    <a:noFill/>
                  </pic:spPr>
                </pic:pic>
              </a:graphicData>
            </a:graphic>
          </wp:inline>
        </w:drawing>
      </w:r>
    </w:p>
    <w:p w14:paraId="6714E5DC" w14:textId="42B70A4F" w:rsidR="00C2097E" w:rsidRPr="00AC74BD" w:rsidRDefault="0078664F" w:rsidP="00AC74BD">
      <w:pPr>
        <w:pStyle w:val="Tabledescription"/>
      </w:pPr>
      <w:r w:rsidRPr="00AC74BD">
        <w:t xml:space="preserve">Abbreviations: </w:t>
      </w:r>
      <w:r w:rsidR="00C2097E" w:rsidRPr="00AC74BD">
        <w:t xml:space="preserve">CI = confidence interval; </w:t>
      </w:r>
      <w:r w:rsidR="008557F6" w:rsidRPr="00AC74BD">
        <w:t xml:space="preserve">GMR = geometric mean ratio; GMT = geometric mean titre; LS = least squares; </w:t>
      </w:r>
      <w:r w:rsidR="00C2097E" w:rsidRPr="00AC74BD">
        <w:t>PPSV23 = 23-valent pneumococcal polysaccharide vaccine; 13vPnC = 13-valent pneumococcal conjugate vaccine; 20vPnC = .20-valent pneumococcal conjugate vaccine.</w:t>
      </w:r>
    </w:p>
    <w:p w14:paraId="2A3E4D21" w14:textId="18712BEE" w:rsidR="008557F6" w:rsidRPr="00AC74BD" w:rsidRDefault="008557F6" w:rsidP="00AC74BD">
      <w:pPr>
        <w:pStyle w:val="Tabledescription"/>
      </w:pPr>
      <w:r w:rsidRPr="00AC74BD">
        <w:t xml:space="preserve">Note: Assay results below the </w:t>
      </w:r>
      <w:r w:rsidR="00C2097E" w:rsidRPr="00AC74BD">
        <w:t>lower limit of quantitation (</w:t>
      </w:r>
      <w:r w:rsidRPr="00AC74BD">
        <w:t>LLOQ</w:t>
      </w:r>
      <w:r w:rsidR="00C2097E" w:rsidRPr="00AC74BD">
        <w:t>)</w:t>
      </w:r>
      <w:r w:rsidRPr="00AC74BD">
        <w:t xml:space="preserve"> were set to 0.5 </w:t>
      </w:r>
      <w:r w:rsidR="00C2097E" w:rsidRPr="00AC74BD">
        <w:t>x</w:t>
      </w:r>
      <w:r w:rsidRPr="00AC74BD">
        <w:t xml:space="preserve"> LLOQ in the analysis.</w:t>
      </w:r>
    </w:p>
    <w:p w14:paraId="3321C0C8" w14:textId="654205FC" w:rsidR="008557F6" w:rsidRPr="00AC74BD" w:rsidRDefault="008557F6" w:rsidP="00AC74BD">
      <w:pPr>
        <w:pStyle w:val="Tabledescription"/>
      </w:pPr>
      <w:r w:rsidRPr="00AC74BD">
        <w:t xml:space="preserve">a. n = Number of subjects with valid and determinate </w:t>
      </w:r>
      <w:r w:rsidR="00C2097E" w:rsidRPr="00AC74BD">
        <w:t xml:space="preserve">opsonophagocytic activity (OPA) </w:t>
      </w:r>
      <w:r w:rsidRPr="00AC74BD">
        <w:t>titres for the specified serotype.</w:t>
      </w:r>
    </w:p>
    <w:p w14:paraId="30ED91AC" w14:textId="2CE1971B" w:rsidR="008557F6" w:rsidRPr="00AC74BD" w:rsidRDefault="008557F6" w:rsidP="00AC74BD">
      <w:pPr>
        <w:pStyle w:val="Tabledescription"/>
      </w:pPr>
      <w:r w:rsidRPr="00AC74BD">
        <w:t xml:space="preserve">b. </w:t>
      </w:r>
      <w:r w:rsidR="00C2097E" w:rsidRPr="00AC74BD">
        <w:t>Geometric mean titres</w:t>
      </w:r>
      <w:r w:rsidRPr="00AC74BD">
        <w:t xml:space="preserve"> and 2-sided </w:t>
      </w:r>
      <w:r w:rsidR="00C2097E" w:rsidRPr="00AC74BD">
        <w:t>C</w:t>
      </w:r>
      <w:r w:rsidRPr="00AC74BD">
        <w:t>Is were calculated by exponentiating the LS means and the corresponding CIs based on analysis of log-transformed OPA titres using a regression model with vaccine group, sex, smoking status, age at vaccination in years (continuous), and baseline log transformed OPA titres.</w:t>
      </w:r>
    </w:p>
    <w:p w14:paraId="56B0C052" w14:textId="6B8143D8" w:rsidR="008557F6" w:rsidRPr="00AC74BD" w:rsidRDefault="008557F6" w:rsidP="00AC74BD">
      <w:pPr>
        <w:pStyle w:val="Tabledescription"/>
      </w:pPr>
      <w:r w:rsidRPr="00AC74BD">
        <w:t xml:space="preserve">c. </w:t>
      </w:r>
      <w:r w:rsidR="00C2097E" w:rsidRPr="00AC74BD">
        <w:t xml:space="preserve">Geometric mean ratios </w:t>
      </w:r>
      <w:r w:rsidRPr="00AC74BD">
        <w:t xml:space="preserve">(ratio of GMTs </w:t>
      </w:r>
      <w:r w:rsidR="006A37CA" w:rsidRPr="00AC74BD">
        <w:t>Prevenar 20</w:t>
      </w:r>
      <w:r w:rsidRPr="00AC74BD">
        <w:t>/saline to 13vPnC/</w:t>
      </w:r>
      <w:r w:rsidR="00E171F6" w:rsidRPr="00AC74BD">
        <w:t>Pneumovax 23</w:t>
      </w:r>
      <w:r w:rsidRPr="00AC74BD">
        <w:t>) and 2-sided CIs were calculated by exponentiating the difference of LS means and the corresponding CIs based on the same regression model as above.</w:t>
      </w:r>
    </w:p>
    <w:p w14:paraId="55CEF89B" w14:textId="2B1228FB" w:rsidR="008557F6" w:rsidRPr="006A37CA" w:rsidRDefault="008557F6" w:rsidP="00CB365D">
      <w:r w:rsidRPr="006A37CA">
        <w:t>Results from the additional sensitivity analysis of the unadjusted OPA GMRs and the associated 95%</w:t>
      </w:r>
      <w:r w:rsidR="009659E2" w:rsidRPr="006A37CA">
        <w:t> </w:t>
      </w:r>
      <w:r w:rsidRPr="006A37CA">
        <w:t xml:space="preserve">CIs for the 13-matched vaccine serotypes for the </w:t>
      </w:r>
      <w:r w:rsidR="006A37CA" w:rsidRPr="006A37CA">
        <w:t>Prevenar 20</w:t>
      </w:r>
      <w:r w:rsidRPr="006A37CA">
        <w:t xml:space="preserve">/saline group relative to the </w:t>
      </w:r>
      <w:r w:rsidR="005568B8">
        <w:t>Prevenar 13</w:t>
      </w:r>
      <w:r w:rsidRPr="006A37CA">
        <w:t>/</w:t>
      </w:r>
      <w:r w:rsidR="00E171F6" w:rsidRPr="006A37CA">
        <w:t>Pneumovax 23</w:t>
      </w:r>
      <w:r w:rsidRPr="006A37CA">
        <w:t xml:space="preserve"> group were consistent with the model-based OPA GMR results. The lower bounds of the 2-sided 95% CIs for the unadjusted OPA GMRs were </w:t>
      </w:r>
      <w:r w:rsidR="009659E2" w:rsidRPr="006A37CA">
        <w:t xml:space="preserve">more than </w:t>
      </w:r>
      <w:r w:rsidRPr="006A37CA">
        <w:t>0.5 for each of the 13-serotypes, and the unadjusted OPA GMRs for the vaccine comparison were between 0.76 (serotype 6A) and 0.96 (serotype 14).</w:t>
      </w:r>
    </w:p>
    <w:p w14:paraId="002444F4" w14:textId="2EF5EDD4" w:rsidR="008557F6" w:rsidRPr="006A37CA" w:rsidRDefault="008557F6" w:rsidP="00CB365D">
      <w:r w:rsidRPr="006A37CA">
        <w:lastRenderedPageBreak/>
        <w:t xml:space="preserve">The </w:t>
      </w:r>
      <w:r w:rsidR="00E76B1D" w:rsidRPr="006A37CA">
        <w:t xml:space="preserve">clinical </w:t>
      </w:r>
      <w:r w:rsidR="00376E45" w:rsidRPr="006A37CA">
        <w:t>evaluation</w:t>
      </w:r>
      <w:r w:rsidRPr="006A37CA">
        <w:t xml:space="preserve"> highlighted that the GMR was </w:t>
      </w:r>
      <w:r w:rsidR="009659E2" w:rsidRPr="006A37CA">
        <w:t>less than</w:t>
      </w:r>
      <w:r w:rsidRPr="006A37CA">
        <w:t xml:space="preserve"> 1 for 12 of the 13 matched serotypes, reflecting a consistently lower GMT for </w:t>
      </w:r>
      <w:r w:rsidR="006A37CA" w:rsidRPr="006A37CA">
        <w:t>Prevenar 20</w:t>
      </w:r>
      <w:r w:rsidRPr="006A37CA">
        <w:t xml:space="preserve"> at </w:t>
      </w:r>
      <w:r w:rsidR="009659E2" w:rsidRPr="006A37CA">
        <w:t>one month</w:t>
      </w:r>
      <w:r w:rsidRPr="006A37CA">
        <w:t xml:space="preserve"> after vaccination for these 12 serotypes compared to </w:t>
      </w:r>
      <w:r w:rsidR="005568B8">
        <w:t>Prevenar 13</w:t>
      </w:r>
      <w:r w:rsidRPr="006A37CA">
        <w:t xml:space="preserve">. </w:t>
      </w:r>
      <w:r w:rsidR="00F602CA" w:rsidRPr="006A37CA">
        <w:t xml:space="preserve">The </w:t>
      </w:r>
      <w:r w:rsidRPr="006A37CA">
        <w:t xml:space="preserve">is discussed in </w:t>
      </w:r>
      <w:r w:rsidR="0055561A" w:rsidRPr="006A37CA">
        <w:t>sponsor’s repose to TGA’s question and the questions for the Advisory Committee on Vaccines (ACV)</w:t>
      </w:r>
      <w:r w:rsidR="00457303">
        <w:t xml:space="preserve"> (see </w:t>
      </w:r>
      <w:r w:rsidR="00457303" w:rsidRPr="00270509">
        <w:rPr>
          <w:i/>
        </w:rPr>
        <w:fldChar w:fldCharType="begin"/>
      </w:r>
      <w:r w:rsidR="00457303" w:rsidRPr="00270509">
        <w:rPr>
          <w:i/>
        </w:rPr>
        <w:instrText xml:space="preserve"> REF _Ref134529881 \h </w:instrText>
      </w:r>
      <w:r w:rsidR="00457303">
        <w:rPr>
          <w:i/>
        </w:rPr>
        <w:instrText xml:space="preserve"> \* MERGEFORMAT </w:instrText>
      </w:r>
      <w:r w:rsidR="00457303" w:rsidRPr="00270509">
        <w:rPr>
          <w:i/>
        </w:rPr>
      </w:r>
      <w:r w:rsidR="00457303" w:rsidRPr="00270509">
        <w:rPr>
          <w:i/>
        </w:rPr>
        <w:fldChar w:fldCharType="separate"/>
      </w:r>
      <w:r w:rsidR="00AC74BD" w:rsidRPr="00AC74BD">
        <w:rPr>
          <w:i/>
        </w:rPr>
        <w:t>Questions for the sponsor</w:t>
      </w:r>
      <w:r w:rsidR="00457303" w:rsidRPr="00270509">
        <w:rPr>
          <w:i/>
        </w:rPr>
        <w:fldChar w:fldCharType="end"/>
      </w:r>
      <w:r w:rsidR="00457303">
        <w:t xml:space="preserve"> and </w:t>
      </w:r>
      <w:r w:rsidR="00457303" w:rsidRPr="00270509">
        <w:rPr>
          <w:i/>
        </w:rPr>
        <w:fldChar w:fldCharType="begin"/>
      </w:r>
      <w:r w:rsidR="00457303" w:rsidRPr="00270509">
        <w:rPr>
          <w:i/>
        </w:rPr>
        <w:instrText xml:space="preserve"> REF _Ref134529823 \h </w:instrText>
      </w:r>
      <w:r w:rsidR="00457303">
        <w:rPr>
          <w:i/>
        </w:rPr>
        <w:instrText xml:space="preserve"> \* MERGEFORMAT </w:instrText>
      </w:r>
      <w:r w:rsidR="00457303" w:rsidRPr="00270509">
        <w:rPr>
          <w:i/>
        </w:rPr>
      </w:r>
      <w:r w:rsidR="00457303" w:rsidRPr="00270509">
        <w:rPr>
          <w:i/>
        </w:rPr>
        <w:fldChar w:fldCharType="separate"/>
      </w:r>
      <w:r w:rsidR="00AC74BD" w:rsidRPr="00AC74BD">
        <w:rPr>
          <w:i/>
        </w:rPr>
        <w:t>Advisory Committee considerations</w:t>
      </w:r>
      <w:r w:rsidR="00457303" w:rsidRPr="00270509">
        <w:rPr>
          <w:i/>
        </w:rPr>
        <w:fldChar w:fldCharType="end"/>
      </w:r>
      <w:r w:rsidR="00270509">
        <w:rPr>
          <w:iCs/>
        </w:rPr>
        <w:t xml:space="preserve"> sections</w:t>
      </w:r>
      <w:r w:rsidR="00457303">
        <w:t>, below)</w:t>
      </w:r>
      <w:r w:rsidR="0055561A" w:rsidRPr="006A37CA">
        <w:t>.</w:t>
      </w:r>
    </w:p>
    <w:p w14:paraId="0A75F4AC" w14:textId="54A3DD0C" w:rsidR="008557F6" w:rsidRPr="006A37CA" w:rsidRDefault="009659E2" w:rsidP="00270509">
      <w:pPr>
        <w:pStyle w:val="Heading7"/>
      </w:pPr>
      <w:r w:rsidRPr="006A37CA">
        <w:t xml:space="preserve">Seven </w:t>
      </w:r>
      <w:r w:rsidR="008557F6" w:rsidRPr="006A37CA">
        <w:t>additional immunogenicity population</w:t>
      </w:r>
    </w:p>
    <w:p w14:paraId="6A382E85" w14:textId="37CF1D4D" w:rsidR="008557F6" w:rsidRPr="006A37CA" w:rsidRDefault="008557F6" w:rsidP="00CB365D">
      <w:r w:rsidRPr="006A37CA">
        <w:t>In the evaluable 7</w:t>
      </w:r>
      <w:r w:rsidR="009659E2" w:rsidRPr="006A37CA">
        <w:t xml:space="preserve"> </w:t>
      </w:r>
      <w:r w:rsidRPr="006A37CA">
        <w:t xml:space="preserve">additional immunogenicity population, </w:t>
      </w:r>
      <w:r w:rsidR="006A37CA" w:rsidRPr="006A37CA">
        <w:t>Prevenar 20</w:t>
      </w:r>
      <w:r w:rsidRPr="006A37CA">
        <w:t xml:space="preserve"> met the primary immunogenicity objective for 6 of the 7 additional vaccine serotypes. One month after </w:t>
      </w:r>
      <w:r w:rsidR="006A37CA" w:rsidRPr="006A37CA">
        <w:t>Prevenar 20</w:t>
      </w:r>
      <w:r w:rsidRPr="006A37CA">
        <w:t xml:space="preserve"> or </w:t>
      </w:r>
      <w:r w:rsidR="00E171F6" w:rsidRPr="006A37CA">
        <w:t>Pneumovax 23</w:t>
      </w:r>
      <w:r w:rsidRPr="006A37CA">
        <w:t xml:space="preserve">, the immune responses to 6 of the 7 additional vaccine serotypes induced by </w:t>
      </w:r>
      <w:r w:rsidR="006A37CA" w:rsidRPr="006A37CA">
        <w:t>Prevenar 20</w:t>
      </w:r>
      <w:r w:rsidRPr="006A37CA">
        <w:t xml:space="preserve"> were non-inferior to those induced by </w:t>
      </w:r>
      <w:r w:rsidR="00E171F6" w:rsidRPr="006A37CA">
        <w:t>Pneumovax 23</w:t>
      </w:r>
      <w:r w:rsidRPr="006A37CA">
        <w:t>, as demonstrated by the lower bounds of the 2-sided 95% CIs for the primary analysis of model-based OPA GMRs (</w:t>
      </w:r>
      <w:r w:rsidR="006A37CA" w:rsidRPr="006A37CA">
        <w:t>Prevenar 20</w:t>
      </w:r>
      <w:r w:rsidRPr="006A37CA">
        <w:t xml:space="preserve">/saline relative to </w:t>
      </w:r>
      <w:r w:rsidR="005568B8">
        <w:t>Prevenar 13</w:t>
      </w:r>
      <w:r w:rsidRPr="006A37CA">
        <w:t>/</w:t>
      </w:r>
      <w:r w:rsidR="00E171F6" w:rsidRPr="006A37CA">
        <w:t>Pneumovax 23</w:t>
      </w:r>
      <w:r w:rsidRPr="006A37CA">
        <w:t xml:space="preserve"> group) being &gt; 0.5. The model-based GMR (2</w:t>
      </w:r>
      <w:r w:rsidR="00E76B1D" w:rsidRPr="006A37CA">
        <w:noBreakHyphen/>
      </w:r>
      <w:r w:rsidRPr="006A37CA">
        <w:t xml:space="preserve">sided 95% CI) for serotype 8 was 0.55 (95% CI: 0.49, 0.62), with the lower bound 95% CI of 0.49 narrowly missing the statistical </w:t>
      </w:r>
      <w:r w:rsidR="007A2833" w:rsidRPr="006A37CA">
        <w:t>non-inferiority</w:t>
      </w:r>
      <w:r w:rsidRPr="006A37CA">
        <w:t xml:space="preserve"> criterion of 0.5. The results are summarised below in </w:t>
      </w:r>
      <w:r w:rsidR="0055561A" w:rsidRPr="006A37CA">
        <w:fldChar w:fldCharType="begin"/>
      </w:r>
      <w:r w:rsidR="0055561A" w:rsidRPr="006A37CA">
        <w:instrText xml:space="preserve"> REF _Ref132113686 \h  \* MERGEFORMAT </w:instrText>
      </w:r>
      <w:r w:rsidR="0055561A" w:rsidRPr="006A37CA">
        <w:fldChar w:fldCharType="separate"/>
      </w:r>
      <w:r w:rsidR="00AC74BD" w:rsidRPr="00AC74BD">
        <w:t xml:space="preserve">Table </w:t>
      </w:r>
      <w:r w:rsidR="00AC74BD">
        <w:rPr>
          <w:noProof/>
        </w:rPr>
        <w:t>6</w:t>
      </w:r>
      <w:r w:rsidR="0055561A" w:rsidRPr="006A37CA">
        <w:fldChar w:fldCharType="end"/>
      </w:r>
      <w:r w:rsidRPr="006A37CA">
        <w:t>, and the OPA GMRs (</w:t>
      </w:r>
      <w:r w:rsidR="0055561A" w:rsidRPr="006A37CA">
        <w:t xml:space="preserve">forest plot) is </w:t>
      </w:r>
      <w:r w:rsidRPr="006A37CA">
        <w:t xml:space="preserve">presented in </w:t>
      </w:r>
      <w:r w:rsidR="0055561A" w:rsidRPr="006A37CA">
        <w:fldChar w:fldCharType="begin"/>
      </w:r>
      <w:r w:rsidR="0055561A" w:rsidRPr="006A37CA">
        <w:instrText xml:space="preserve"> REF _Ref132113869 \h  \* MERGEFORMAT </w:instrText>
      </w:r>
      <w:r w:rsidR="0055561A" w:rsidRPr="006A37CA">
        <w:fldChar w:fldCharType="separate"/>
      </w:r>
      <w:r w:rsidR="00AC74BD" w:rsidRPr="00AC74BD">
        <w:t xml:space="preserve">Figure </w:t>
      </w:r>
      <w:r w:rsidR="00AC74BD">
        <w:t>1</w:t>
      </w:r>
      <w:r w:rsidR="0055561A" w:rsidRPr="006A37CA">
        <w:fldChar w:fldCharType="end"/>
      </w:r>
      <w:r w:rsidRPr="006A37CA">
        <w:t>.</w:t>
      </w:r>
    </w:p>
    <w:p w14:paraId="085D89D7" w14:textId="54897B10" w:rsidR="008557F6" w:rsidRPr="00AC74BD" w:rsidRDefault="00CB365D" w:rsidP="00AC74BD">
      <w:pPr>
        <w:pStyle w:val="TableTitle0"/>
      </w:pPr>
      <w:bookmarkStart w:id="59" w:name="_Ref132113686"/>
      <w:bookmarkStart w:id="60" w:name="_Toc112850895"/>
      <w:r w:rsidRPr="00AC74BD">
        <w:t xml:space="preserve">Table </w:t>
      </w:r>
      <w:fldSimple w:instr=" SEQ Table \* ARABIC ">
        <w:r w:rsidR="00AC74BD">
          <w:rPr>
            <w:noProof/>
          </w:rPr>
          <w:t>6</w:t>
        </w:r>
      </w:fldSimple>
      <w:bookmarkEnd w:id="59"/>
      <w:r w:rsidR="008557F6" w:rsidRPr="00AC74BD">
        <w:t xml:space="preserve">: Study B7471007 Pneumococcal </w:t>
      </w:r>
      <w:r w:rsidR="009253BF" w:rsidRPr="00AC74BD">
        <w:t xml:space="preserve">opsonophagocytic activity geometric mean titres </w:t>
      </w:r>
      <w:r w:rsidR="008557F6" w:rsidRPr="00AC74BD">
        <w:t xml:space="preserve">and </w:t>
      </w:r>
      <w:r w:rsidR="009253BF" w:rsidRPr="00AC74BD">
        <w:t>geometric mean ratios</w:t>
      </w:r>
      <w:r w:rsidR="008557F6" w:rsidRPr="00AC74BD">
        <w:t xml:space="preserve"> for the 7 additional serotypes </w:t>
      </w:r>
      <w:r w:rsidR="009659E2" w:rsidRPr="00AC74BD">
        <w:t>one month</w:t>
      </w:r>
      <w:r w:rsidR="008557F6" w:rsidRPr="00AC74BD">
        <w:t xml:space="preserve"> after vaccination, linear regression model</w:t>
      </w:r>
      <w:r w:rsidR="0092642A" w:rsidRPr="00AC74BD">
        <w:t xml:space="preserve"> (</w:t>
      </w:r>
      <w:r w:rsidR="008557F6" w:rsidRPr="00AC74BD">
        <w:t>Cohort 1 (60 years</w:t>
      </w:r>
      <w:r w:rsidR="009659E2" w:rsidRPr="00AC74BD">
        <w:t xml:space="preserve"> and over</w:t>
      </w:r>
      <w:r w:rsidR="008557F6" w:rsidRPr="00AC74BD">
        <w:t>), evaluable 7</w:t>
      </w:r>
      <w:r w:rsidR="00E76B1D" w:rsidRPr="00AC74BD">
        <w:t xml:space="preserve"> </w:t>
      </w:r>
      <w:r w:rsidR="008557F6" w:rsidRPr="00AC74BD">
        <w:t>additional immunogenicity population</w:t>
      </w:r>
      <w:bookmarkEnd w:id="60"/>
      <w:r w:rsidR="0092642A" w:rsidRPr="00AC74BD">
        <w:t>)</w:t>
      </w:r>
    </w:p>
    <w:p w14:paraId="7A56C808" w14:textId="4DC25F8E" w:rsidR="008557F6" w:rsidRPr="00C2097E" w:rsidRDefault="00C2097E" w:rsidP="00AC74BD">
      <w:pPr>
        <w:rPr>
          <w:b/>
        </w:rPr>
      </w:pPr>
      <w:r>
        <w:rPr>
          <w:noProof/>
          <w:lang w:val="en-GB" w:eastAsia="en-GB"/>
        </w:rPr>
        <w:drawing>
          <wp:inline distT="0" distB="0" distL="0" distR="0" wp14:anchorId="14055C8A" wp14:editId="0C1A59EF">
            <wp:extent cx="5759450" cy="3655695"/>
            <wp:effectExtent l="0" t="0" r="0" b="1905"/>
            <wp:docPr id="1" name="Picture 1" descr="Table 6: Study B7471007 Pneumococcal opsonophagocytic activity geometric mean titres and geometric mean ratios for the 7 additional serotypes one month after vaccination, linear regression model (Cohort 1 (60 years and over), evaluable 7 additiona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Study B7471007 Pneumococcal opsonophagocytic activity geometric mean titres and geometric mean ratios for the 7 additional serotypes one month after vaccination, linear regression model (Cohort 1 (60 years and over), evaluable 7 additional immunogenicity population)"/>
                    <pic:cNvPicPr/>
                  </pic:nvPicPr>
                  <pic:blipFill>
                    <a:blip r:embed="rId28"/>
                    <a:stretch>
                      <a:fillRect/>
                    </a:stretch>
                  </pic:blipFill>
                  <pic:spPr>
                    <a:xfrm>
                      <a:off x="0" y="0"/>
                      <a:ext cx="5759450" cy="3655695"/>
                    </a:xfrm>
                    <a:prstGeom prst="rect">
                      <a:avLst/>
                    </a:prstGeom>
                  </pic:spPr>
                </pic:pic>
              </a:graphicData>
            </a:graphic>
          </wp:inline>
        </w:drawing>
      </w:r>
    </w:p>
    <w:p w14:paraId="1D8F1A5E" w14:textId="30492557" w:rsidR="00C2097E" w:rsidRPr="00AC74BD" w:rsidRDefault="00C2097E" w:rsidP="00AC74BD">
      <w:pPr>
        <w:pStyle w:val="Tabledescription"/>
      </w:pPr>
      <w:r w:rsidRPr="00AC74BD">
        <w:t>Abbreviations: CI = confidence interval; GMR = geometric mean ratio; GMT = geometric mean titre; LS = least squares; PPSV23 = 23-valent pneumococcal polysaccharide vaccine; 13vPnC = 13-valent pneumococcal conjugate vaccine; 20vPnC = .20-valent pneumococcal conjugate vaccine.</w:t>
      </w:r>
    </w:p>
    <w:p w14:paraId="6E44E047" w14:textId="57FB3DF6" w:rsidR="008557F6" w:rsidRPr="00AC74BD" w:rsidRDefault="008557F6" w:rsidP="00AC74BD">
      <w:pPr>
        <w:pStyle w:val="Tabledescription"/>
      </w:pPr>
      <w:r w:rsidRPr="00AC74BD">
        <w:t xml:space="preserve">Note: Assay results below the </w:t>
      </w:r>
      <w:r w:rsidR="00C2097E" w:rsidRPr="00AC74BD">
        <w:t>lower limit of quantitation (</w:t>
      </w:r>
      <w:r w:rsidRPr="00AC74BD">
        <w:t>LLOQ</w:t>
      </w:r>
      <w:r w:rsidR="00C2097E" w:rsidRPr="00AC74BD">
        <w:t>)</w:t>
      </w:r>
      <w:r w:rsidRPr="00AC74BD">
        <w:t xml:space="preserve"> were set to 0.5 </w:t>
      </w:r>
      <w:r w:rsidR="009659E2" w:rsidRPr="00AC74BD">
        <w:t>x</w:t>
      </w:r>
      <w:r w:rsidRPr="00AC74BD">
        <w:t xml:space="preserve"> LLOQ in the analysis.</w:t>
      </w:r>
    </w:p>
    <w:p w14:paraId="635CE9EB" w14:textId="1AD689AB" w:rsidR="008557F6" w:rsidRPr="00AC74BD" w:rsidRDefault="008557F6" w:rsidP="00AC74BD">
      <w:pPr>
        <w:pStyle w:val="Tabledescription"/>
      </w:pPr>
      <w:r w:rsidRPr="00AC74BD">
        <w:t xml:space="preserve">a. n = Number of subjects with valid and determinate </w:t>
      </w:r>
      <w:r w:rsidR="00C2097E" w:rsidRPr="00AC74BD">
        <w:t>opsonophagocytic activity (</w:t>
      </w:r>
      <w:r w:rsidRPr="00AC74BD">
        <w:t>OPA</w:t>
      </w:r>
      <w:r w:rsidR="00C2097E" w:rsidRPr="00AC74BD">
        <w:t>)</w:t>
      </w:r>
      <w:r w:rsidRPr="00AC74BD">
        <w:t xml:space="preserve"> titre for the specified serotype</w:t>
      </w:r>
    </w:p>
    <w:p w14:paraId="7E86CC63" w14:textId="59B66230" w:rsidR="008557F6" w:rsidRPr="00AC74BD" w:rsidRDefault="008557F6" w:rsidP="00AC74BD">
      <w:pPr>
        <w:pStyle w:val="Tabledescription"/>
      </w:pPr>
      <w:r w:rsidRPr="00AC74BD">
        <w:t xml:space="preserve">b. </w:t>
      </w:r>
      <w:r w:rsidR="00C2097E" w:rsidRPr="00AC74BD">
        <w:t xml:space="preserve">Geometric mean titres </w:t>
      </w:r>
      <w:r w:rsidRPr="00AC74BD">
        <w:t>and 2-sided CIs were calculated by exponentiating the LS means and the corresponding CIs based on analysis of log-transformed OPA titres using a regression model with vaccine group, sex, smoking status, age at vaccination in years (continuous), and baseline log transformed OPA titres.</w:t>
      </w:r>
    </w:p>
    <w:p w14:paraId="145BE103" w14:textId="608C9F82" w:rsidR="008557F6" w:rsidRPr="00AC74BD" w:rsidRDefault="008557F6" w:rsidP="00AC74BD">
      <w:pPr>
        <w:pStyle w:val="Tabledescription"/>
      </w:pPr>
      <w:r w:rsidRPr="00AC74BD">
        <w:lastRenderedPageBreak/>
        <w:t xml:space="preserve">c. </w:t>
      </w:r>
      <w:r w:rsidR="00C2097E" w:rsidRPr="00AC74BD">
        <w:t xml:space="preserve">Geometric mean ratios </w:t>
      </w:r>
      <w:r w:rsidRPr="00AC74BD">
        <w:t xml:space="preserve">(ratio of GMTs </w:t>
      </w:r>
      <w:r w:rsidR="006A37CA" w:rsidRPr="00AC74BD">
        <w:t>Prevenar 20</w:t>
      </w:r>
      <w:r w:rsidRPr="00AC74BD">
        <w:t>/saline to 13vPnC/</w:t>
      </w:r>
      <w:r w:rsidR="00E171F6" w:rsidRPr="00AC74BD">
        <w:t>Pneumovax 23</w:t>
      </w:r>
      <w:r w:rsidRPr="00AC74BD">
        <w:t>) and 2-sided CIs were calculated by exponentiating the</w:t>
      </w:r>
    </w:p>
    <w:p w14:paraId="23D3EB0F" w14:textId="77777777" w:rsidR="008557F6" w:rsidRPr="00AC74BD" w:rsidRDefault="008557F6" w:rsidP="00AC74BD">
      <w:pPr>
        <w:pStyle w:val="Tabledescription"/>
      </w:pPr>
      <w:r w:rsidRPr="00AC74BD">
        <w:t>difference of LS means and the corresponding CIs based on the same regression model as above.</w:t>
      </w:r>
    </w:p>
    <w:p w14:paraId="13ED766B" w14:textId="17FCA87E" w:rsidR="008557F6" w:rsidRPr="006A37CA" w:rsidRDefault="008557F6" w:rsidP="00AC74BD">
      <w:pPr>
        <w:pStyle w:val="Tabledescription"/>
      </w:pPr>
      <w:r w:rsidRPr="00AC74BD">
        <w:t xml:space="preserve">d. Nominal </w:t>
      </w:r>
      <w:r w:rsidR="00C2097E" w:rsidRPr="00AC74BD">
        <w:t>one</w:t>
      </w:r>
      <w:r w:rsidRPr="00AC74BD">
        <w:t>-sided p-value for superiority based on the same regression model.</w:t>
      </w:r>
    </w:p>
    <w:p w14:paraId="7520E244" w14:textId="75EA59D3" w:rsidR="0055561A" w:rsidRPr="00AC74BD" w:rsidRDefault="0055561A" w:rsidP="00AC74BD">
      <w:pPr>
        <w:pStyle w:val="TableTitle0"/>
      </w:pPr>
      <w:bookmarkStart w:id="61" w:name="_Ref132113869"/>
      <w:r w:rsidRPr="00AC74BD">
        <w:t xml:space="preserve">Figure </w:t>
      </w:r>
      <w:fldSimple w:instr=" SEQ Figure \* ARABIC ">
        <w:r w:rsidR="00AC74BD">
          <w:rPr>
            <w:noProof/>
          </w:rPr>
          <w:t>1</w:t>
        </w:r>
      </w:fldSimple>
      <w:bookmarkEnd w:id="61"/>
      <w:r w:rsidRPr="00AC74BD">
        <w:t xml:space="preserve">: Study B7471007 Model-based </w:t>
      </w:r>
      <w:r w:rsidR="009253BF" w:rsidRPr="00AC74BD">
        <w:t>opsonophagocytic activity geometric mean ratios</w:t>
      </w:r>
      <w:r w:rsidRPr="00AC74BD">
        <w:t xml:space="preserve"> of </w:t>
      </w:r>
      <w:r w:rsidR="006A37CA" w:rsidRPr="00AC74BD">
        <w:t>Prevenar 20</w:t>
      </w:r>
      <w:r w:rsidRPr="00AC74BD">
        <w:t xml:space="preserve"> to </w:t>
      </w:r>
      <w:r w:rsidR="009253BF" w:rsidRPr="00AC74BD">
        <w:t>Pneumovax 23</w:t>
      </w:r>
      <w:r w:rsidR="00AC74BD" w:rsidRPr="00AC74BD">
        <w:t xml:space="preserve"> </w:t>
      </w:r>
      <w:r w:rsidRPr="00AC74BD">
        <w:t xml:space="preserve">with 95% </w:t>
      </w:r>
      <w:r w:rsidR="009253BF" w:rsidRPr="00AC74BD">
        <w:t xml:space="preserve">confidence interval one </w:t>
      </w:r>
      <w:r w:rsidRPr="00AC74BD">
        <w:t xml:space="preserve">month after vaccination for 7 additional serotypes in </w:t>
      </w:r>
      <w:r w:rsidR="006A37CA" w:rsidRPr="00AC74BD">
        <w:t>Prevenar 20</w:t>
      </w:r>
      <w:r w:rsidRPr="00AC74BD">
        <w:t xml:space="preserve"> </w:t>
      </w:r>
      <w:r w:rsidR="00C2097E" w:rsidRPr="00AC74BD">
        <w:t>(</w:t>
      </w:r>
      <w:r w:rsidRPr="00AC74BD">
        <w:t>Cohort 1, evaluable 7</w:t>
      </w:r>
      <w:r w:rsidR="009253BF" w:rsidRPr="00AC74BD">
        <w:t xml:space="preserve"> </w:t>
      </w:r>
      <w:r w:rsidRPr="00AC74BD">
        <w:t>additional immunogenicity population</w:t>
      </w:r>
      <w:r w:rsidR="00C2097E" w:rsidRPr="00AC74BD">
        <w:t>)</w:t>
      </w:r>
    </w:p>
    <w:p w14:paraId="020C43F6" w14:textId="25B23BED" w:rsidR="00C2097E" w:rsidRPr="006A37CA" w:rsidRDefault="00C2097E" w:rsidP="00C2097E">
      <w:r>
        <w:rPr>
          <w:noProof/>
          <w:lang w:val="en-GB" w:eastAsia="en-GB"/>
        </w:rPr>
        <w:drawing>
          <wp:inline distT="0" distB="0" distL="0" distR="0" wp14:anchorId="41B1B7E2" wp14:editId="3059DFCB">
            <wp:extent cx="5759450" cy="3597910"/>
            <wp:effectExtent l="0" t="0" r="0" b="2540"/>
            <wp:docPr id="5" name="Picture 5" descr="Figure 1: Study B7471007 Model-based opsonophagocytic activity geometric mean ratios of Prevenar 20 to Pneumovax 23 with 95% confidence interval one month after vaccination for 7 additional serotypes in Prevenar 20 (Cohort 1, evaluable 7 additiona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tudy B7471007 Model-based opsonophagocytic activity geometric mean ratios of Prevenar 20 to Pneumovax 23 with 95% confidence interval one month after vaccination for 7 additional serotypes in Prevenar 20 (Cohort 1, evaluable 7 additional immunogenicity population)"/>
                    <pic:cNvPicPr/>
                  </pic:nvPicPr>
                  <pic:blipFill>
                    <a:blip r:embed="rId29"/>
                    <a:stretch>
                      <a:fillRect/>
                    </a:stretch>
                  </pic:blipFill>
                  <pic:spPr>
                    <a:xfrm>
                      <a:off x="0" y="0"/>
                      <a:ext cx="5759450" cy="3597910"/>
                    </a:xfrm>
                    <a:prstGeom prst="rect">
                      <a:avLst/>
                    </a:prstGeom>
                  </pic:spPr>
                </pic:pic>
              </a:graphicData>
            </a:graphic>
          </wp:inline>
        </w:drawing>
      </w:r>
    </w:p>
    <w:p w14:paraId="7E69B311" w14:textId="4C153F0E" w:rsidR="00C2097E" w:rsidRPr="00AC74BD" w:rsidRDefault="00C2097E" w:rsidP="00AC74BD">
      <w:pPr>
        <w:pStyle w:val="Tabledescription"/>
      </w:pPr>
      <w:r w:rsidRPr="00AC74BD">
        <w:t>Abbreviations: GMR = geometric mean ratio; PPSV23 = 23-valent pneumococcal polysaccharide vaccine; 13vPnC = 13-valent pneumococcal conjugate vaccine; 20vPnC = .20-valent pneumococcal conjugate vaccine.</w:t>
      </w:r>
    </w:p>
    <w:p w14:paraId="4E039631" w14:textId="6F4337F2" w:rsidR="00C2097E" w:rsidRPr="00AC74BD" w:rsidRDefault="00C2097E" w:rsidP="00AC74BD">
      <w:pPr>
        <w:pStyle w:val="Tabledescription"/>
      </w:pPr>
      <w:r w:rsidRPr="00AC74BD">
        <w:t>Note: Assay results below the lower level of qualification (LLOQ) were set to 0.5 x LLOQ in the analysis.</w:t>
      </w:r>
    </w:p>
    <w:p w14:paraId="0A646D86" w14:textId="74135FE7" w:rsidR="00C2097E" w:rsidRPr="00AC74BD" w:rsidRDefault="00C2097E" w:rsidP="00AC74BD">
      <w:pPr>
        <w:pStyle w:val="Tabledescription"/>
      </w:pPr>
      <w:r w:rsidRPr="00AC74BD">
        <w:t>Note: GMRs (ratios of geometric mean titres 20vPnC/saline to 13vPnC/PPSV23) and confidence intervals (CIs) were calculated by exponentiating the difference of least squares means and the corresponding CIs baseline log transformed opsonophagocytic activity titres.</w:t>
      </w:r>
    </w:p>
    <w:p w14:paraId="396C49B6" w14:textId="66AF16C9" w:rsidR="008557F6" w:rsidRPr="006A37CA" w:rsidRDefault="008557F6" w:rsidP="00CB365D">
      <w:r w:rsidRPr="006A37CA">
        <w:t>Results from the additional sensitivity analysis of the unadjusted OPA GMRs and the associated 95% CIs for the 7</w:t>
      </w:r>
      <w:r w:rsidR="00E76B1D" w:rsidRPr="006A37CA">
        <w:t xml:space="preserve"> </w:t>
      </w:r>
      <w:r w:rsidRPr="006A37CA">
        <w:t xml:space="preserve">additional vaccine serotypes of the </w:t>
      </w:r>
      <w:r w:rsidR="006A37CA" w:rsidRPr="006A37CA">
        <w:t>Prevenar 20</w:t>
      </w:r>
      <w:r w:rsidRPr="006A37CA">
        <w:t xml:space="preserve">/saline group relative to the </w:t>
      </w:r>
      <w:r w:rsidR="005568B8">
        <w:t>Prevenar 13</w:t>
      </w:r>
      <w:r w:rsidRPr="006A37CA">
        <w:t>/</w:t>
      </w:r>
      <w:r w:rsidR="00E171F6" w:rsidRPr="006A37CA">
        <w:t>Pneumovax 23</w:t>
      </w:r>
      <w:r w:rsidRPr="006A37CA">
        <w:t xml:space="preserve"> group were consistent with the model-based OPA GMR results. The lower bounds of the 2-sided 95% CIs were &gt; 0.5 for each of the 7</w:t>
      </w:r>
      <w:r w:rsidR="00E76B1D" w:rsidRPr="006A37CA">
        <w:t xml:space="preserve"> </w:t>
      </w:r>
      <w:r w:rsidRPr="006A37CA">
        <w:t>additional serotypes, apart from serotype 8 where the relevant value was 0.49 (GMR = 0.55</w:t>
      </w:r>
      <w:r w:rsidR="00E76B1D" w:rsidRPr="006A37CA">
        <w:t xml:space="preserve">; </w:t>
      </w:r>
      <w:r w:rsidRPr="006A37CA">
        <w:t>95% CI: 0.49, 0.63). As for the primary analysis, GMRs for the sensitivity analysis were &gt; 1 for the vaccine comparison for each of the serotypes apart from serotype 8.</w:t>
      </w:r>
    </w:p>
    <w:p w14:paraId="692440E3" w14:textId="0940A41B" w:rsidR="008557F6" w:rsidRPr="006A37CA" w:rsidRDefault="008557F6" w:rsidP="00CB365D">
      <w:r w:rsidRPr="006A37CA">
        <w:t xml:space="preserve">The </w:t>
      </w:r>
      <w:r w:rsidR="00E76B1D" w:rsidRPr="006A37CA">
        <w:t xml:space="preserve">clinical </w:t>
      </w:r>
      <w:r w:rsidR="00376E45" w:rsidRPr="006A37CA">
        <w:t>evaluation</w:t>
      </w:r>
      <w:r w:rsidRPr="006A37CA">
        <w:t xml:space="preserve"> highlighted that the GMR was &gt; 1 for 6 of the 7 additional matched serotypes, reflecting a higher GMT for </w:t>
      </w:r>
      <w:r w:rsidR="006A37CA" w:rsidRPr="006A37CA">
        <w:t>Prevenar 20</w:t>
      </w:r>
      <w:r w:rsidRPr="006A37CA">
        <w:t xml:space="preserve"> at </w:t>
      </w:r>
      <w:r w:rsidR="009659E2" w:rsidRPr="006A37CA">
        <w:t>one month</w:t>
      </w:r>
      <w:r w:rsidRPr="006A37CA">
        <w:t xml:space="preserve"> after vaccination for these 6 serotypes relative to </w:t>
      </w:r>
      <w:r w:rsidR="00E171F6" w:rsidRPr="006A37CA">
        <w:t>Pneumovax 23</w:t>
      </w:r>
      <w:r w:rsidRPr="006A37CA">
        <w:t xml:space="preserve">. However, the GMR for serotype 8 was &lt; 1 and the lower bound 95% CI was 0.49, which was slightly below the lower bound </w:t>
      </w:r>
      <w:r w:rsidR="007A2833" w:rsidRPr="006A37CA">
        <w:t>non-inferiority</w:t>
      </w:r>
      <w:r w:rsidRPr="006A37CA">
        <w:t xml:space="preserve"> margin of 0.5. </w:t>
      </w:r>
      <w:r w:rsidR="0055561A" w:rsidRPr="006A37CA">
        <w:t>this is also discussed in sponsor’s repose to TGA’s question and the questions for the ACV.</w:t>
      </w:r>
    </w:p>
    <w:p w14:paraId="6F01FE65" w14:textId="23448BB8" w:rsidR="008557F6" w:rsidRPr="006A37CA" w:rsidRDefault="008557F6" w:rsidP="00270509">
      <w:pPr>
        <w:pStyle w:val="Heading6"/>
      </w:pPr>
      <w:r w:rsidRPr="006A37CA">
        <w:lastRenderedPageBreak/>
        <w:t>Study B7471006</w:t>
      </w:r>
    </w:p>
    <w:p w14:paraId="3A896A05" w14:textId="62800F14" w:rsidR="008557F6" w:rsidRPr="006A37CA" w:rsidRDefault="008557F6">
      <w:r w:rsidRPr="006A37CA">
        <w:t xml:space="preserve">Study B7471006 was a randomised, open-label </w:t>
      </w:r>
      <w:r w:rsidR="00376E45" w:rsidRPr="006A37CA">
        <w:t>Phase III</w:t>
      </w:r>
      <w:r w:rsidRPr="006A37CA">
        <w:t xml:space="preserve"> clinical trial of single</w:t>
      </w:r>
      <w:r w:rsidR="009659E2" w:rsidRPr="006A37CA">
        <w:t xml:space="preserve"> </w:t>
      </w:r>
      <w:r w:rsidRPr="006A37CA">
        <w:t xml:space="preserve">dose </w:t>
      </w:r>
      <w:r w:rsidR="006A37CA" w:rsidRPr="006A37CA">
        <w:t>Prevenar 20</w:t>
      </w:r>
      <w:r w:rsidRPr="006A37CA">
        <w:t xml:space="preserve"> in adults 65 years of age </w:t>
      </w:r>
      <w:r w:rsidR="009659E2" w:rsidRPr="006A37CA">
        <w:t xml:space="preserve">and over </w:t>
      </w:r>
      <w:r w:rsidR="00457303">
        <w:t>who had previously received</w:t>
      </w:r>
      <w:r w:rsidRPr="006A37CA">
        <w:t xml:space="preserve"> pneumococcal vaccination (</w:t>
      </w:r>
      <w:r w:rsidR="00E171F6" w:rsidRPr="006A37CA">
        <w:t>Pneumovax 23</w:t>
      </w:r>
      <w:r w:rsidR="00457303">
        <w:t xml:space="preserve"> (unconjugated)</w:t>
      </w:r>
      <w:r w:rsidRPr="006A37CA">
        <w:t xml:space="preserve">, </w:t>
      </w:r>
      <w:r w:rsidR="00457303">
        <w:t>Prevenar 13</w:t>
      </w:r>
      <w:r w:rsidR="005568B8">
        <w:t xml:space="preserve"> (conjugated)</w:t>
      </w:r>
      <w:r w:rsidRPr="006A37CA">
        <w:t xml:space="preserve">, or both </w:t>
      </w:r>
      <w:r w:rsidR="00E8242F" w:rsidRPr="006A37CA">
        <w:t>vaccines</w:t>
      </w:r>
      <w:r w:rsidRPr="006A37CA">
        <w:t>).</w:t>
      </w:r>
    </w:p>
    <w:p w14:paraId="44B51476" w14:textId="75AC1B28" w:rsidR="008557F6" w:rsidRPr="006A37CA" w:rsidRDefault="008557F6" w:rsidP="00270509">
      <w:pPr>
        <w:pStyle w:val="Heading7"/>
      </w:pPr>
      <w:r w:rsidRPr="006A37CA">
        <w:t>Study objectives</w:t>
      </w:r>
    </w:p>
    <w:p w14:paraId="71DEDA1E" w14:textId="69124947" w:rsidR="008557F6" w:rsidRPr="006A37CA" w:rsidRDefault="00E8242F">
      <w:pPr>
        <w:pStyle w:val="ListBullet"/>
      </w:pPr>
      <w:r w:rsidRPr="006A37CA">
        <w:t>T</w:t>
      </w:r>
      <w:r w:rsidR="008557F6" w:rsidRPr="006A37CA">
        <w:t xml:space="preserve">he primary safety objective was to describe the safety profile of </w:t>
      </w:r>
      <w:r w:rsidR="006A37CA" w:rsidRPr="006A37CA">
        <w:t>Prevenar 20</w:t>
      </w:r>
      <w:r w:rsidR="008557F6" w:rsidRPr="006A37CA">
        <w:t>.</w:t>
      </w:r>
    </w:p>
    <w:p w14:paraId="0D629648" w14:textId="5F4AFB16" w:rsidR="008557F6" w:rsidRPr="006A37CA" w:rsidRDefault="00E8242F">
      <w:pPr>
        <w:pStyle w:val="ListBullet"/>
      </w:pPr>
      <w:r w:rsidRPr="006A37CA">
        <w:t>T</w:t>
      </w:r>
      <w:r w:rsidR="008557F6" w:rsidRPr="006A37CA">
        <w:t xml:space="preserve">he primary immunogenicity objective was to describe the immune responses to </w:t>
      </w:r>
      <w:r w:rsidR="006A37CA" w:rsidRPr="006A37CA">
        <w:t>Prevenar</w:t>
      </w:r>
      <w:r w:rsidR="005568B8">
        <w:t> </w:t>
      </w:r>
      <w:r w:rsidR="006A37CA" w:rsidRPr="006A37CA">
        <w:t>20</w:t>
      </w:r>
      <w:r w:rsidR="008557F6" w:rsidRPr="006A37CA">
        <w:t xml:space="preserve"> in adults previously vaccinated with </w:t>
      </w:r>
      <w:r w:rsidR="00E171F6" w:rsidRPr="006A37CA">
        <w:t>Pneumovax 23</w:t>
      </w:r>
      <w:r w:rsidR="008557F6" w:rsidRPr="006A37CA">
        <w:t xml:space="preserve">, </w:t>
      </w:r>
      <w:r w:rsidR="005568B8">
        <w:t>Prevenar 13</w:t>
      </w:r>
      <w:r w:rsidR="008557F6" w:rsidRPr="006A37CA">
        <w:t xml:space="preserve">, or with both </w:t>
      </w:r>
      <w:r w:rsidRPr="006A37CA">
        <w:t>vaccines</w:t>
      </w:r>
      <w:r w:rsidR="008557F6" w:rsidRPr="006A37CA">
        <w:t>.</w:t>
      </w:r>
    </w:p>
    <w:p w14:paraId="1A2BF27E" w14:textId="5A8F7161" w:rsidR="008557F6" w:rsidRPr="006A37CA" w:rsidRDefault="00E8242F">
      <w:pPr>
        <w:pStyle w:val="ListBullet"/>
      </w:pPr>
      <w:r w:rsidRPr="006A37CA">
        <w:t>T</w:t>
      </w:r>
      <w:r w:rsidR="008557F6" w:rsidRPr="006A37CA">
        <w:t xml:space="preserve">he secondary immunogenicity objective was to further describe the immune responses to </w:t>
      </w:r>
      <w:r w:rsidR="006A37CA" w:rsidRPr="006A37CA">
        <w:t>Prevenar 20</w:t>
      </w:r>
      <w:r w:rsidR="008557F6" w:rsidRPr="006A37CA">
        <w:t xml:space="preserve"> in adults previously vaccinated with </w:t>
      </w:r>
      <w:r w:rsidR="00E171F6" w:rsidRPr="006A37CA">
        <w:t>Pneumovax 23</w:t>
      </w:r>
      <w:r w:rsidR="008557F6" w:rsidRPr="006A37CA">
        <w:t xml:space="preserve">, </w:t>
      </w:r>
      <w:r w:rsidR="005568B8">
        <w:t>Prevenar 13</w:t>
      </w:r>
      <w:r w:rsidR="008557F6" w:rsidRPr="006A37CA">
        <w:t xml:space="preserve">, or with both </w:t>
      </w:r>
      <w:r w:rsidRPr="006A37CA">
        <w:t>vaccines</w:t>
      </w:r>
      <w:r w:rsidR="008557F6" w:rsidRPr="006A37CA">
        <w:t>.</w:t>
      </w:r>
    </w:p>
    <w:p w14:paraId="2302974E" w14:textId="64BC5253" w:rsidR="008557F6" w:rsidRPr="006A37CA" w:rsidRDefault="00E8242F">
      <w:pPr>
        <w:pStyle w:val="ListBullet"/>
      </w:pPr>
      <w:r w:rsidRPr="006A37CA">
        <w:t>T</w:t>
      </w:r>
      <w:r w:rsidR="008557F6" w:rsidRPr="006A37CA">
        <w:t xml:space="preserve">he exploratory immunogenicity objective was to further describe the immune responses induced by </w:t>
      </w:r>
      <w:r w:rsidR="006A37CA" w:rsidRPr="006A37CA">
        <w:t>Prevenar 20</w:t>
      </w:r>
      <w:r w:rsidR="008557F6" w:rsidRPr="006A37CA">
        <w:t>.</w:t>
      </w:r>
    </w:p>
    <w:p w14:paraId="35734269" w14:textId="1B05F688" w:rsidR="008557F6" w:rsidRPr="006A37CA" w:rsidRDefault="00E8242F" w:rsidP="00270509">
      <w:pPr>
        <w:pStyle w:val="Heading7"/>
      </w:pPr>
      <w:r w:rsidRPr="006A37CA">
        <w:t>Study d</w:t>
      </w:r>
      <w:r w:rsidR="008557F6" w:rsidRPr="006A37CA">
        <w:t>esign</w:t>
      </w:r>
    </w:p>
    <w:p w14:paraId="21C77D07" w14:textId="0D8A9EA8" w:rsidR="008557F6" w:rsidRPr="006A37CA" w:rsidRDefault="008557F6">
      <w:r w:rsidRPr="006A37CA">
        <w:t xml:space="preserve">Approximately 875 adults aged 65 years </w:t>
      </w:r>
      <w:r w:rsidR="009659E2" w:rsidRPr="006A37CA">
        <w:t xml:space="preserve">and over </w:t>
      </w:r>
      <w:r w:rsidRPr="006A37CA">
        <w:t>were targeted to be enrolled into 3 different cohorts (</w:t>
      </w:r>
      <w:r w:rsidR="00E8242F" w:rsidRPr="006A37CA">
        <w:t xml:space="preserve">Cohorts </w:t>
      </w:r>
      <w:r w:rsidRPr="006A37CA">
        <w:t>A, B and C) based on their prior pneumococcal vaccination history.</w:t>
      </w:r>
    </w:p>
    <w:p w14:paraId="7D1448EF" w14:textId="54B60174" w:rsidR="008557F6" w:rsidRPr="006A37CA" w:rsidRDefault="008557F6">
      <w:pPr>
        <w:pStyle w:val="ListBullet"/>
      </w:pPr>
      <w:r w:rsidRPr="006A37CA">
        <w:t xml:space="preserve">Cohort A: Approximately 375 subjects who had received </w:t>
      </w:r>
      <w:r w:rsidR="00E171F6" w:rsidRPr="006A37CA">
        <w:t>Pneumovax 23</w:t>
      </w:r>
      <w:r w:rsidRPr="006A37CA">
        <w:t xml:space="preserve"> </w:t>
      </w:r>
      <w:r w:rsidR="00E8242F" w:rsidRPr="006A37CA">
        <w:t xml:space="preserve">for one year or longer and no more than five </w:t>
      </w:r>
      <w:r w:rsidRPr="006A37CA">
        <w:t xml:space="preserve">years previously but had not been vaccinated with </w:t>
      </w:r>
      <w:r w:rsidR="005568B8">
        <w:t>Prevenar 13</w:t>
      </w:r>
      <w:r w:rsidRPr="006A37CA">
        <w:t xml:space="preserve"> were randomised 2:1 to receive either </w:t>
      </w:r>
      <w:r w:rsidR="006A37CA" w:rsidRPr="006A37CA">
        <w:t>Prevenar 20</w:t>
      </w:r>
      <w:r w:rsidRPr="006A37CA">
        <w:t xml:space="preserve"> or </w:t>
      </w:r>
      <w:r w:rsidR="005568B8">
        <w:t>Prevenar 13</w:t>
      </w:r>
      <w:r w:rsidRPr="006A37CA">
        <w:t>.</w:t>
      </w:r>
    </w:p>
    <w:p w14:paraId="0E3EFF66" w14:textId="6562A903" w:rsidR="008557F6" w:rsidRPr="006A37CA" w:rsidRDefault="008557F6">
      <w:pPr>
        <w:pStyle w:val="ListBullet"/>
      </w:pPr>
      <w:r w:rsidRPr="006A37CA">
        <w:t xml:space="preserve">Cohort B: Approximately 375 subjects who had received </w:t>
      </w:r>
      <w:r w:rsidR="005568B8">
        <w:t>Prevenar 13</w:t>
      </w:r>
      <w:r w:rsidRPr="006A37CA">
        <w:t xml:space="preserve"> </w:t>
      </w:r>
      <w:r w:rsidR="009659E2" w:rsidRPr="006A37CA">
        <w:t xml:space="preserve">for </w:t>
      </w:r>
      <w:r w:rsidRPr="006A37CA">
        <w:t>6 months</w:t>
      </w:r>
      <w:r w:rsidR="009659E2" w:rsidRPr="006A37CA">
        <w:t xml:space="preserve"> or longer</w:t>
      </w:r>
      <w:r w:rsidRPr="006A37CA">
        <w:t xml:space="preserve"> previously, but had not been vaccinated with </w:t>
      </w:r>
      <w:r w:rsidR="00E171F6" w:rsidRPr="006A37CA">
        <w:t>Pneumovax 23</w:t>
      </w:r>
      <w:r w:rsidRPr="006A37CA">
        <w:t xml:space="preserve">, were randomised 2:1 to receive either </w:t>
      </w:r>
      <w:r w:rsidR="006A37CA" w:rsidRPr="006A37CA">
        <w:t>Prevenar 20</w:t>
      </w:r>
      <w:r w:rsidRPr="006A37CA">
        <w:t xml:space="preserve"> or </w:t>
      </w:r>
      <w:r w:rsidR="00E171F6" w:rsidRPr="006A37CA">
        <w:t>Pneumovax 23</w:t>
      </w:r>
      <w:r w:rsidRPr="006A37CA">
        <w:t>.</w:t>
      </w:r>
    </w:p>
    <w:p w14:paraId="21D8A839" w14:textId="14FACB2F" w:rsidR="008557F6" w:rsidRPr="006A37CA" w:rsidRDefault="008557F6">
      <w:pPr>
        <w:pStyle w:val="ListBullet"/>
      </w:pPr>
      <w:r w:rsidRPr="006A37CA">
        <w:t xml:space="preserve">Cohort C: Approximately 125 subjects who had previously received </w:t>
      </w:r>
      <w:r w:rsidR="005568B8">
        <w:t>Prevenar 13</w:t>
      </w:r>
      <w:r w:rsidRPr="006A37CA">
        <w:t xml:space="preserve"> followed by </w:t>
      </w:r>
      <w:r w:rsidR="00E171F6" w:rsidRPr="006A37CA">
        <w:t>Pneumovax 23</w:t>
      </w:r>
      <w:r w:rsidRPr="006A37CA">
        <w:t xml:space="preserve"> were vaccinated with </w:t>
      </w:r>
      <w:r w:rsidR="006A37CA" w:rsidRPr="006A37CA">
        <w:t>Prevenar 20</w:t>
      </w:r>
      <w:r w:rsidRPr="006A37CA">
        <w:t>.</w:t>
      </w:r>
    </w:p>
    <w:p w14:paraId="0FBA6714" w14:textId="74517D8C" w:rsidR="008557F6" w:rsidRPr="006A37CA" w:rsidRDefault="008557F6">
      <w:r w:rsidRPr="006A37CA">
        <w:t xml:space="preserve">Subjects in Cohort A were enrolled at both </w:t>
      </w:r>
      <w:r w:rsidR="0055561A" w:rsidRPr="006A37CA">
        <w:t xml:space="preserve">the </w:t>
      </w:r>
      <w:r w:rsidRPr="006A37CA">
        <w:t>US and Swedish sites, while subjects in Cohorts B and</w:t>
      </w:r>
      <w:r w:rsidR="00E8242F" w:rsidRPr="006A37CA">
        <w:t> </w:t>
      </w:r>
      <w:r w:rsidRPr="006A37CA">
        <w:t xml:space="preserve">C were enrolled only at </w:t>
      </w:r>
      <w:r w:rsidR="0055561A" w:rsidRPr="006A37CA">
        <w:t xml:space="preserve">the </w:t>
      </w:r>
      <w:r w:rsidRPr="006A37CA">
        <w:t xml:space="preserve">US sites, where a routine recommendation for administration of </w:t>
      </w:r>
      <w:r w:rsidR="005568B8">
        <w:t>Prevenar 13</w:t>
      </w:r>
      <w:r w:rsidRPr="006A37CA">
        <w:t xml:space="preserve"> followed by </w:t>
      </w:r>
      <w:r w:rsidR="00E171F6" w:rsidRPr="006A37CA">
        <w:t>Pneumovax 23</w:t>
      </w:r>
      <w:r w:rsidRPr="006A37CA">
        <w:t xml:space="preserve"> </w:t>
      </w:r>
      <w:r w:rsidR="009659E2" w:rsidRPr="006A37CA">
        <w:t>one</w:t>
      </w:r>
      <w:r w:rsidRPr="006A37CA">
        <w:t xml:space="preserve"> year later for all adults 65 years of age and older was introduced in 2014.</w:t>
      </w:r>
    </w:p>
    <w:p w14:paraId="0CD5D710" w14:textId="754A5BE4" w:rsidR="008557F6" w:rsidRPr="006A37CA" w:rsidRDefault="008557F6">
      <w:r w:rsidRPr="006A37CA">
        <w:t xml:space="preserve">The </w:t>
      </w:r>
      <w:r w:rsidR="00E76B1D" w:rsidRPr="006A37CA">
        <w:t xml:space="preserve">clinical </w:t>
      </w:r>
      <w:r w:rsidR="00376E45" w:rsidRPr="006A37CA">
        <w:t>evaluation</w:t>
      </w:r>
      <w:r w:rsidRPr="006A37CA">
        <w:t xml:space="preserve"> highlighted </w:t>
      </w:r>
      <w:r w:rsidR="00CB365D" w:rsidRPr="006A37CA">
        <w:t>sponsor</w:t>
      </w:r>
      <w:r w:rsidRPr="006A37CA">
        <w:t xml:space="preserve"> reports that </w:t>
      </w:r>
      <w:r w:rsidR="00CB365D" w:rsidRPr="006A37CA">
        <w:t>‘</w:t>
      </w:r>
      <w:r w:rsidRPr="006A37CA">
        <w:t xml:space="preserve">studies of </w:t>
      </w:r>
      <w:r w:rsidR="00E171F6" w:rsidRPr="006A37CA">
        <w:t>Pneumovax 23</w:t>
      </w:r>
      <w:r w:rsidRPr="006A37CA">
        <w:t xml:space="preserve"> and </w:t>
      </w:r>
      <w:r w:rsidR="005568B8">
        <w:t>Prevenar 13</w:t>
      </w:r>
      <w:r w:rsidRPr="006A37CA">
        <w:t xml:space="preserve"> have suggested prior pneumococcal vaccination of older adults, particularly with </w:t>
      </w:r>
      <w:r w:rsidR="00E171F6" w:rsidRPr="006A37CA">
        <w:t>Pneumovax 23</w:t>
      </w:r>
      <w:r w:rsidRPr="006A37CA">
        <w:t xml:space="preserve">, may negatively impact immune responses to subsequent doses of pneumococcal vaccine. Therefore, study B7471006 was designed to inform efforts to protect individuals 65 years of age and older with </w:t>
      </w:r>
      <w:r w:rsidR="006A37CA" w:rsidRPr="006A37CA">
        <w:t>Prevenar 20</w:t>
      </w:r>
      <w:r w:rsidRPr="006A37CA">
        <w:t xml:space="preserve">, and describe the safety and immunogenicity of </w:t>
      </w:r>
      <w:r w:rsidR="006A37CA" w:rsidRPr="006A37CA">
        <w:t>Prevenar 20</w:t>
      </w:r>
      <w:r w:rsidRPr="006A37CA">
        <w:t xml:space="preserve"> in subjects previously vaccinated with other pneumococcal vaccines.</w:t>
      </w:r>
      <w:r w:rsidR="00CB365D" w:rsidRPr="006A37CA">
        <w:t>’</w:t>
      </w:r>
    </w:p>
    <w:p w14:paraId="02A82E73" w14:textId="0BE49FA4" w:rsidR="008557F6" w:rsidRPr="006A37CA" w:rsidRDefault="008557F6">
      <w:pPr>
        <w:rPr>
          <w:b/>
          <w:bCs/>
          <w:i/>
          <w:iCs/>
        </w:rPr>
      </w:pPr>
      <w:r w:rsidRPr="006A37CA">
        <w:rPr>
          <w:rStyle w:val="Heading8Char"/>
        </w:rPr>
        <w:t>Primary immunogenicity endpoint</w:t>
      </w:r>
      <w:r w:rsidR="00E8242F" w:rsidRPr="006A37CA">
        <w:rPr>
          <w:rStyle w:val="Heading8Char"/>
        </w:rPr>
        <w:t xml:space="preserve"> - pneumococcal serotype-specific </w:t>
      </w:r>
      <w:r w:rsidR="0055561A" w:rsidRPr="006A37CA">
        <w:rPr>
          <w:rStyle w:val="Heading8Char"/>
        </w:rPr>
        <w:t xml:space="preserve">opsonophagocytic activity </w:t>
      </w:r>
      <w:r w:rsidR="00E8242F" w:rsidRPr="006A37CA">
        <w:rPr>
          <w:rStyle w:val="Heading8Char"/>
        </w:rPr>
        <w:t>titres</w:t>
      </w:r>
    </w:p>
    <w:p w14:paraId="090A96A5" w14:textId="3C3C7F43" w:rsidR="008557F6" w:rsidRPr="006A37CA" w:rsidRDefault="008557F6">
      <w:r w:rsidRPr="006A37CA">
        <w:t xml:space="preserve">The primary immunogenicity endpoints were the 20 pneumococcal serotype-specific OPA titres </w:t>
      </w:r>
      <w:r w:rsidR="009659E2" w:rsidRPr="006A37CA">
        <w:t>one month</w:t>
      </w:r>
      <w:r w:rsidRPr="006A37CA">
        <w:t xml:space="preserve"> after vaccination in the </w:t>
      </w:r>
      <w:r w:rsidR="006A37CA" w:rsidRPr="006A37CA">
        <w:t>Prevenar 20</w:t>
      </w:r>
      <w:r w:rsidRPr="006A37CA">
        <w:t xml:space="preserve"> groups.</w:t>
      </w:r>
    </w:p>
    <w:p w14:paraId="7641F981" w14:textId="51EFF9EE" w:rsidR="008557F6" w:rsidRPr="006A37CA" w:rsidRDefault="008557F6" w:rsidP="00270509">
      <w:pPr>
        <w:pStyle w:val="Heading7"/>
      </w:pPr>
      <w:r w:rsidRPr="006A37CA">
        <w:t>Secondary immunogenicity endpoints</w:t>
      </w:r>
    </w:p>
    <w:p w14:paraId="5C0DB839" w14:textId="267AA5C5" w:rsidR="008557F6" w:rsidRPr="006A37CA" w:rsidRDefault="008557F6">
      <w:pPr>
        <w:pStyle w:val="ListBullet"/>
      </w:pPr>
      <w:r w:rsidRPr="006A37CA">
        <w:t xml:space="preserve">Fold rise in serotype-specific OPA titres from before vaccination to </w:t>
      </w:r>
      <w:r w:rsidR="009659E2" w:rsidRPr="006A37CA">
        <w:t>one month</w:t>
      </w:r>
      <w:r w:rsidRPr="006A37CA">
        <w:t xml:space="preserve"> after vaccination.</w:t>
      </w:r>
    </w:p>
    <w:p w14:paraId="156142B1" w14:textId="38D1CF83" w:rsidR="008557F6" w:rsidRPr="006A37CA" w:rsidRDefault="00E8242F">
      <w:pPr>
        <w:pStyle w:val="ListBullet"/>
      </w:pPr>
      <w:r w:rsidRPr="006A37CA">
        <w:t xml:space="preserve">No less than </w:t>
      </w:r>
      <w:r w:rsidR="008557F6" w:rsidRPr="006A37CA">
        <w:t xml:space="preserve">4-fold rise in serotype-specific OPA titres from before to </w:t>
      </w:r>
      <w:r w:rsidR="009659E2" w:rsidRPr="006A37CA">
        <w:t>one month</w:t>
      </w:r>
      <w:r w:rsidR="008557F6" w:rsidRPr="006A37CA">
        <w:t xml:space="preserve"> after vaccination.</w:t>
      </w:r>
    </w:p>
    <w:p w14:paraId="4F484DED" w14:textId="12D48C61" w:rsidR="008557F6" w:rsidRPr="006A37CA" w:rsidRDefault="008557F6">
      <w:pPr>
        <w:pStyle w:val="ListBullet"/>
      </w:pPr>
      <w:r w:rsidRPr="006A37CA">
        <w:lastRenderedPageBreak/>
        <w:t xml:space="preserve">Serotype-specific OPA titre ≥ </w:t>
      </w:r>
      <w:r w:rsidR="006A37CA" w:rsidRPr="006A37CA">
        <w:t>lower limit of quantitation (</w:t>
      </w:r>
      <w:r w:rsidRPr="006A37CA">
        <w:t>LLOQ</w:t>
      </w:r>
      <w:r w:rsidR="006A37CA" w:rsidRPr="006A37CA">
        <w:t>)</w:t>
      </w:r>
      <w:r w:rsidRPr="006A37CA">
        <w:t xml:space="preserve"> </w:t>
      </w:r>
      <w:r w:rsidR="009659E2" w:rsidRPr="006A37CA">
        <w:t>one month</w:t>
      </w:r>
      <w:r w:rsidRPr="006A37CA">
        <w:t xml:space="preserve"> after vaccination.</w:t>
      </w:r>
    </w:p>
    <w:p w14:paraId="23E25DD5" w14:textId="491E796D" w:rsidR="008557F6" w:rsidRPr="006A37CA" w:rsidRDefault="008557F6" w:rsidP="00270509">
      <w:pPr>
        <w:pStyle w:val="Heading7"/>
      </w:pPr>
      <w:r w:rsidRPr="006A37CA">
        <w:t>Exploratory immunogenicity endpoints</w:t>
      </w:r>
    </w:p>
    <w:p w14:paraId="3E367AF6" w14:textId="3E56EC0F" w:rsidR="008557F6" w:rsidRPr="006A37CA" w:rsidRDefault="00E8242F">
      <w:pPr>
        <w:pStyle w:val="ListBullet"/>
      </w:pPr>
      <w:r w:rsidRPr="006A37CA">
        <w:t xml:space="preserve">No less than </w:t>
      </w:r>
      <w:r w:rsidR="008557F6" w:rsidRPr="006A37CA">
        <w:t xml:space="preserve">4-fold rise in pneumococcal serotype 15C OPA titres from before to </w:t>
      </w:r>
      <w:r w:rsidR="009659E2" w:rsidRPr="006A37CA">
        <w:t>one month</w:t>
      </w:r>
      <w:r w:rsidR="008557F6" w:rsidRPr="006A37CA">
        <w:t xml:space="preserve"> after vaccination.</w:t>
      </w:r>
    </w:p>
    <w:p w14:paraId="4B180D41" w14:textId="7344C3A3" w:rsidR="008557F6" w:rsidRPr="006A37CA" w:rsidRDefault="008557F6">
      <w:pPr>
        <w:pStyle w:val="ListBullet"/>
      </w:pPr>
      <w:r w:rsidRPr="006A37CA">
        <w:t xml:space="preserve">Pneumococcal serotype 15C OPA titre ≥ LLOQ </w:t>
      </w:r>
      <w:r w:rsidR="009659E2" w:rsidRPr="006A37CA">
        <w:t>one month</w:t>
      </w:r>
      <w:r w:rsidRPr="006A37CA">
        <w:t xml:space="preserve"> after vaccination.</w:t>
      </w:r>
    </w:p>
    <w:p w14:paraId="74C140F0" w14:textId="47A10814" w:rsidR="008557F6" w:rsidRPr="006A37CA" w:rsidRDefault="008557F6">
      <w:pPr>
        <w:pStyle w:val="ListBullet"/>
      </w:pPr>
      <w:r w:rsidRPr="006A37CA">
        <w:t xml:space="preserve">Pneumococcal serotype 15C OPA titre </w:t>
      </w:r>
      <w:r w:rsidR="009659E2" w:rsidRPr="006A37CA">
        <w:t>one month</w:t>
      </w:r>
      <w:r w:rsidRPr="006A37CA">
        <w:t xml:space="preserve"> after vaccination.</w:t>
      </w:r>
    </w:p>
    <w:p w14:paraId="599EBCA9" w14:textId="623A9C29" w:rsidR="008557F6" w:rsidRPr="006A37CA" w:rsidRDefault="008557F6">
      <w:pPr>
        <w:pStyle w:val="ListBullet"/>
      </w:pPr>
      <w:r w:rsidRPr="006A37CA">
        <w:t xml:space="preserve">Fold rise in pneumococcal serotype 15C OPA titre from before to </w:t>
      </w:r>
      <w:r w:rsidR="009659E2" w:rsidRPr="006A37CA">
        <w:t>one month</w:t>
      </w:r>
      <w:r w:rsidRPr="006A37CA">
        <w:t xml:space="preserve"> after vaccination.</w:t>
      </w:r>
    </w:p>
    <w:p w14:paraId="39B873C4" w14:textId="1742C963" w:rsidR="008557F6" w:rsidRPr="006A37CA" w:rsidRDefault="008557F6" w:rsidP="00270509">
      <w:pPr>
        <w:pStyle w:val="Heading7"/>
      </w:pPr>
      <w:r w:rsidRPr="006A37CA">
        <w:t>Primary immunogenicity endpoint - pneumococcal serotype-specific OPA GMTs</w:t>
      </w:r>
    </w:p>
    <w:p w14:paraId="743DEDE8" w14:textId="719E3CEA" w:rsidR="008557F6" w:rsidRPr="006A37CA" w:rsidRDefault="008557F6">
      <w:r w:rsidRPr="006A37CA">
        <w:t xml:space="preserve">Immune responses to all 20 vaccine serotypes were observed </w:t>
      </w:r>
      <w:r w:rsidR="009659E2" w:rsidRPr="006A37CA">
        <w:t>one month</w:t>
      </w:r>
      <w:r w:rsidRPr="006A37CA">
        <w:t xml:space="preserve"> after </w:t>
      </w:r>
      <w:r w:rsidR="006A37CA" w:rsidRPr="006A37CA">
        <w:t>Prevenar 20</w:t>
      </w:r>
      <w:r w:rsidRPr="006A37CA">
        <w:t xml:space="preserve">, based on OPA GMTs in all 3 cohorts in the evaluable immunogenicity population regardless of prior pneumococcal vaccine (see </w:t>
      </w:r>
      <w:r w:rsidR="0055561A" w:rsidRPr="006A37CA">
        <w:fldChar w:fldCharType="begin"/>
      </w:r>
      <w:r w:rsidR="0055561A" w:rsidRPr="006A37CA">
        <w:instrText xml:space="preserve"> REF _Ref132114312 \h  \* MERGEFORMAT </w:instrText>
      </w:r>
      <w:r w:rsidR="0055561A" w:rsidRPr="006A37CA">
        <w:fldChar w:fldCharType="separate"/>
      </w:r>
      <w:r w:rsidR="00AC74BD" w:rsidRPr="00AC74BD">
        <w:t xml:space="preserve">Table </w:t>
      </w:r>
      <w:r w:rsidR="00AC74BD">
        <w:t>7</w:t>
      </w:r>
      <w:r w:rsidR="0055561A" w:rsidRPr="006A37CA">
        <w:fldChar w:fldCharType="end"/>
      </w:r>
      <w:r w:rsidR="0055561A" w:rsidRPr="006A37CA">
        <w:t xml:space="preserve"> below</w:t>
      </w:r>
      <w:r w:rsidRPr="006A37CA">
        <w:t>).</w:t>
      </w:r>
    </w:p>
    <w:p w14:paraId="7E7712AC" w14:textId="410501A7" w:rsidR="0055561A" w:rsidRPr="00AC74BD" w:rsidRDefault="0055561A" w:rsidP="00AC74BD">
      <w:pPr>
        <w:pStyle w:val="TableTitle0"/>
      </w:pPr>
      <w:bookmarkStart w:id="62" w:name="_Ref132114312"/>
      <w:r w:rsidRPr="00AC74BD">
        <w:lastRenderedPageBreak/>
        <w:t xml:space="preserve">Table </w:t>
      </w:r>
      <w:fldSimple w:instr=" SEQ Table \* ARABIC ">
        <w:r w:rsidR="00AC74BD">
          <w:rPr>
            <w:noProof/>
          </w:rPr>
          <w:t>7</w:t>
        </w:r>
      </w:fldSimple>
      <w:bookmarkEnd w:id="62"/>
      <w:r w:rsidRPr="00AC74BD">
        <w:t xml:space="preserve">: Study B7471006 Pneumococcal </w:t>
      </w:r>
      <w:r w:rsidR="009253BF" w:rsidRPr="00AC74BD">
        <w:t>opsonophagocytic activity geometric mean titres</w:t>
      </w:r>
      <w:r w:rsidR="00C2097E" w:rsidRPr="00AC74BD">
        <w:t xml:space="preserve"> (</w:t>
      </w:r>
      <w:r w:rsidRPr="00AC74BD">
        <w:t>evaluable immunogenicity population</w:t>
      </w:r>
      <w:r w:rsidR="00C2097E" w:rsidRPr="00AC74BD">
        <w:t>)</w:t>
      </w:r>
    </w:p>
    <w:p w14:paraId="49891D04" w14:textId="19847894" w:rsidR="00C2097E" w:rsidRDefault="00C2097E">
      <w:r>
        <w:rPr>
          <w:noProof/>
          <w:lang w:val="en-GB" w:eastAsia="en-GB"/>
        </w:rPr>
        <w:drawing>
          <wp:inline distT="0" distB="0" distL="0" distR="0" wp14:anchorId="7192DE7C" wp14:editId="12F487F0">
            <wp:extent cx="5535417" cy="7064828"/>
            <wp:effectExtent l="0" t="0" r="8255" b="3175"/>
            <wp:docPr id="9" name="Picture 9" descr="Table 7: Study B7471006 Pneumococcal opsonophagocytic activity geometric mean titre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7: Study B7471006 Pneumococcal opsonophagocytic activity geometric mean titres (evaluable immunogenicity population)"/>
                    <pic:cNvPicPr/>
                  </pic:nvPicPr>
                  <pic:blipFill>
                    <a:blip r:embed="rId30"/>
                    <a:stretch>
                      <a:fillRect/>
                    </a:stretch>
                  </pic:blipFill>
                  <pic:spPr>
                    <a:xfrm>
                      <a:off x="0" y="0"/>
                      <a:ext cx="5540031" cy="7070717"/>
                    </a:xfrm>
                    <a:prstGeom prst="rect">
                      <a:avLst/>
                    </a:prstGeom>
                  </pic:spPr>
                </pic:pic>
              </a:graphicData>
            </a:graphic>
          </wp:inline>
        </w:drawing>
      </w:r>
    </w:p>
    <w:p w14:paraId="37EA4D19" w14:textId="77777777" w:rsidR="00C2097E" w:rsidRDefault="00C2097E">
      <w:pPr>
        <w:pStyle w:val="TableTitle0"/>
      </w:pPr>
      <w:r>
        <w:br w:type="page"/>
      </w:r>
    </w:p>
    <w:p w14:paraId="0A129604" w14:textId="2FC13A03" w:rsidR="00C2097E" w:rsidRPr="00AC74BD" w:rsidRDefault="00C2097E" w:rsidP="00AC74BD">
      <w:pPr>
        <w:pStyle w:val="TableTitle0"/>
      </w:pPr>
      <w:r w:rsidRPr="00AC74BD">
        <w:lastRenderedPageBreak/>
        <w:fldChar w:fldCharType="begin"/>
      </w:r>
      <w:r w:rsidRPr="00AC74BD">
        <w:instrText xml:space="preserve"> REF _Ref132114312 \h  \* MERGEFORMAT </w:instrText>
      </w:r>
      <w:r w:rsidRPr="00AC74BD">
        <w:fldChar w:fldCharType="separate"/>
      </w:r>
      <w:r w:rsidR="00AC74BD" w:rsidRPr="00AC74BD">
        <w:t xml:space="preserve">Table </w:t>
      </w:r>
      <w:r w:rsidR="00AC74BD">
        <w:t>7</w:t>
      </w:r>
      <w:r w:rsidRPr="00AC74BD">
        <w:fldChar w:fldCharType="end"/>
      </w:r>
      <w:r w:rsidRPr="00AC74BD">
        <w:t xml:space="preserve"> </w:t>
      </w:r>
      <w:r w:rsidR="005568B8" w:rsidRPr="00AC74BD">
        <w:t>(</w:t>
      </w:r>
      <w:r w:rsidRPr="00AC74BD">
        <w:t>continued</w:t>
      </w:r>
      <w:r w:rsidR="005568B8" w:rsidRPr="00AC74BD">
        <w:t>)</w:t>
      </w:r>
      <w:r w:rsidRPr="00AC74BD">
        <w:t>: Study B7471006 Pneumococcal opsonophagocytic activity geometric mean titres (evaluable immunogenicity population)</w:t>
      </w:r>
    </w:p>
    <w:p w14:paraId="296A3BDF" w14:textId="7C1DD540" w:rsidR="0055561A" w:rsidRPr="006A37CA" w:rsidRDefault="00C2097E">
      <w:pPr>
        <w:autoSpaceDE w:val="0"/>
        <w:autoSpaceDN w:val="0"/>
        <w:adjustRightInd w:val="0"/>
        <w:spacing w:after="0" w:line="240" w:lineRule="auto"/>
        <w:rPr>
          <w:rFonts w:asciiTheme="minorHAnsi" w:eastAsia="TimesNewRoman" w:hAnsiTheme="minorHAnsi" w:cs="TimesNewRoman"/>
          <w:b/>
          <w:sz w:val="18"/>
          <w:szCs w:val="18"/>
        </w:rPr>
      </w:pPr>
      <w:r>
        <w:rPr>
          <w:noProof/>
          <w:lang w:val="en-GB" w:eastAsia="en-GB"/>
        </w:rPr>
        <w:drawing>
          <wp:inline distT="0" distB="0" distL="0" distR="0" wp14:anchorId="1F8AF59B" wp14:editId="7D239B44">
            <wp:extent cx="5535386" cy="3754542"/>
            <wp:effectExtent l="0" t="0" r="8255" b="0"/>
            <wp:docPr id="10" name="Picture 10" descr="Table 7 (continued): Study B7471006 Pneumococcal opsonophagocytic activity geometric mean titre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7 (continued): Study B7471006 Pneumococcal opsonophagocytic activity geometric mean titres (evaluable immunogenicity population)"/>
                    <pic:cNvPicPr/>
                  </pic:nvPicPr>
                  <pic:blipFill>
                    <a:blip r:embed="rId31"/>
                    <a:stretch>
                      <a:fillRect/>
                    </a:stretch>
                  </pic:blipFill>
                  <pic:spPr>
                    <a:xfrm>
                      <a:off x="0" y="0"/>
                      <a:ext cx="5540498" cy="3758009"/>
                    </a:xfrm>
                    <a:prstGeom prst="rect">
                      <a:avLst/>
                    </a:prstGeom>
                  </pic:spPr>
                </pic:pic>
              </a:graphicData>
            </a:graphic>
          </wp:inline>
        </w:drawing>
      </w:r>
    </w:p>
    <w:p w14:paraId="35C93E0A" w14:textId="268C526F" w:rsidR="00C2097E" w:rsidRPr="00AC74BD" w:rsidRDefault="00C2097E" w:rsidP="00AC74BD">
      <w:pPr>
        <w:pStyle w:val="Tabledescription"/>
      </w:pPr>
      <w:r w:rsidRPr="00AC74BD">
        <w:t>Abbreviations: CI = confidence interval; GMT = geometric mean titre; OPA = opsonophagocytic activity; 20vPnC = 20</w:t>
      </w:r>
      <w:r w:rsidRPr="00AC74BD">
        <w:noBreakHyphen/>
        <w:t>valent pneumococcal conjugate vaccine.</w:t>
      </w:r>
    </w:p>
    <w:p w14:paraId="045DC3D4" w14:textId="4AF46264" w:rsidR="00C2097E" w:rsidRPr="00AC74BD" w:rsidRDefault="00C2097E" w:rsidP="00AC74BD">
      <w:pPr>
        <w:pStyle w:val="Tabledescription"/>
      </w:pPr>
      <w:r w:rsidRPr="00AC74BD">
        <w:t>Note: Assay results below the lower limit of quantitation (LLOQ) were set to 0.5 x LLOQ in the analysis.</w:t>
      </w:r>
    </w:p>
    <w:p w14:paraId="1C2E465A" w14:textId="77777777" w:rsidR="00C2097E" w:rsidRPr="00AC74BD" w:rsidRDefault="00C2097E" w:rsidP="00AC74BD">
      <w:pPr>
        <w:pStyle w:val="Tabledescription"/>
      </w:pPr>
      <w:r w:rsidRPr="00AC74BD">
        <w:t>a. n = Number of subjects with valid and determinate assay results for the given serotype at the specified time point.</w:t>
      </w:r>
    </w:p>
    <w:p w14:paraId="02DA2123" w14:textId="2A050745" w:rsidR="00C2097E" w:rsidRPr="00AC74BD" w:rsidRDefault="00C2097E" w:rsidP="00AC74BD">
      <w:pPr>
        <w:pStyle w:val="Tabledescription"/>
      </w:pPr>
      <w:r w:rsidRPr="00AC74BD">
        <w:t>b. Geometric mean titres and 2-sided CIs were calculated by exponentiating the mean logarithm of the titres and the corresponding CIs (based on the student t-distribution).</w:t>
      </w:r>
    </w:p>
    <w:p w14:paraId="06DCD6F8" w14:textId="6D0F3D76" w:rsidR="008557F6" w:rsidRPr="006A37CA" w:rsidRDefault="008557F6">
      <w:r w:rsidRPr="006A37CA">
        <w:t xml:space="preserve">At </w:t>
      </w:r>
      <w:r w:rsidR="009659E2" w:rsidRPr="006A37CA">
        <w:t>Baseline</w:t>
      </w:r>
      <w:r w:rsidRPr="006A37CA">
        <w:t xml:space="preserve">, OPA GMTs for the </w:t>
      </w:r>
      <w:r w:rsidR="005568B8">
        <w:t>Prevenar 13</w:t>
      </w:r>
      <w:r w:rsidRPr="006A37CA">
        <w:t xml:space="preserve"> serotypes were generally numerically highest in Cohort</w:t>
      </w:r>
      <w:r w:rsidR="00E8242F" w:rsidRPr="006A37CA">
        <w:t> </w:t>
      </w:r>
      <w:r w:rsidRPr="006A37CA">
        <w:t xml:space="preserve">C (prior </w:t>
      </w:r>
      <w:r w:rsidR="005568B8">
        <w:t>Prevenar 13</w:t>
      </w:r>
      <w:r w:rsidRPr="006A37CA">
        <w:t xml:space="preserve"> and </w:t>
      </w:r>
      <w:r w:rsidR="00E171F6" w:rsidRPr="006A37CA">
        <w:t>Pneumovax 23</w:t>
      </w:r>
      <w:r w:rsidRPr="006A37CA">
        <w:t xml:space="preserve">), ranging from 20.5 (serotype 3) to 352.4 (serotype 9V), followed by Cohort B (prior </w:t>
      </w:r>
      <w:r w:rsidR="005568B8">
        <w:t>Prevenar 13</w:t>
      </w:r>
      <w:r w:rsidRPr="006A37CA">
        <w:t xml:space="preserve"> only), ranging from 15.4 (serotype 3) to 339.2 (serotype 9V). Baseline GMTs were lowest in Cohort A (prior </w:t>
      </w:r>
      <w:r w:rsidR="00E171F6" w:rsidRPr="006A37CA">
        <w:t>Pneumovax 23</w:t>
      </w:r>
      <w:r w:rsidRPr="006A37CA">
        <w:t xml:space="preserve"> only), ranging from 12.8 (serotype 3) to 212.1 (serotype 14).</w:t>
      </w:r>
    </w:p>
    <w:p w14:paraId="612F9AF8" w14:textId="6499DA07" w:rsidR="008557F6" w:rsidRPr="006A37CA" w:rsidRDefault="008557F6">
      <w:r w:rsidRPr="006A37CA">
        <w:t xml:space="preserve">At </w:t>
      </w:r>
      <w:r w:rsidR="009659E2" w:rsidRPr="006A37CA">
        <w:t>Baseline</w:t>
      </w:r>
      <w:r w:rsidRPr="006A37CA">
        <w:t>, OPA GMTs for the 7</w:t>
      </w:r>
      <w:r w:rsidR="00E76B1D" w:rsidRPr="006A37CA">
        <w:t xml:space="preserve"> </w:t>
      </w:r>
      <w:r w:rsidRPr="006A37CA">
        <w:t xml:space="preserve">additional serotypes were generally numerically highest in subjects in Cohort C (prior </w:t>
      </w:r>
      <w:r w:rsidR="005568B8">
        <w:t>Prevenar 13</w:t>
      </w:r>
      <w:r w:rsidRPr="006A37CA">
        <w:t xml:space="preserve"> and </w:t>
      </w:r>
      <w:r w:rsidR="00E171F6" w:rsidRPr="006A37CA">
        <w:t>Pneumovax 23</w:t>
      </w:r>
      <w:r w:rsidRPr="006A37CA">
        <w:t xml:space="preserve">), ranging from 138.8 (serotype 8) to 1352.8 (serotype 33F), followed by subjects in Cohort A (prior </w:t>
      </w:r>
      <w:r w:rsidR="00E171F6" w:rsidRPr="006A37CA">
        <w:t>Pneumovax 23</w:t>
      </w:r>
      <w:r w:rsidRPr="006A37CA">
        <w:t xml:space="preserve"> only), ranging from 55.4 (serotype 8) to 1128.8 (serotype 33F). Baseline OPA GMTs were lowest in subjects in Cohort B (prior </w:t>
      </w:r>
      <w:r w:rsidR="005568B8">
        <w:t>Prevenar 13</w:t>
      </w:r>
      <w:r w:rsidRPr="006A37CA">
        <w:t xml:space="preserve"> only), ranging from 27.9 (serotype 8) to 605.8 (serotype 33F).</w:t>
      </w:r>
    </w:p>
    <w:p w14:paraId="43CB2D62" w14:textId="3D17BF14" w:rsidR="008557F6" w:rsidRPr="006A37CA" w:rsidRDefault="008557F6">
      <w:r w:rsidRPr="006A37CA">
        <w:t xml:space="preserve">At </w:t>
      </w:r>
      <w:r w:rsidR="009659E2" w:rsidRPr="006A37CA">
        <w:t>one month</w:t>
      </w:r>
      <w:r w:rsidRPr="006A37CA">
        <w:t xml:space="preserve"> after </w:t>
      </w:r>
      <w:r w:rsidR="006A37CA" w:rsidRPr="006A37CA">
        <w:t>Prevenar 20</w:t>
      </w:r>
      <w:r w:rsidRPr="006A37CA">
        <w:t xml:space="preserve">, OPA GMTs for most of the 20 vaccine serotypes tended to be numerically highest in subjects in Cohort B (prior </w:t>
      </w:r>
      <w:r w:rsidR="005568B8">
        <w:t>Prevenar 13</w:t>
      </w:r>
      <w:r w:rsidRPr="006A37CA">
        <w:t xml:space="preserve"> only), ranging from 54.3 (serotype 3) to 4156.5 (serotype 22F) and lowest in subjects in Cohort A (prior </w:t>
      </w:r>
      <w:r w:rsidR="00E171F6" w:rsidRPr="006A37CA">
        <w:t>Pneumovax 23</w:t>
      </w:r>
      <w:r w:rsidRPr="006A37CA">
        <w:t xml:space="preserve"> only), ranging from 31.1 (serotype 3) to 2026.2 (serotype 33F). OPA GMTs in subjects in Cohort 3 (prior </w:t>
      </w:r>
      <w:r w:rsidR="005568B8">
        <w:t>Prevenar 13</w:t>
      </w:r>
      <w:r w:rsidRPr="006A37CA">
        <w:t xml:space="preserve"> and </w:t>
      </w:r>
      <w:r w:rsidR="00E171F6" w:rsidRPr="006A37CA">
        <w:t>Pneumovax 23</w:t>
      </w:r>
      <w:r w:rsidRPr="006A37CA">
        <w:t>) generally fell between the two other cohorts and ranged from 39.3 (serotype 3) to 2717.8 (serotype 22F).</w:t>
      </w:r>
    </w:p>
    <w:p w14:paraId="6498D3E7" w14:textId="6F6EB04F" w:rsidR="008557F6" w:rsidRPr="006A37CA" w:rsidRDefault="008557F6" w:rsidP="00270509">
      <w:pPr>
        <w:pStyle w:val="Heading7"/>
        <w:rPr>
          <w:rFonts w:eastAsia="TimesNewRoman"/>
        </w:rPr>
      </w:pPr>
      <w:r w:rsidRPr="006A37CA">
        <w:rPr>
          <w:rFonts w:eastAsia="TimesNewRoman"/>
        </w:rPr>
        <w:lastRenderedPageBreak/>
        <w:t xml:space="preserve">Secondary immunogenicity endpoints </w:t>
      </w:r>
      <w:r w:rsidR="00E8242F" w:rsidRPr="006A37CA">
        <w:rPr>
          <w:rFonts w:eastAsia="TimesNewRoman"/>
        </w:rPr>
        <w:t xml:space="preserve">in </w:t>
      </w:r>
      <w:r w:rsidRPr="006A37CA">
        <w:rPr>
          <w:rFonts w:eastAsia="TimesNewRoman"/>
        </w:rPr>
        <w:t>evaluable immunogenicity population</w:t>
      </w:r>
    </w:p>
    <w:p w14:paraId="560633D0" w14:textId="2BA3A98B" w:rsidR="008557F6" w:rsidRPr="009253BF" w:rsidRDefault="008557F6" w:rsidP="00270509">
      <w:pPr>
        <w:pStyle w:val="Heading8"/>
      </w:pPr>
      <w:r w:rsidRPr="009253BF">
        <w:t xml:space="preserve">Fold-rise in serotype-specific </w:t>
      </w:r>
      <w:r w:rsidR="009253BF">
        <w:t>o</w:t>
      </w:r>
      <w:r w:rsidR="009253BF" w:rsidRPr="009253BF">
        <w:t xml:space="preserve">psonophagocytic activity </w:t>
      </w:r>
      <w:r w:rsidRPr="009253BF">
        <w:t xml:space="preserve">titres at </w:t>
      </w:r>
      <w:r w:rsidR="009659E2" w:rsidRPr="009253BF">
        <w:t>one month</w:t>
      </w:r>
      <w:r w:rsidRPr="009253BF">
        <w:t xml:space="preserve"> after vaccination</w:t>
      </w:r>
    </w:p>
    <w:p w14:paraId="46FE85CF" w14:textId="34D8A26B" w:rsidR="008557F6" w:rsidRPr="006A37CA" w:rsidRDefault="008557F6">
      <w:r w:rsidRPr="006A37CA">
        <w:t xml:space="preserve">Increases in OPA titres for all 20 vaccine serotypes were observed based on OPA GMFRs from before to </w:t>
      </w:r>
      <w:r w:rsidR="009659E2" w:rsidRPr="006A37CA">
        <w:t>one month</w:t>
      </w:r>
      <w:r w:rsidRPr="006A37CA">
        <w:t xml:space="preserve"> after vaccination with </w:t>
      </w:r>
      <w:r w:rsidR="006A37CA" w:rsidRPr="006A37CA">
        <w:t>Prevenar 20</w:t>
      </w:r>
      <w:r w:rsidRPr="006A37CA">
        <w:t xml:space="preserve"> in all 3 cohorts, regardless of prior pneumococcal vaccination.</w:t>
      </w:r>
    </w:p>
    <w:p w14:paraId="2D602879" w14:textId="6CE038C0" w:rsidR="008557F6" w:rsidRPr="006A37CA" w:rsidRDefault="008557F6">
      <w:r w:rsidRPr="006A37CA">
        <w:t xml:space="preserve">For the </w:t>
      </w:r>
      <w:r w:rsidR="005568B8">
        <w:t>Prevenar 13</w:t>
      </w:r>
      <w:r w:rsidRPr="006A37CA">
        <w:t xml:space="preserve"> vaccine serotypes, GMFRs appeared to be generally highest in Cohort B (prior </w:t>
      </w:r>
      <w:r w:rsidR="005568B8">
        <w:t>Prevenar 13</w:t>
      </w:r>
      <w:r w:rsidRPr="006A37CA">
        <w:t xml:space="preserve"> only), ranging from 2.3 (serotypes 5 and 14) to 9.3 (serotype 23F), followed by Cohort</w:t>
      </w:r>
      <w:r w:rsidR="00E8242F" w:rsidRPr="006A37CA">
        <w:t xml:space="preserve"> </w:t>
      </w:r>
      <w:r w:rsidRPr="006A37CA">
        <w:t xml:space="preserve">A (prior </w:t>
      </w:r>
      <w:r w:rsidR="00E171F6" w:rsidRPr="006A37CA">
        <w:t>Pneumovax 23</w:t>
      </w:r>
      <w:r w:rsidRPr="006A37CA">
        <w:t xml:space="preserve"> only), ranging from 1.8 (serotype 14) to 12.6 (serotype 6A), and lowest in Cohort</w:t>
      </w:r>
      <w:r w:rsidR="00E8242F" w:rsidRPr="006A37CA">
        <w:t> </w:t>
      </w:r>
      <w:r w:rsidRPr="006A37CA">
        <w:t xml:space="preserve">C (prior </w:t>
      </w:r>
      <w:r w:rsidR="005568B8">
        <w:t>Prevenar 13</w:t>
      </w:r>
      <w:r w:rsidRPr="006A37CA">
        <w:t xml:space="preserve"> and </w:t>
      </w:r>
      <w:r w:rsidR="00E171F6" w:rsidRPr="006A37CA">
        <w:t>Pneumovax 23</w:t>
      </w:r>
      <w:r w:rsidRPr="006A37CA">
        <w:t>), ranging from 1.6 (serotype 7F) to 6.5 (serotype 6A).</w:t>
      </w:r>
    </w:p>
    <w:p w14:paraId="017FDFC6" w14:textId="79A6CF52" w:rsidR="008557F6" w:rsidRPr="006A37CA" w:rsidRDefault="008557F6">
      <w:r w:rsidRPr="006A37CA">
        <w:t>For the 7</w:t>
      </w:r>
      <w:r w:rsidR="00E76B1D" w:rsidRPr="006A37CA">
        <w:t xml:space="preserve"> </w:t>
      </w:r>
      <w:r w:rsidRPr="006A37CA">
        <w:t xml:space="preserve">additional </w:t>
      </w:r>
      <w:r w:rsidR="00E171F6" w:rsidRPr="006A37CA">
        <w:t>Pneumovax 23</w:t>
      </w:r>
      <w:r w:rsidRPr="006A37CA">
        <w:t xml:space="preserve"> vaccine serotypes, GMFRs were higher in subjects in Cohort</w:t>
      </w:r>
      <w:r w:rsidR="00E8242F" w:rsidRPr="006A37CA">
        <w:t> </w:t>
      </w:r>
      <w:r w:rsidRPr="006A37CA">
        <w:t xml:space="preserve">B (prior </w:t>
      </w:r>
      <w:r w:rsidR="005568B8">
        <w:t>Prevenar 13</w:t>
      </w:r>
      <w:r w:rsidRPr="006A37CA">
        <w:t xml:space="preserve"> only), who were naïve to these vaccine serotypes prior to receiving </w:t>
      </w:r>
      <w:r w:rsidR="006A37CA" w:rsidRPr="006A37CA">
        <w:t>Prevenar 20</w:t>
      </w:r>
      <w:r w:rsidRPr="006A37CA">
        <w:t>, ranging from 5.4 (serotype 33F) to 66.9 (serotype 22F) than in subjects in Cohort</w:t>
      </w:r>
      <w:r w:rsidR="00E8242F" w:rsidRPr="006A37CA">
        <w:t> </w:t>
      </w:r>
      <w:r w:rsidRPr="006A37CA">
        <w:t xml:space="preserve">A (prior </w:t>
      </w:r>
      <w:r w:rsidR="00E171F6" w:rsidRPr="006A37CA">
        <w:t>Pneumovax 23</w:t>
      </w:r>
      <w:r w:rsidRPr="006A37CA">
        <w:t xml:space="preserve"> only), ranging from 1.8 (serotype 33F) to 11.1 (serotype 22F), and in subjects in Cohort C (prior </w:t>
      </w:r>
      <w:r w:rsidR="005568B8">
        <w:t>Prevenar 13</w:t>
      </w:r>
      <w:r w:rsidRPr="006A37CA">
        <w:t xml:space="preserve"> and </w:t>
      </w:r>
      <w:r w:rsidR="00E171F6" w:rsidRPr="006A37CA">
        <w:t>Pneumovax 23</w:t>
      </w:r>
      <w:r w:rsidRPr="006A37CA">
        <w:t>), ranging from 1.8 (serotype 33F) to 9.8 (serotype 22F).</w:t>
      </w:r>
    </w:p>
    <w:p w14:paraId="21B85751" w14:textId="2F92FB1D" w:rsidR="008557F6" w:rsidRPr="006A37CA" w:rsidRDefault="00F602CA" w:rsidP="00270509">
      <w:pPr>
        <w:pStyle w:val="Heading7"/>
      </w:pPr>
      <w:r w:rsidRPr="006A37CA">
        <w:t>Results</w:t>
      </w:r>
    </w:p>
    <w:p w14:paraId="37FA9498" w14:textId="764E9D41" w:rsidR="008557F6" w:rsidRPr="006A37CA" w:rsidRDefault="008557F6" w:rsidP="00CB365D">
      <w:pPr>
        <w:pStyle w:val="ListBullet"/>
      </w:pPr>
      <w:r w:rsidRPr="006A37CA">
        <w:t xml:space="preserve">Immune responses to all 20 vaccine serotypes were observed </w:t>
      </w:r>
      <w:r w:rsidR="009659E2" w:rsidRPr="006A37CA">
        <w:t>one month</w:t>
      </w:r>
      <w:r w:rsidRPr="006A37CA">
        <w:t xml:space="preserve"> after </w:t>
      </w:r>
      <w:r w:rsidR="006A37CA" w:rsidRPr="006A37CA">
        <w:t>Prevenar 20</w:t>
      </w:r>
      <w:r w:rsidRPr="006A37CA">
        <w:t xml:space="preserve"> in adults 65 years of age </w:t>
      </w:r>
      <w:r w:rsidR="009659E2" w:rsidRPr="006A37CA">
        <w:t xml:space="preserve">and over </w:t>
      </w:r>
      <w:r w:rsidRPr="006A37CA">
        <w:t xml:space="preserve">as assessed by OPA GMTs, GMFRs, proportions of subjects with a </w:t>
      </w:r>
      <w:r w:rsidR="002E1DCB" w:rsidRPr="006A37CA">
        <w:t xml:space="preserve">no less than </w:t>
      </w:r>
      <w:r w:rsidRPr="006A37CA">
        <w:t>4-fold-rise in OPA titres, and proportions of subjects with OPA titres</w:t>
      </w:r>
      <w:r w:rsidR="002E1DCB" w:rsidRPr="006A37CA">
        <w:t> </w:t>
      </w:r>
      <w:r w:rsidRPr="006A37CA">
        <w:t>≥</w:t>
      </w:r>
      <w:r w:rsidR="002E1DCB" w:rsidRPr="006A37CA">
        <w:t> </w:t>
      </w:r>
      <w:r w:rsidRPr="006A37CA">
        <w:t>LLOQ in all three cohorts.</w:t>
      </w:r>
    </w:p>
    <w:p w14:paraId="23236C37" w14:textId="4C1B9B06" w:rsidR="008557F6" w:rsidRPr="006A37CA" w:rsidRDefault="0055561A" w:rsidP="00CB365D">
      <w:pPr>
        <w:pStyle w:val="ListBullet"/>
      </w:pPr>
      <w:r w:rsidRPr="006A37CA">
        <w:t xml:space="preserve">Opsonophagocytic activity </w:t>
      </w:r>
      <w:r w:rsidR="008557F6" w:rsidRPr="006A37CA">
        <w:t xml:space="preserve">GMTs to the 20 vaccine serotypes at </w:t>
      </w:r>
      <w:r w:rsidR="009659E2" w:rsidRPr="006A37CA">
        <w:t>one month</w:t>
      </w:r>
      <w:r w:rsidR="008557F6" w:rsidRPr="006A37CA">
        <w:t xml:space="preserve"> after </w:t>
      </w:r>
      <w:r w:rsidR="006A37CA" w:rsidRPr="006A37CA">
        <w:t>Prevenar 20</w:t>
      </w:r>
      <w:r w:rsidR="008557F6" w:rsidRPr="006A37CA">
        <w:t xml:space="preserve"> tended to be numerically highest in subjects who had previously received </w:t>
      </w:r>
      <w:r w:rsidR="005568B8">
        <w:t>Prevenar 13</w:t>
      </w:r>
      <w:r w:rsidR="008557F6" w:rsidRPr="006A37CA">
        <w:t xml:space="preserve"> only, followed by those who had previously received both </w:t>
      </w:r>
      <w:r w:rsidR="005568B8">
        <w:t>Prevenar 13</w:t>
      </w:r>
      <w:r w:rsidR="008557F6" w:rsidRPr="006A37CA">
        <w:t xml:space="preserve"> and </w:t>
      </w:r>
      <w:r w:rsidR="00E171F6" w:rsidRPr="006A37CA">
        <w:t>Pneumovax 23</w:t>
      </w:r>
      <w:r w:rsidR="008557F6" w:rsidRPr="006A37CA">
        <w:t xml:space="preserve">, and were lowest among those who had previously received </w:t>
      </w:r>
      <w:r w:rsidR="00E171F6" w:rsidRPr="006A37CA">
        <w:t>Pneumovax 23</w:t>
      </w:r>
      <w:r w:rsidR="008557F6" w:rsidRPr="006A37CA">
        <w:t xml:space="preserve"> only.</w:t>
      </w:r>
    </w:p>
    <w:p w14:paraId="20FB45CF" w14:textId="5ED81814" w:rsidR="008557F6" w:rsidRPr="006A37CA" w:rsidRDefault="008557F6" w:rsidP="00CB365D">
      <w:pPr>
        <w:pStyle w:val="ListBullet"/>
      </w:pPr>
      <w:r w:rsidRPr="006A37CA">
        <w:t xml:space="preserve">For the </w:t>
      </w:r>
      <w:r w:rsidR="005568B8">
        <w:t>Prevenar 13</w:t>
      </w:r>
      <w:r w:rsidRPr="006A37CA">
        <w:t xml:space="preserve"> serotypes, trends towards higher OPA GMFRs and higher proportions of subjects with ≥ 4-fold rise in OPA titres were noted in subjects who had previously received</w:t>
      </w:r>
      <w:r w:rsidR="00270509">
        <w:t xml:space="preserve"> </w:t>
      </w:r>
      <w:r w:rsidR="005568B8">
        <w:t>Prevenar 13</w:t>
      </w:r>
      <w:r w:rsidRPr="006A37CA">
        <w:t xml:space="preserve"> only compared to subjects who had previously received </w:t>
      </w:r>
      <w:r w:rsidR="00E171F6" w:rsidRPr="006A37CA">
        <w:t>Pneumovax 23</w:t>
      </w:r>
      <w:r w:rsidRPr="006A37CA">
        <w:t xml:space="preserve"> only or had previously received both </w:t>
      </w:r>
      <w:r w:rsidR="005568B8">
        <w:t>Prevenar 13</w:t>
      </w:r>
      <w:r w:rsidRPr="006A37CA">
        <w:t xml:space="preserve"> and </w:t>
      </w:r>
      <w:r w:rsidR="00E171F6" w:rsidRPr="006A37CA">
        <w:t>Pneumovax 23</w:t>
      </w:r>
      <w:r w:rsidRPr="006A37CA">
        <w:t>.</w:t>
      </w:r>
    </w:p>
    <w:p w14:paraId="62B1E925" w14:textId="372E7F28" w:rsidR="008557F6" w:rsidRPr="006A37CA" w:rsidRDefault="008557F6" w:rsidP="00CB365D">
      <w:pPr>
        <w:pStyle w:val="ListBullet"/>
      </w:pPr>
      <w:r w:rsidRPr="006A37CA">
        <w:t xml:space="preserve">For the additional 7 serotypes, GMFRs were larger and proportions of subjects with a ≥ 4-fold rise in OPA titres were higher after </w:t>
      </w:r>
      <w:r w:rsidR="006A37CA">
        <w:t>Prevenar 20</w:t>
      </w:r>
      <w:r w:rsidRPr="006A37CA">
        <w:t xml:space="preserve"> in subjects in who had previously received </w:t>
      </w:r>
      <w:r w:rsidR="005568B8">
        <w:t>Prevenar 13</w:t>
      </w:r>
      <w:r w:rsidRPr="006A37CA">
        <w:t xml:space="preserve"> only (</w:t>
      </w:r>
      <w:r w:rsidR="009659E2" w:rsidRPr="006A37CA">
        <w:t>that is,</w:t>
      </w:r>
      <w:r w:rsidRPr="006A37CA">
        <w:t xml:space="preserve"> naïve to vaccination with those serotypes) compared to those who had previously received </w:t>
      </w:r>
      <w:r w:rsidR="00E171F6" w:rsidRPr="006A37CA">
        <w:t>Pneumovax 23</w:t>
      </w:r>
      <w:r w:rsidRPr="006A37CA">
        <w:t xml:space="preserve"> only or both </w:t>
      </w:r>
      <w:r w:rsidR="005568B8">
        <w:t>Prevenar 13</w:t>
      </w:r>
      <w:r w:rsidRPr="006A37CA">
        <w:t xml:space="preserve"> and </w:t>
      </w:r>
      <w:r w:rsidR="00E171F6" w:rsidRPr="006A37CA">
        <w:t>Pneumovax 23</w:t>
      </w:r>
      <w:r w:rsidRPr="006A37CA">
        <w:t>.</w:t>
      </w:r>
    </w:p>
    <w:p w14:paraId="59E958C8" w14:textId="7551700B" w:rsidR="008557F6" w:rsidRPr="006A37CA" w:rsidRDefault="006A37CA" w:rsidP="00CB365D">
      <w:pPr>
        <w:pStyle w:val="ListBullet"/>
      </w:pPr>
      <w:r>
        <w:t>Prevenar 20</w:t>
      </w:r>
      <w:r w:rsidR="008557F6" w:rsidRPr="006A37CA">
        <w:t xml:space="preserve"> elicited immune responses to serotype 15C in adults 65 years of age</w:t>
      </w:r>
      <w:r w:rsidR="009659E2" w:rsidRPr="006A37CA">
        <w:t xml:space="preserve"> and over</w:t>
      </w:r>
      <w:r w:rsidR="008557F6" w:rsidRPr="006A37CA">
        <w:t xml:space="preserve"> in all three cohorts.</w:t>
      </w:r>
    </w:p>
    <w:p w14:paraId="67FFE924" w14:textId="715F22B5" w:rsidR="008557F6" w:rsidRPr="006A37CA" w:rsidRDefault="008557F6" w:rsidP="00270509">
      <w:pPr>
        <w:pStyle w:val="Heading6"/>
      </w:pPr>
      <w:r w:rsidRPr="006A37CA">
        <w:t>Study B7471008</w:t>
      </w:r>
    </w:p>
    <w:p w14:paraId="5F9FE6EA" w14:textId="0DD0FB73" w:rsidR="008557F6" w:rsidRPr="006A37CA" w:rsidRDefault="008557F6">
      <w:r w:rsidRPr="006A37CA">
        <w:t xml:space="preserve">Study B7471008 was a </w:t>
      </w:r>
      <w:r w:rsidR="00376E45" w:rsidRPr="006A37CA">
        <w:t>Phase III</w:t>
      </w:r>
      <w:r w:rsidRPr="006A37CA">
        <w:t xml:space="preserve">, randomised, double-blind clinical trial designed to evaluate the safety and immunogenicity of 3 lots of </w:t>
      </w:r>
      <w:r w:rsidR="006A37CA">
        <w:t>Prevenar 20</w:t>
      </w:r>
      <w:r w:rsidRPr="006A37CA">
        <w:t xml:space="preserve"> in pneumococcal-naïve adults aged 18</w:t>
      </w:r>
      <w:r w:rsidR="005568B8">
        <w:t> </w:t>
      </w:r>
      <w:r w:rsidRPr="006A37CA">
        <w:t>through 49 years.</w:t>
      </w:r>
    </w:p>
    <w:p w14:paraId="146A7ADF" w14:textId="77777777" w:rsidR="008557F6" w:rsidRPr="006A37CA" w:rsidRDefault="008557F6" w:rsidP="00270509">
      <w:pPr>
        <w:pStyle w:val="Heading7"/>
      </w:pPr>
      <w:r w:rsidRPr="006A37CA">
        <w:t>Objectives</w:t>
      </w:r>
    </w:p>
    <w:p w14:paraId="53F88B03" w14:textId="197C76C4" w:rsidR="008557F6" w:rsidRPr="006A37CA" w:rsidRDefault="008557F6">
      <w:r w:rsidRPr="006A37CA">
        <w:t xml:space="preserve">The primary safety objective was to describe the safety profile of </w:t>
      </w:r>
      <w:r w:rsidR="006A37CA">
        <w:t>Prevenar 20</w:t>
      </w:r>
      <w:r w:rsidRPr="006A37CA">
        <w:t>.</w:t>
      </w:r>
    </w:p>
    <w:p w14:paraId="00F9CF4E" w14:textId="3063CA06" w:rsidR="008557F6" w:rsidRPr="006A37CA" w:rsidRDefault="008557F6">
      <w:r w:rsidRPr="006A37CA">
        <w:t>The primary immunogenicity objective was to demonstrate that the immune responses to the 20</w:t>
      </w:r>
      <w:r w:rsidR="007A2833" w:rsidRPr="006A37CA">
        <w:t> </w:t>
      </w:r>
      <w:r w:rsidRPr="006A37CA">
        <w:t xml:space="preserve">serotypes induced by </w:t>
      </w:r>
      <w:r w:rsidR="006A37CA">
        <w:t>Prevenar 20</w:t>
      </w:r>
      <w:r w:rsidRPr="006A37CA">
        <w:t xml:space="preserve"> were equivalent across the 3 </w:t>
      </w:r>
      <w:r w:rsidR="006A37CA">
        <w:t>Prevenar 20</w:t>
      </w:r>
      <w:r w:rsidRPr="006A37CA">
        <w:t xml:space="preserve"> lots.</w:t>
      </w:r>
    </w:p>
    <w:p w14:paraId="0A929551" w14:textId="58250137" w:rsidR="008557F6" w:rsidRPr="006A37CA" w:rsidRDefault="008557F6">
      <w:r w:rsidRPr="006A37CA">
        <w:lastRenderedPageBreak/>
        <w:t xml:space="preserve">The secondary and exploratory immunogenicity objectives were to further describe the immune responses to </w:t>
      </w:r>
      <w:r w:rsidR="006A37CA">
        <w:t>Prevenar 20</w:t>
      </w:r>
      <w:r w:rsidRPr="006A37CA">
        <w:t>.</w:t>
      </w:r>
    </w:p>
    <w:p w14:paraId="0B1E8569" w14:textId="77777777" w:rsidR="00F602CA" w:rsidRPr="006A37CA" w:rsidRDefault="00F602CA" w:rsidP="00270509">
      <w:pPr>
        <w:pStyle w:val="Heading7"/>
      </w:pPr>
      <w:r w:rsidRPr="006A37CA">
        <w:t>Results</w:t>
      </w:r>
    </w:p>
    <w:p w14:paraId="53F44BE0" w14:textId="0DDBD7C3" w:rsidR="008557F6" w:rsidRPr="006A37CA" w:rsidRDefault="008557F6" w:rsidP="00CB365D">
      <w:r w:rsidRPr="006A37CA">
        <w:t xml:space="preserve">The study met its primary immunogenicity objective of demonstrating that the immune responses to the 20 serotypes induced by </w:t>
      </w:r>
      <w:r w:rsidR="006A37CA">
        <w:t>Prevenar 20</w:t>
      </w:r>
      <w:r w:rsidRPr="006A37CA">
        <w:t xml:space="preserve"> are equivalent across 3 lots. Lot consistency was demonstrated based on a 2-fold equivalence margin comparing the OPA GMTs between each pair of </w:t>
      </w:r>
      <w:r w:rsidR="006A37CA">
        <w:t>Prevenar 20</w:t>
      </w:r>
      <w:r w:rsidRPr="006A37CA">
        <w:t xml:space="preserve"> lots for each serotype. The 2-sided 95% CIs for the model-based estimate of serotype-specific OPA GMRs </w:t>
      </w:r>
      <w:r w:rsidR="009659E2" w:rsidRPr="006A37CA">
        <w:t>one month</w:t>
      </w:r>
      <w:r w:rsidRPr="006A37CA">
        <w:t xml:space="preserve"> after vaccination for each pair of lot comparisons (Lot</w:t>
      </w:r>
      <w:r w:rsidR="007A2833" w:rsidRPr="006A37CA">
        <w:t> </w:t>
      </w:r>
      <w:r w:rsidRPr="006A37CA">
        <w:t>1/Lot 2, Lot 1/Lot 3, and Lot 2/Lot 3) were contained within the pre-specified interval (0.5, 2.0) for each of the 20 serotypes.</w:t>
      </w:r>
    </w:p>
    <w:p w14:paraId="1956C950" w14:textId="49878D8C" w:rsidR="008557F6" w:rsidRPr="006A37CA" w:rsidRDefault="008557F6" w:rsidP="00CB365D">
      <w:r w:rsidRPr="006A37CA">
        <w:t xml:space="preserve">All 3 lots of </w:t>
      </w:r>
      <w:r w:rsidR="006A37CA">
        <w:t>Prevenar 20</w:t>
      </w:r>
      <w:r w:rsidRPr="006A37CA">
        <w:t xml:space="preserve"> elicited similar immune responses at </w:t>
      </w:r>
      <w:r w:rsidR="009659E2" w:rsidRPr="006A37CA">
        <w:t>one month</w:t>
      </w:r>
      <w:r w:rsidRPr="006A37CA">
        <w:t xml:space="preserve"> after vaccination for each of the 20 serotypes based on OPA GMFRs, proportions of subjects achieving a </w:t>
      </w:r>
      <w:r w:rsidR="007A2833" w:rsidRPr="006A37CA">
        <w:t>no less than</w:t>
      </w:r>
      <w:r w:rsidRPr="006A37CA">
        <w:t xml:space="preserve"> 4-fold rise in OPA titres, and proportions of subjects with OPA titres ≥ LLOQ.</w:t>
      </w:r>
    </w:p>
    <w:p w14:paraId="3175C0A1" w14:textId="1416BA10" w:rsidR="008557F6" w:rsidRPr="006A37CA" w:rsidRDefault="008557F6" w:rsidP="00270509">
      <w:pPr>
        <w:pStyle w:val="Heading6"/>
      </w:pPr>
      <w:r w:rsidRPr="006A37CA">
        <w:t>Concomitant administration studies</w:t>
      </w:r>
      <w:r w:rsidR="007A2833" w:rsidRPr="006A37CA">
        <w:t xml:space="preserve"> - Studies</w:t>
      </w:r>
      <w:r w:rsidRPr="006A37CA">
        <w:t xml:space="preserve"> B7471004 and B7471026</w:t>
      </w:r>
    </w:p>
    <w:p w14:paraId="0D6BADAB" w14:textId="4175B9F1" w:rsidR="008557F6" w:rsidRPr="006A37CA" w:rsidRDefault="008557F6" w:rsidP="00CB365D">
      <w:r w:rsidRPr="006A37CA">
        <w:t xml:space="preserve">In response to </w:t>
      </w:r>
      <w:r w:rsidR="007A2833" w:rsidRPr="006A37CA">
        <w:t>the</w:t>
      </w:r>
      <w:r w:rsidRPr="006A37CA">
        <w:t xml:space="preserve"> </w:t>
      </w:r>
      <w:r w:rsidR="005568B8">
        <w:t>risk management plan (</w:t>
      </w:r>
      <w:r w:rsidRPr="006A37CA">
        <w:t>RMP</w:t>
      </w:r>
      <w:r w:rsidR="005568B8">
        <w:t>)</w:t>
      </w:r>
      <w:r w:rsidRPr="006A37CA">
        <w:t xml:space="preserve"> </w:t>
      </w:r>
      <w:r w:rsidR="00376E45" w:rsidRPr="006A37CA">
        <w:t>evaluation</w:t>
      </w:r>
      <w:r w:rsidRPr="006A37CA">
        <w:t xml:space="preserve"> report, the </w:t>
      </w:r>
      <w:r w:rsidR="00CB365D" w:rsidRPr="006A37CA">
        <w:t>sponsor</w:t>
      </w:r>
      <w:r w:rsidRPr="006A37CA">
        <w:t xml:space="preserve"> provided the </w:t>
      </w:r>
      <w:r w:rsidR="007A2833" w:rsidRPr="006A37CA">
        <w:t>f</w:t>
      </w:r>
      <w:r w:rsidRPr="006A37CA">
        <w:t xml:space="preserve">inal </w:t>
      </w:r>
      <w:r w:rsidR="007A2833" w:rsidRPr="006A37CA">
        <w:t>clinical study reports</w:t>
      </w:r>
      <w:r w:rsidRPr="006A37CA">
        <w:t xml:space="preserve"> for two recently completed studies not been previously evaluated by the TGA. These two studies were:</w:t>
      </w:r>
    </w:p>
    <w:p w14:paraId="76F2300A" w14:textId="7E5C1317" w:rsidR="008557F6" w:rsidRPr="006A37CA" w:rsidRDefault="006A37CA" w:rsidP="00CB365D">
      <w:pPr>
        <w:pStyle w:val="ListBullet"/>
      </w:pPr>
      <w:bookmarkStart w:id="63" w:name="_Hlk114038647"/>
      <w:r w:rsidRPr="006A37CA">
        <w:t xml:space="preserve">Study </w:t>
      </w:r>
      <w:r w:rsidR="008557F6" w:rsidRPr="006A37CA">
        <w:t>B7471004</w:t>
      </w:r>
      <w:bookmarkEnd w:id="63"/>
      <w:r w:rsidR="007A2833" w:rsidRPr="006A37CA">
        <w:t xml:space="preserve"> (f</w:t>
      </w:r>
      <w:r w:rsidR="008557F6" w:rsidRPr="006A37CA">
        <w:t xml:space="preserve">inal </w:t>
      </w:r>
      <w:r w:rsidR="007A2833" w:rsidRPr="006A37CA">
        <w:t>r</w:t>
      </w:r>
      <w:r w:rsidR="008557F6" w:rsidRPr="006A37CA">
        <w:t xml:space="preserve">eport </w:t>
      </w:r>
      <w:r w:rsidR="007A2833" w:rsidRPr="006A37CA">
        <w:t xml:space="preserve">on </w:t>
      </w:r>
      <w:r w:rsidR="008557F6" w:rsidRPr="006A37CA">
        <w:t xml:space="preserve">2 November 2021): A </w:t>
      </w:r>
      <w:r w:rsidR="00376E45" w:rsidRPr="006A37CA">
        <w:t>Phase III</w:t>
      </w:r>
      <w:r w:rsidR="008557F6" w:rsidRPr="006A37CA">
        <w:t xml:space="preserve">, </w:t>
      </w:r>
      <w:r w:rsidR="007A2833" w:rsidRPr="006A37CA">
        <w:t xml:space="preserve">randomised, double blind trial to evaluate the safety and immunogenicity </w:t>
      </w:r>
      <w:r w:rsidR="008557F6" w:rsidRPr="006A37CA">
        <w:t xml:space="preserve">of a </w:t>
      </w:r>
      <w:r>
        <w:t>Prevenar 20</w:t>
      </w:r>
      <w:r w:rsidR="008557F6" w:rsidRPr="006A37CA">
        <w:t xml:space="preserve"> </w:t>
      </w:r>
      <w:r w:rsidR="007A2833" w:rsidRPr="006A37CA">
        <w:t>when co-administered with seasonal inactivated influenza vaccine in adults</w:t>
      </w:r>
      <w:r w:rsidR="008557F6" w:rsidRPr="006A37CA">
        <w:t xml:space="preserve"> 65 </w:t>
      </w:r>
      <w:r w:rsidR="009659E2" w:rsidRPr="006A37CA">
        <w:t>years of age and over</w:t>
      </w:r>
      <w:r w:rsidR="008557F6" w:rsidRPr="006A37CA">
        <w:t>.</w:t>
      </w:r>
    </w:p>
    <w:p w14:paraId="4429F54E" w14:textId="08647B3F" w:rsidR="008557F6" w:rsidRPr="006A37CA" w:rsidRDefault="006A37CA" w:rsidP="005568B8">
      <w:pPr>
        <w:pStyle w:val="ListBullet"/>
      </w:pPr>
      <w:r w:rsidRPr="006A37CA">
        <w:t xml:space="preserve">Study </w:t>
      </w:r>
      <w:r w:rsidR="008557F6" w:rsidRPr="006A37CA">
        <w:t>B7471026</w:t>
      </w:r>
      <w:r w:rsidR="007A2833" w:rsidRPr="006A37CA">
        <w:t xml:space="preserve"> (f</w:t>
      </w:r>
      <w:r w:rsidR="008557F6" w:rsidRPr="006A37CA">
        <w:t xml:space="preserve">inal </w:t>
      </w:r>
      <w:r w:rsidR="007A2833" w:rsidRPr="006A37CA">
        <w:t>r</w:t>
      </w:r>
      <w:r w:rsidR="008557F6" w:rsidRPr="006A37CA">
        <w:t xml:space="preserve">eport </w:t>
      </w:r>
      <w:r w:rsidR="007A2833" w:rsidRPr="006A37CA">
        <w:t xml:space="preserve">on </w:t>
      </w:r>
      <w:r w:rsidR="008557F6" w:rsidRPr="006A37CA">
        <w:t xml:space="preserve">17 March 2022): A </w:t>
      </w:r>
      <w:r w:rsidR="00376E45" w:rsidRPr="006A37CA">
        <w:t>Phase III</w:t>
      </w:r>
      <w:r w:rsidR="008557F6" w:rsidRPr="006A37CA">
        <w:t xml:space="preserve">, </w:t>
      </w:r>
      <w:r w:rsidR="007A2833" w:rsidRPr="006A37CA">
        <w:t>randomised, double-blind trial to describe the safety and immunogenicity of</w:t>
      </w:r>
      <w:r w:rsidR="008557F6" w:rsidRPr="006A37CA">
        <w:t xml:space="preserve"> </w:t>
      </w:r>
      <w:r>
        <w:t>Prevenar 20</w:t>
      </w:r>
      <w:r w:rsidR="005568B8">
        <w:t xml:space="preserve"> </w:t>
      </w:r>
      <w:r w:rsidR="007A2833" w:rsidRPr="006A37CA">
        <w:t>when co-administered w</w:t>
      </w:r>
      <w:r w:rsidR="008557F6" w:rsidRPr="006A37CA">
        <w:t xml:space="preserve">ith a </w:t>
      </w:r>
      <w:r w:rsidR="007A2833" w:rsidRPr="006A37CA">
        <w:t xml:space="preserve">booster dose </w:t>
      </w:r>
      <w:r w:rsidR="008557F6" w:rsidRPr="006A37CA">
        <w:t xml:space="preserve">of </w:t>
      </w:r>
      <w:r w:rsidR="009253BF" w:rsidRPr="009253BF">
        <w:t>Comirnaty</w:t>
      </w:r>
      <w:r w:rsidR="009253BF">
        <w:t>;</w:t>
      </w:r>
      <w:r w:rsidR="009253BF">
        <w:rPr>
          <w:rStyle w:val="FootnoteReference"/>
        </w:rPr>
        <w:footnoteReference w:id="39"/>
      </w:r>
      <w:r w:rsidR="008557F6" w:rsidRPr="006A37CA">
        <w:t xml:space="preserve"> COVID-19 vaccine in </w:t>
      </w:r>
      <w:r w:rsidR="007A2833" w:rsidRPr="006A37CA">
        <w:t>a</w:t>
      </w:r>
      <w:r w:rsidR="008557F6" w:rsidRPr="006A37CA">
        <w:t xml:space="preserve">dults 65 </w:t>
      </w:r>
      <w:r w:rsidR="007A2833" w:rsidRPr="006A37CA">
        <w:t>years of age and older.</w:t>
      </w:r>
    </w:p>
    <w:p w14:paraId="61910BEA" w14:textId="77777777" w:rsidR="008557F6" w:rsidRPr="006A37CA" w:rsidRDefault="008557F6" w:rsidP="00CB365D">
      <w:pPr>
        <w:pStyle w:val="Heading4"/>
      </w:pPr>
      <w:bookmarkStart w:id="64" w:name="_Toc135124814"/>
      <w:r w:rsidRPr="006A37CA">
        <w:t>Safety</w:t>
      </w:r>
      <w:bookmarkEnd w:id="64"/>
    </w:p>
    <w:p w14:paraId="1482F996" w14:textId="3CB7C527" w:rsidR="008557F6" w:rsidRPr="006A37CA" w:rsidRDefault="008557F6" w:rsidP="00CB365D">
      <w:r w:rsidRPr="006A37CA">
        <w:t xml:space="preserve">Safety was assessed in six clinical studies in a total of 7048 adult subjects (4552 subjects received </w:t>
      </w:r>
      <w:r w:rsidR="006A37CA">
        <w:t>Prevenar 20</w:t>
      </w:r>
      <w:r w:rsidRPr="006A37CA">
        <w:t xml:space="preserve"> and 2496 received control vaccine).</w:t>
      </w:r>
    </w:p>
    <w:p w14:paraId="7FADA058" w14:textId="31AD811F" w:rsidR="008557F6" w:rsidRPr="006A37CA" w:rsidRDefault="008557F6" w:rsidP="00CB365D">
      <w:r w:rsidRPr="006A37CA">
        <w:t xml:space="preserve">The evaluation of safety provided in </w:t>
      </w:r>
      <w:r w:rsidR="007A2833" w:rsidRPr="006A37CA">
        <w:t>the clinical evaluation report</w:t>
      </w:r>
      <w:r w:rsidRPr="006A37CA">
        <w:t xml:space="preserve"> focused primarily on the safety data from the three </w:t>
      </w:r>
      <w:r w:rsidR="00376E45" w:rsidRPr="006A37CA">
        <w:t>Phase III</w:t>
      </w:r>
      <w:r w:rsidRPr="006A37CA">
        <w:t xml:space="preserve"> studies, supplemented by the safety data from the </w:t>
      </w:r>
      <w:r w:rsidR="00376E45" w:rsidRPr="006A37CA">
        <w:t>Phase</w:t>
      </w:r>
      <w:r w:rsidR="007A2833" w:rsidRPr="006A37CA">
        <w:t> </w:t>
      </w:r>
      <w:r w:rsidR="00376E45" w:rsidRPr="006A37CA">
        <w:t>I</w:t>
      </w:r>
      <w:r w:rsidRPr="006A37CA">
        <w:t>/</w:t>
      </w:r>
      <w:r w:rsidR="00376E45" w:rsidRPr="006A37CA">
        <w:t>II</w:t>
      </w:r>
      <w:r w:rsidRPr="006A37CA">
        <w:t xml:space="preserve"> studies. Evaluation of the safety data from the three </w:t>
      </w:r>
      <w:r w:rsidR="00376E45" w:rsidRPr="006A37CA">
        <w:t>Phase III</w:t>
      </w:r>
      <w:r w:rsidRPr="006A37CA">
        <w:t xml:space="preserve"> studies is based on the integrated data presented in </w:t>
      </w:r>
      <w:r w:rsidR="007A2833" w:rsidRPr="006A37CA">
        <w:t>the summary of clinical safety</w:t>
      </w:r>
      <w:r w:rsidRPr="006A37CA">
        <w:t xml:space="preserve">, the </w:t>
      </w:r>
      <w:r w:rsidR="007A2833" w:rsidRPr="006A37CA">
        <w:t xml:space="preserve">tables and figures for the integrated safety summary, and the individual clinical summary </w:t>
      </w:r>
      <w:r w:rsidRPr="006A37CA">
        <w:t xml:space="preserve">reports for each of the </w:t>
      </w:r>
      <w:r w:rsidR="00376E45" w:rsidRPr="006A37CA">
        <w:t>Phase III</w:t>
      </w:r>
      <w:r w:rsidRPr="006A37CA">
        <w:t xml:space="preserve"> studies.</w:t>
      </w:r>
    </w:p>
    <w:p w14:paraId="21E21F7F" w14:textId="61655A4B" w:rsidR="008557F6" w:rsidRPr="006A37CA" w:rsidRDefault="008557F6" w:rsidP="00CB365D">
      <w:r w:rsidRPr="006A37CA">
        <w:t xml:space="preserve">The safety data for the three </w:t>
      </w:r>
      <w:r w:rsidR="00376E45" w:rsidRPr="006A37CA">
        <w:t>Phase I</w:t>
      </w:r>
      <w:r w:rsidRPr="006A37CA">
        <w:t>/</w:t>
      </w:r>
      <w:r w:rsidR="00376E45" w:rsidRPr="006A37CA">
        <w:t>II</w:t>
      </w:r>
      <w:r w:rsidRPr="006A37CA">
        <w:t xml:space="preserve"> studies were considered to provide supportive data for the key safety data from the three </w:t>
      </w:r>
      <w:r w:rsidR="00376E45" w:rsidRPr="006A37CA">
        <w:t>Phase III</w:t>
      </w:r>
      <w:r w:rsidRPr="006A37CA">
        <w:t xml:space="preserve"> studies.</w:t>
      </w:r>
    </w:p>
    <w:p w14:paraId="7ADF1337" w14:textId="7F382093" w:rsidR="008557F6" w:rsidRPr="006A37CA" w:rsidRDefault="009253BF" w:rsidP="00CB365D">
      <w:pPr>
        <w:pStyle w:val="Heading5"/>
      </w:pPr>
      <w:r w:rsidRPr="009253BF">
        <w:t xml:space="preserve">Recommendation following the </w:t>
      </w:r>
      <w:r>
        <w:t>clinical safety</w:t>
      </w:r>
      <w:r w:rsidRPr="009253BF">
        <w:t xml:space="preserve"> evaluation</w:t>
      </w:r>
    </w:p>
    <w:p w14:paraId="5AF11B24" w14:textId="54BA38E8" w:rsidR="008557F6" w:rsidRPr="006A37CA" w:rsidRDefault="008557F6" w:rsidP="00CB365D">
      <w:r w:rsidRPr="006A37CA">
        <w:t>The safety of single</w:t>
      </w:r>
      <w:r w:rsidR="009659E2" w:rsidRPr="006A37CA">
        <w:t xml:space="preserve"> </w:t>
      </w:r>
      <w:r w:rsidRPr="006A37CA">
        <w:t xml:space="preserve">dose </w:t>
      </w:r>
      <w:r w:rsidR="006A37CA">
        <w:t>Prevenar 20</w:t>
      </w:r>
      <w:r w:rsidRPr="006A37CA">
        <w:t xml:space="preserve"> was evaluated in 6 clinical studies in adults aged 18 years</w:t>
      </w:r>
      <w:r w:rsidR="009659E2" w:rsidRPr="006A37CA">
        <w:t xml:space="preserve"> and over</w:t>
      </w:r>
      <w:r w:rsidRPr="006A37CA">
        <w:t>, with a total of 4552 subjects receiving a single</w:t>
      </w:r>
      <w:r w:rsidR="009659E2" w:rsidRPr="006A37CA">
        <w:t xml:space="preserve"> </w:t>
      </w:r>
      <w:r w:rsidRPr="006A37CA">
        <w:t xml:space="preserve">dose of </w:t>
      </w:r>
      <w:r w:rsidR="006A37CA">
        <w:t>Prevenar 20</w:t>
      </w:r>
      <w:r w:rsidRPr="006A37CA">
        <w:t xml:space="preserve"> during clinical development compared to 2496 receiving a single</w:t>
      </w:r>
      <w:r w:rsidR="009659E2" w:rsidRPr="006A37CA">
        <w:t xml:space="preserve"> </w:t>
      </w:r>
      <w:r w:rsidRPr="006A37CA">
        <w:t>dose of control vaccine.</w:t>
      </w:r>
    </w:p>
    <w:p w14:paraId="6EAB1F26" w14:textId="486C9643" w:rsidR="008557F6" w:rsidRPr="006A37CA" w:rsidRDefault="008557F6" w:rsidP="00CB365D">
      <w:r w:rsidRPr="006A37CA">
        <w:t xml:space="preserve">In the three </w:t>
      </w:r>
      <w:r w:rsidR="00376E45" w:rsidRPr="006A37CA">
        <w:t>Phase III</w:t>
      </w:r>
      <w:r w:rsidRPr="006A37CA">
        <w:t xml:space="preserve"> studies, 4263 subjects received </w:t>
      </w:r>
      <w:r w:rsidR="006A37CA">
        <w:t>Prevenar 20</w:t>
      </w:r>
      <w:r w:rsidRPr="006A37CA">
        <w:t>, and 2207 received control (</w:t>
      </w:r>
      <w:r w:rsidR="005568B8">
        <w:t>Prevenar 13</w:t>
      </w:r>
      <w:r w:rsidRPr="006A37CA">
        <w:t xml:space="preserve"> and/or </w:t>
      </w:r>
      <w:r w:rsidR="00E171F6" w:rsidRPr="006A37CA">
        <w:t>Pneumovax 23</w:t>
      </w:r>
      <w:r w:rsidRPr="006A37CA">
        <w:t xml:space="preserve">), and in the three </w:t>
      </w:r>
      <w:r w:rsidR="00376E45" w:rsidRPr="006A37CA">
        <w:t>Phase I</w:t>
      </w:r>
      <w:r w:rsidRPr="006A37CA">
        <w:t xml:space="preserve"> and 2 studies, 289 subjects received </w:t>
      </w:r>
      <w:r w:rsidR="006A37CA">
        <w:t>Prevenar 20</w:t>
      </w:r>
      <w:r w:rsidRPr="006A37CA">
        <w:t xml:space="preserve"> and 289 subjects received control (Tdap, </w:t>
      </w:r>
      <w:r w:rsidR="005568B8">
        <w:t>Prevenar 13</w:t>
      </w:r>
      <w:r w:rsidRPr="006A37CA">
        <w:t xml:space="preserve">, or </w:t>
      </w:r>
      <w:r w:rsidR="005568B8">
        <w:t>Prevenar 13</w:t>
      </w:r>
      <w:r w:rsidRPr="006A37CA">
        <w:t xml:space="preserve"> plus </w:t>
      </w:r>
      <w:r w:rsidR="00E171F6" w:rsidRPr="006A37CA">
        <w:t>Pneumovax 23</w:t>
      </w:r>
      <w:r w:rsidRPr="006A37CA">
        <w:t xml:space="preserve">). In general, the safety profile of single dose </w:t>
      </w:r>
      <w:r w:rsidR="006A37CA">
        <w:t>Prevenar 20</w:t>
      </w:r>
      <w:r w:rsidRPr="006A37CA">
        <w:t xml:space="preserve"> in adult subjects was </w:t>
      </w:r>
      <w:r w:rsidRPr="006A37CA">
        <w:lastRenderedPageBreak/>
        <w:t xml:space="preserve">consistent with the known safety profile for the approved product </w:t>
      </w:r>
      <w:r w:rsidR="005568B8">
        <w:t>Prevenar 13</w:t>
      </w:r>
      <w:r w:rsidRPr="006A37CA">
        <w:t xml:space="preserve">. No new or unexpected safety signals were observed after </w:t>
      </w:r>
      <w:r w:rsidR="006A37CA">
        <w:t>Prevenar 20</w:t>
      </w:r>
      <w:r w:rsidRPr="006A37CA">
        <w:t>.</w:t>
      </w:r>
    </w:p>
    <w:p w14:paraId="7BF5B76B" w14:textId="4CBF9976" w:rsidR="008557F6" w:rsidRPr="006A37CA" w:rsidRDefault="008557F6" w:rsidP="00CB365D">
      <w:r w:rsidRPr="006A37CA">
        <w:t xml:space="preserve">In the six clinical studies of the 4552 adult subjects aged 18 years </w:t>
      </w:r>
      <w:r w:rsidR="009659E2" w:rsidRPr="006A37CA">
        <w:t xml:space="preserve">and over </w:t>
      </w:r>
      <w:r w:rsidRPr="006A37CA">
        <w:t xml:space="preserve">who received </w:t>
      </w:r>
      <w:r w:rsidR="007A2833" w:rsidRPr="006A37CA">
        <w:t>one</w:t>
      </w:r>
      <w:r w:rsidRPr="006A37CA">
        <w:t xml:space="preserve"> dose of </w:t>
      </w:r>
      <w:r w:rsidR="006A37CA">
        <w:t>Prevenar 20</w:t>
      </w:r>
      <w:r w:rsidRPr="006A37CA">
        <w:t>, 3414 subjects were aged 18 to 64 years and 1138 were aged 65 years</w:t>
      </w:r>
      <w:r w:rsidR="009659E2" w:rsidRPr="006A37CA">
        <w:t xml:space="preserve"> and over</w:t>
      </w:r>
      <w:r w:rsidRPr="006A37CA">
        <w:t xml:space="preserve">. The age and sex distribution of subjects exposed to </w:t>
      </w:r>
      <w:r w:rsidR="006A37CA">
        <w:t>Prevenar 20</w:t>
      </w:r>
      <w:r w:rsidRPr="006A37CA">
        <w:t xml:space="preserve"> is summarised in</w:t>
      </w:r>
      <w:r w:rsidR="0055561A" w:rsidRPr="006A37CA">
        <w:t xml:space="preserve"> </w:t>
      </w:r>
      <w:r w:rsidR="0055561A" w:rsidRPr="006A37CA">
        <w:fldChar w:fldCharType="begin"/>
      </w:r>
      <w:r w:rsidR="0055561A" w:rsidRPr="006A37CA">
        <w:instrText xml:space="preserve"> REF _Ref132114378 \h  \* MERGEFORMAT </w:instrText>
      </w:r>
      <w:r w:rsidR="0055561A" w:rsidRPr="006A37CA">
        <w:fldChar w:fldCharType="separate"/>
      </w:r>
      <w:r w:rsidR="00AC74BD" w:rsidRPr="00AC74BD">
        <w:t xml:space="preserve">Table </w:t>
      </w:r>
      <w:r w:rsidR="00AC74BD">
        <w:rPr>
          <w:noProof/>
        </w:rPr>
        <w:t>8</w:t>
      </w:r>
      <w:r w:rsidR="0055561A" w:rsidRPr="006A37CA">
        <w:fldChar w:fldCharType="end"/>
      </w:r>
      <w:r w:rsidR="0055561A" w:rsidRPr="006A37CA">
        <w:t xml:space="preserve"> below</w:t>
      </w:r>
      <w:r w:rsidRPr="006A37CA">
        <w:t>.</w:t>
      </w:r>
    </w:p>
    <w:p w14:paraId="1C8A880C" w14:textId="42E515A4" w:rsidR="008557F6" w:rsidRPr="00AC74BD" w:rsidRDefault="00CB365D" w:rsidP="00AC74BD">
      <w:pPr>
        <w:pStyle w:val="TableTitle0"/>
      </w:pPr>
      <w:bookmarkStart w:id="65" w:name="_Ref132114378"/>
      <w:r w:rsidRPr="00AC74BD">
        <w:t xml:space="preserve">Table </w:t>
      </w:r>
      <w:fldSimple w:instr=" SEQ Table \* ARABIC ">
        <w:r w:rsidR="00AC74BD">
          <w:rPr>
            <w:noProof/>
          </w:rPr>
          <w:t>8</w:t>
        </w:r>
      </w:fldSimple>
      <w:bookmarkEnd w:id="65"/>
      <w:r w:rsidR="008557F6" w:rsidRPr="00AC74BD">
        <w:t xml:space="preserve">: Exposure to </w:t>
      </w:r>
      <w:r w:rsidR="006A37CA" w:rsidRPr="00AC74BD">
        <w:t>Prevenar 20</w:t>
      </w:r>
      <w:r w:rsidR="008557F6" w:rsidRPr="00AC74BD">
        <w:t xml:space="preserve"> by age group and gender</w:t>
      </w:r>
    </w:p>
    <w:p w14:paraId="29D2DC6A" w14:textId="331F15D3" w:rsidR="00C2097E" w:rsidRPr="006A37CA" w:rsidRDefault="00C2097E" w:rsidP="00AC74BD">
      <w:r>
        <w:rPr>
          <w:noProof/>
          <w:lang w:val="en-GB" w:eastAsia="en-GB"/>
        </w:rPr>
        <w:drawing>
          <wp:inline distT="0" distB="0" distL="0" distR="0" wp14:anchorId="4A951B70" wp14:editId="47545E75">
            <wp:extent cx="5524331" cy="1749879"/>
            <wp:effectExtent l="19050" t="19050" r="19685" b="22225"/>
            <wp:docPr id="14" name="Picture 14" descr="Table 8: Exposure to Prevenar 20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8: Exposure to Prevenar 20 by age group and gender"/>
                    <pic:cNvPicPr/>
                  </pic:nvPicPr>
                  <pic:blipFill>
                    <a:blip r:embed="rId32"/>
                    <a:stretch>
                      <a:fillRect/>
                    </a:stretch>
                  </pic:blipFill>
                  <pic:spPr>
                    <a:xfrm>
                      <a:off x="0" y="0"/>
                      <a:ext cx="5536024" cy="1753583"/>
                    </a:xfrm>
                    <a:prstGeom prst="rect">
                      <a:avLst/>
                    </a:prstGeom>
                    <a:ln>
                      <a:solidFill>
                        <a:schemeClr val="tx1"/>
                      </a:solidFill>
                    </a:ln>
                  </pic:spPr>
                </pic:pic>
              </a:graphicData>
            </a:graphic>
          </wp:inline>
        </w:drawing>
      </w:r>
    </w:p>
    <w:p w14:paraId="4523D69E" w14:textId="77693D02" w:rsidR="00C2097E" w:rsidRPr="00AC74BD" w:rsidRDefault="00C2097E" w:rsidP="00AC74BD">
      <w:pPr>
        <w:pStyle w:val="Tabledescription"/>
      </w:pPr>
      <w:r w:rsidRPr="00AC74BD">
        <w:t>Abbreviations: F = female; M = male; No. = number; 20vPnC = 20</w:t>
      </w:r>
      <w:r w:rsidRPr="00AC74BD">
        <w:noBreakHyphen/>
        <w:t>valent pneumococcal conjugate vaccine.</w:t>
      </w:r>
    </w:p>
    <w:p w14:paraId="0991F7B9" w14:textId="3FC1447B" w:rsidR="008557F6" w:rsidRPr="00AC74BD" w:rsidRDefault="00C2097E" w:rsidP="00AC74BD">
      <w:pPr>
        <w:pStyle w:val="Tabledescription"/>
      </w:pPr>
      <w:proofErr w:type="spellStart"/>
      <w:r w:rsidRPr="00AC74BD">
        <w:t>a</w:t>
      </w:r>
      <w:proofErr w:type="spellEnd"/>
      <w:r w:rsidRPr="00AC74BD">
        <w:t xml:space="preserve"> Included are Studies B6471001, B7471002, B7471005, B7471006, B7471007 and B7471008.</w:t>
      </w:r>
    </w:p>
    <w:p w14:paraId="3FD932FF" w14:textId="5E5BD288" w:rsidR="008557F6" w:rsidRPr="00AC74BD" w:rsidRDefault="00C2097E" w:rsidP="00AC74BD">
      <w:pPr>
        <w:pStyle w:val="Tabledescription"/>
      </w:pPr>
      <w:r w:rsidRPr="00AC74BD">
        <w:t>b All studies in this category received a single dose of 20vPnC.</w:t>
      </w:r>
    </w:p>
    <w:p w14:paraId="5BBA5DC4" w14:textId="6E319925" w:rsidR="008557F6" w:rsidRPr="006A37CA" w:rsidRDefault="008557F6" w:rsidP="00CB365D">
      <w:r w:rsidRPr="006A37CA">
        <w:t xml:space="preserve">Most of the subjects in the six clinical studies were healthy adults, and patients with significant comorbidities were not included in the clinical development program for </w:t>
      </w:r>
      <w:r w:rsidR="006A37CA">
        <w:t>Prevenar 20</w:t>
      </w:r>
      <w:r w:rsidRPr="006A37CA">
        <w:t xml:space="preserve"> (</w:t>
      </w:r>
      <w:r w:rsidR="009659E2" w:rsidRPr="006A37CA">
        <w:t>that is,</w:t>
      </w:r>
      <w:r w:rsidRPr="006A37CA">
        <w:t xml:space="preserve"> hepatic impairment, renal impairment, cardiovascular disease, and/or immunocompromised). There were no studies in pregnant women and there were no cases reporting </w:t>
      </w:r>
      <w:r w:rsidR="006A37CA">
        <w:t>Prevenar 20</w:t>
      </w:r>
      <w:r w:rsidRPr="006A37CA">
        <w:t xml:space="preserve"> in breast feeding women.</w:t>
      </w:r>
    </w:p>
    <w:p w14:paraId="17AC08A3" w14:textId="309AAD05" w:rsidR="008557F6" w:rsidRDefault="008557F6" w:rsidP="00CB365D">
      <w:r w:rsidRPr="006A37CA">
        <w:t xml:space="preserve">Overall, the safety profile of single dose </w:t>
      </w:r>
      <w:r w:rsidR="006A37CA">
        <w:t>Prevenar 20</w:t>
      </w:r>
      <w:r w:rsidRPr="006A37CA">
        <w:t xml:space="preserve"> in adult subjects was generally consistent with the known safety profile for the approved product </w:t>
      </w:r>
      <w:r w:rsidR="005568B8">
        <w:t>Prevenar 13</w:t>
      </w:r>
      <w:r w:rsidRPr="006A37CA">
        <w:t xml:space="preserve">. No new or unexpected safety signals were observed after </w:t>
      </w:r>
      <w:r w:rsidR="006A37CA">
        <w:t>Prevenar 20</w:t>
      </w:r>
      <w:r w:rsidRPr="006A37CA">
        <w:t xml:space="preserve">. The key risks of single dose </w:t>
      </w:r>
      <w:r w:rsidR="006A37CA">
        <w:t>Prevenar 20</w:t>
      </w:r>
      <w:r w:rsidRPr="006A37CA">
        <w:t xml:space="preserve"> for active immunisation of prevention of pneumonia and </w:t>
      </w:r>
      <w:r w:rsidR="00DF2B5F" w:rsidRPr="006A37CA">
        <w:t>invasive pneumococcal disease</w:t>
      </w:r>
      <w:r w:rsidRPr="006A37CA">
        <w:t xml:space="preserve"> based on the three </w:t>
      </w:r>
      <w:r w:rsidR="00376E45" w:rsidRPr="006A37CA">
        <w:t>Phase III</w:t>
      </w:r>
      <w:r w:rsidRPr="006A37CA">
        <w:t xml:space="preserve"> studies are summarised in the </w:t>
      </w:r>
      <w:r w:rsidR="009253BF">
        <w:fldChar w:fldCharType="begin"/>
      </w:r>
      <w:r w:rsidR="009253BF">
        <w:instrText xml:space="preserve"> REF _Ref132131402 \h </w:instrText>
      </w:r>
      <w:r w:rsidR="009253BF">
        <w:fldChar w:fldCharType="separate"/>
      </w:r>
      <w:r w:rsidR="00AC74BD" w:rsidRPr="00AC74BD">
        <w:t xml:space="preserve">Table </w:t>
      </w:r>
      <w:r w:rsidR="00AC74BD">
        <w:rPr>
          <w:noProof/>
        </w:rPr>
        <w:t>9</w:t>
      </w:r>
      <w:r w:rsidR="009253BF">
        <w:fldChar w:fldCharType="end"/>
      </w:r>
      <w:r w:rsidR="009253BF">
        <w:t xml:space="preserve"> below</w:t>
      </w:r>
      <w:r w:rsidRPr="006A37CA">
        <w:t>.</w:t>
      </w:r>
    </w:p>
    <w:p w14:paraId="2DBB2B68" w14:textId="08116C87" w:rsidR="009253BF" w:rsidRPr="00AC74BD" w:rsidRDefault="009253BF" w:rsidP="00AC74BD">
      <w:pPr>
        <w:pStyle w:val="TableTitle0"/>
      </w:pPr>
      <w:bookmarkStart w:id="66" w:name="_Ref132131402"/>
      <w:r w:rsidRPr="00AC74BD">
        <w:t xml:space="preserve">Table </w:t>
      </w:r>
      <w:fldSimple w:instr=" SEQ Table \* ARABIC ">
        <w:r w:rsidR="00AC74BD">
          <w:rPr>
            <w:noProof/>
          </w:rPr>
          <w:t>9</w:t>
        </w:r>
      </w:fldSimple>
      <w:bookmarkEnd w:id="66"/>
      <w:r w:rsidRPr="00AC74BD">
        <w:t>: Summary of strengths and uncertainties relating to the safety data</w:t>
      </w:r>
    </w:p>
    <w:tbl>
      <w:tblPr>
        <w:tblStyle w:val="TableGrid"/>
        <w:tblW w:w="8887" w:type="dxa"/>
        <w:tblInd w:w="108" w:type="dxa"/>
        <w:tblLook w:val="04A0" w:firstRow="1" w:lastRow="0" w:firstColumn="1" w:lastColumn="0" w:noHBand="0" w:noVBand="1"/>
      </w:tblPr>
      <w:tblGrid>
        <w:gridCol w:w="5557"/>
        <w:gridCol w:w="3330"/>
      </w:tblGrid>
      <w:tr w:rsidR="009253BF" w:rsidRPr="00BD0E7F" w14:paraId="14B089FD" w14:textId="77777777" w:rsidTr="00270509">
        <w:trPr>
          <w:tblHeader/>
        </w:trPr>
        <w:tc>
          <w:tcPr>
            <w:tcW w:w="5557" w:type="dxa"/>
            <w:shd w:val="clear" w:color="auto" w:fill="EBF0F9" w:themeFill="accent1" w:themeFillTint="1A"/>
          </w:tcPr>
          <w:p w14:paraId="406F18D2" w14:textId="77777777" w:rsidR="009253BF" w:rsidRPr="00C2097E" w:rsidRDefault="009253BF" w:rsidP="00C2097E">
            <w:pPr>
              <w:pStyle w:val="Tabletext0"/>
            </w:pPr>
            <w:r w:rsidRPr="00C2097E">
              <w:t>Risks</w:t>
            </w:r>
          </w:p>
        </w:tc>
        <w:tc>
          <w:tcPr>
            <w:tcW w:w="3330" w:type="dxa"/>
            <w:shd w:val="clear" w:color="auto" w:fill="EBF0F9" w:themeFill="accent1" w:themeFillTint="1A"/>
          </w:tcPr>
          <w:p w14:paraId="01181A2B" w14:textId="77777777" w:rsidR="009253BF" w:rsidRPr="00C2097E" w:rsidRDefault="009253BF" w:rsidP="00C2097E">
            <w:pPr>
              <w:pStyle w:val="Tabletext0"/>
            </w:pPr>
            <w:r w:rsidRPr="00C2097E">
              <w:t>Strengths and Uncertainties</w:t>
            </w:r>
          </w:p>
        </w:tc>
      </w:tr>
      <w:tr w:rsidR="009253BF" w:rsidRPr="00BD0E7F" w14:paraId="2EF7BEE6" w14:textId="77777777" w:rsidTr="00270509">
        <w:tc>
          <w:tcPr>
            <w:tcW w:w="5557" w:type="dxa"/>
          </w:tcPr>
          <w:p w14:paraId="53AA6263" w14:textId="47ACEDDE" w:rsidR="009253BF" w:rsidRPr="00C2097E" w:rsidRDefault="009253BF" w:rsidP="00C2097E">
            <w:pPr>
              <w:pStyle w:val="Tabletext0"/>
              <w:rPr>
                <w:b/>
                <w:bCs/>
              </w:rPr>
            </w:pPr>
            <w:r w:rsidRPr="00C2097E">
              <w:rPr>
                <w:b/>
                <w:bCs/>
              </w:rPr>
              <w:t xml:space="preserve">1. Prompted local reactions within 10 days after vaccination reported in subjects in the three </w:t>
            </w:r>
            <w:r w:rsidR="00C2097E">
              <w:rPr>
                <w:b/>
                <w:bCs/>
              </w:rPr>
              <w:t>Phase</w:t>
            </w:r>
            <w:r w:rsidR="00941034">
              <w:rPr>
                <w:b/>
                <w:bCs/>
              </w:rPr>
              <w:t> </w:t>
            </w:r>
            <w:r w:rsidR="00C2097E">
              <w:rPr>
                <w:b/>
                <w:bCs/>
              </w:rPr>
              <w:t>III</w:t>
            </w:r>
            <w:r w:rsidRPr="00C2097E">
              <w:rPr>
                <w:b/>
                <w:bCs/>
              </w:rPr>
              <w:t xml:space="preserve"> studies</w:t>
            </w:r>
          </w:p>
          <w:p w14:paraId="4A8D4D23" w14:textId="6F16CF5B" w:rsidR="009253BF" w:rsidRPr="00C2097E" w:rsidRDefault="009253BF" w:rsidP="00C2097E">
            <w:pPr>
              <w:pStyle w:val="Tabletext0"/>
            </w:pPr>
            <w:r w:rsidRPr="00C2097E">
              <w:t>a. Pneumococcal vaccine-naïve subjects (</w:t>
            </w:r>
            <w:r w:rsidR="005568B8">
              <w:t>Prevenar 20</w:t>
            </w:r>
            <w:r w:rsidRPr="00C2097E">
              <w:t xml:space="preserve"> </w:t>
            </w:r>
            <w:r w:rsidR="005E23E6">
              <w:t>versus</w:t>
            </w:r>
            <w:r w:rsidRPr="00C2097E">
              <w:t xml:space="preserve"> </w:t>
            </w:r>
            <w:r w:rsidR="005568B8">
              <w:t>Prevenar 13</w:t>
            </w:r>
            <w:r w:rsidRPr="00C2097E">
              <w:t>, respectively)</w:t>
            </w:r>
          </w:p>
          <w:p w14:paraId="29D51FB8" w14:textId="6970C026" w:rsidR="009253BF" w:rsidRPr="00C2097E" w:rsidRDefault="00941034" w:rsidP="00C2097E">
            <w:pPr>
              <w:pStyle w:val="ListBullet"/>
            </w:pPr>
            <w:r>
              <w:t xml:space="preserve">Study </w:t>
            </w:r>
            <w:r w:rsidR="009253BF" w:rsidRPr="00C2097E">
              <w:t>B7471007 (Cohort 1) ≥ 60 years:</w:t>
            </w:r>
          </w:p>
          <w:p w14:paraId="702E8DD0" w14:textId="606DD180" w:rsidR="009253BF" w:rsidRPr="00C2097E" w:rsidRDefault="009253BF" w:rsidP="00C2097E">
            <w:pPr>
              <w:pStyle w:val="ListBullet2"/>
            </w:pPr>
            <w:r w:rsidRPr="00C2097E">
              <w:t>Redness (any) = 7.3% v</w:t>
            </w:r>
            <w:r w:rsidR="00941034">
              <w:t>ersu</w:t>
            </w:r>
            <w:r w:rsidRPr="00C2097E">
              <w:t>s 6.2%</w:t>
            </w:r>
          </w:p>
          <w:p w14:paraId="450358B4" w14:textId="434DA973" w:rsidR="009253BF" w:rsidRPr="00C2097E" w:rsidRDefault="009253BF" w:rsidP="00C2097E">
            <w:pPr>
              <w:pStyle w:val="ListBullet2"/>
            </w:pPr>
            <w:r w:rsidRPr="00C2097E">
              <w:t xml:space="preserve">Swelling (any) = 7.5% </w:t>
            </w:r>
            <w:r w:rsidR="00941034" w:rsidRPr="00C2097E">
              <w:t>v</w:t>
            </w:r>
            <w:r w:rsidR="00941034">
              <w:t>ersu</w:t>
            </w:r>
            <w:r w:rsidR="00941034" w:rsidRPr="00C2097E">
              <w:t xml:space="preserve">s </w:t>
            </w:r>
            <w:r w:rsidRPr="00C2097E">
              <w:t>8.0%</w:t>
            </w:r>
          </w:p>
          <w:p w14:paraId="2C6EB9D9" w14:textId="156A78BF" w:rsidR="009253BF" w:rsidRPr="00C2097E" w:rsidRDefault="009253BF" w:rsidP="00C2097E">
            <w:pPr>
              <w:pStyle w:val="ListBullet2"/>
            </w:pPr>
            <w:r w:rsidRPr="00C2097E">
              <w:t xml:space="preserve">Pain at injection site (any) = 55.4% </w:t>
            </w:r>
            <w:r w:rsidR="00941034" w:rsidRPr="00C2097E">
              <w:t>v</w:t>
            </w:r>
            <w:r w:rsidR="00941034">
              <w:t>ersu</w:t>
            </w:r>
            <w:r w:rsidR="00941034" w:rsidRPr="00C2097E">
              <w:t xml:space="preserve">s </w:t>
            </w:r>
            <w:r w:rsidRPr="00C2097E">
              <w:t>54.1%</w:t>
            </w:r>
          </w:p>
          <w:p w14:paraId="2EDC861C" w14:textId="14F27992" w:rsidR="009253BF" w:rsidRPr="00C2097E" w:rsidRDefault="00941034" w:rsidP="00C2097E">
            <w:pPr>
              <w:pStyle w:val="ListBullet"/>
            </w:pPr>
            <w:r>
              <w:lastRenderedPageBreak/>
              <w:t xml:space="preserve">Study </w:t>
            </w:r>
            <w:r w:rsidR="009253BF" w:rsidRPr="00C2097E">
              <w:t>B7471007 (Cohort 2) 50</w:t>
            </w:r>
            <w:r w:rsidR="00C2097E">
              <w:t xml:space="preserve"> to </w:t>
            </w:r>
            <w:r w:rsidR="009253BF" w:rsidRPr="00C2097E">
              <w:t>59 years:</w:t>
            </w:r>
          </w:p>
          <w:p w14:paraId="5D11B690" w14:textId="30A6F44E" w:rsidR="009253BF" w:rsidRPr="00C2097E" w:rsidRDefault="009253BF" w:rsidP="00C2097E">
            <w:pPr>
              <w:pStyle w:val="ListBullet2"/>
            </w:pPr>
            <w:r w:rsidRPr="00C2097E">
              <w:t xml:space="preserve">Redness (any) = 8.2% </w:t>
            </w:r>
            <w:r w:rsidR="00941034" w:rsidRPr="00C2097E">
              <w:t>v</w:t>
            </w:r>
            <w:r w:rsidR="00941034">
              <w:t>ersu</w:t>
            </w:r>
            <w:r w:rsidR="00941034" w:rsidRPr="00C2097E">
              <w:t xml:space="preserve">s </w:t>
            </w:r>
            <w:r w:rsidRPr="00C2097E">
              <w:t>5.4%</w:t>
            </w:r>
          </w:p>
          <w:p w14:paraId="0B959CB7" w14:textId="0FF721AA" w:rsidR="009253BF" w:rsidRPr="00C2097E" w:rsidRDefault="009253BF" w:rsidP="00C2097E">
            <w:pPr>
              <w:pStyle w:val="ListBullet2"/>
            </w:pPr>
            <w:r w:rsidRPr="00C2097E">
              <w:t xml:space="preserve">Swelling (any) = 8.8% </w:t>
            </w:r>
            <w:r w:rsidR="00941034" w:rsidRPr="00C2097E">
              <w:t>v</w:t>
            </w:r>
            <w:r w:rsidR="00941034">
              <w:t>ersu</w:t>
            </w:r>
            <w:r w:rsidR="00941034" w:rsidRPr="00C2097E">
              <w:t xml:space="preserve">s </w:t>
            </w:r>
            <w:r w:rsidRPr="00C2097E">
              <w:t>10.8%</w:t>
            </w:r>
          </w:p>
          <w:p w14:paraId="05A9C943" w14:textId="16D33B9F" w:rsidR="009253BF" w:rsidRPr="00C2097E" w:rsidRDefault="009253BF" w:rsidP="00C2097E">
            <w:pPr>
              <w:pStyle w:val="ListBullet2"/>
            </w:pPr>
            <w:r w:rsidRPr="00C2097E">
              <w:t xml:space="preserve">Pain at injection site (any) = 72.5% </w:t>
            </w:r>
            <w:r w:rsidR="00941034" w:rsidRPr="00C2097E">
              <w:t>v</w:t>
            </w:r>
            <w:r w:rsidR="00941034">
              <w:t>ersu</w:t>
            </w:r>
            <w:r w:rsidR="00941034" w:rsidRPr="00C2097E">
              <w:t xml:space="preserve">s </w:t>
            </w:r>
            <w:r w:rsidRPr="00C2097E">
              <w:t>69.4%</w:t>
            </w:r>
          </w:p>
          <w:p w14:paraId="5D9ACC54" w14:textId="4662F89E" w:rsidR="009253BF" w:rsidRPr="00C2097E" w:rsidRDefault="009253BF" w:rsidP="00C2097E">
            <w:pPr>
              <w:pStyle w:val="ListBullet"/>
            </w:pPr>
            <w:r w:rsidRPr="00C2097E">
              <w:t xml:space="preserve">Pooled </w:t>
            </w:r>
            <w:r w:rsidR="00941034">
              <w:t xml:space="preserve">Study </w:t>
            </w:r>
            <w:r w:rsidRPr="00C2097E">
              <w:t xml:space="preserve">7471007 (Cohort 3) plus </w:t>
            </w:r>
            <w:r w:rsidR="00941034">
              <w:t>Study </w:t>
            </w:r>
            <w:r w:rsidRPr="00C2097E">
              <w:t>B7471008 18</w:t>
            </w:r>
            <w:r w:rsidR="00941034">
              <w:t xml:space="preserve"> to </w:t>
            </w:r>
            <w:r w:rsidRPr="00C2097E">
              <w:t>49 year</w:t>
            </w:r>
            <w:r w:rsidR="00941034">
              <w:t xml:space="preserve"> old population</w:t>
            </w:r>
            <w:r w:rsidRPr="00C2097E">
              <w:t>:</w:t>
            </w:r>
          </w:p>
          <w:p w14:paraId="169DAD2D" w14:textId="5DE89DD0" w:rsidR="009253BF" w:rsidRPr="00C2097E" w:rsidRDefault="009253BF" w:rsidP="00C2097E">
            <w:pPr>
              <w:pStyle w:val="ListBullet2"/>
            </w:pPr>
            <w:r w:rsidRPr="00C2097E">
              <w:t xml:space="preserve">Redness (any) = 7.4% </w:t>
            </w:r>
            <w:r w:rsidR="00941034" w:rsidRPr="00C2097E">
              <w:t>v</w:t>
            </w:r>
            <w:r w:rsidR="00941034">
              <w:t>ersu</w:t>
            </w:r>
            <w:r w:rsidR="00941034" w:rsidRPr="00C2097E">
              <w:t xml:space="preserve">s </w:t>
            </w:r>
            <w:r w:rsidRPr="00C2097E">
              <w:t>7.3%</w:t>
            </w:r>
          </w:p>
          <w:p w14:paraId="3A095816" w14:textId="3FFB1B4A" w:rsidR="009253BF" w:rsidRPr="00C2097E" w:rsidRDefault="009253BF" w:rsidP="00C2097E">
            <w:pPr>
              <w:pStyle w:val="ListBullet2"/>
            </w:pPr>
            <w:r w:rsidRPr="00C2097E">
              <w:t xml:space="preserve">Swelling (any) = 9.1% </w:t>
            </w:r>
            <w:r w:rsidR="00941034" w:rsidRPr="00C2097E">
              <w:t>v</w:t>
            </w:r>
            <w:r w:rsidR="00941034">
              <w:t>ersu</w:t>
            </w:r>
            <w:r w:rsidR="00941034" w:rsidRPr="00C2097E">
              <w:t xml:space="preserve">s </w:t>
            </w:r>
            <w:r w:rsidRPr="00C2097E">
              <w:t>9.9%</w:t>
            </w:r>
          </w:p>
          <w:p w14:paraId="13851B70" w14:textId="1F52C0D9" w:rsidR="009253BF" w:rsidRPr="00C2097E" w:rsidRDefault="009253BF" w:rsidP="00C2097E">
            <w:pPr>
              <w:pStyle w:val="ListBullet2"/>
            </w:pPr>
            <w:r w:rsidRPr="00C2097E">
              <w:t xml:space="preserve">Pain at injection site (any) = 79.2% </w:t>
            </w:r>
            <w:r w:rsidR="00941034" w:rsidRPr="00C2097E">
              <w:t>v</w:t>
            </w:r>
            <w:r w:rsidR="00941034">
              <w:t>ersu</w:t>
            </w:r>
            <w:r w:rsidR="00941034" w:rsidRPr="00C2097E">
              <w:t xml:space="preserve">s </w:t>
            </w:r>
            <w:r w:rsidRPr="00C2097E">
              <w:t>77.7%</w:t>
            </w:r>
          </w:p>
          <w:p w14:paraId="747A4A30" w14:textId="1F585AA7" w:rsidR="009253BF" w:rsidRPr="00C2097E" w:rsidRDefault="009253BF" w:rsidP="00C2097E">
            <w:pPr>
              <w:pStyle w:val="Tabletext0"/>
            </w:pPr>
            <w:r w:rsidRPr="00C2097E">
              <w:t>b. Subjects aged ≥ 65 years by prior vaccine status</w:t>
            </w:r>
          </w:p>
          <w:p w14:paraId="127CFD9D" w14:textId="7B873540" w:rsidR="009253BF" w:rsidRPr="00C2097E" w:rsidRDefault="00941034" w:rsidP="00C2097E">
            <w:pPr>
              <w:pStyle w:val="ListBullet"/>
            </w:pPr>
            <w:r>
              <w:t xml:space="preserve">Study </w:t>
            </w:r>
            <w:r w:rsidR="009253BF" w:rsidRPr="00C2097E">
              <w:t>B7471007 (subset Cohort 1) pneumococcal vaccine-naïve (</w:t>
            </w:r>
            <w:r w:rsidR="005568B8">
              <w:t>Prevenar 20</w:t>
            </w:r>
            <w:r w:rsidR="009253BF" w:rsidRPr="00C2097E">
              <w:t xml:space="preserve"> </w:t>
            </w:r>
            <w:r>
              <w:t>versus</w:t>
            </w:r>
            <w:r w:rsidR="009253BF" w:rsidRPr="00C2097E">
              <w:t xml:space="preserve"> </w:t>
            </w:r>
            <w:r w:rsidR="005568B8">
              <w:t>Prevenar 13</w:t>
            </w:r>
            <w:r w:rsidR="009253BF" w:rsidRPr="00C2097E">
              <w:t>, respectively):</w:t>
            </w:r>
          </w:p>
          <w:p w14:paraId="601A3258" w14:textId="0D12E245" w:rsidR="009253BF" w:rsidRPr="00C2097E" w:rsidRDefault="009253BF" w:rsidP="00C2097E">
            <w:pPr>
              <w:pStyle w:val="ListBullet2"/>
            </w:pPr>
            <w:r w:rsidRPr="00C2097E">
              <w:t xml:space="preserve">Redness (any) = 7.8% </w:t>
            </w:r>
            <w:r w:rsidR="00941034">
              <w:t>versus</w:t>
            </w:r>
            <w:r w:rsidRPr="00C2097E">
              <w:t xml:space="preserve"> 6.1%</w:t>
            </w:r>
          </w:p>
          <w:p w14:paraId="680A50A7" w14:textId="287F3B06" w:rsidR="009253BF" w:rsidRPr="00C2097E" w:rsidRDefault="009253BF" w:rsidP="00C2097E">
            <w:pPr>
              <w:pStyle w:val="ListBullet2"/>
            </w:pPr>
            <w:r w:rsidRPr="00C2097E">
              <w:t xml:space="preserve">Swelling (any) = 6.6% </w:t>
            </w:r>
            <w:r w:rsidR="00941034">
              <w:t>versus</w:t>
            </w:r>
            <w:r w:rsidRPr="00C2097E">
              <w:t xml:space="preserve"> 7.3%</w:t>
            </w:r>
          </w:p>
          <w:p w14:paraId="6EC50C14" w14:textId="3408135F" w:rsidR="009253BF" w:rsidRPr="00C2097E" w:rsidRDefault="009253BF" w:rsidP="00C2097E">
            <w:pPr>
              <w:pStyle w:val="ListBullet2"/>
            </w:pPr>
            <w:r w:rsidRPr="00C2097E">
              <w:t xml:space="preserve">Pain at injection site (any) = 43.6% </w:t>
            </w:r>
            <w:r w:rsidR="00941034">
              <w:t>versus</w:t>
            </w:r>
            <w:r w:rsidRPr="00C2097E">
              <w:t xml:space="preserve"> 44.0%</w:t>
            </w:r>
          </w:p>
          <w:p w14:paraId="186D4D4F" w14:textId="691634CB" w:rsidR="009253BF" w:rsidRPr="00C2097E" w:rsidRDefault="00941034" w:rsidP="00C2097E">
            <w:pPr>
              <w:pStyle w:val="ListBullet"/>
            </w:pPr>
            <w:r>
              <w:t xml:space="preserve">Study </w:t>
            </w:r>
            <w:r w:rsidR="009253BF" w:rsidRPr="00C2097E">
              <w:t xml:space="preserve">B7471006 prior </w:t>
            </w:r>
            <w:r>
              <w:t>Pneumovax 23</w:t>
            </w:r>
            <w:r w:rsidR="009253BF" w:rsidRPr="00C2097E">
              <w:t xml:space="preserve"> (</w:t>
            </w:r>
            <w:r w:rsidR="005568B8">
              <w:t>Prevenar 20</w:t>
            </w:r>
            <w:r w:rsidR="009253BF" w:rsidRPr="00C2097E">
              <w:t xml:space="preserve"> </w:t>
            </w:r>
            <w:r>
              <w:t>versus</w:t>
            </w:r>
            <w:r w:rsidR="009253BF" w:rsidRPr="00C2097E">
              <w:t xml:space="preserve"> </w:t>
            </w:r>
            <w:r w:rsidR="005568B8">
              <w:t>Prevenar 13</w:t>
            </w:r>
            <w:r w:rsidR="009253BF" w:rsidRPr="00C2097E">
              <w:t>, respectively):</w:t>
            </w:r>
          </w:p>
          <w:p w14:paraId="343B94DC" w14:textId="55CD0080" w:rsidR="009253BF" w:rsidRPr="00C2097E" w:rsidRDefault="009253BF" w:rsidP="00C2097E">
            <w:pPr>
              <w:pStyle w:val="ListBullet2"/>
            </w:pPr>
            <w:r w:rsidRPr="00C2097E">
              <w:t xml:space="preserve">Redness (any) = 7.9% </w:t>
            </w:r>
            <w:r w:rsidR="00941034">
              <w:t>versus</w:t>
            </w:r>
            <w:r w:rsidRPr="00C2097E">
              <w:t xml:space="preserve"> 2.5%</w:t>
            </w:r>
          </w:p>
          <w:p w14:paraId="6CCA887F" w14:textId="34990D49" w:rsidR="009253BF" w:rsidRPr="00C2097E" w:rsidRDefault="009253BF" w:rsidP="00C2097E">
            <w:pPr>
              <w:pStyle w:val="ListBullet2"/>
            </w:pPr>
            <w:r w:rsidRPr="00C2097E">
              <w:t xml:space="preserve">Swelling (any) = 9.9% </w:t>
            </w:r>
            <w:r w:rsidR="00941034">
              <w:t>versus</w:t>
            </w:r>
            <w:r w:rsidRPr="00C2097E">
              <w:t xml:space="preserve"> 6.6%</w:t>
            </w:r>
          </w:p>
          <w:p w14:paraId="30E36267" w14:textId="6E9F7ABD" w:rsidR="009253BF" w:rsidRPr="00C2097E" w:rsidRDefault="009253BF" w:rsidP="00C2097E">
            <w:pPr>
              <w:pStyle w:val="ListBullet2"/>
            </w:pPr>
            <w:r w:rsidRPr="00C2097E">
              <w:t xml:space="preserve">Pain at injection site (any) = 50.2% </w:t>
            </w:r>
            <w:r w:rsidR="00941034">
              <w:t>versus</w:t>
            </w:r>
            <w:r w:rsidRPr="00C2097E">
              <w:t xml:space="preserve"> 43.0%</w:t>
            </w:r>
          </w:p>
          <w:p w14:paraId="1E42E369" w14:textId="769FD0A6" w:rsidR="009253BF" w:rsidRPr="00C2097E" w:rsidRDefault="00941034" w:rsidP="00C2097E">
            <w:pPr>
              <w:pStyle w:val="ListBullet"/>
            </w:pPr>
            <w:r>
              <w:t xml:space="preserve">Study </w:t>
            </w:r>
            <w:r w:rsidR="009253BF" w:rsidRPr="00C2097E">
              <w:t xml:space="preserve">B7471006 prior </w:t>
            </w:r>
            <w:r w:rsidR="005568B8">
              <w:t>Prevenar 13</w:t>
            </w:r>
            <w:r w:rsidR="009253BF" w:rsidRPr="00C2097E">
              <w:t xml:space="preserve"> (</w:t>
            </w:r>
            <w:r w:rsidR="005568B8">
              <w:t>Prevenar 20</w:t>
            </w:r>
            <w:r w:rsidR="009253BF" w:rsidRPr="00C2097E">
              <w:t xml:space="preserve"> </w:t>
            </w:r>
            <w:r>
              <w:t>versus</w:t>
            </w:r>
            <w:r w:rsidR="009253BF" w:rsidRPr="00C2097E">
              <w:t xml:space="preserve"> </w:t>
            </w:r>
            <w:r>
              <w:t>Pneumovax 23</w:t>
            </w:r>
            <w:r w:rsidR="009253BF" w:rsidRPr="00C2097E">
              <w:t>, respectively):</w:t>
            </w:r>
          </w:p>
          <w:p w14:paraId="071AEC65" w14:textId="6C1454A2" w:rsidR="009253BF" w:rsidRPr="00C2097E" w:rsidRDefault="009253BF" w:rsidP="00C2097E">
            <w:pPr>
              <w:pStyle w:val="ListBullet2"/>
            </w:pPr>
            <w:r w:rsidRPr="00C2097E">
              <w:t xml:space="preserve">Redness (any) = 8.6% </w:t>
            </w:r>
            <w:r w:rsidR="00941034">
              <w:t>versus</w:t>
            </w:r>
            <w:r w:rsidRPr="00C2097E">
              <w:t xml:space="preserve"> 12.7%</w:t>
            </w:r>
          </w:p>
          <w:p w14:paraId="2EEB897A" w14:textId="62FFAD15" w:rsidR="009253BF" w:rsidRPr="00C2097E" w:rsidRDefault="009253BF" w:rsidP="00C2097E">
            <w:pPr>
              <w:pStyle w:val="ListBullet2"/>
            </w:pPr>
            <w:r w:rsidRPr="00C2097E">
              <w:t xml:space="preserve">Swelling (any) = 9.4% </w:t>
            </w:r>
            <w:r w:rsidR="00941034">
              <w:t>versus</w:t>
            </w:r>
            <w:r w:rsidRPr="00C2097E">
              <w:t xml:space="preserve"> 14.3%</w:t>
            </w:r>
          </w:p>
          <w:p w14:paraId="1D05DC4C" w14:textId="059FDD91" w:rsidR="009253BF" w:rsidRPr="00C2097E" w:rsidRDefault="009253BF" w:rsidP="00C2097E">
            <w:pPr>
              <w:pStyle w:val="ListBullet2"/>
            </w:pPr>
            <w:r w:rsidRPr="00C2097E">
              <w:t xml:space="preserve">Pain at injection site (any) = 61.2% </w:t>
            </w:r>
            <w:r w:rsidR="00941034">
              <w:t>versus</w:t>
            </w:r>
            <w:r w:rsidRPr="00C2097E">
              <w:t xml:space="preserve"> 56.3%</w:t>
            </w:r>
          </w:p>
          <w:p w14:paraId="04E11453" w14:textId="3E9783BB" w:rsidR="009253BF" w:rsidRPr="00C2097E" w:rsidRDefault="00941034" w:rsidP="00C2097E">
            <w:pPr>
              <w:pStyle w:val="ListBullet"/>
            </w:pPr>
            <w:r>
              <w:t xml:space="preserve">Study </w:t>
            </w:r>
            <w:r w:rsidR="009253BF" w:rsidRPr="00C2097E">
              <w:t xml:space="preserve">B7471006 prior </w:t>
            </w:r>
            <w:r w:rsidR="005568B8">
              <w:t>Prevenar 13</w:t>
            </w:r>
            <w:r w:rsidR="009253BF" w:rsidRPr="00C2097E">
              <w:t xml:space="preserve"> and </w:t>
            </w:r>
            <w:r>
              <w:t>Pneumovax 23</w:t>
            </w:r>
            <w:r w:rsidR="009253BF" w:rsidRPr="00C2097E">
              <w:t xml:space="preserve"> (</w:t>
            </w:r>
            <w:r w:rsidR="005568B8">
              <w:t>Prevenar 20</w:t>
            </w:r>
            <w:r w:rsidR="009253BF" w:rsidRPr="00C2097E">
              <w:t>):</w:t>
            </w:r>
          </w:p>
          <w:p w14:paraId="49D556EB" w14:textId="063768B2" w:rsidR="009253BF" w:rsidRPr="00C2097E" w:rsidRDefault="009253BF" w:rsidP="00C2097E">
            <w:pPr>
              <w:pStyle w:val="ListBullet2"/>
            </w:pPr>
            <w:r w:rsidRPr="00C2097E">
              <w:t>Redness (any) = 4.8%</w:t>
            </w:r>
          </w:p>
          <w:p w14:paraId="18745A01" w14:textId="30509F7D" w:rsidR="009253BF" w:rsidRPr="00C2097E" w:rsidRDefault="009253BF" w:rsidP="00C2097E">
            <w:pPr>
              <w:pStyle w:val="ListBullet2"/>
            </w:pPr>
            <w:r w:rsidRPr="00C2097E">
              <w:t>Swelling (any) = 4.0%</w:t>
            </w:r>
          </w:p>
          <w:p w14:paraId="42AD89AB" w14:textId="389BB0AC" w:rsidR="009253BF" w:rsidRPr="00C2097E" w:rsidRDefault="009253BF" w:rsidP="00C2097E">
            <w:pPr>
              <w:pStyle w:val="ListBullet2"/>
            </w:pPr>
            <w:r w:rsidRPr="00C2097E">
              <w:t>Pain at injection site (any) = 52.8%</w:t>
            </w:r>
          </w:p>
          <w:p w14:paraId="316E9487" w14:textId="3889C826" w:rsidR="009253BF" w:rsidRPr="00C2097E" w:rsidRDefault="009253BF" w:rsidP="00C2097E">
            <w:pPr>
              <w:pStyle w:val="Tabletext0"/>
              <w:rPr>
                <w:rFonts w:eastAsia="TimesNewRoman"/>
                <w:b/>
                <w:bCs/>
              </w:rPr>
            </w:pPr>
            <w:r w:rsidRPr="00C2097E">
              <w:rPr>
                <w:rFonts w:eastAsia="TimesNewRoman"/>
                <w:b/>
                <w:bCs/>
              </w:rPr>
              <w:lastRenderedPageBreak/>
              <w:t xml:space="preserve">2. Prompted systemic events within 7 days after vaccination reported in subjects in the three </w:t>
            </w:r>
            <w:r w:rsidR="00C2097E">
              <w:rPr>
                <w:rFonts w:eastAsia="TimesNewRoman"/>
                <w:b/>
                <w:bCs/>
              </w:rPr>
              <w:t>Phase III</w:t>
            </w:r>
            <w:r w:rsidRPr="00C2097E">
              <w:rPr>
                <w:rFonts w:eastAsia="TimesNewRoman"/>
                <w:b/>
                <w:bCs/>
              </w:rPr>
              <w:t xml:space="preserve"> studies</w:t>
            </w:r>
          </w:p>
          <w:p w14:paraId="7A44BAC2" w14:textId="602BB677" w:rsidR="009253BF" w:rsidRPr="00C2097E" w:rsidRDefault="009253BF" w:rsidP="00C2097E">
            <w:pPr>
              <w:pStyle w:val="Tabletext0"/>
            </w:pPr>
            <w:r w:rsidRPr="00C2097E">
              <w:t>a. Pneumococcal vaccine-naïve subjects (</w:t>
            </w:r>
            <w:r w:rsidR="005568B8">
              <w:t>Prevenar 20</w:t>
            </w:r>
            <w:r w:rsidRPr="00C2097E">
              <w:t xml:space="preserve"> </w:t>
            </w:r>
            <w:r w:rsidR="00941034">
              <w:t>versus</w:t>
            </w:r>
            <w:r w:rsidRPr="00C2097E">
              <w:t xml:space="preserve"> </w:t>
            </w:r>
            <w:r w:rsidR="005568B8">
              <w:t>Prevenar 13</w:t>
            </w:r>
            <w:r w:rsidRPr="00C2097E">
              <w:t>, respectively)</w:t>
            </w:r>
          </w:p>
          <w:p w14:paraId="39BD9BC3" w14:textId="47FB7D74" w:rsidR="009253BF" w:rsidRPr="00C2097E" w:rsidRDefault="00941034" w:rsidP="00C2097E">
            <w:pPr>
              <w:pStyle w:val="ListBullet"/>
            </w:pPr>
            <w:r>
              <w:t xml:space="preserve">Study </w:t>
            </w:r>
            <w:r w:rsidR="009253BF" w:rsidRPr="00C2097E">
              <w:t>B7471007 (Cohort 1) ≥ 60 years:</w:t>
            </w:r>
          </w:p>
          <w:p w14:paraId="3A0D6846" w14:textId="0803E606" w:rsidR="009253BF" w:rsidRPr="00C2097E" w:rsidRDefault="009253BF" w:rsidP="00C2097E">
            <w:pPr>
              <w:pStyle w:val="ListBullet2"/>
            </w:pPr>
            <w:r w:rsidRPr="00C2097E">
              <w:t xml:space="preserve">Fever ≥ 38.0℃ = 0.9% </w:t>
            </w:r>
            <w:r w:rsidR="00941034">
              <w:t>versus</w:t>
            </w:r>
            <w:r w:rsidRPr="00C2097E">
              <w:t xml:space="preserve"> 0.8%</w:t>
            </w:r>
          </w:p>
          <w:p w14:paraId="2F661681" w14:textId="189C3226" w:rsidR="009253BF" w:rsidRPr="00C2097E" w:rsidRDefault="009253BF" w:rsidP="00C2097E">
            <w:pPr>
              <w:pStyle w:val="ListBullet2"/>
            </w:pPr>
            <w:r w:rsidRPr="00C2097E">
              <w:t xml:space="preserve">Fatigue (any) = 30.2% </w:t>
            </w:r>
            <w:r w:rsidR="00941034">
              <w:t>versus</w:t>
            </w:r>
            <w:r w:rsidRPr="00C2097E">
              <w:t xml:space="preserve"> 30.7%</w:t>
            </w:r>
          </w:p>
          <w:p w14:paraId="7A7A1ADE" w14:textId="3B3C9799" w:rsidR="009253BF" w:rsidRPr="00C2097E" w:rsidRDefault="009253BF" w:rsidP="00C2097E">
            <w:pPr>
              <w:pStyle w:val="ListBullet2"/>
            </w:pPr>
            <w:r w:rsidRPr="00C2097E">
              <w:t xml:space="preserve">Headache (any) = 21.5% </w:t>
            </w:r>
            <w:r w:rsidR="00941034">
              <w:t>versus</w:t>
            </w:r>
            <w:r w:rsidRPr="00C2097E">
              <w:t xml:space="preserve"> 23.3%</w:t>
            </w:r>
          </w:p>
          <w:p w14:paraId="3965A5D8" w14:textId="1E90A07A" w:rsidR="009253BF" w:rsidRPr="00C2097E" w:rsidRDefault="009253BF" w:rsidP="00C2097E">
            <w:pPr>
              <w:pStyle w:val="ListBullet2"/>
            </w:pPr>
            <w:r w:rsidRPr="00C2097E">
              <w:t xml:space="preserve">Muscle pain (any) = 39.1% </w:t>
            </w:r>
            <w:r w:rsidR="00941034">
              <w:t>versus</w:t>
            </w:r>
            <w:r w:rsidRPr="00C2097E">
              <w:t xml:space="preserve"> 37.3%</w:t>
            </w:r>
          </w:p>
          <w:p w14:paraId="0B98183A" w14:textId="2D691E45" w:rsidR="009253BF" w:rsidRPr="00C2097E" w:rsidRDefault="009253BF" w:rsidP="00C2097E">
            <w:pPr>
              <w:pStyle w:val="ListBullet2"/>
            </w:pPr>
            <w:r w:rsidRPr="00C2097E">
              <w:t xml:space="preserve">- Joint pain (any) = 12.6% </w:t>
            </w:r>
            <w:r w:rsidR="00941034">
              <w:t>versus</w:t>
            </w:r>
            <w:r w:rsidRPr="00C2097E">
              <w:t xml:space="preserve"> 13.7%</w:t>
            </w:r>
          </w:p>
          <w:p w14:paraId="64E62ADB" w14:textId="29DEB429" w:rsidR="009253BF" w:rsidRPr="00C2097E" w:rsidRDefault="00941034" w:rsidP="00C2097E">
            <w:pPr>
              <w:pStyle w:val="ListBullet"/>
            </w:pPr>
            <w:r>
              <w:t xml:space="preserve">Study </w:t>
            </w:r>
            <w:r w:rsidR="009253BF" w:rsidRPr="00C2097E">
              <w:t>B7471007 (Cohort 2) 50-59 years:</w:t>
            </w:r>
          </w:p>
          <w:p w14:paraId="6D06FFD4" w14:textId="34BB0E84" w:rsidR="009253BF" w:rsidRPr="00C2097E" w:rsidRDefault="009253BF" w:rsidP="00C2097E">
            <w:pPr>
              <w:pStyle w:val="ListBullet2"/>
            </w:pPr>
            <w:r w:rsidRPr="00C2097E">
              <w:t xml:space="preserve">Fever ≥ 38.0℃ = 1.5% </w:t>
            </w:r>
            <w:r w:rsidR="00941034">
              <w:t>versus</w:t>
            </w:r>
            <w:r w:rsidRPr="00C2097E">
              <w:t xml:space="preserve"> 0.9%</w:t>
            </w:r>
          </w:p>
          <w:p w14:paraId="409153EA" w14:textId="0728A271" w:rsidR="009253BF" w:rsidRPr="00C2097E" w:rsidRDefault="009253BF" w:rsidP="00C2097E">
            <w:pPr>
              <w:pStyle w:val="ListBullet2"/>
            </w:pPr>
            <w:r w:rsidRPr="00C2097E">
              <w:t xml:space="preserve">Fatigue (any) = 39.3% </w:t>
            </w:r>
            <w:r w:rsidR="00941034">
              <w:t>versus</w:t>
            </w:r>
            <w:r w:rsidRPr="00C2097E">
              <w:t xml:space="preserve"> 36.0%</w:t>
            </w:r>
          </w:p>
          <w:p w14:paraId="224D0111" w14:textId="3CEC7D47" w:rsidR="009253BF" w:rsidRPr="00C2097E" w:rsidRDefault="009253BF" w:rsidP="00C2097E">
            <w:pPr>
              <w:pStyle w:val="ListBullet2"/>
            </w:pPr>
            <w:r w:rsidRPr="00C2097E">
              <w:t xml:space="preserve">Headache (any) = 32.3% </w:t>
            </w:r>
            <w:r w:rsidR="00941034">
              <w:t>versus</w:t>
            </w:r>
            <w:r w:rsidRPr="00C2097E">
              <w:t xml:space="preserve"> 36.0%</w:t>
            </w:r>
          </w:p>
          <w:p w14:paraId="7F2EA078" w14:textId="578ED76C" w:rsidR="009253BF" w:rsidRPr="00C2097E" w:rsidRDefault="009253BF" w:rsidP="00C2097E">
            <w:pPr>
              <w:pStyle w:val="ListBullet2"/>
            </w:pPr>
            <w:r w:rsidRPr="00C2097E">
              <w:t xml:space="preserve">Muscle pain (any) = 49.8% </w:t>
            </w:r>
            <w:r w:rsidR="00941034">
              <w:t>versus</w:t>
            </w:r>
            <w:r w:rsidRPr="00C2097E">
              <w:t xml:space="preserve"> 49.5%</w:t>
            </w:r>
          </w:p>
          <w:p w14:paraId="3ACF1DBF" w14:textId="1DEB20C7" w:rsidR="009253BF" w:rsidRPr="00C2097E" w:rsidRDefault="009253BF" w:rsidP="00C2097E">
            <w:pPr>
              <w:pStyle w:val="ListBullet2"/>
            </w:pPr>
            <w:r w:rsidRPr="00C2097E">
              <w:t xml:space="preserve">Joint pain (any) = 15.4% </w:t>
            </w:r>
            <w:r w:rsidR="00941034">
              <w:t>versus</w:t>
            </w:r>
            <w:r w:rsidRPr="00C2097E">
              <w:t xml:space="preserve"> 20.7%</w:t>
            </w:r>
          </w:p>
          <w:p w14:paraId="36B4EF7F" w14:textId="3CACD677" w:rsidR="009253BF" w:rsidRPr="00C2097E" w:rsidRDefault="009253BF" w:rsidP="00C2097E">
            <w:pPr>
              <w:pStyle w:val="ListBullet"/>
            </w:pPr>
            <w:r w:rsidRPr="00C2097E">
              <w:t>Pooled 7471007 (Cohort 3) plus B7471008 18-49 years:</w:t>
            </w:r>
          </w:p>
          <w:p w14:paraId="56549D13" w14:textId="60554443" w:rsidR="009253BF" w:rsidRPr="00C2097E" w:rsidRDefault="009253BF" w:rsidP="00C2097E">
            <w:pPr>
              <w:pStyle w:val="ListBullet2"/>
            </w:pPr>
            <w:r w:rsidRPr="00C2097E">
              <w:t xml:space="preserve">Fever ≥ 38.0℃ = 1.2% </w:t>
            </w:r>
            <w:r w:rsidR="00941034">
              <w:t>versus</w:t>
            </w:r>
            <w:r w:rsidRPr="00C2097E">
              <w:t xml:space="preserve"> 1.1%</w:t>
            </w:r>
          </w:p>
          <w:p w14:paraId="071AB5C0" w14:textId="4228B39A" w:rsidR="009253BF" w:rsidRPr="00C2097E" w:rsidRDefault="009253BF" w:rsidP="00C2097E">
            <w:pPr>
              <w:pStyle w:val="ListBullet2"/>
            </w:pPr>
            <w:r w:rsidRPr="00C2097E">
              <w:t xml:space="preserve">Fatigue (any) = 46.7% </w:t>
            </w:r>
            <w:r w:rsidR="00941034">
              <w:t>versus</w:t>
            </w:r>
            <w:r w:rsidRPr="00C2097E">
              <w:t xml:space="preserve"> 43.7%</w:t>
            </w:r>
          </w:p>
          <w:p w14:paraId="26BB440B" w14:textId="2E7EFF0D" w:rsidR="009253BF" w:rsidRPr="00C2097E" w:rsidRDefault="009253BF" w:rsidP="00C2097E">
            <w:pPr>
              <w:pStyle w:val="ListBullet2"/>
            </w:pPr>
            <w:r w:rsidRPr="00C2097E">
              <w:t xml:space="preserve">Headache (any) = 36.7% </w:t>
            </w:r>
            <w:r w:rsidR="00941034">
              <w:t>versus</w:t>
            </w:r>
            <w:r w:rsidRPr="00C2097E">
              <w:t xml:space="preserve"> 36.6%</w:t>
            </w:r>
          </w:p>
          <w:p w14:paraId="792E23CC" w14:textId="590B62F9" w:rsidR="009253BF" w:rsidRPr="00C2097E" w:rsidRDefault="009253BF" w:rsidP="00C2097E">
            <w:pPr>
              <w:pStyle w:val="ListBullet2"/>
            </w:pPr>
            <w:r w:rsidRPr="00C2097E">
              <w:t xml:space="preserve">Muscle pain (any) = 62.9% </w:t>
            </w:r>
            <w:r w:rsidR="00941034">
              <w:t>versus</w:t>
            </w:r>
            <w:r w:rsidRPr="00C2097E">
              <w:t xml:space="preserve"> 64.8%</w:t>
            </w:r>
          </w:p>
          <w:p w14:paraId="7A204616" w14:textId="24E0CEB7" w:rsidR="009253BF" w:rsidRPr="00C2097E" w:rsidRDefault="009253BF" w:rsidP="00C2097E">
            <w:pPr>
              <w:pStyle w:val="ListBullet2"/>
            </w:pPr>
            <w:r w:rsidRPr="00C2097E">
              <w:t xml:space="preserve">Joint pain (any) = 16.2% </w:t>
            </w:r>
            <w:r w:rsidR="00941034">
              <w:t>versus</w:t>
            </w:r>
            <w:r w:rsidRPr="00C2097E">
              <w:t xml:space="preserve"> 15.2%</w:t>
            </w:r>
          </w:p>
          <w:p w14:paraId="432DB94C" w14:textId="1A0FE336" w:rsidR="009253BF" w:rsidRPr="00C2097E" w:rsidRDefault="009253BF" w:rsidP="00C2097E">
            <w:pPr>
              <w:pStyle w:val="Tabletext0"/>
            </w:pPr>
            <w:r w:rsidRPr="00C2097E">
              <w:t>b. Subjects aged ≥ 65 years by prior vaccine status</w:t>
            </w:r>
          </w:p>
          <w:p w14:paraId="4C2A6376" w14:textId="4CFFFD45" w:rsidR="009253BF" w:rsidRPr="00C2097E" w:rsidRDefault="00941034" w:rsidP="00C2097E">
            <w:pPr>
              <w:pStyle w:val="ListBullet"/>
            </w:pPr>
            <w:r>
              <w:t xml:space="preserve">Study </w:t>
            </w:r>
            <w:r w:rsidR="009253BF" w:rsidRPr="00C2097E">
              <w:t>B7471007 (subset Cohort 1) pneumococcal vaccine-naïve (</w:t>
            </w:r>
            <w:r w:rsidR="005568B8">
              <w:t>Prevenar 20</w:t>
            </w:r>
            <w:r w:rsidR="009253BF" w:rsidRPr="00C2097E">
              <w:t xml:space="preserve"> </w:t>
            </w:r>
            <w:r>
              <w:t>versus</w:t>
            </w:r>
            <w:r w:rsidR="009253BF" w:rsidRPr="00C2097E">
              <w:t xml:space="preserve"> </w:t>
            </w:r>
            <w:r w:rsidR="005568B8">
              <w:t>Prevenar 13</w:t>
            </w:r>
            <w:r w:rsidR="009253BF" w:rsidRPr="00C2097E">
              <w:t>, respectively):</w:t>
            </w:r>
          </w:p>
          <w:p w14:paraId="11369151" w14:textId="13A4150A" w:rsidR="009253BF" w:rsidRPr="00C2097E" w:rsidRDefault="009253BF" w:rsidP="00C2097E">
            <w:pPr>
              <w:pStyle w:val="ListBullet2"/>
            </w:pPr>
            <w:r w:rsidRPr="00C2097E">
              <w:t xml:space="preserve">Fever ≥ 38.0℃ = 1.2% </w:t>
            </w:r>
            <w:r w:rsidR="00941034">
              <w:t>versus</w:t>
            </w:r>
            <w:r w:rsidRPr="00C2097E">
              <w:t xml:space="preserve"> 1.6%</w:t>
            </w:r>
          </w:p>
          <w:p w14:paraId="75719608" w14:textId="18C7D35D" w:rsidR="009253BF" w:rsidRPr="00C2097E" w:rsidRDefault="009253BF" w:rsidP="00C2097E">
            <w:pPr>
              <w:pStyle w:val="ListBullet2"/>
            </w:pPr>
            <w:r w:rsidRPr="00C2097E">
              <w:t xml:space="preserve">Fatigue (any) = 25.3% </w:t>
            </w:r>
            <w:r w:rsidR="00941034">
              <w:t>versus</w:t>
            </w:r>
            <w:r w:rsidRPr="00C2097E">
              <w:t xml:space="preserve"> 27.2%</w:t>
            </w:r>
          </w:p>
          <w:p w14:paraId="2195A74C" w14:textId="45044923" w:rsidR="009253BF" w:rsidRPr="00C2097E" w:rsidRDefault="009253BF" w:rsidP="00C2097E">
            <w:pPr>
              <w:pStyle w:val="ListBullet2"/>
            </w:pPr>
            <w:r w:rsidRPr="00C2097E">
              <w:t xml:space="preserve">Headache (any) = 15.8% </w:t>
            </w:r>
            <w:r w:rsidR="00941034">
              <w:t>versus</w:t>
            </w:r>
            <w:r w:rsidRPr="00C2097E">
              <w:t xml:space="preserve"> 19.3%</w:t>
            </w:r>
          </w:p>
          <w:p w14:paraId="053FC1CA" w14:textId="50769FF3" w:rsidR="009253BF" w:rsidRPr="00C2097E" w:rsidRDefault="009253BF" w:rsidP="00C2097E">
            <w:pPr>
              <w:pStyle w:val="ListBullet2"/>
            </w:pPr>
            <w:r w:rsidRPr="00C2097E">
              <w:t xml:space="preserve">Muscle pain (any) =31.9% </w:t>
            </w:r>
            <w:r w:rsidR="00941034">
              <w:t>versus</w:t>
            </w:r>
            <w:r w:rsidRPr="00C2097E">
              <w:t xml:space="preserve"> 32.3%</w:t>
            </w:r>
          </w:p>
          <w:p w14:paraId="79FA182E" w14:textId="71E31E1E" w:rsidR="009253BF" w:rsidRPr="00C2097E" w:rsidRDefault="009253BF" w:rsidP="00C2097E">
            <w:pPr>
              <w:pStyle w:val="ListBullet2"/>
            </w:pPr>
            <w:r w:rsidRPr="00C2097E">
              <w:t xml:space="preserve">Joint pain (any) = 13.4% </w:t>
            </w:r>
            <w:r w:rsidR="00941034">
              <w:t>versus</w:t>
            </w:r>
            <w:r w:rsidRPr="00C2097E">
              <w:t xml:space="preserve"> 12.0%</w:t>
            </w:r>
          </w:p>
          <w:p w14:paraId="0A7E8697" w14:textId="24016997" w:rsidR="009253BF" w:rsidRPr="00C2097E" w:rsidRDefault="00941034" w:rsidP="00C2097E">
            <w:pPr>
              <w:pStyle w:val="ListBullet"/>
            </w:pPr>
            <w:r>
              <w:t xml:space="preserve">Study </w:t>
            </w:r>
            <w:r w:rsidR="009253BF" w:rsidRPr="00C2097E">
              <w:t xml:space="preserve">B7471006 prior </w:t>
            </w:r>
            <w:r>
              <w:t>Pneumovax 23</w:t>
            </w:r>
            <w:r w:rsidR="009253BF" w:rsidRPr="00C2097E">
              <w:t xml:space="preserve"> (</w:t>
            </w:r>
            <w:r w:rsidR="005568B8">
              <w:t>Prevenar 20</w:t>
            </w:r>
            <w:r w:rsidR="009253BF" w:rsidRPr="00C2097E">
              <w:t xml:space="preserve"> </w:t>
            </w:r>
            <w:r>
              <w:t>versus</w:t>
            </w:r>
            <w:r w:rsidR="009253BF" w:rsidRPr="00C2097E">
              <w:t xml:space="preserve"> </w:t>
            </w:r>
            <w:r w:rsidR="005568B8">
              <w:t>Prevenar 13</w:t>
            </w:r>
            <w:r w:rsidR="009253BF" w:rsidRPr="00C2097E">
              <w:t>, respectively):</w:t>
            </w:r>
          </w:p>
          <w:p w14:paraId="32FDF54B" w14:textId="653C9906" w:rsidR="009253BF" w:rsidRPr="00C2097E" w:rsidRDefault="009253BF" w:rsidP="00C2097E">
            <w:pPr>
              <w:pStyle w:val="ListBullet2"/>
            </w:pPr>
            <w:r w:rsidRPr="00C2097E">
              <w:lastRenderedPageBreak/>
              <w:t xml:space="preserve">Fever ≥ 38.0℃ = 0.8 </w:t>
            </w:r>
            <w:r w:rsidR="00941034">
              <w:t>versus</w:t>
            </w:r>
            <w:r w:rsidRPr="00C2097E">
              <w:t xml:space="preserve"> 0%</w:t>
            </w:r>
          </w:p>
          <w:p w14:paraId="53B81F0D" w14:textId="60C76CD8" w:rsidR="009253BF" w:rsidRPr="00C2097E" w:rsidRDefault="009253BF" w:rsidP="00C2097E">
            <w:pPr>
              <w:pStyle w:val="ListBullet2"/>
            </w:pPr>
            <w:r w:rsidRPr="00C2097E">
              <w:t xml:space="preserve">Fatigue (any) = 28.9% </w:t>
            </w:r>
            <w:r w:rsidR="00941034">
              <w:t>versus</w:t>
            </w:r>
            <w:r w:rsidRPr="00C2097E">
              <w:t xml:space="preserve"> 22.3%</w:t>
            </w:r>
          </w:p>
          <w:p w14:paraId="598C29A3" w14:textId="5DA7895C" w:rsidR="009253BF" w:rsidRPr="00C2097E" w:rsidRDefault="009253BF" w:rsidP="00C2097E">
            <w:pPr>
              <w:pStyle w:val="ListBullet2"/>
            </w:pPr>
            <w:r w:rsidRPr="00C2097E">
              <w:t xml:space="preserve">Headache (any) = 17.8% </w:t>
            </w:r>
            <w:r w:rsidR="00941034">
              <w:t>versus</w:t>
            </w:r>
            <w:r w:rsidRPr="00C2097E">
              <w:t xml:space="preserve"> 18.2%</w:t>
            </w:r>
          </w:p>
          <w:p w14:paraId="71262BFA" w14:textId="7F4D8807" w:rsidR="009253BF" w:rsidRPr="00C2097E" w:rsidRDefault="009253BF" w:rsidP="00C2097E">
            <w:pPr>
              <w:pStyle w:val="ListBullet2"/>
            </w:pPr>
            <w:r w:rsidRPr="00C2097E">
              <w:t xml:space="preserve">Muscle pain (any) = 32.0% </w:t>
            </w:r>
            <w:r w:rsidR="00941034">
              <w:t>versus</w:t>
            </w:r>
            <w:r w:rsidRPr="00C2097E">
              <w:t xml:space="preserve"> 31.4%</w:t>
            </w:r>
          </w:p>
          <w:p w14:paraId="607206E3" w14:textId="5C686D2D" w:rsidR="009253BF" w:rsidRPr="00C2097E" w:rsidRDefault="009253BF" w:rsidP="00C2097E">
            <w:pPr>
              <w:pStyle w:val="ListBullet2"/>
            </w:pPr>
            <w:r w:rsidRPr="00C2097E">
              <w:t xml:space="preserve">Joint pain (any) = 6.7% </w:t>
            </w:r>
            <w:r w:rsidR="00941034">
              <w:t>versus</w:t>
            </w:r>
            <w:r w:rsidRPr="00C2097E">
              <w:t xml:space="preserve"> 10.7%</w:t>
            </w:r>
          </w:p>
          <w:p w14:paraId="117F100E" w14:textId="61181FC4" w:rsidR="009253BF" w:rsidRPr="00C2097E" w:rsidRDefault="00941034" w:rsidP="00C2097E">
            <w:pPr>
              <w:pStyle w:val="ListBullet"/>
            </w:pPr>
            <w:r>
              <w:t xml:space="preserve">Study </w:t>
            </w:r>
            <w:r w:rsidR="009253BF" w:rsidRPr="00C2097E">
              <w:t xml:space="preserve">B7471006 prior </w:t>
            </w:r>
            <w:r w:rsidR="005568B8">
              <w:t>Prevenar 13</w:t>
            </w:r>
            <w:r w:rsidR="009253BF" w:rsidRPr="00C2097E">
              <w:t xml:space="preserve"> (</w:t>
            </w:r>
            <w:r w:rsidR="005568B8">
              <w:t>Prevenar 20</w:t>
            </w:r>
            <w:r w:rsidR="009253BF" w:rsidRPr="00C2097E">
              <w:t xml:space="preserve"> </w:t>
            </w:r>
            <w:r>
              <w:t>versus</w:t>
            </w:r>
            <w:r w:rsidR="009253BF" w:rsidRPr="00C2097E">
              <w:t xml:space="preserve"> </w:t>
            </w:r>
            <w:r>
              <w:t>Pneumovax 23</w:t>
            </w:r>
            <w:r w:rsidR="009253BF" w:rsidRPr="00C2097E">
              <w:t>, respectively):</w:t>
            </w:r>
          </w:p>
          <w:p w14:paraId="5297978A" w14:textId="75879703" w:rsidR="009253BF" w:rsidRPr="00C2097E" w:rsidRDefault="009253BF" w:rsidP="00C2097E">
            <w:pPr>
              <w:pStyle w:val="ListBullet2"/>
            </w:pPr>
            <w:r w:rsidRPr="00C2097E">
              <w:t xml:space="preserve">Fever ≥ 38.0℃ = 0% </w:t>
            </w:r>
            <w:r w:rsidR="00941034">
              <w:t>versus</w:t>
            </w:r>
            <w:r w:rsidRPr="00C2097E">
              <w:t xml:space="preserve"> 1.6%</w:t>
            </w:r>
          </w:p>
          <w:p w14:paraId="1C9D7AA7" w14:textId="6DB9551C" w:rsidR="009253BF" w:rsidRPr="00C2097E" w:rsidRDefault="009253BF" w:rsidP="00C2097E">
            <w:pPr>
              <w:pStyle w:val="ListBullet2"/>
            </w:pPr>
            <w:r w:rsidRPr="00C2097E">
              <w:t xml:space="preserve">Fatigue (any) = 31.0% </w:t>
            </w:r>
            <w:r w:rsidR="00941034">
              <w:t>versus</w:t>
            </w:r>
            <w:r w:rsidRPr="00C2097E">
              <w:t xml:space="preserve"> 33.3%</w:t>
            </w:r>
          </w:p>
          <w:p w14:paraId="60771343" w14:textId="7A02F94C" w:rsidR="009253BF" w:rsidRPr="00C2097E" w:rsidRDefault="009253BF" w:rsidP="00C2097E">
            <w:pPr>
              <w:pStyle w:val="ListBullet2"/>
            </w:pPr>
            <w:r w:rsidRPr="00C2097E">
              <w:t xml:space="preserve">Headache (any) = 13.5% </w:t>
            </w:r>
            <w:r w:rsidR="00941034">
              <w:t>versus</w:t>
            </w:r>
            <w:r w:rsidRPr="00C2097E">
              <w:t xml:space="preserve"> 21.4%</w:t>
            </w:r>
          </w:p>
          <w:p w14:paraId="532ACCD4" w14:textId="5F22C8A0" w:rsidR="009253BF" w:rsidRPr="00C2097E" w:rsidRDefault="009253BF" w:rsidP="00C2097E">
            <w:pPr>
              <w:pStyle w:val="ListBullet2"/>
            </w:pPr>
            <w:r w:rsidRPr="00C2097E">
              <w:t xml:space="preserve">Muscle pain (any) = 33.9% </w:t>
            </w:r>
            <w:r w:rsidR="00941034">
              <w:t>versus</w:t>
            </w:r>
            <w:r w:rsidRPr="00C2097E">
              <w:t xml:space="preserve"> 46.0%</w:t>
            </w:r>
          </w:p>
          <w:p w14:paraId="2C00B28A" w14:textId="5477913E" w:rsidR="009253BF" w:rsidRPr="00C2097E" w:rsidRDefault="009253BF" w:rsidP="00C2097E">
            <w:pPr>
              <w:pStyle w:val="ListBullet2"/>
            </w:pPr>
            <w:r w:rsidRPr="00C2097E">
              <w:t xml:space="preserve">Joint pain (any) = 11.8% </w:t>
            </w:r>
            <w:r w:rsidR="00941034">
              <w:t>versus</w:t>
            </w:r>
            <w:r w:rsidRPr="00C2097E">
              <w:t xml:space="preserve"> 15.9%</w:t>
            </w:r>
          </w:p>
          <w:p w14:paraId="31CE2396" w14:textId="3E999903" w:rsidR="009253BF" w:rsidRPr="00C2097E" w:rsidRDefault="00941034" w:rsidP="00C2097E">
            <w:pPr>
              <w:pStyle w:val="ListBullet"/>
            </w:pPr>
            <w:r>
              <w:t xml:space="preserve">Study </w:t>
            </w:r>
            <w:r w:rsidR="009253BF" w:rsidRPr="00C2097E">
              <w:t xml:space="preserve">B7471006 prior </w:t>
            </w:r>
            <w:r w:rsidR="005568B8">
              <w:t>Prevenar 13</w:t>
            </w:r>
            <w:r w:rsidR="009253BF" w:rsidRPr="00C2097E">
              <w:t xml:space="preserve"> and </w:t>
            </w:r>
            <w:r>
              <w:t>Pneumovax 23</w:t>
            </w:r>
            <w:r w:rsidR="009253BF" w:rsidRPr="00C2097E">
              <w:t xml:space="preserve"> (</w:t>
            </w:r>
            <w:r w:rsidR="005568B8">
              <w:t>Prevenar 20</w:t>
            </w:r>
            <w:r w:rsidR="009253BF" w:rsidRPr="00C2097E">
              <w:t>):</w:t>
            </w:r>
          </w:p>
          <w:p w14:paraId="4C3807F6" w14:textId="11F578A2" w:rsidR="009253BF" w:rsidRPr="00C2097E" w:rsidRDefault="009253BF" w:rsidP="00C2097E">
            <w:pPr>
              <w:pStyle w:val="ListBullet2"/>
            </w:pPr>
            <w:r w:rsidRPr="00C2097E">
              <w:t>Fever ≥ 38.0℃ = 0%</w:t>
            </w:r>
          </w:p>
          <w:p w14:paraId="1C96335F" w14:textId="5170013F" w:rsidR="009253BF" w:rsidRPr="00C2097E" w:rsidRDefault="009253BF" w:rsidP="00C2097E">
            <w:pPr>
              <w:pStyle w:val="ListBullet2"/>
            </w:pPr>
            <w:r w:rsidRPr="00C2097E">
              <w:t>Fatigue (any) = 32.8%</w:t>
            </w:r>
          </w:p>
          <w:p w14:paraId="493D9688" w14:textId="216FC1CE" w:rsidR="009253BF" w:rsidRPr="00C2097E" w:rsidRDefault="009253BF" w:rsidP="00C2097E">
            <w:pPr>
              <w:pStyle w:val="ListBullet2"/>
            </w:pPr>
            <w:r w:rsidRPr="00C2097E">
              <w:t>Headache (any) = 19.2%</w:t>
            </w:r>
          </w:p>
          <w:p w14:paraId="5AC4C322" w14:textId="36525984" w:rsidR="009253BF" w:rsidRPr="00C2097E" w:rsidRDefault="009253BF" w:rsidP="00C2097E">
            <w:pPr>
              <w:pStyle w:val="ListBullet2"/>
            </w:pPr>
            <w:r w:rsidRPr="00C2097E">
              <w:t>Muscle pain (any) = 37.6%</w:t>
            </w:r>
          </w:p>
          <w:p w14:paraId="497EE67D" w14:textId="24DE973A" w:rsidR="009253BF" w:rsidRPr="00C2097E" w:rsidRDefault="009253BF" w:rsidP="00C2097E">
            <w:pPr>
              <w:pStyle w:val="ListBullet2"/>
            </w:pPr>
            <w:r w:rsidRPr="00C2097E">
              <w:t>Joint pain (any) = 16.8%</w:t>
            </w:r>
          </w:p>
          <w:p w14:paraId="245D1BE9" w14:textId="258FD126" w:rsidR="009253BF" w:rsidRPr="00C2097E" w:rsidRDefault="009253BF" w:rsidP="00C2097E">
            <w:pPr>
              <w:pStyle w:val="Tabletext0"/>
              <w:rPr>
                <w:rFonts w:eastAsia="TimesNewRoman"/>
                <w:b/>
                <w:bCs/>
              </w:rPr>
            </w:pPr>
            <w:r w:rsidRPr="00C2097E">
              <w:rPr>
                <w:rFonts w:eastAsia="TimesNewRoman"/>
                <w:b/>
                <w:bCs/>
              </w:rPr>
              <w:t xml:space="preserve">3. Immediate AEs within 30 minutes after vaccination reported in subjects in the three </w:t>
            </w:r>
            <w:r w:rsidR="00C2097E">
              <w:rPr>
                <w:rFonts w:eastAsia="TimesNewRoman"/>
                <w:b/>
                <w:bCs/>
              </w:rPr>
              <w:t>Phase</w:t>
            </w:r>
            <w:r w:rsidR="00941034">
              <w:rPr>
                <w:rFonts w:eastAsia="TimesNewRoman"/>
                <w:b/>
                <w:bCs/>
              </w:rPr>
              <w:t> </w:t>
            </w:r>
            <w:r w:rsidR="00C2097E">
              <w:rPr>
                <w:rFonts w:eastAsia="TimesNewRoman"/>
                <w:b/>
                <w:bCs/>
              </w:rPr>
              <w:t>III</w:t>
            </w:r>
            <w:r w:rsidRPr="00C2097E">
              <w:rPr>
                <w:rFonts w:eastAsia="TimesNewRoman"/>
                <w:b/>
                <w:bCs/>
              </w:rPr>
              <w:t xml:space="preserve"> studies</w:t>
            </w:r>
          </w:p>
          <w:p w14:paraId="23046C99" w14:textId="14F235C3" w:rsidR="009253BF" w:rsidRPr="00C2097E" w:rsidRDefault="009253BF" w:rsidP="00C2097E">
            <w:pPr>
              <w:pStyle w:val="Tabletext0"/>
              <w:rPr>
                <w:rFonts w:eastAsia="TimesNewRoman"/>
              </w:rPr>
            </w:pPr>
            <w:r w:rsidRPr="00C2097E">
              <w:rPr>
                <w:rFonts w:eastAsia="TimesNewRoman"/>
              </w:rPr>
              <w:t xml:space="preserve">The proportion of subjects who reported immediate AEs was low, both among subjects naïve to pneumococcal vaccine across age groups (≤ 0.2% after </w:t>
            </w:r>
            <w:r w:rsidR="005568B8">
              <w:rPr>
                <w:rFonts w:eastAsia="TimesNewRoman"/>
              </w:rPr>
              <w:t>Prevenar 20</w:t>
            </w:r>
            <w:r w:rsidRPr="00C2097E">
              <w:rPr>
                <w:rFonts w:eastAsia="TimesNewRoman"/>
              </w:rPr>
              <w:t xml:space="preserve"> </w:t>
            </w:r>
            <w:r w:rsidR="00941034">
              <w:rPr>
                <w:rFonts w:eastAsia="TimesNewRoman"/>
              </w:rPr>
              <w:t>versus</w:t>
            </w:r>
            <w:r w:rsidRPr="00C2097E">
              <w:rPr>
                <w:rFonts w:eastAsia="TimesNewRoman"/>
              </w:rPr>
              <w:t xml:space="preserve"> ≤ 0.9% after </w:t>
            </w:r>
            <w:r w:rsidR="005568B8">
              <w:rPr>
                <w:rFonts w:eastAsia="TimesNewRoman"/>
              </w:rPr>
              <w:t>Prevenar 13</w:t>
            </w:r>
            <w:r w:rsidRPr="00C2097E">
              <w:rPr>
                <w:rFonts w:eastAsia="TimesNewRoman"/>
              </w:rPr>
              <w:t xml:space="preserve">) and among subjects ≥65 years of age by prior pneumococcal vaccination status (≤ 0.4% after </w:t>
            </w:r>
            <w:r w:rsidR="005568B8">
              <w:rPr>
                <w:rFonts w:eastAsia="TimesNewRoman"/>
              </w:rPr>
              <w:t>Prevenar 20</w:t>
            </w:r>
            <w:r w:rsidRPr="00C2097E">
              <w:rPr>
                <w:rFonts w:eastAsia="TimesNewRoman"/>
              </w:rPr>
              <w:t xml:space="preserve"> </w:t>
            </w:r>
            <w:r w:rsidR="00941034">
              <w:rPr>
                <w:rFonts w:eastAsia="TimesNewRoman"/>
              </w:rPr>
              <w:t>versus</w:t>
            </w:r>
            <w:r w:rsidRPr="00C2097E">
              <w:rPr>
                <w:rFonts w:eastAsia="TimesNewRoman"/>
              </w:rPr>
              <w:t xml:space="preserve"> ≤0.8% after control vaccines)</w:t>
            </w:r>
          </w:p>
          <w:p w14:paraId="7BC6F0D6" w14:textId="1C19B68C" w:rsidR="009253BF" w:rsidRPr="00C2097E" w:rsidRDefault="009253BF" w:rsidP="00C2097E">
            <w:pPr>
              <w:pStyle w:val="Tabletext0"/>
            </w:pPr>
            <w:r w:rsidRPr="00C2097E">
              <w:t>a. Pneumococcal vaccine-naïve subjects (</w:t>
            </w:r>
            <w:r w:rsidR="005568B8">
              <w:t>Prevenar 20</w:t>
            </w:r>
            <w:r w:rsidRPr="00C2097E">
              <w:t xml:space="preserve"> </w:t>
            </w:r>
            <w:r w:rsidR="00941034">
              <w:t>versus</w:t>
            </w:r>
            <w:r w:rsidRPr="00C2097E">
              <w:t xml:space="preserve"> </w:t>
            </w:r>
            <w:r w:rsidR="005568B8">
              <w:t>Prevenar 13</w:t>
            </w:r>
            <w:r w:rsidRPr="00C2097E">
              <w:t>, respectively)</w:t>
            </w:r>
          </w:p>
          <w:p w14:paraId="1A1237FB" w14:textId="0EE67243" w:rsidR="009253BF" w:rsidRPr="00C2097E" w:rsidRDefault="009253BF" w:rsidP="00C2097E">
            <w:pPr>
              <w:pStyle w:val="ListBullet"/>
            </w:pPr>
            <w:r w:rsidRPr="00C2097E">
              <w:t xml:space="preserve">B7471007 (Cohort 1) ≥ 60 years: injection site pain (0.1% </w:t>
            </w:r>
            <w:r w:rsidR="00941034">
              <w:t>versus</w:t>
            </w:r>
            <w:r w:rsidRPr="00C2097E">
              <w:t xml:space="preserve"> 0.1%); joint swelling (0.1% </w:t>
            </w:r>
            <w:r w:rsidR="00941034">
              <w:t>versus</w:t>
            </w:r>
            <w:r w:rsidRPr="00C2097E">
              <w:t xml:space="preserve"> 0%); musculoskeletal stiffness (0.1% </w:t>
            </w:r>
            <w:r w:rsidR="00941034">
              <w:t>versus</w:t>
            </w:r>
            <w:r w:rsidRPr="00C2097E">
              <w:t xml:space="preserve"> 0%); somnolence (0% </w:t>
            </w:r>
            <w:r w:rsidR="00941034">
              <w:t>versus</w:t>
            </w:r>
            <w:r w:rsidRPr="00C2097E">
              <w:t xml:space="preserve"> 0.1%).</w:t>
            </w:r>
          </w:p>
          <w:p w14:paraId="47FA63F0" w14:textId="39BA21AC" w:rsidR="009253BF" w:rsidRPr="00C2097E" w:rsidRDefault="009253BF" w:rsidP="00C2097E">
            <w:pPr>
              <w:pStyle w:val="ListBullet"/>
            </w:pPr>
            <w:r w:rsidRPr="00C2097E">
              <w:t xml:space="preserve">B7471007 (Cohort 2) 50-59 years: headache (0% </w:t>
            </w:r>
            <w:r w:rsidR="00941034">
              <w:t>versus</w:t>
            </w:r>
            <w:r w:rsidRPr="00C2097E">
              <w:t xml:space="preserve"> 0.9%).</w:t>
            </w:r>
          </w:p>
          <w:p w14:paraId="746ABE23" w14:textId="74BC9A0D" w:rsidR="009253BF" w:rsidRPr="00C2097E" w:rsidRDefault="009253BF" w:rsidP="000A1BEA">
            <w:pPr>
              <w:pStyle w:val="ListBullet"/>
            </w:pPr>
            <w:r w:rsidRPr="00C2097E">
              <w:lastRenderedPageBreak/>
              <w:t>Pooled 7471007 (Cohort 3) plus B7471008 18-49 years:</w:t>
            </w:r>
            <w:r w:rsidR="00C2097E">
              <w:t xml:space="preserve"> </w:t>
            </w:r>
            <w:r w:rsidRPr="00C2097E">
              <w:t xml:space="preserve">nausea (0.1% </w:t>
            </w:r>
            <w:r w:rsidR="00941034">
              <w:t>versus</w:t>
            </w:r>
            <w:r w:rsidRPr="00C2097E">
              <w:t xml:space="preserve"> 0%), vomiting (0.1% </w:t>
            </w:r>
            <w:r w:rsidR="00941034">
              <w:t>versus</w:t>
            </w:r>
            <w:r w:rsidRPr="00C2097E">
              <w:t xml:space="preserve"> 0%); dizziness (0% </w:t>
            </w:r>
            <w:r w:rsidR="00941034">
              <w:t>versus</w:t>
            </w:r>
            <w:r w:rsidRPr="00C2097E">
              <w:t xml:space="preserve"> 0.3%).</w:t>
            </w:r>
          </w:p>
          <w:p w14:paraId="3E0D3FAC" w14:textId="28180C60" w:rsidR="009253BF" w:rsidRPr="00C2097E" w:rsidRDefault="009253BF" w:rsidP="00C2097E">
            <w:pPr>
              <w:pStyle w:val="Tabletext0"/>
            </w:pPr>
            <w:r w:rsidRPr="00C2097E">
              <w:t>b. Subjects aged ≥ 65 years by prior vaccine status</w:t>
            </w:r>
          </w:p>
          <w:p w14:paraId="1D50862C" w14:textId="4D400DD3" w:rsidR="009253BF" w:rsidRPr="00C2097E" w:rsidRDefault="009253BF" w:rsidP="00C2097E">
            <w:pPr>
              <w:pStyle w:val="ListBullet"/>
            </w:pPr>
            <w:r w:rsidRPr="00C2097E">
              <w:t>B7471007 (subset Cohort 1) pneumococcal vaccine- naïve (</w:t>
            </w:r>
            <w:r w:rsidR="005568B8">
              <w:t>Prevenar 20</w:t>
            </w:r>
            <w:r w:rsidRPr="00C2097E">
              <w:t xml:space="preserve"> </w:t>
            </w:r>
            <w:r w:rsidR="00941034">
              <w:t>versus</w:t>
            </w:r>
            <w:r w:rsidRPr="00C2097E">
              <w:t xml:space="preserve"> </w:t>
            </w:r>
            <w:r w:rsidR="005568B8">
              <w:t>Prevenar 13</w:t>
            </w:r>
            <w:r w:rsidRPr="00C2097E">
              <w:t xml:space="preserve">): injection site swelling (0% </w:t>
            </w:r>
            <w:r w:rsidR="00941034">
              <w:t>versus</w:t>
            </w:r>
            <w:r w:rsidRPr="00C2097E">
              <w:t xml:space="preserve"> 0.2%).</w:t>
            </w:r>
          </w:p>
          <w:p w14:paraId="353813E9" w14:textId="3959DFC5" w:rsidR="009253BF" w:rsidRPr="00C2097E" w:rsidRDefault="009253BF" w:rsidP="00C2097E">
            <w:pPr>
              <w:pStyle w:val="ListBullet"/>
            </w:pPr>
            <w:r w:rsidRPr="00C2097E">
              <w:t xml:space="preserve">B7471006 prior </w:t>
            </w:r>
            <w:r w:rsidR="00941034">
              <w:t>Pneumovax 23</w:t>
            </w:r>
            <w:r w:rsidRPr="00C2097E">
              <w:t xml:space="preserve"> (</w:t>
            </w:r>
            <w:r w:rsidR="005568B8">
              <w:t>Prevenar 20</w:t>
            </w:r>
            <w:r w:rsidRPr="00C2097E">
              <w:t xml:space="preserve"> </w:t>
            </w:r>
            <w:r w:rsidR="00941034">
              <w:t>versus</w:t>
            </w:r>
            <w:r w:rsidRPr="00C2097E">
              <w:t xml:space="preserve"> </w:t>
            </w:r>
            <w:r w:rsidR="005568B8">
              <w:t>Prevenar 13</w:t>
            </w:r>
            <w:r w:rsidRPr="00C2097E">
              <w:t xml:space="preserve">, respectively): dehydration (0.4% </w:t>
            </w:r>
            <w:r w:rsidR="00941034">
              <w:t>versus</w:t>
            </w:r>
            <w:r w:rsidRPr="00C2097E">
              <w:t xml:space="preserve"> 0%); dizziness (0.4% </w:t>
            </w:r>
            <w:r w:rsidR="00941034">
              <w:t>versus</w:t>
            </w:r>
            <w:r w:rsidRPr="00C2097E">
              <w:t xml:space="preserve"> 0%); paraesthesia (0.4% </w:t>
            </w:r>
            <w:r w:rsidR="00941034">
              <w:t>versus</w:t>
            </w:r>
            <w:r w:rsidRPr="00C2097E">
              <w:t xml:space="preserve"> 0%); anxiety (0.4% </w:t>
            </w:r>
            <w:r w:rsidR="00941034">
              <w:t>versus</w:t>
            </w:r>
            <w:r w:rsidRPr="00C2097E">
              <w:t xml:space="preserve"> 0%); hypotension (0.4% </w:t>
            </w:r>
            <w:r w:rsidR="00941034">
              <w:t>versus</w:t>
            </w:r>
            <w:r w:rsidRPr="00C2097E">
              <w:t xml:space="preserve"> 0%).</w:t>
            </w:r>
          </w:p>
          <w:p w14:paraId="4360A7E3" w14:textId="04B20323" w:rsidR="009253BF" w:rsidRPr="00C2097E" w:rsidRDefault="009253BF" w:rsidP="00C2097E">
            <w:pPr>
              <w:pStyle w:val="ListBullet"/>
            </w:pPr>
            <w:r w:rsidRPr="00C2097E">
              <w:t xml:space="preserve">B7471006 prior </w:t>
            </w:r>
            <w:r w:rsidR="005568B8">
              <w:t>Prevenar 13</w:t>
            </w:r>
            <w:r w:rsidRPr="00C2097E">
              <w:t xml:space="preserve"> (</w:t>
            </w:r>
            <w:r w:rsidR="005568B8">
              <w:t>Prevenar 20</w:t>
            </w:r>
            <w:r w:rsidRPr="00C2097E">
              <w:t xml:space="preserve"> </w:t>
            </w:r>
            <w:r w:rsidR="00941034">
              <w:t>versus</w:t>
            </w:r>
            <w:r w:rsidRPr="00C2097E">
              <w:t xml:space="preserve"> </w:t>
            </w:r>
            <w:r w:rsidR="00941034">
              <w:t>Pneumovax 23</w:t>
            </w:r>
            <w:r w:rsidRPr="00C2097E">
              <w:t>): no events in either vaccine group.</w:t>
            </w:r>
          </w:p>
          <w:p w14:paraId="6E158BED" w14:textId="2982C1DB" w:rsidR="009253BF" w:rsidRPr="00C2097E" w:rsidRDefault="009253BF" w:rsidP="00C2097E">
            <w:pPr>
              <w:pStyle w:val="ListBullet"/>
            </w:pPr>
            <w:r w:rsidRPr="00C2097E">
              <w:t xml:space="preserve">B7471006 prior </w:t>
            </w:r>
            <w:r w:rsidR="005568B8">
              <w:t>Prevenar 13</w:t>
            </w:r>
            <w:r w:rsidRPr="00C2097E">
              <w:t xml:space="preserve"> and </w:t>
            </w:r>
            <w:r w:rsidR="00941034">
              <w:t>Pneumovax 23</w:t>
            </w:r>
            <w:r w:rsidRPr="00C2097E">
              <w:t xml:space="preserve"> (</w:t>
            </w:r>
            <w:r w:rsidR="005568B8">
              <w:t>Prevenar 20</w:t>
            </w:r>
            <w:r w:rsidRPr="00C2097E">
              <w:t xml:space="preserve">): dizziness (0.8% </w:t>
            </w:r>
            <w:r w:rsidR="00941034">
              <w:t>versus</w:t>
            </w:r>
            <w:r w:rsidRPr="00C2097E">
              <w:t xml:space="preserve"> 0%).</w:t>
            </w:r>
          </w:p>
          <w:p w14:paraId="4BA5E27B" w14:textId="33FF0AB8" w:rsidR="009253BF" w:rsidRPr="00C2097E" w:rsidRDefault="009253BF" w:rsidP="00C2097E">
            <w:pPr>
              <w:pStyle w:val="Tabletext0"/>
              <w:rPr>
                <w:rFonts w:eastAsia="TimesNewRoman"/>
                <w:b/>
                <w:bCs/>
              </w:rPr>
            </w:pPr>
            <w:r w:rsidRPr="00C2097E">
              <w:rPr>
                <w:rFonts w:eastAsia="TimesNewRoman"/>
                <w:b/>
                <w:bCs/>
              </w:rPr>
              <w:t xml:space="preserve">4. Vaccine-related AEs within </w:t>
            </w:r>
            <w:r w:rsidR="00C2097E">
              <w:rPr>
                <w:rFonts w:eastAsia="TimesNewRoman"/>
                <w:b/>
                <w:bCs/>
              </w:rPr>
              <w:t>one</w:t>
            </w:r>
            <w:r w:rsidRPr="00C2097E">
              <w:rPr>
                <w:rFonts w:eastAsia="TimesNewRoman"/>
                <w:b/>
                <w:bCs/>
              </w:rPr>
              <w:t xml:space="preserve"> month after vaccination reported in the three </w:t>
            </w:r>
            <w:r w:rsidR="00C2097E">
              <w:rPr>
                <w:rFonts w:eastAsia="TimesNewRoman"/>
                <w:b/>
                <w:bCs/>
              </w:rPr>
              <w:t>Phase III</w:t>
            </w:r>
            <w:r w:rsidRPr="00C2097E">
              <w:rPr>
                <w:rFonts w:eastAsia="TimesNewRoman"/>
                <w:b/>
                <w:bCs/>
              </w:rPr>
              <w:t xml:space="preserve"> studies</w:t>
            </w:r>
          </w:p>
          <w:p w14:paraId="1699B118" w14:textId="7DD7F6F8" w:rsidR="009253BF" w:rsidRPr="00C2097E" w:rsidRDefault="009253BF" w:rsidP="00C2097E">
            <w:pPr>
              <w:pStyle w:val="Tabletext0"/>
              <w:rPr>
                <w:rFonts w:eastAsia="TimesNewRoman"/>
              </w:rPr>
            </w:pPr>
            <w:r w:rsidRPr="00C2097E">
              <w:rPr>
                <w:rFonts w:eastAsia="TimesNewRoman"/>
              </w:rPr>
              <w:t xml:space="preserve">The proportion of subjects who reported vaccine-related AEs was low, both among subjects naïve to pneumococcal vaccine across age groups (≤ 0.9% after </w:t>
            </w:r>
            <w:r w:rsidR="005568B8">
              <w:rPr>
                <w:rFonts w:eastAsia="TimesNewRoman"/>
              </w:rPr>
              <w:t>Prevenar 20</w:t>
            </w:r>
            <w:r w:rsidRPr="00C2097E">
              <w:rPr>
                <w:rFonts w:eastAsia="TimesNewRoman"/>
              </w:rPr>
              <w:t xml:space="preserve"> </w:t>
            </w:r>
            <w:r w:rsidR="00941034">
              <w:rPr>
                <w:rFonts w:eastAsia="TimesNewRoman"/>
              </w:rPr>
              <w:t>versus</w:t>
            </w:r>
            <w:r w:rsidRPr="00C2097E">
              <w:rPr>
                <w:rFonts w:eastAsia="TimesNewRoman"/>
              </w:rPr>
              <w:t xml:space="preserve"> ≤ 1.5% after </w:t>
            </w:r>
            <w:r w:rsidR="005568B8">
              <w:rPr>
                <w:rFonts w:eastAsia="TimesNewRoman"/>
              </w:rPr>
              <w:t>Prevenar 13</w:t>
            </w:r>
            <w:r w:rsidRPr="00C2097E">
              <w:rPr>
                <w:rFonts w:eastAsia="TimesNewRoman"/>
              </w:rPr>
              <w:t>) and among subjects</w:t>
            </w:r>
            <w:r w:rsidR="00C2097E">
              <w:rPr>
                <w:rFonts w:eastAsia="TimesNewRoman"/>
              </w:rPr>
              <w:t xml:space="preserve"> </w:t>
            </w:r>
            <w:r w:rsidRPr="00C2097E">
              <w:rPr>
                <w:rFonts w:eastAsia="TimesNewRoman"/>
              </w:rPr>
              <w:t xml:space="preserve">≥ 65 years of age by prior pneumococcal vaccination status (≤ 1.6% after </w:t>
            </w:r>
            <w:r w:rsidR="005568B8">
              <w:rPr>
                <w:rFonts w:eastAsia="TimesNewRoman"/>
              </w:rPr>
              <w:t>Prevenar 20</w:t>
            </w:r>
            <w:r w:rsidRPr="00C2097E">
              <w:rPr>
                <w:rFonts w:eastAsia="TimesNewRoman"/>
              </w:rPr>
              <w:t xml:space="preserve"> </w:t>
            </w:r>
            <w:r w:rsidR="00941034">
              <w:rPr>
                <w:rFonts w:eastAsia="TimesNewRoman"/>
              </w:rPr>
              <w:t>versus</w:t>
            </w:r>
            <w:r w:rsidRPr="00C2097E">
              <w:rPr>
                <w:rFonts w:eastAsia="TimesNewRoman"/>
              </w:rPr>
              <w:t xml:space="preserve"> ≤ 2.4% after control vaccines).</w:t>
            </w:r>
          </w:p>
          <w:p w14:paraId="212BA52F" w14:textId="4711E97C" w:rsidR="009253BF" w:rsidRPr="00C2097E" w:rsidRDefault="009253BF" w:rsidP="00C2097E">
            <w:pPr>
              <w:pStyle w:val="Tabletext0"/>
            </w:pPr>
            <w:r w:rsidRPr="00C2097E">
              <w:t xml:space="preserve">a. Pneumococcal vaccine-naïve ≥ 2 subjects (n, %) in the </w:t>
            </w:r>
            <w:r w:rsidR="005568B8">
              <w:t>Prevenar 20</w:t>
            </w:r>
            <w:r w:rsidRPr="00C2097E">
              <w:t xml:space="preserve"> </w:t>
            </w:r>
            <w:r w:rsidR="00941034">
              <w:t>versus</w:t>
            </w:r>
            <w:r w:rsidRPr="00C2097E">
              <w:t xml:space="preserve"> </w:t>
            </w:r>
            <w:r w:rsidR="005568B8">
              <w:t>Prevenar 13</w:t>
            </w:r>
            <w:r w:rsidRPr="00C2097E">
              <w:t xml:space="preserve"> groups, respectively:</w:t>
            </w:r>
          </w:p>
          <w:p w14:paraId="226CD025" w14:textId="40D676F8" w:rsidR="009253BF" w:rsidRPr="00C2097E" w:rsidRDefault="009253BF" w:rsidP="00C2097E">
            <w:pPr>
              <w:pStyle w:val="ListBullet"/>
            </w:pPr>
            <w:r w:rsidRPr="00C2097E">
              <w:t xml:space="preserve">B7471007 (Cohort 1) ≥ 60 years: any (14, 0.9% </w:t>
            </w:r>
            <w:r w:rsidR="00941034">
              <w:t>versus</w:t>
            </w:r>
            <w:r w:rsidRPr="00C2097E">
              <w:t xml:space="preserve"> 23, 1.5%); injection site pain (2, 0.1% </w:t>
            </w:r>
            <w:r w:rsidR="00941034">
              <w:t>versus</w:t>
            </w:r>
            <w:r w:rsidRPr="00C2097E">
              <w:t xml:space="preserve"> 3, 0.2%); injection site pruritus (1, 0.1% </w:t>
            </w:r>
            <w:r w:rsidR="00941034">
              <w:t>versus</w:t>
            </w:r>
            <w:r w:rsidRPr="00C2097E">
              <w:t xml:space="preserve"> 3, 0.2%); fatigue (0% </w:t>
            </w:r>
            <w:r w:rsidR="00941034">
              <w:t>versus</w:t>
            </w:r>
            <w:r w:rsidRPr="00C2097E">
              <w:t xml:space="preserve"> 2, 0.1%); headache (0% </w:t>
            </w:r>
            <w:r w:rsidR="00941034">
              <w:t>versus</w:t>
            </w:r>
            <w:r w:rsidRPr="00C2097E">
              <w:t xml:space="preserve"> 3, 0.2%); pruritus (2, 0.1% </w:t>
            </w:r>
            <w:r w:rsidR="00941034">
              <w:t>versus</w:t>
            </w:r>
            <w:r w:rsidRPr="00C2097E">
              <w:t xml:space="preserve"> 0%).</w:t>
            </w:r>
          </w:p>
          <w:p w14:paraId="4379EDA3" w14:textId="7E9ED711" w:rsidR="009253BF" w:rsidRPr="00C2097E" w:rsidRDefault="009253BF" w:rsidP="00C2097E">
            <w:pPr>
              <w:pStyle w:val="ListBullet"/>
            </w:pPr>
            <w:r w:rsidRPr="00C2097E">
              <w:t xml:space="preserve">B7471007 (Cohort 2) 50-59 years: any (3, 0.9% </w:t>
            </w:r>
            <w:r w:rsidR="00941034">
              <w:t>versus</w:t>
            </w:r>
            <w:r w:rsidRPr="00C2097E">
              <w:t xml:space="preserve"> 1, 0.9%); no subjects with individual AEs (PT) in ≥ 2 subjects in either vaccine group</w:t>
            </w:r>
          </w:p>
          <w:p w14:paraId="379E6A05" w14:textId="7D90CFBC" w:rsidR="009253BF" w:rsidRPr="00C2097E" w:rsidRDefault="009253BF" w:rsidP="00C2097E">
            <w:pPr>
              <w:pStyle w:val="ListBullet"/>
            </w:pPr>
            <w:r w:rsidRPr="00C2097E">
              <w:t xml:space="preserve">Pooled 7471007 (Cohort 3) plus B7471008 18-49 years: any (9, 0.5% </w:t>
            </w:r>
            <w:r w:rsidR="00941034">
              <w:t>versus</w:t>
            </w:r>
            <w:r w:rsidRPr="00C2097E">
              <w:t xml:space="preserve"> 3, 0.8%); injection site pain (2, 0.1% </w:t>
            </w:r>
            <w:r w:rsidR="00941034">
              <w:t>versus</w:t>
            </w:r>
            <w:r w:rsidRPr="00C2097E">
              <w:t xml:space="preserve"> 0%); rash (2, 0.1% </w:t>
            </w:r>
            <w:r w:rsidR="00941034">
              <w:t>versus</w:t>
            </w:r>
            <w:r w:rsidRPr="00C2097E">
              <w:t xml:space="preserve"> 0%).</w:t>
            </w:r>
          </w:p>
          <w:p w14:paraId="5356198E" w14:textId="0F2199EA" w:rsidR="009253BF" w:rsidRPr="00C2097E" w:rsidRDefault="009253BF" w:rsidP="00C2097E">
            <w:pPr>
              <w:pStyle w:val="Tabletext0"/>
            </w:pPr>
            <w:r w:rsidRPr="00C2097E">
              <w:t xml:space="preserve">b. Subjects aged ≥ 65 years by prior vaccine status; ≥ 2 subjects (n, %) in the </w:t>
            </w:r>
            <w:r w:rsidR="005568B8">
              <w:t>Prevenar 20</w:t>
            </w:r>
            <w:r w:rsidRPr="00C2097E">
              <w:t xml:space="preserve"> </w:t>
            </w:r>
            <w:r w:rsidR="00941034">
              <w:t>versus</w:t>
            </w:r>
            <w:r w:rsidRPr="00C2097E">
              <w:t xml:space="preserve"> control groups, respectively:</w:t>
            </w:r>
          </w:p>
          <w:p w14:paraId="291F5153" w14:textId="3C034091" w:rsidR="009253BF" w:rsidRPr="00C2097E" w:rsidRDefault="009253BF" w:rsidP="00C2097E">
            <w:pPr>
              <w:pStyle w:val="ListBullet"/>
            </w:pPr>
            <w:r w:rsidRPr="00C2097E">
              <w:t>B7471007 (subset Cohort 1) pneumococcal vaccine-naïve (</w:t>
            </w:r>
            <w:r w:rsidR="005568B8">
              <w:t>Prevenar 20</w:t>
            </w:r>
            <w:r w:rsidRPr="00C2097E">
              <w:t xml:space="preserve"> </w:t>
            </w:r>
            <w:r w:rsidR="00941034">
              <w:t>versus</w:t>
            </w:r>
            <w:r w:rsidRPr="00C2097E">
              <w:t xml:space="preserve"> </w:t>
            </w:r>
            <w:r w:rsidR="005568B8">
              <w:t>Prevenar 13</w:t>
            </w:r>
            <w:r w:rsidRPr="00C2097E">
              <w:t xml:space="preserve">, respectively): any (5, 1.0% </w:t>
            </w:r>
            <w:r w:rsidR="00941034">
              <w:t>versus</w:t>
            </w:r>
            <w:r w:rsidRPr="00C2097E">
              <w:t xml:space="preserve"> 9, 1.8%); pruritus </w:t>
            </w:r>
            <w:r w:rsidRPr="00C2097E">
              <w:lastRenderedPageBreak/>
              <w:t xml:space="preserve">(2, 0.4% </w:t>
            </w:r>
            <w:r w:rsidR="00941034">
              <w:t>versus</w:t>
            </w:r>
            <w:r w:rsidRPr="00C2097E">
              <w:t xml:space="preserve"> 0%); fatigue (0% </w:t>
            </w:r>
            <w:r w:rsidR="00941034">
              <w:t>versus</w:t>
            </w:r>
            <w:r w:rsidRPr="00C2097E">
              <w:t xml:space="preserve"> 2, 0.4%); injection site pruritus (0% </w:t>
            </w:r>
            <w:r w:rsidR="00941034">
              <w:t>versus</w:t>
            </w:r>
            <w:r w:rsidRPr="00C2097E">
              <w:t xml:space="preserve"> 2, 0.4%).</w:t>
            </w:r>
          </w:p>
          <w:p w14:paraId="317FB6D8" w14:textId="06B99D71" w:rsidR="009253BF" w:rsidRPr="00C2097E" w:rsidRDefault="009253BF" w:rsidP="00C2097E">
            <w:pPr>
              <w:pStyle w:val="ListBullet"/>
            </w:pPr>
            <w:r w:rsidRPr="00C2097E">
              <w:t xml:space="preserve">B7471006 prior </w:t>
            </w:r>
            <w:r w:rsidR="005568B8">
              <w:t>Prevenar 13</w:t>
            </w:r>
            <w:r w:rsidRPr="00C2097E">
              <w:t xml:space="preserve"> (</w:t>
            </w:r>
            <w:r w:rsidR="005568B8">
              <w:t>Prevenar 20</w:t>
            </w:r>
            <w:r w:rsidRPr="00C2097E">
              <w:t xml:space="preserve"> </w:t>
            </w:r>
            <w:r w:rsidR="00941034">
              <w:t>versus</w:t>
            </w:r>
            <w:r w:rsidRPr="00C2097E">
              <w:t xml:space="preserve"> </w:t>
            </w:r>
            <w:r w:rsidR="00941034">
              <w:t>Pneumovax 23</w:t>
            </w:r>
            <w:r w:rsidRPr="00C2097E">
              <w:t xml:space="preserve">, respectively): any (1, 0.4% </w:t>
            </w:r>
            <w:r w:rsidR="00941034">
              <w:t>versus</w:t>
            </w:r>
            <w:r w:rsidRPr="00C2097E">
              <w:t xml:space="preserve"> 0%); no vaccine-related AEs in ≥ 2 subjects in either group.</w:t>
            </w:r>
          </w:p>
          <w:p w14:paraId="0B964035" w14:textId="436F36FF" w:rsidR="009253BF" w:rsidRPr="00C2097E" w:rsidRDefault="009253BF" w:rsidP="00C2097E">
            <w:pPr>
              <w:pStyle w:val="ListBullet"/>
            </w:pPr>
            <w:r w:rsidRPr="00C2097E">
              <w:t xml:space="preserve">B7471006 prior </w:t>
            </w:r>
            <w:r w:rsidR="005568B8">
              <w:t>Prevenar 13</w:t>
            </w:r>
            <w:r w:rsidRPr="00C2097E">
              <w:t xml:space="preserve"> (</w:t>
            </w:r>
            <w:r w:rsidR="005568B8">
              <w:t>Prevenar 20</w:t>
            </w:r>
            <w:r w:rsidRPr="00C2097E">
              <w:t xml:space="preserve"> </w:t>
            </w:r>
            <w:r w:rsidR="00941034">
              <w:t>versus</w:t>
            </w:r>
            <w:r w:rsidRPr="00C2097E">
              <w:t xml:space="preserve"> </w:t>
            </w:r>
            <w:r w:rsidR="00941034">
              <w:t>Pneumovax 23</w:t>
            </w:r>
            <w:r w:rsidRPr="00C2097E">
              <w:t xml:space="preserve">, respectively): any (4, 1.6% </w:t>
            </w:r>
            <w:r w:rsidR="00941034">
              <w:t>versus</w:t>
            </w:r>
            <w:r w:rsidRPr="00C2097E">
              <w:t xml:space="preserve"> 3, 2.4%); no subjects with individual vaccine-related AEs (PT) in either group.</w:t>
            </w:r>
          </w:p>
          <w:p w14:paraId="1E29EC86" w14:textId="7EE52166" w:rsidR="009253BF" w:rsidRPr="00C2097E" w:rsidRDefault="009253BF" w:rsidP="00C2097E">
            <w:pPr>
              <w:pStyle w:val="ListBullet"/>
            </w:pPr>
            <w:r w:rsidRPr="00C2097E">
              <w:t xml:space="preserve">B7471006 prior </w:t>
            </w:r>
            <w:r w:rsidR="005568B8">
              <w:t>Prevenar 13</w:t>
            </w:r>
            <w:r w:rsidRPr="00C2097E">
              <w:t xml:space="preserve"> and </w:t>
            </w:r>
            <w:r w:rsidR="00941034">
              <w:t>Pneumovax 23</w:t>
            </w:r>
            <w:r w:rsidRPr="00C2097E">
              <w:t xml:space="preserve"> (</w:t>
            </w:r>
            <w:r w:rsidR="005568B8">
              <w:t>Prevenar 20</w:t>
            </w:r>
            <w:r w:rsidRPr="00C2097E">
              <w:t xml:space="preserve">): no subjects in the </w:t>
            </w:r>
            <w:r w:rsidR="005568B8">
              <w:t>Prevenar 20</w:t>
            </w:r>
            <w:r w:rsidRPr="00C2097E">
              <w:t xml:space="preserve"> group.</w:t>
            </w:r>
          </w:p>
          <w:p w14:paraId="49639E28" w14:textId="571FB077" w:rsidR="009253BF" w:rsidRPr="00C2097E" w:rsidRDefault="009253BF" w:rsidP="00C2097E">
            <w:pPr>
              <w:pStyle w:val="Tabletext0"/>
              <w:rPr>
                <w:rFonts w:eastAsia="TimesNewRoman"/>
                <w:b/>
                <w:bCs/>
              </w:rPr>
            </w:pPr>
            <w:r w:rsidRPr="00C2097E">
              <w:rPr>
                <w:rFonts w:eastAsia="TimesNewRoman"/>
                <w:b/>
                <w:bCs/>
              </w:rPr>
              <w:t xml:space="preserve">5. Vaccine-related SAEs within 1 or 6 months after vaccination reported in the three </w:t>
            </w:r>
            <w:r w:rsidR="00C2097E">
              <w:rPr>
                <w:rFonts w:eastAsia="TimesNewRoman"/>
                <w:b/>
                <w:bCs/>
              </w:rPr>
              <w:t>Phase III</w:t>
            </w:r>
            <w:r w:rsidRPr="00C2097E">
              <w:rPr>
                <w:rFonts w:eastAsia="TimesNewRoman"/>
                <w:b/>
                <w:bCs/>
              </w:rPr>
              <w:t xml:space="preserve"> studies.</w:t>
            </w:r>
          </w:p>
          <w:p w14:paraId="0DB73755" w14:textId="41264F06" w:rsidR="009253BF" w:rsidRPr="00C2097E" w:rsidRDefault="009253BF" w:rsidP="00C2097E">
            <w:pPr>
              <w:pStyle w:val="ListBullet"/>
            </w:pPr>
            <w:r w:rsidRPr="00C2097E">
              <w:t>None reported.</w:t>
            </w:r>
          </w:p>
          <w:p w14:paraId="48D26057" w14:textId="66E8DA19" w:rsidR="009253BF" w:rsidRPr="00C2097E" w:rsidRDefault="009253BF" w:rsidP="00C2097E">
            <w:pPr>
              <w:pStyle w:val="Tabletext0"/>
              <w:rPr>
                <w:rFonts w:eastAsia="TimesNewRoman"/>
                <w:b/>
                <w:bCs/>
              </w:rPr>
            </w:pPr>
            <w:r w:rsidRPr="00C2097E">
              <w:rPr>
                <w:rFonts w:eastAsia="TimesNewRoman"/>
                <w:b/>
                <w:bCs/>
              </w:rPr>
              <w:t xml:space="preserve">6. Deaths reported in the three </w:t>
            </w:r>
            <w:r w:rsidR="00C2097E" w:rsidRPr="00C2097E">
              <w:rPr>
                <w:rFonts w:eastAsia="TimesNewRoman"/>
                <w:b/>
                <w:bCs/>
              </w:rPr>
              <w:t>Phase III</w:t>
            </w:r>
            <w:r w:rsidRPr="00C2097E">
              <w:rPr>
                <w:rFonts w:eastAsia="TimesNewRoman"/>
                <w:b/>
                <w:bCs/>
              </w:rPr>
              <w:t xml:space="preserve"> studies</w:t>
            </w:r>
          </w:p>
          <w:p w14:paraId="49C6C6BE" w14:textId="28E00AAD" w:rsidR="009253BF" w:rsidRPr="00C2097E" w:rsidRDefault="009253BF" w:rsidP="00C2097E">
            <w:pPr>
              <w:pStyle w:val="ListBullet"/>
            </w:pPr>
            <w:r w:rsidRPr="00C2097E">
              <w:t xml:space="preserve">One death reported in a pneumococcal vaccine-naïve </w:t>
            </w:r>
            <w:r w:rsidR="000C16DC">
              <w:t>subject</w:t>
            </w:r>
            <w:r w:rsidR="005E23E6">
              <w:t xml:space="preserve"> </w:t>
            </w:r>
            <w:r w:rsidRPr="00C2097E">
              <w:t xml:space="preserve">in </w:t>
            </w:r>
            <w:r w:rsidR="005E23E6">
              <w:t xml:space="preserve">Study </w:t>
            </w:r>
            <w:r w:rsidRPr="00C2097E">
              <w:t xml:space="preserve">B7471001 (Cohort 1) due to suicide 48 days after </w:t>
            </w:r>
            <w:r w:rsidR="005568B8">
              <w:t>Prevenar 20</w:t>
            </w:r>
            <w:r w:rsidRPr="00C2097E">
              <w:t xml:space="preserve"> considered to be unrelated to the vaccine; no other deaths reported in the three </w:t>
            </w:r>
            <w:r w:rsidR="00C2097E">
              <w:t>Phase III</w:t>
            </w:r>
            <w:r w:rsidRPr="00C2097E">
              <w:t xml:space="preserve"> studies.</w:t>
            </w:r>
          </w:p>
        </w:tc>
        <w:tc>
          <w:tcPr>
            <w:tcW w:w="3330" w:type="dxa"/>
          </w:tcPr>
          <w:p w14:paraId="69C33865" w14:textId="6DEB1FDF" w:rsidR="009253BF" w:rsidRPr="00C2097E" w:rsidRDefault="009253BF" w:rsidP="00C2097E">
            <w:pPr>
              <w:pStyle w:val="ListBullet"/>
            </w:pPr>
            <w:r w:rsidRPr="00C2097E">
              <w:lastRenderedPageBreak/>
              <w:t xml:space="preserve">The safety profiles of </w:t>
            </w:r>
            <w:r w:rsidR="005568B8">
              <w:t>Prevenar 20</w:t>
            </w:r>
            <w:r w:rsidRPr="00C2097E">
              <w:t xml:space="preserve"> and vaccine controls in the three </w:t>
            </w:r>
            <w:r w:rsidR="00C2097E">
              <w:t>Phase</w:t>
            </w:r>
            <w:r w:rsidR="00941034">
              <w:t> </w:t>
            </w:r>
            <w:r w:rsidR="00C2097E">
              <w:t>III</w:t>
            </w:r>
            <w:r w:rsidRPr="00C2097E">
              <w:t xml:space="preserve"> studies were similar in pneumococcal vaccine-naïve adult subjects aged ≥ 18 years and in adult subjects aged ≥ 65 years with or without prior pneumococcal vaccination (</w:t>
            </w:r>
            <w:r w:rsidR="005568B8">
              <w:t>Prevenar 13</w:t>
            </w:r>
            <w:r w:rsidRPr="00C2097E">
              <w:t xml:space="preserve"> and/or </w:t>
            </w:r>
            <w:r w:rsidR="00941034">
              <w:t>Pneumovax 23</w:t>
            </w:r>
            <w:r w:rsidRPr="00C2097E">
              <w:t>).</w:t>
            </w:r>
          </w:p>
          <w:p w14:paraId="01575E93" w14:textId="70E00C38" w:rsidR="009253BF" w:rsidRPr="00C2097E" w:rsidRDefault="009253BF" w:rsidP="00C2097E">
            <w:pPr>
              <w:pStyle w:val="ListBullet"/>
            </w:pPr>
            <w:r w:rsidRPr="00C2097E">
              <w:lastRenderedPageBreak/>
              <w:t xml:space="preserve">The safety profiles of </w:t>
            </w:r>
            <w:r w:rsidR="005568B8">
              <w:t>Prevenar 20</w:t>
            </w:r>
            <w:r w:rsidRPr="00C2097E">
              <w:t xml:space="preserve"> in the three </w:t>
            </w:r>
            <w:r w:rsidR="00C2097E">
              <w:t>Phase III</w:t>
            </w:r>
            <w:r w:rsidRPr="00C2097E">
              <w:t xml:space="preserve"> studies in adults aged ≥ 18 years across all age and vaccine groups were consistent with the safety profiles in pneumococcal vaccine-naïve subjects aged 18-49 years (two Phase </w:t>
            </w:r>
            <w:r w:rsidR="00C2097E">
              <w:t>I</w:t>
            </w:r>
            <w:r w:rsidRPr="00C2097E">
              <w:t xml:space="preserve"> studies B7471001 and B7471005) and in subjects aged 60-64 years (Phase </w:t>
            </w:r>
            <w:r w:rsidR="00C2097E">
              <w:t>II</w:t>
            </w:r>
            <w:r w:rsidRPr="00C2097E">
              <w:t xml:space="preserve"> study B74701002).</w:t>
            </w:r>
          </w:p>
          <w:p w14:paraId="0FD3E5C0" w14:textId="4791B3D9" w:rsidR="009253BF" w:rsidRPr="00C2097E" w:rsidRDefault="009253BF" w:rsidP="00C2097E">
            <w:pPr>
              <w:pStyle w:val="ListBullet"/>
            </w:pPr>
            <w:r w:rsidRPr="00C2097E">
              <w:t xml:space="preserve">The safety profile in the clinical development program for </w:t>
            </w:r>
            <w:r w:rsidR="005568B8">
              <w:t>Prevenar 20</w:t>
            </w:r>
            <w:r w:rsidRPr="00C2097E">
              <w:t xml:space="preserve"> based on the six submitted clinical studies is generally consistent with the known safety profile of </w:t>
            </w:r>
            <w:r w:rsidR="005568B8">
              <w:t>Prevenar 13</w:t>
            </w:r>
            <w:r w:rsidRPr="00C2097E">
              <w:t xml:space="preserve"> based on clinical studies and post-marketing safety data. No new safety signals were observed after </w:t>
            </w:r>
            <w:r w:rsidR="005568B8">
              <w:t>Prevenar 20</w:t>
            </w:r>
            <w:r w:rsidRPr="00C2097E">
              <w:t xml:space="preserve"> compared to vaccine control (Tdap/</w:t>
            </w:r>
            <w:r w:rsidR="005568B8">
              <w:t>Prevenar 13</w:t>
            </w:r>
            <w:r w:rsidRPr="00C2097E">
              <w:t xml:space="preserve"> / </w:t>
            </w:r>
            <w:r w:rsidR="00941034">
              <w:t>Pneumovax 23</w:t>
            </w:r>
            <w:r w:rsidRPr="00C2097E">
              <w:t>).</w:t>
            </w:r>
          </w:p>
          <w:p w14:paraId="4F21C101" w14:textId="6DE4C723" w:rsidR="009253BF" w:rsidRPr="00C2097E" w:rsidRDefault="009253BF" w:rsidP="00C2097E">
            <w:pPr>
              <w:pStyle w:val="ListBullet"/>
            </w:pPr>
            <w:r w:rsidRPr="00C2097E">
              <w:t xml:space="preserve">In the three </w:t>
            </w:r>
            <w:r w:rsidR="00C2097E">
              <w:t>Phase III</w:t>
            </w:r>
            <w:r w:rsidRPr="00C2097E">
              <w:t xml:space="preserve"> studies, AEs across all age and vaccine groups primarily comprised prompted local reactions within 10 days after vaccination (predominantly pain at injection site) and prompted systemic events within 7 days after vaccination (predominantly muscle pain).</w:t>
            </w:r>
          </w:p>
          <w:p w14:paraId="5CF628ED" w14:textId="78A59E3A" w:rsidR="009253BF" w:rsidRPr="00C2097E" w:rsidRDefault="009253BF" w:rsidP="00C2097E">
            <w:pPr>
              <w:pStyle w:val="ListBullet"/>
            </w:pPr>
            <w:r w:rsidRPr="00C2097E">
              <w:t xml:space="preserve">In the three </w:t>
            </w:r>
            <w:r w:rsidR="00C2097E">
              <w:t>Phase III</w:t>
            </w:r>
            <w:r w:rsidRPr="00C2097E">
              <w:t xml:space="preserve"> studies, prompted local reactions within 10 days after vaccination, prompted systemic events within 7 days after vaccination and AEs within 1 month after vaccination tended to decrease with increasing age and tended to occur more frequently in females than in </w:t>
            </w:r>
            <w:r w:rsidRPr="00C2097E">
              <w:lastRenderedPageBreak/>
              <w:t>males and in Whites than in Black or African Americans.</w:t>
            </w:r>
          </w:p>
          <w:p w14:paraId="6A8D0149" w14:textId="1160AB6E" w:rsidR="009253BF" w:rsidRPr="00C2097E" w:rsidRDefault="009253BF" w:rsidP="00C2097E">
            <w:pPr>
              <w:pStyle w:val="ListBullet"/>
            </w:pPr>
            <w:r w:rsidRPr="00C2097E">
              <w:t xml:space="preserve">The most noteworthy AE within 10 days after vaccination in the three </w:t>
            </w:r>
            <w:r w:rsidR="00C2097E">
              <w:t>Phase III</w:t>
            </w:r>
            <w:r w:rsidRPr="00C2097E">
              <w:t xml:space="preserve"> studies was the marginally increased frequency of cardiac disorders (SOC) in subjects (n [%]) aged ≥ 60 years in study B7471007 Cohort 1 (n=7, 0.5% </w:t>
            </w:r>
            <w:r w:rsidR="00941034">
              <w:t>versus</w:t>
            </w:r>
            <w:r w:rsidRPr="00C2097E">
              <w:t xml:space="preserve"> n=2, 0.1%). The only reports of vaccine-related cardiac disorder AEs (PT) reported 1 month after vaccination in the </w:t>
            </w:r>
            <w:r w:rsidR="00C2097E">
              <w:t>Phase III</w:t>
            </w:r>
            <w:r w:rsidRPr="00C2097E">
              <w:t xml:space="preserve"> studies were palpitations in 1 (0.1%) subject each after </w:t>
            </w:r>
            <w:r w:rsidR="005568B8">
              <w:t>Prevenar 20</w:t>
            </w:r>
            <w:r w:rsidRPr="00C2097E">
              <w:t xml:space="preserve"> and </w:t>
            </w:r>
            <w:r w:rsidR="005568B8">
              <w:t>Prevenar 13</w:t>
            </w:r>
            <w:r w:rsidRPr="00C2097E">
              <w:t xml:space="preserve"> in Study B7471007 Cohort 1. There were no vaccine-related cardiac disorder SAEs reported in the </w:t>
            </w:r>
            <w:r w:rsidR="00C2097E">
              <w:t>Phase III</w:t>
            </w:r>
            <w:r w:rsidRPr="00C2097E">
              <w:t xml:space="preserve"> studies. Overall, the totality of the non-clinical and clinical data indicates that a causal relationship between </w:t>
            </w:r>
            <w:r w:rsidR="005568B8">
              <w:t>Prevenar 20</w:t>
            </w:r>
            <w:r w:rsidRPr="00C2097E">
              <w:t xml:space="preserve"> and cardiac disorders is unlikely.</w:t>
            </w:r>
          </w:p>
          <w:p w14:paraId="6D9958FC" w14:textId="496A7122" w:rsidR="009253BF" w:rsidRPr="00C2097E" w:rsidRDefault="009253BF" w:rsidP="00C2097E">
            <w:pPr>
              <w:pStyle w:val="ListBullet"/>
              <w:rPr>
                <w:rFonts w:eastAsia="TimesNewRoman"/>
              </w:rPr>
            </w:pPr>
            <w:r w:rsidRPr="00C2097E">
              <w:t xml:space="preserve">There were no data with </w:t>
            </w:r>
            <w:r w:rsidR="005568B8">
              <w:t>Prevenar 20</w:t>
            </w:r>
            <w:r w:rsidRPr="00C2097E">
              <w:t xml:space="preserve"> in special populations. Most of the subjects in the six clinical studies were healthy adults, and patients with significant comorbidities were not included in the clinical development program for </w:t>
            </w:r>
            <w:r w:rsidR="005568B8">
              <w:t>Prevenar 20</w:t>
            </w:r>
            <w:r w:rsidRPr="00C2097E">
              <w:t xml:space="preserve"> (</w:t>
            </w:r>
            <w:r w:rsidR="0005789F">
              <w:t>that is,</w:t>
            </w:r>
            <w:r w:rsidRPr="00C2097E">
              <w:t xml:space="preserve"> hepatic impairment, renal impairment, cardiovascular disease, and/or immunocompromised). There were no studies in pregnant women. It is unknown whether </w:t>
            </w:r>
            <w:r w:rsidR="005568B8">
              <w:t>Prevenar 20</w:t>
            </w:r>
            <w:r w:rsidRPr="00C2097E">
              <w:t xml:space="preserve"> is excreted in human breast milk and there were no data on the use of </w:t>
            </w:r>
            <w:r w:rsidR="005568B8">
              <w:lastRenderedPageBreak/>
              <w:t>Prevenar 20</w:t>
            </w:r>
            <w:r w:rsidRPr="00C2097E">
              <w:t xml:space="preserve"> in breast feeding women. </w:t>
            </w:r>
          </w:p>
        </w:tc>
      </w:tr>
    </w:tbl>
    <w:p w14:paraId="598911F0" w14:textId="75EF907C" w:rsidR="0005789F" w:rsidRPr="00AC74BD" w:rsidRDefault="00C2097E" w:rsidP="00AC74BD">
      <w:pPr>
        <w:pStyle w:val="Tabledescription"/>
      </w:pPr>
      <w:r w:rsidRPr="00AC74BD">
        <w:lastRenderedPageBreak/>
        <w:t xml:space="preserve">Abbreviations: </w:t>
      </w:r>
      <w:r w:rsidR="0005789F" w:rsidRPr="00AC74BD">
        <w:t>AE = adverse event; PT = Preferred Term; SAE = serious adverse event; SOC = System Organ Class; Tdap = diphtheria-tetanus-acellular pertussis combination vaccine.</w:t>
      </w:r>
    </w:p>
    <w:p w14:paraId="0ECDACE4" w14:textId="13830231" w:rsidR="008557F6" w:rsidRPr="006A37CA" w:rsidRDefault="008557F6" w:rsidP="00CB365D">
      <w:r w:rsidRPr="006A37CA">
        <w:t xml:space="preserve">In the three </w:t>
      </w:r>
      <w:r w:rsidR="00376E45" w:rsidRPr="006A37CA">
        <w:t>Phase III</w:t>
      </w:r>
      <w:r w:rsidRPr="006A37CA">
        <w:t xml:space="preserve"> studies, </w:t>
      </w:r>
      <w:r w:rsidR="0055561A" w:rsidRPr="006A37CA">
        <w:t xml:space="preserve">adverse events </w:t>
      </w:r>
      <w:r w:rsidRPr="006A37CA">
        <w:t xml:space="preserve">across all age and vaccine groups primarily comprised prompted local reactions within 10 days after vaccination (predominantly pain at injection site) and prompted systemic events within 7 days after vaccination (predominantly muscle pain). The clinical </w:t>
      </w:r>
      <w:r w:rsidR="00376E45" w:rsidRPr="006A37CA">
        <w:t>evaluation</w:t>
      </w:r>
      <w:r w:rsidRPr="006A37CA">
        <w:t xml:space="preserve"> drew attention to the marginally increased frequency of cardiac disorders in subjects aged 60 years </w:t>
      </w:r>
      <w:r w:rsidR="009659E2" w:rsidRPr="006A37CA">
        <w:t xml:space="preserve">and over </w:t>
      </w:r>
      <w:r w:rsidRPr="006A37CA">
        <w:t xml:space="preserve">in </w:t>
      </w:r>
      <w:r w:rsidR="005568B8">
        <w:t>S</w:t>
      </w:r>
      <w:r w:rsidRPr="006A37CA">
        <w:t>tudy B7471007 Cohort 1 (n</w:t>
      </w:r>
      <w:r w:rsidR="009659E2" w:rsidRPr="006A37CA">
        <w:t xml:space="preserve"> </w:t>
      </w:r>
      <w:r w:rsidRPr="006A37CA">
        <w:t>=</w:t>
      </w:r>
      <w:r w:rsidR="009659E2" w:rsidRPr="006A37CA">
        <w:t xml:space="preserve"> </w:t>
      </w:r>
      <w:r w:rsidRPr="006A37CA">
        <w:t xml:space="preserve">7, 0.5% </w:t>
      </w:r>
      <w:r w:rsidR="009659E2" w:rsidRPr="006A37CA">
        <w:t>versus</w:t>
      </w:r>
      <w:r w:rsidRPr="006A37CA">
        <w:t xml:space="preserve"> n</w:t>
      </w:r>
      <w:r w:rsidR="009659E2" w:rsidRPr="006A37CA">
        <w:t xml:space="preserve"> </w:t>
      </w:r>
      <w:r w:rsidRPr="006A37CA">
        <w:t>=</w:t>
      </w:r>
      <w:r w:rsidR="009659E2" w:rsidRPr="006A37CA">
        <w:t xml:space="preserve"> </w:t>
      </w:r>
      <w:r w:rsidRPr="006A37CA">
        <w:t xml:space="preserve">2, 0.1%). The </w:t>
      </w:r>
      <w:r w:rsidR="007A2833" w:rsidRPr="006A37CA">
        <w:t xml:space="preserve">clinical evaluation </w:t>
      </w:r>
      <w:r w:rsidRPr="006A37CA">
        <w:t xml:space="preserve">concluded that the totality of the nonclinical and clinical data indicated that a causal relationship between </w:t>
      </w:r>
      <w:r w:rsidR="006A37CA">
        <w:t>Prevenar 20</w:t>
      </w:r>
      <w:r w:rsidRPr="006A37CA">
        <w:t xml:space="preserve"> and cardiac disorders was unlikely.</w:t>
      </w:r>
    </w:p>
    <w:p w14:paraId="036E6FAA" w14:textId="216C4FC2" w:rsidR="008557F6" w:rsidRPr="006A37CA" w:rsidRDefault="008557F6" w:rsidP="009253BF">
      <w:pPr>
        <w:pStyle w:val="Heading4"/>
      </w:pPr>
      <w:bookmarkStart w:id="67" w:name="_Toc135124815"/>
      <w:r w:rsidRPr="006A37CA">
        <w:t xml:space="preserve">Review of </w:t>
      </w:r>
      <w:r w:rsidR="006A37CA" w:rsidRPr="006A37CA">
        <w:t>sponsor’s</w:t>
      </w:r>
      <w:r w:rsidRPr="006A37CA">
        <w:t xml:space="preserve"> response</w:t>
      </w:r>
      <w:r w:rsidR="006A37CA" w:rsidRPr="006A37CA">
        <w:t xml:space="preserve"> to questions raised by the TGA</w:t>
      </w:r>
      <w:bookmarkEnd w:id="67"/>
    </w:p>
    <w:p w14:paraId="3EBE6F26" w14:textId="73A5A2F8" w:rsidR="008557F6" w:rsidRPr="006A37CA" w:rsidRDefault="008557F6" w:rsidP="00CB365D">
      <w:r w:rsidRPr="006A37CA">
        <w:t xml:space="preserve">The </w:t>
      </w:r>
      <w:r w:rsidR="00CB365D" w:rsidRPr="006A37CA">
        <w:t>sponsor</w:t>
      </w:r>
      <w:r w:rsidRPr="006A37CA">
        <w:t xml:space="preserve"> provided a detailed response to the questions posed by the </w:t>
      </w:r>
      <w:r w:rsidR="007A2833" w:rsidRPr="006A37CA">
        <w:t xml:space="preserve">TGA </w:t>
      </w:r>
      <w:r w:rsidRPr="006A37CA">
        <w:t xml:space="preserve">at </w:t>
      </w:r>
      <w:r w:rsidR="007A2833" w:rsidRPr="006A37CA">
        <w:t xml:space="preserve">the first round of </w:t>
      </w:r>
      <w:r w:rsidR="005568B8">
        <w:t xml:space="preserve">clinical </w:t>
      </w:r>
      <w:r w:rsidR="007A2833" w:rsidRPr="006A37CA">
        <w:t>evaluation</w:t>
      </w:r>
      <w:r w:rsidRPr="006A37CA">
        <w:t>.</w:t>
      </w:r>
      <w:r w:rsidR="006A37CA" w:rsidRPr="006A37CA">
        <w:t xml:space="preserve"> </w:t>
      </w:r>
      <w:r w:rsidR="005568B8">
        <w:t>The s</w:t>
      </w:r>
      <w:r w:rsidR="006A37CA" w:rsidRPr="006A37CA">
        <w:t xml:space="preserve">ponsor’s responses </w:t>
      </w:r>
      <w:r w:rsidR="005568B8">
        <w:t>were</w:t>
      </w:r>
      <w:r w:rsidR="005568B8" w:rsidRPr="006A37CA">
        <w:t xml:space="preserve"> </w:t>
      </w:r>
      <w:r w:rsidR="006A37CA" w:rsidRPr="006A37CA">
        <w:t>provided to the ACV for consideration.</w:t>
      </w:r>
    </w:p>
    <w:p w14:paraId="68A0E551" w14:textId="1A1021EE" w:rsidR="008557F6" w:rsidRPr="006A37CA" w:rsidRDefault="008557F6" w:rsidP="00CB365D">
      <w:r w:rsidRPr="006A37CA">
        <w:t xml:space="preserve">The </w:t>
      </w:r>
      <w:r w:rsidR="00CB365D" w:rsidRPr="006A37CA">
        <w:t>sponsor</w:t>
      </w:r>
      <w:r w:rsidRPr="006A37CA">
        <w:t xml:space="preserve"> provided overseas evaluations, including the EU </w:t>
      </w:r>
      <w:r w:rsidR="007A2833" w:rsidRPr="006A37CA">
        <w:t xml:space="preserve">Scientific Advice </w:t>
      </w:r>
      <w:r w:rsidRPr="006A37CA">
        <w:t xml:space="preserve">to the </w:t>
      </w:r>
      <w:r w:rsidR="00CB365D" w:rsidRPr="006A37CA">
        <w:t>sponsor</w:t>
      </w:r>
      <w:r w:rsidRPr="006A37CA">
        <w:t xml:space="preserve">, dated 10 August 2018 with the response </w:t>
      </w:r>
      <w:r w:rsidR="0055561A" w:rsidRPr="006A37CA">
        <w:t xml:space="preserve">to questions raised by TGA </w:t>
      </w:r>
      <w:r w:rsidRPr="006A37CA">
        <w:t xml:space="preserve">and Day 120 </w:t>
      </w:r>
      <w:r w:rsidR="0055561A" w:rsidRPr="006A37CA">
        <w:t>CHMP</w:t>
      </w:r>
      <w:r w:rsidRPr="006A37CA">
        <w:t xml:space="preserve"> List of Questions to the TGA and </w:t>
      </w:r>
      <w:r w:rsidR="006A37CA" w:rsidRPr="006A37CA">
        <w:t>the US Food and Drug Administration (</w:t>
      </w:r>
      <w:r w:rsidRPr="006A37CA">
        <w:t>FDA</w:t>
      </w:r>
      <w:r w:rsidR="006A37CA" w:rsidRPr="006A37CA">
        <w:t>)</w:t>
      </w:r>
      <w:r w:rsidRPr="006A37CA">
        <w:t xml:space="preserve"> reviews with the initial submission.</w:t>
      </w:r>
    </w:p>
    <w:p w14:paraId="2858B006" w14:textId="77777777" w:rsidR="00C22214" w:rsidRPr="006A37CA" w:rsidRDefault="00C22214" w:rsidP="00C22214">
      <w:pPr>
        <w:pStyle w:val="Heading3"/>
        <w:rPr>
          <w:lang w:eastAsia="en-AU"/>
        </w:rPr>
      </w:pPr>
      <w:bookmarkStart w:id="68" w:name="_Toc103679298"/>
      <w:bookmarkStart w:id="69" w:name="_Toc135124816"/>
      <w:r w:rsidRPr="006A37CA">
        <w:rPr>
          <w:lang w:eastAsia="en-AU"/>
        </w:rPr>
        <w:lastRenderedPageBreak/>
        <w:t>Risk management plan</w:t>
      </w:r>
      <w:bookmarkEnd w:id="52"/>
      <w:bookmarkEnd w:id="68"/>
      <w:bookmarkEnd w:id="69"/>
    </w:p>
    <w:p w14:paraId="404FF99A" w14:textId="4C51FBEA" w:rsidR="00CB365D" w:rsidRPr="006A37CA" w:rsidRDefault="007A2833" w:rsidP="00CB365D">
      <w:bookmarkStart w:id="70" w:name="_Toc247691531"/>
      <w:bookmarkStart w:id="71" w:name="_Toc314842515"/>
      <w:r w:rsidRPr="006A37CA">
        <w:t>The sponsor</w:t>
      </w:r>
      <w:r w:rsidR="00CB365D" w:rsidRPr="006A37CA">
        <w:t xml:space="preserve"> has submitted EU-</w:t>
      </w:r>
      <w:r w:rsidR="0055561A" w:rsidRPr="006A37CA">
        <w:t>risk management plan (</w:t>
      </w:r>
      <w:r w:rsidR="00CB365D" w:rsidRPr="006A37CA">
        <w:t>RMP</w:t>
      </w:r>
      <w:r w:rsidR="0055561A" w:rsidRPr="006A37CA">
        <w:t>)</w:t>
      </w:r>
      <w:r w:rsidR="00CB365D" w:rsidRPr="006A37CA">
        <w:t xml:space="preserve"> version 0.2 (date</w:t>
      </w:r>
      <w:r w:rsidRPr="006A37CA">
        <w:t>d</w:t>
      </w:r>
      <w:r w:rsidR="00CB365D" w:rsidRPr="006A37CA">
        <w:t xml:space="preserve"> 1</w:t>
      </w:r>
      <w:r w:rsidR="0055561A" w:rsidRPr="006A37CA">
        <w:t> </w:t>
      </w:r>
      <w:r w:rsidR="00CB365D" w:rsidRPr="006A37CA">
        <w:t>September</w:t>
      </w:r>
      <w:r w:rsidR="0055561A" w:rsidRPr="006A37CA">
        <w:t> </w:t>
      </w:r>
      <w:r w:rsidR="00CB365D" w:rsidRPr="006A37CA">
        <w:t xml:space="preserve">2021; </w:t>
      </w:r>
      <w:r w:rsidR="0055561A" w:rsidRPr="006A37CA">
        <w:t>data lock point (</w:t>
      </w:r>
      <w:r w:rsidR="00CB365D" w:rsidRPr="006A37CA">
        <w:t>DLP</w:t>
      </w:r>
      <w:r w:rsidR="0055561A" w:rsidRPr="006A37CA">
        <w:t>)</w:t>
      </w:r>
      <w:r w:rsidR="00CB365D" w:rsidRPr="006A37CA">
        <w:t xml:space="preserve"> 4</w:t>
      </w:r>
      <w:r w:rsidRPr="006A37CA">
        <w:t> </w:t>
      </w:r>
      <w:r w:rsidR="00CB365D" w:rsidRPr="006A37CA">
        <w:t>June</w:t>
      </w:r>
      <w:r w:rsidRPr="006A37CA">
        <w:t> </w:t>
      </w:r>
      <w:r w:rsidR="00CB365D" w:rsidRPr="006A37CA">
        <w:t>2020) and ASA version 1.0 (date</w:t>
      </w:r>
      <w:r w:rsidRPr="006A37CA">
        <w:t>d</w:t>
      </w:r>
      <w:r w:rsidR="00CB365D" w:rsidRPr="006A37CA">
        <w:t xml:space="preserve"> 4</w:t>
      </w:r>
      <w:r w:rsidR="0055561A" w:rsidRPr="006A37CA">
        <w:t> </w:t>
      </w:r>
      <w:r w:rsidR="00CB365D" w:rsidRPr="006A37CA">
        <w:t>October</w:t>
      </w:r>
      <w:r w:rsidR="0055561A" w:rsidRPr="006A37CA">
        <w:t> </w:t>
      </w:r>
      <w:r w:rsidR="00CB365D" w:rsidRPr="006A37CA">
        <w:t>2021) in support of this application.</w:t>
      </w:r>
    </w:p>
    <w:p w14:paraId="57275A51" w14:textId="183C4EED" w:rsidR="00CB365D" w:rsidRPr="006A37CA" w:rsidRDefault="00CB365D" w:rsidP="00CB365D">
      <w:r w:rsidRPr="006A37CA">
        <w:t>The clinical development of Prevenar 20 is based on that of Prevenar 13. The vaccines are manufactured and formulated in a similar way and contain 13 of the same polysaccharide conjugates. The most recently evaluated RMP for Prevenar 13 was EU-RMP version 9.0 (dated 3</w:t>
      </w:r>
      <w:r w:rsidR="007A2833" w:rsidRPr="006A37CA">
        <w:t> </w:t>
      </w:r>
      <w:r w:rsidRPr="006A37CA">
        <w:t xml:space="preserve">July 2014; </w:t>
      </w:r>
      <w:r w:rsidR="007A2833" w:rsidRPr="006A37CA">
        <w:t>DLP</w:t>
      </w:r>
      <w:r w:rsidRPr="006A37CA">
        <w:t xml:space="preserve"> 7 February 2014) and ASA version 4.0 (dated 20 February 2015). </w:t>
      </w:r>
      <w:r w:rsidR="0055561A" w:rsidRPr="006A37CA">
        <w:t>Periodic safety update report (</w:t>
      </w:r>
      <w:r w:rsidRPr="006A37CA">
        <w:t>PSUR</w:t>
      </w:r>
      <w:r w:rsidR="0055561A" w:rsidRPr="006A37CA">
        <w:t>)</w:t>
      </w:r>
      <w:r w:rsidRPr="006A37CA">
        <w:t xml:space="preserve"> number 13 for Prevenar 13 is also considered relevant to this submission.</w:t>
      </w:r>
    </w:p>
    <w:p w14:paraId="1BC0B94F" w14:textId="6244E444" w:rsidR="00CB365D" w:rsidRPr="006A37CA" w:rsidRDefault="00CB365D" w:rsidP="00CB365D">
      <w:r w:rsidRPr="006A37CA">
        <w:t>The sponsor has provided overseas evaluation reports for the submission, including the EMA Day</w:t>
      </w:r>
      <w:r w:rsidR="0055561A" w:rsidRPr="006A37CA">
        <w:t> </w:t>
      </w:r>
      <w:r w:rsidRPr="006A37CA">
        <w:t>120 CHMP list of questions and the Summary Basis for Regulatory Action.</w:t>
      </w:r>
    </w:p>
    <w:p w14:paraId="4B91C40B" w14:textId="5CCFFF11" w:rsidR="00CB365D" w:rsidRPr="006A37CA" w:rsidRDefault="00CB365D" w:rsidP="00CB365D">
      <w:r w:rsidRPr="006A37CA">
        <w:t xml:space="preserve">Prevenar 13 is included on the </w:t>
      </w:r>
      <w:hyperlink r:id="rId33" w:history="1">
        <w:r w:rsidRPr="007F18AD">
          <w:rPr>
            <w:rStyle w:val="Hyperlink"/>
          </w:rPr>
          <w:t xml:space="preserve">National Immunisation Program </w:t>
        </w:r>
        <w:r w:rsidR="005568B8" w:rsidRPr="007F18AD">
          <w:rPr>
            <w:rStyle w:val="Hyperlink"/>
          </w:rPr>
          <w:t>s</w:t>
        </w:r>
        <w:r w:rsidRPr="007F18AD">
          <w:rPr>
            <w:rStyle w:val="Hyperlink"/>
          </w:rPr>
          <w:t>chedule for</w:t>
        </w:r>
        <w:r w:rsidR="007F18AD" w:rsidRPr="007F18AD">
          <w:rPr>
            <w:rStyle w:val="Hyperlink"/>
          </w:rPr>
          <w:t xml:space="preserve"> pneumococcal disease</w:t>
        </w:r>
      </w:hyperlink>
      <w:r w:rsidRPr="006A37CA">
        <w:t xml:space="preserve"> </w:t>
      </w:r>
      <w:r w:rsidR="007F18AD">
        <w:t xml:space="preserve">for </w:t>
      </w:r>
      <w:r w:rsidRPr="006A37CA">
        <w:t>various paediatric and adult age groups and medical conditions.</w:t>
      </w:r>
      <w:r w:rsidR="0055561A" w:rsidRPr="006A37CA">
        <w:rPr>
          <w:vertAlign w:val="superscript"/>
        </w:rPr>
        <w:footnoteReference w:id="40"/>
      </w:r>
    </w:p>
    <w:p w14:paraId="39F3CD1D" w14:textId="6DB2A848" w:rsidR="0072003B" w:rsidRPr="006A37CA" w:rsidRDefault="00C22214" w:rsidP="00C22214">
      <w:r w:rsidRPr="006A37CA">
        <w:t xml:space="preserve">The summary of safety concerns and their associated risk monitoring and mitigation strategies are summarised in </w:t>
      </w:r>
      <w:r w:rsidR="00CB365D" w:rsidRPr="006A37CA">
        <w:fldChar w:fldCharType="begin"/>
      </w:r>
      <w:r w:rsidR="00CB365D" w:rsidRPr="006A37CA">
        <w:instrText xml:space="preserve"> REF _Ref97629131 \h </w:instrText>
      </w:r>
      <w:r w:rsidR="006A37CA" w:rsidRPr="006A37CA">
        <w:instrText xml:space="preserve"> \* MERGEFORMAT </w:instrText>
      </w:r>
      <w:r w:rsidR="00CB365D" w:rsidRPr="006A37CA">
        <w:fldChar w:fldCharType="separate"/>
      </w:r>
      <w:r w:rsidR="00AC74BD" w:rsidRPr="00AC74BD">
        <w:t xml:space="preserve">Table </w:t>
      </w:r>
      <w:r w:rsidR="00AC74BD">
        <w:rPr>
          <w:noProof/>
        </w:rPr>
        <w:t>10</w:t>
      </w:r>
      <w:r w:rsidR="00CB365D" w:rsidRPr="006A37CA">
        <w:fldChar w:fldCharType="end"/>
      </w:r>
      <w:r w:rsidR="008C49C6" w:rsidRPr="006A37CA">
        <w:t>.</w:t>
      </w:r>
      <w:r w:rsidR="0072003B" w:rsidRPr="006A37CA">
        <w:t xml:space="preserve"> The TGA</w:t>
      </w:r>
      <w:r w:rsidR="00C07551" w:rsidRPr="006A37CA">
        <w:t xml:space="preserve"> may</w:t>
      </w:r>
      <w:r w:rsidR="0072003B" w:rsidRPr="006A37CA">
        <w:t xml:space="preserve"> request an updated RMP at any stage of a product's life</w:t>
      </w:r>
      <w:r w:rsidR="007A2833" w:rsidRPr="006A37CA">
        <w:noBreakHyphen/>
      </w:r>
      <w:r w:rsidR="0072003B" w:rsidRPr="006A37CA">
        <w:t>cycle, during both the pre-approval and post-approval phases.</w:t>
      </w:r>
    </w:p>
    <w:p w14:paraId="56B51A93" w14:textId="1CB411FD" w:rsidR="006A277A" w:rsidRPr="00AC74BD" w:rsidRDefault="00C22214" w:rsidP="00AC74BD">
      <w:pPr>
        <w:pStyle w:val="TableTitle0"/>
      </w:pPr>
      <w:bookmarkStart w:id="72" w:name="_Ref97629131"/>
      <w:r w:rsidRPr="00AC74BD">
        <w:t xml:space="preserve">Table </w:t>
      </w:r>
      <w:fldSimple w:instr=" SEQ Table \* ARABIC ">
        <w:r w:rsidR="00AC74BD">
          <w:rPr>
            <w:noProof/>
          </w:rPr>
          <w:t>10</w:t>
        </w:r>
      </w:fldSimple>
      <w:bookmarkEnd w:id="72"/>
      <w:r w:rsidRPr="00AC74BD">
        <w:t>: Summary of safety concerns</w:t>
      </w:r>
    </w:p>
    <w:tbl>
      <w:tblPr>
        <w:tblStyle w:val="TableTGAblue"/>
        <w:tblW w:w="8926" w:type="dxa"/>
        <w:tblLayout w:type="fixed"/>
        <w:tblLook w:val="04A0" w:firstRow="1" w:lastRow="0" w:firstColumn="1" w:lastColumn="0" w:noHBand="0" w:noVBand="1"/>
      </w:tblPr>
      <w:tblGrid>
        <w:gridCol w:w="1413"/>
        <w:gridCol w:w="2410"/>
        <w:gridCol w:w="1134"/>
        <w:gridCol w:w="1417"/>
        <w:gridCol w:w="1134"/>
        <w:gridCol w:w="1418"/>
      </w:tblGrid>
      <w:tr w:rsidR="00CB365D" w:rsidRPr="006A37CA" w14:paraId="6F1EA2DC" w14:textId="77777777" w:rsidTr="005E23E6">
        <w:trPr>
          <w:cnfStyle w:val="100000000000" w:firstRow="1" w:lastRow="0" w:firstColumn="0" w:lastColumn="0" w:oddVBand="0" w:evenVBand="0" w:oddHBand="0" w:evenHBand="0" w:firstRowFirstColumn="0" w:firstRowLastColumn="0" w:lastRowFirstColumn="0" w:lastRowLastColumn="0"/>
          <w:trHeight w:val="377"/>
        </w:trPr>
        <w:tc>
          <w:tcPr>
            <w:tcW w:w="3823" w:type="dxa"/>
            <w:gridSpan w:val="2"/>
            <w:vMerge w:val="restart"/>
            <w:tcBorders>
              <w:top w:val="single" w:sz="4" w:space="0" w:color="auto"/>
              <w:left w:val="single" w:sz="4" w:space="0" w:color="auto"/>
              <w:bottom w:val="single" w:sz="4" w:space="0" w:color="auto"/>
              <w:right w:val="single" w:sz="4" w:space="0" w:color="auto"/>
            </w:tcBorders>
            <w:vAlign w:val="center"/>
          </w:tcPr>
          <w:p w14:paraId="76A7B887" w14:textId="77777777" w:rsidR="00CB365D" w:rsidRPr="005E23E6" w:rsidRDefault="00CB365D" w:rsidP="005E23E6">
            <w:pPr>
              <w:pStyle w:val="Tabletext0"/>
              <w:ind w:left="0" w:right="0"/>
            </w:pPr>
            <w:r w:rsidRPr="005E23E6">
              <w:t>Summary of safety concerns</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B5EF74D" w14:textId="77777777" w:rsidR="00CB365D" w:rsidRPr="005E23E6" w:rsidRDefault="00CB365D" w:rsidP="005E23E6">
            <w:pPr>
              <w:pStyle w:val="Tabletext0"/>
              <w:ind w:left="0" w:right="0"/>
            </w:pPr>
            <w:r w:rsidRPr="005E23E6">
              <w:t>Pharmacovigilance</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541F9F3" w14:textId="47AFF57D" w:rsidR="00CB365D" w:rsidRPr="005E23E6" w:rsidRDefault="00CB365D" w:rsidP="005E23E6">
            <w:pPr>
              <w:pStyle w:val="Tabletext0"/>
              <w:ind w:left="0" w:right="0"/>
            </w:pPr>
            <w:r w:rsidRPr="005E23E6">
              <w:t xml:space="preserve">Risk </w:t>
            </w:r>
            <w:r w:rsidR="005E23E6">
              <w:t>m</w:t>
            </w:r>
            <w:r w:rsidRPr="005E23E6">
              <w:t>inimisation</w:t>
            </w:r>
          </w:p>
        </w:tc>
      </w:tr>
      <w:tr w:rsidR="005E23E6" w:rsidRPr="006A37CA" w14:paraId="4C5F65D2" w14:textId="77777777" w:rsidTr="005E23E6">
        <w:trPr>
          <w:trHeight w:val="350"/>
        </w:trPr>
        <w:tc>
          <w:tcPr>
            <w:tcW w:w="3823" w:type="dxa"/>
            <w:gridSpan w:val="2"/>
            <w:vMerge/>
            <w:tcBorders>
              <w:top w:val="single" w:sz="4" w:space="0" w:color="auto"/>
              <w:left w:val="single" w:sz="4" w:space="0" w:color="auto"/>
              <w:bottom w:val="single" w:sz="4" w:space="0" w:color="auto"/>
              <w:right w:val="single" w:sz="4" w:space="0" w:color="auto"/>
            </w:tcBorders>
            <w:shd w:val="clear" w:color="auto" w:fill="006DA7"/>
          </w:tcPr>
          <w:p w14:paraId="055ACBFC" w14:textId="77777777" w:rsidR="00CB365D" w:rsidRPr="005E23E6" w:rsidRDefault="00CB365D" w:rsidP="005E23E6">
            <w:pPr>
              <w:pStyle w:val="Tabletext0"/>
              <w:ind w:left="0" w:right="0"/>
              <w:rPr>
                <w:b/>
                <w:color w:val="FFFFFF" w:themeColor="background1"/>
              </w:rPr>
            </w:pPr>
          </w:p>
        </w:tc>
        <w:tc>
          <w:tcPr>
            <w:tcW w:w="1134" w:type="dxa"/>
            <w:tcBorders>
              <w:top w:val="single" w:sz="4" w:space="0" w:color="auto"/>
              <w:left w:val="single" w:sz="4" w:space="0" w:color="auto"/>
              <w:bottom w:val="single" w:sz="4" w:space="0" w:color="auto"/>
              <w:right w:val="single" w:sz="4" w:space="0" w:color="auto"/>
            </w:tcBorders>
            <w:shd w:val="clear" w:color="auto" w:fill="006DA7"/>
            <w:vAlign w:val="center"/>
          </w:tcPr>
          <w:p w14:paraId="075031FB" w14:textId="77777777" w:rsidR="00CB365D" w:rsidRPr="005E23E6" w:rsidRDefault="00CB365D" w:rsidP="005E23E6">
            <w:pPr>
              <w:pStyle w:val="Tabletext0"/>
              <w:ind w:left="0" w:right="0"/>
              <w:rPr>
                <w:b/>
                <w:color w:val="FFFFFF" w:themeColor="background1"/>
              </w:rPr>
            </w:pPr>
            <w:r w:rsidRPr="005E23E6">
              <w:rPr>
                <w:b/>
                <w:color w:val="FFFFFF" w:themeColor="background1"/>
              </w:rPr>
              <w:t>Routine</w:t>
            </w:r>
          </w:p>
        </w:tc>
        <w:tc>
          <w:tcPr>
            <w:tcW w:w="1417" w:type="dxa"/>
            <w:tcBorders>
              <w:top w:val="single" w:sz="4" w:space="0" w:color="auto"/>
              <w:left w:val="single" w:sz="4" w:space="0" w:color="auto"/>
              <w:bottom w:val="single" w:sz="4" w:space="0" w:color="auto"/>
              <w:right w:val="single" w:sz="4" w:space="0" w:color="auto"/>
            </w:tcBorders>
            <w:shd w:val="clear" w:color="auto" w:fill="006DA7"/>
            <w:vAlign w:val="center"/>
          </w:tcPr>
          <w:p w14:paraId="2A9A1CD6" w14:textId="77777777" w:rsidR="00CB365D" w:rsidRPr="005E23E6" w:rsidRDefault="00CB365D" w:rsidP="005E23E6">
            <w:pPr>
              <w:pStyle w:val="Tabletext0"/>
              <w:ind w:left="0" w:right="0"/>
              <w:rPr>
                <w:b/>
                <w:color w:val="FFFFFF" w:themeColor="background1"/>
              </w:rPr>
            </w:pPr>
            <w:r w:rsidRPr="005E23E6">
              <w:rPr>
                <w:b/>
                <w:color w:val="FFFFFF" w:themeColor="background1"/>
              </w:rPr>
              <w:t>Additional</w:t>
            </w:r>
          </w:p>
        </w:tc>
        <w:tc>
          <w:tcPr>
            <w:tcW w:w="1134" w:type="dxa"/>
            <w:tcBorders>
              <w:top w:val="single" w:sz="4" w:space="0" w:color="auto"/>
              <w:left w:val="single" w:sz="4" w:space="0" w:color="auto"/>
              <w:bottom w:val="single" w:sz="4" w:space="0" w:color="auto"/>
              <w:right w:val="single" w:sz="4" w:space="0" w:color="auto"/>
            </w:tcBorders>
            <w:shd w:val="clear" w:color="auto" w:fill="006DA7"/>
            <w:vAlign w:val="center"/>
          </w:tcPr>
          <w:p w14:paraId="75510F7C" w14:textId="77777777" w:rsidR="00CB365D" w:rsidRPr="005E23E6" w:rsidRDefault="00CB365D" w:rsidP="005E23E6">
            <w:pPr>
              <w:pStyle w:val="Tabletext0"/>
              <w:ind w:left="0" w:right="0"/>
              <w:rPr>
                <w:b/>
                <w:color w:val="FFFFFF" w:themeColor="background1"/>
              </w:rPr>
            </w:pPr>
            <w:r w:rsidRPr="005E23E6">
              <w:rPr>
                <w:b/>
                <w:color w:val="FFFFFF" w:themeColor="background1"/>
              </w:rPr>
              <w:t>Routine</w:t>
            </w:r>
          </w:p>
        </w:tc>
        <w:tc>
          <w:tcPr>
            <w:tcW w:w="1418" w:type="dxa"/>
            <w:tcBorders>
              <w:top w:val="single" w:sz="4" w:space="0" w:color="auto"/>
              <w:left w:val="single" w:sz="4" w:space="0" w:color="auto"/>
              <w:bottom w:val="single" w:sz="4" w:space="0" w:color="auto"/>
              <w:right w:val="single" w:sz="4" w:space="0" w:color="auto"/>
            </w:tcBorders>
            <w:shd w:val="clear" w:color="auto" w:fill="006DA7"/>
            <w:vAlign w:val="center"/>
          </w:tcPr>
          <w:p w14:paraId="41CC0EC5" w14:textId="77777777" w:rsidR="00CB365D" w:rsidRPr="005E23E6" w:rsidRDefault="00CB365D" w:rsidP="005E23E6">
            <w:pPr>
              <w:pStyle w:val="Tabletext0"/>
              <w:ind w:left="0" w:right="0"/>
              <w:rPr>
                <w:b/>
                <w:color w:val="FFFFFF" w:themeColor="background1"/>
              </w:rPr>
            </w:pPr>
            <w:r w:rsidRPr="005E23E6">
              <w:rPr>
                <w:b/>
                <w:color w:val="FFFFFF" w:themeColor="background1"/>
              </w:rPr>
              <w:t>Additional</w:t>
            </w:r>
          </w:p>
        </w:tc>
      </w:tr>
      <w:tr w:rsidR="00CB365D" w:rsidRPr="006A37CA" w14:paraId="11B2EB2B" w14:textId="77777777" w:rsidTr="005E23E6">
        <w:trPr>
          <w:trHeight w:val="862"/>
        </w:trPr>
        <w:tc>
          <w:tcPr>
            <w:tcW w:w="1413" w:type="dxa"/>
            <w:tcBorders>
              <w:top w:val="single" w:sz="4" w:space="0" w:color="auto"/>
            </w:tcBorders>
            <w:vAlign w:val="center"/>
          </w:tcPr>
          <w:p w14:paraId="02D2035B" w14:textId="77777777" w:rsidR="00CB365D" w:rsidRPr="005E23E6" w:rsidRDefault="00CB365D" w:rsidP="005E23E6">
            <w:pPr>
              <w:pStyle w:val="Tabletext0"/>
              <w:ind w:left="0" w:right="0"/>
            </w:pPr>
            <w:r w:rsidRPr="005E23E6">
              <w:t>Important identified risks</w:t>
            </w:r>
          </w:p>
        </w:tc>
        <w:tc>
          <w:tcPr>
            <w:tcW w:w="2410" w:type="dxa"/>
            <w:tcBorders>
              <w:top w:val="single" w:sz="4" w:space="0" w:color="auto"/>
            </w:tcBorders>
            <w:vAlign w:val="center"/>
          </w:tcPr>
          <w:p w14:paraId="4DD77A46" w14:textId="77777777" w:rsidR="00CB365D" w:rsidRPr="005E23E6" w:rsidRDefault="00CB365D" w:rsidP="005E23E6">
            <w:pPr>
              <w:pStyle w:val="Tabletext0"/>
              <w:ind w:left="0" w:right="0"/>
            </w:pPr>
            <w:r w:rsidRPr="005E23E6">
              <w:t>None</w:t>
            </w:r>
          </w:p>
        </w:tc>
        <w:tc>
          <w:tcPr>
            <w:tcW w:w="1134" w:type="dxa"/>
            <w:tcBorders>
              <w:top w:val="single" w:sz="4" w:space="0" w:color="auto"/>
            </w:tcBorders>
            <w:vAlign w:val="center"/>
          </w:tcPr>
          <w:p w14:paraId="5E7A9C75" w14:textId="77777777" w:rsidR="00CB365D" w:rsidRPr="005E23E6" w:rsidRDefault="00CB365D" w:rsidP="005E23E6">
            <w:pPr>
              <w:pStyle w:val="Tabletext0"/>
              <w:ind w:left="0" w:right="0"/>
            </w:pPr>
          </w:p>
        </w:tc>
        <w:tc>
          <w:tcPr>
            <w:tcW w:w="1417" w:type="dxa"/>
            <w:tcBorders>
              <w:top w:val="single" w:sz="4" w:space="0" w:color="auto"/>
            </w:tcBorders>
            <w:vAlign w:val="center"/>
          </w:tcPr>
          <w:p w14:paraId="20D11ADC" w14:textId="77777777" w:rsidR="00CB365D" w:rsidRPr="005E23E6" w:rsidRDefault="00CB365D" w:rsidP="005E23E6">
            <w:pPr>
              <w:pStyle w:val="Tabletext0"/>
              <w:ind w:left="0" w:right="0"/>
            </w:pPr>
          </w:p>
        </w:tc>
        <w:tc>
          <w:tcPr>
            <w:tcW w:w="1134" w:type="dxa"/>
            <w:tcBorders>
              <w:top w:val="single" w:sz="4" w:space="0" w:color="auto"/>
            </w:tcBorders>
            <w:vAlign w:val="center"/>
          </w:tcPr>
          <w:p w14:paraId="4D26DBB5" w14:textId="77777777" w:rsidR="00CB365D" w:rsidRPr="005E23E6" w:rsidRDefault="00CB365D" w:rsidP="005E23E6">
            <w:pPr>
              <w:pStyle w:val="Tabletext0"/>
              <w:ind w:left="0" w:right="0"/>
            </w:pPr>
          </w:p>
        </w:tc>
        <w:tc>
          <w:tcPr>
            <w:tcW w:w="1418" w:type="dxa"/>
            <w:tcBorders>
              <w:top w:val="single" w:sz="4" w:space="0" w:color="auto"/>
            </w:tcBorders>
            <w:vAlign w:val="center"/>
          </w:tcPr>
          <w:p w14:paraId="66C7952E" w14:textId="77777777" w:rsidR="00CB365D" w:rsidRPr="005E23E6" w:rsidRDefault="00CB365D" w:rsidP="005E23E6">
            <w:pPr>
              <w:pStyle w:val="Tabletext0"/>
              <w:ind w:left="0" w:right="0"/>
            </w:pPr>
          </w:p>
        </w:tc>
      </w:tr>
      <w:tr w:rsidR="00CB365D" w:rsidRPr="006A37CA" w14:paraId="4E9999EC" w14:textId="77777777" w:rsidTr="005E23E6">
        <w:trPr>
          <w:trHeight w:val="889"/>
        </w:trPr>
        <w:tc>
          <w:tcPr>
            <w:tcW w:w="1413" w:type="dxa"/>
            <w:vAlign w:val="center"/>
          </w:tcPr>
          <w:p w14:paraId="17F481DA" w14:textId="77777777" w:rsidR="00CB365D" w:rsidRPr="005E23E6" w:rsidRDefault="00CB365D" w:rsidP="005E23E6">
            <w:pPr>
              <w:pStyle w:val="Tabletext0"/>
              <w:ind w:left="0" w:right="0"/>
            </w:pPr>
            <w:r w:rsidRPr="005E23E6">
              <w:t>Important potential risks</w:t>
            </w:r>
          </w:p>
        </w:tc>
        <w:tc>
          <w:tcPr>
            <w:tcW w:w="2410" w:type="dxa"/>
            <w:vAlign w:val="center"/>
          </w:tcPr>
          <w:p w14:paraId="1A2648A3" w14:textId="77777777" w:rsidR="00CB365D" w:rsidRPr="005E23E6" w:rsidRDefault="00CB365D" w:rsidP="005E23E6">
            <w:pPr>
              <w:pStyle w:val="Tabletext0"/>
              <w:ind w:left="0" w:right="0"/>
            </w:pPr>
            <w:r w:rsidRPr="005E23E6">
              <w:t>None</w:t>
            </w:r>
          </w:p>
        </w:tc>
        <w:tc>
          <w:tcPr>
            <w:tcW w:w="1134" w:type="dxa"/>
            <w:vAlign w:val="center"/>
          </w:tcPr>
          <w:p w14:paraId="49BD50C8" w14:textId="77777777" w:rsidR="00CB365D" w:rsidRPr="005E23E6" w:rsidRDefault="00CB365D" w:rsidP="005E23E6">
            <w:pPr>
              <w:pStyle w:val="Tabletext0"/>
              <w:ind w:left="0" w:right="0"/>
            </w:pPr>
          </w:p>
        </w:tc>
        <w:tc>
          <w:tcPr>
            <w:tcW w:w="1417" w:type="dxa"/>
            <w:vAlign w:val="center"/>
          </w:tcPr>
          <w:p w14:paraId="7ED0F200" w14:textId="77777777" w:rsidR="00CB365D" w:rsidRPr="005E23E6" w:rsidRDefault="00CB365D" w:rsidP="005E23E6">
            <w:pPr>
              <w:pStyle w:val="Tabletext0"/>
              <w:ind w:left="0" w:right="0"/>
            </w:pPr>
          </w:p>
        </w:tc>
        <w:tc>
          <w:tcPr>
            <w:tcW w:w="1134" w:type="dxa"/>
            <w:vAlign w:val="center"/>
          </w:tcPr>
          <w:p w14:paraId="30E0F90A" w14:textId="77777777" w:rsidR="00CB365D" w:rsidRPr="005E23E6" w:rsidRDefault="00CB365D" w:rsidP="005E23E6">
            <w:pPr>
              <w:pStyle w:val="Tabletext0"/>
              <w:ind w:left="0" w:right="0"/>
            </w:pPr>
          </w:p>
        </w:tc>
        <w:tc>
          <w:tcPr>
            <w:tcW w:w="1418" w:type="dxa"/>
            <w:vAlign w:val="center"/>
          </w:tcPr>
          <w:p w14:paraId="41BEC508" w14:textId="77777777" w:rsidR="00CB365D" w:rsidRPr="005E23E6" w:rsidRDefault="00CB365D" w:rsidP="005E23E6">
            <w:pPr>
              <w:pStyle w:val="Tabletext0"/>
              <w:ind w:left="0" w:right="0"/>
            </w:pPr>
          </w:p>
        </w:tc>
      </w:tr>
      <w:tr w:rsidR="00CB365D" w:rsidRPr="006A37CA" w14:paraId="43DA4ABC" w14:textId="77777777" w:rsidTr="005E23E6">
        <w:trPr>
          <w:trHeight w:val="178"/>
        </w:trPr>
        <w:tc>
          <w:tcPr>
            <w:tcW w:w="1413" w:type="dxa"/>
            <w:vMerge w:val="restart"/>
            <w:vAlign w:val="center"/>
          </w:tcPr>
          <w:p w14:paraId="75B2E0A7" w14:textId="77777777" w:rsidR="00CB365D" w:rsidRPr="005E23E6" w:rsidRDefault="00CB365D" w:rsidP="005E23E6">
            <w:pPr>
              <w:pStyle w:val="Tabletext0"/>
              <w:ind w:left="0" w:right="0"/>
            </w:pPr>
            <w:r w:rsidRPr="005E23E6">
              <w:t>Missing information</w:t>
            </w:r>
          </w:p>
        </w:tc>
        <w:tc>
          <w:tcPr>
            <w:tcW w:w="2410" w:type="dxa"/>
            <w:vAlign w:val="center"/>
          </w:tcPr>
          <w:p w14:paraId="6A61526A" w14:textId="77777777" w:rsidR="00CB365D" w:rsidRPr="005E23E6" w:rsidRDefault="00CB365D" w:rsidP="005E23E6">
            <w:pPr>
              <w:pStyle w:val="Tabletext0"/>
              <w:ind w:left="0" w:right="0"/>
            </w:pPr>
            <w:r w:rsidRPr="005E23E6">
              <w:t>Use in pregnancy</w:t>
            </w:r>
          </w:p>
        </w:tc>
        <w:tc>
          <w:tcPr>
            <w:tcW w:w="1134" w:type="dxa"/>
            <w:vAlign w:val="center"/>
          </w:tcPr>
          <w:p w14:paraId="32A38E24" w14:textId="77777777" w:rsidR="00CB365D" w:rsidRPr="005E23E6" w:rsidRDefault="00CB365D" w:rsidP="005E23E6">
            <w:pPr>
              <w:pStyle w:val="Tabletext0"/>
              <w:ind w:left="0" w:right="0"/>
            </w:pPr>
            <w:r w:rsidRPr="005E23E6">
              <w:rPr>
                <w:rFonts w:eastAsia="Cambria"/>
              </w:rPr>
              <w:sym w:font="Wingdings" w:char="F0FC"/>
            </w:r>
          </w:p>
        </w:tc>
        <w:tc>
          <w:tcPr>
            <w:tcW w:w="1417" w:type="dxa"/>
            <w:vAlign w:val="center"/>
          </w:tcPr>
          <w:p w14:paraId="4790C88E" w14:textId="3105725A" w:rsidR="00CB365D" w:rsidRPr="005E23E6" w:rsidRDefault="00E221FA" w:rsidP="005E23E6">
            <w:pPr>
              <w:pStyle w:val="Tabletext0"/>
              <w:ind w:left="0" w:right="0"/>
            </w:pPr>
            <w:r>
              <w:t>-</w:t>
            </w:r>
          </w:p>
        </w:tc>
        <w:tc>
          <w:tcPr>
            <w:tcW w:w="1134" w:type="dxa"/>
            <w:vAlign w:val="center"/>
          </w:tcPr>
          <w:p w14:paraId="186AC262" w14:textId="77777777" w:rsidR="00CB365D" w:rsidRPr="005E23E6" w:rsidRDefault="00CB365D" w:rsidP="005E23E6">
            <w:pPr>
              <w:pStyle w:val="Tabletext0"/>
              <w:ind w:left="0" w:right="0"/>
            </w:pPr>
            <w:r w:rsidRPr="005E23E6">
              <w:rPr>
                <w:rFonts w:eastAsia="Cambria"/>
              </w:rPr>
              <w:sym w:font="Wingdings" w:char="F0FC"/>
            </w:r>
          </w:p>
        </w:tc>
        <w:tc>
          <w:tcPr>
            <w:tcW w:w="1418" w:type="dxa"/>
            <w:vAlign w:val="center"/>
          </w:tcPr>
          <w:p w14:paraId="52AFF86D" w14:textId="689D0AD7" w:rsidR="00CB365D" w:rsidRPr="005E23E6" w:rsidRDefault="00E221FA" w:rsidP="005E23E6">
            <w:pPr>
              <w:pStyle w:val="Tabletext0"/>
              <w:ind w:left="0" w:right="0"/>
            </w:pPr>
            <w:r>
              <w:t>-</w:t>
            </w:r>
          </w:p>
        </w:tc>
      </w:tr>
      <w:tr w:rsidR="00CB365D" w:rsidRPr="006A37CA" w14:paraId="55955235" w14:textId="77777777" w:rsidTr="005E23E6">
        <w:trPr>
          <w:trHeight w:val="140"/>
        </w:trPr>
        <w:tc>
          <w:tcPr>
            <w:tcW w:w="1413" w:type="dxa"/>
            <w:vMerge/>
            <w:vAlign w:val="center"/>
          </w:tcPr>
          <w:p w14:paraId="2871DFAC" w14:textId="77777777" w:rsidR="00CB365D" w:rsidRPr="005E23E6" w:rsidRDefault="00CB365D" w:rsidP="005E23E6">
            <w:pPr>
              <w:pStyle w:val="Tabletext0"/>
              <w:ind w:left="0" w:right="0"/>
            </w:pPr>
          </w:p>
        </w:tc>
        <w:tc>
          <w:tcPr>
            <w:tcW w:w="2410" w:type="dxa"/>
            <w:vAlign w:val="center"/>
          </w:tcPr>
          <w:p w14:paraId="339E8700" w14:textId="77777777" w:rsidR="00CB365D" w:rsidRPr="005E23E6" w:rsidRDefault="00CB365D" w:rsidP="005E23E6">
            <w:pPr>
              <w:pStyle w:val="Tabletext0"/>
              <w:ind w:left="0" w:right="0"/>
            </w:pPr>
            <w:r w:rsidRPr="005E23E6">
              <w:t>Safety in immunocompromised patients</w:t>
            </w:r>
          </w:p>
        </w:tc>
        <w:tc>
          <w:tcPr>
            <w:tcW w:w="1134" w:type="dxa"/>
            <w:vAlign w:val="center"/>
          </w:tcPr>
          <w:p w14:paraId="63ADE9B5" w14:textId="77777777" w:rsidR="00CB365D" w:rsidRPr="005E23E6" w:rsidRDefault="00CB365D" w:rsidP="005E23E6">
            <w:pPr>
              <w:pStyle w:val="Tabletext0"/>
              <w:ind w:left="0" w:right="0"/>
            </w:pPr>
            <w:r w:rsidRPr="005E23E6">
              <w:rPr>
                <w:rFonts w:eastAsia="Cambria"/>
              </w:rPr>
              <w:sym w:font="Wingdings" w:char="F0FC"/>
            </w:r>
          </w:p>
        </w:tc>
        <w:tc>
          <w:tcPr>
            <w:tcW w:w="1417" w:type="dxa"/>
            <w:vAlign w:val="center"/>
          </w:tcPr>
          <w:p w14:paraId="21EBB560" w14:textId="3900A3EA" w:rsidR="00CB365D" w:rsidRPr="005E23E6" w:rsidRDefault="00E221FA" w:rsidP="005E23E6">
            <w:pPr>
              <w:pStyle w:val="Tabletext0"/>
              <w:ind w:left="0" w:right="0"/>
            </w:pPr>
            <w:r>
              <w:t>-</w:t>
            </w:r>
          </w:p>
        </w:tc>
        <w:tc>
          <w:tcPr>
            <w:tcW w:w="1134" w:type="dxa"/>
            <w:vAlign w:val="center"/>
          </w:tcPr>
          <w:p w14:paraId="6A99D793" w14:textId="77777777" w:rsidR="00CB365D" w:rsidRPr="005E23E6" w:rsidRDefault="00CB365D" w:rsidP="005E23E6">
            <w:pPr>
              <w:pStyle w:val="Tabletext0"/>
              <w:ind w:left="0" w:right="0"/>
            </w:pPr>
            <w:r w:rsidRPr="005E23E6">
              <w:rPr>
                <w:rFonts w:eastAsia="Cambria"/>
              </w:rPr>
              <w:sym w:font="Wingdings" w:char="F0FC"/>
            </w:r>
          </w:p>
        </w:tc>
        <w:tc>
          <w:tcPr>
            <w:tcW w:w="1418" w:type="dxa"/>
            <w:vAlign w:val="center"/>
          </w:tcPr>
          <w:p w14:paraId="2AF008FB" w14:textId="6BB5DB34" w:rsidR="00CB365D" w:rsidRPr="005E23E6" w:rsidRDefault="00E221FA" w:rsidP="005E23E6">
            <w:pPr>
              <w:pStyle w:val="Tabletext0"/>
              <w:ind w:left="0" w:right="0"/>
            </w:pPr>
            <w:r>
              <w:t>-</w:t>
            </w:r>
          </w:p>
        </w:tc>
      </w:tr>
    </w:tbl>
    <w:p w14:paraId="1A4D340C" w14:textId="0B15DD9C" w:rsidR="00CB365D" w:rsidRPr="006A37CA" w:rsidRDefault="00CB365D" w:rsidP="00CB365D">
      <w:pPr>
        <w:pStyle w:val="ListBullet"/>
      </w:pPr>
      <w:r w:rsidRPr="006A37CA">
        <w:t xml:space="preserve">The summary of safety concerns aligns with the draft EU-RMP. The sponsor is requested to discuss issues relating to effectiveness (as requested by the clinical </w:t>
      </w:r>
      <w:r w:rsidR="00376E45" w:rsidRPr="006A37CA">
        <w:t>evaluation</w:t>
      </w:r>
      <w:r w:rsidRPr="006A37CA">
        <w:t xml:space="preserve">), changes in the epidemiology of nonvaccine </w:t>
      </w:r>
      <w:r w:rsidR="009659E2" w:rsidRPr="006A37CA">
        <w:rPr>
          <w:i/>
          <w:iCs/>
        </w:rPr>
        <w:t xml:space="preserve">Streptococcus </w:t>
      </w:r>
      <w:r w:rsidRPr="006A37CA">
        <w:rPr>
          <w:i/>
          <w:iCs/>
        </w:rPr>
        <w:t>pneumoniae</w:t>
      </w:r>
      <w:r w:rsidRPr="006A37CA">
        <w:t xml:space="preserve"> serotypes causing </w:t>
      </w:r>
      <w:r w:rsidR="00DF2B5F" w:rsidRPr="006A37CA">
        <w:t>invasive pneumococcal disease</w:t>
      </w:r>
      <w:r w:rsidRPr="006A37CA">
        <w:t xml:space="preserve">, concomitant use of </w:t>
      </w:r>
      <w:r w:rsidR="006A37CA" w:rsidRPr="006A37CA">
        <w:t>Prevenar 20</w:t>
      </w:r>
      <w:r w:rsidRPr="006A37CA">
        <w:t xml:space="preserve"> with other vaccines and accidental or intentional use in children in response</w:t>
      </w:r>
      <w:r w:rsidR="0055561A" w:rsidRPr="006A37CA">
        <w:t xml:space="preserve"> to questions raised by the TGA</w:t>
      </w:r>
      <w:r w:rsidRPr="006A37CA">
        <w:t xml:space="preserve">. At </w:t>
      </w:r>
      <w:r w:rsidR="007A2833" w:rsidRPr="006A37CA">
        <w:t xml:space="preserve">the second round of evaluation, </w:t>
      </w:r>
      <w:r w:rsidRPr="006A37CA">
        <w:t>the summary of safety concerns remains unchanged, however an updated EU</w:t>
      </w:r>
      <w:r w:rsidR="00127B21">
        <w:noBreakHyphen/>
      </w:r>
      <w:r w:rsidRPr="006A37CA">
        <w:t xml:space="preserve">RMP is </w:t>
      </w:r>
      <w:r w:rsidR="00127B21" w:rsidRPr="006A37CA">
        <w:t>available,</w:t>
      </w:r>
      <w:r w:rsidRPr="006A37CA">
        <w:t xml:space="preserve"> and the sponsor is requested to submit an updated EU-RMP and ASA as a post</w:t>
      </w:r>
      <w:r w:rsidR="007A2833" w:rsidRPr="006A37CA">
        <w:t>-</w:t>
      </w:r>
      <w:r w:rsidRPr="006A37CA">
        <w:t>market update. The summary of safety concerns is acceptable subject to post</w:t>
      </w:r>
      <w:r w:rsidR="007A2833" w:rsidRPr="006A37CA">
        <w:t>-</w:t>
      </w:r>
      <w:r w:rsidRPr="006A37CA">
        <w:t>market review of the updated EU-RMP and ASA.</w:t>
      </w:r>
    </w:p>
    <w:p w14:paraId="1ED27080" w14:textId="2C3474A6" w:rsidR="00CB365D" w:rsidRPr="006A37CA" w:rsidRDefault="00CB365D" w:rsidP="00504F76">
      <w:pPr>
        <w:pStyle w:val="ListBullet"/>
      </w:pPr>
      <w:r w:rsidRPr="006A37CA">
        <w:t xml:space="preserve">Routine pharmacovigilance is proposed for all safety concerns. Additional pharmacovigilance is not proposed in the EU-RMP or ASA. </w:t>
      </w:r>
      <w:r w:rsidR="00E221FA">
        <w:t>T</w:t>
      </w:r>
      <w:r w:rsidRPr="006A37CA">
        <w:t xml:space="preserve">he </w:t>
      </w:r>
      <w:r w:rsidR="006A37CA" w:rsidRPr="006A37CA">
        <w:t xml:space="preserve">Pharmacovigilance Risk Assessment Committee </w:t>
      </w:r>
      <w:r w:rsidRPr="006A37CA">
        <w:t xml:space="preserve">has recommended that the sponsor outline how missing information </w:t>
      </w:r>
      <w:r w:rsidRPr="006A37CA">
        <w:lastRenderedPageBreak/>
        <w:t xml:space="preserve">concerns will be addressed, and any resulting additional pharmacovigilance activities that are included in the EU-RMP should be added to the ASA. At </w:t>
      </w:r>
      <w:r w:rsidR="007A2833" w:rsidRPr="006A37CA">
        <w:t>the second round of evaluation,</w:t>
      </w:r>
      <w:r w:rsidRPr="006A37CA">
        <w:t xml:space="preserve"> the sponsor has provided the results of co</w:t>
      </w:r>
      <w:r w:rsidR="00CB0903">
        <w:t>-</w:t>
      </w:r>
      <w:r w:rsidRPr="006A37CA">
        <w:t xml:space="preserve">administration studies and updated the </w:t>
      </w:r>
      <w:r w:rsidR="00DF2B5F" w:rsidRPr="006A37CA">
        <w:t>Product Information (PI)</w:t>
      </w:r>
      <w:r w:rsidRPr="006A37CA">
        <w:t xml:space="preserve"> accordingly. How the sponsor will address missing information will be reviewed when the requested post</w:t>
      </w:r>
      <w:r w:rsidR="007A2833" w:rsidRPr="006A37CA">
        <w:t>-</w:t>
      </w:r>
      <w:r w:rsidRPr="006A37CA">
        <w:t>market RMP update is provided to the TGA.</w:t>
      </w:r>
    </w:p>
    <w:p w14:paraId="3852C5FA" w14:textId="77D530AF" w:rsidR="00CB365D" w:rsidRDefault="00CB365D" w:rsidP="00C22214">
      <w:pPr>
        <w:pStyle w:val="ListBullet"/>
      </w:pPr>
      <w:r w:rsidRPr="006A37CA">
        <w:t xml:space="preserve">Routine risk minimisation is proposed for all safety concerns. Additional risk minimisation is not proposed. The sponsor has been requested to provide the draft </w:t>
      </w:r>
      <w:r w:rsidR="00941034">
        <w:t xml:space="preserve">European </w:t>
      </w:r>
      <w:r w:rsidR="006A37CA" w:rsidRPr="006A37CA">
        <w:t>Summary of Product Characteristics (</w:t>
      </w:r>
      <w:r w:rsidRPr="006A37CA">
        <w:t>SmPC</w:t>
      </w:r>
      <w:r w:rsidR="006A37CA" w:rsidRPr="006A37CA">
        <w:t>)</w:t>
      </w:r>
      <w:r w:rsidRPr="006A37CA">
        <w:t xml:space="preserve"> in the response, and to make significant changes to the </w:t>
      </w:r>
      <w:r w:rsidR="00504F76">
        <w:t>Consumer Medicines Information (</w:t>
      </w:r>
      <w:r w:rsidRPr="006A37CA">
        <w:t>CMI</w:t>
      </w:r>
      <w:r w:rsidR="00504F76">
        <w:t>)</w:t>
      </w:r>
      <w:r w:rsidRPr="006A37CA">
        <w:t xml:space="preserve">. Discrepancies in safety messaging between the Australian PI and the SmPC have been referred to the </w:t>
      </w:r>
      <w:r w:rsidR="00E76B1D" w:rsidRPr="006A37CA">
        <w:t>Delega</w:t>
      </w:r>
      <w:r w:rsidRPr="006A37CA">
        <w:t>te for consideration. The risk minimisation plan is acceptable.</w:t>
      </w:r>
    </w:p>
    <w:p w14:paraId="74A4F87F" w14:textId="77777777" w:rsidR="00C22214" w:rsidRPr="006A37CA" w:rsidRDefault="00C22214" w:rsidP="00C22214">
      <w:pPr>
        <w:pStyle w:val="Heading3"/>
      </w:pPr>
      <w:bookmarkStart w:id="73" w:name="_Toc103679299"/>
      <w:bookmarkStart w:id="74" w:name="_Toc135124817"/>
      <w:r w:rsidRPr="006A37CA">
        <w:t>Risk-benefit analysis</w:t>
      </w:r>
      <w:bookmarkEnd w:id="70"/>
      <w:bookmarkEnd w:id="71"/>
      <w:bookmarkEnd w:id="73"/>
      <w:bookmarkEnd w:id="74"/>
    </w:p>
    <w:p w14:paraId="77DE2655" w14:textId="77777777" w:rsidR="00C22214" w:rsidRPr="006A37CA" w:rsidRDefault="00C22214" w:rsidP="00C22214">
      <w:pPr>
        <w:pStyle w:val="Heading4"/>
      </w:pPr>
      <w:bookmarkStart w:id="75" w:name="_Toc98931932"/>
      <w:bookmarkStart w:id="76" w:name="_Toc135124818"/>
      <w:r w:rsidRPr="006A37CA">
        <w:t>Delegate’s considerations</w:t>
      </w:r>
      <w:bookmarkEnd w:id="75"/>
      <w:bookmarkEnd w:id="76"/>
    </w:p>
    <w:p w14:paraId="545E6BB2" w14:textId="0F3581F3" w:rsidR="008557F6" w:rsidRPr="006A37CA" w:rsidRDefault="008557F6" w:rsidP="00CB365D">
      <w:r w:rsidRPr="006A37CA">
        <w:t xml:space="preserve">This a comprehensive submission, with overseas evaluations and scientific advice substantiating the TGA evaluations in informing registration of </w:t>
      </w:r>
      <w:r w:rsidR="00CB365D" w:rsidRPr="006A37CA">
        <w:t>Prevenar</w:t>
      </w:r>
      <w:r w:rsidRPr="006A37CA">
        <w:t xml:space="preserve"> 20 in adults in Australia.</w:t>
      </w:r>
    </w:p>
    <w:p w14:paraId="45566880" w14:textId="22150D97" w:rsidR="008557F6" w:rsidRPr="006A37CA" w:rsidRDefault="008557F6" w:rsidP="00CB365D">
      <w:r w:rsidRPr="006A37CA">
        <w:t xml:space="preserve">The </w:t>
      </w:r>
      <w:r w:rsidR="00CB365D" w:rsidRPr="006A37CA">
        <w:t>sponsor</w:t>
      </w:r>
      <w:r w:rsidRPr="006A37CA">
        <w:t xml:space="preserve"> has indicated that paediatric data for </w:t>
      </w:r>
      <w:r w:rsidR="00CB365D" w:rsidRPr="006A37CA">
        <w:t>Prevenar</w:t>
      </w:r>
      <w:r w:rsidRPr="006A37CA">
        <w:t xml:space="preserve"> 20 will be submitted in early 2023.</w:t>
      </w:r>
    </w:p>
    <w:p w14:paraId="1EF3D25D" w14:textId="51BE7759" w:rsidR="008557F6" w:rsidRPr="006A37CA" w:rsidRDefault="008557F6" w:rsidP="00CB365D">
      <w:r w:rsidRPr="006A37CA">
        <w:t xml:space="preserve">The lack of efficacy data is a deficiency of the application and the immunobridging strategy has been discussed extensively </w:t>
      </w:r>
      <w:r w:rsidR="00941034">
        <w:t>throughout the evaluation of this</w:t>
      </w:r>
      <w:r w:rsidRPr="006A37CA">
        <w:t xml:space="preserve"> submission</w:t>
      </w:r>
      <w:r w:rsidR="00941034">
        <w:t>, as it has</w:t>
      </w:r>
      <w:r w:rsidRPr="006A37CA">
        <w:t xml:space="preserve"> </w:t>
      </w:r>
      <w:r w:rsidR="00941034">
        <w:t>been discussed</w:t>
      </w:r>
      <w:r w:rsidRPr="006A37CA">
        <w:t xml:space="preserve"> in the evaluations by the FDA and EMA. For the submitted </w:t>
      </w:r>
      <w:r w:rsidR="00376E45" w:rsidRPr="006A37CA">
        <w:t>Phase III</w:t>
      </w:r>
      <w:r w:rsidRPr="006A37CA">
        <w:t xml:space="preserve"> trials, there is a lack of long-term immunogenicity data, with immune responses described at one month post</w:t>
      </w:r>
      <w:r w:rsidR="00941034">
        <w:noBreakHyphen/>
      </w:r>
      <w:r w:rsidRPr="006A37CA">
        <w:t xml:space="preserve">vaccination. The </w:t>
      </w:r>
      <w:r w:rsidR="00376E45" w:rsidRPr="006A37CA">
        <w:t>Phase II</w:t>
      </w:r>
      <w:r w:rsidRPr="006A37CA">
        <w:t xml:space="preserve"> </w:t>
      </w:r>
      <w:r w:rsidR="00941034">
        <w:t>Study</w:t>
      </w:r>
      <w:r w:rsidRPr="006A37CA">
        <w:t xml:space="preserve"> B7471002 included immunogenicity and safety data at 12</w:t>
      </w:r>
      <w:r w:rsidR="00941034">
        <w:t> </w:t>
      </w:r>
      <w:r w:rsidRPr="006A37CA">
        <w:t>months.</w:t>
      </w:r>
    </w:p>
    <w:p w14:paraId="0ADA07CA" w14:textId="77777777" w:rsidR="008557F6" w:rsidRPr="006A37CA" w:rsidRDefault="008557F6" w:rsidP="00CB365D">
      <w:r w:rsidRPr="006A37CA">
        <w:t>There is no immunological threshold level of antibody concentration that correlates with protection against pneumococcal disease, adding further uncertainty in evaluating the protective efficacy of pneumococcal vaccines.</w:t>
      </w:r>
    </w:p>
    <w:p w14:paraId="6969873A" w14:textId="288E5AB1" w:rsidR="008557F6" w:rsidRPr="006A37CA" w:rsidRDefault="008557F6" w:rsidP="00CB365D">
      <w:r w:rsidRPr="006A37CA">
        <w:t xml:space="preserve">Notwithstanding the limitations described above, </w:t>
      </w:r>
      <w:r w:rsidR="007A2833" w:rsidRPr="006A37CA">
        <w:t>the Delegate</w:t>
      </w:r>
      <w:r w:rsidRPr="006A37CA">
        <w:t xml:space="preserve"> propose</w:t>
      </w:r>
      <w:r w:rsidR="007A2833" w:rsidRPr="006A37CA">
        <w:t>s</w:t>
      </w:r>
      <w:r w:rsidRPr="006A37CA">
        <w:t xml:space="preserve"> that the submitted data are sufficient for registration of </w:t>
      </w:r>
      <w:r w:rsidR="00CB365D" w:rsidRPr="006A37CA">
        <w:t>Prevenar</w:t>
      </w:r>
      <w:r w:rsidRPr="006A37CA">
        <w:t xml:space="preserve"> 20 in Australia in adults 18 years and over.</w:t>
      </w:r>
    </w:p>
    <w:p w14:paraId="6FDEE0AE" w14:textId="2217B3EF" w:rsidR="008557F6" w:rsidRPr="006A37CA" w:rsidRDefault="008557F6" w:rsidP="00CB365D">
      <w:r w:rsidRPr="006A37CA">
        <w:t>As highlighted overseas,</w:t>
      </w:r>
      <w:r w:rsidRPr="006A37CA">
        <w:rPr>
          <w:vertAlign w:val="superscript"/>
        </w:rPr>
        <w:footnoteReference w:id="41"/>
      </w:r>
      <w:r w:rsidRPr="006A37CA">
        <w:rPr>
          <w:vertAlign w:val="superscript"/>
        </w:rPr>
        <w:t>,</w:t>
      </w:r>
      <w:r w:rsidRPr="006A37CA">
        <w:rPr>
          <w:vertAlign w:val="superscript"/>
        </w:rPr>
        <w:footnoteReference w:id="42"/>
      </w:r>
      <w:r w:rsidRPr="006A37CA">
        <w:t xml:space="preserve"> the place of </w:t>
      </w:r>
      <w:r w:rsidR="00CB365D" w:rsidRPr="006A37CA">
        <w:t>Prevenar</w:t>
      </w:r>
      <w:r w:rsidRPr="006A37CA">
        <w:t xml:space="preserve"> 20 in the </w:t>
      </w:r>
      <w:hyperlink r:id="rId34" w:history="1">
        <w:r w:rsidRPr="007F18AD">
          <w:rPr>
            <w:rStyle w:val="Hyperlink"/>
          </w:rPr>
          <w:t>National Immunisation Program</w:t>
        </w:r>
      </w:hyperlink>
      <w:r w:rsidR="007F18AD">
        <w:t xml:space="preserve"> </w:t>
      </w:r>
      <w:r w:rsidRPr="006A37CA">
        <w:t xml:space="preserve">will ultimately be recommended by </w:t>
      </w:r>
      <w:hyperlink r:id="rId35" w:history="1">
        <w:r w:rsidR="00DF2B5F" w:rsidRPr="007F18AD">
          <w:rPr>
            <w:rStyle w:val="Hyperlink"/>
          </w:rPr>
          <w:t>Australian Technical Advisory Group on Immunisation</w:t>
        </w:r>
      </w:hyperlink>
      <w:r w:rsidR="00504F76">
        <w:t xml:space="preserve"> (</w:t>
      </w:r>
      <w:hyperlink r:id="rId36" w:history="1">
        <w:r w:rsidR="00504F76" w:rsidRPr="007F18AD">
          <w:rPr>
            <w:rStyle w:val="Hyperlink"/>
          </w:rPr>
          <w:t>ATAGI</w:t>
        </w:r>
      </w:hyperlink>
      <w:r w:rsidR="00504F76">
        <w:t>)</w:t>
      </w:r>
      <w:r w:rsidRPr="006A37CA">
        <w:t>. Ongoing post-marketing surveillance will be critical, given the lack of efficacy data in the pre</w:t>
      </w:r>
      <w:r w:rsidR="007F18AD">
        <w:noBreakHyphen/>
      </w:r>
      <w:r w:rsidR="007F18AD" w:rsidRPr="006A37CA">
        <w:t>registration</w:t>
      </w:r>
      <w:r w:rsidRPr="006A37CA">
        <w:t xml:space="preserve"> trials.</w:t>
      </w:r>
    </w:p>
    <w:p w14:paraId="3916F296" w14:textId="77777777" w:rsidR="00C22214" w:rsidRPr="006A37CA" w:rsidRDefault="00C22214" w:rsidP="00C22214">
      <w:pPr>
        <w:pStyle w:val="Heading4"/>
      </w:pPr>
      <w:bookmarkStart w:id="77" w:name="_Toc98931933"/>
      <w:bookmarkStart w:id="78" w:name="_Toc135124819"/>
      <w:r w:rsidRPr="006A37CA">
        <w:t>Proposed action</w:t>
      </w:r>
      <w:bookmarkEnd w:id="77"/>
      <w:bookmarkEnd w:id="78"/>
    </w:p>
    <w:p w14:paraId="5214282E" w14:textId="7D661E2D" w:rsidR="00941034" w:rsidRPr="006A37CA" w:rsidRDefault="007A2833" w:rsidP="008557F6">
      <w:r w:rsidRPr="006A37CA">
        <w:t xml:space="preserve">The Delegate </w:t>
      </w:r>
      <w:r w:rsidR="008557F6" w:rsidRPr="006A37CA">
        <w:t>propose</w:t>
      </w:r>
      <w:r w:rsidRPr="006A37CA">
        <w:t>s</w:t>
      </w:r>
      <w:r w:rsidR="008557F6" w:rsidRPr="006A37CA">
        <w:t xml:space="preserve"> that the data are sufficient for registration of </w:t>
      </w:r>
      <w:r w:rsidR="00CB365D" w:rsidRPr="006A37CA">
        <w:t>Prevenar</w:t>
      </w:r>
      <w:r w:rsidR="008557F6" w:rsidRPr="006A37CA">
        <w:t xml:space="preserve"> 20 in Australia in adults 18 years and over. Registration is subject to satisfactory implementation of the risk management plan, resolution of the product information and </w:t>
      </w:r>
      <w:r w:rsidRPr="006A37CA">
        <w:t>quality</w:t>
      </w:r>
      <w:r w:rsidR="008557F6" w:rsidRPr="006A37CA">
        <w:t xml:space="preserve"> issues.</w:t>
      </w:r>
    </w:p>
    <w:p w14:paraId="07994E9B" w14:textId="77777777" w:rsidR="00C22214" w:rsidRPr="006A37CA" w:rsidRDefault="00C22214" w:rsidP="00C22214">
      <w:pPr>
        <w:pStyle w:val="Heading4"/>
      </w:pPr>
      <w:bookmarkStart w:id="79" w:name="_Toc98931934"/>
      <w:bookmarkStart w:id="80" w:name="_Ref134529881"/>
      <w:bookmarkStart w:id="81" w:name="_Toc135124820"/>
      <w:r w:rsidRPr="006A37CA">
        <w:lastRenderedPageBreak/>
        <w:t>Questions for the sponsor</w:t>
      </w:r>
      <w:bookmarkEnd w:id="79"/>
      <w:bookmarkEnd w:id="80"/>
      <w:bookmarkEnd w:id="81"/>
    </w:p>
    <w:p w14:paraId="1F694596" w14:textId="77777777" w:rsidR="00C22214" w:rsidRPr="006A37CA" w:rsidRDefault="00C22214" w:rsidP="00C22214">
      <w:r w:rsidRPr="006A37CA">
        <w:t>The sponsor provided the following response to questions from the Delegate.</w:t>
      </w:r>
    </w:p>
    <w:p w14:paraId="3E62CB56" w14:textId="0F937D8A" w:rsidR="00CB365D" w:rsidRPr="006A37CA" w:rsidRDefault="00CB365D" w:rsidP="00CB365D">
      <w:pPr>
        <w:pStyle w:val="Numberbullet0"/>
        <w:rPr>
          <w:b/>
          <w:bCs/>
          <w:i/>
          <w:iCs/>
        </w:rPr>
      </w:pPr>
      <w:r w:rsidRPr="006A37CA">
        <w:rPr>
          <w:b/>
          <w:bCs/>
          <w:i/>
          <w:iCs/>
        </w:rPr>
        <w:t>Does the sponsor intend to conduct clinical studies with the 15</w:t>
      </w:r>
      <w:r w:rsidR="006A37CA">
        <w:rPr>
          <w:b/>
          <w:bCs/>
          <w:i/>
          <w:iCs/>
        </w:rPr>
        <w:t>-</w:t>
      </w:r>
      <w:r w:rsidRPr="006A37CA">
        <w:rPr>
          <w:b/>
          <w:bCs/>
          <w:i/>
          <w:iCs/>
        </w:rPr>
        <w:t>valent pneumococcal vaccine, as a near market comparator?</w:t>
      </w:r>
    </w:p>
    <w:p w14:paraId="4918DF5C" w14:textId="470921E2" w:rsidR="00CB365D" w:rsidRPr="006A37CA" w:rsidRDefault="00A41BD4" w:rsidP="00CB365D">
      <w:r>
        <w:t>The sponsor</w:t>
      </w:r>
      <w:r w:rsidRPr="006A37CA">
        <w:t xml:space="preserve"> </w:t>
      </w:r>
      <w:r w:rsidR="00CB365D" w:rsidRPr="006A37CA">
        <w:t xml:space="preserve">has no current plans to conduct clinical studies with </w:t>
      </w:r>
      <w:r w:rsidR="006A37CA" w:rsidRPr="006A37CA">
        <w:t>Prevenar 20</w:t>
      </w:r>
      <w:r w:rsidR="00CB365D" w:rsidRPr="006A37CA">
        <w:t xml:space="preserve"> and the 15</w:t>
      </w:r>
      <w:r w:rsidR="006A37CA">
        <w:t>-</w:t>
      </w:r>
      <w:r w:rsidR="00CB365D" w:rsidRPr="006A37CA">
        <w:t>valent pneumococcal vaccine.</w:t>
      </w:r>
    </w:p>
    <w:p w14:paraId="318CFABC" w14:textId="77777777" w:rsidR="00C22214" w:rsidRPr="006A37CA" w:rsidRDefault="00C22214" w:rsidP="00C22214">
      <w:pPr>
        <w:pStyle w:val="Heading4"/>
      </w:pPr>
      <w:bookmarkStart w:id="82" w:name="_Toc98931936"/>
      <w:bookmarkStart w:id="83" w:name="_Ref134529823"/>
      <w:bookmarkStart w:id="84" w:name="_Toc135124821"/>
      <w:bookmarkStart w:id="85" w:name="_Toc247691532"/>
      <w:bookmarkStart w:id="86" w:name="_Toc314842516"/>
      <w:r w:rsidRPr="006A37CA">
        <w:t>Advisory Committee considerations</w:t>
      </w:r>
      <w:bookmarkEnd w:id="82"/>
      <w:bookmarkEnd w:id="83"/>
      <w:bookmarkEnd w:id="84"/>
    </w:p>
    <w:p w14:paraId="087BB9CB" w14:textId="025E9B30" w:rsidR="00C22214" w:rsidRPr="006A37CA" w:rsidRDefault="00C22214" w:rsidP="00C22214">
      <w:pPr>
        <w:rPr>
          <w:bCs/>
        </w:rPr>
      </w:pPr>
      <w:r w:rsidRPr="006A37CA">
        <w:rPr>
          <w:bCs/>
        </w:rPr>
        <w:t xml:space="preserve">The </w:t>
      </w:r>
      <w:hyperlink r:id="rId37" w:history="1">
        <w:r w:rsidRPr="006A37CA">
          <w:rPr>
            <w:rStyle w:val="Hyperlink"/>
            <w:szCs w:val="21"/>
          </w:rPr>
          <w:t>Advisory Committee on Vaccines (ACV)</w:t>
        </w:r>
      </w:hyperlink>
      <w:r w:rsidRPr="006A37CA">
        <w:rPr>
          <w:szCs w:val="21"/>
        </w:rPr>
        <w:t>,</w:t>
      </w:r>
      <w:r w:rsidRPr="006A37CA">
        <w:rPr>
          <w:bCs/>
        </w:rPr>
        <w:t xml:space="preserve"> having considered the evaluations and the Delegate’s overview, as well as the sponsor’s response to these documents, advised the following.</w:t>
      </w:r>
    </w:p>
    <w:p w14:paraId="0D935CC4" w14:textId="77777777" w:rsidR="00C22214" w:rsidRPr="006A37CA" w:rsidRDefault="00C22214" w:rsidP="00C22214">
      <w:pPr>
        <w:pStyle w:val="Heading5"/>
      </w:pPr>
      <w:r w:rsidRPr="006A37CA">
        <w:t>Specific advice to the Delegate</w:t>
      </w:r>
    </w:p>
    <w:p w14:paraId="248848FF" w14:textId="60E352F5" w:rsidR="00CB365D" w:rsidRPr="006A37CA" w:rsidRDefault="00CB365D" w:rsidP="00CB365D">
      <w:pPr>
        <w:pStyle w:val="Numberbullet0"/>
        <w:numPr>
          <w:ilvl w:val="0"/>
          <w:numId w:val="14"/>
        </w:numPr>
        <w:rPr>
          <w:b/>
          <w:bCs/>
          <w:i/>
          <w:iCs/>
        </w:rPr>
      </w:pPr>
      <w:r w:rsidRPr="006A37CA">
        <w:rPr>
          <w:b/>
          <w:bCs/>
          <w:i/>
          <w:iCs/>
        </w:rPr>
        <w:t xml:space="preserve">The views of the </w:t>
      </w:r>
      <w:r w:rsidR="006A37CA" w:rsidRPr="006A37CA">
        <w:rPr>
          <w:b/>
          <w:bCs/>
          <w:i/>
          <w:iCs/>
        </w:rPr>
        <w:t xml:space="preserve">European Medicines Agency (EMA) </w:t>
      </w:r>
      <w:r w:rsidRPr="006A37CA">
        <w:rPr>
          <w:b/>
          <w:bCs/>
          <w:i/>
          <w:iCs/>
        </w:rPr>
        <w:t xml:space="preserve">and </w:t>
      </w:r>
      <w:r w:rsidR="00A41BD4">
        <w:rPr>
          <w:b/>
          <w:bCs/>
          <w:i/>
          <w:iCs/>
        </w:rPr>
        <w:t xml:space="preserve">the United States (US) </w:t>
      </w:r>
      <w:r w:rsidR="006A37CA" w:rsidRPr="006A37CA">
        <w:rPr>
          <w:b/>
          <w:bCs/>
          <w:i/>
          <w:iCs/>
        </w:rPr>
        <w:t xml:space="preserve">Food and Drug Administration (FDA) </w:t>
      </w:r>
      <w:r w:rsidRPr="006A37CA">
        <w:rPr>
          <w:b/>
          <w:bCs/>
          <w:i/>
          <w:iCs/>
        </w:rPr>
        <w:t>have been discussed in detail in the</w:t>
      </w:r>
      <w:r w:rsidR="006A37CA" w:rsidRPr="006A37CA">
        <w:rPr>
          <w:b/>
          <w:bCs/>
          <w:i/>
          <w:iCs/>
        </w:rPr>
        <w:t xml:space="preserve"> </w:t>
      </w:r>
      <w:r w:rsidRPr="006A37CA">
        <w:rPr>
          <w:b/>
          <w:bCs/>
          <w:i/>
          <w:iCs/>
        </w:rPr>
        <w:t>response</w:t>
      </w:r>
      <w:r w:rsidR="006A37CA" w:rsidRPr="006A37CA">
        <w:rPr>
          <w:b/>
          <w:bCs/>
          <w:i/>
          <w:iCs/>
        </w:rPr>
        <w:t xml:space="preserve"> to questions raised by the TGA</w:t>
      </w:r>
      <w:r w:rsidRPr="006A37CA">
        <w:rPr>
          <w:b/>
          <w:bCs/>
          <w:i/>
          <w:iCs/>
        </w:rPr>
        <w:t>, including the limitations of the immunobridging strategy and lack of efficacy data. In the</w:t>
      </w:r>
      <w:r w:rsidR="006A37CA" w:rsidRPr="006A37CA">
        <w:rPr>
          <w:b/>
          <w:bCs/>
          <w:i/>
          <w:iCs/>
        </w:rPr>
        <w:t xml:space="preserve"> </w:t>
      </w:r>
      <w:r w:rsidR="00A41BD4">
        <w:rPr>
          <w:b/>
          <w:bCs/>
          <w:i/>
          <w:iCs/>
        </w:rPr>
        <w:t>USA</w:t>
      </w:r>
      <w:r w:rsidRPr="006A37CA">
        <w:rPr>
          <w:b/>
          <w:bCs/>
          <w:i/>
          <w:iCs/>
        </w:rPr>
        <w:t xml:space="preserve">, the </w:t>
      </w:r>
      <w:r w:rsidR="00376E45" w:rsidRPr="006A37CA">
        <w:rPr>
          <w:b/>
          <w:bCs/>
          <w:i/>
          <w:iCs/>
        </w:rPr>
        <w:t>Phase</w:t>
      </w:r>
      <w:r w:rsidRPr="006A37CA">
        <w:rPr>
          <w:b/>
          <w:bCs/>
          <w:i/>
          <w:iCs/>
        </w:rPr>
        <w:t xml:space="preserve"> </w:t>
      </w:r>
      <w:r w:rsidR="006A37CA" w:rsidRPr="006A37CA">
        <w:rPr>
          <w:b/>
          <w:bCs/>
          <w:i/>
          <w:iCs/>
        </w:rPr>
        <w:t>IV</w:t>
      </w:r>
      <w:r w:rsidRPr="006A37CA">
        <w:rPr>
          <w:b/>
          <w:bCs/>
          <w:i/>
          <w:iCs/>
        </w:rPr>
        <w:t xml:space="preserve"> post-approval </w:t>
      </w:r>
      <w:r w:rsidR="007A2833" w:rsidRPr="006A37CA">
        <w:rPr>
          <w:b/>
          <w:bCs/>
          <w:i/>
          <w:iCs/>
        </w:rPr>
        <w:t>S</w:t>
      </w:r>
      <w:r w:rsidRPr="006A37CA">
        <w:rPr>
          <w:b/>
          <w:bCs/>
          <w:i/>
          <w:iCs/>
        </w:rPr>
        <w:t xml:space="preserve">tudy B7471015 is a condition of accelerated approval to verify the clinical benefit of </w:t>
      </w:r>
      <w:r w:rsidR="006A37CA" w:rsidRPr="006A37CA">
        <w:rPr>
          <w:b/>
          <w:bCs/>
          <w:i/>
          <w:iCs/>
        </w:rPr>
        <w:t>Prevenar 20</w:t>
      </w:r>
      <w:r w:rsidRPr="006A37CA">
        <w:rPr>
          <w:b/>
          <w:bCs/>
          <w:i/>
          <w:iCs/>
        </w:rPr>
        <w:t xml:space="preserve"> in preventing pneumococcal pneumonia caused by the 7 new vaccine serotypes in adults 65 years of age</w:t>
      </w:r>
      <w:r w:rsidR="009659E2" w:rsidRPr="006A37CA">
        <w:t xml:space="preserve"> </w:t>
      </w:r>
      <w:r w:rsidR="009659E2" w:rsidRPr="006A37CA">
        <w:rPr>
          <w:b/>
          <w:bCs/>
          <w:i/>
          <w:iCs/>
        </w:rPr>
        <w:t>and over</w:t>
      </w:r>
      <w:r w:rsidRPr="006A37CA">
        <w:rPr>
          <w:b/>
          <w:bCs/>
          <w:i/>
          <w:iCs/>
        </w:rPr>
        <w:t>.</w:t>
      </w:r>
    </w:p>
    <w:p w14:paraId="1B6530E9" w14:textId="12117E8C" w:rsidR="00CB365D" w:rsidRPr="006A37CA" w:rsidRDefault="00CB365D" w:rsidP="00CB365D">
      <w:pPr>
        <w:pStyle w:val="Numberbullet0"/>
        <w:numPr>
          <w:ilvl w:val="0"/>
          <w:numId w:val="0"/>
        </w:numPr>
        <w:ind w:left="360"/>
        <w:rPr>
          <w:b/>
          <w:bCs/>
          <w:i/>
          <w:iCs/>
        </w:rPr>
      </w:pPr>
      <w:r w:rsidRPr="006A37CA">
        <w:rPr>
          <w:b/>
          <w:bCs/>
          <w:i/>
          <w:iCs/>
        </w:rPr>
        <w:t xml:space="preserve">Does the ACV have further comments on these overseas evaluations and their implications for monitoring of efficacy of </w:t>
      </w:r>
      <w:r w:rsidR="006A37CA" w:rsidRPr="006A37CA">
        <w:rPr>
          <w:b/>
          <w:bCs/>
          <w:i/>
          <w:iCs/>
        </w:rPr>
        <w:t>Prevenar 20</w:t>
      </w:r>
      <w:r w:rsidRPr="006A37CA">
        <w:rPr>
          <w:b/>
          <w:bCs/>
          <w:i/>
          <w:iCs/>
        </w:rPr>
        <w:t xml:space="preserve"> in adults in Australia?</w:t>
      </w:r>
    </w:p>
    <w:p w14:paraId="14121F0F" w14:textId="43453AFE" w:rsidR="00CB365D" w:rsidRPr="006A37CA" w:rsidRDefault="00CB365D" w:rsidP="00CB365D">
      <w:r w:rsidRPr="006A37CA">
        <w:t>The ACV agreed that the lack of efficacy data is a deficiency in this application, however previous registrations of Prevenar 13;</w:t>
      </w:r>
      <w:r w:rsidRPr="006A37CA">
        <w:rPr>
          <w:rStyle w:val="FootnoteReference"/>
        </w:rPr>
        <w:footnoteReference w:id="43"/>
      </w:r>
      <w:r w:rsidRPr="006A37CA">
        <w:t xml:space="preserve"> and Vaxneuvance;</w:t>
      </w:r>
      <w:r w:rsidRPr="006A37CA">
        <w:rPr>
          <w:rStyle w:val="FootnoteReference"/>
        </w:rPr>
        <w:footnoteReference w:id="44"/>
      </w:r>
      <w:r w:rsidRPr="006A37CA">
        <w:t xml:space="preserve"> endorsed immunobridging, using the </w:t>
      </w:r>
      <w:r w:rsidR="00F602CA" w:rsidRPr="006A37CA">
        <w:t xml:space="preserve">opsonophagocytic activity (OPA) </w:t>
      </w:r>
      <w:r w:rsidRPr="006A37CA">
        <w:t>response as surrogate.</w:t>
      </w:r>
    </w:p>
    <w:p w14:paraId="163E2FB5" w14:textId="2ADAAF47" w:rsidR="00CB365D" w:rsidRPr="006A37CA" w:rsidRDefault="00CB365D" w:rsidP="00CB365D">
      <w:r w:rsidRPr="006A37CA">
        <w:t xml:space="preserve">Efficacy has been demonstrated for </w:t>
      </w:r>
      <w:r w:rsidR="006A37CA" w:rsidRPr="006A37CA">
        <w:t>13-valent pneumococcal conjugate vaccine</w:t>
      </w:r>
      <w:r w:rsidR="006A37CA">
        <w:t xml:space="preserve"> (</w:t>
      </w:r>
      <w:bookmarkStart w:id="87" w:name="_Hlk132117903"/>
      <w:r w:rsidRPr="006A37CA">
        <w:t>13vPnC</w:t>
      </w:r>
      <w:r w:rsidR="006A37CA">
        <w:t xml:space="preserve">, also known as </w:t>
      </w:r>
      <w:r w:rsidR="006A37CA" w:rsidRPr="00EE36B1">
        <w:t>Prevenar</w:t>
      </w:r>
      <w:r w:rsidR="006A37CA">
        <w:t xml:space="preserve"> 13</w:t>
      </w:r>
      <w:bookmarkEnd w:id="87"/>
      <w:r w:rsidR="006A37CA">
        <w:t>)</w:t>
      </w:r>
      <w:r w:rsidRPr="006A37CA">
        <w:t xml:space="preserve"> in </w:t>
      </w:r>
      <w:r w:rsidR="006A37CA" w:rsidRPr="006A37CA">
        <w:t>Study</w:t>
      </w:r>
      <w:r w:rsidR="006A37CA">
        <w:t> </w:t>
      </w:r>
      <w:r w:rsidR="006A37CA" w:rsidRPr="006A37CA">
        <w:t>B1851025 (</w:t>
      </w:r>
      <w:r w:rsidRPr="006A37CA">
        <w:t xml:space="preserve">the </w:t>
      </w:r>
      <w:proofErr w:type="spellStart"/>
      <w:r w:rsidRPr="006A37CA">
        <w:t>CAPiTA</w:t>
      </w:r>
      <w:proofErr w:type="spellEnd"/>
      <w:r w:rsidRPr="006A37CA">
        <w:t xml:space="preserve"> trial</w:t>
      </w:r>
      <w:r w:rsidR="006A37CA" w:rsidRPr="006A37CA">
        <w:t>)</w:t>
      </w:r>
      <w:r w:rsidRPr="006A37CA">
        <w:t xml:space="preserve"> (</w:t>
      </w:r>
      <w:r w:rsidR="009659E2" w:rsidRPr="006A37CA">
        <w:t xml:space="preserve">n </w:t>
      </w:r>
      <w:r w:rsidRPr="006A37CA">
        <w:t>=</w:t>
      </w:r>
      <w:r w:rsidR="009659E2" w:rsidRPr="006A37CA">
        <w:t xml:space="preserve"> </w:t>
      </w:r>
      <w:r w:rsidRPr="006A37CA">
        <w:t>84496</w:t>
      </w:r>
      <w:r w:rsidR="007A2833" w:rsidRPr="006A37CA">
        <w:t xml:space="preserve"> patients of</w:t>
      </w:r>
      <w:r w:rsidRPr="006A37CA">
        <w:t xml:space="preserve"> 65 years</w:t>
      </w:r>
      <w:r w:rsidR="009659E2" w:rsidRPr="006A37CA">
        <w:t xml:space="preserve"> and over</w:t>
      </w:r>
      <w:r w:rsidRPr="006A37CA">
        <w:t>).</w:t>
      </w:r>
      <w:r w:rsidR="00CB0903">
        <w:rPr>
          <w:rStyle w:val="FootnoteReference"/>
        </w:rPr>
        <w:footnoteReference w:id="45"/>
      </w:r>
    </w:p>
    <w:p w14:paraId="6AB90180" w14:textId="3A4CAC73" w:rsidR="00CB365D" w:rsidRPr="006A37CA" w:rsidRDefault="00CB365D" w:rsidP="00CB365D">
      <w:r w:rsidRPr="006A37CA">
        <w:t xml:space="preserve">The ACV noted that </w:t>
      </w:r>
      <w:r w:rsidR="00A41BD4">
        <w:t>the</w:t>
      </w:r>
      <w:r w:rsidRPr="006A37CA">
        <w:t xml:space="preserve"> US post-approval </w:t>
      </w:r>
      <w:r w:rsidR="00A41BD4">
        <w:t>S</w:t>
      </w:r>
      <w:r w:rsidRPr="006A37CA">
        <w:t xml:space="preserve">tudy B7471015 will assess clinical benefit of </w:t>
      </w:r>
      <w:r w:rsidR="006A37CA">
        <w:t>20</w:t>
      </w:r>
      <w:r w:rsidR="00A41BD4">
        <w:noBreakHyphen/>
      </w:r>
      <w:r w:rsidR="006A37CA" w:rsidRPr="006A37CA">
        <w:t>valent pneumococcal conjugate vaccine</w:t>
      </w:r>
      <w:r w:rsidR="006A37CA">
        <w:t xml:space="preserve"> (20</w:t>
      </w:r>
      <w:r w:rsidR="006A37CA" w:rsidRPr="006A37CA">
        <w:t xml:space="preserve">vPnC, also known as Prevenar </w:t>
      </w:r>
      <w:r w:rsidR="006A37CA">
        <w:t>20)</w:t>
      </w:r>
      <w:r w:rsidRPr="006A37CA">
        <w:t xml:space="preserve"> in preventing radiologically confirmed pneumonia adults 65 years</w:t>
      </w:r>
      <w:r w:rsidR="009659E2" w:rsidRPr="006A37CA">
        <w:t xml:space="preserve"> and over</w:t>
      </w:r>
      <w:r w:rsidRPr="006A37CA">
        <w:t xml:space="preserve"> (planned completion date November 2027). Continued FDA approval is contingent upon demonstration of clinical benefit from this study, while no efficacy study was required for EMA authorisation.</w:t>
      </w:r>
    </w:p>
    <w:p w14:paraId="567B8808" w14:textId="4BBCA66B" w:rsidR="00CB365D" w:rsidRPr="006A37CA" w:rsidRDefault="00CB365D" w:rsidP="00CB365D">
      <w:r w:rsidRPr="006A37CA">
        <w:t>The ACV agreed that it is not feasible to conduct efficacy studies for a new pneumococcal vaccine where uptake of currently approved vaccines is high,</w:t>
      </w:r>
    </w:p>
    <w:p w14:paraId="5C1E7066" w14:textId="7D079720" w:rsidR="00CB365D" w:rsidRPr="006A37CA" w:rsidRDefault="00CB365D" w:rsidP="00CB365D">
      <w:r w:rsidRPr="006A37CA">
        <w:lastRenderedPageBreak/>
        <w:t xml:space="preserve">While it is expected that Prevenar 20 will provide similar effectiveness to Prevenar 13 against vaccine-type </w:t>
      </w:r>
      <w:r w:rsidR="00DF2B5F" w:rsidRPr="006A37CA">
        <w:t>invasive pneumococcal disease</w:t>
      </w:r>
      <w:r w:rsidRPr="006A37CA">
        <w:t>, ongoing post-marketing surveillance will be critical, given the lack of efficacy data.</w:t>
      </w:r>
    </w:p>
    <w:p w14:paraId="3DF634A2" w14:textId="77777777" w:rsidR="00A41BD4" w:rsidRDefault="00CB365D" w:rsidP="00CB365D">
      <w:pPr>
        <w:pStyle w:val="Numberbullet0"/>
        <w:rPr>
          <w:b/>
          <w:bCs/>
          <w:i/>
          <w:iCs/>
        </w:rPr>
      </w:pPr>
      <w:r w:rsidRPr="006A37CA">
        <w:rPr>
          <w:b/>
          <w:bCs/>
          <w:i/>
          <w:iCs/>
        </w:rPr>
        <w:t xml:space="preserve">Please comment on the proposed indication, </w:t>
      </w:r>
      <w:proofErr w:type="gramStart"/>
      <w:r w:rsidRPr="006A37CA">
        <w:rPr>
          <w:b/>
          <w:bCs/>
          <w:i/>
          <w:iCs/>
        </w:rPr>
        <w:t>in light of</w:t>
      </w:r>
      <w:proofErr w:type="gramEnd"/>
      <w:r w:rsidRPr="006A37CA">
        <w:rPr>
          <w:b/>
          <w:bCs/>
          <w:i/>
          <w:iCs/>
        </w:rPr>
        <w:t xml:space="preserve"> the </w:t>
      </w:r>
      <w:r w:rsidR="00376E45" w:rsidRPr="006A37CA">
        <w:rPr>
          <w:b/>
          <w:bCs/>
          <w:i/>
          <w:iCs/>
        </w:rPr>
        <w:t>evaluation</w:t>
      </w:r>
      <w:r w:rsidRPr="006A37CA">
        <w:rPr>
          <w:b/>
          <w:bCs/>
          <w:i/>
          <w:iCs/>
        </w:rPr>
        <w:t xml:space="preserve"> comments highlighting the more specific indication in the US</w:t>
      </w:r>
      <w:r w:rsidR="00A41BD4">
        <w:rPr>
          <w:b/>
          <w:bCs/>
          <w:i/>
          <w:iCs/>
        </w:rPr>
        <w:t>A</w:t>
      </w:r>
      <w:r w:rsidRPr="006A37CA">
        <w:rPr>
          <w:b/>
          <w:bCs/>
          <w:i/>
          <w:iCs/>
        </w:rPr>
        <w:t xml:space="preserve"> and EU.</w:t>
      </w:r>
    </w:p>
    <w:p w14:paraId="16CADC90" w14:textId="2A80949D" w:rsidR="00CB365D" w:rsidRPr="006A37CA" w:rsidRDefault="00CB365D" w:rsidP="00270509">
      <w:pPr>
        <w:pStyle w:val="Numberbullet0"/>
        <w:numPr>
          <w:ilvl w:val="0"/>
          <w:numId w:val="0"/>
        </w:numPr>
        <w:ind w:left="360"/>
        <w:rPr>
          <w:b/>
          <w:bCs/>
          <w:i/>
          <w:iCs/>
        </w:rPr>
      </w:pPr>
      <w:r w:rsidRPr="006A37CA">
        <w:rPr>
          <w:b/>
          <w:bCs/>
          <w:i/>
          <w:iCs/>
        </w:rPr>
        <w:t>Does the ACV agree with the Delegate’s revised indication and proposal to align with the FDA and EMA?</w:t>
      </w:r>
    </w:p>
    <w:p w14:paraId="5BBD3FFF" w14:textId="11BB2355" w:rsidR="00CB365D" w:rsidRPr="006A37CA" w:rsidRDefault="00CB365D" w:rsidP="00CB365D">
      <w:pPr>
        <w:pStyle w:val="Numberbullet0"/>
        <w:numPr>
          <w:ilvl w:val="0"/>
          <w:numId w:val="0"/>
        </w:numPr>
        <w:ind w:left="360"/>
        <w:rPr>
          <w:b/>
          <w:bCs/>
          <w:i/>
          <w:iCs/>
        </w:rPr>
      </w:pPr>
      <w:r w:rsidRPr="006A37CA">
        <w:rPr>
          <w:b/>
          <w:bCs/>
          <w:i/>
          <w:iCs/>
        </w:rPr>
        <w:t xml:space="preserve">In addressing these two questions, the ACV may wish to refer </w:t>
      </w:r>
      <w:r w:rsidR="007A2833" w:rsidRPr="006A37CA">
        <w:rPr>
          <w:b/>
          <w:bCs/>
          <w:i/>
          <w:iCs/>
        </w:rPr>
        <w:t>to [the second round of the clinical evaluation report]</w:t>
      </w:r>
      <w:r w:rsidRPr="006A37CA">
        <w:rPr>
          <w:b/>
          <w:bCs/>
          <w:i/>
          <w:iCs/>
        </w:rPr>
        <w:t>.</w:t>
      </w:r>
    </w:p>
    <w:p w14:paraId="68A6048D" w14:textId="376CC6DA" w:rsidR="00CB365D" w:rsidRPr="006A37CA" w:rsidRDefault="00CB365D" w:rsidP="00CB365D">
      <w:r w:rsidRPr="006A37CA">
        <w:t>The ACV advised that in the absence of clinical efficacy data a more general reference to the prevention of pneumococcal disease was preferred over specific mention of pneumonia and invasive disease.</w:t>
      </w:r>
    </w:p>
    <w:p w14:paraId="440990C8" w14:textId="63157847" w:rsidR="00CB365D" w:rsidRPr="006A37CA" w:rsidRDefault="00CB365D" w:rsidP="00CB365D">
      <w:r w:rsidRPr="006A37CA">
        <w:t>The vaccine induced robust responses to all 20 vaccine serotypes across adult age groups.</w:t>
      </w:r>
    </w:p>
    <w:p w14:paraId="3E04104A" w14:textId="49B428E3" w:rsidR="00CB365D" w:rsidRPr="006A37CA" w:rsidRDefault="00CB365D" w:rsidP="00CB365D">
      <w:r w:rsidRPr="006A37CA">
        <w:t xml:space="preserve">The ACV favoured harmonisation of indications with that of the most recently registered comparable vaccine, Vaxneuvance. Additionally, it is expected that the sponsor will propose to register Prevenar 20 for use in children </w:t>
      </w:r>
      <w:proofErr w:type="gramStart"/>
      <w:r w:rsidRPr="006A37CA">
        <w:t>at a later date</w:t>
      </w:r>
      <w:proofErr w:type="gramEnd"/>
      <w:r w:rsidRPr="006A37CA">
        <w:t xml:space="preserve">, and in this group the broader benefits of preventing non-invasive pneumococcal disease, such as otitis media, are of relevance. Reference to vaccination in the context of official recommendations was very important. Inclusion of a statement noting that a vaccine may not prevent all cases of a disease was </w:t>
      </w:r>
      <w:proofErr w:type="gramStart"/>
      <w:r w:rsidRPr="006A37CA">
        <w:t>optional, but</w:t>
      </w:r>
      <w:proofErr w:type="gramEnd"/>
      <w:r w:rsidRPr="006A37CA">
        <w:t xml:space="preserve"> would be consistent with wording for Vaxneuvance.</w:t>
      </w:r>
    </w:p>
    <w:p w14:paraId="3CF1B33C" w14:textId="69FA5408" w:rsidR="00CB365D" w:rsidRPr="006A37CA" w:rsidRDefault="00CB365D" w:rsidP="00CB365D">
      <w:pPr>
        <w:pStyle w:val="Numberbullet0"/>
        <w:rPr>
          <w:b/>
          <w:bCs/>
          <w:i/>
          <w:iCs/>
        </w:rPr>
      </w:pPr>
      <w:proofErr w:type="gramStart"/>
      <w:r w:rsidRPr="006A37CA">
        <w:rPr>
          <w:b/>
          <w:bCs/>
          <w:i/>
          <w:iCs/>
        </w:rPr>
        <w:t>In regard to</w:t>
      </w:r>
      <w:proofErr w:type="gramEnd"/>
      <w:r w:rsidRPr="006A37CA">
        <w:rPr>
          <w:b/>
          <w:bCs/>
          <w:i/>
          <w:iCs/>
        </w:rPr>
        <w:t xml:space="preserve"> the pivotal </w:t>
      </w:r>
      <w:r w:rsidR="007A2833" w:rsidRPr="006A37CA">
        <w:rPr>
          <w:b/>
          <w:bCs/>
          <w:i/>
          <w:iCs/>
        </w:rPr>
        <w:t>S</w:t>
      </w:r>
      <w:r w:rsidRPr="006A37CA">
        <w:rPr>
          <w:b/>
          <w:bCs/>
          <w:i/>
          <w:iCs/>
        </w:rPr>
        <w:t xml:space="preserve">tudy B7471007, please comment on the immunogenicity results discussed </w:t>
      </w:r>
      <w:r w:rsidR="007A2833" w:rsidRPr="006A37CA">
        <w:rPr>
          <w:b/>
          <w:bCs/>
          <w:i/>
          <w:iCs/>
        </w:rPr>
        <w:t>in [the second round of the clinical evaluation report]</w:t>
      </w:r>
      <w:r w:rsidRPr="006A37CA">
        <w:rPr>
          <w:b/>
          <w:bCs/>
          <w:i/>
          <w:iCs/>
        </w:rPr>
        <w:t>.</w:t>
      </w:r>
    </w:p>
    <w:p w14:paraId="0871FED0" w14:textId="3B83E88B" w:rsidR="00CB365D" w:rsidRPr="006A37CA" w:rsidRDefault="00CB365D" w:rsidP="00CB365D">
      <w:r w:rsidRPr="006A37CA">
        <w:t xml:space="preserve">The ACV highlighted the following Immunogenicity results from </w:t>
      </w:r>
      <w:r w:rsidR="007A2833" w:rsidRPr="006A37CA">
        <w:t xml:space="preserve">Study </w:t>
      </w:r>
      <w:r w:rsidRPr="006A37CA">
        <w:t>B7471007:</w:t>
      </w:r>
    </w:p>
    <w:p w14:paraId="184922B8" w14:textId="449F0E48" w:rsidR="00CB365D" w:rsidRPr="006A37CA" w:rsidRDefault="007A2833" w:rsidP="00CB365D">
      <w:pPr>
        <w:pStyle w:val="ListBullet"/>
      </w:pPr>
      <w:r w:rsidRPr="006A37CA">
        <w:t>P</w:t>
      </w:r>
      <w:r w:rsidR="00CB365D" w:rsidRPr="006A37CA">
        <w:t xml:space="preserve">re-specified non-inferiority criteria for all 13 matched serotypes was met (noting that meeting or not meeting the sponsor’s </w:t>
      </w:r>
      <w:r w:rsidRPr="006A37CA">
        <w:t>non-inferiority</w:t>
      </w:r>
      <w:r w:rsidR="00CB365D" w:rsidRPr="006A37CA">
        <w:t xml:space="preserve"> of 0.5 is of unknown clinical relevance).</w:t>
      </w:r>
    </w:p>
    <w:p w14:paraId="48C5A650" w14:textId="73F1C3D1" w:rsidR="00CB365D" w:rsidRPr="006A37CA" w:rsidRDefault="00A41BD4" w:rsidP="00CB365D">
      <w:pPr>
        <w:pStyle w:val="ListBullet"/>
      </w:pPr>
      <w:r w:rsidRPr="006A37CA">
        <w:t xml:space="preserve">Opsonophagocytic activity </w:t>
      </w:r>
      <w:r>
        <w:t>(</w:t>
      </w:r>
      <w:r w:rsidR="00CB365D" w:rsidRPr="006A37CA">
        <w:t>OPA</w:t>
      </w:r>
      <w:r>
        <w:t>)</w:t>
      </w:r>
      <w:r w:rsidR="00CB365D" w:rsidRPr="006A37CA">
        <w:t xml:space="preserve"> </w:t>
      </w:r>
      <w:r w:rsidR="00F602CA" w:rsidRPr="006A37CA">
        <w:t>geometric mean ratio (</w:t>
      </w:r>
      <w:r w:rsidR="00CB365D" w:rsidRPr="006A37CA">
        <w:t>GMR</w:t>
      </w:r>
      <w:r w:rsidR="00F602CA" w:rsidRPr="006A37CA">
        <w:t>)</w:t>
      </w:r>
      <w:r w:rsidR="00CB365D" w:rsidRPr="006A37CA">
        <w:t xml:space="preserve"> &lt;</w:t>
      </w:r>
      <w:r w:rsidR="007A2833" w:rsidRPr="006A37CA">
        <w:t xml:space="preserve"> </w:t>
      </w:r>
      <w:r w:rsidR="00CB365D" w:rsidRPr="006A37CA">
        <w:t>1 for 12</w:t>
      </w:r>
      <w:r w:rsidR="007A2833" w:rsidRPr="006A37CA">
        <w:t>/</w:t>
      </w:r>
      <w:r w:rsidR="00CB365D" w:rsidRPr="006A37CA">
        <w:t xml:space="preserve">13 matched serotypes: 11 of these demonstrated OPA </w:t>
      </w:r>
      <w:r w:rsidR="00F602CA" w:rsidRPr="006A37CA">
        <w:t>geometric mean titre (</w:t>
      </w:r>
      <w:r w:rsidR="00CB365D" w:rsidRPr="006A37CA">
        <w:t>GMT</w:t>
      </w:r>
      <w:r w:rsidR="00F602CA" w:rsidRPr="006A37CA">
        <w:t>)</w:t>
      </w:r>
      <w:r w:rsidR="00CB365D" w:rsidRPr="006A37CA">
        <w:t xml:space="preserve"> ratios ≥</w:t>
      </w:r>
      <w:r w:rsidR="007A2833" w:rsidRPr="006A37CA">
        <w:t> </w:t>
      </w:r>
      <w:r w:rsidR="00CB365D" w:rsidRPr="006A37CA">
        <w:t>0.8; serotype 6A had GMR of 0.76.</w:t>
      </w:r>
    </w:p>
    <w:p w14:paraId="618A311D" w14:textId="3CB0B208" w:rsidR="00CB365D" w:rsidRPr="006A37CA" w:rsidRDefault="00CB365D" w:rsidP="00CB365D">
      <w:pPr>
        <w:pStyle w:val="ListBullet"/>
      </w:pPr>
      <w:r w:rsidRPr="006A37CA">
        <w:t xml:space="preserve">OPA GMTs </w:t>
      </w:r>
      <w:r w:rsidR="009659E2" w:rsidRPr="006A37CA">
        <w:t>one month</w:t>
      </w:r>
      <w:r w:rsidRPr="006A37CA">
        <w:t xml:space="preserve"> after vaccination were slightly lower following </w:t>
      </w:r>
      <w:r w:rsidR="006A37CA" w:rsidRPr="006A37CA">
        <w:t>20-valent pneumococcal conjugate vaccine</w:t>
      </w:r>
      <w:r w:rsidR="006A37CA">
        <w:t xml:space="preserve"> (</w:t>
      </w:r>
      <w:r w:rsidR="006A37CA" w:rsidRPr="006A37CA">
        <w:t>20vPnC</w:t>
      </w:r>
      <w:r w:rsidR="006A37CA">
        <w:t xml:space="preserve">, also known as </w:t>
      </w:r>
      <w:r w:rsidR="006A37CA" w:rsidRPr="006A37CA">
        <w:t>Prevenar 20)</w:t>
      </w:r>
      <w:r w:rsidRPr="006A37CA">
        <w:t xml:space="preserve"> than following 13vPnC for 13 matched serotypes, although substantial increases in OPA GMTs from </w:t>
      </w:r>
      <w:r w:rsidR="009659E2" w:rsidRPr="006A37CA">
        <w:t>Baseline</w:t>
      </w:r>
      <w:r w:rsidRPr="006A37CA">
        <w:t xml:space="preserve"> to </w:t>
      </w:r>
      <w:r w:rsidR="009659E2" w:rsidRPr="006A37CA">
        <w:t>one month</w:t>
      </w:r>
      <w:r w:rsidRPr="006A37CA">
        <w:t xml:space="preserve"> after vaccination were observed in both groups.</w:t>
      </w:r>
    </w:p>
    <w:p w14:paraId="0D8B0E83" w14:textId="28541FC3" w:rsidR="00CB365D" w:rsidRPr="006A37CA" w:rsidRDefault="00CB365D" w:rsidP="00CB365D">
      <w:pPr>
        <w:pStyle w:val="ListBullet"/>
      </w:pPr>
      <w:r w:rsidRPr="006A37CA">
        <w:t xml:space="preserve">OPA GMR was ≥ 1 for 6 of the 7 additional matched serotypes, reflecting higher OPA GMTs at </w:t>
      </w:r>
      <w:r w:rsidR="009659E2" w:rsidRPr="006A37CA">
        <w:t>one month</w:t>
      </w:r>
      <w:r w:rsidRPr="006A37CA">
        <w:t xml:space="preserve"> after vaccination with 20vPnC for these 6 serotypes compared to </w:t>
      </w:r>
      <w:r w:rsidR="00E171F6" w:rsidRPr="006A37CA">
        <w:t>Pneumovax</w:t>
      </w:r>
      <w:r w:rsidR="007A2833" w:rsidRPr="006A37CA">
        <w:t> </w:t>
      </w:r>
      <w:r w:rsidR="00E171F6" w:rsidRPr="006A37CA">
        <w:t>23</w:t>
      </w:r>
      <w:r w:rsidRPr="006A37CA">
        <w:t xml:space="preserve"> (noting that the mechanism of action and immune response for conjugate and polysaccharide vaccines is significantly different)</w:t>
      </w:r>
    </w:p>
    <w:p w14:paraId="2AB87D6D" w14:textId="736D344F" w:rsidR="00CB365D" w:rsidRPr="006A37CA" w:rsidRDefault="00CB365D" w:rsidP="00CB365D">
      <w:pPr>
        <w:pStyle w:val="ListBullet"/>
      </w:pPr>
      <w:r w:rsidRPr="006A37CA">
        <w:t xml:space="preserve">Serotype 8 missed the statistical </w:t>
      </w:r>
      <w:r w:rsidR="007A2833" w:rsidRPr="006A37CA">
        <w:t>non-inferiority</w:t>
      </w:r>
      <w:r w:rsidRPr="006A37CA">
        <w:t xml:space="preserve"> criterion, which the ACV found somewhat anomalous and difficult to explain; immunogenicity has been demonstrated for this serotype.</w:t>
      </w:r>
    </w:p>
    <w:p w14:paraId="47BE816F" w14:textId="5321C159" w:rsidR="00CB365D" w:rsidRPr="006A37CA" w:rsidRDefault="00CB365D" w:rsidP="00CB365D">
      <w:r w:rsidRPr="006A37CA">
        <w:t>The ACV expressed concern regarding the trend of diminishing OPA GMTs with increasing valency, as GMTs were consistently lower for Prevenar 20 compared to Prevenar 13.</w:t>
      </w:r>
    </w:p>
    <w:p w14:paraId="51AC7AEA" w14:textId="01E873C5" w:rsidR="00CB365D" w:rsidRPr="006A37CA" w:rsidRDefault="00CB365D" w:rsidP="00CB365D">
      <w:r w:rsidRPr="006A37CA">
        <w:t xml:space="preserve">It is acknowledged that there are no established minimum threshold OPA titres that predict protection against </w:t>
      </w:r>
      <w:r w:rsidR="00DF2B5F" w:rsidRPr="006A37CA">
        <w:t>invasive pneumococcal disease</w:t>
      </w:r>
      <w:r w:rsidRPr="006A37CA">
        <w:t xml:space="preserve"> in adults. It is uncertain if reduced OPA GMTs </w:t>
      </w:r>
      <w:r w:rsidRPr="006A37CA">
        <w:lastRenderedPageBreak/>
        <w:t>(</w:t>
      </w:r>
      <w:r w:rsidR="009659E2" w:rsidRPr="006A37CA">
        <w:t>for example,</w:t>
      </w:r>
      <w:r w:rsidRPr="006A37CA">
        <w:t xml:space="preserve"> for serotypes 12/13) are clinically relevant. This adds emphasis to the importance of post-marketing surveillance.</w:t>
      </w:r>
    </w:p>
    <w:p w14:paraId="5291EA2A" w14:textId="77777777" w:rsidR="00C22214" w:rsidRPr="006A37CA" w:rsidRDefault="00C22214" w:rsidP="00C22214">
      <w:pPr>
        <w:pStyle w:val="Heading5"/>
      </w:pPr>
      <w:r w:rsidRPr="006A37CA">
        <w:t>Conclusion</w:t>
      </w:r>
    </w:p>
    <w:p w14:paraId="5A8FEAAF" w14:textId="7161C4F2" w:rsidR="00CB365D" w:rsidRPr="006A37CA" w:rsidRDefault="00CB365D" w:rsidP="00CB365D">
      <w:r w:rsidRPr="006A37CA">
        <w:t xml:space="preserve">The ACV considered Prevenar 20 </w:t>
      </w:r>
      <w:r w:rsidR="00A41BD4">
        <w:t xml:space="preserve">vaccine (20-valent </w:t>
      </w:r>
      <w:r w:rsidR="00A41BD4" w:rsidRPr="006A37CA">
        <w:t>pneumococcal capsular polysaccharides vaccine</w:t>
      </w:r>
      <w:r w:rsidR="00A41BD4">
        <w:t xml:space="preserve">) </w:t>
      </w:r>
      <w:r w:rsidRPr="006A37CA">
        <w:t>to have an overall positive benefit-risk profile for the indication:</w:t>
      </w:r>
    </w:p>
    <w:p w14:paraId="5E2B1EED" w14:textId="51035AF5" w:rsidR="00CB365D" w:rsidRPr="006A37CA" w:rsidRDefault="00CB365D" w:rsidP="00CB365D">
      <w:pPr>
        <w:ind w:left="720"/>
        <w:rPr>
          <w:i/>
          <w:iCs/>
        </w:rPr>
      </w:pPr>
      <w:r w:rsidRPr="006A37CA">
        <w:rPr>
          <w:i/>
          <w:iCs/>
        </w:rPr>
        <w:t>Active immunisation for the prevention of pneumococcal disease caused by Streptococcus pneumoniae serotypes 1, 3, 4, 5, 6A, 6B, 7F, 8, 9V, 10A, 11A, 12F, 14, 15B, 18C, 19A, 19F, 22F, 23F, and 33F in adults 18 years of age and older.</w:t>
      </w:r>
    </w:p>
    <w:p w14:paraId="0E559CB7" w14:textId="612A1289" w:rsidR="00CB365D" w:rsidRPr="006A37CA" w:rsidRDefault="00CB365D" w:rsidP="00CB365D">
      <w:pPr>
        <w:ind w:left="720"/>
        <w:rPr>
          <w:i/>
          <w:iCs/>
        </w:rPr>
      </w:pPr>
      <w:r w:rsidRPr="006A37CA">
        <w:rPr>
          <w:i/>
          <w:iCs/>
        </w:rPr>
        <w:t>Prevenar 20 may not prevent disease caused by S. pneumonia serotypes that are not contained in the vaccine.</w:t>
      </w:r>
    </w:p>
    <w:p w14:paraId="26160B61" w14:textId="52A86EC6" w:rsidR="00CB365D" w:rsidRPr="006A37CA" w:rsidRDefault="00CB365D" w:rsidP="00CB365D">
      <w:pPr>
        <w:ind w:left="720"/>
        <w:rPr>
          <w:i/>
          <w:iCs/>
        </w:rPr>
      </w:pPr>
      <w:r w:rsidRPr="006A37CA">
        <w:rPr>
          <w:i/>
          <w:iCs/>
        </w:rPr>
        <w:t>Prevenar 20 should be used in accordance with official recommendations.</w:t>
      </w:r>
    </w:p>
    <w:p w14:paraId="307F236C" w14:textId="77777777" w:rsidR="00C22214" w:rsidRPr="006A37CA" w:rsidRDefault="00C22214" w:rsidP="00C22214">
      <w:pPr>
        <w:pStyle w:val="Heading2"/>
      </w:pPr>
      <w:bookmarkStart w:id="88" w:name="_Toc103679300"/>
      <w:bookmarkStart w:id="89" w:name="_Toc135124822"/>
      <w:r w:rsidRPr="006A37CA">
        <w:t>Outcome</w:t>
      </w:r>
      <w:bookmarkEnd w:id="85"/>
      <w:bookmarkEnd w:id="86"/>
      <w:bookmarkEnd w:id="88"/>
      <w:bookmarkEnd w:id="89"/>
    </w:p>
    <w:p w14:paraId="06E23806" w14:textId="5CB8CCD3" w:rsidR="008557F6" w:rsidRPr="006A37CA" w:rsidRDefault="00C22214" w:rsidP="008557F6">
      <w:r w:rsidRPr="006A37CA">
        <w:t xml:space="preserve">Based on a review of quality, safety, and efficacy, the TGA approved the registration of </w:t>
      </w:r>
      <w:r w:rsidR="008557F6" w:rsidRPr="006A37CA">
        <w:t>Prevenar</w:t>
      </w:r>
      <w:r w:rsidR="007A2833" w:rsidRPr="006A37CA">
        <w:t> </w:t>
      </w:r>
      <w:r w:rsidR="008557F6" w:rsidRPr="006A37CA">
        <w:t xml:space="preserve">20 (pneumococcal polysaccharide conjugate vaccine) 92.4 </w:t>
      </w:r>
      <w:proofErr w:type="spellStart"/>
      <w:r w:rsidR="008557F6" w:rsidRPr="006A37CA">
        <w:t>μg</w:t>
      </w:r>
      <w:proofErr w:type="spellEnd"/>
      <w:r w:rsidR="008557F6" w:rsidRPr="006A37CA">
        <w:t>/mL, suspension for injection, syringe</w:t>
      </w:r>
      <w:r w:rsidRPr="006A37CA">
        <w:t>, indicated for:</w:t>
      </w:r>
    </w:p>
    <w:p w14:paraId="71F44EB7" w14:textId="4295C638" w:rsidR="008557F6" w:rsidRPr="006A37CA" w:rsidRDefault="008557F6" w:rsidP="008557F6">
      <w:pPr>
        <w:ind w:left="720"/>
        <w:rPr>
          <w:i/>
          <w:iCs/>
        </w:rPr>
      </w:pPr>
      <w:r w:rsidRPr="006A37CA">
        <w:rPr>
          <w:i/>
          <w:iCs/>
        </w:rPr>
        <w:t>Active immunisation for the prevention of pneumococcal disease caused by Streptococcus pneumoniae serotypes 1, 3, 4, 5, 6A, 6B, 7F, 8, 9V, 10A, 11A, 12F, 14, 15B, 18C, 19A, 19F, 22F, 23F, and 33F in adults 18 years of age and older.</w:t>
      </w:r>
    </w:p>
    <w:p w14:paraId="447CC335" w14:textId="77777777" w:rsidR="008557F6" w:rsidRPr="006A37CA" w:rsidRDefault="008557F6" w:rsidP="008557F6">
      <w:pPr>
        <w:ind w:left="720"/>
        <w:rPr>
          <w:i/>
          <w:iCs/>
        </w:rPr>
      </w:pPr>
      <w:r w:rsidRPr="006A37CA">
        <w:rPr>
          <w:i/>
          <w:iCs/>
        </w:rPr>
        <w:t>Prevenar 20 may not prevent disease caused by S. pneumoniae serotypes that are not contained in the vaccine.</w:t>
      </w:r>
    </w:p>
    <w:p w14:paraId="172B449F" w14:textId="0159A47F" w:rsidR="008557F6" w:rsidRPr="006A37CA" w:rsidRDefault="008557F6" w:rsidP="008557F6">
      <w:pPr>
        <w:ind w:left="720"/>
        <w:rPr>
          <w:i/>
          <w:iCs/>
        </w:rPr>
      </w:pPr>
      <w:r w:rsidRPr="006A37CA">
        <w:rPr>
          <w:i/>
          <w:iCs/>
        </w:rPr>
        <w:t>Prevenar 20 should be used in accordance with official recommendations.</w:t>
      </w:r>
    </w:p>
    <w:p w14:paraId="6D25891E" w14:textId="77777777" w:rsidR="00C22214" w:rsidRPr="006A37CA" w:rsidRDefault="00C22214" w:rsidP="00C22214">
      <w:pPr>
        <w:pStyle w:val="Heading3"/>
      </w:pPr>
      <w:bookmarkStart w:id="90" w:name="_Toc103679301"/>
      <w:bookmarkStart w:id="91" w:name="_Ref134533033"/>
      <w:bookmarkStart w:id="92" w:name="_Toc135124823"/>
      <w:r w:rsidRPr="006A37CA">
        <w:t>Specific conditions of registration applying to these goods</w:t>
      </w:r>
      <w:bookmarkEnd w:id="90"/>
      <w:bookmarkEnd w:id="91"/>
      <w:bookmarkEnd w:id="92"/>
    </w:p>
    <w:p w14:paraId="0E9CB6B9" w14:textId="5680C4BA" w:rsidR="008557F6" w:rsidRPr="006A37CA" w:rsidRDefault="008557F6" w:rsidP="008557F6">
      <w:pPr>
        <w:pStyle w:val="ListBullet"/>
      </w:pPr>
      <w:r w:rsidRPr="006A37CA">
        <w:t>Prevenar 20 (pneumococcal capsular polysaccharides vaccine) is to be included in the Black Triangle Scheme. The PI and CMI for Prevenar 20 must include the black triangle symbol and mandatory accompanying text for five years, which starts from the date that the sponsor notifies the TGA of supply of the product.</w:t>
      </w:r>
    </w:p>
    <w:p w14:paraId="0DFE126C" w14:textId="0F78B8E9" w:rsidR="008557F6" w:rsidRPr="006A37CA" w:rsidRDefault="008557F6" w:rsidP="008557F6">
      <w:pPr>
        <w:pStyle w:val="ListBullet"/>
      </w:pPr>
      <w:r w:rsidRPr="006A37CA">
        <w:t>The Prevenar 20 EU-</w:t>
      </w:r>
      <w:r w:rsidR="007A2833" w:rsidRPr="006A37CA">
        <w:t xml:space="preserve">risk management plan </w:t>
      </w:r>
      <w:r w:rsidRPr="006A37CA">
        <w:t>(RMP) (version 0.2, dated 1</w:t>
      </w:r>
      <w:r w:rsidR="007A2833" w:rsidRPr="006A37CA">
        <w:t> </w:t>
      </w:r>
      <w:r w:rsidRPr="006A37CA">
        <w:t>September</w:t>
      </w:r>
      <w:r w:rsidR="007A2833" w:rsidRPr="006A37CA">
        <w:t> </w:t>
      </w:r>
      <w:r w:rsidRPr="006A37CA">
        <w:t xml:space="preserve">2021, data lock point 4 June 2020), with Australian </w:t>
      </w:r>
      <w:r w:rsidR="007A2833" w:rsidRPr="006A37CA">
        <w:t xml:space="preserve">specific annex </w:t>
      </w:r>
      <w:r w:rsidRPr="006A37CA">
        <w:t>(version 1.0, dated 4</w:t>
      </w:r>
      <w:r w:rsidR="007A2833" w:rsidRPr="006A37CA">
        <w:t> </w:t>
      </w:r>
      <w:r w:rsidRPr="006A37CA">
        <w:t>October</w:t>
      </w:r>
      <w:r w:rsidR="007A2833" w:rsidRPr="006A37CA">
        <w:t> </w:t>
      </w:r>
      <w:r w:rsidRPr="006A37CA">
        <w:t>2021), included with submission PM-2021-04721-1-2, to be revised to the satisfaction of the TGA, will be implemented in Australia.</w:t>
      </w:r>
    </w:p>
    <w:p w14:paraId="52F3508E" w14:textId="4DECD448" w:rsidR="008557F6" w:rsidRPr="006A37CA" w:rsidRDefault="008557F6" w:rsidP="008557F6">
      <w:pPr>
        <w:pStyle w:val="ListBullet"/>
      </w:pPr>
      <w:r w:rsidRPr="006A37CA">
        <w:t>An obligatory component of risk management plans is routine pharmacovigilance. Routine pharmacovigilance includes the submission of periodic safety update reports (PSURs).</w:t>
      </w:r>
    </w:p>
    <w:p w14:paraId="021E8872" w14:textId="68F44F38" w:rsidR="008557F6" w:rsidRPr="006A37CA" w:rsidRDefault="008557F6" w:rsidP="008557F6">
      <w:pPr>
        <w:pStyle w:val="ListBullet"/>
        <w:numPr>
          <w:ilvl w:val="0"/>
          <w:numId w:val="0"/>
        </w:numPr>
        <w:ind w:left="360"/>
      </w:pPr>
      <w:r w:rsidRPr="006A37CA">
        <w:t xml:space="preserve">Reports are to be provided in line with the current published list of EU reference dates and frequency of submission of PSURs until the period covered by such reports is not less than three years from the date of </w:t>
      </w:r>
      <w:r w:rsidR="007A2833" w:rsidRPr="006A37CA">
        <w:t>the</w:t>
      </w:r>
      <w:r w:rsidRPr="006A37CA">
        <w:t xml:space="preserve"> approval letter.</w:t>
      </w:r>
    </w:p>
    <w:p w14:paraId="7B40ABBB" w14:textId="295F0D25" w:rsidR="008557F6" w:rsidRPr="006A37CA" w:rsidRDefault="008557F6" w:rsidP="008557F6">
      <w:pPr>
        <w:pStyle w:val="ListBullet"/>
        <w:numPr>
          <w:ilvl w:val="0"/>
          <w:numId w:val="0"/>
        </w:numPr>
        <w:ind w:left="360"/>
      </w:pPr>
      <w:r w:rsidRPr="006A37CA">
        <w:t xml:space="preserve">The reports are to at least meet the requirements for PSURs as described in the European Medicines Agency’s Guideline on </w:t>
      </w:r>
      <w:r w:rsidR="007A2833" w:rsidRPr="006A37CA">
        <w:t xml:space="preserve">Good Pharmacovigilance Practices </w:t>
      </w:r>
      <w:r w:rsidRPr="006A37CA">
        <w:t>(GVP) Module</w:t>
      </w:r>
      <w:r w:rsidR="007A2833" w:rsidRPr="006A37CA">
        <w:t> </w:t>
      </w:r>
      <w:r w:rsidRPr="006A37CA">
        <w:t xml:space="preserve">VII periodic safety update report </w:t>
      </w:r>
      <w:r w:rsidR="007A2833" w:rsidRPr="006A37CA">
        <w:t>[</w:t>
      </w:r>
      <w:r w:rsidRPr="006A37CA">
        <w:t>Rev</w:t>
      </w:r>
      <w:r w:rsidR="007A2833" w:rsidRPr="006A37CA">
        <w:t>ision</w:t>
      </w:r>
      <w:r w:rsidRPr="006A37CA">
        <w:t xml:space="preserve"> 1</w:t>
      </w:r>
      <w:r w:rsidR="007A2833" w:rsidRPr="006A37CA">
        <w:t>]</w:t>
      </w:r>
      <w:r w:rsidRPr="006A37CA">
        <w:t>, Part VII.B Structures and processes. Note that submission of a PSUR does not constitute an application to vary the registration.</w:t>
      </w:r>
    </w:p>
    <w:p w14:paraId="65004C80" w14:textId="7D35E8BF" w:rsidR="008557F6" w:rsidRPr="006A37CA" w:rsidRDefault="008557F6" w:rsidP="008557F6">
      <w:pPr>
        <w:pStyle w:val="ListBullet"/>
      </w:pPr>
      <w:r w:rsidRPr="006A37CA">
        <w:lastRenderedPageBreak/>
        <w:t>For all injectable products the Product Information must be included with the product as a package insert.</w:t>
      </w:r>
    </w:p>
    <w:p w14:paraId="451DC3FC" w14:textId="77777777" w:rsidR="00C22214" w:rsidRPr="006A37CA" w:rsidRDefault="00C22214" w:rsidP="00C22214">
      <w:pPr>
        <w:pStyle w:val="Heading2"/>
      </w:pPr>
      <w:bookmarkStart w:id="93" w:name="_Toc103679303"/>
      <w:bookmarkStart w:id="94" w:name="_Toc135124824"/>
      <w:r w:rsidRPr="006A37CA">
        <w:t>Attachment 1. Product Information</w:t>
      </w:r>
      <w:bookmarkEnd w:id="93"/>
      <w:bookmarkEnd w:id="94"/>
    </w:p>
    <w:p w14:paraId="21F47164" w14:textId="02743F3B" w:rsidR="00C22214" w:rsidRPr="006A37CA" w:rsidRDefault="00C22214" w:rsidP="00C22214">
      <w:r w:rsidRPr="006A37CA">
        <w:t xml:space="preserve">The PI for </w:t>
      </w:r>
      <w:r w:rsidR="00EE36B1" w:rsidRPr="006A37CA">
        <w:t xml:space="preserve">Prevenar 20 </w:t>
      </w:r>
      <w:r w:rsidRPr="006A37CA">
        <w:t xml:space="preserve">approved with the submission which is described in this AusPAR is at Attachment 1. For the most recent PI, please refer to the TGA </w:t>
      </w:r>
      <w:hyperlink r:id="rId38" w:history="1">
        <w:r w:rsidRPr="006A37CA">
          <w:rPr>
            <w:rStyle w:val="Hyperlink"/>
          </w:rPr>
          <w:t>PI/CMI search facility.</w:t>
        </w:r>
      </w:hyperlink>
    </w:p>
    <w:p w14:paraId="40740B65" w14:textId="77777777" w:rsidR="00C22214" w:rsidRPr="006A37CA" w:rsidRDefault="00C22214" w:rsidP="00C22214">
      <w:pPr>
        <w:autoSpaceDE w:val="0"/>
        <w:autoSpaceDN w:val="0"/>
        <w:adjustRightInd w:val="0"/>
        <w:spacing w:after="0"/>
      </w:pPr>
      <w:r w:rsidRPr="006A37CA">
        <w:rPr>
          <w:b/>
        </w:rPr>
        <w:br w:type="page"/>
      </w:r>
    </w:p>
    <w:p w14:paraId="53357BF3" w14:textId="276457B5" w:rsidR="00C22214" w:rsidRPr="006A37CA" w:rsidRDefault="00C22214" w:rsidP="00C22214">
      <w:pPr>
        <w:rPr>
          <w:lang w:eastAsia="ja-JP"/>
        </w:rPr>
        <w:sectPr w:rsidR="00C22214" w:rsidRPr="006A37CA" w:rsidSect="007452E8">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6A37CA" w14:paraId="3C0C07BF" w14:textId="77777777" w:rsidTr="007452E8">
        <w:trPr>
          <w:trHeight w:hRule="exact" w:val="565"/>
          <w:jc w:val="center"/>
        </w:trPr>
        <w:tc>
          <w:tcPr>
            <w:tcW w:w="9145" w:type="dxa"/>
          </w:tcPr>
          <w:bookmarkEnd w:id="3"/>
          <w:bookmarkEnd w:id="4"/>
          <w:p w14:paraId="7E090B86" w14:textId="77777777" w:rsidR="00F02AEC" w:rsidRPr="006A37CA" w:rsidRDefault="00F02AEC" w:rsidP="007452E8">
            <w:pPr>
              <w:pStyle w:val="TGASignoff"/>
            </w:pPr>
            <w:r w:rsidRPr="006A37CA">
              <w:lastRenderedPageBreak/>
              <w:t>Therapeutic Goods Administration</w:t>
            </w:r>
          </w:p>
        </w:tc>
      </w:tr>
      <w:tr w:rsidR="00F02AEC" w:rsidRPr="006A37CA" w14:paraId="70F47EA1" w14:textId="77777777" w:rsidTr="007452E8">
        <w:trPr>
          <w:trHeight w:val="963"/>
          <w:jc w:val="center"/>
        </w:trPr>
        <w:tc>
          <w:tcPr>
            <w:tcW w:w="9145" w:type="dxa"/>
            <w:tcMar>
              <w:top w:w="28" w:type="dxa"/>
            </w:tcMar>
          </w:tcPr>
          <w:p w14:paraId="3491EBCD" w14:textId="77777777" w:rsidR="00F02AEC" w:rsidRPr="006A37CA" w:rsidRDefault="00F02AEC" w:rsidP="007452E8">
            <w:pPr>
              <w:pStyle w:val="Address"/>
              <w:jc w:val="center"/>
            </w:pPr>
            <w:r w:rsidRPr="006A37CA">
              <w:t>PO Box 100 Woden ACT 2606 Australia</w:t>
            </w:r>
          </w:p>
          <w:p w14:paraId="5D0FE0E7" w14:textId="11F36F0B" w:rsidR="00F02AEC" w:rsidRPr="006A37CA" w:rsidRDefault="00F02AEC">
            <w:pPr>
              <w:pStyle w:val="Address"/>
              <w:jc w:val="center"/>
              <w:rPr>
                <w:sz w:val="22"/>
                <w:szCs w:val="22"/>
              </w:rPr>
            </w:pPr>
            <w:r w:rsidRPr="006A37CA">
              <w:t xml:space="preserve">Email: </w:t>
            </w:r>
            <w:hyperlink r:id="rId41" w:history="1">
              <w:r w:rsidRPr="006A37CA">
                <w:rPr>
                  <w:rStyle w:val="Hyperlink"/>
                </w:rPr>
                <w:t>info@tga.gov.au</w:t>
              </w:r>
            </w:hyperlink>
            <w:r w:rsidRPr="006A37CA">
              <w:t xml:space="preserve">  Phone: 1800 020 </w:t>
            </w:r>
            <w:proofErr w:type="gramStart"/>
            <w:r w:rsidRPr="006A37CA">
              <w:t>653  Fax</w:t>
            </w:r>
            <w:proofErr w:type="gramEnd"/>
            <w:r w:rsidRPr="006A37CA">
              <w:t>: 02 6203 1605</w:t>
            </w:r>
          </w:p>
          <w:p w14:paraId="4533D80F" w14:textId="42F7AD99" w:rsidR="00F02AEC" w:rsidRPr="006A37CA" w:rsidRDefault="004B2F77">
            <w:pPr>
              <w:pStyle w:val="Address"/>
              <w:jc w:val="center"/>
              <w:rPr>
                <w:rStyle w:val="Hyperlink"/>
                <w:b/>
                <w:color w:val="auto"/>
                <w:sz w:val="22"/>
              </w:rPr>
            </w:pPr>
            <w:hyperlink r:id="rId42" w:history="1">
              <w:r w:rsidR="00F02AEC" w:rsidRPr="006A37C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6A37CA">
              <w:t>Reference/Publication #</w:t>
            </w: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0E82" w14:textId="77777777" w:rsidR="00C1276D" w:rsidRDefault="00C1276D" w:rsidP="00F02AEC">
      <w:pPr>
        <w:spacing w:after="0" w:line="240" w:lineRule="auto"/>
      </w:pPr>
      <w:r>
        <w:separator/>
      </w:r>
    </w:p>
  </w:endnote>
  <w:endnote w:type="continuationSeparator" w:id="0">
    <w:p w14:paraId="1AFA866C" w14:textId="77777777" w:rsidR="00C1276D" w:rsidRDefault="00C1276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941034" w:rsidRPr="00257138" w14:paraId="162D69C2" w14:textId="77777777" w:rsidTr="007452E8">
      <w:trPr>
        <w:trHeight w:val="423"/>
      </w:trPr>
      <w:tc>
        <w:tcPr>
          <w:tcW w:w="4360" w:type="dxa"/>
          <w:tcBorders>
            <w:top w:val="single" w:sz="4" w:space="0" w:color="auto"/>
          </w:tcBorders>
        </w:tcPr>
        <w:p w14:paraId="32E1B782" w14:textId="77777777" w:rsidR="00941034" w:rsidRDefault="00941034" w:rsidP="007452E8">
          <w:pPr>
            <w:pStyle w:val="Footer"/>
          </w:pPr>
        </w:p>
        <w:p w14:paraId="1849C07C" w14:textId="77777777" w:rsidR="00941034" w:rsidRPr="00257138" w:rsidRDefault="00941034"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941034" w:rsidRDefault="00941034" w:rsidP="007452E8">
              <w:pPr>
                <w:pStyle w:val="Footer"/>
                <w:jc w:val="right"/>
              </w:pPr>
            </w:p>
            <w:p w14:paraId="5EDE6DF6" w14:textId="77777777" w:rsidR="00941034" w:rsidRPr="00257138" w:rsidRDefault="00941034"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941034" w:rsidRPr="00257138" w14:paraId="280F09C8" w14:textId="77777777" w:rsidTr="007452E8">
      <w:trPr>
        <w:trHeight w:val="263"/>
      </w:trPr>
      <w:tc>
        <w:tcPr>
          <w:tcW w:w="4360" w:type="dxa"/>
        </w:tcPr>
        <w:p w14:paraId="673F06D3" w14:textId="77777777" w:rsidR="00941034" w:rsidRPr="00257138" w:rsidRDefault="00941034" w:rsidP="007452E8">
          <w:pPr>
            <w:pStyle w:val="Footer"/>
          </w:pPr>
          <w:r w:rsidRPr="00257138">
            <w:t xml:space="preserve">V1.0 </w:t>
          </w:r>
          <w:r>
            <w:t>Month</w:t>
          </w:r>
          <w:r w:rsidRPr="00257138">
            <w:t xml:space="preserve"> 201</w:t>
          </w:r>
          <w:r>
            <w:t>2</w:t>
          </w:r>
        </w:p>
      </w:tc>
      <w:tc>
        <w:tcPr>
          <w:tcW w:w="4360" w:type="dxa"/>
        </w:tcPr>
        <w:p w14:paraId="77F5B433" w14:textId="77777777" w:rsidR="00941034" w:rsidRPr="00257138" w:rsidRDefault="00941034" w:rsidP="007452E8">
          <w:pPr>
            <w:pStyle w:val="Footer"/>
            <w:jc w:val="right"/>
          </w:pPr>
        </w:p>
      </w:tc>
    </w:tr>
  </w:tbl>
  <w:p w14:paraId="63F6FDDE" w14:textId="77777777" w:rsidR="00941034" w:rsidRPr="00826007" w:rsidRDefault="00941034"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941034" w:rsidRDefault="00941034"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941034" w:rsidRPr="004A3084" w14:paraId="6266BC33" w14:textId="77777777" w:rsidTr="007452E8">
      <w:trPr>
        <w:trHeight w:val="423"/>
      </w:trPr>
      <w:tc>
        <w:tcPr>
          <w:tcW w:w="7338" w:type="dxa"/>
          <w:tcBorders>
            <w:top w:val="single" w:sz="4" w:space="0" w:color="auto"/>
          </w:tcBorders>
        </w:tcPr>
        <w:p w14:paraId="3C421323" w14:textId="11F3B30B" w:rsidR="00941034" w:rsidRPr="004A3084" w:rsidRDefault="00941034" w:rsidP="007452E8">
          <w:pPr>
            <w:pStyle w:val="Footer"/>
          </w:pPr>
          <w:r w:rsidRPr="00487162">
            <w:t>AusPA</w:t>
          </w:r>
          <w:r>
            <w:t xml:space="preserve">R - </w:t>
          </w:r>
          <w:r w:rsidRPr="00EE36B1">
            <w:t>Prevenar 20</w:t>
          </w:r>
          <w:r>
            <w:t xml:space="preserve"> -</w:t>
          </w:r>
          <w:r w:rsidRPr="00460036">
            <w:t xml:space="preserve"> </w:t>
          </w:r>
          <w:r w:rsidRPr="00EE36B1">
            <w:t>pneumococcal polysaccharide conjugate vaccine</w:t>
          </w:r>
          <w:r>
            <w:t xml:space="preserve"> - </w:t>
          </w:r>
          <w:r w:rsidRPr="00EE36B1">
            <w:t>Pfizer Australia Pty Ltd</w:t>
          </w:r>
          <w:r>
            <w:t xml:space="preserve"> - </w:t>
          </w:r>
          <w:r w:rsidRPr="008557F6">
            <w:t>PM</w:t>
          </w:r>
          <w:r>
            <w:t>-</w:t>
          </w:r>
          <w:r w:rsidRPr="008557F6">
            <w:t>2021-04721-1-2</w:t>
          </w:r>
          <w:r>
            <w:br/>
          </w:r>
          <w:r w:rsidR="00AC74BD">
            <w:t>Final</w:t>
          </w:r>
          <w:r>
            <w:t xml:space="preserve"> 1</w:t>
          </w:r>
          <w:r w:rsidR="00AC74BD">
            <w:t>6</w:t>
          </w:r>
          <w:r>
            <w:t xml:space="preserve"> </w:t>
          </w:r>
          <w:r w:rsidR="00AC74BD">
            <w:t>May</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0F2CEAA0" w:rsidR="00941034" w:rsidRPr="004A3084" w:rsidRDefault="00941034" w:rsidP="007452E8">
              <w:pPr>
                <w:pStyle w:val="Footer"/>
                <w:jc w:val="right"/>
              </w:pPr>
              <w:r w:rsidRPr="004A3084">
                <w:t xml:space="preserve">Page </w:t>
              </w:r>
              <w:r>
                <w:fldChar w:fldCharType="begin"/>
              </w:r>
              <w:r>
                <w:instrText xml:space="preserve"> PAGE </w:instrText>
              </w:r>
              <w:r>
                <w:fldChar w:fldCharType="separate"/>
              </w:r>
              <w:r w:rsidR="002A3AA3">
                <w:rPr>
                  <w:noProof/>
                </w:rPr>
                <w:t>10</w:t>
              </w:r>
              <w:r>
                <w:rPr>
                  <w:noProof/>
                </w:rPr>
                <w:fldChar w:fldCharType="end"/>
              </w:r>
              <w:r w:rsidRPr="004A3084">
                <w:t xml:space="preserve"> of </w:t>
              </w:r>
              <w:fldSimple w:instr=" NUMPAGES  ">
                <w:r w:rsidR="002A3AA3">
                  <w:rPr>
                    <w:noProof/>
                  </w:rPr>
                  <w:t>39</w:t>
                </w:r>
              </w:fldSimple>
            </w:p>
          </w:sdtContent>
        </w:sdt>
      </w:tc>
    </w:tr>
  </w:tbl>
  <w:p w14:paraId="1A4EDE60" w14:textId="77777777" w:rsidR="00941034" w:rsidRPr="00826007" w:rsidRDefault="00941034"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941034" w:rsidRPr="008E3C43" w:rsidRDefault="00941034"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6DB9" w14:textId="77777777" w:rsidR="00C1276D" w:rsidRDefault="00C1276D" w:rsidP="00F02AEC">
      <w:pPr>
        <w:spacing w:after="0" w:line="240" w:lineRule="auto"/>
      </w:pPr>
      <w:r>
        <w:separator/>
      </w:r>
    </w:p>
  </w:footnote>
  <w:footnote w:type="continuationSeparator" w:id="0">
    <w:p w14:paraId="49675FFB" w14:textId="77777777" w:rsidR="00C1276D" w:rsidRDefault="00C1276D" w:rsidP="00F02AEC">
      <w:pPr>
        <w:spacing w:after="0" w:line="240" w:lineRule="auto"/>
      </w:pPr>
      <w:r>
        <w:continuationSeparator/>
      </w:r>
    </w:p>
  </w:footnote>
  <w:footnote w:id="1">
    <w:p w14:paraId="68402A9B" w14:textId="60286C39" w:rsidR="00941034" w:rsidRPr="00A93DC6" w:rsidRDefault="00941034">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34D3334D" w14:textId="58B92395" w:rsidR="00F414EF" w:rsidRPr="00F414EF" w:rsidRDefault="00F414EF" w:rsidP="00F414EF">
      <w:pPr>
        <w:pStyle w:val="FootnoteText"/>
      </w:pPr>
      <w:r>
        <w:rPr>
          <w:rStyle w:val="FootnoteReference"/>
        </w:rPr>
        <w:footnoteRef/>
      </w:r>
      <w:r>
        <w:t xml:space="preserve"> </w:t>
      </w:r>
      <w:proofErr w:type="spellStart"/>
      <w:r>
        <w:t>Janoff</w:t>
      </w:r>
      <w:proofErr w:type="spellEnd"/>
      <w:r w:rsidR="00F138E5">
        <w:t>,</w:t>
      </w:r>
      <w:r>
        <w:t xml:space="preserve"> E</w:t>
      </w:r>
      <w:r w:rsidR="00F138E5">
        <w:t>.</w:t>
      </w:r>
      <w:r>
        <w:t>N</w:t>
      </w:r>
      <w:r w:rsidR="00F138E5">
        <w:t>. and</w:t>
      </w:r>
      <w:r>
        <w:t xml:space="preserve"> Musher</w:t>
      </w:r>
      <w:r w:rsidR="00F138E5">
        <w:t>,</w:t>
      </w:r>
      <w:r>
        <w:t xml:space="preserve"> D</w:t>
      </w:r>
      <w:r w:rsidR="00F138E5">
        <w:t>.</w:t>
      </w:r>
      <w:r>
        <w:t>M</w:t>
      </w:r>
      <w:r w:rsidR="00F138E5">
        <w:t>.</w:t>
      </w:r>
      <w:r>
        <w:t xml:space="preserve"> Streptococcus </w:t>
      </w:r>
      <w:r w:rsidR="00F138E5">
        <w:t>Pneumoniae</w:t>
      </w:r>
      <w:r>
        <w:t xml:space="preserve"> </w:t>
      </w:r>
      <w:r w:rsidR="00F138E5">
        <w:t>i</w:t>
      </w:r>
      <w:r>
        <w:t>n: Bennett</w:t>
      </w:r>
      <w:r w:rsidR="00F138E5">
        <w:t>,</w:t>
      </w:r>
      <w:r>
        <w:t xml:space="preserve"> J</w:t>
      </w:r>
      <w:r w:rsidR="00F138E5">
        <w:t>.</w:t>
      </w:r>
      <w:r>
        <w:t>E</w:t>
      </w:r>
      <w:r w:rsidR="00F138E5">
        <w:t>. et al.</w:t>
      </w:r>
      <w:r>
        <w:t xml:space="preserve"> editors. Mandell, Douglas, and Bennett's </w:t>
      </w:r>
      <w:r w:rsidR="00F138E5">
        <w:t xml:space="preserve">Principles and Practice of Infectious Diseases </w:t>
      </w:r>
      <w:r>
        <w:t>(8th edition)</w:t>
      </w:r>
      <w:r w:rsidR="00F138E5">
        <w:t>,</w:t>
      </w:r>
      <w:r>
        <w:t xml:space="preserve"> Philadelphia</w:t>
      </w:r>
      <w:r w:rsidR="00F138E5">
        <w:t>,</w:t>
      </w:r>
      <w:r>
        <w:t xml:space="preserve"> </w:t>
      </w:r>
      <w:r w:rsidRPr="00F138E5">
        <w:rPr>
          <w:i/>
        </w:rPr>
        <w:t>Elsevier</w:t>
      </w:r>
      <w:r>
        <w:t>; 2015; 2310</w:t>
      </w:r>
      <w:r w:rsidR="00C11CB4">
        <w:t>-</w:t>
      </w:r>
      <w:r w:rsidR="00F138E5">
        <w:t>23</w:t>
      </w:r>
      <w:r>
        <w:t>27.</w:t>
      </w:r>
    </w:p>
  </w:footnote>
  <w:footnote w:id="3">
    <w:p w14:paraId="118CADC9" w14:textId="419A81B9" w:rsidR="00A76417" w:rsidRPr="00A76417" w:rsidRDefault="00A76417" w:rsidP="00A76417">
      <w:pPr>
        <w:pStyle w:val="FootnoteText"/>
      </w:pPr>
      <w:r>
        <w:rPr>
          <w:rStyle w:val="FootnoteReference"/>
        </w:rPr>
        <w:footnoteRef/>
      </w:r>
      <w:r>
        <w:t xml:space="preserve"> Henriques-</w:t>
      </w:r>
      <w:proofErr w:type="spellStart"/>
      <w:r>
        <w:t>Normark</w:t>
      </w:r>
      <w:proofErr w:type="spellEnd"/>
      <w:r w:rsidR="00C11CB4">
        <w:t>,</w:t>
      </w:r>
      <w:r>
        <w:t xml:space="preserve"> B</w:t>
      </w:r>
      <w:r w:rsidR="00C11CB4">
        <w:t>. and</w:t>
      </w:r>
      <w:r>
        <w:t xml:space="preserve"> </w:t>
      </w:r>
      <w:proofErr w:type="spellStart"/>
      <w:r>
        <w:t>Tuomanen</w:t>
      </w:r>
      <w:proofErr w:type="spellEnd"/>
      <w:r w:rsidR="00C11CB4">
        <w:t>,</w:t>
      </w:r>
      <w:r>
        <w:t xml:space="preserve"> E</w:t>
      </w:r>
      <w:r w:rsidR="00C11CB4">
        <w:t>.</w:t>
      </w:r>
      <w:r>
        <w:t xml:space="preserve">I. The </w:t>
      </w:r>
      <w:r w:rsidR="00C11CB4">
        <w:t>Pneumococcus: Epidemiology, Microbiology</w:t>
      </w:r>
      <w:r>
        <w:t xml:space="preserve">, and </w:t>
      </w:r>
      <w:r w:rsidR="00C11CB4">
        <w:t>Pathogenesis,</w:t>
      </w:r>
      <w:r>
        <w:t xml:space="preserve"> </w:t>
      </w:r>
      <w:r w:rsidRPr="00C11CB4">
        <w:rPr>
          <w:i/>
        </w:rPr>
        <w:t xml:space="preserve">Cold Spring </w:t>
      </w:r>
      <w:proofErr w:type="spellStart"/>
      <w:r w:rsidRPr="00C11CB4">
        <w:rPr>
          <w:i/>
        </w:rPr>
        <w:t>Harb</w:t>
      </w:r>
      <w:proofErr w:type="spellEnd"/>
      <w:r w:rsidRPr="00C11CB4">
        <w:rPr>
          <w:i/>
        </w:rPr>
        <w:t xml:space="preserve"> </w:t>
      </w:r>
      <w:proofErr w:type="spellStart"/>
      <w:r w:rsidRPr="00C11CB4">
        <w:rPr>
          <w:i/>
        </w:rPr>
        <w:t>Perspect</w:t>
      </w:r>
      <w:proofErr w:type="spellEnd"/>
      <w:r w:rsidRPr="00C11CB4">
        <w:rPr>
          <w:i/>
        </w:rPr>
        <w:t xml:space="preserve"> Med</w:t>
      </w:r>
      <w:r w:rsidR="00C11CB4">
        <w:rPr>
          <w:i/>
        </w:rPr>
        <w:t>,</w:t>
      </w:r>
      <w:r>
        <w:t xml:space="preserve"> 2013;</w:t>
      </w:r>
      <w:r w:rsidR="00C11CB4">
        <w:t xml:space="preserve"> </w:t>
      </w:r>
      <w:r>
        <w:t>3(7):</w:t>
      </w:r>
      <w:r w:rsidR="00C11CB4">
        <w:t xml:space="preserve"> </w:t>
      </w:r>
      <w:r>
        <w:t>a010215.</w:t>
      </w:r>
    </w:p>
  </w:footnote>
  <w:footnote w:id="4">
    <w:p w14:paraId="5033C549" w14:textId="0E867F14" w:rsidR="00A76417" w:rsidRPr="00A76417" w:rsidRDefault="00A76417" w:rsidP="00A76417">
      <w:pPr>
        <w:pStyle w:val="FootnoteText"/>
      </w:pPr>
      <w:r>
        <w:rPr>
          <w:rStyle w:val="FootnoteReference"/>
        </w:rPr>
        <w:footnoteRef/>
      </w:r>
      <w:r>
        <w:t xml:space="preserve"> World Health Organization: 23-</w:t>
      </w:r>
      <w:r w:rsidR="00C11CB4">
        <w:t>Valent Pneumococcal Polysaccharide Vaccine,</w:t>
      </w:r>
      <w:r>
        <w:t xml:space="preserve"> WHO position paper</w:t>
      </w:r>
      <w:r w:rsidR="00C11CB4">
        <w:t>,</w:t>
      </w:r>
      <w:r>
        <w:t xml:space="preserve"> </w:t>
      </w:r>
      <w:proofErr w:type="spellStart"/>
      <w:r w:rsidRPr="00C11CB4">
        <w:rPr>
          <w:i/>
        </w:rPr>
        <w:t>Wkly</w:t>
      </w:r>
      <w:proofErr w:type="spellEnd"/>
      <w:r w:rsidRPr="00C11CB4">
        <w:rPr>
          <w:i/>
        </w:rPr>
        <w:t xml:space="preserve"> Epidemiol Rec</w:t>
      </w:r>
      <w:r w:rsidR="00C11CB4">
        <w:rPr>
          <w:i/>
        </w:rPr>
        <w:t>,</w:t>
      </w:r>
      <w:r>
        <w:t xml:space="preserve"> 2008;</w:t>
      </w:r>
      <w:r w:rsidR="00C11CB4">
        <w:t xml:space="preserve"> </w:t>
      </w:r>
      <w:r>
        <w:t>83(42):</w:t>
      </w:r>
      <w:r w:rsidR="00C11CB4">
        <w:t xml:space="preserve"> </w:t>
      </w:r>
      <w:r>
        <w:t>373</w:t>
      </w:r>
      <w:r w:rsidR="00C11CB4">
        <w:t>-3</w:t>
      </w:r>
      <w:r>
        <w:t>84.</w:t>
      </w:r>
    </w:p>
  </w:footnote>
  <w:footnote w:id="5">
    <w:p w14:paraId="45CCDC29" w14:textId="4F530A68" w:rsidR="00941034" w:rsidRDefault="00941034" w:rsidP="008557F6">
      <w:pPr>
        <w:pStyle w:val="FootnoteText"/>
      </w:pPr>
      <w:r>
        <w:rPr>
          <w:rStyle w:val="FootnoteReference"/>
        </w:rPr>
        <w:footnoteRef/>
      </w:r>
      <w:r>
        <w:t xml:space="preserve"> </w:t>
      </w:r>
      <w:bookmarkStart w:id="20" w:name="_Hlk113034730"/>
      <w:r w:rsidRPr="00F36CB8">
        <w:t>National Centre for Immunisation Research and Surveillance (NCIRS)</w:t>
      </w:r>
      <w:r>
        <w:t xml:space="preserve"> (2020) </w:t>
      </w:r>
      <w:r w:rsidRPr="00F36CB8">
        <w:t>Pneumococcal vaccines for Australians</w:t>
      </w:r>
      <w:r>
        <w:t xml:space="preserve">, </w:t>
      </w:r>
      <w:r w:rsidRPr="00F36CB8">
        <w:t>Last updated July 2020</w:t>
      </w:r>
      <w:r>
        <w:t xml:space="preserve">. Available at: </w:t>
      </w:r>
      <w:hyperlink r:id="rId1" w:history="1">
        <w:r w:rsidRPr="000535B1">
          <w:rPr>
            <w:rStyle w:val="Hyperlink"/>
          </w:rPr>
          <w:t>https://www.ncirs.org.au/ncirs-fact-sheets-faqs/pneumococcal-vaccines-australians</w:t>
        </w:r>
      </w:hyperlink>
      <w:bookmarkEnd w:id="20"/>
    </w:p>
  </w:footnote>
  <w:footnote w:id="6">
    <w:p w14:paraId="48309942" w14:textId="5476666E" w:rsidR="00941034" w:rsidRDefault="00941034" w:rsidP="008557F6">
      <w:pPr>
        <w:pStyle w:val="FootnoteText"/>
      </w:pPr>
      <w:r>
        <w:rPr>
          <w:rStyle w:val="FootnoteReference"/>
        </w:rPr>
        <w:footnoteRef/>
      </w:r>
      <w:r>
        <w:t xml:space="preserve"> </w:t>
      </w:r>
      <w:r w:rsidRPr="003B29C2">
        <w:t>Klugman</w:t>
      </w:r>
      <w:r>
        <w:t>,</w:t>
      </w:r>
      <w:r w:rsidRPr="003B29C2">
        <w:t xml:space="preserve"> K</w:t>
      </w:r>
      <w:r>
        <w:t>.</w:t>
      </w:r>
      <w:r w:rsidRPr="003B29C2">
        <w:t>P</w:t>
      </w:r>
      <w:r>
        <w:t xml:space="preserve">. et al. </w:t>
      </w:r>
      <w:r w:rsidRPr="003B29C2">
        <w:t>Pneumococcal conjugate vaccine and pneumococcal common protein vaccines. In: Plotkin</w:t>
      </w:r>
      <w:r>
        <w:t>,</w:t>
      </w:r>
      <w:r w:rsidRPr="003B29C2">
        <w:t xml:space="preserve"> S</w:t>
      </w:r>
      <w:r>
        <w:t>.</w:t>
      </w:r>
      <w:r w:rsidRPr="003B29C2">
        <w:t>A</w:t>
      </w:r>
      <w:r>
        <w:t xml:space="preserve">. et al. </w:t>
      </w:r>
      <w:r w:rsidRPr="003B29C2">
        <w:t>eds. Plotkin's vaccines. 7th ed. Philadelphia, PA: Elsevier; 2018.</w:t>
      </w:r>
    </w:p>
  </w:footnote>
  <w:footnote w:id="7">
    <w:p w14:paraId="7678D9D4" w14:textId="30A205A7" w:rsidR="00941034" w:rsidRDefault="00941034" w:rsidP="003B29C2">
      <w:pPr>
        <w:pStyle w:val="FootnoteText"/>
      </w:pPr>
      <w:r>
        <w:rPr>
          <w:rStyle w:val="FootnoteReference"/>
        </w:rPr>
        <w:footnoteRef/>
      </w:r>
      <w:r>
        <w:t xml:space="preserve"> Yin, J.K. et al. Determining the contribution of Streptococcus pneumoniae to community-acquired pneumonia in Australia, </w:t>
      </w:r>
      <w:r w:rsidRPr="002A66E0">
        <w:rPr>
          <w:i/>
          <w:iCs/>
        </w:rPr>
        <w:t>MJA</w:t>
      </w:r>
      <w:r>
        <w:t>, 2017; 207:396-400.</w:t>
      </w:r>
    </w:p>
  </w:footnote>
  <w:footnote w:id="8">
    <w:p w14:paraId="69550122" w14:textId="24DF2D4E" w:rsidR="00941034" w:rsidRDefault="00941034" w:rsidP="008557F6">
      <w:pPr>
        <w:pStyle w:val="FootnoteText"/>
      </w:pPr>
      <w:r>
        <w:rPr>
          <w:rStyle w:val="FootnoteReference"/>
        </w:rPr>
        <w:footnoteRef/>
      </w:r>
      <w:r>
        <w:t xml:space="preserve"> Department of Health and Aged Care (2020) Australian Immunisation Handbook, </w:t>
      </w:r>
      <w:r w:rsidRPr="002A66E0">
        <w:t>Pneumococcal vaccination for all Australians</w:t>
      </w:r>
      <w:r>
        <w:t xml:space="preserve">, last updated </w:t>
      </w:r>
      <w:r w:rsidRPr="002A66E0">
        <w:t>5 June 2020</w:t>
      </w:r>
      <w:r>
        <w:t xml:space="preserve">. Available at: </w:t>
      </w:r>
      <w:hyperlink r:id="rId2" w:history="1">
        <w:r w:rsidRPr="009C7126">
          <w:rPr>
            <w:rStyle w:val="Hyperlink"/>
          </w:rPr>
          <w:t>https://immunisationhandbook.health.gov.au/resources/publications/pneumococcal-vaccination-for-all-australians</w:t>
        </w:r>
      </w:hyperlink>
      <w:r>
        <w:rPr>
          <w:rStyle w:val="Hyperlink"/>
        </w:rPr>
        <w:t>.</w:t>
      </w:r>
    </w:p>
  </w:footnote>
  <w:footnote w:id="9">
    <w:p w14:paraId="1213B3FF" w14:textId="43249EA9" w:rsidR="00941034" w:rsidRDefault="00941034" w:rsidP="009253BF">
      <w:pPr>
        <w:pStyle w:val="FootnoteText"/>
      </w:pPr>
      <w:r>
        <w:rPr>
          <w:rStyle w:val="FootnoteReference"/>
        </w:rPr>
        <w:footnoteRef/>
      </w:r>
      <w:r>
        <w:t xml:space="preserve"> </w:t>
      </w:r>
      <w:r w:rsidRPr="009253BF">
        <w:t>Prevenar 13 (</w:t>
      </w:r>
      <w:r>
        <w:t>pneumococcal polysaccharide conjugate vaccine, 13-valent adsorbed</w:t>
      </w:r>
      <w:r w:rsidRPr="009253BF">
        <w:t>) was first registered on the ARTG on 29 March 2010</w:t>
      </w:r>
      <w:r>
        <w:t xml:space="preserve"> </w:t>
      </w:r>
      <w:r w:rsidRPr="009253BF">
        <w:t>(ARTG number: 158450).</w:t>
      </w:r>
    </w:p>
  </w:footnote>
  <w:footnote w:id="10">
    <w:p w14:paraId="0A2EE53B" w14:textId="7B51D194" w:rsidR="00941034" w:rsidRDefault="00941034">
      <w:pPr>
        <w:pStyle w:val="FootnoteText"/>
      </w:pPr>
      <w:r>
        <w:rPr>
          <w:rStyle w:val="FootnoteReference"/>
        </w:rPr>
        <w:footnoteRef/>
      </w:r>
      <w:r>
        <w:t xml:space="preserve"> </w:t>
      </w:r>
      <w:r w:rsidRPr="009253BF">
        <w:t>Pneumovax 23</w:t>
      </w:r>
      <w:r>
        <w:t xml:space="preserve"> (</w:t>
      </w:r>
      <w:r w:rsidRPr="009253BF">
        <w:t>pneumococcal purified capsular polysaccharides</w:t>
      </w:r>
      <w:r>
        <w:t xml:space="preserve">) </w:t>
      </w:r>
      <w:r w:rsidRPr="009253BF">
        <w:t>was first registered on the ARTG on</w:t>
      </w:r>
      <w:r>
        <w:t xml:space="preserve"> </w:t>
      </w:r>
      <w:r w:rsidRPr="009253BF">
        <w:t>22</w:t>
      </w:r>
      <w:r>
        <w:t> </w:t>
      </w:r>
      <w:r w:rsidRPr="009253BF">
        <w:t>July 1991</w:t>
      </w:r>
      <w:r>
        <w:t xml:space="preserve"> (</w:t>
      </w:r>
      <w:r w:rsidRPr="009253BF">
        <w:t>ARTG number: 10507</w:t>
      </w:r>
      <w:r>
        <w:t>).</w:t>
      </w:r>
    </w:p>
  </w:footnote>
  <w:footnote w:id="11">
    <w:p w14:paraId="65FF9771" w14:textId="0F1387EA" w:rsidR="00941034" w:rsidRDefault="00941034">
      <w:pPr>
        <w:pStyle w:val="FootnoteText"/>
      </w:pPr>
      <w:r>
        <w:rPr>
          <w:rStyle w:val="FootnoteReference"/>
        </w:rPr>
        <w:footnoteRef/>
      </w:r>
      <w:r>
        <w:t xml:space="preserve"> </w:t>
      </w:r>
      <w:r w:rsidRPr="009253BF">
        <w:t xml:space="preserve">Vaxneuvance </w:t>
      </w:r>
      <w:r>
        <w:t>(p</w:t>
      </w:r>
      <w:r w:rsidRPr="009253BF">
        <w:t xml:space="preserve">neumococcal 15-valent Conjugate Vaccine </w:t>
      </w:r>
      <w:r>
        <w:t>(</w:t>
      </w:r>
      <w:r w:rsidRPr="009253BF">
        <w:t>CRM197 Protein</w:t>
      </w:r>
      <w:r>
        <w:t>)</w:t>
      </w:r>
      <w:r w:rsidRPr="009253BF">
        <w:t>, adsorbed</w:t>
      </w:r>
      <w:r>
        <w:t xml:space="preserve">) </w:t>
      </w:r>
      <w:r w:rsidRPr="009253BF">
        <w:t>was first registered on the ARTG on</w:t>
      </w:r>
      <w:r>
        <w:t xml:space="preserve"> </w:t>
      </w:r>
      <w:r w:rsidRPr="009253BF">
        <w:t>17 January 2022</w:t>
      </w:r>
      <w:r>
        <w:t xml:space="preserve"> (ARTG number: </w:t>
      </w:r>
      <w:r w:rsidRPr="009253BF">
        <w:t>350791</w:t>
      </w:r>
      <w:r>
        <w:t>).</w:t>
      </w:r>
    </w:p>
  </w:footnote>
  <w:footnote w:id="12">
    <w:p w14:paraId="58FCDFF2" w14:textId="44C221D4" w:rsidR="00A76417" w:rsidRPr="00A76417" w:rsidRDefault="00A76417" w:rsidP="00A76417">
      <w:pPr>
        <w:pStyle w:val="FootnoteText"/>
      </w:pPr>
      <w:r>
        <w:rPr>
          <w:rStyle w:val="FootnoteReference"/>
        </w:rPr>
        <w:footnoteRef/>
      </w:r>
      <w:r>
        <w:t xml:space="preserve"> </w:t>
      </w:r>
      <w:proofErr w:type="spellStart"/>
      <w:r>
        <w:t>Ganaie</w:t>
      </w:r>
      <w:proofErr w:type="spellEnd"/>
      <w:r w:rsidR="00C11CB4">
        <w:t>,</w:t>
      </w:r>
      <w:r>
        <w:t xml:space="preserve"> F</w:t>
      </w:r>
      <w:r w:rsidR="00C11CB4">
        <w:t xml:space="preserve">. </w:t>
      </w:r>
      <w:r>
        <w:t xml:space="preserve">et al. A </w:t>
      </w:r>
      <w:r w:rsidR="00C11CB4">
        <w:t>New Pneumococcal Capsule Type</w:t>
      </w:r>
      <w:r>
        <w:t>, 10D, is the 100</w:t>
      </w:r>
      <w:r w:rsidRPr="00C11CB4">
        <w:rPr>
          <w:vertAlign w:val="superscript"/>
        </w:rPr>
        <w:t>th</w:t>
      </w:r>
      <w:r>
        <w:t xml:space="preserve"> </w:t>
      </w:r>
      <w:r w:rsidR="00C11CB4">
        <w:t>Serotype</w:t>
      </w:r>
      <w:r>
        <w:t xml:space="preserve"> and </w:t>
      </w:r>
      <w:r w:rsidR="00C11CB4">
        <w:t xml:space="preserve">Has </w:t>
      </w:r>
      <w:r>
        <w:t xml:space="preserve">a </w:t>
      </w:r>
      <w:r w:rsidR="00C11CB4">
        <w:t xml:space="preserve">Large Cps Fragment </w:t>
      </w:r>
      <w:r>
        <w:t xml:space="preserve">from an </w:t>
      </w:r>
      <w:r w:rsidR="00C11CB4">
        <w:t>Oral Streptococcus,</w:t>
      </w:r>
      <w:r>
        <w:t xml:space="preserve"> </w:t>
      </w:r>
      <w:r w:rsidRPr="00C11CB4">
        <w:rPr>
          <w:i/>
        </w:rPr>
        <w:t>mBio</w:t>
      </w:r>
      <w:r w:rsidR="00C11CB4">
        <w:rPr>
          <w:i/>
        </w:rPr>
        <w:t>,</w:t>
      </w:r>
      <w:r>
        <w:t xml:space="preserve"> 2020</w:t>
      </w:r>
      <w:r w:rsidR="00C11CB4">
        <w:t>;</w:t>
      </w:r>
      <w:r>
        <w:t xml:space="preserve"> 11(3</w:t>
      </w:r>
      <w:proofErr w:type="gramStart"/>
      <w:r>
        <w:t>):e</w:t>
      </w:r>
      <w:proofErr w:type="gramEnd"/>
      <w:r>
        <w:t>00937</w:t>
      </w:r>
      <w:r w:rsidR="00C11CB4">
        <w:t>-</w:t>
      </w:r>
      <w:r>
        <w:t>20.</w:t>
      </w:r>
    </w:p>
  </w:footnote>
  <w:footnote w:id="13">
    <w:p w14:paraId="3A61E1BB" w14:textId="54CCFC27" w:rsidR="00A76417" w:rsidRPr="00A76417" w:rsidRDefault="00A76417" w:rsidP="00A76417">
      <w:pPr>
        <w:pStyle w:val="FootnoteText"/>
      </w:pPr>
      <w:r>
        <w:rPr>
          <w:rStyle w:val="FootnoteReference"/>
        </w:rPr>
        <w:footnoteRef/>
      </w:r>
      <w:r>
        <w:t xml:space="preserve"> Geno</w:t>
      </w:r>
      <w:r w:rsidR="00C11CB4">
        <w:t>,</w:t>
      </w:r>
      <w:r>
        <w:t xml:space="preserve"> K</w:t>
      </w:r>
      <w:r w:rsidR="00C11CB4">
        <w:t>.</w:t>
      </w:r>
      <w:r>
        <w:t>A</w:t>
      </w:r>
      <w:r w:rsidR="00C11CB4">
        <w:t xml:space="preserve">. et al. </w:t>
      </w:r>
      <w:r>
        <w:t xml:space="preserve">Pneumococcal </w:t>
      </w:r>
      <w:r w:rsidR="00C11CB4">
        <w:t xml:space="preserve">Capsules </w:t>
      </w:r>
      <w:r>
        <w:t xml:space="preserve">and </w:t>
      </w:r>
      <w:r w:rsidR="00C11CB4">
        <w:t>Their Types: Past, Present</w:t>
      </w:r>
      <w:r>
        <w:t xml:space="preserve">, and </w:t>
      </w:r>
      <w:r w:rsidR="00C11CB4">
        <w:t>Future,</w:t>
      </w:r>
      <w:r>
        <w:t xml:space="preserve"> </w:t>
      </w:r>
      <w:r w:rsidRPr="00C11CB4">
        <w:rPr>
          <w:i/>
        </w:rPr>
        <w:t xml:space="preserve">Clin </w:t>
      </w:r>
      <w:proofErr w:type="spellStart"/>
      <w:r w:rsidRPr="00C11CB4">
        <w:rPr>
          <w:i/>
        </w:rPr>
        <w:t>Microbiol</w:t>
      </w:r>
      <w:proofErr w:type="spellEnd"/>
      <w:r w:rsidRPr="00C11CB4">
        <w:rPr>
          <w:i/>
        </w:rPr>
        <w:t xml:space="preserve"> Rev</w:t>
      </w:r>
      <w:r w:rsidR="00C11CB4">
        <w:rPr>
          <w:i/>
        </w:rPr>
        <w:t>,</w:t>
      </w:r>
      <w:r>
        <w:t xml:space="preserve"> 2015;</w:t>
      </w:r>
      <w:r w:rsidR="00C11CB4">
        <w:t xml:space="preserve"> </w:t>
      </w:r>
      <w:r>
        <w:t>28(3):</w:t>
      </w:r>
      <w:r w:rsidR="00C11CB4">
        <w:t xml:space="preserve"> </w:t>
      </w:r>
      <w:r>
        <w:t>871</w:t>
      </w:r>
      <w:r w:rsidR="00C11CB4">
        <w:t>-8</w:t>
      </w:r>
      <w:r>
        <w:t>99.</w:t>
      </w:r>
    </w:p>
  </w:footnote>
  <w:footnote w:id="14">
    <w:p w14:paraId="7315B3C0" w14:textId="47B96B20" w:rsidR="00A76417" w:rsidRPr="00A76417" w:rsidRDefault="00A76417" w:rsidP="00A76417">
      <w:pPr>
        <w:pStyle w:val="FootnoteText"/>
      </w:pPr>
      <w:r>
        <w:rPr>
          <w:rStyle w:val="FootnoteReference"/>
        </w:rPr>
        <w:footnoteRef/>
      </w:r>
      <w:r>
        <w:t xml:space="preserve"> Stein</w:t>
      </w:r>
      <w:r w:rsidR="00C11CB4">
        <w:t>,</w:t>
      </w:r>
      <w:r>
        <w:t xml:space="preserve"> K</w:t>
      </w:r>
      <w:r w:rsidR="00C11CB4">
        <w:t>.</w:t>
      </w:r>
      <w:r>
        <w:t>E. Thymus-</w:t>
      </w:r>
      <w:r w:rsidR="00C11CB4">
        <w:t>Independent and Thymus-Dependent Responses to Polysaccharide Antigens</w:t>
      </w:r>
      <w:r w:rsidR="00C11CB4" w:rsidRPr="00C11CB4">
        <w:rPr>
          <w:i/>
          <w:iCs/>
        </w:rPr>
        <w:t>,</w:t>
      </w:r>
      <w:r w:rsidRPr="00C11CB4">
        <w:rPr>
          <w:i/>
          <w:iCs/>
        </w:rPr>
        <w:t xml:space="preserve"> J Infect Dis</w:t>
      </w:r>
      <w:r w:rsidR="00C11CB4">
        <w:t>,</w:t>
      </w:r>
      <w:r>
        <w:t xml:space="preserve"> 1992;</w:t>
      </w:r>
      <w:r w:rsidR="00C11CB4">
        <w:t xml:space="preserve"> </w:t>
      </w:r>
      <w:r>
        <w:t>165 Suppl 1:</w:t>
      </w:r>
      <w:r w:rsidR="00C11CB4">
        <w:t xml:space="preserve"> </w:t>
      </w:r>
      <w:r>
        <w:t>S49</w:t>
      </w:r>
      <w:r w:rsidR="00C11CB4">
        <w:t>-</w:t>
      </w:r>
      <w:r>
        <w:t>52.</w:t>
      </w:r>
    </w:p>
  </w:footnote>
  <w:footnote w:id="15">
    <w:p w14:paraId="025F0EFB" w14:textId="2602673F" w:rsidR="004A79D5" w:rsidRPr="004A79D5" w:rsidRDefault="00A76417" w:rsidP="004A79D5">
      <w:pPr>
        <w:pStyle w:val="FootnoteText"/>
      </w:pPr>
      <w:r>
        <w:rPr>
          <w:rStyle w:val="FootnoteReference"/>
        </w:rPr>
        <w:footnoteRef/>
      </w:r>
      <w:r>
        <w:t xml:space="preserve"> </w:t>
      </w:r>
      <w:proofErr w:type="spellStart"/>
      <w:r w:rsidR="004A79D5">
        <w:t>Pilishvili</w:t>
      </w:r>
      <w:proofErr w:type="spellEnd"/>
      <w:r w:rsidR="00C11CB4">
        <w:t>,</w:t>
      </w:r>
      <w:r w:rsidR="004A79D5">
        <w:t xml:space="preserve"> T</w:t>
      </w:r>
      <w:r w:rsidR="00C11CB4">
        <w:t>. and</w:t>
      </w:r>
      <w:r w:rsidR="004A79D5">
        <w:t xml:space="preserve"> Bennett NM. Pneumococcal </w:t>
      </w:r>
      <w:r w:rsidR="00C11CB4">
        <w:t xml:space="preserve">Disease Prevention </w:t>
      </w:r>
      <w:r w:rsidR="004A79D5">
        <w:t xml:space="preserve">among </w:t>
      </w:r>
      <w:r w:rsidR="00C11CB4">
        <w:t xml:space="preserve">Adults: Strategies </w:t>
      </w:r>
      <w:r w:rsidR="004A79D5">
        <w:t xml:space="preserve">for the </w:t>
      </w:r>
      <w:r w:rsidR="00C11CB4">
        <w:t xml:space="preserve">Use </w:t>
      </w:r>
      <w:r w:rsidR="004A79D5">
        <w:t xml:space="preserve">of </w:t>
      </w:r>
      <w:r w:rsidR="00C11CB4">
        <w:t>Pneumococcal Vaccines,</w:t>
      </w:r>
      <w:r w:rsidR="004A79D5">
        <w:t xml:space="preserve"> </w:t>
      </w:r>
      <w:r w:rsidR="004A79D5" w:rsidRPr="00C11CB4">
        <w:rPr>
          <w:i/>
        </w:rPr>
        <w:t>Vaccine</w:t>
      </w:r>
      <w:r w:rsidR="00C11CB4">
        <w:rPr>
          <w:i/>
        </w:rPr>
        <w:t>,</w:t>
      </w:r>
      <w:r w:rsidR="004A79D5">
        <w:t xml:space="preserve"> 2015;</w:t>
      </w:r>
      <w:r w:rsidR="00C11CB4">
        <w:t xml:space="preserve"> </w:t>
      </w:r>
      <w:r w:rsidR="004A79D5">
        <w:t>33(Suppl 4):</w:t>
      </w:r>
      <w:r w:rsidR="00C11CB4">
        <w:t xml:space="preserve"> </w:t>
      </w:r>
      <w:r w:rsidR="004A79D5">
        <w:t>D60</w:t>
      </w:r>
      <w:r w:rsidR="00C11CB4">
        <w:t>-</w:t>
      </w:r>
      <w:r w:rsidR="004A79D5">
        <w:t>65.</w:t>
      </w:r>
    </w:p>
  </w:footnote>
  <w:footnote w:id="16">
    <w:p w14:paraId="0763BD78" w14:textId="17D0A3F0" w:rsidR="004A79D5" w:rsidRPr="004A79D5" w:rsidRDefault="004A79D5">
      <w:pPr>
        <w:pStyle w:val="FootnoteText"/>
      </w:pPr>
      <w:r>
        <w:rPr>
          <w:rStyle w:val="FootnoteReference"/>
        </w:rPr>
        <w:footnoteRef/>
      </w:r>
      <w:r>
        <w:t xml:space="preserve"> Clutterbuck</w:t>
      </w:r>
      <w:r w:rsidR="00D33247">
        <w:t>,</w:t>
      </w:r>
      <w:r>
        <w:t xml:space="preserve"> E</w:t>
      </w:r>
      <w:r w:rsidR="00D33247">
        <w:t>.</w:t>
      </w:r>
      <w:r>
        <w:t>A</w:t>
      </w:r>
      <w:r w:rsidR="00D33247">
        <w:t>.</w:t>
      </w:r>
      <w:r>
        <w:t xml:space="preserve"> et al. Pneumococcal </w:t>
      </w:r>
      <w:r w:rsidR="00D33247">
        <w:t xml:space="preserve">Conjugate and Plain Polysaccharide Vaccines Have Divergent Effects on Antigen-Specific </w:t>
      </w:r>
      <w:r>
        <w:t xml:space="preserve">B </w:t>
      </w:r>
      <w:r w:rsidR="00D33247">
        <w:t>Cells,</w:t>
      </w:r>
      <w:r>
        <w:t xml:space="preserve"> </w:t>
      </w:r>
      <w:r w:rsidRPr="007B35D4">
        <w:rPr>
          <w:i/>
        </w:rPr>
        <w:t>J Infect Dis</w:t>
      </w:r>
      <w:r w:rsidR="00D33247">
        <w:rPr>
          <w:i/>
        </w:rPr>
        <w:t>,</w:t>
      </w:r>
      <w:r>
        <w:t xml:space="preserve"> 2012; 205(9):</w:t>
      </w:r>
      <w:r w:rsidR="00D33247">
        <w:t xml:space="preserve"> </w:t>
      </w:r>
      <w:r>
        <w:t>1408</w:t>
      </w:r>
      <w:r w:rsidR="00C11CB4">
        <w:t>-</w:t>
      </w:r>
      <w:r w:rsidR="00D33247">
        <w:t>14</w:t>
      </w:r>
      <w:r>
        <w:t>16.</w:t>
      </w:r>
    </w:p>
  </w:footnote>
  <w:footnote w:id="17">
    <w:p w14:paraId="5DE9D55E" w14:textId="67CA93CE" w:rsidR="004A79D5" w:rsidRPr="00D33247" w:rsidRDefault="004A79D5">
      <w:pPr>
        <w:pStyle w:val="FootnoteText"/>
        <w:rPr>
          <w:lang w:val="en-GB"/>
        </w:rPr>
      </w:pPr>
      <w:r>
        <w:rPr>
          <w:rStyle w:val="FootnoteReference"/>
        </w:rPr>
        <w:footnoteRef/>
      </w:r>
      <w:r>
        <w:t xml:space="preserve"> </w:t>
      </w:r>
      <w:proofErr w:type="spellStart"/>
      <w:r>
        <w:t>Farmaki</w:t>
      </w:r>
      <w:proofErr w:type="spellEnd"/>
      <w:r w:rsidR="00D33247">
        <w:t>,</w:t>
      </w:r>
      <w:r>
        <w:t xml:space="preserve"> P</w:t>
      </w:r>
      <w:r w:rsidR="00D33247">
        <w:t>.</w:t>
      </w:r>
      <w:r>
        <w:t>F</w:t>
      </w:r>
      <w:r w:rsidR="00D33247">
        <w:t xml:space="preserve">. </w:t>
      </w:r>
      <w:r>
        <w:t xml:space="preserve">et al. Immunogenicity </w:t>
      </w:r>
      <w:r w:rsidR="00D33247">
        <w:t>and Immunological Memory Induced by the 13-Valent Pneumococcal Conjugate Followed by the 23-Valent Polysaccharide Vaccine</w:t>
      </w:r>
      <w:r>
        <w:t xml:space="preserve"> in HIV-</w:t>
      </w:r>
      <w:r w:rsidR="00D33247">
        <w:t>Infected Adults,</w:t>
      </w:r>
      <w:r w:rsidRPr="00D33247">
        <w:rPr>
          <w:i/>
        </w:rPr>
        <w:t xml:space="preserve"> J Infect Dis</w:t>
      </w:r>
      <w:r w:rsidR="00D33247">
        <w:rPr>
          <w:i/>
        </w:rPr>
        <w:t xml:space="preserve">, </w:t>
      </w:r>
      <w:r>
        <w:t>2018;</w:t>
      </w:r>
      <w:r w:rsidR="00D33247">
        <w:t xml:space="preserve"> </w:t>
      </w:r>
      <w:r>
        <w:t>218;</w:t>
      </w:r>
      <w:r w:rsidR="00D33247">
        <w:t xml:space="preserve"> </w:t>
      </w:r>
      <w:r>
        <w:t>26</w:t>
      </w:r>
      <w:r w:rsidR="00C11CB4">
        <w:t>-</w:t>
      </w:r>
      <w:r>
        <w:t>34.</w:t>
      </w:r>
    </w:p>
  </w:footnote>
  <w:footnote w:id="18">
    <w:p w14:paraId="0247F962" w14:textId="0897E7CC" w:rsidR="004A79D5" w:rsidRPr="004A79D5" w:rsidRDefault="004A79D5">
      <w:pPr>
        <w:pStyle w:val="FootnoteText"/>
      </w:pPr>
      <w:r>
        <w:rPr>
          <w:rStyle w:val="FootnoteReference"/>
        </w:rPr>
        <w:footnoteRef/>
      </w:r>
      <w:r>
        <w:t xml:space="preserve"> </w:t>
      </w:r>
      <w:proofErr w:type="spellStart"/>
      <w:r>
        <w:t>Bonten</w:t>
      </w:r>
      <w:proofErr w:type="spellEnd"/>
      <w:r w:rsidR="00D33247">
        <w:t>,</w:t>
      </w:r>
      <w:r>
        <w:t xml:space="preserve"> M</w:t>
      </w:r>
      <w:r w:rsidR="00D33247">
        <w:t>.</w:t>
      </w:r>
      <w:r>
        <w:t>J</w:t>
      </w:r>
      <w:r w:rsidR="00D33247">
        <w:t>.</w:t>
      </w:r>
      <w:r>
        <w:t xml:space="preserve"> et al. Polysaccharide </w:t>
      </w:r>
      <w:r w:rsidR="00D33247">
        <w:t xml:space="preserve">Conjugate Vaccine against Pneumococcal Pneumonia </w:t>
      </w:r>
      <w:r>
        <w:t xml:space="preserve">in </w:t>
      </w:r>
      <w:r w:rsidR="00D33247">
        <w:t>Adults,</w:t>
      </w:r>
      <w:r>
        <w:t xml:space="preserve"> </w:t>
      </w:r>
      <w:r w:rsidRPr="00D33247">
        <w:rPr>
          <w:i/>
        </w:rPr>
        <w:t xml:space="preserve">N </w:t>
      </w:r>
      <w:proofErr w:type="spellStart"/>
      <w:r w:rsidRPr="00D33247">
        <w:rPr>
          <w:i/>
        </w:rPr>
        <w:t>Engl</w:t>
      </w:r>
      <w:proofErr w:type="spellEnd"/>
      <w:r w:rsidRPr="00D33247">
        <w:rPr>
          <w:i/>
        </w:rPr>
        <w:t xml:space="preserve"> J Med</w:t>
      </w:r>
      <w:r w:rsidR="00D33247">
        <w:rPr>
          <w:i/>
        </w:rPr>
        <w:t>,</w:t>
      </w:r>
      <w:r w:rsidRPr="00D33247">
        <w:rPr>
          <w:i/>
        </w:rPr>
        <w:t xml:space="preserve"> </w:t>
      </w:r>
      <w:r>
        <w:t>2015;</w:t>
      </w:r>
      <w:r w:rsidR="00D33247">
        <w:t xml:space="preserve"> </w:t>
      </w:r>
      <w:r>
        <w:t>372(12):</w:t>
      </w:r>
      <w:r w:rsidR="00D33247">
        <w:t xml:space="preserve"> </w:t>
      </w:r>
      <w:r>
        <w:t>1114</w:t>
      </w:r>
      <w:r w:rsidR="00C11CB4">
        <w:t>-</w:t>
      </w:r>
      <w:r w:rsidR="00D33247">
        <w:t>11</w:t>
      </w:r>
      <w:r>
        <w:t>25.</w:t>
      </w:r>
    </w:p>
  </w:footnote>
  <w:footnote w:id="19">
    <w:p w14:paraId="6B0085D5" w14:textId="47732E99" w:rsidR="004A79D5" w:rsidRPr="004A79D5" w:rsidRDefault="004A79D5">
      <w:pPr>
        <w:pStyle w:val="FootnoteText"/>
      </w:pPr>
      <w:r>
        <w:rPr>
          <w:rStyle w:val="FootnoteReference"/>
        </w:rPr>
        <w:footnoteRef/>
      </w:r>
      <w:r>
        <w:t xml:space="preserve"> Dagan</w:t>
      </w:r>
      <w:r w:rsidR="00D33247">
        <w:t>,</w:t>
      </w:r>
      <w:r>
        <w:t xml:space="preserve"> R</w:t>
      </w:r>
      <w:r w:rsidR="00D33247">
        <w:t xml:space="preserve">. </w:t>
      </w:r>
      <w:r>
        <w:t xml:space="preserve">et al. Comparative </w:t>
      </w:r>
      <w:r w:rsidR="00D33247">
        <w:t>Immunogenicity and Efficacy Of 13-Valent and 7</w:t>
      </w:r>
      <w:r w:rsidR="00D33247">
        <w:noBreakHyphen/>
        <w:t xml:space="preserve">Valent Pneumococcal Conjugate Vaccines in Reducing Nasopharyngeal Colonization: </w:t>
      </w:r>
      <w:proofErr w:type="gramStart"/>
      <w:r w:rsidR="00D33247">
        <w:t>a</w:t>
      </w:r>
      <w:proofErr w:type="gramEnd"/>
      <w:r w:rsidR="00D33247">
        <w:t xml:space="preserve"> Randomized Double-Blind Trial,</w:t>
      </w:r>
      <w:r>
        <w:t xml:space="preserve"> </w:t>
      </w:r>
      <w:r w:rsidRPr="00D33247">
        <w:rPr>
          <w:i/>
        </w:rPr>
        <w:t>Clin Infect Dis</w:t>
      </w:r>
      <w:r w:rsidR="00D33247">
        <w:rPr>
          <w:i/>
        </w:rPr>
        <w:t>,</w:t>
      </w:r>
      <w:r>
        <w:t xml:space="preserve"> 2013;</w:t>
      </w:r>
      <w:r w:rsidR="00D33247">
        <w:t xml:space="preserve"> </w:t>
      </w:r>
      <w:r>
        <w:t>57(7):</w:t>
      </w:r>
      <w:r w:rsidR="00D33247">
        <w:t xml:space="preserve"> </w:t>
      </w:r>
      <w:r>
        <w:t>952</w:t>
      </w:r>
      <w:r w:rsidR="00C11CB4">
        <w:t>-</w:t>
      </w:r>
      <w:r w:rsidR="00D33247">
        <w:t>9</w:t>
      </w:r>
      <w:r>
        <w:t>62.</w:t>
      </w:r>
    </w:p>
  </w:footnote>
  <w:footnote w:id="20">
    <w:p w14:paraId="2EFBBB3E" w14:textId="040F470F" w:rsidR="004A79D5" w:rsidRPr="004A79D5" w:rsidRDefault="004A79D5" w:rsidP="004A79D5">
      <w:pPr>
        <w:pStyle w:val="FootnoteText"/>
      </w:pPr>
      <w:r>
        <w:rPr>
          <w:rStyle w:val="FootnoteReference"/>
        </w:rPr>
        <w:footnoteRef/>
      </w:r>
      <w:r>
        <w:t xml:space="preserve"> German</w:t>
      </w:r>
      <w:r w:rsidR="00D33247">
        <w:t>,</w:t>
      </w:r>
      <w:r>
        <w:t xml:space="preserve"> E</w:t>
      </w:r>
      <w:r w:rsidR="00D33247">
        <w:t>.</w:t>
      </w:r>
      <w:r>
        <w:t>L</w:t>
      </w:r>
      <w:r w:rsidR="00D33247">
        <w:t xml:space="preserve">. </w:t>
      </w:r>
      <w:r>
        <w:t xml:space="preserve">et al. Protective </w:t>
      </w:r>
      <w:r w:rsidR="00D33247">
        <w:t xml:space="preserve">Effect </w:t>
      </w:r>
      <w:r>
        <w:t xml:space="preserve">of PCV </w:t>
      </w:r>
      <w:r w:rsidR="00D33247">
        <w:t xml:space="preserve">Vaccine against Experimental Pneumococcal Challenge </w:t>
      </w:r>
      <w:r>
        <w:t xml:space="preserve">in </w:t>
      </w:r>
      <w:r w:rsidR="00D33247">
        <w:t xml:space="preserve">Adults </w:t>
      </w:r>
      <w:r>
        <w:t xml:space="preserve">is </w:t>
      </w:r>
      <w:r w:rsidR="00D33247">
        <w:t xml:space="preserve">Primarily Mediated </w:t>
      </w:r>
      <w:r>
        <w:t xml:space="preserve">by </w:t>
      </w:r>
      <w:r w:rsidR="00D33247">
        <w:t>Controlling Colonisation Density,</w:t>
      </w:r>
      <w:r>
        <w:t xml:space="preserve"> </w:t>
      </w:r>
      <w:r w:rsidRPr="00D33247">
        <w:rPr>
          <w:i/>
        </w:rPr>
        <w:t>Vaccine</w:t>
      </w:r>
      <w:r w:rsidR="00D33247">
        <w:rPr>
          <w:i/>
        </w:rPr>
        <w:t>,</w:t>
      </w:r>
      <w:r w:rsidRPr="00D33247">
        <w:rPr>
          <w:i/>
        </w:rPr>
        <w:t xml:space="preserve"> </w:t>
      </w:r>
      <w:r>
        <w:t>2019;</w:t>
      </w:r>
      <w:r w:rsidR="00D33247">
        <w:t xml:space="preserve"> </w:t>
      </w:r>
      <w:r>
        <w:t>37(30):</w:t>
      </w:r>
      <w:r w:rsidR="00D33247">
        <w:t xml:space="preserve"> </w:t>
      </w:r>
      <w:r>
        <w:t>3953-</w:t>
      </w:r>
      <w:r w:rsidR="00D33247">
        <w:t>395</w:t>
      </w:r>
      <w:r>
        <w:t>6.</w:t>
      </w:r>
    </w:p>
  </w:footnote>
  <w:footnote w:id="21">
    <w:p w14:paraId="17E386E0" w14:textId="500D6FDC" w:rsidR="002A3AA3" w:rsidRPr="002A3AA3" w:rsidRDefault="002A3AA3" w:rsidP="002A3AA3">
      <w:pPr>
        <w:pStyle w:val="FootnoteText"/>
      </w:pPr>
      <w:r>
        <w:rPr>
          <w:rStyle w:val="FootnoteReference"/>
        </w:rPr>
        <w:footnoteRef/>
      </w:r>
      <w:r>
        <w:t xml:space="preserve"> </w:t>
      </w:r>
      <w:proofErr w:type="spellStart"/>
      <w:r>
        <w:t>Pilishvili</w:t>
      </w:r>
      <w:proofErr w:type="spellEnd"/>
      <w:r w:rsidR="00D33247">
        <w:t>,</w:t>
      </w:r>
      <w:r>
        <w:t xml:space="preserve"> T</w:t>
      </w:r>
      <w:r w:rsidR="00D33247">
        <w:t xml:space="preserve">. </w:t>
      </w:r>
      <w:r>
        <w:t xml:space="preserve">et al. Sustained </w:t>
      </w:r>
      <w:r w:rsidR="00D33247">
        <w:t>Reductions in Invasive Pneumococcal Disease in the Era of Conjugate Vaccine,</w:t>
      </w:r>
      <w:r>
        <w:t xml:space="preserve"> </w:t>
      </w:r>
      <w:r w:rsidRPr="00D33247">
        <w:rPr>
          <w:i/>
        </w:rPr>
        <w:t>J Infect Dis</w:t>
      </w:r>
      <w:r w:rsidR="00D33247">
        <w:rPr>
          <w:i/>
        </w:rPr>
        <w:t>,</w:t>
      </w:r>
      <w:r>
        <w:t xml:space="preserve"> 2010;</w:t>
      </w:r>
      <w:r w:rsidR="00D33247">
        <w:t xml:space="preserve"> </w:t>
      </w:r>
      <w:r>
        <w:t>201(1):</w:t>
      </w:r>
      <w:r w:rsidR="00D33247">
        <w:t xml:space="preserve"> </w:t>
      </w:r>
      <w:r>
        <w:t>32</w:t>
      </w:r>
      <w:r w:rsidR="00C11CB4">
        <w:t>-</w:t>
      </w:r>
      <w:r>
        <w:t>41.</w:t>
      </w:r>
    </w:p>
  </w:footnote>
  <w:footnote w:id="22">
    <w:p w14:paraId="78DF97A0" w14:textId="18760A0F" w:rsidR="002A3AA3" w:rsidRPr="002A3AA3" w:rsidRDefault="002A3AA3">
      <w:pPr>
        <w:pStyle w:val="FootnoteText"/>
      </w:pPr>
      <w:r>
        <w:rPr>
          <w:rStyle w:val="FootnoteReference"/>
        </w:rPr>
        <w:footnoteRef/>
      </w:r>
      <w:r>
        <w:t xml:space="preserve"> Grijalva</w:t>
      </w:r>
      <w:r w:rsidR="00D33247">
        <w:t>,</w:t>
      </w:r>
      <w:r>
        <w:t xml:space="preserve"> C</w:t>
      </w:r>
      <w:r w:rsidR="00D33247">
        <w:t>.</w:t>
      </w:r>
      <w:r>
        <w:t>G</w:t>
      </w:r>
      <w:r w:rsidR="00D33247">
        <w:t>.</w:t>
      </w:r>
      <w:r>
        <w:t xml:space="preserve"> et al. Decline in </w:t>
      </w:r>
      <w:r w:rsidR="00D33247">
        <w:t>Pneumonia Admissions after Routine Childhood Immunisation with Pneumococcal Conjugate Vaccin</w:t>
      </w:r>
      <w:r>
        <w:t xml:space="preserve">e in the USA: a </w:t>
      </w:r>
      <w:r w:rsidR="00D33247">
        <w:t>Time-Series Analysis,</w:t>
      </w:r>
      <w:r>
        <w:t xml:space="preserve"> </w:t>
      </w:r>
      <w:r w:rsidRPr="00D33247">
        <w:rPr>
          <w:i/>
        </w:rPr>
        <w:t>Lancet</w:t>
      </w:r>
      <w:r w:rsidR="00D33247">
        <w:rPr>
          <w:i/>
        </w:rPr>
        <w:t xml:space="preserve">, </w:t>
      </w:r>
      <w:r>
        <w:t>2007;</w:t>
      </w:r>
      <w:r w:rsidR="00D33247">
        <w:t xml:space="preserve"> </w:t>
      </w:r>
      <w:r>
        <w:t>369(9568):</w:t>
      </w:r>
      <w:r w:rsidR="00D33247">
        <w:t xml:space="preserve"> </w:t>
      </w:r>
      <w:r>
        <w:t>1179</w:t>
      </w:r>
      <w:r w:rsidR="00C11CB4">
        <w:t>-</w:t>
      </w:r>
      <w:r w:rsidR="00D33247">
        <w:t>11</w:t>
      </w:r>
      <w:r>
        <w:t>86.</w:t>
      </w:r>
    </w:p>
  </w:footnote>
  <w:footnote w:id="23">
    <w:p w14:paraId="52934F93" w14:textId="06B10402" w:rsidR="002A3AA3" w:rsidRPr="002A3AA3" w:rsidRDefault="002A3AA3" w:rsidP="002A3AA3">
      <w:pPr>
        <w:pStyle w:val="FootnoteText"/>
      </w:pPr>
      <w:r>
        <w:rPr>
          <w:rStyle w:val="FootnoteReference"/>
        </w:rPr>
        <w:footnoteRef/>
      </w:r>
      <w:r>
        <w:t xml:space="preserve"> Zhou</w:t>
      </w:r>
      <w:r w:rsidR="00D33247">
        <w:t>,</w:t>
      </w:r>
      <w:r>
        <w:t xml:space="preserve"> F</w:t>
      </w:r>
      <w:r w:rsidR="00D33247">
        <w:t>.</w:t>
      </w:r>
      <w:r>
        <w:t xml:space="preserve"> et al. Trends in </w:t>
      </w:r>
      <w:r w:rsidR="00D33247">
        <w:t xml:space="preserve">Acute Otitis Media-Related Health Care Utilization </w:t>
      </w:r>
      <w:r>
        <w:t xml:space="preserve">by </w:t>
      </w:r>
      <w:r w:rsidR="00D33247">
        <w:t>Privately Insured Young Children</w:t>
      </w:r>
      <w:r>
        <w:t xml:space="preserve"> in the United States, 1997</w:t>
      </w:r>
      <w:r w:rsidR="00C11CB4">
        <w:t>-</w:t>
      </w:r>
      <w:r>
        <w:t>2004</w:t>
      </w:r>
      <w:r w:rsidR="00D33247">
        <w:t>,</w:t>
      </w:r>
      <w:r>
        <w:t xml:space="preserve"> </w:t>
      </w:r>
      <w:proofErr w:type="spellStart"/>
      <w:r w:rsidRPr="00D33247">
        <w:rPr>
          <w:i/>
        </w:rPr>
        <w:t>Pediatrics</w:t>
      </w:r>
      <w:proofErr w:type="spellEnd"/>
      <w:r w:rsidR="00D33247">
        <w:rPr>
          <w:i/>
        </w:rPr>
        <w:t>,</w:t>
      </w:r>
      <w:r>
        <w:t xml:space="preserve"> 2008;</w:t>
      </w:r>
      <w:r w:rsidR="00D33247">
        <w:t xml:space="preserve"> </w:t>
      </w:r>
      <w:r>
        <w:t>121(2):253</w:t>
      </w:r>
      <w:r w:rsidR="00C11CB4">
        <w:t>-</w:t>
      </w:r>
      <w:r w:rsidR="00D33247">
        <w:t>2</w:t>
      </w:r>
      <w:r>
        <w:t>60.</w:t>
      </w:r>
    </w:p>
  </w:footnote>
  <w:footnote w:id="24">
    <w:p w14:paraId="66412A2C" w14:textId="1012BC57" w:rsidR="00C0245D" w:rsidRPr="00C0245D" w:rsidRDefault="00C0245D" w:rsidP="00C0245D">
      <w:pPr>
        <w:pStyle w:val="FootnoteText"/>
      </w:pPr>
      <w:r>
        <w:rPr>
          <w:rStyle w:val="FootnoteReference"/>
        </w:rPr>
        <w:footnoteRef/>
      </w:r>
      <w:r>
        <w:t xml:space="preserve"> </w:t>
      </w:r>
      <w:proofErr w:type="spellStart"/>
      <w:r>
        <w:t>Iyer</w:t>
      </w:r>
      <w:proofErr w:type="spellEnd"/>
      <w:r w:rsidR="00D33247">
        <w:t>,</w:t>
      </w:r>
      <w:r>
        <w:t xml:space="preserve"> A</w:t>
      </w:r>
      <w:r w:rsidR="00D33247">
        <w:t>.</w:t>
      </w:r>
      <w:r>
        <w:t>S</w:t>
      </w:r>
      <w:r w:rsidR="00D33247">
        <w:t xml:space="preserve">. et al. </w:t>
      </w:r>
      <w:r>
        <w:t>Age-</w:t>
      </w:r>
      <w:r w:rsidR="00D33247">
        <w:t xml:space="preserve">Related Immune Response </w:t>
      </w:r>
      <w:r>
        <w:t xml:space="preserve">to </w:t>
      </w:r>
      <w:r w:rsidR="00D33247">
        <w:t xml:space="preserve">Pneumococcal Polysaccharide Vaccination: Lessons </w:t>
      </w:r>
      <w:r>
        <w:t xml:space="preserve">for the </w:t>
      </w:r>
      <w:r w:rsidR="00D33247">
        <w:t>Clinic,</w:t>
      </w:r>
      <w:r>
        <w:t xml:space="preserve"> </w:t>
      </w:r>
      <w:r w:rsidRPr="00D33247">
        <w:rPr>
          <w:i/>
        </w:rPr>
        <w:t>Expert Rev Vaccines</w:t>
      </w:r>
      <w:r w:rsidR="00D33247">
        <w:rPr>
          <w:i/>
        </w:rPr>
        <w:t>,</w:t>
      </w:r>
      <w:r>
        <w:t xml:space="preserve"> 2015;</w:t>
      </w:r>
      <w:r w:rsidR="00D33247">
        <w:t xml:space="preserve"> </w:t>
      </w:r>
      <w:r>
        <w:t>14(1):</w:t>
      </w:r>
      <w:r w:rsidR="00D33247">
        <w:t xml:space="preserve"> </w:t>
      </w:r>
      <w:r>
        <w:t>85</w:t>
      </w:r>
      <w:r w:rsidR="00C11CB4">
        <w:t>-</w:t>
      </w:r>
      <w:r>
        <w:t>97.</w:t>
      </w:r>
    </w:p>
  </w:footnote>
  <w:footnote w:id="25">
    <w:p w14:paraId="7895B5CB" w14:textId="0D6239A0" w:rsidR="00C0245D" w:rsidRPr="00C0245D" w:rsidRDefault="00C0245D" w:rsidP="00C0245D">
      <w:pPr>
        <w:pStyle w:val="FootnoteText"/>
      </w:pPr>
      <w:r>
        <w:rPr>
          <w:rStyle w:val="FootnoteReference"/>
        </w:rPr>
        <w:footnoteRef/>
      </w:r>
      <w:r>
        <w:t xml:space="preserve"> Borrow</w:t>
      </w:r>
      <w:r w:rsidR="00D33247">
        <w:t>,</w:t>
      </w:r>
      <w:r>
        <w:t xml:space="preserve"> R</w:t>
      </w:r>
      <w:r w:rsidR="00D33247">
        <w:t>. et al</w:t>
      </w:r>
      <w:r>
        <w:t xml:space="preserve">. Use of </w:t>
      </w:r>
      <w:r w:rsidR="00D33247">
        <w:t xml:space="preserve">Pneumococcal Polysaccharide Vaccine </w:t>
      </w:r>
      <w:r>
        <w:t xml:space="preserve">in </w:t>
      </w:r>
      <w:r w:rsidR="00D33247">
        <w:t xml:space="preserve">Children: What </w:t>
      </w:r>
      <w:r>
        <w:t xml:space="preserve">is the </w:t>
      </w:r>
      <w:proofErr w:type="gramStart"/>
      <w:r w:rsidR="00D33247">
        <w:t>Evidence</w:t>
      </w:r>
      <w:r>
        <w:t>?</w:t>
      </w:r>
      <w:r w:rsidR="00D33247">
        <w:t>,</w:t>
      </w:r>
      <w:proofErr w:type="gramEnd"/>
      <w:r w:rsidR="00D33247">
        <w:t xml:space="preserve"> </w:t>
      </w:r>
      <w:proofErr w:type="spellStart"/>
      <w:r w:rsidR="00D33247" w:rsidRPr="00D33247">
        <w:rPr>
          <w:i/>
          <w:iCs/>
        </w:rPr>
        <w:t>Curr</w:t>
      </w:r>
      <w:proofErr w:type="spellEnd"/>
      <w:r w:rsidR="00D33247" w:rsidRPr="00D33247">
        <w:rPr>
          <w:i/>
          <w:iCs/>
        </w:rPr>
        <w:t xml:space="preserve"> </w:t>
      </w:r>
      <w:proofErr w:type="spellStart"/>
      <w:r w:rsidR="00D33247" w:rsidRPr="00D33247">
        <w:rPr>
          <w:i/>
          <w:iCs/>
        </w:rPr>
        <w:t>Opin</w:t>
      </w:r>
      <w:proofErr w:type="spellEnd"/>
      <w:r w:rsidR="00D33247" w:rsidRPr="00D33247">
        <w:rPr>
          <w:i/>
          <w:iCs/>
        </w:rPr>
        <w:t xml:space="preserve"> Infect Dis</w:t>
      </w:r>
      <w:r w:rsidR="00D33247">
        <w:t>,</w:t>
      </w:r>
      <w:r>
        <w:t xml:space="preserve"> 2012;</w:t>
      </w:r>
      <w:r w:rsidR="00D33247">
        <w:t xml:space="preserve"> </w:t>
      </w:r>
      <w:r>
        <w:t>25(3):</w:t>
      </w:r>
      <w:r w:rsidR="00D33247">
        <w:t xml:space="preserve"> </w:t>
      </w:r>
      <w:r>
        <w:t>292</w:t>
      </w:r>
      <w:r w:rsidR="00C11CB4">
        <w:t>-</w:t>
      </w:r>
      <w:r>
        <w:t>303.</w:t>
      </w:r>
    </w:p>
  </w:footnote>
  <w:footnote w:id="26">
    <w:p w14:paraId="300F33AC" w14:textId="5E891FCC" w:rsidR="00941034" w:rsidRPr="00D33247" w:rsidRDefault="00941034">
      <w:pPr>
        <w:pStyle w:val="FootnoteText"/>
        <w:rPr>
          <w:lang w:val="en-GB"/>
        </w:rPr>
      </w:pPr>
      <w:r>
        <w:rPr>
          <w:rStyle w:val="FootnoteReference"/>
        </w:rPr>
        <w:footnoteRef/>
      </w:r>
      <w:r>
        <w:t xml:space="preserve"> </w:t>
      </w:r>
      <w:r w:rsidRPr="009F39E1">
        <w:t>Su</w:t>
      </w:r>
      <w:r w:rsidR="00D33247">
        <w:t>,</w:t>
      </w:r>
      <w:r w:rsidRPr="009F39E1">
        <w:t xml:space="preserve"> W</w:t>
      </w:r>
      <w:r w:rsidR="00D33247">
        <w:t>.</w:t>
      </w:r>
      <w:r w:rsidRPr="009F39E1">
        <w:t>J</w:t>
      </w:r>
      <w:r w:rsidR="00D33247">
        <w:t>.</w:t>
      </w:r>
      <w:r w:rsidRPr="009F39E1">
        <w:t xml:space="preserve"> et al. Application of the </w:t>
      </w:r>
      <w:r w:rsidR="00D33247" w:rsidRPr="009F39E1">
        <w:t xml:space="preserve">Screening </w:t>
      </w:r>
      <w:r w:rsidRPr="009F39E1">
        <w:t xml:space="preserve">and </w:t>
      </w:r>
      <w:r w:rsidR="00D33247" w:rsidRPr="009F39E1">
        <w:t xml:space="preserve">Indirect Cohort Methods </w:t>
      </w:r>
      <w:r w:rsidRPr="009F39E1">
        <w:t xml:space="preserve">to </w:t>
      </w:r>
      <w:r w:rsidR="00D33247" w:rsidRPr="009F39E1">
        <w:t xml:space="preserve">Evaluate </w:t>
      </w:r>
      <w:r w:rsidRPr="009F39E1">
        <w:t xml:space="preserve">the </w:t>
      </w:r>
      <w:r w:rsidR="00D33247" w:rsidRPr="009F39E1">
        <w:t xml:space="preserve">Effectiveness </w:t>
      </w:r>
      <w:proofErr w:type="gramStart"/>
      <w:r w:rsidR="00D33247" w:rsidRPr="009F39E1">
        <w:t>Of</w:t>
      </w:r>
      <w:proofErr w:type="gramEnd"/>
      <w:r w:rsidR="00D33247" w:rsidRPr="009F39E1">
        <w:t xml:space="preserve"> Pneumococcal Vaccination Program </w:t>
      </w:r>
      <w:r w:rsidRPr="009F39E1">
        <w:t xml:space="preserve">in </w:t>
      </w:r>
      <w:r w:rsidR="00D33247" w:rsidRPr="009F39E1">
        <w:t xml:space="preserve">Adults 75 Years </w:t>
      </w:r>
      <w:r w:rsidRPr="009F39E1">
        <w:t xml:space="preserve">and </w:t>
      </w:r>
      <w:r w:rsidR="00D33247" w:rsidRPr="009F39E1">
        <w:t xml:space="preserve">Older </w:t>
      </w:r>
      <w:r w:rsidRPr="009F39E1">
        <w:t>in Taiwan</w:t>
      </w:r>
      <w:r w:rsidR="00D33247">
        <w:t>,</w:t>
      </w:r>
      <w:r w:rsidRPr="009F39E1">
        <w:t xml:space="preserve"> </w:t>
      </w:r>
      <w:r w:rsidRPr="00D33247">
        <w:rPr>
          <w:i/>
        </w:rPr>
        <w:t>BMC Infect Dis</w:t>
      </w:r>
      <w:r w:rsidR="00D33247">
        <w:rPr>
          <w:i/>
        </w:rPr>
        <w:t>,</w:t>
      </w:r>
      <w:r w:rsidRPr="009F39E1">
        <w:t xml:space="preserve"> 2021;</w:t>
      </w:r>
      <w:r w:rsidR="00D33247">
        <w:t xml:space="preserve"> </w:t>
      </w:r>
      <w:r w:rsidRPr="009F39E1">
        <w:t>2</w:t>
      </w:r>
      <w:r>
        <w:t>1(1):</w:t>
      </w:r>
      <w:r w:rsidR="00D33247">
        <w:t xml:space="preserve"> </w:t>
      </w:r>
      <w:r>
        <w:t>45.</w:t>
      </w:r>
    </w:p>
  </w:footnote>
  <w:footnote w:id="27">
    <w:p w14:paraId="094FE25D" w14:textId="1EBF7E32" w:rsidR="00941034" w:rsidRPr="00EC78E1" w:rsidRDefault="00941034">
      <w:pPr>
        <w:pStyle w:val="FootnoteText"/>
        <w:rPr>
          <w:lang w:val="en-GB"/>
        </w:rPr>
      </w:pPr>
      <w:r>
        <w:rPr>
          <w:rStyle w:val="FootnoteReference"/>
        </w:rPr>
        <w:footnoteRef/>
      </w:r>
      <w:r>
        <w:t xml:space="preserve"> </w:t>
      </w:r>
      <w:proofErr w:type="spellStart"/>
      <w:r w:rsidRPr="009F39E1">
        <w:t>Djennad</w:t>
      </w:r>
      <w:proofErr w:type="spellEnd"/>
      <w:r w:rsidR="00D33247">
        <w:t>,</w:t>
      </w:r>
      <w:r w:rsidRPr="009F39E1">
        <w:t xml:space="preserve"> A</w:t>
      </w:r>
      <w:r w:rsidR="00D33247">
        <w:t>.</w:t>
      </w:r>
      <w:r w:rsidRPr="009F39E1">
        <w:t xml:space="preserve"> et al. Effectiveness of 23-Valent Polysaccharide Pneumococcal Vaccine and Changes in Invasive Pneumococcal Disease Incidence from 2000 to 2017 in Those Aged 65 and </w:t>
      </w:r>
      <w:r w:rsidR="00D33247">
        <w:t>o</w:t>
      </w:r>
      <w:r w:rsidRPr="009F39E1">
        <w:t>ver in England and Wales</w:t>
      </w:r>
      <w:r w:rsidR="00D33247">
        <w:t>,</w:t>
      </w:r>
      <w:r w:rsidRPr="009F39E1">
        <w:t xml:space="preserve"> </w:t>
      </w:r>
      <w:proofErr w:type="spellStart"/>
      <w:r w:rsidRPr="00D33247">
        <w:rPr>
          <w:i/>
        </w:rPr>
        <w:t>EClinicalMedicine</w:t>
      </w:r>
      <w:proofErr w:type="spellEnd"/>
      <w:r w:rsidR="00D33247">
        <w:rPr>
          <w:i/>
        </w:rPr>
        <w:t>,</w:t>
      </w:r>
      <w:r w:rsidRPr="009F39E1">
        <w:t xml:space="preserve"> 2019</w:t>
      </w:r>
      <w:r>
        <w:t>;</w:t>
      </w:r>
      <w:r w:rsidR="00D33247">
        <w:t xml:space="preserve"> </w:t>
      </w:r>
      <w:r>
        <w:t>6:</w:t>
      </w:r>
      <w:r w:rsidR="00D33247">
        <w:t xml:space="preserve"> </w:t>
      </w:r>
      <w:r>
        <w:t>42-50.</w:t>
      </w:r>
    </w:p>
  </w:footnote>
  <w:footnote w:id="28">
    <w:p w14:paraId="719AC07C" w14:textId="0459A988" w:rsidR="00C0245D" w:rsidRPr="00C0245D" w:rsidRDefault="00C0245D" w:rsidP="00C0245D">
      <w:pPr>
        <w:pStyle w:val="FootnoteText"/>
      </w:pPr>
      <w:r>
        <w:rPr>
          <w:rStyle w:val="FootnoteReference"/>
        </w:rPr>
        <w:footnoteRef/>
      </w:r>
      <w:r>
        <w:t xml:space="preserve"> Jackson</w:t>
      </w:r>
      <w:r w:rsidR="00D33247">
        <w:t>,</w:t>
      </w:r>
      <w:r>
        <w:t xml:space="preserve"> L</w:t>
      </w:r>
      <w:r w:rsidR="00D33247">
        <w:t>.</w:t>
      </w:r>
      <w:r>
        <w:t>A</w:t>
      </w:r>
      <w:r w:rsidR="00D33247">
        <w:t>.</w:t>
      </w:r>
      <w:r>
        <w:t xml:space="preserve"> et al. Influence of </w:t>
      </w:r>
      <w:r w:rsidR="00D33247">
        <w:t xml:space="preserve">Initial Vaccination </w:t>
      </w:r>
      <w:r>
        <w:t>with 13-</w:t>
      </w:r>
      <w:r w:rsidR="00D33247">
        <w:t xml:space="preserve">Valent Pneumococcal Conjugate Vaccine </w:t>
      </w:r>
      <w:r>
        <w:t>or 23-</w:t>
      </w:r>
      <w:r w:rsidR="00D33247">
        <w:t xml:space="preserve">Valent Pneumococcal Polysaccharide Vaccine </w:t>
      </w:r>
      <w:r>
        <w:t xml:space="preserve">on </w:t>
      </w:r>
      <w:r w:rsidR="00D33247">
        <w:t>A</w:t>
      </w:r>
      <w:r>
        <w:t xml:space="preserve">nti-pneumococcal </w:t>
      </w:r>
      <w:r w:rsidR="00D33247">
        <w:t>Responses Following Subsequent Pneumococcal Vaccinatio</w:t>
      </w:r>
      <w:r>
        <w:t xml:space="preserve">n in </w:t>
      </w:r>
      <w:r w:rsidR="00D33247">
        <w:t xml:space="preserve">Adults </w:t>
      </w:r>
      <w:r>
        <w:t xml:space="preserve">50 years and </w:t>
      </w:r>
      <w:r w:rsidR="00D33247">
        <w:t>Older,</w:t>
      </w:r>
      <w:r>
        <w:t xml:space="preserve"> </w:t>
      </w:r>
      <w:r w:rsidRPr="00D33247">
        <w:rPr>
          <w:i/>
        </w:rPr>
        <w:t>Vaccine</w:t>
      </w:r>
      <w:r w:rsidR="00D33247">
        <w:rPr>
          <w:i/>
        </w:rPr>
        <w:t>,</w:t>
      </w:r>
      <w:r w:rsidRPr="00D33247">
        <w:rPr>
          <w:i/>
        </w:rPr>
        <w:t xml:space="preserve"> </w:t>
      </w:r>
      <w:r>
        <w:t>2013;</w:t>
      </w:r>
      <w:r w:rsidR="00D33247">
        <w:t xml:space="preserve"> </w:t>
      </w:r>
      <w:r>
        <w:t>31(35):</w:t>
      </w:r>
      <w:r w:rsidR="00D33247">
        <w:t xml:space="preserve"> </w:t>
      </w:r>
      <w:r>
        <w:t>3594-</w:t>
      </w:r>
      <w:r w:rsidR="00D33247">
        <w:t>3</w:t>
      </w:r>
      <w:r>
        <w:t>602.</w:t>
      </w:r>
    </w:p>
  </w:footnote>
  <w:footnote w:id="29">
    <w:p w14:paraId="6D96C8BD" w14:textId="020DC00B" w:rsidR="00941034" w:rsidRPr="00FA35AC" w:rsidRDefault="00941034" w:rsidP="00966B9B">
      <w:pPr>
        <w:pStyle w:val="FootnoteText"/>
        <w:rPr>
          <w:lang w:val="en-GB"/>
        </w:rPr>
      </w:pPr>
      <w:r>
        <w:rPr>
          <w:rStyle w:val="FootnoteReference"/>
        </w:rPr>
        <w:footnoteRef/>
      </w:r>
      <w:r>
        <w:t xml:space="preserve"> </w:t>
      </w:r>
      <w:r w:rsidRPr="00966B9B">
        <w:t>O’Brien</w:t>
      </w:r>
      <w:r w:rsidR="00D33247">
        <w:t>,</w:t>
      </w:r>
      <w:r w:rsidRPr="00966B9B">
        <w:t xml:space="preserve"> K</w:t>
      </w:r>
      <w:r w:rsidR="00D33247">
        <w:t>.</w:t>
      </w:r>
      <w:r w:rsidRPr="00966B9B">
        <w:t>L</w:t>
      </w:r>
      <w:r w:rsidR="00D33247">
        <w:t xml:space="preserve">. et al. </w:t>
      </w:r>
      <w:r w:rsidRPr="00966B9B">
        <w:t xml:space="preserve">Combined </w:t>
      </w:r>
      <w:r w:rsidR="00D33247" w:rsidRPr="00966B9B">
        <w:t xml:space="preserve">Schedules </w:t>
      </w:r>
      <w:r w:rsidR="00D33247">
        <w:t>o</w:t>
      </w:r>
      <w:r w:rsidR="00D33247" w:rsidRPr="00966B9B">
        <w:t xml:space="preserve">f Pneumococcal Conjugate </w:t>
      </w:r>
      <w:r w:rsidR="00D33247">
        <w:t>a</w:t>
      </w:r>
      <w:r w:rsidR="00D33247" w:rsidRPr="00966B9B">
        <w:t xml:space="preserve">nd Polysaccharide Vaccines: </w:t>
      </w:r>
      <w:r w:rsidR="00D33247">
        <w:t>i</w:t>
      </w:r>
      <w:r w:rsidR="00D33247" w:rsidRPr="00966B9B">
        <w:t xml:space="preserve">s </w:t>
      </w:r>
      <w:proofErr w:type="spellStart"/>
      <w:r w:rsidR="00D33247" w:rsidRPr="00966B9B">
        <w:t>Hyporesponsiveness</w:t>
      </w:r>
      <w:proofErr w:type="spellEnd"/>
      <w:r w:rsidR="00D33247" w:rsidRPr="00966B9B">
        <w:t xml:space="preserve"> </w:t>
      </w:r>
      <w:r w:rsidR="00D33247">
        <w:t>a</w:t>
      </w:r>
      <w:r w:rsidR="00D33247" w:rsidRPr="00966B9B">
        <w:t xml:space="preserve">n </w:t>
      </w:r>
      <w:proofErr w:type="gramStart"/>
      <w:r w:rsidR="00D33247" w:rsidRPr="00966B9B">
        <w:t>Issue</w:t>
      </w:r>
      <w:r w:rsidRPr="00966B9B">
        <w:t>?</w:t>
      </w:r>
      <w:r w:rsidR="00D33247">
        <w:t>,</w:t>
      </w:r>
      <w:proofErr w:type="gramEnd"/>
      <w:r w:rsidRPr="00966B9B">
        <w:t xml:space="preserve"> </w:t>
      </w:r>
      <w:r w:rsidRPr="00FA35AC">
        <w:rPr>
          <w:i/>
        </w:rPr>
        <w:t>Lancet Infect Dis</w:t>
      </w:r>
      <w:r w:rsidR="00D33247">
        <w:rPr>
          <w:i/>
        </w:rPr>
        <w:t>,</w:t>
      </w:r>
      <w:r w:rsidRPr="00966B9B">
        <w:t xml:space="preserve"> 2007;</w:t>
      </w:r>
      <w:r w:rsidR="00D33247">
        <w:t xml:space="preserve"> </w:t>
      </w:r>
      <w:r w:rsidRPr="00966B9B">
        <w:t>7(9):597</w:t>
      </w:r>
      <w:r w:rsidR="00C11CB4">
        <w:t>-</w:t>
      </w:r>
      <w:r w:rsidRPr="00966B9B">
        <w:t>606.</w:t>
      </w:r>
    </w:p>
  </w:footnote>
  <w:footnote w:id="30">
    <w:p w14:paraId="764944B2" w14:textId="57F7A9F0" w:rsidR="00941034" w:rsidRPr="00D33247" w:rsidRDefault="00941034">
      <w:pPr>
        <w:pStyle w:val="FootnoteText"/>
        <w:rPr>
          <w:lang w:val="en-GB"/>
        </w:rPr>
      </w:pPr>
      <w:r>
        <w:rPr>
          <w:rStyle w:val="FootnoteReference"/>
        </w:rPr>
        <w:footnoteRef/>
      </w:r>
      <w:r>
        <w:t xml:space="preserve"> </w:t>
      </w:r>
      <w:proofErr w:type="spellStart"/>
      <w:r w:rsidRPr="00C149EC">
        <w:t>Moberley</w:t>
      </w:r>
      <w:proofErr w:type="spellEnd"/>
      <w:r w:rsidR="00D33247">
        <w:t>,</w:t>
      </w:r>
      <w:r w:rsidRPr="00C149EC">
        <w:t xml:space="preserve"> S</w:t>
      </w:r>
      <w:r w:rsidR="00D33247">
        <w:t xml:space="preserve">. et al. </w:t>
      </w:r>
      <w:r w:rsidRPr="00C149EC">
        <w:t xml:space="preserve">Vaccines for </w:t>
      </w:r>
      <w:r w:rsidR="00D33247" w:rsidRPr="00C149EC">
        <w:t xml:space="preserve">Preventing Pneumococcal Infection </w:t>
      </w:r>
      <w:r w:rsidRPr="00C149EC">
        <w:t xml:space="preserve">in </w:t>
      </w:r>
      <w:r w:rsidR="00D33247" w:rsidRPr="00C149EC">
        <w:t>Adults</w:t>
      </w:r>
      <w:r w:rsidR="00D33247">
        <w:t>,</w:t>
      </w:r>
      <w:r w:rsidRPr="00C149EC">
        <w:t xml:space="preserve"> </w:t>
      </w:r>
      <w:r w:rsidRPr="00D33247">
        <w:rPr>
          <w:i/>
        </w:rPr>
        <w:t>Cochrane Database Syst Rev</w:t>
      </w:r>
      <w:r w:rsidR="00D33247">
        <w:rPr>
          <w:i/>
        </w:rPr>
        <w:t>,</w:t>
      </w:r>
      <w:r w:rsidRPr="00C149EC">
        <w:t xml:space="preserve"> 2013;</w:t>
      </w:r>
      <w:r w:rsidR="00D33247">
        <w:t xml:space="preserve"> </w:t>
      </w:r>
      <w:r w:rsidRPr="00C149EC">
        <w:t>2013(1):</w:t>
      </w:r>
      <w:r w:rsidR="00D33247">
        <w:t xml:space="preserve"> </w:t>
      </w:r>
      <w:r w:rsidRPr="00C149EC">
        <w:t>CD000422.</w:t>
      </w:r>
    </w:p>
  </w:footnote>
  <w:footnote w:id="31">
    <w:p w14:paraId="18CF9100" w14:textId="2FD067D7" w:rsidR="00941034" w:rsidRPr="00D33247" w:rsidRDefault="00941034">
      <w:pPr>
        <w:pStyle w:val="FootnoteText"/>
        <w:rPr>
          <w:lang w:val="en-GB"/>
        </w:rPr>
      </w:pPr>
      <w:r>
        <w:rPr>
          <w:rStyle w:val="FootnoteReference"/>
        </w:rPr>
        <w:footnoteRef/>
      </w:r>
      <w:r>
        <w:t xml:space="preserve"> </w:t>
      </w:r>
      <w:r w:rsidRPr="0030636D">
        <w:t>Shapiro</w:t>
      </w:r>
      <w:r w:rsidR="00D33247">
        <w:t>,</w:t>
      </w:r>
      <w:r w:rsidRPr="0030636D">
        <w:t xml:space="preserve"> E</w:t>
      </w:r>
      <w:r w:rsidR="00D33247">
        <w:t>.</w:t>
      </w:r>
      <w:r w:rsidRPr="0030636D">
        <w:t>D</w:t>
      </w:r>
      <w:r w:rsidR="00D33247">
        <w:t>.</w:t>
      </w:r>
      <w:r w:rsidRPr="0030636D">
        <w:t xml:space="preserve"> et al. The </w:t>
      </w:r>
      <w:r w:rsidR="00D33247" w:rsidRPr="0030636D">
        <w:t xml:space="preserve">Protective Efficacy </w:t>
      </w:r>
      <w:r w:rsidR="00D33247">
        <w:t>o</w:t>
      </w:r>
      <w:r w:rsidR="00D33247" w:rsidRPr="0030636D">
        <w:t>f Polyvalent Pneumococcal Polysaccharide Vaccine</w:t>
      </w:r>
      <w:r w:rsidR="00D33247">
        <w:t>,</w:t>
      </w:r>
      <w:r w:rsidRPr="0030636D">
        <w:t xml:space="preserve"> </w:t>
      </w:r>
      <w:r w:rsidRPr="00D33247">
        <w:rPr>
          <w:i/>
        </w:rPr>
        <w:t xml:space="preserve">N </w:t>
      </w:r>
      <w:proofErr w:type="spellStart"/>
      <w:r w:rsidRPr="00D33247">
        <w:rPr>
          <w:i/>
        </w:rPr>
        <w:t>Engl</w:t>
      </w:r>
      <w:proofErr w:type="spellEnd"/>
      <w:r w:rsidRPr="00D33247">
        <w:rPr>
          <w:i/>
        </w:rPr>
        <w:t xml:space="preserve"> J Med</w:t>
      </w:r>
      <w:r w:rsidR="00D33247">
        <w:t>,</w:t>
      </w:r>
      <w:r>
        <w:t xml:space="preserve"> 1991;</w:t>
      </w:r>
      <w:r w:rsidR="00D33247">
        <w:t xml:space="preserve"> </w:t>
      </w:r>
      <w:r>
        <w:t>325(21):</w:t>
      </w:r>
      <w:r w:rsidR="00D33247">
        <w:t xml:space="preserve"> </w:t>
      </w:r>
      <w:r>
        <w:t>1453-1460.</w:t>
      </w:r>
    </w:p>
  </w:footnote>
  <w:footnote w:id="32">
    <w:p w14:paraId="6C86FB1B" w14:textId="7FC68964" w:rsidR="00941034" w:rsidRPr="00D33247" w:rsidRDefault="00941034">
      <w:pPr>
        <w:pStyle w:val="FootnoteText"/>
        <w:rPr>
          <w:lang w:val="en-GB"/>
        </w:rPr>
      </w:pPr>
      <w:r>
        <w:rPr>
          <w:rStyle w:val="FootnoteReference"/>
        </w:rPr>
        <w:footnoteRef/>
      </w:r>
      <w:r>
        <w:t xml:space="preserve"> </w:t>
      </w:r>
      <w:r w:rsidRPr="00C149EC">
        <w:t>Jackson</w:t>
      </w:r>
      <w:r w:rsidR="00D33247">
        <w:t>,</w:t>
      </w:r>
      <w:r w:rsidRPr="00C149EC">
        <w:t xml:space="preserve"> L</w:t>
      </w:r>
      <w:r w:rsidR="00D33247">
        <w:t>.</w:t>
      </w:r>
      <w:r w:rsidRPr="00C149EC">
        <w:t>A</w:t>
      </w:r>
      <w:r w:rsidR="00D33247">
        <w:t xml:space="preserve">. </w:t>
      </w:r>
      <w:r w:rsidRPr="00C149EC">
        <w:t xml:space="preserve">et al. Effectiveness </w:t>
      </w:r>
      <w:r w:rsidR="00D33247">
        <w:t>o</w:t>
      </w:r>
      <w:r w:rsidR="00D33247" w:rsidRPr="00C149EC">
        <w:t xml:space="preserve">f Pneumococcal Polysaccharide Vaccine </w:t>
      </w:r>
      <w:r w:rsidR="00D33247">
        <w:t>i</w:t>
      </w:r>
      <w:r w:rsidR="00D33247" w:rsidRPr="00C149EC">
        <w:t>n Older Adults</w:t>
      </w:r>
      <w:r w:rsidR="00D33247">
        <w:t>,</w:t>
      </w:r>
      <w:r w:rsidRPr="00C149EC">
        <w:t xml:space="preserve"> </w:t>
      </w:r>
      <w:r w:rsidRPr="00D33247">
        <w:rPr>
          <w:i/>
        </w:rPr>
        <w:t xml:space="preserve">N </w:t>
      </w:r>
      <w:proofErr w:type="spellStart"/>
      <w:r w:rsidRPr="00D33247">
        <w:rPr>
          <w:i/>
        </w:rPr>
        <w:t>Engl</w:t>
      </w:r>
      <w:proofErr w:type="spellEnd"/>
      <w:r w:rsidRPr="00D33247">
        <w:rPr>
          <w:i/>
        </w:rPr>
        <w:t xml:space="preserve"> J Med</w:t>
      </w:r>
      <w:r w:rsidR="00D33247">
        <w:rPr>
          <w:i/>
        </w:rPr>
        <w:t>,</w:t>
      </w:r>
      <w:r w:rsidRPr="00C149EC">
        <w:t xml:space="preserve"> 2003;</w:t>
      </w:r>
      <w:r w:rsidR="00D33247">
        <w:t xml:space="preserve"> </w:t>
      </w:r>
      <w:r w:rsidRPr="00C149EC">
        <w:t>348(18):</w:t>
      </w:r>
      <w:r w:rsidR="00D33247">
        <w:t xml:space="preserve"> </w:t>
      </w:r>
      <w:r w:rsidRPr="00C149EC">
        <w:t>1747-1755</w:t>
      </w:r>
      <w:r w:rsidR="00D33247">
        <w:t>.</w:t>
      </w:r>
    </w:p>
  </w:footnote>
  <w:footnote w:id="33">
    <w:p w14:paraId="167D3054" w14:textId="4185640C" w:rsidR="00941034" w:rsidRPr="00D33247" w:rsidRDefault="00941034">
      <w:pPr>
        <w:pStyle w:val="FootnoteText"/>
        <w:rPr>
          <w:lang w:val="en-GB"/>
        </w:rPr>
      </w:pPr>
      <w:r>
        <w:rPr>
          <w:rStyle w:val="FootnoteReference"/>
        </w:rPr>
        <w:footnoteRef/>
      </w:r>
      <w:r>
        <w:t xml:space="preserve"> </w:t>
      </w:r>
      <w:r w:rsidRPr="00C149EC">
        <w:t>Musher</w:t>
      </w:r>
      <w:r w:rsidR="00D33247">
        <w:t>,</w:t>
      </w:r>
      <w:r w:rsidRPr="00C149EC">
        <w:t xml:space="preserve"> D</w:t>
      </w:r>
      <w:r w:rsidR="00D33247">
        <w:t>.</w:t>
      </w:r>
      <w:r w:rsidRPr="00C149EC">
        <w:t>M</w:t>
      </w:r>
      <w:r w:rsidR="00D33247">
        <w:t xml:space="preserve">. et al. </w:t>
      </w:r>
      <w:r w:rsidRPr="00C149EC">
        <w:t xml:space="preserve">Effect </w:t>
      </w:r>
      <w:proofErr w:type="gramStart"/>
      <w:r w:rsidR="00D33247" w:rsidRPr="00C149EC">
        <w:t>Of</w:t>
      </w:r>
      <w:proofErr w:type="gramEnd"/>
      <w:r w:rsidR="00D33247" w:rsidRPr="00C149EC">
        <w:t xml:space="preserve"> Pneumococcal Vaccination: </w:t>
      </w:r>
      <w:r w:rsidR="00D33247">
        <w:t>a</w:t>
      </w:r>
      <w:r w:rsidR="00D33247" w:rsidRPr="00C149EC">
        <w:t xml:space="preserve"> Comparison </w:t>
      </w:r>
      <w:r w:rsidR="00D33247">
        <w:t>o</w:t>
      </w:r>
      <w:r w:rsidR="00D33247" w:rsidRPr="00C149EC">
        <w:t xml:space="preserve">f Vaccination Rates </w:t>
      </w:r>
      <w:r w:rsidR="00D33247">
        <w:t>i</w:t>
      </w:r>
      <w:r w:rsidR="00D33247" w:rsidRPr="00C149EC">
        <w:t xml:space="preserve">n Patients </w:t>
      </w:r>
      <w:r w:rsidR="00D33247">
        <w:t>w</w:t>
      </w:r>
      <w:r w:rsidR="00D33247" w:rsidRPr="00C149EC">
        <w:t xml:space="preserve">ith </w:t>
      </w:r>
      <w:proofErr w:type="spellStart"/>
      <w:r w:rsidR="00D33247" w:rsidRPr="00C149EC">
        <w:t>Bacteremic</w:t>
      </w:r>
      <w:proofErr w:type="spellEnd"/>
      <w:r w:rsidR="00D33247" w:rsidRPr="00C149EC">
        <w:t xml:space="preserve"> </w:t>
      </w:r>
      <w:r w:rsidR="00D33247">
        <w:t>a</w:t>
      </w:r>
      <w:r w:rsidR="00D33247" w:rsidRPr="00C149EC">
        <w:t>nd Nonbacteremic Pneumococcal Pneumonia</w:t>
      </w:r>
      <w:r w:rsidR="00D33247">
        <w:t>,</w:t>
      </w:r>
      <w:r w:rsidRPr="00C149EC">
        <w:t xml:space="preserve"> </w:t>
      </w:r>
      <w:r w:rsidRPr="00D33247">
        <w:rPr>
          <w:i/>
        </w:rPr>
        <w:t>Clin Infect Dis</w:t>
      </w:r>
      <w:r w:rsidR="00D33247">
        <w:rPr>
          <w:i/>
        </w:rPr>
        <w:t>,</w:t>
      </w:r>
      <w:r w:rsidRPr="00C149EC">
        <w:t xml:space="preserve"> 2006;</w:t>
      </w:r>
      <w:r w:rsidR="00D33247">
        <w:t xml:space="preserve"> </w:t>
      </w:r>
      <w:r w:rsidRPr="00C149EC">
        <w:t>43(8):</w:t>
      </w:r>
      <w:r w:rsidR="00D33247">
        <w:t xml:space="preserve"> </w:t>
      </w:r>
      <w:r w:rsidRPr="00C149EC">
        <w:t>1004-1008.</w:t>
      </w:r>
    </w:p>
  </w:footnote>
  <w:footnote w:id="34">
    <w:p w14:paraId="53328EDF" w14:textId="548EBF4E" w:rsidR="00C0245D" w:rsidRPr="00F414EF" w:rsidRDefault="00C0245D">
      <w:pPr>
        <w:pStyle w:val="FootnoteText"/>
      </w:pPr>
      <w:r>
        <w:rPr>
          <w:rStyle w:val="FootnoteReference"/>
        </w:rPr>
        <w:footnoteRef/>
      </w:r>
      <w:r>
        <w:t xml:space="preserve"> </w:t>
      </w:r>
      <w:proofErr w:type="spellStart"/>
      <w:r>
        <w:t>Leventer</w:t>
      </w:r>
      <w:proofErr w:type="spellEnd"/>
      <w:r>
        <w:t>-Roberts</w:t>
      </w:r>
      <w:r w:rsidR="00D33247">
        <w:t>,</w:t>
      </w:r>
      <w:r>
        <w:t xml:space="preserve"> M</w:t>
      </w:r>
      <w:r w:rsidR="00D33247">
        <w:t xml:space="preserve">. </w:t>
      </w:r>
      <w:r>
        <w:t xml:space="preserve">et al. Effectiveness </w:t>
      </w:r>
      <w:r w:rsidR="00D33247">
        <w:t xml:space="preserve">of 23-Valent Pneumococcal Polysaccharide Vaccine against Invasive Disease and Hospital-Treated Pneumonia among People Aged </w:t>
      </w:r>
      <w:r w:rsidR="00D33247">
        <w:rPr>
          <w:rFonts w:cs="Cambria"/>
        </w:rPr>
        <w:t xml:space="preserve">&gt; </w:t>
      </w:r>
      <w:r w:rsidR="00D33247">
        <w:t xml:space="preserve">65 Years: </w:t>
      </w:r>
      <w:proofErr w:type="gramStart"/>
      <w:r w:rsidR="00D33247">
        <w:t>a</w:t>
      </w:r>
      <w:proofErr w:type="gramEnd"/>
      <w:r w:rsidR="00D33247">
        <w:t xml:space="preserve"> Retrospective Case-Control Study,</w:t>
      </w:r>
      <w:r w:rsidR="00F414EF">
        <w:t xml:space="preserve"> </w:t>
      </w:r>
      <w:r w:rsidR="00F414EF" w:rsidRPr="00D33247">
        <w:rPr>
          <w:i/>
        </w:rPr>
        <w:t xml:space="preserve">Clin </w:t>
      </w:r>
      <w:r w:rsidRPr="00D33247">
        <w:rPr>
          <w:i/>
        </w:rPr>
        <w:t>Infect Dis</w:t>
      </w:r>
      <w:r w:rsidR="00D33247">
        <w:rPr>
          <w:i/>
        </w:rPr>
        <w:t>,</w:t>
      </w:r>
      <w:r w:rsidR="00F414EF">
        <w:t xml:space="preserve"> 2015;</w:t>
      </w:r>
      <w:r w:rsidR="00D33247">
        <w:t xml:space="preserve"> </w:t>
      </w:r>
      <w:r w:rsidR="00F414EF">
        <w:t>60(10):</w:t>
      </w:r>
      <w:r w:rsidR="00D33247">
        <w:t xml:space="preserve"> </w:t>
      </w:r>
      <w:r w:rsidR="00F414EF">
        <w:t>1472</w:t>
      </w:r>
      <w:r w:rsidR="00C11CB4">
        <w:t>-</w:t>
      </w:r>
      <w:r w:rsidR="00D33247">
        <w:t>14</w:t>
      </w:r>
      <w:r w:rsidR="00F414EF">
        <w:t>80.</w:t>
      </w:r>
    </w:p>
  </w:footnote>
  <w:footnote w:id="35">
    <w:p w14:paraId="5713805F" w14:textId="0D93F263" w:rsidR="00C0245D" w:rsidRPr="00F414EF" w:rsidRDefault="00C0245D" w:rsidP="00F414EF">
      <w:pPr>
        <w:pStyle w:val="FootnoteText"/>
      </w:pPr>
      <w:r>
        <w:rPr>
          <w:rStyle w:val="FootnoteReference"/>
        </w:rPr>
        <w:footnoteRef/>
      </w:r>
      <w:r>
        <w:t xml:space="preserve"> </w:t>
      </w:r>
      <w:proofErr w:type="spellStart"/>
      <w:r w:rsidR="00F414EF">
        <w:t>Conaty</w:t>
      </w:r>
      <w:proofErr w:type="spellEnd"/>
      <w:r w:rsidR="00D33247">
        <w:t>,</w:t>
      </w:r>
      <w:r w:rsidR="00F414EF">
        <w:t xml:space="preserve"> S</w:t>
      </w:r>
      <w:r w:rsidR="00D33247">
        <w:t>.</w:t>
      </w:r>
      <w:r w:rsidR="00F414EF">
        <w:t xml:space="preserve"> et al. The </w:t>
      </w:r>
      <w:r w:rsidR="00D33247">
        <w:t xml:space="preserve">Effectiveness of Pneumococcal Polysaccharide Vaccines in Adults: </w:t>
      </w:r>
      <w:proofErr w:type="gramStart"/>
      <w:r w:rsidR="00D33247">
        <w:t>a</w:t>
      </w:r>
      <w:proofErr w:type="gramEnd"/>
      <w:r w:rsidR="00D33247">
        <w:t xml:space="preserve"> Systematic Review of Observational Studies and Comparison with Results from Randomised Controlled Trials,</w:t>
      </w:r>
      <w:r w:rsidR="00F414EF">
        <w:t xml:space="preserve"> </w:t>
      </w:r>
      <w:r w:rsidR="00F414EF" w:rsidRPr="00D33247">
        <w:rPr>
          <w:i/>
        </w:rPr>
        <w:t>Vaccine</w:t>
      </w:r>
      <w:r w:rsidR="00D33247">
        <w:t xml:space="preserve">, </w:t>
      </w:r>
      <w:r w:rsidR="00F414EF">
        <w:t>2004;</w:t>
      </w:r>
      <w:r w:rsidR="00D33247">
        <w:t xml:space="preserve"> </w:t>
      </w:r>
      <w:r w:rsidR="00F414EF">
        <w:t>22(23</w:t>
      </w:r>
      <w:r w:rsidR="00C11CB4">
        <w:t>-</w:t>
      </w:r>
      <w:r w:rsidR="00F414EF">
        <w:t>24):</w:t>
      </w:r>
      <w:r w:rsidR="00D33247">
        <w:t xml:space="preserve"> </w:t>
      </w:r>
      <w:r w:rsidR="00F414EF">
        <w:t>3214</w:t>
      </w:r>
      <w:r w:rsidR="00C11CB4">
        <w:t>-</w:t>
      </w:r>
      <w:r w:rsidR="00D33247">
        <w:t>32</w:t>
      </w:r>
      <w:r w:rsidR="00F414EF">
        <w:t>24</w:t>
      </w:r>
      <w:r w:rsidR="00D33247">
        <w:t>.</w:t>
      </w:r>
    </w:p>
  </w:footnote>
  <w:footnote w:id="36">
    <w:p w14:paraId="1D501755" w14:textId="7EE5CEC1" w:rsidR="00C0245D" w:rsidRPr="00F414EF" w:rsidRDefault="00C0245D" w:rsidP="00F414EF">
      <w:pPr>
        <w:pStyle w:val="FootnoteText"/>
      </w:pPr>
      <w:r>
        <w:rPr>
          <w:rStyle w:val="FootnoteReference"/>
        </w:rPr>
        <w:footnoteRef/>
      </w:r>
      <w:r>
        <w:t xml:space="preserve"> </w:t>
      </w:r>
      <w:r w:rsidR="00F414EF">
        <w:t>Huss</w:t>
      </w:r>
      <w:r w:rsidR="00D33247">
        <w:t>,</w:t>
      </w:r>
      <w:r w:rsidR="00F414EF">
        <w:t xml:space="preserve"> A</w:t>
      </w:r>
      <w:r w:rsidR="00D33247">
        <w:t xml:space="preserve">. </w:t>
      </w:r>
      <w:r w:rsidR="00F414EF">
        <w:t xml:space="preserve">et al. Efficacy of </w:t>
      </w:r>
      <w:r w:rsidR="00D33247">
        <w:t xml:space="preserve">Pneumococcal Vaccination </w:t>
      </w:r>
      <w:r w:rsidR="00F414EF">
        <w:t xml:space="preserve">in </w:t>
      </w:r>
      <w:r w:rsidR="00D33247">
        <w:t>Adults</w:t>
      </w:r>
      <w:r w:rsidR="00F414EF">
        <w:t xml:space="preserve">: </w:t>
      </w:r>
      <w:proofErr w:type="gramStart"/>
      <w:r w:rsidR="00F414EF">
        <w:t>a</w:t>
      </w:r>
      <w:proofErr w:type="gramEnd"/>
      <w:r w:rsidR="00F414EF">
        <w:t xml:space="preserve"> </w:t>
      </w:r>
      <w:r w:rsidR="00D33247">
        <w:t>Meta</w:t>
      </w:r>
      <w:r w:rsidR="00F414EF">
        <w:t>-analysis</w:t>
      </w:r>
      <w:r w:rsidR="00D33247">
        <w:t>,</w:t>
      </w:r>
      <w:r w:rsidR="00F414EF">
        <w:t xml:space="preserve"> </w:t>
      </w:r>
      <w:r w:rsidR="00F414EF" w:rsidRPr="00D33247">
        <w:rPr>
          <w:i/>
        </w:rPr>
        <w:t>CMAJ</w:t>
      </w:r>
      <w:r w:rsidR="00D33247">
        <w:rPr>
          <w:i/>
        </w:rPr>
        <w:t>,</w:t>
      </w:r>
      <w:r w:rsidR="00F414EF" w:rsidRPr="00D33247">
        <w:rPr>
          <w:i/>
        </w:rPr>
        <w:t xml:space="preserve"> </w:t>
      </w:r>
      <w:r w:rsidR="00F414EF">
        <w:t>2009;</w:t>
      </w:r>
      <w:r w:rsidR="00D33247">
        <w:t xml:space="preserve"> </w:t>
      </w:r>
      <w:r w:rsidR="00F414EF">
        <w:t>180:</w:t>
      </w:r>
      <w:r w:rsidR="00D33247">
        <w:t xml:space="preserve"> </w:t>
      </w:r>
      <w:r w:rsidR="00F414EF">
        <w:t>48</w:t>
      </w:r>
      <w:r w:rsidR="00C11CB4">
        <w:t>-</w:t>
      </w:r>
      <w:r w:rsidR="00F414EF">
        <w:t>58</w:t>
      </w:r>
      <w:r w:rsidR="00D33247">
        <w:t>.</w:t>
      </w:r>
    </w:p>
  </w:footnote>
  <w:footnote w:id="37">
    <w:p w14:paraId="46D5651D" w14:textId="2A3D9516" w:rsidR="00941034" w:rsidRPr="00C11CB4" w:rsidRDefault="00941034">
      <w:pPr>
        <w:pStyle w:val="FootnoteText"/>
        <w:rPr>
          <w:lang w:val="en-GB"/>
        </w:rPr>
      </w:pPr>
      <w:r>
        <w:rPr>
          <w:rStyle w:val="FootnoteReference"/>
        </w:rPr>
        <w:footnoteRef/>
      </w:r>
      <w:r>
        <w:t xml:space="preserve"> </w:t>
      </w:r>
      <w:r>
        <w:rPr>
          <w:lang w:val="en-GB"/>
        </w:rPr>
        <w:t xml:space="preserve">CRM197 is used as a carrier protein used in </w:t>
      </w:r>
      <w:proofErr w:type="gramStart"/>
      <w:r>
        <w:rPr>
          <w:lang w:val="en-GB"/>
        </w:rPr>
        <w:t>a number of</w:t>
      </w:r>
      <w:proofErr w:type="gramEnd"/>
      <w:r>
        <w:rPr>
          <w:lang w:val="en-GB"/>
        </w:rPr>
        <w:t xml:space="preserve"> conjugate vaccines for more than 30 years. In this vaccine (Prevenar 20) the 20 pneumococcal polysaccharides are conjugated to CRM197</w:t>
      </w:r>
      <w:r>
        <w:t xml:space="preserve"> to make them immunogenic, modifying the immune response to the polysaccharide from a T-cell independent response to a T-cell dependent response.</w:t>
      </w:r>
      <w:r>
        <w:rPr>
          <w:lang w:val="en-GB"/>
        </w:rPr>
        <w:t xml:space="preserve"> CRM197 is a safe, non-toxic mutant (or genetically detoxified form) of diphtheria toxin.</w:t>
      </w:r>
    </w:p>
  </w:footnote>
  <w:footnote w:id="38">
    <w:p w14:paraId="1472A314" w14:textId="14AB3EA1" w:rsidR="00941034" w:rsidRDefault="00941034">
      <w:pPr>
        <w:pStyle w:val="FootnoteText"/>
      </w:pPr>
      <w:r>
        <w:rPr>
          <w:rStyle w:val="FootnoteReference"/>
        </w:rPr>
        <w:footnoteRef/>
      </w:r>
      <w:r>
        <w:t xml:space="preserve"> </w:t>
      </w:r>
      <w:r w:rsidRPr="00376E45">
        <w:t>European Medicines Evaluation Agency (EMEA), Committee for Medicinal Products for Human Use (CHMP), Guideline on Clinical Evaluation of New Vaccines, EMEA/CHMP/VWP/164653/2005, 18 October 2006.</w:t>
      </w:r>
    </w:p>
  </w:footnote>
  <w:footnote w:id="39">
    <w:p w14:paraId="4CC53E23" w14:textId="2696DCE1" w:rsidR="00941034" w:rsidRDefault="00941034">
      <w:pPr>
        <w:pStyle w:val="FootnoteText"/>
      </w:pPr>
      <w:r>
        <w:rPr>
          <w:rStyle w:val="FootnoteReference"/>
        </w:rPr>
        <w:footnoteRef/>
      </w:r>
      <w:r>
        <w:t xml:space="preserve"> </w:t>
      </w:r>
      <w:r w:rsidRPr="009253BF">
        <w:t>Comirnaty</w:t>
      </w:r>
      <w:r>
        <w:t xml:space="preserve"> (</w:t>
      </w:r>
      <w:r w:rsidRPr="009253BF">
        <w:t>tozinameran</w:t>
      </w:r>
      <w:r>
        <w:t xml:space="preserve">) was first registered on ARTG on </w:t>
      </w:r>
      <w:r w:rsidRPr="009253BF">
        <w:t>25 January 2021</w:t>
      </w:r>
      <w:r>
        <w:t xml:space="preserve"> (ARTG number: </w:t>
      </w:r>
      <w:r w:rsidRPr="009253BF">
        <w:t>346290</w:t>
      </w:r>
      <w:r>
        <w:t>)</w:t>
      </w:r>
    </w:p>
  </w:footnote>
  <w:footnote w:id="40">
    <w:p w14:paraId="54CEAE4F" w14:textId="725E7C0E" w:rsidR="00941034" w:rsidRDefault="00941034" w:rsidP="0055561A">
      <w:pPr>
        <w:pStyle w:val="FootnoteText"/>
      </w:pPr>
      <w:r>
        <w:rPr>
          <w:rStyle w:val="FootnoteReference"/>
        </w:rPr>
        <w:footnoteRef/>
      </w:r>
      <w:r>
        <w:t xml:space="preserve"> </w:t>
      </w:r>
      <w:proofErr w:type="gramStart"/>
      <w:r>
        <w:t xml:space="preserve">Department of Health and Aged Care (2023) </w:t>
      </w:r>
      <w:r w:rsidRPr="00F2356C">
        <w:t>National Immunisation Program Schedule</w:t>
      </w:r>
      <w:r>
        <w:t>,</w:t>
      </w:r>
      <w:proofErr w:type="gramEnd"/>
      <w:r>
        <w:t xml:space="preserve"> last updated </w:t>
      </w:r>
      <w:r w:rsidRPr="00FE7E50">
        <w:t>27</w:t>
      </w:r>
      <w:r>
        <w:t> </w:t>
      </w:r>
      <w:r w:rsidRPr="00FE7E50">
        <w:t>February 2023</w:t>
      </w:r>
      <w:r>
        <w:t xml:space="preserve">. Available at </w:t>
      </w:r>
      <w:hyperlink r:id="rId3" w:history="1">
        <w:r w:rsidRPr="00A65506">
          <w:rPr>
            <w:rStyle w:val="Hyperlink"/>
          </w:rPr>
          <w:t>https://www.health.gov.au/health-topics/immunisation/when-to-get-vaccinated/national-immunisation-program-schedule</w:t>
        </w:r>
      </w:hyperlink>
      <w:r>
        <w:t>.</w:t>
      </w:r>
    </w:p>
  </w:footnote>
  <w:footnote w:id="41">
    <w:p w14:paraId="66FEC805" w14:textId="37DC4B9F" w:rsidR="00941034" w:rsidRDefault="00941034" w:rsidP="008557F6">
      <w:pPr>
        <w:pStyle w:val="FootnoteText"/>
      </w:pPr>
      <w:r>
        <w:rPr>
          <w:rStyle w:val="FootnoteReference"/>
        </w:rPr>
        <w:footnoteRef/>
      </w:r>
      <w:r>
        <w:t xml:space="preserve"> </w:t>
      </w:r>
      <w:r w:rsidRPr="00C2400A">
        <w:t xml:space="preserve">Kobayashi, </w:t>
      </w:r>
      <w:r>
        <w:t xml:space="preserve">M. et al. </w:t>
      </w:r>
      <w:r w:rsidRPr="00FE7E50">
        <w:t>Use of 15-Valent Pneumococcal Conjugate Vaccine and 20-Valent Pneumococcal Conjugate Vaccine Among U.S. Adults: Updated Recommendations of the Advisory Committee on Immunization Practices - United States, 2022</w:t>
      </w:r>
      <w:r>
        <w:t xml:space="preserve">, </w:t>
      </w:r>
      <w:r w:rsidRPr="00FE7E50">
        <w:rPr>
          <w:i/>
          <w:iCs/>
        </w:rPr>
        <w:t xml:space="preserve">MMWR </w:t>
      </w:r>
      <w:proofErr w:type="spellStart"/>
      <w:r w:rsidRPr="00FE7E50">
        <w:rPr>
          <w:i/>
          <w:iCs/>
        </w:rPr>
        <w:t>Morb</w:t>
      </w:r>
      <w:proofErr w:type="spellEnd"/>
      <w:r w:rsidRPr="00FE7E50">
        <w:rPr>
          <w:i/>
          <w:iCs/>
        </w:rPr>
        <w:t xml:space="preserve"> Mortal </w:t>
      </w:r>
      <w:proofErr w:type="spellStart"/>
      <w:r w:rsidRPr="00FE7E50">
        <w:rPr>
          <w:i/>
          <w:iCs/>
        </w:rPr>
        <w:t>Wkly</w:t>
      </w:r>
      <w:proofErr w:type="spellEnd"/>
      <w:r w:rsidRPr="00FE7E50">
        <w:rPr>
          <w:i/>
          <w:iCs/>
        </w:rPr>
        <w:t xml:space="preserve"> Rep</w:t>
      </w:r>
      <w:r>
        <w:t>, 2022; 71(4): 109-117.</w:t>
      </w:r>
    </w:p>
  </w:footnote>
  <w:footnote w:id="42">
    <w:p w14:paraId="574C54E9" w14:textId="67EA3932" w:rsidR="00941034" w:rsidRDefault="00941034" w:rsidP="00FE7E50">
      <w:pPr>
        <w:pStyle w:val="FootnoteText"/>
      </w:pPr>
      <w:r>
        <w:rPr>
          <w:rStyle w:val="FootnoteReference"/>
        </w:rPr>
        <w:footnoteRef/>
      </w:r>
      <w:r>
        <w:t xml:space="preserve"> </w:t>
      </w:r>
      <w:proofErr w:type="spellStart"/>
      <w:r w:rsidRPr="00EA5568">
        <w:t>Mugwagwa</w:t>
      </w:r>
      <w:proofErr w:type="spellEnd"/>
      <w:r w:rsidRPr="00EA5568">
        <w:t xml:space="preserve">, </w:t>
      </w:r>
      <w:r>
        <w:t>T. et al.</w:t>
      </w:r>
      <w:r w:rsidRPr="00FE7E50">
        <w:t xml:space="preserve"> </w:t>
      </w:r>
      <w:proofErr w:type="gramStart"/>
      <w:r w:rsidRPr="00FE7E50">
        <w:t>Public</w:t>
      </w:r>
      <w:proofErr w:type="gramEnd"/>
      <w:r w:rsidRPr="00FE7E50">
        <w:t xml:space="preserve"> health and budgetary impact of 20-valent pneumococcal conjugate vaccine for adults in England</w:t>
      </w:r>
      <w:r>
        <w:t xml:space="preserve">, </w:t>
      </w:r>
      <w:r w:rsidRPr="00FE7E50">
        <w:rPr>
          <w:i/>
          <w:iCs/>
        </w:rPr>
        <w:t>Expert Rev Vaccines</w:t>
      </w:r>
      <w:r>
        <w:t>, 2022; 21(9): 1331-1341.</w:t>
      </w:r>
    </w:p>
  </w:footnote>
  <w:footnote w:id="43">
    <w:p w14:paraId="254EC4B2" w14:textId="77777777" w:rsidR="00941034" w:rsidRDefault="00941034">
      <w:pPr>
        <w:pStyle w:val="FootnoteText"/>
      </w:pPr>
      <w:r>
        <w:rPr>
          <w:rStyle w:val="FootnoteReference"/>
        </w:rPr>
        <w:footnoteRef/>
      </w:r>
      <w:r>
        <w:t xml:space="preserve"> T</w:t>
      </w:r>
      <w:r w:rsidRPr="00FE7E50">
        <w:t>herapeutic Goods Administration (TGA)</w:t>
      </w:r>
      <w:r>
        <w:t xml:space="preserve"> (2011)</w:t>
      </w:r>
      <w:r w:rsidRPr="00FE7E50">
        <w:t xml:space="preserve"> </w:t>
      </w:r>
      <w:r w:rsidRPr="00CB365D">
        <w:t xml:space="preserve">Australian Public Assessment Report for </w:t>
      </w:r>
      <w:r w:rsidRPr="00FE7E50">
        <w:t xml:space="preserve">Prevenar 13 </w:t>
      </w:r>
      <w:r>
        <w:t>(p</w:t>
      </w:r>
      <w:r w:rsidRPr="00CB365D">
        <w:t>neumococcal polysaccharide conjugate vaccine 13 valent</w:t>
      </w:r>
      <w:r>
        <w:t>).</w:t>
      </w:r>
    </w:p>
    <w:p w14:paraId="66C22D0E" w14:textId="098DF077" w:rsidR="00941034" w:rsidRDefault="00941034">
      <w:pPr>
        <w:pStyle w:val="FootnoteText"/>
      </w:pPr>
      <w:r>
        <w:t xml:space="preserve">Available at: </w:t>
      </w:r>
      <w:hyperlink r:id="rId4" w:history="1">
        <w:r w:rsidRPr="00A65506">
          <w:rPr>
            <w:rStyle w:val="Hyperlink"/>
          </w:rPr>
          <w:t>https://www.tga.gov.au/sites/default/files/auspar-prevenar-13-111215.pdf</w:t>
        </w:r>
      </w:hyperlink>
      <w:r>
        <w:t>.</w:t>
      </w:r>
    </w:p>
  </w:footnote>
  <w:footnote w:id="44">
    <w:p w14:paraId="285EDC2C" w14:textId="51AFBCF8" w:rsidR="00941034" w:rsidRDefault="00941034">
      <w:pPr>
        <w:pStyle w:val="FootnoteText"/>
      </w:pPr>
      <w:r>
        <w:rPr>
          <w:rStyle w:val="FootnoteReference"/>
        </w:rPr>
        <w:footnoteRef/>
      </w:r>
      <w:r>
        <w:t xml:space="preserve"> </w:t>
      </w:r>
      <w:r w:rsidRPr="00FE7E50">
        <w:t xml:space="preserve">Therapeutic Goods Administration (TGA) </w:t>
      </w:r>
      <w:r>
        <w:t xml:space="preserve">(2022) Australian Public Assessment Report for Vaxneuvance (Pneumococcal 15-valent conjugate vaccine (CRM197 protein), adsorbed. Available at: </w:t>
      </w:r>
      <w:hyperlink r:id="rId5" w:history="1">
        <w:r w:rsidRPr="00A65506">
          <w:rPr>
            <w:rStyle w:val="Hyperlink"/>
          </w:rPr>
          <w:t>https://www.tga.gov.au/sites/default/files/2022-10/auspar-vaxneuvance-20221012.pdf</w:t>
        </w:r>
      </w:hyperlink>
      <w:r>
        <w:t>.</w:t>
      </w:r>
    </w:p>
  </w:footnote>
  <w:footnote w:id="45">
    <w:p w14:paraId="228310A2" w14:textId="08773630" w:rsidR="00CB0903" w:rsidRPr="00C11CB4" w:rsidRDefault="00CB0903" w:rsidP="00CB0903">
      <w:pPr>
        <w:pStyle w:val="FootnoteText"/>
        <w:rPr>
          <w:lang w:val="en-GB"/>
        </w:rPr>
      </w:pPr>
      <w:r>
        <w:rPr>
          <w:rStyle w:val="FootnoteReference"/>
        </w:rPr>
        <w:footnoteRef/>
      </w:r>
      <w:r>
        <w:t xml:space="preserve"> </w:t>
      </w:r>
      <w:r>
        <w:rPr>
          <w:lang w:val="en-GB"/>
        </w:rPr>
        <w:t xml:space="preserve">Study B1851025: </w:t>
      </w:r>
      <w:r w:rsidRPr="00CB0903">
        <w:rPr>
          <w:lang w:val="en-GB"/>
        </w:rPr>
        <w:t xml:space="preserve">Study Evaluating the </w:t>
      </w:r>
      <w:r w:rsidR="00C11CB4" w:rsidRPr="00CB0903">
        <w:rPr>
          <w:lang w:val="en-GB"/>
        </w:rPr>
        <w:t>Efficacy</w:t>
      </w:r>
      <w:r w:rsidRPr="00CB0903">
        <w:rPr>
          <w:lang w:val="en-GB"/>
        </w:rPr>
        <w:t xml:space="preserve"> of a 13-Valent Pneumococcal Conjugate Vaccine (13vPnC) in Adults (CAPITA</w:t>
      </w:r>
      <w:r>
        <w:rPr>
          <w:lang w:val="en-GB"/>
        </w:rPr>
        <w:t xml:space="preserve"> trial</w:t>
      </w:r>
      <w:r w:rsidRPr="00CB0903">
        <w:rPr>
          <w:lang w:val="en-GB"/>
        </w:rPr>
        <w:t>)</w:t>
      </w:r>
      <w:r>
        <w:rPr>
          <w:lang w:val="en-GB"/>
        </w:rPr>
        <w:t xml:space="preserve">. </w:t>
      </w:r>
      <w:r w:rsidRPr="00CB0903">
        <w:rPr>
          <w:lang w:val="en-GB"/>
        </w:rPr>
        <w:t>ClinicalTrials.gov Identifier: NCT00744263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941034" w:rsidRPr="00CB0550" w:rsidRDefault="00941034"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941034" w:rsidRPr="002B29B2" w14:paraId="3E15C3BC" w14:textId="77777777" w:rsidTr="007452E8">
      <w:trPr>
        <w:trHeight w:hRule="exact" w:val="8845"/>
      </w:trPr>
      <w:tc>
        <w:tcPr>
          <w:tcW w:w="11964" w:type="dxa"/>
          <w:vAlign w:val="center"/>
        </w:tcPr>
        <w:p w14:paraId="6FDE4BFB" w14:textId="77777777" w:rsidR="00941034" w:rsidRPr="002B29B2" w:rsidRDefault="004B2F77" w:rsidP="007452E8">
          <w:pPr>
            <w:ind w:left="-57"/>
            <w:rPr>
              <w:noProof/>
            </w:rPr>
          </w:pPr>
          <w:sdt>
            <w:sdtPr>
              <w:rPr>
                <w:noProof/>
              </w:rPr>
              <w:id w:val="1926993388"/>
              <w:showingPlcHdr/>
              <w:picture/>
            </w:sdtPr>
            <w:sdtEndPr/>
            <w:sdtContent>
              <w:r w:rsidR="00941034"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941034" w:rsidRDefault="00941034"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941034" w:rsidRDefault="00941034"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941034" w:rsidRPr="00FE501F" w:rsidRDefault="00941034"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434ACF24"/>
    <w:lvl w:ilvl="0" w:tplc="346EBF72">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6F14A2"/>
    <w:multiLevelType w:val="hybridMultilevel"/>
    <w:tmpl w:val="704C8590"/>
    <w:lvl w:ilvl="0" w:tplc="FFAAB2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07B72D5"/>
    <w:multiLevelType w:val="hybridMultilevel"/>
    <w:tmpl w:val="3878B570"/>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9B15D7"/>
    <w:multiLevelType w:val="hybridMultilevel"/>
    <w:tmpl w:val="D6DAFC32"/>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084DA1"/>
    <w:multiLevelType w:val="hybridMultilevel"/>
    <w:tmpl w:val="B3045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10"/>
  </w:num>
  <w:num w:numId="5">
    <w:abstractNumId w:val="6"/>
  </w:num>
  <w:num w:numId="6">
    <w:abstractNumId w:val="9"/>
  </w:num>
  <w:num w:numId="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7"/>
  </w:num>
  <w:num w:numId="9">
    <w:abstractNumId w:val="8"/>
  </w:num>
  <w:num w:numId="10">
    <w:abstractNumId w:val="11"/>
  </w:num>
  <w:num w:numId="11">
    <w:abstractNumId w:val="5"/>
  </w:num>
  <w:num w:numId="12">
    <w:abstractNumId w:val="0"/>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0CC2"/>
    <w:rsid w:val="0005789F"/>
    <w:rsid w:val="00077844"/>
    <w:rsid w:val="00094B81"/>
    <w:rsid w:val="000975AA"/>
    <w:rsid w:val="000A1BEA"/>
    <w:rsid w:val="000C16DC"/>
    <w:rsid w:val="000D4FB1"/>
    <w:rsid w:val="000D7934"/>
    <w:rsid w:val="00101FB1"/>
    <w:rsid w:val="00103675"/>
    <w:rsid w:val="00111A92"/>
    <w:rsid w:val="0012473C"/>
    <w:rsid w:val="00127B21"/>
    <w:rsid w:val="0013528C"/>
    <w:rsid w:val="00162EC1"/>
    <w:rsid w:val="00165241"/>
    <w:rsid w:val="00165D28"/>
    <w:rsid w:val="00175CD8"/>
    <w:rsid w:val="001B6D08"/>
    <w:rsid w:val="001C1C2E"/>
    <w:rsid w:val="001F75E5"/>
    <w:rsid w:val="00201053"/>
    <w:rsid w:val="0020369B"/>
    <w:rsid w:val="00226F39"/>
    <w:rsid w:val="0023473B"/>
    <w:rsid w:val="00241B60"/>
    <w:rsid w:val="002442B4"/>
    <w:rsid w:val="00244384"/>
    <w:rsid w:val="002507B3"/>
    <w:rsid w:val="002556B1"/>
    <w:rsid w:val="00270509"/>
    <w:rsid w:val="00283F17"/>
    <w:rsid w:val="002A3AA3"/>
    <w:rsid w:val="002A66E0"/>
    <w:rsid w:val="002C5E29"/>
    <w:rsid w:val="002D7127"/>
    <w:rsid w:val="002E1DCB"/>
    <w:rsid w:val="003008D8"/>
    <w:rsid w:val="00303959"/>
    <w:rsid w:val="0030636D"/>
    <w:rsid w:val="00314430"/>
    <w:rsid w:val="00324B33"/>
    <w:rsid w:val="00346EC2"/>
    <w:rsid w:val="0035444D"/>
    <w:rsid w:val="00376E45"/>
    <w:rsid w:val="00395140"/>
    <w:rsid w:val="003B29C2"/>
    <w:rsid w:val="003D71A1"/>
    <w:rsid w:val="0041688F"/>
    <w:rsid w:val="004200D4"/>
    <w:rsid w:val="0042376F"/>
    <w:rsid w:val="004246B8"/>
    <w:rsid w:val="00433318"/>
    <w:rsid w:val="004426B0"/>
    <w:rsid w:val="00457303"/>
    <w:rsid w:val="00464BAB"/>
    <w:rsid w:val="0047699B"/>
    <w:rsid w:val="00477C4E"/>
    <w:rsid w:val="00481797"/>
    <w:rsid w:val="00491A55"/>
    <w:rsid w:val="004A79D5"/>
    <w:rsid w:val="004B2F77"/>
    <w:rsid w:val="004B3081"/>
    <w:rsid w:val="004E64B1"/>
    <w:rsid w:val="00504F76"/>
    <w:rsid w:val="00535DFE"/>
    <w:rsid w:val="0055386B"/>
    <w:rsid w:val="0055561A"/>
    <w:rsid w:val="005568B8"/>
    <w:rsid w:val="00562F42"/>
    <w:rsid w:val="0056766D"/>
    <w:rsid w:val="0057279B"/>
    <w:rsid w:val="0058575E"/>
    <w:rsid w:val="0058783C"/>
    <w:rsid w:val="005911AE"/>
    <w:rsid w:val="0059313A"/>
    <w:rsid w:val="005B023F"/>
    <w:rsid w:val="005D2089"/>
    <w:rsid w:val="005D2E79"/>
    <w:rsid w:val="005D7514"/>
    <w:rsid w:val="005E1A7B"/>
    <w:rsid w:val="005E23E6"/>
    <w:rsid w:val="00620EBD"/>
    <w:rsid w:val="006277A1"/>
    <w:rsid w:val="00634DB7"/>
    <w:rsid w:val="006351D9"/>
    <w:rsid w:val="00637130"/>
    <w:rsid w:val="00637F0E"/>
    <w:rsid w:val="006423F2"/>
    <w:rsid w:val="00692CCD"/>
    <w:rsid w:val="006A104D"/>
    <w:rsid w:val="006A1F0B"/>
    <w:rsid w:val="006A277A"/>
    <w:rsid w:val="006A37CA"/>
    <w:rsid w:val="006C22BA"/>
    <w:rsid w:val="006D4304"/>
    <w:rsid w:val="006D6B44"/>
    <w:rsid w:val="007072A1"/>
    <w:rsid w:val="00710BC5"/>
    <w:rsid w:val="0072003B"/>
    <w:rsid w:val="00720D6F"/>
    <w:rsid w:val="007357B9"/>
    <w:rsid w:val="00740474"/>
    <w:rsid w:val="007452E8"/>
    <w:rsid w:val="00746990"/>
    <w:rsid w:val="00750D70"/>
    <w:rsid w:val="00764BA2"/>
    <w:rsid w:val="0077658F"/>
    <w:rsid w:val="0078664F"/>
    <w:rsid w:val="00793272"/>
    <w:rsid w:val="007A2833"/>
    <w:rsid w:val="007B04DE"/>
    <w:rsid w:val="007C18D7"/>
    <w:rsid w:val="007C57BC"/>
    <w:rsid w:val="007D4138"/>
    <w:rsid w:val="007E456C"/>
    <w:rsid w:val="007F0A77"/>
    <w:rsid w:val="007F18AD"/>
    <w:rsid w:val="007F26D8"/>
    <w:rsid w:val="007F50D3"/>
    <w:rsid w:val="008329DB"/>
    <w:rsid w:val="008361C5"/>
    <w:rsid w:val="0083628F"/>
    <w:rsid w:val="00837AB9"/>
    <w:rsid w:val="00850637"/>
    <w:rsid w:val="008557F6"/>
    <w:rsid w:val="00860B29"/>
    <w:rsid w:val="0086367A"/>
    <w:rsid w:val="008804CF"/>
    <w:rsid w:val="008964B3"/>
    <w:rsid w:val="008A666C"/>
    <w:rsid w:val="008C49C6"/>
    <w:rsid w:val="008D6A54"/>
    <w:rsid w:val="008F22A0"/>
    <w:rsid w:val="0090226F"/>
    <w:rsid w:val="00905F91"/>
    <w:rsid w:val="0090605E"/>
    <w:rsid w:val="009108CE"/>
    <w:rsid w:val="00924E54"/>
    <w:rsid w:val="009253BF"/>
    <w:rsid w:val="0092642A"/>
    <w:rsid w:val="00930D58"/>
    <w:rsid w:val="00941034"/>
    <w:rsid w:val="00943379"/>
    <w:rsid w:val="00957A6F"/>
    <w:rsid w:val="009659E2"/>
    <w:rsid w:val="0096650F"/>
    <w:rsid w:val="00966B9B"/>
    <w:rsid w:val="00966EF1"/>
    <w:rsid w:val="00970E5B"/>
    <w:rsid w:val="00972D84"/>
    <w:rsid w:val="009768D7"/>
    <w:rsid w:val="00983060"/>
    <w:rsid w:val="00996FA5"/>
    <w:rsid w:val="009E6F8C"/>
    <w:rsid w:val="009F3098"/>
    <w:rsid w:val="009F39E1"/>
    <w:rsid w:val="00A01C56"/>
    <w:rsid w:val="00A358E7"/>
    <w:rsid w:val="00A41BD4"/>
    <w:rsid w:val="00A51A2D"/>
    <w:rsid w:val="00A63D9B"/>
    <w:rsid w:val="00A76417"/>
    <w:rsid w:val="00A93DC6"/>
    <w:rsid w:val="00AB7CBF"/>
    <w:rsid w:val="00AC74BD"/>
    <w:rsid w:val="00AE1947"/>
    <w:rsid w:val="00B358CE"/>
    <w:rsid w:val="00B46BC0"/>
    <w:rsid w:val="00B500BC"/>
    <w:rsid w:val="00B55681"/>
    <w:rsid w:val="00B64EAC"/>
    <w:rsid w:val="00B967FF"/>
    <w:rsid w:val="00BA7F7D"/>
    <w:rsid w:val="00BB7BFC"/>
    <w:rsid w:val="00BC1006"/>
    <w:rsid w:val="00BD07DF"/>
    <w:rsid w:val="00BF4638"/>
    <w:rsid w:val="00C0245D"/>
    <w:rsid w:val="00C07551"/>
    <w:rsid w:val="00C11CB4"/>
    <w:rsid w:val="00C1276D"/>
    <w:rsid w:val="00C149EC"/>
    <w:rsid w:val="00C2097E"/>
    <w:rsid w:val="00C22214"/>
    <w:rsid w:val="00C24CBA"/>
    <w:rsid w:val="00C407AB"/>
    <w:rsid w:val="00C570FF"/>
    <w:rsid w:val="00C6574E"/>
    <w:rsid w:val="00C7565F"/>
    <w:rsid w:val="00CB0550"/>
    <w:rsid w:val="00CB0903"/>
    <w:rsid w:val="00CB365D"/>
    <w:rsid w:val="00CB4446"/>
    <w:rsid w:val="00CC6FA5"/>
    <w:rsid w:val="00CD22D2"/>
    <w:rsid w:val="00D078BE"/>
    <w:rsid w:val="00D122FC"/>
    <w:rsid w:val="00D13F8A"/>
    <w:rsid w:val="00D301B3"/>
    <w:rsid w:val="00D33247"/>
    <w:rsid w:val="00D62877"/>
    <w:rsid w:val="00D63760"/>
    <w:rsid w:val="00D918D5"/>
    <w:rsid w:val="00D93460"/>
    <w:rsid w:val="00D94C8E"/>
    <w:rsid w:val="00DA1249"/>
    <w:rsid w:val="00DB1CF3"/>
    <w:rsid w:val="00DE2E8B"/>
    <w:rsid w:val="00DF2B5F"/>
    <w:rsid w:val="00DF5BFE"/>
    <w:rsid w:val="00E053DD"/>
    <w:rsid w:val="00E171F6"/>
    <w:rsid w:val="00E221FA"/>
    <w:rsid w:val="00E47E0C"/>
    <w:rsid w:val="00E51813"/>
    <w:rsid w:val="00E53D3F"/>
    <w:rsid w:val="00E57B44"/>
    <w:rsid w:val="00E6614F"/>
    <w:rsid w:val="00E76B1D"/>
    <w:rsid w:val="00E8242F"/>
    <w:rsid w:val="00EC78E1"/>
    <w:rsid w:val="00ED6153"/>
    <w:rsid w:val="00EE36B1"/>
    <w:rsid w:val="00F02AEC"/>
    <w:rsid w:val="00F032B2"/>
    <w:rsid w:val="00F03D47"/>
    <w:rsid w:val="00F138E5"/>
    <w:rsid w:val="00F157FC"/>
    <w:rsid w:val="00F30AF3"/>
    <w:rsid w:val="00F36CB8"/>
    <w:rsid w:val="00F414EF"/>
    <w:rsid w:val="00F602CA"/>
    <w:rsid w:val="00F657B4"/>
    <w:rsid w:val="00F865A7"/>
    <w:rsid w:val="00FA0754"/>
    <w:rsid w:val="00FA1BC9"/>
    <w:rsid w:val="00FA49C3"/>
    <w:rsid w:val="00FB10EB"/>
    <w:rsid w:val="00FB236E"/>
    <w:rsid w:val="00FE7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0EB"/>
    <w:rPr>
      <w:rFonts w:ascii="Cambria" w:hAnsi="Cambria"/>
      <w:sz w:val="22"/>
    </w:rPr>
  </w:style>
  <w:style w:type="paragraph" w:styleId="Heading1">
    <w:name w:val="heading 1"/>
    <w:basedOn w:val="Normal"/>
    <w:next w:val="Normal"/>
    <w:link w:val="Heading1Char"/>
    <w:uiPriority w:val="9"/>
    <w:qFormat/>
    <w:rsid w:val="00CB09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CB365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B365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B365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56766D"/>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56766D"/>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FB10EB"/>
    <w:pPr>
      <w:keepLines/>
      <w:spacing w:after="0" w:line="240" w:lineRule="atLeast"/>
    </w:pPr>
    <w:rPr>
      <w:rFonts w:eastAsia="Cambria" w:cs="Times New Roman"/>
      <w:color w:val="333F48"/>
      <w:sz w:val="20"/>
    </w:rPr>
  </w:style>
  <w:style w:type="character" w:customStyle="1" w:styleId="FootnoteTextChar">
    <w:name w:val="Footnote Text Char"/>
    <w:basedOn w:val="DefaultParagraphFont"/>
    <w:link w:val="FootnoteText"/>
    <w:uiPriority w:val="99"/>
    <w:rsid w:val="00FB10EB"/>
    <w:rPr>
      <w:rFonts w:ascii="Cambria" w:eastAsia="Cambria" w:hAnsi="Cambria" w:cs="Times New Roman"/>
      <w:color w:val="333F48"/>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56766D"/>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0">
    <w:name w:val="Table Title"/>
    <w:basedOn w:val="Normal"/>
    <w:rsid w:val="00324B33"/>
    <w:pPr>
      <w:keepNext/>
      <w:spacing w:before="120" w:line="240" w:lineRule="atLeast"/>
    </w:pPr>
    <w:rPr>
      <w:rFonts w:eastAsia="Cambria" w:cs="Times New Roman"/>
      <w:b/>
      <w:szCs w:val="22"/>
    </w:rPr>
  </w:style>
  <w:style w:type="paragraph" w:customStyle="1" w:styleId="TableDescription0">
    <w:name w:val="Table Description"/>
    <w:basedOn w:val="Normal"/>
    <w:rsid w:val="0056766D"/>
    <w:pPr>
      <w:spacing w:before="120" w:after="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character" w:styleId="Emphasis">
    <w:name w:val="Emphasis"/>
    <w:basedOn w:val="DefaultParagraphFont"/>
    <w:uiPriority w:val="20"/>
    <w:qFormat/>
    <w:rsid w:val="00B358CE"/>
    <w:rPr>
      <w:i/>
      <w:iCs/>
    </w:rPr>
  </w:style>
  <w:style w:type="character" w:styleId="HTMLDefinition">
    <w:name w:val="HTML Definition"/>
    <w:basedOn w:val="DefaultParagraphFont"/>
    <w:uiPriority w:val="99"/>
    <w:semiHidden/>
    <w:unhideWhenUsed/>
    <w:rsid w:val="00B358CE"/>
    <w:rPr>
      <w:i/>
      <w:iCs/>
    </w:rPr>
  </w:style>
  <w:style w:type="paragraph" w:customStyle="1" w:styleId="Default">
    <w:name w:val="Default"/>
    <w:rsid w:val="00B358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basedOn w:val="Normal"/>
    <w:link w:val="StandardChar"/>
    <w:qFormat/>
    <w:rsid w:val="00B358CE"/>
    <w:pPr>
      <w:spacing w:after="18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B358CE"/>
    <w:rPr>
      <w:rFonts w:ascii="Cambria" w:eastAsia="Times New Roman" w:hAnsi="Cambria" w:cs="Times New Roman"/>
      <w:snapToGrid w:val="0"/>
      <w:kern w:val="16"/>
      <w:sz w:val="22"/>
      <w:szCs w:val="24"/>
    </w:rPr>
  </w:style>
  <w:style w:type="paragraph" w:customStyle="1" w:styleId="TableText">
    <w:name w:val="Table Text"/>
    <w:basedOn w:val="Normal"/>
    <w:next w:val="Normal"/>
    <w:rsid w:val="00B358CE"/>
    <w:pPr>
      <w:spacing w:before="60" w:after="60"/>
    </w:pPr>
    <w:rPr>
      <w:rFonts w:asciiTheme="minorHAnsi" w:eastAsia="Times New Roman" w:hAnsiTheme="minorHAnsi" w:cs="Times New Roman"/>
      <w:sz w:val="18"/>
    </w:rPr>
  </w:style>
  <w:style w:type="paragraph" w:customStyle="1" w:styleId="Bulletpoint">
    <w:name w:val="Bullet point"/>
    <w:basedOn w:val="Standard"/>
    <w:rsid w:val="00B358CE"/>
    <w:pPr>
      <w:numPr>
        <w:numId w:val="9"/>
      </w:numPr>
      <w:tabs>
        <w:tab w:val="left" w:pos="397"/>
      </w:tabs>
    </w:pPr>
  </w:style>
  <w:style w:type="paragraph" w:styleId="ListParagraph">
    <w:name w:val="List Paragraph"/>
    <w:basedOn w:val="Normal"/>
    <w:uiPriority w:val="34"/>
    <w:qFormat/>
    <w:rsid w:val="00B358CE"/>
    <w:pPr>
      <w:spacing w:after="0" w:line="240" w:lineRule="auto"/>
      <w:ind w:left="720"/>
      <w:contextualSpacing/>
    </w:pPr>
    <w:rPr>
      <w:rFonts w:eastAsia="MS Mincho"/>
      <w:szCs w:val="22"/>
    </w:rPr>
  </w:style>
  <w:style w:type="paragraph" w:styleId="Caption">
    <w:name w:val="caption"/>
    <w:basedOn w:val="Normal"/>
    <w:next w:val="Normal"/>
    <w:uiPriority w:val="35"/>
    <w:unhideWhenUsed/>
    <w:qFormat/>
    <w:rsid w:val="00CB365D"/>
    <w:pPr>
      <w:spacing w:after="200" w:line="240" w:lineRule="auto"/>
    </w:pPr>
    <w:rPr>
      <w:i/>
      <w:iCs/>
      <w:color w:val="44546A" w:themeColor="text2"/>
      <w:sz w:val="18"/>
      <w:szCs w:val="18"/>
    </w:rPr>
  </w:style>
  <w:style w:type="character" w:customStyle="1" w:styleId="Heading7Char">
    <w:name w:val="Heading 7 Char"/>
    <w:basedOn w:val="DefaultParagraphFont"/>
    <w:link w:val="Heading7"/>
    <w:uiPriority w:val="9"/>
    <w:rsid w:val="00CB365D"/>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CB365D"/>
    <w:rPr>
      <w:rFonts w:asciiTheme="majorHAnsi" w:eastAsiaTheme="majorEastAsia" w:hAnsiTheme="majorHAnsi" w:cstheme="majorBidi"/>
      <w:color w:val="272727" w:themeColor="text1" w:themeTint="D8"/>
      <w:sz w:val="21"/>
      <w:szCs w:val="21"/>
    </w:rPr>
  </w:style>
  <w:style w:type="paragraph" w:customStyle="1" w:styleId="Bulletlist">
    <w:name w:val="Bullet list"/>
    <w:basedOn w:val="Standard"/>
    <w:link w:val="BulletlistChar"/>
    <w:qFormat/>
    <w:rsid w:val="00CB365D"/>
    <w:pPr>
      <w:numPr>
        <w:numId w:val="12"/>
      </w:numPr>
      <w:ind w:left="426" w:hanging="284"/>
    </w:pPr>
    <w:rPr>
      <w:kern w:val="2"/>
      <w:sz w:val="23"/>
      <w:szCs w:val="22"/>
    </w:rPr>
  </w:style>
  <w:style w:type="character" w:customStyle="1" w:styleId="BulletlistChar">
    <w:name w:val="Bullet list Char"/>
    <w:basedOn w:val="StandardChar"/>
    <w:link w:val="Bulletlist"/>
    <w:rsid w:val="00CB365D"/>
    <w:rPr>
      <w:rFonts w:ascii="Cambria" w:eastAsia="Times New Roman" w:hAnsi="Cambria" w:cs="Times New Roman"/>
      <w:snapToGrid w:val="0"/>
      <w:kern w:val="2"/>
      <w:sz w:val="23"/>
      <w:szCs w:val="22"/>
    </w:rPr>
  </w:style>
  <w:style w:type="paragraph" w:customStyle="1" w:styleId="Tabletext0">
    <w:name w:val="Table text"/>
    <w:basedOn w:val="Standard"/>
    <w:link w:val="TabletextChar"/>
    <w:qFormat/>
    <w:rsid w:val="00CB365D"/>
    <w:pPr>
      <w:spacing w:before="20" w:after="20"/>
    </w:pPr>
  </w:style>
  <w:style w:type="character" w:customStyle="1" w:styleId="TabletextChar">
    <w:name w:val="Table text Char"/>
    <w:basedOn w:val="StandardChar"/>
    <w:link w:val="Tabletext0"/>
    <w:rsid w:val="00CB365D"/>
    <w:rPr>
      <w:rFonts w:ascii="Cambria" w:eastAsia="Times New Roman" w:hAnsi="Cambria" w:cs="Times New Roman"/>
      <w:snapToGrid w:val="0"/>
      <w:kern w:val="16"/>
      <w:sz w:val="22"/>
      <w:szCs w:val="24"/>
    </w:rPr>
  </w:style>
  <w:style w:type="character" w:customStyle="1" w:styleId="Heading9Char">
    <w:name w:val="Heading 9 Char"/>
    <w:basedOn w:val="DefaultParagraphFont"/>
    <w:link w:val="Heading9"/>
    <w:uiPriority w:val="9"/>
    <w:rsid w:val="00CB365D"/>
    <w:rPr>
      <w:rFonts w:asciiTheme="majorHAnsi" w:eastAsiaTheme="majorEastAsia" w:hAnsiTheme="majorHAnsi" w:cstheme="majorBidi"/>
      <w:i/>
      <w:iCs/>
      <w:color w:val="272727" w:themeColor="text1" w:themeTint="D8"/>
      <w:sz w:val="21"/>
      <w:szCs w:val="21"/>
    </w:rPr>
  </w:style>
  <w:style w:type="paragraph" w:customStyle="1" w:styleId="TableHeading">
    <w:name w:val="Table Heading"/>
    <w:basedOn w:val="Normal"/>
    <w:rsid w:val="0055561A"/>
    <w:pPr>
      <w:spacing w:before="120" w:line="240" w:lineRule="atLeast"/>
    </w:pPr>
    <w:rPr>
      <w:rFonts w:ascii="Calibri" w:eastAsia="Calibri" w:hAnsi="Calibri" w:cs="Times New Roman"/>
      <w:b/>
      <w:color w:val="FFFFFF"/>
      <w:sz w:val="20"/>
      <w:szCs w:val="22"/>
    </w:rPr>
  </w:style>
  <w:style w:type="character" w:customStyle="1" w:styleId="Heading1Char">
    <w:name w:val="Heading 1 Char"/>
    <w:basedOn w:val="DefaultParagraphFont"/>
    <w:link w:val="Heading1"/>
    <w:uiPriority w:val="9"/>
    <w:rsid w:val="00CB090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563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0659759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71049499">
      <w:bodyDiv w:val="1"/>
      <w:marLeft w:val="0"/>
      <w:marRight w:val="0"/>
      <w:marTop w:val="0"/>
      <w:marBottom w:val="0"/>
      <w:divBdr>
        <w:top w:val="none" w:sz="0" w:space="0" w:color="auto"/>
        <w:left w:val="none" w:sz="0" w:space="0" w:color="auto"/>
        <w:bottom w:val="none" w:sz="0" w:space="0" w:color="auto"/>
        <w:right w:val="none" w:sz="0" w:space="0" w:color="auto"/>
      </w:divBdr>
    </w:div>
    <w:div w:id="154194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health.gov.au/topics/immunisation/vaccines/pneumococcal-immunisation-service?language=und" TargetMode="External"/><Relationship Id="rId26" Type="http://schemas.openxmlformats.org/officeDocument/2006/relationships/image" Target="media/image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hyperlink" Target="https://www.health.gov.au/our-work/national-immunisation-program" TargetMode="External"/><Relationship Id="rId42"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immunisationhandbook.health.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hyperlink" Target="https://www.health.gov.au/topics/immunisation/vaccines/pneumococcal-immunisation-service?language=und" TargetMode="External"/><Relationship Id="rId38" Type="http://schemas.openxmlformats.org/officeDocument/2006/relationships/hyperlink" Target="https://www.tga.gov.au/picmi-search-facili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au/topics/immunisation/when-to-get-vaccinated/national-immunisation-program-schedule" TargetMode="External"/><Relationship Id="rId20" Type="http://schemas.openxmlformats.org/officeDocument/2006/relationships/hyperlink" Target="https://www.health.gov.au/committees-and-groups/australian-technical-advisory-group-on-immunisation-atagi" TargetMode="External"/><Relationship Id="rId29" Type="http://schemas.openxmlformats.org/officeDocument/2006/relationships/image" Target="media/image7.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icmi-search-facility" TargetMode="External"/><Relationship Id="rId32" Type="http://schemas.openxmlformats.org/officeDocument/2006/relationships/image" Target="media/image10.png"/><Relationship Id="rId37" Type="http://schemas.openxmlformats.org/officeDocument/2006/relationships/hyperlink" Target="https://www.tga.gov.au/committee/advisory-committee-vaccines-acv"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image" Target="media/image6.png"/><Relationship Id="rId36" Type="http://schemas.openxmlformats.org/officeDocument/2006/relationships/hyperlink" Target="https://www.health.gov.au/committees-and-groups/australian-technical-advisory-group-on-immunisation-atagi" TargetMode="External"/><Relationship Id="rId10" Type="http://schemas.openxmlformats.org/officeDocument/2006/relationships/header" Target="header2.xml"/><Relationship Id="rId19" Type="http://schemas.openxmlformats.org/officeDocument/2006/relationships/hyperlink" Target="https://www.health.gov.au/committees-and-groups/australian-technical-advisory-group-on-immunisation-atagi" TargetMode="External"/><Relationship Id="rId31" Type="http://schemas.openxmlformats.org/officeDocument/2006/relationships/image" Target="media/image9.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health.gov.au/committees-and-groups/australian-technical-advisory-group-on-immunisation-atagi"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health-topics/immunisation/when-to-get-vaccinated/national-immunisation-program-schedule" TargetMode="External"/><Relationship Id="rId2" Type="http://schemas.openxmlformats.org/officeDocument/2006/relationships/hyperlink" Target="https://immunisationhandbook.health.gov.au/resources/publications/pneumococcal-vaccination-for-all-australians" TargetMode="External"/><Relationship Id="rId1" Type="http://schemas.openxmlformats.org/officeDocument/2006/relationships/hyperlink" Target="https://www.ncirs.org.au/ncirs-fact-sheets-faqs/pneumococcal-vaccines-australians" TargetMode="External"/><Relationship Id="rId5" Type="http://schemas.openxmlformats.org/officeDocument/2006/relationships/hyperlink" Target="https://www.tga.gov.au/sites/default/files/2022-10/auspar-vaxneuvance-20221012.pdf" TargetMode="External"/><Relationship Id="rId4" Type="http://schemas.openxmlformats.org/officeDocument/2006/relationships/hyperlink" Target="https://www.tga.gov.au/sites/default/files/auspar-prevenar-13-111215.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5750E-CDED-453F-A96F-1D2DDFFDE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39</Pages>
  <Words>12381</Words>
  <Characters>70575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Prevenar 20</dc:title>
  <dc:subject>Prescription medicine regulation</dc:subject>
  <dc:creator>Therapeutic Goods Administration</dc:creator>
  <cp:keywords/>
  <dc:description/>
  <cp:lastModifiedBy>PITKIN, Brendan</cp:lastModifiedBy>
  <cp:revision>25</cp:revision>
  <dcterms:created xsi:type="dcterms:W3CDTF">2023-05-09T00:26:00Z</dcterms:created>
  <dcterms:modified xsi:type="dcterms:W3CDTF">2023-05-19T02:39:00Z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2023-04-12T23:39:26Z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4dc03a1a-b8a6-493f-a6e7-93eb213d63b4</vt:lpwstr>
  </property>
  <property fmtid="{D5CDD505-2E9C-101B-9397-08002B2CF9AE}" pid="8" name="MSIP_Label_4791b42f-c435-42ca-9531-75a3f42aae3d_ContentBits">
    <vt:lpwstr>0</vt:lpwstr>
  </property>
</Properties>
</file>