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121707E" w:rsidR="00F02AEC" w:rsidRPr="00215D48" w:rsidRDefault="00346EC2" w:rsidP="00E81A91">
            <w:pPr>
              <w:pStyle w:val="Title"/>
            </w:pPr>
            <w:r w:rsidRPr="00346EC2">
              <w:t>Australia</w:t>
            </w:r>
            <w:r w:rsidR="00E81A91">
              <w:t>n Public Assessment Report for Keytruda</w:t>
            </w:r>
          </w:p>
        </w:tc>
      </w:tr>
      <w:tr w:rsidR="00F02AEC" w:rsidRPr="00215D48" w14:paraId="318A40A3" w14:textId="77777777" w:rsidTr="00346EC2">
        <w:trPr>
          <w:trHeight w:val="995"/>
        </w:trPr>
        <w:tc>
          <w:tcPr>
            <w:tcW w:w="8720" w:type="dxa"/>
          </w:tcPr>
          <w:p w14:paraId="1AA7C701" w14:textId="7D78EC27" w:rsidR="00F02AEC" w:rsidRPr="00215D48" w:rsidRDefault="00E81A91" w:rsidP="00E81A91">
            <w:pPr>
              <w:pStyle w:val="Subtitle"/>
              <w:ind w:left="0"/>
            </w:pPr>
            <w:r>
              <w:t>Active ingredient</w:t>
            </w:r>
            <w:r w:rsidR="00346EC2" w:rsidRPr="00346EC2">
              <w:t xml:space="preserve">: </w:t>
            </w:r>
            <w:r>
              <w:t>Pembrol</w:t>
            </w:r>
            <w:r w:rsidR="002E04D4">
              <w:t>izumab</w:t>
            </w:r>
          </w:p>
        </w:tc>
      </w:tr>
      <w:tr w:rsidR="00346EC2" w:rsidRPr="00215D48" w14:paraId="362CCAE4" w14:textId="77777777" w:rsidTr="007452E8">
        <w:trPr>
          <w:trHeight w:val="1916"/>
        </w:trPr>
        <w:tc>
          <w:tcPr>
            <w:tcW w:w="8720" w:type="dxa"/>
          </w:tcPr>
          <w:p w14:paraId="709C45C0" w14:textId="15F30186" w:rsidR="00346EC2" w:rsidRPr="00215D48" w:rsidRDefault="002E04D4" w:rsidP="00371B97">
            <w:pPr>
              <w:pStyle w:val="Subtitle"/>
              <w:ind w:left="1728" w:hanging="1728"/>
            </w:pPr>
            <w:r>
              <w:t>Sponsor: Merc</w:t>
            </w:r>
            <w:r w:rsidR="00371B97">
              <w:t>k Sharp &amp; Dohme (Australia) Pty </w:t>
            </w:r>
            <w:r>
              <w:t>Ltd</w:t>
            </w:r>
          </w:p>
        </w:tc>
      </w:tr>
      <w:tr w:rsidR="00F02AEC" w:rsidRPr="00215D48" w14:paraId="37F2AA1F" w14:textId="77777777" w:rsidTr="007452E8">
        <w:tc>
          <w:tcPr>
            <w:tcW w:w="8720" w:type="dxa"/>
          </w:tcPr>
          <w:p w14:paraId="1FDE8DCD" w14:textId="74BA5175" w:rsidR="00F02AEC" w:rsidRPr="00215D48" w:rsidRDefault="00591A50" w:rsidP="002E04D4">
            <w:pPr>
              <w:pStyle w:val="Date"/>
            </w:pPr>
            <w:r>
              <w:t xml:space="preserve">June </w:t>
            </w:r>
            <w:r w:rsidR="002E04D4">
              <w:t>2023</w:t>
            </w:r>
          </w:p>
        </w:tc>
      </w:tr>
    </w:tbl>
    <w:p w14:paraId="73752706" w14:textId="77777777" w:rsidR="00F02AEC" w:rsidRPr="00215D48" w:rsidRDefault="00F02AEC" w:rsidP="007452E8">
      <w:pPr>
        <w:pStyle w:val="ListBullet"/>
        <w:numPr>
          <w:ilvl w:val="0"/>
          <w:numId w:val="0"/>
        </w:numPr>
        <w:sectPr w:rsidR="00F02AEC" w:rsidRPr="00215D48" w:rsidSect="00011226">
          <w:headerReference w:type="default" r:id="rId11"/>
          <w:footerReference w:type="default" r:id="rId12"/>
          <w:headerReference w:type="first" r:id="rId13"/>
          <w:footerReference w:type="first" r:id="rId14"/>
          <w:pgSz w:w="11906" w:h="16838"/>
          <w:pgMar w:top="1440" w:right="1440" w:bottom="1440" w:left="1440" w:header="706" w:footer="706"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0C2C7B5"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B743204"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761BD3">
      <w:pPr>
        <w:pStyle w:val="LegalSubheading"/>
        <w:spacing w:before="3600"/>
      </w:pPr>
      <w:r w:rsidRPr="00BA0DFC">
        <w:t>Copyright</w:t>
      </w:r>
    </w:p>
    <w:p w14:paraId="170A8A5D" w14:textId="03AF6CF8"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BDCFFD1" w14:textId="61DC53C7" w:rsidR="007F791A"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7117825" w:history="1">
            <w:r w:rsidR="007F791A" w:rsidRPr="009A29F7">
              <w:rPr>
                <w:rStyle w:val="Hyperlink"/>
                <w:noProof/>
              </w:rPr>
              <w:t>List of abbreviations</w:t>
            </w:r>
            <w:r w:rsidR="007F791A">
              <w:rPr>
                <w:noProof/>
                <w:webHidden/>
              </w:rPr>
              <w:tab/>
            </w:r>
            <w:r w:rsidR="007F791A">
              <w:rPr>
                <w:noProof/>
                <w:webHidden/>
              </w:rPr>
              <w:fldChar w:fldCharType="begin"/>
            </w:r>
            <w:r w:rsidR="007F791A">
              <w:rPr>
                <w:noProof/>
                <w:webHidden/>
              </w:rPr>
              <w:instrText xml:space="preserve"> PAGEREF _Toc137117825 \h </w:instrText>
            </w:r>
            <w:r w:rsidR="007F791A">
              <w:rPr>
                <w:noProof/>
                <w:webHidden/>
              </w:rPr>
            </w:r>
            <w:r w:rsidR="007F791A">
              <w:rPr>
                <w:noProof/>
                <w:webHidden/>
              </w:rPr>
              <w:fldChar w:fldCharType="separate"/>
            </w:r>
            <w:r w:rsidR="007F791A">
              <w:rPr>
                <w:noProof/>
                <w:webHidden/>
              </w:rPr>
              <w:t>4</w:t>
            </w:r>
            <w:r w:rsidR="007F791A">
              <w:rPr>
                <w:noProof/>
                <w:webHidden/>
              </w:rPr>
              <w:fldChar w:fldCharType="end"/>
            </w:r>
          </w:hyperlink>
        </w:p>
        <w:p w14:paraId="584EB79C" w14:textId="13BEEF43" w:rsidR="007F791A" w:rsidRDefault="00B82441">
          <w:pPr>
            <w:pStyle w:val="TOC1"/>
            <w:rPr>
              <w:rFonts w:asciiTheme="minorHAnsi" w:eastAsiaTheme="minorEastAsia" w:hAnsiTheme="minorHAnsi" w:cstheme="minorBidi"/>
              <w:b w:val="0"/>
              <w:noProof/>
              <w:color w:val="auto"/>
              <w:sz w:val="22"/>
              <w:szCs w:val="22"/>
              <w:lang w:eastAsia="en-AU"/>
            </w:rPr>
          </w:pPr>
          <w:hyperlink w:anchor="_Toc137117826" w:history="1">
            <w:r w:rsidR="007F791A" w:rsidRPr="009A29F7">
              <w:rPr>
                <w:rStyle w:val="Hyperlink"/>
                <w:noProof/>
              </w:rPr>
              <w:t>Product submission</w:t>
            </w:r>
            <w:r w:rsidR="007F791A">
              <w:rPr>
                <w:noProof/>
                <w:webHidden/>
              </w:rPr>
              <w:tab/>
            </w:r>
            <w:r w:rsidR="007F791A">
              <w:rPr>
                <w:noProof/>
                <w:webHidden/>
              </w:rPr>
              <w:fldChar w:fldCharType="begin"/>
            </w:r>
            <w:r w:rsidR="007F791A">
              <w:rPr>
                <w:noProof/>
                <w:webHidden/>
              </w:rPr>
              <w:instrText xml:space="preserve"> PAGEREF _Toc137117826 \h </w:instrText>
            </w:r>
            <w:r w:rsidR="007F791A">
              <w:rPr>
                <w:noProof/>
                <w:webHidden/>
              </w:rPr>
            </w:r>
            <w:r w:rsidR="007F791A">
              <w:rPr>
                <w:noProof/>
                <w:webHidden/>
              </w:rPr>
              <w:fldChar w:fldCharType="separate"/>
            </w:r>
            <w:r w:rsidR="007F791A">
              <w:rPr>
                <w:noProof/>
                <w:webHidden/>
              </w:rPr>
              <w:t>5</w:t>
            </w:r>
            <w:r w:rsidR="007F791A">
              <w:rPr>
                <w:noProof/>
                <w:webHidden/>
              </w:rPr>
              <w:fldChar w:fldCharType="end"/>
            </w:r>
          </w:hyperlink>
        </w:p>
        <w:p w14:paraId="5EE6CED6" w14:textId="1C8BB844"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27" w:history="1">
            <w:r w:rsidR="007F791A" w:rsidRPr="009A29F7">
              <w:rPr>
                <w:rStyle w:val="Hyperlink"/>
                <w:noProof/>
                <w:lang w:eastAsia="en-AU"/>
              </w:rPr>
              <w:t>Submission details</w:t>
            </w:r>
            <w:r w:rsidR="007F791A">
              <w:rPr>
                <w:noProof/>
                <w:webHidden/>
              </w:rPr>
              <w:tab/>
            </w:r>
            <w:r w:rsidR="007F791A">
              <w:rPr>
                <w:noProof/>
                <w:webHidden/>
              </w:rPr>
              <w:fldChar w:fldCharType="begin"/>
            </w:r>
            <w:r w:rsidR="007F791A">
              <w:rPr>
                <w:noProof/>
                <w:webHidden/>
              </w:rPr>
              <w:instrText xml:space="preserve"> PAGEREF _Toc137117827 \h </w:instrText>
            </w:r>
            <w:r w:rsidR="007F791A">
              <w:rPr>
                <w:noProof/>
                <w:webHidden/>
              </w:rPr>
            </w:r>
            <w:r w:rsidR="007F791A">
              <w:rPr>
                <w:noProof/>
                <w:webHidden/>
              </w:rPr>
              <w:fldChar w:fldCharType="separate"/>
            </w:r>
            <w:r w:rsidR="007F791A">
              <w:rPr>
                <w:noProof/>
                <w:webHidden/>
              </w:rPr>
              <w:t>5</w:t>
            </w:r>
            <w:r w:rsidR="007F791A">
              <w:rPr>
                <w:noProof/>
                <w:webHidden/>
              </w:rPr>
              <w:fldChar w:fldCharType="end"/>
            </w:r>
          </w:hyperlink>
        </w:p>
        <w:p w14:paraId="5799C88C" w14:textId="3CF41488"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28" w:history="1">
            <w:r w:rsidR="007F791A" w:rsidRPr="009A29F7">
              <w:rPr>
                <w:rStyle w:val="Hyperlink"/>
                <w:noProof/>
              </w:rPr>
              <w:t>Product background</w:t>
            </w:r>
            <w:r w:rsidR="007F791A">
              <w:rPr>
                <w:noProof/>
                <w:webHidden/>
              </w:rPr>
              <w:tab/>
            </w:r>
            <w:r w:rsidR="007F791A">
              <w:rPr>
                <w:noProof/>
                <w:webHidden/>
              </w:rPr>
              <w:fldChar w:fldCharType="begin"/>
            </w:r>
            <w:r w:rsidR="007F791A">
              <w:rPr>
                <w:noProof/>
                <w:webHidden/>
              </w:rPr>
              <w:instrText xml:space="preserve"> PAGEREF _Toc137117828 \h </w:instrText>
            </w:r>
            <w:r w:rsidR="007F791A">
              <w:rPr>
                <w:noProof/>
                <w:webHidden/>
              </w:rPr>
            </w:r>
            <w:r w:rsidR="007F791A">
              <w:rPr>
                <w:noProof/>
                <w:webHidden/>
              </w:rPr>
              <w:fldChar w:fldCharType="separate"/>
            </w:r>
            <w:r w:rsidR="007F791A">
              <w:rPr>
                <w:noProof/>
                <w:webHidden/>
              </w:rPr>
              <w:t>7</w:t>
            </w:r>
            <w:r w:rsidR="007F791A">
              <w:rPr>
                <w:noProof/>
                <w:webHidden/>
              </w:rPr>
              <w:fldChar w:fldCharType="end"/>
            </w:r>
          </w:hyperlink>
        </w:p>
        <w:p w14:paraId="41AF96C6" w14:textId="3D3DD711" w:rsidR="007F791A" w:rsidRDefault="00B82441">
          <w:pPr>
            <w:pStyle w:val="TOC3"/>
            <w:rPr>
              <w:rFonts w:asciiTheme="minorHAnsi" w:eastAsiaTheme="minorEastAsia" w:hAnsiTheme="minorHAnsi" w:cstheme="minorBidi"/>
              <w:b w:val="0"/>
              <w:noProof/>
              <w:color w:val="auto"/>
              <w:szCs w:val="22"/>
              <w:lang w:eastAsia="en-AU"/>
            </w:rPr>
          </w:pPr>
          <w:hyperlink w:anchor="_Toc137117829" w:history="1">
            <w:r w:rsidR="007F791A" w:rsidRPr="009A29F7">
              <w:rPr>
                <w:rStyle w:val="Hyperlink"/>
                <w:noProof/>
              </w:rPr>
              <w:t>Bladder cancer (urothelial carcinoma)</w:t>
            </w:r>
            <w:r w:rsidR="007F791A">
              <w:rPr>
                <w:noProof/>
                <w:webHidden/>
              </w:rPr>
              <w:tab/>
            </w:r>
            <w:r w:rsidR="007F791A">
              <w:rPr>
                <w:noProof/>
                <w:webHidden/>
              </w:rPr>
              <w:fldChar w:fldCharType="begin"/>
            </w:r>
            <w:r w:rsidR="007F791A">
              <w:rPr>
                <w:noProof/>
                <w:webHidden/>
              </w:rPr>
              <w:instrText xml:space="preserve"> PAGEREF _Toc137117829 \h </w:instrText>
            </w:r>
            <w:r w:rsidR="007F791A">
              <w:rPr>
                <w:noProof/>
                <w:webHidden/>
              </w:rPr>
            </w:r>
            <w:r w:rsidR="007F791A">
              <w:rPr>
                <w:noProof/>
                <w:webHidden/>
              </w:rPr>
              <w:fldChar w:fldCharType="separate"/>
            </w:r>
            <w:r w:rsidR="007F791A">
              <w:rPr>
                <w:noProof/>
                <w:webHidden/>
              </w:rPr>
              <w:t>7</w:t>
            </w:r>
            <w:r w:rsidR="007F791A">
              <w:rPr>
                <w:noProof/>
                <w:webHidden/>
              </w:rPr>
              <w:fldChar w:fldCharType="end"/>
            </w:r>
          </w:hyperlink>
        </w:p>
        <w:p w14:paraId="083803B3" w14:textId="6AD8DD01" w:rsidR="007F791A" w:rsidRDefault="00B82441">
          <w:pPr>
            <w:pStyle w:val="TOC3"/>
            <w:rPr>
              <w:rFonts w:asciiTheme="minorHAnsi" w:eastAsiaTheme="minorEastAsia" w:hAnsiTheme="minorHAnsi" w:cstheme="minorBidi"/>
              <w:b w:val="0"/>
              <w:noProof/>
              <w:color w:val="auto"/>
              <w:szCs w:val="22"/>
              <w:lang w:eastAsia="en-AU"/>
            </w:rPr>
          </w:pPr>
          <w:hyperlink w:anchor="_Toc137117830" w:history="1">
            <w:r w:rsidR="007F791A" w:rsidRPr="009A29F7">
              <w:rPr>
                <w:rStyle w:val="Hyperlink"/>
                <w:noProof/>
                <w:lang w:eastAsia="ja-JP"/>
              </w:rPr>
              <w:t>Current treatment options</w:t>
            </w:r>
            <w:r w:rsidR="007F791A">
              <w:rPr>
                <w:noProof/>
                <w:webHidden/>
              </w:rPr>
              <w:tab/>
            </w:r>
            <w:r w:rsidR="007F791A">
              <w:rPr>
                <w:noProof/>
                <w:webHidden/>
              </w:rPr>
              <w:fldChar w:fldCharType="begin"/>
            </w:r>
            <w:r w:rsidR="007F791A">
              <w:rPr>
                <w:noProof/>
                <w:webHidden/>
              </w:rPr>
              <w:instrText xml:space="preserve"> PAGEREF _Toc137117830 \h </w:instrText>
            </w:r>
            <w:r w:rsidR="007F791A">
              <w:rPr>
                <w:noProof/>
                <w:webHidden/>
              </w:rPr>
            </w:r>
            <w:r w:rsidR="007F791A">
              <w:rPr>
                <w:noProof/>
                <w:webHidden/>
              </w:rPr>
              <w:fldChar w:fldCharType="separate"/>
            </w:r>
            <w:r w:rsidR="007F791A">
              <w:rPr>
                <w:noProof/>
                <w:webHidden/>
              </w:rPr>
              <w:t>10</w:t>
            </w:r>
            <w:r w:rsidR="007F791A">
              <w:rPr>
                <w:noProof/>
                <w:webHidden/>
              </w:rPr>
              <w:fldChar w:fldCharType="end"/>
            </w:r>
          </w:hyperlink>
        </w:p>
        <w:p w14:paraId="67F28E5E" w14:textId="42D25B10" w:rsidR="007F791A" w:rsidRDefault="00B82441">
          <w:pPr>
            <w:pStyle w:val="TOC3"/>
            <w:rPr>
              <w:rFonts w:asciiTheme="minorHAnsi" w:eastAsiaTheme="minorEastAsia" w:hAnsiTheme="minorHAnsi" w:cstheme="minorBidi"/>
              <w:b w:val="0"/>
              <w:noProof/>
              <w:color w:val="auto"/>
              <w:szCs w:val="22"/>
              <w:lang w:eastAsia="en-AU"/>
            </w:rPr>
          </w:pPr>
          <w:hyperlink w:anchor="_Toc137117831" w:history="1">
            <w:r w:rsidR="007F791A" w:rsidRPr="009A29F7">
              <w:rPr>
                <w:rStyle w:val="Hyperlink"/>
                <w:noProof/>
                <w:lang w:eastAsia="ja-JP"/>
              </w:rPr>
              <w:t>Pembrolizumab</w:t>
            </w:r>
            <w:r w:rsidR="007F791A">
              <w:rPr>
                <w:noProof/>
                <w:webHidden/>
              </w:rPr>
              <w:tab/>
            </w:r>
            <w:r w:rsidR="007F791A">
              <w:rPr>
                <w:noProof/>
                <w:webHidden/>
              </w:rPr>
              <w:fldChar w:fldCharType="begin"/>
            </w:r>
            <w:r w:rsidR="007F791A">
              <w:rPr>
                <w:noProof/>
                <w:webHidden/>
              </w:rPr>
              <w:instrText xml:space="preserve"> PAGEREF _Toc137117831 \h </w:instrText>
            </w:r>
            <w:r w:rsidR="007F791A">
              <w:rPr>
                <w:noProof/>
                <w:webHidden/>
              </w:rPr>
            </w:r>
            <w:r w:rsidR="007F791A">
              <w:rPr>
                <w:noProof/>
                <w:webHidden/>
              </w:rPr>
              <w:fldChar w:fldCharType="separate"/>
            </w:r>
            <w:r w:rsidR="007F791A">
              <w:rPr>
                <w:noProof/>
                <w:webHidden/>
              </w:rPr>
              <w:t>12</w:t>
            </w:r>
            <w:r w:rsidR="007F791A">
              <w:rPr>
                <w:noProof/>
                <w:webHidden/>
              </w:rPr>
              <w:fldChar w:fldCharType="end"/>
            </w:r>
          </w:hyperlink>
        </w:p>
        <w:p w14:paraId="5F4C89A8" w14:textId="533E479E"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32" w:history="1">
            <w:r w:rsidR="007F791A" w:rsidRPr="009A29F7">
              <w:rPr>
                <w:rStyle w:val="Hyperlink"/>
                <w:noProof/>
              </w:rPr>
              <w:t>Regulatory status</w:t>
            </w:r>
            <w:r w:rsidR="007F791A">
              <w:rPr>
                <w:noProof/>
                <w:webHidden/>
              </w:rPr>
              <w:tab/>
            </w:r>
            <w:r w:rsidR="007F791A">
              <w:rPr>
                <w:noProof/>
                <w:webHidden/>
              </w:rPr>
              <w:fldChar w:fldCharType="begin"/>
            </w:r>
            <w:r w:rsidR="007F791A">
              <w:rPr>
                <w:noProof/>
                <w:webHidden/>
              </w:rPr>
              <w:instrText xml:space="preserve"> PAGEREF _Toc137117832 \h </w:instrText>
            </w:r>
            <w:r w:rsidR="007F791A">
              <w:rPr>
                <w:noProof/>
                <w:webHidden/>
              </w:rPr>
            </w:r>
            <w:r w:rsidR="007F791A">
              <w:rPr>
                <w:noProof/>
                <w:webHidden/>
              </w:rPr>
              <w:fldChar w:fldCharType="separate"/>
            </w:r>
            <w:r w:rsidR="007F791A">
              <w:rPr>
                <w:noProof/>
                <w:webHidden/>
              </w:rPr>
              <w:t>13</w:t>
            </w:r>
            <w:r w:rsidR="007F791A">
              <w:rPr>
                <w:noProof/>
                <w:webHidden/>
              </w:rPr>
              <w:fldChar w:fldCharType="end"/>
            </w:r>
          </w:hyperlink>
        </w:p>
        <w:p w14:paraId="1649E63F" w14:textId="00E51EA6" w:rsidR="007F791A" w:rsidRDefault="00B82441">
          <w:pPr>
            <w:pStyle w:val="TOC3"/>
            <w:rPr>
              <w:rFonts w:asciiTheme="minorHAnsi" w:eastAsiaTheme="minorEastAsia" w:hAnsiTheme="minorHAnsi" w:cstheme="minorBidi"/>
              <w:b w:val="0"/>
              <w:noProof/>
              <w:color w:val="auto"/>
              <w:szCs w:val="22"/>
              <w:lang w:eastAsia="en-AU"/>
            </w:rPr>
          </w:pPr>
          <w:hyperlink w:anchor="_Toc137117833" w:history="1">
            <w:r w:rsidR="007F791A" w:rsidRPr="009A29F7">
              <w:rPr>
                <w:rStyle w:val="Hyperlink"/>
                <w:noProof/>
              </w:rPr>
              <w:t>International regulatory status</w:t>
            </w:r>
            <w:r w:rsidR="007F791A">
              <w:rPr>
                <w:noProof/>
                <w:webHidden/>
              </w:rPr>
              <w:tab/>
            </w:r>
            <w:r w:rsidR="007F791A">
              <w:rPr>
                <w:noProof/>
                <w:webHidden/>
              </w:rPr>
              <w:fldChar w:fldCharType="begin"/>
            </w:r>
            <w:r w:rsidR="007F791A">
              <w:rPr>
                <w:noProof/>
                <w:webHidden/>
              </w:rPr>
              <w:instrText xml:space="preserve"> PAGEREF _Toc137117833 \h </w:instrText>
            </w:r>
            <w:r w:rsidR="007F791A">
              <w:rPr>
                <w:noProof/>
                <w:webHidden/>
              </w:rPr>
            </w:r>
            <w:r w:rsidR="007F791A">
              <w:rPr>
                <w:noProof/>
                <w:webHidden/>
              </w:rPr>
              <w:fldChar w:fldCharType="separate"/>
            </w:r>
            <w:r w:rsidR="007F791A">
              <w:rPr>
                <w:noProof/>
                <w:webHidden/>
              </w:rPr>
              <w:t>16</w:t>
            </w:r>
            <w:r w:rsidR="007F791A">
              <w:rPr>
                <w:noProof/>
                <w:webHidden/>
              </w:rPr>
              <w:fldChar w:fldCharType="end"/>
            </w:r>
          </w:hyperlink>
        </w:p>
        <w:p w14:paraId="2C12CE2A" w14:textId="06DE991E"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34" w:history="1">
            <w:r w:rsidR="007F791A" w:rsidRPr="009A29F7">
              <w:rPr>
                <w:rStyle w:val="Hyperlink"/>
                <w:noProof/>
              </w:rPr>
              <w:t>Product Information</w:t>
            </w:r>
            <w:r w:rsidR="007F791A">
              <w:rPr>
                <w:noProof/>
                <w:webHidden/>
              </w:rPr>
              <w:tab/>
            </w:r>
            <w:r w:rsidR="007F791A">
              <w:rPr>
                <w:noProof/>
                <w:webHidden/>
              </w:rPr>
              <w:fldChar w:fldCharType="begin"/>
            </w:r>
            <w:r w:rsidR="007F791A">
              <w:rPr>
                <w:noProof/>
                <w:webHidden/>
              </w:rPr>
              <w:instrText xml:space="preserve"> PAGEREF _Toc137117834 \h </w:instrText>
            </w:r>
            <w:r w:rsidR="007F791A">
              <w:rPr>
                <w:noProof/>
                <w:webHidden/>
              </w:rPr>
            </w:r>
            <w:r w:rsidR="007F791A">
              <w:rPr>
                <w:noProof/>
                <w:webHidden/>
              </w:rPr>
              <w:fldChar w:fldCharType="separate"/>
            </w:r>
            <w:r w:rsidR="007F791A">
              <w:rPr>
                <w:noProof/>
                <w:webHidden/>
              </w:rPr>
              <w:t>17</w:t>
            </w:r>
            <w:r w:rsidR="007F791A">
              <w:rPr>
                <w:noProof/>
                <w:webHidden/>
              </w:rPr>
              <w:fldChar w:fldCharType="end"/>
            </w:r>
          </w:hyperlink>
        </w:p>
        <w:p w14:paraId="687BDB7A" w14:textId="392E4F6F" w:rsidR="007F791A" w:rsidRDefault="00B82441">
          <w:pPr>
            <w:pStyle w:val="TOC1"/>
            <w:rPr>
              <w:rFonts w:asciiTheme="minorHAnsi" w:eastAsiaTheme="minorEastAsia" w:hAnsiTheme="minorHAnsi" w:cstheme="minorBidi"/>
              <w:b w:val="0"/>
              <w:noProof/>
              <w:color w:val="auto"/>
              <w:sz w:val="22"/>
              <w:szCs w:val="22"/>
              <w:lang w:eastAsia="en-AU"/>
            </w:rPr>
          </w:pPr>
          <w:hyperlink w:anchor="_Toc137117835" w:history="1">
            <w:r w:rsidR="007F791A" w:rsidRPr="009A29F7">
              <w:rPr>
                <w:rStyle w:val="Hyperlink"/>
                <w:noProof/>
              </w:rPr>
              <w:t>Registration timeline</w:t>
            </w:r>
            <w:r w:rsidR="007F791A">
              <w:rPr>
                <w:noProof/>
                <w:webHidden/>
              </w:rPr>
              <w:tab/>
            </w:r>
            <w:r w:rsidR="007F791A">
              <w:rPr>
                <w:noProof/>
                <w:webHidden/>
              </w:rPr>
              <w:fldChar w:fldCharType="begin"/>
            </w:r>
            <w:r w:rsidR="007F791A">
              <w:rPr>
                <w:noProof/>
                <w:webHidden/>
              </w:rPr>
              <w:instrText xml:space="preserve"> PAGEREF _Toc137117835 \h </w:instrText>
            </w:r>
            <w:r w:rsidR="007F791A">
              <w:rPr>
                <w:noProof/>
                <w:webHidden/>
              </w:rPr>
            </w:r>
            <w:r w:rsidR="007F791A">
              <w:rPr>
                <w:noProof/>
                <w:webHidden/>
              </w:rPr>
              <w:fldChar w:fldCharType="separate"/>
            </w:r>
            <w:r w:rsidR="007F791A">
              <w:rPr>
                <w:noProof/>
                <w:webHidden/>
              </w:rPr>
              <w:t>17</w:t>
            </w:r>
            <w:r w:rsidR="007F791A">
              <w:rPr>
                <w:noProof/>
                <w:webHidden/>
              </w:rPr>
              <w:fldChar w:fldCharType="end"/>
            </w:r>
          </w:hyperlink>
        </w:p>
        <w:p w14:paraId="729FB654" w14:textId="6D92E6D7" w:rsidR="007F791A" w:rsidRDefault="00B82441">
          <w:pPr>
            <w:pStyle w:val="TOC1"/>
            <w:rPr>
              <w:rFonts w:asciiTheme="minorHAnsi" w:eastAsiaTheme="minorEastAsia" w:hAnsiTheme="minorHAnsi" w:cstheme="minorBidi"/>
              <w:b w:val="0"/>
              <w:noProof/>
              <w:color w:val="auto"/>
              <w:sz w:val="22"/>
              <w:szCs w:val="22"/>
              <w:lang w:eastAsia="en-AU"/>
            </w:rPr>
          </w:pPr>
          <w:hyperlink w:anchor="_Toc137117836" w:history="1">
            <w:r w:rsidR="007F791A" w:rsidRPr="009A29F7">
              <w:rPr>
                <w:rStyle w:val="Hyperlink"/>
                <w:noProof/>
              </w:rPr>
              <w:t>Submission overview and risk/benefit assessment</w:t>
            </w:r>
            <w:r w:rsidR="007F791A">
              <w:rPr>
                <w:noProof/>
                <w:webHidden/>
              </w:rPr>
              <w:tab/>
            </w:r>
            <w:r w:rsidR="007F791A">
              <w:rPr>
                <w:noProof/>
                <w:webHidden/>
              </w:rPr>
              <w:fldChar w:fldCharType="begin"/>
            </w:r>
            <w:r w:rsidR="007F791A">
              <w:rPr>
                <w:noProof/>
                <w:webHidden/>
              </w:rPr>
              <w:instrText xml:space="preserve"> PAGEREF _Toc137117836 \h </w:instrText>
            </w:r>
            <w:r w:rsidR="007F791A">
              <w:rPr>
                <w:noProof/>
                <w:webHidden/>
              </w:rPr>
            </w:r>
            <w:r w:rsidR="007F791A">
              <w:rPr>
                <w:noProof/>
                <w:webHidden/>
              </w:rPr>
              <w:fldChar w:fldCharType="separate"/>
            </w:r>
            <w:r w:rsidR="007F791A">
              <w:rPr>
                <w:noProof/>
                <w:webHidden/>
              </w:rPr>
              <w:t>18</w:t>
            </w:r>
            <w:r w:rsidR="007F791A">
              <w:rPr>
                <w:noProof/>
                <w:webHidden/>
              </w:rPr>
              <w:fldChar w:fldCharType="end"/>
            </w:r>
          </w:hyperlink>
        </w:p>
        <w:p w14:paraId="74229AA4" w14:textId="70BA17FF"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37" w:history="1">
            <w:r w:rsidR="007F791A" w:rsidRPr="009A29F7">
              <w:rPr>
                <w:rStyle w:val="Hyperlink"/>
                <w:noProof/>
              </w:rPr>
              <w:t>Guidance and definitions</w:t>
            </w:r>
            <w:r w:rsidR="007F791A">
              <w:rPr>
                <w:noProof/>
                <w:webHidden/>
              </w:rPr>
              <w:tab/>
            </w:r>
            <w:r w:rsidR="007F791A">
              <w:rPr>
                <w:noProof/>
                <w:webHidden/>
              </w:rPr>
              <w:fldChar w:fldCharType="begin"/>
            </w:r>
            <w:r w:rsidR="007F791A">
              <w:rPr>
                <w:noProof/>
                <w:webHidden/>
              </w:rPr>
              <w:instrText xml:space="preserve"> PAGEREF _Toc137117837 \h </w:instrText>
            </w:r>
            <w:r w:rsidR="007F791A">
              <w:rPr>
                <w:noProof/>
                <w:webHidden/>
              </w:rPr>
            </w:r>
            <w:r w:rsidR="007F791A">
              <w:rPr>
                <w:noProof/>
                <w:webHidden/>
              </w:rPr>
              <w:fldChar w:fldCharType="separate"/>
            </w:r>
            <w:r w:rsidR="007F791A">
              <w:rPr>
                <w:noProof/>
                <w:webHidden/>
              </w:rPr>
              <w:t>18</w:t>
            </w:r>
            <w:r w:rsidR="007F791A">
              <w:rPr>
                <w:noProof/>
                <w:webHidden/>
              </w:rPr>
              <w:fldChar w:fldCharType="end"/>
            </w:r>
          </w:hyperlink>
        </w:p>
        <w:p w14:paraId="6E937598" w14:textId="1E1D23B9"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38" w:history="1">
            <w:r w:rsidR="007F791A" w:rsidRPr="009A29F7">
              <w:rPr>
                <w:rStyle w:val="Hyperlink"/>
                <w:noProof/>
              </w:rPr>
              <w:t>Quality</w:t>
            </w:r>
            <w:r w:rsidR="007F791A">
              <w:rPr>
                <w:noProof/>
                <w:webHidden/>
              </w:rPr>
              <w:tab/>
            </w:r>
            <w:r w:rsidR="007F791A">
              <w:rPr>
                <w:noProof/>
                <w:webHidden/>
              </w:rPr>
              <w:fldChar w:fldCharType="begin"/>
            </w:r>
            <w:r w:rsidR="007F791A">
              <w:rPr>
                <w:noProof/>
                <w:webHidden/>
              </w:rPr>
              <w:instrText xml:space="preserve"> PAGEREF _Toc137117838 \h </w:instrText>
            </w:r>
            <w:r w:rsidR="007F791A">
              <w:rPr>
                <w:noProof/>
                <w:webHidden/>
              </w:rPr>
            </w:r>
            <w:r w:rsidR="007F791A">
              <w:rPr>
                <w:noProof/>
                <w:webHidden/>
              </w:rPr>
              <w:fldChar w:fldCharType="separate"/>
            </w:r>
            <w:r w:rsidR="007F791A">
              <w:rPr>
                <w:noProof/>
                <w:webHidden/>
              </w:rPr>
              <w:t>19</w:t>
            </w:r>
            <w:r w:rsidR="007F791A">
              <w:rPr>
                <w:noProof/>
                <w:webHidden/>
              </w:rPr>
              <w:fldChar w:fldCharType="end"/>
            </w:r>
          </w:hyperlink>
        </w:p>
        <w:p w14:paraId="2A133757" w14:textId="5D5CA9B3"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39" w:history="1">
            <w:r w:rsidR="007F791A" w:rsidRPr="009A29F7">
              <w:rPr>
                <w:rStyle w:val="Hyperlink"/>
                <w:noProof/>
              </w:rPr>
              <w:t>Nonclinical</w:t>
            </w:r>
            <w:r w:rsidR="007F791A">
              <w:rPr>
                <w:noProof/>
                <w:webHidden/>
              </w:rPr>
              <w:tab/>
            </w:r>
            <w:r w:rsidR="007F791A">
              <w:rPr>
                <w:noProof/>
                <w:webHidden/>
              </w:rPr>
              <w:fldChar w:fldCharType="begin"/>
            </w:r>
            <w:r w:rsidR="007F791A">
              <w:rPr>
                <w:noProof/>
                <w:webHidden/>
              </w:rPr>
              <w:instrText xml:space="preserve"> PAGEREF _Toc137117839 \h </w:instrText>
            </w:r>
            <w:r w:rsidR="007F791A">
              <w:rPr>
                <w:noProof/>
                <w:webHidden/>
              </w:rPr>
            </w:r>
            <w:r w:rsidR="007F791A">
              <w:rPr>
                <w:noProof/>
                <w:webHidden/>
              </w:rPr>
              <w:fldChar w:fldCharType="separate"/>
            </w:r>
            <w:r w:rsidR="007F791A">
              <w:rPr>
                <w:noProof/>
                <w:webHidden/>
              </w:rPr>
              <w:t>20</w:t>
            </w:r>
            <w:r w:rsidR="007F791A">
              <w:rPr>
                <w:noProof/>
                <w:webHidden/>
              </w:rPr>
              <w:fldChar w:fldCharType="end"/>
            </w:r>
          </w:hyperlink>
        </w:p>
        <w:p w14:paraId="3E3EC678" w14:textId="5116C598"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40" w:history="1">
            <w:r w:rsidR="007F791A" w:rsidRPr="009A29F7">
              <w:rPr>
                <w:rStyle w:val="Hyperlink"/>
                <w:noProof/>
              </w:rPr>
              <w:t>Clinical</w:t>
            </w:r>
            <w:r w:rsidR="007F791A">
              <w:rPr>
                <w:noProof/>
                <w:webHidden/>
              </w:rPr>
              <w:tab/>
            </w:r>
            <w:r w:rsidR="007F791A">
              <w:rPr>
                <w:noProof/>
                <w:webHidden/>
              </w:rPr>
              <w:fldChar w:fldCharType="begin"/>
            </w:r>
            <w:r w:rsidR="007F791A">
              <w:rPr>
                <w:noProof/>
                <w:webHidden/>
              </w:rPr>
              <w:instrText xml:space="preserve"> PAGEREF _Toc137117840 \h </w:instrText>
            </w:r>
            <w:r w:rsidR="007F791A">
              <w:rPr>
                <w:noProof/>
                <w:webHidden/>
              </w:rPr>
            </w:r>
            <w:r w:rsidR="007F791A">
              <w:rPr>
                <w:noProof/>
                <w:webHidden/>
              </w:rPr>
              <w:fldChar w:fldCharType="separate"/>
            </w:r>
            <w:r w:rsidR="007F791A">
              <w:rPr>
                <w:noProof/>
                <w:webHidden/>
              </w:rPr>
              <w:t>20</w:t>
            </w:r>
            <w:r w:rsidR="007F791A">
              <w:rPr>
                <w:noProof/>
                <w:webHidden/>
              </w:rPr>
              <w:fldChar w:fldCharType="end"/>
            </w:r>
          </w:hyperlink>
        </w:p>
        <w:p w14:paraId="0950B679" w14:textId="0E663A23" w:rsidR="007F791A" w:rsidRDefault="00B82441">
          <w:pPr>
            <w:pStyle w:val="TOC3"/>
            <w:rPr>
              <w:rFonts w:asciiTheme="minorHAnsi" w:eastAsiaTheme="minorEastAsia" w:hAnsiTheme="minorHAnsi" w:cstheme="minorBidi"/>
              <w:b w:val="0"/>
              <w:noProof/>
              <w:color w:val="auto"/>
              <w:szCs w:val="22"/>
              <w:lang w:eastAsia="en-AU"/>
            </w:rPr>
          </w:pPr>
          <w:hyperlink w:anchor="_Toc137117841" w:history="1">
            <w:r w:rsidR="007F791A" w:rsidRPr="009A29F7">
              <w:rPr>
                <w:rStyle w:val="Hyperlink"/>
                <w:noProof/>
              </w:rPr>
              <w:t>Summary of clinical studies</w:t>
            </w:r>
            <w:r w:rsidR="007F791A">
              <w:rPr>
                <w:noProof/>
                <w:webHidden/>
              </w:rPr>
              <w:tab/>
            </w:r>
            <w:r w:rsidR="007F791A">
              <w:rPr>
                <w:noProof/>
                <w:webHidden/>
              </w:rPr>
              <w:fldChar w:fldCharType="begin"/>
            </w:r>
            <w:r w:rsidR="007F791A">
              <w:rPr>
                <w:noProof/>
                <w:webHidden/>
              </w:rPr>
              <w:instrText xml:space="preserve"> PAGEREF _Toc137117841 \h </w:instrText>
            </w:r>
            <w:r w:rsidR="007F791A">
              <w:rPr>
                <w:noProof/>
                <w:webHidden/>
              </w:rPr>
            </w:r>
            <w:r w:rsidR="007F791A">
              <w:rPr>
                <w:noProof/>
                <w:webHidden/>
              </w:rPr>
              <w:fldChar w:fldCharType="separate"/>
            </w:r>
            <w:r w:rsidR="007F791A">
              <w:rPr>
                <w:noProof/>
                <w:webHidden/>
              </w:rPr>
              <w:t>20</w:t>
            </w:r>
            <w:r w:rsidR="007F791A">
              <w:rPr>
                <w:noProof/>
                <w:webHidden/>
              </w:rPr>
              <w:fldChar w:fldCharType="end"/>
            </w:r>
          </w:hyperlink>
        </w:p>
        <w:p w14:paraId="7875015E" w14:textId="39FBA995" w:rsidR="007F791A" w:rsidRDefault="00B82441">
          <w:pPr>
            <w:pStyle w:val="TOC3"/>
            <w:rPr>
              <w:rFonts w:asciiTheme="minorHAnsi" w:eastAsiaTheme="minorEastAsia" w:hAnsiTheme="minorHAnsi" w:cstheme="minorBidi"/>
              <w:b w:val="0"/>
              <w:noProof/>
              <w:color w:val="auto"/>
              <w:szCs w:val="22"/>
              <w:lang w:eastAsia="en-AU"/>
            </w:rPr>
          </w:pPr>
          <w:hyperlink w:anchor="_Toc137117842" w:history="1">
            <w:r w:rsidR="007F791A" w:rsidRPr="009A29F7">
              <w:rPr>
                <w:rStyle w:val="Hyperlink"/>
                <w:noProof/>
              </w:rPr>
              <w:t>Efficacy</w:t>
            </w:r>
            <w:r w:rsidR="007F791A">
              <w:rPr>
                <w:noProof/>
                <w:webHidden/>
              </w:rPr>
              <w:tab/>
            </w:r>
            <w:r w:rsidR="007F791A">
              <w:rPr>
                <w:noProof/>
                <w:webHidden/>
              </w:rPr>
              <w:fldChar w:fldCharType="begin"/>
            </w:r>
            <w:r w:rsidR="007F791A">
              <w:rPr>
                <w:noProof/>
                <w:webHidden/>
              </w:rPr>
              <w:instrText xml:space="preserve"> PAGEREF _Toc137117842 \h </w:instrText>
            </w:r>
            <w:r w:rsidR="007F791A">
              <w:rPr>
                <w:noProof/>
                <w:webHidden/>
              </w:rPr>
            </w:r>
            <w:r w:rsidR="007F791A">
              <w:rPr>
                <w:noProof/>
                <w:webHidden/>
              </w:rPr>
              <w:fldChar w:fldCharType="separate"/>
            </w:r>
            <w:r w:rsidR="007F791A">
              <w:rPr>
                <w:noProof/>
                <w:webHidden/>
              </w:rPr>
              <w:t>20</w:t>
            </w:r>
            <w:r w:rsidR="007F791A">
              <w:rPr>
                <w:noProof/>
                <w:webHidden/>
              </w:rPr>
              <w:fldChar w:fldCharType="end"/>
            </w:r>
          </w:hyperlink>
        </w:p>
        <w:p w14:paraId="3BC262F1" w14:textId="31921FE0" w:rsidR="007F791A" w:rsidRDefault="00B82441">
          <w:pPr>
            <w:pStyle w:val="TOC3"/>
            <w:rPr>
              <w:rFonts w:asciiTheme="minorHAnsi" w:eastAsiaTheme="minorEastAsia" w:hAnsiTheme="minorHAnsi" w:cstheme="minorBidi"/>
              <w:b w:val="0"/>
              <w:noProof/>
              <w:color w:val="auto"/>
              <w:szCs w:val="22"/>
              <w:lang w:eastAsia="en-AU"/>
            </w:rPr>
          </w:pPr>
          <w:hyperlink w:anchor="_Toc137117843" w:history="1">
            <w:r w:rsidR="007F791A" w:rsidRPr="009A29F7">
              <w:rPr>
                <w:rStyle w:val="Hyperlink"/>
                <w:noProof/>
              </w:rPr>
              <w:t>Safety</w:t>
            </w:r>
            <w:r w:rsidR="007F791A">
              <w:rPr>
                <w:noProof/>
                <w:webHidden/>
              </w:rPr>
              <w:tab/>
            </w:r>
            <w:r w:rsidR="007F791A">
              <w:rPr>
                <w:noProof/>
                <w:webHidden/>
              </w:rPr>
              <w:fldChar w:fldCharType="begin"/>
            </w:r>
            <w:r w:rsidR="007F791A">
              <w:rPr>
                <w:noProof/>
                <w:webHidden/>
              </w:rPr>
              <w:instrText xml:space="preserve"> PAGEREF _Toc137117843 \h </w:instrText>
            </w:r>
            <w:r w:rsidR="007F791A">
              <w:rPr>
                <w:noProof/>
                <w:webHidden/>
              </w:rPr>
            </w:r>
            <w:r w:rsidR="007F791A">
              <w:rPr>
                <w:noProof/>
                <w:webHidden/>
              </w:rPr>
              <w:fldChar w:fldCharType="separate"/>
            </w:r>
            <w:r w:rsidR="007F791A">
              <w:rPr>
                <w:noProof/>
                <w:webHidden/>
              </w:rPr>
              <w:t>27</w:t>
            </w:r>
            <w:r w:rsidR="007F791A">
              <w:rPr>
                <w:noProof/>
                <w:webHidden/>
              </w:rPr>
              <w:fldChar w:fldCharType="end"/>
            </w:r>
          </w:hyperlink>
        </w:p>
        <w:p w14:paraId="2B5A91B1" w14:textId="7C37C685"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44" w:history="1">
            <w:r w:rsidR="007F791A" w:rsidRPr="009A29F7">
              <w:rPr>
                <w:rStyle w:val="Hyperlink"/>
                <w:noProof/>
                <w:lang w:eastAsia="en-AU"/>
              </w:rPr>
              <w:t>Risk management plan</w:t>
            </w:r>
            <w:r w:rsidR="007F791A">
              <w:rPr>
                <w:noProof/>
                <w:webHidden/>
              </w:rPr>
              <w:tab/>
            </w:r>
            <w:r w:rsidR="007F791A">
              <w:rPr>
                <w:noProof/>
                <w:webHidden/>
              </w:rPr>
              <w:fldChar w:fldCharType="begin"/>
            </w:r>
            <w:r w:rsidR="007F791A">
              <w:rPr>
                <w:noProof/>
                <w:webHidden/>
              </w:rPr>
              <w:instrText xml:space="preserve"> PAGEREF _Toc137117844 \h </w:instrText>
            </w:r>
            <w:r w:rsidR="007F791A">
              <w:rPr>
                <w:noProof/>
                <w:webHidden/>
              </w:rPr>
            </w:r>
            <w:r w:rsidR="007F791A">
              <w:rPr>
                <w:noProof/>
                <w:webHidden/>
              </w:rPr>
              <w:fldChar w:fldCharType="separate"/>
            </w:r>
            <w:r w:rsidR="007F791A">
              <w:rPr>
                <w:noProof/>
                <w:webHidden/>
              </w:rPr>
              <w:t>30</w:t>
            </w:r>
            <w:r w:rsidR="007F791A">
              <w:rPr>
                <w:noProof/>
                <w:webHidden/>
              </w:rPr>
              <w:fldChar w:fldCharType="end"/>
            </w:r>
          </w:hyperlink>
        </w:p>
        <w:p w14:paraId="4C93FA7B" w14:textId="1633C1BC" w:rsidR="007F791A" w:rsidRDefault="00B82441">
          <w:pPr>
            <w:pStyle w:val="TOC3"/>
            <w:rPr>
              <w:rFonts w:asciiTheme="minorHAnsi" w:eastAsiaTheme="minorEastAsia" w:hAnsiTheme="minorHAnsi" w:cstheme="minorBidi"/>
              <w:b w:val="0"/>
              <w:noProof/>
              <w:color w:val="auto"/>
              <w:szCs w:val="22"/>
              <w:lang w:eastAsia="en-AU"/>
            </w:rPr>
          </w:pPr>
          <w:hyperlink w:anchor="_Toc137117845" w:history="1">
            <w:r w:rsidR="007F791A" w:rsidRPr="009A29F7">
              <w:rPr>
                <w:rStyle w:val="Hyperlink"/>
                <w:noProof/>
              </w:rPr>
              <w:t>Wording for conditions of registration</w:t>
            </w:r>
            <w:r w:rsidR="007F791A">
              <w:rPr>
                <w:noProof/>
                <w:webHidden/>
              </w:rPr>
              <w:tab/>
            </w:r>
            <w:r w:rsidR="007F791A">
              <w:rPr>
                <w:noProof/>
                <w:webHidden/>
              </w:rPr>
              <w:fldChar w:fldCharType="begin"/>
            </w:r>
            <w:r w:rsidR="007F791A">
              <w:rPr>
                <w:noProof/>
                <w:webHidden/>
              </w:rPr>
              <w:instrText xml:space="preserve"> PAGEREF _Toc137117845 \h </w:instrText>
            </w:r>
            <w:r w:rsidR="007F791A">
              <w:rPr>
                <w:noProof/>
                <w:webHidden/>
              </w:rPr>
            </w:r>
            <w:r w:rsidR="007F791A">
              <w:rPr>
                <w:noProof/>
                <w:webHidden/>
              </w:rPr>
              <w:fldChar w:fldCharType="separate"/>
            </w:r>
            <w:r w:rsidR="007F791A">
              <w:rPr>
                <w:noProof/>
                <w:webHidden/>
              </w:rPr>
              <w:t>32</w:t>
            </w:r>
            <w:r w:rsidR="007F791A">
              <w:rPr>
                <w:noProof/>
                <w:webHidden/>
              </w:rPr>
              <w:fldChar w:fldCharType="end"/>
            </w:r>
          </w:hyperlink>
        </w:p>
        <w:p w14:paraId="63FD2FF3" w14:textId="79A70214"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46" w:history="1">
            <w:r w:rsidR="007F791A" w:rsidRPr="009A29F7">
              <w:rPr>
                <w:rStyle w:val="Hyperlink"/>
                <w:noProof/>
              </w:rPr>
              <w:t>Risk-benefit analysis</w:t>
            </w:r>
            <w:r w:rsidR="007F791A">
              <w:rPr>
                <w:noProof/>
                <w:webHidden/>
              </w:rPr>
              <w:tab/>
            </w:r>
            <w:r w:rsidR="007F791A">
              <w:rPr>
                <w:noProof/>
                <w:webHidden/>
              </w:rPr>
              <w:fldChar w:fldCharType="begin"/>
            </w:r>
            <w:r w:rsidR="007F791A">
              <w:rPr>
                <w:noProof/>
                <w:webHidden/>
              </w:rPr>
              <w:instrText xml:space="preserve"> PAGEREF _Toc137117846 \h </w:instrText>
            </w:r>
            <w:r w:rsidR="007F791A">
              <w:rPr>
                <w:noProof/>
                <w:webHidden/>
              </w:rPr>
            </w:r>
            <w:r w:rsidR="007F791A">
              <w:rPr>
                <w:noProof/>
                <w:webHidden/>
              </w:rPr>
              <w:fldChar w:fldCharType="separate"/>
            </w:r>
            <w:r w:rsidR="007F791A">
              <w:rPr>
                <w:noProof/>
                <w:webHidden/>
              </w:rPr>
              <w:t>33</w:t>
            </w:r>
            <w:r w:rsidR="007F791A">
              <w:rPr>
                <w:noProof/>
                <w:webHidden/>
              </w:rPr>
              <w:fldChar w:fldCharType="end"/>
            </w:r>
          </w:hyperlink>
        </w:p>
        <w:p w14:paraId="0325735E" w14:textId="5211AF58" w:rsidR="007F791A" w:rsidRDefault="00B82441">
          <w:pPr>
            <w:pStyle w:val="TOC3"/>
            <w:rPr>
              <w:rFonts w:asciiTheme="minorHAnsi" w:eastAsiaTheme="minorEastAsia" w:hAnsiTheme="minorHAnsi" w:cstheme="minorBidi"/>
              <w:b w:val="0"/>
              <w:noProof/>
              <w:color w:val="auto"/>
              <w:szCs w:val="22"/>
              <w:lang w:eastAsia="en-AU"/>
            </w:rPr>
          </w:pPr>
          <w:hyperlink w:anchor="_Toc137117847" w:history="1">
            <w:r w:rsidR="007F791A" w:rsidRPr="009A29F7">
              <w:rPr>
                <w:rStyle w:val="Hyperlink"/>
                <w:noProof/>
              </w:rPr>
              <w:t>Delegate’s considerations</w:t>
            </w:r>
            <w:r w:rsidR="007F791A">
              <w:rPr>
                <w:noProof/>
                <w:webHidden/>
              </w:rPr>
              <w:tab/>
            </w:r>
            <w:r w:rsidR="007F791A">
              <w:rPr>
                <w:noProof/>
                <w:webHidden/>
              </w:rPr>
              <w:fldChar w:fldCharType="begin"/>
            </w:r>
            <w:r w:rsidR="007F791A">
              <w:rPr>
                <w:noProof/>
                <w:webHidden/>
              </w:rPr>
              <w:instrText xml:space="preserve"> PAGEREF _Toc137117847 \h </w:instrText>
            </w:r>
            <w:r w:rsidR="007F791A">
              <w:rPr>
                <w:noProof/>
                <w:webHidden/>
              </w:rPr>
            </w:r>
            <w:r w:rsidR="007F791A">
              <w:rPr>
                <w:noProof/>
                <w:webHidden/>
              </w:rPr>
              <w:fldChar w:fldCharType="separate"/>
            </w:r>
            <w:r w:rsidR="007F791A">
              <w:rPr>
                <w:noProof/>
                <w:webHidden/>
              </w:rPr>
              <w:t>33</w:t>
            </w:r>
            <w:r w:rsidR="007F791A">
              <w:rPr>
                <w:noProof/>
                <w:webHidden/>
              </w:rPr>
              <w:fldChar w:fldCharType="end"/>
            </w:r>
          </w:hyperlink>
        </w:p>
        <w:p w14:paraId="4EC79AD0" w14:textId="74F73BF7" w:rsidR="007F791A" w:rsidRDefault="00B82441">
          <w:pPr>
            <w:pStyle w:val="TOC3"/>
            <w:rPr>
              <w:rFonts w:asciiTheme="minorHAnsi" w:eastAsiaTheme="minorEastAsia" w:hAnsiTheme="minorHAnsi" w:cstheme="minorBidi"/>
              <w:b w:val="0"/>
              <w:noProof/>
              <w:color w:val="auto"/>
              <w:szCs w:val="22"/>
              <w:lang w:eastAsia="en-AU"/>
            </w:rPr>
          </w:pPr>
          <w:hyperlink w:anchor="_Toc137117848" w:history="1">
            <w:r w:rsidR="007F791A" w:rsidRPr="009A29F7">
              <w:rPr>
                <w:rStyle w:val="Hyperlink"/>
                <w:noProof/>
              </w:rPr>
              <w:t>Proposed action</w:t>
            </w:r>
            <w:r w:rsidR="007F791A">
              <w:rPr>
                <w:noProof/>
                <w:webHidden/>
              </w:rPr>
              <w:tab/>
            </w:r>
            <w:r w:rsidR="007F791A">
              <w:rPr>
                <w:noProof/>
                <w:webHidden/>
              </w:rPr>
              <w:fldChar w:fldCharType="begin"/>
            </w:r>
            <w:r w:rsidR="007F791A">
              <w:rPr>
                <w:noProof/>
                <w:webHidden/>
              </w:rPr>
              <w:instrText xml:space="preserve"> PAGEREF _Toc137117848 \h </w:instrText>
            </w:r>
            <w:r w:rsidR="007F791A">
              <w:rPr>
                <w:noProof/>
                <w:webHidden/>
              </w:rPr>
            </w:r>
            <w:r w:rsidR="007F791A">
              <w:rPr>
                <w:noProof/>
                <w:webHidden/>
              </w:rPr>
              <w:fldChar w:fldCharType="separate"/>
            </w:r>
            <w:r w:rsidR="007F791A">
              <w:rPr>
                <w:noProof/>
                <w:webHidden/>
              </w:rPr>
              <w:t>35</w:t>
            </w:r>
            <w:r w:rsidR="007F791A">
              <w:rPr>
                <w:noProof/>
                <w:webHidden/>
              </w:rPr>
              <w:fldChar w:fldCharType="end"/>
            </w:r>
          </w:hyperlink>
        </w:p>
        <w:p w14:paraId="5A8B0A36" w14:textId="31EA5F24" w:rsidR="007F791A" w:rsidRDefault="00B82441">
          <w:pPr>
            <w:pStyle w:val="TOC3"/>
            <w:rPr>
              <w:rFonts w:asciiTheme="minorHAnsi" w:eastAsiaTheme="minorEastAsia" w:hAnsiTheme="minorHAnsi" w:cstheme="minorBidi"/>
              <w:b w:val="0"/>
              <w:noProof/>
              <w:color w:val="auto"/>
              <w:szCs w:val="22"/>
              <w:lang w:eastAsia="en-AU"/>
            </w:rPr>
          </w:pPr>
          <w:hyperlink w:anchor="_Toc137117849" w:history="1">
            <w:r w:rsidR="007F791A" w:rsidRPr="009A29F7">
              <w:rPr>
                <w:rStyle w:val="Hyperlink"/>
                <w:noProof/>
              </w:rPr>
              <w:t>Questions for the sponsor</w:t>
            </w:r>
            <w:r w:rsidR="007F791A">
              <w:rPr>
                <w:noProof/>
                <w:webHidden/>
              </w:rPr>
              <w:tab/>
            </w:r>
            <w:r w:rsidR="007F791A">
              <w:rPr>
                <w:noProof/>
                <w:webHidden/>
              </w:rPr>
              <w:fldChar w:fldCharType="begin"/>
            </w:r>
            <w:r w:rsidR="007F791A">
              <w:rPr>
                <w:noProof/>
                <w:webHidden/>
              </w:rPr>
              <w:instrText xml:space="preserve"> PAGEREF _Toc137117849 \h </w:instrText>
            </w:r>
            <w:r w:rsidR="007F791A">
              <w:rPr>
                <w:noProof/>
                <w:webHidden/>
              </w:rPr>
            </w:r>
            <w:r w:rsidR="007F791A">
              <w:rPr>
                <w:noProof/>
                <w:webHidden/>
              </w:rPr>
              <w:fldChar w:fldCharType="separate"/>
            </w:r>
            <w:r w:rsidR="007F791A">
              <w:rPr>
                <w:noProof/>
                <w:webHidden/>
              </w:rPr>
              <w:t>35</w:t>
            </w:r>
            <w:r w:rsidR="007F791A">
              <w:rPr>
                <w:noProof/>
                <w:webHidden/>
              </w:rPr>
              <w:fldChar w:fldCharType="end"/>
            </w:r>
          </w:hyperlink>
        </w:p>
        <w:p w14:paraId="231392A2" w14:textId="43941B9C" w:rsidR="007F791A" w:rsidRDefault="00B82441">
          <w:pPr>
            <w:pStyle w:val="TOC3"/>
            <w:rPr>
              <w:rFonts w:asciiTheme="minorHAnsi" w:eastAsiaTheme="minorEastAsia" w:hAnsiTheme="minorHAnsi" w:cstheme="minorBidi"/>
              <w:b w:val="0"/>
              <w:noProof/>
              <w:color w:val="auto"/>
              <w:szCs w:val="22"/>
              <w:lang w:eastAsia="en-AU"/>
            </w:rPr>
          </w:pPr>
          <w:hyperlink w:anchor="_Toc137117850" w:history="1">
            <w:r w:rsidR="007F791A" w:rsidRPr="009A29F7">
              <w:rPr>
                <w:rStyle w:val="Hyperlink"/>
                <w:noProof/>
              </w:rPr>
              <w:t>Advisory Committee considerations</w:t>
            </w:r>
            <w:r w:rsidR="007F791A">
              <w:rPr>
                <w:noProof/>
                <w:webHidden/>
              </w:rPr>
              <w:tab/>
            </w:r>
            <w:r w:rsidR="007F791A">
              <w:rPr>
                <w:noProof/>
                <w:webHidden/>
              </w:rPr>
              <w:fldChar w:fldCharType="begin"/>
            </w:r>
            <w:r w:rsidR="007F791A">
              <w:rPr>
                <w:noProof/>
                <w:webHidden/>
              </w:rPr>
              <w:instrText xml:space="preserve"> PAGEREF _Toc137117850 \h </w:instrText>
            </w:r>
            <w:r w:rsidR="007F791A">
              <w:rPr>
                <w:noProof/>
                <w:webHidden/>
              </w:rPr>
            </w:r>
            <w:r w:rsidR="007F791A">
              <w:rPr>
                <w:noProof/>
                <w:webHidden/>
              </w:rPr>
              <w:fldChar w:fldCharType="separate"/>
            </w:r>
            <w:r w:rsidR="007F791A">
              <w:rPr>
                <w:noProof/>
                <w:webHidden/>
              </w:rPr>
              <w:t>38</w:t>
            </w:r>
            <w:r w:rsidR="007F791A">
              <w:rPr>
                <w:noProof/>
                <w:webHidden/>
              </w:rPr>
              <w:fldChar w:fldCharType="end"/>
            </w:r>
          </w:hyperlink>
        </w:p>
        <w:p w14:paraId="40ED2299" w14:textId="24ECF8C0" w:rsidR="007F791A" w:rsidRDefault="00B82441">
          <w:pPr>
            <w:pStyle w:val="TOC1"/>
            <w:rPr>
              <w:rFonts w:asciiTheme="minorHAnsi" w:eastAsiaTheme="minorEastAsia" w:hAnsiTheme="minorHAnsi" w:cstheme="minorBidi"/>
              <w:b w:val="0"/>
              <w:noProof/>
              <w:color w:val="auto"/>
              <w:sz w:val="22"/>
              <w:szCs w:val="22"/>
              <w:lang w:eastAsia="en-AU"/>
            </w:rPr>
          </w:pPr>
          <w:hyperlink w:anchor="_Toc137117851" w:history="1">
            <w:r w:rsidR="007F791A" w:rsidRPr="009A29F7">
              <w:rPr>
                <w:rStyle w:val="Hyperlink"/>
                <w:noProof/>
              </w:rPr>
              <w:t>Outcome</w:t>
            </w:r>
            <w:r w:rsidR="007F791A">
              <w:rPr>
                <w:noProof/>
                <w:webHidden/>
              </w:rPr>
              <w:tab/>
            </w:r>
            <w:r w:rsidR="007F791A">
              <w:rPr>
                <w:noProof/>
                <w:webHidden/>
              </w:rPr>
              <w:fldChar w:fldCharType="begin"/>
            </w:r>
            <w:r w:rsidR="007F791A">
              <w:rPr>
                <w:noProof/>
                <w:webHidden/>
              </w:rPr>
              <w:instrText xml:space="preserve"> PAGEREF _Toc137117851 \h </w:instrText>
            </w:r>
            <w:r w:rsidR="007F791A">
              <w:rPr>
                <w:noProof/>
                <w:webHidden/>
              </w:rPr>
            </w:r>
            <w:r w:rsidR="007F791A">
              <w:rPr>
                <w:noProof/>
                <w:webHidden/>
              </w:rPr>
              <w:fldChar w:fldCharType="separate"/>
            </w:r>
            <w:r w:rsidR="007F791A">
              <w:rPr>
                <w:noProof/>
                <w:webHidden/>
              </w:rPr>
              <w:t>40</w:t>
            </w:r>
            <w:r w:rsidR="007F791A">
              <w:rPr>
                <w:noProof/>
                <w:webHidden/>
              </w:rPr>
              <w:fldChar w:fldCharType="end"/>
            </w:r>
          </w:hyperlink>
        </w:p>
        <w:p w14:paraId="645527F0" w14:textId="07803F01" w:rsidR="007F791A" w:rsidRDefault="00B82441">
          <w:pPr>
            <w:pStyle w:val="TOC2"/>
            <w:rPr>
              <w:rFonts w:asciiTheme="minorHAnsi" w:eastAsiaTheme="minorEastAsia" w:hAnsiTheme="minorHAnsi" w:cstheme="minorBidi"/>
              <w:b w:val="0"/>
              <w:noProof/>
              <w:color w:val="auto"/>
              <w:sz w:val="22"/>
              <w:szCs w:val="22"/>
              <w:lang w:eastAsia="en-AU"/>
            </w:rPr>
          </w:pPr>
          <w:hyperlink w:anchor="_Toc137117852" w:history="1">
            <w:r w:rsidR="007F791A" w:rsidRPr="009A29F7">
              <w:rPr>
                <w:rStyle w:val="Hyperlink"/>
                <w:noProof/>
              </w:rPr>
              <w:t>Specific conditions of registration applying to these goods</w:t>
            </w:r>
            <w:r w:rsidR="007F791A">
              <w:rPr>
                <w:noProof/>
                <w:webHidden/>
              </w:rPr>
              <w:tab/>
            </w:r>
            <w:r w:rsidR="007F791A">
              <w:rPr>
                <w:noProof/>
                <w:webHidden/>
              </w:rPr>
              <w:fldChar w:fldCharType="begin"/>
            </w:r>
            <w:r w:rsidR="007F791A">
              <w:rPr>
                <w:noProof/>
                <w:webHidden/>
              </w:rPr>
              <w:instrText xml:space="preserve"> PAGEREF _Toc137117852 \h </w:instrText>
            </w:r>
            <w:r w:rsidR="007F791A">
              <w:rPr>
                <w:noProof/>
                <w:webHidden/>
              </w:rPr>
            </w:r>
            <w:r w:rsidR="007F791A">
              <w:rPr>
                <w:noProof/>
                <w:webHidden/>
              </w:rPr>
              <w:fldChar w:fldCharType="separate"/>
            </w:r>
            <w:r w:rsidR="007F791A">
              <w:rPr>
                <w:noProof/>
                <w:webHidden/>
              </w:rPr>
              <w:t>42</w:t>
            </w:r>
            <w:r w:rsidR="007F791A">
              <w:rPr>
                <w:noProof/>
                <w:webHidden/>
              </w:rPr>
              <w:fldChar w:fldCharType="end"/>
            </w:r>
          </w:hyperlink>
        </w:p>
        <w:p w14:paraId="31EA12A8" w14:textId="3710A348" w:rsidR="007F791A" w:rsidRDefault="00B82441">
          <w:pPr>
            <w:pStyle w:val="TOC1"/>
            <w:rPr>
              <w:rFonts w:asciiTheme="minorHAnsi" w:eastAsiaTheme="minorEastAsia" w:hAnsiTheme="minorHAnsi" w:cstheme="minorBidi"/>
              <w:b w:val="0"/>
              <w:noProof/>
              <w:color w:val="auto"/>
              <w:sz w:val="22"/>
              <w:szCs w:val="22"/>
              <w:lang w:eastAsia="en-AU"/>
            </w:rPr>
          </w:pPr>
          <w:hyperlink w:anchor="_Toc137117853" w:history="1">
            <w:r w:rsidR="007F791A" w:rsidRPr="009A29F7">
              <w:rPr>
                <w:rStyle w:val="Hyperlink"/>
                <w:noProof/>
              </w:rPr>
              <w:t>Attachment 1. Product Information</w:t>
            </w:r>
            <w:r w:rsidR="007F791A">
              <w:rPr>
                <w:noProof/>
                <w:webHidden/>
              </w:rPr>
              <w:tab/>
            </w:r>
            <w:r w:rsidR="007F791A">
              <w:rPr>
                <w:noProof/>
                <w:webHidden/>
              </w:rPr>
              <w:fldChar w:fldCharType="begin"/>
            </w:r>
            <w:r w:rsidR="007F791A">
              <w:rPr>
                <w:noProof/>
                <w:webHidden/>
              </w:rPr>
              <w:instrText xml:space="preserve"> PAGEREF _Toc137117853 \h </w:instrText>
            </w:r>
            <w:r w:rsidR="007F791A">
              <w:rPr>
                <w:noProof/>
                <w:webHidden/>
              </w:rPr>
            </w:r>
            <w:r w:rsidR="007F791A">
              <w:rPr>
                <w:noProof/>
                <w:webHidden/>
              </w:rPr>
              <w:fldChar w:fldCharType="separate"/>
            </w:r>
            <w:r w:rsidR="007F791A">
              <w:rPr>
                <w:noProof/>
                <w:webHidden/>
              </w:rPr>
              <w:t>43</w:t>
            </w:r>
            <w:r w:rsidR="007F791A">
              <w:rPr>
                <w:noProof/>
                <w:webHidden/>
              </w:rPr>
              <w:fldChar w:fldCharType="end"/>
            </w:r>
          </w:hyperlink>
        </w:p>
        <w:p w14:paraId="77659F2D" w14:textId="7BDA8328"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36C4261B" w:rsidR="00324B33" w:rsidRPr="002E04D4" w:rsidRDefault="00324B33" w:rsidP="002E04D4">
      <w:pPr>
        <w:pStyle w:val="Heading2"/>
      </w:pPr>
      <w:bookmarkStart w:id="0" w:name="_Toc98931917"/>
      <w:bookmarkStart w:id="1" w:name="_Toc103679287"/>
      <w:bookmarkStart w:id="2" w:name="_Toc137117825"/>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371B97" w:rsidRPr="00591A50" w14:paraId="0027DACF" w14:textId="77777777" w:rsidTr="00FA5AA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shd w:val="clear" w:color="auto" w:fill="2E74B5" w:themeFill="accent5" w:themeFillShade="BF"/>
          </w:tcPr>
          <w:p w14:paraId="3BE24DFA" w14:textId="77777777" w:rsidR="00371B97" w:rsidRPr="00011226" w:rsidRDefault="00371B97" w:rsidP="00324B33">
            <w:pPr>
              <w:rPr>
                <w:color w:val="FFFFFF" w:themeColor="background1"/>
                <w:szCs w:val="22"/>
              </w:rPr>
            </w:pPr>
            <w:r w:rsidRPr="00011226">
              <w:rPr>
                <w:color w:val="FFFFFF" w:themeColor="background1"/>
                <w:szCs w:val="22"/>
              </w:rPr>
              <w:t>Abbreviation</w:t>
            </w:r>
          </w:p>
        </w:tc>
        <w:tc>
          <w:tcPr>
            <w:tcW w:w="7167" w:type="dxa"/>
            <w:shd w:val="clear" w:color="auto" w:fill="2E74B5" w:themeFill="accent5" w:themeFillShade="BF"/>
          </w:tcPr>
          <w:p w14:paraId="73D6527F" w14:textId="77777777" w:rsidR="00371B97" w:rsidRPr="00011226" w:rsidRDefault="00371B97" w:rsidP="00324B33">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011226">
              <w:rPr>
                <w:color w:val="FFFFFF" w:themeColor="background1"/>
                <w:szCs w:val="22"/>
              </w:rPr>
              <w:t>Meaning</w:t>
            </w:r>
          </w:p>
        </w:tc>
      </w:tr>
      <w:tr w:rsidR="00371B97" w:rsidRPr="00591A50" w14:paraId="59ACC494"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401F6AB" w14:textId="77777777" w:rsidR="00371B97" w:rsidRPr="00011226" w:rsidRDefault="00371B97" w:rsidP="00324B33">
            <w:pPr>
              <w:rPr>
                <w:szCs w:val="22"/>
              </w:rPr>
            </w:pPr>
            <w:r w:rsidRPr="00011226">
              <w:rPr>
                <w:szCs w:val="22"/>
              </w:rPr>
              <w:t>ACM</w:t>
            </w:r>
          </w:p>
        </w:tc>
        <w:tc>
          <w:tcPr>
            <w:tcW w:w="7167" w:type="dxa"/>
          </w:tcPr>
          <w:p w14:paraId="2A60ABD5"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Advisory Committee on Medicines</w:t>
            </w:r>
          </w:p>
        </w:tc>
      </w:tr>
      <w:tr w:rsidR="00371B97" w:rsidRPr="00591A50" w14:paraId="6DF3C18C"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FE48A4" w14:textId="77777777" w:rsidR="00371B97" w:rsidRPr="00011226" w:rsidRDefault="00371B97" w:rsidP="00324B33">
            <w:pPr>
              <w:rPr>
                <w:szCs w:val="22"/>
              </w:rPr>
            </w:pPr>
            <w:r w:rsidRPr="00011226">
              <w:rPr>
                <w:szCs w:val="22"/>
              </w:rPr>
              <w:t>AIHW</w:t>
            </w:r>
          </w:p>
        </w:tc>
        <w:tc>
          <w:tcPr>
            <w:tcW w:w="7167" w:type="dxa"/>
          </w:tcPr>
          <w:p w14:paraId="5D35A47A"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Australian Institute of Health and Welfare</w:t>
            </w:r>
          </w:p>
        </w:tc>
      </w:tr>
      <w:tr w:rsidR="00371B97" w:rsidRPr="00591A50" w14:paraId="676030F6"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B5500E9" w14:textId="77777777" w:rsidR="00371B97" w:rsidRPr="00011226" w:rsidRDefault="00371B97" w:rsidP="00324B33">
            <w:pPr>
              <w:rPr>
                <w:szCs w:val="22"/>
              </w:rPr>
            </w:pPr>
            <w:r w:rsidRPr="00011226">
              <w:rPr>
                <w:szCs w:val="22"/>
              </w:rPr>
              <w:t>ARTG</w:t>
            </w:r>
          </w:p>
        </w:tc>
        <w:tc>
          <w:tcPr>
            <w:tcW w:w="7167" w:type="dxa"/>
          </w:tcPr>
          <w:p w14:paraId="4710B79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Australian Register of Therapeutic Goods</w:t>
            </w:r>
          </w:p>
        </w:tc>
      </w:tr>
      <w:tr w:rsidR="00371B97" w:rsidRPr="00591A50" w14:paraId="5D81E87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433909" w14:textId="77777777" w:rsidR="00371B97" w:rsidRPr="00011226" w:rsidRDefault="00371B97" w:rsidP="00324B33">
            <w:pPr>
              <w:rPr>
                <w:szCs w:val="22"/>
              </w:rPr>
            </w:pPr>
            <w:r w:rsidRPr="00011226">
              <w:rPr>
                <w:szCs w:val="22"/>
              </w:rPr>
              <w:t>ASA</w:t>
            </w:r>
          </w:p>
        </w:tc>
        <w:tc>
          <w:tcPr>
            <w:tcW w:w="7167" w:type="dxa"/>
          </w:tcPr>
          <w:p w14:paraId="5DF00F25"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Australia specific annex</w:t>
            </w:r>
          </w:p>
        </w:tc>
      </w:tr>
      <w:tr w:rsidR="00371B97" w:rsidRPr="00591A50" w14:paraId="066A60CF"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BFF7E4" w14:textId="77777777" w:rsidR="00371B97" w:rsidRPr="00011226" w:rsidRDefault="00371B97" w:rsidP="00324B33">
            <w:pPr>
              <w:rPr>
                <w:szCs w:val="22"/>
              </w:rPr>
            </w:pPr>
            <w:r w:rsidRPr="00011226">
              <w:rPr>
                <w:szCs w:val="22"/>
              </w:rPr>
              <w:t>AUA</w:t>
            </w:r>
          </w:p>
        </w:tc>
        <w:tc>
          <w:tcPr>
            <w:tcW w:w="7167" w:type="dxa"/>
          </w:tcPr>
          <w:p w14:paraId="6E95DDC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American Urological Association</w:t>
            </w:r>
          </w:p>
        </w:tc>
      </w:tr>
      <w:tr w:rsidR="00371B97" w:rsidRPr="00591A50" w14:paraId="6425C8A3"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10912F" w14:textId="77777777" w:rsidR="00371B97" w:rsidRPr="00011226" w:rsidRDefault="00371B97" w:rsidP="00324B33">
            <w:pPr>
              <w:rPr>
                <w:szCs w:val="22"/>
              </w:rPr>
            </w:pPr>
            <w:r w:rsidRPr="00011226">
              <w:rPr>
                <w:szCs w:val="22"/>
              </w:rPr>
              <w:t>BCG</w:t>
            </w:r>
          </w:p>
        </w:tc>
        <w:tc>
          <w:tcPr>
            <w:tcW w:w="7167" w:type="dxa"/>
          </w:tcPr>
          <w:p w14:paraId="289E8374"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Bacillus Calmette-</w:t>
            </w:r>
            <w:proofErr w:type="spellStart"/>
            <w:r w:rsidRPr="00011226">
              <w:rPr>
                <w:szCs w:val="22"/>
              </w:rPr>
              <w:t>Gu</w:t>
            </w:r>
            <w:r w:rsidRPr="00011226">
              <w:rPr>
                <w:szCs w:val="22"/>
                <w:lang w:eastAsia="ja-JP"/>
              </w:rPr>
              <w:t>é</w:t>
            </w:r>
            <w:r w:rsidRPr="00011226">
              <w:rPr>
                <w:szCs w:val="22"/>
              </w:rPr>
              <w:t>rin</w:t>
            </w:r>
            <w:proofErr w:type="spellEnd"/>
          </w:p>
        </w:tc>
      </w:tr>
      <w:tr w:rsidR="00371B97" w:rsidRPr="00591A50" w14:paraId="397C3685"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8F0AB5" w14:textId="77777777" w:rsidR="00371B97" w:rsidRPr="00011226" w:rsidRDefault="00371B97" w:rsidP="00324B33">
            <w:pPr>
              <w:rPr>
                <w:szCs w:val="22"/>
              </w:rPr>
            </w:pPr>
            <w:r w:rsidRPr="00011226">
              <w:rPr>
                <w:szCs w:val="22"/>
              </w:rPr>
              <w:t>CI</w:t>
            </w:r>
          </w:p>
        </w:tc>
        <w:tc>
          <w:tcPr>
            <w:tcW w:w="7167" w:type="dxa"/>
          </w:tcPr>
          <w:p w14:paraId="429A6E0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Confidence interval</w:t>
            </w:r>
          </w:p>
        </w:tc>
      </w:tr>
      <w:tr w:rsidR="00371B97" w:rsidRPr="00591A50" w14:paraId="7627FD70"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4471B1" w14:textId="77777777" w:rsidR="00371B97" w:rsidRPr="00011226" w:rsidRDefault="00371B97" w:rsidP="00324B33">
            <w:pPr>
              <w:rPr>
                <w:szCs w:val="22"/>
              </w:rPr>
            </w:pPr>
            <w:r w:rsidRPr="00011226">
              <w:rPr>
                <w:szCs w:val="22"/>
              </w:rPr>
              <w:t>CIS</w:t>
            </w:r>
          </w:p>
        </w:tc>
        <w:tc>
          <w:tcPr>
            <w:tcW w:w="7167" w:type="dxa"/>
          </w:tcPr>
          <w:p w14:paraId="75CA8A4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Carcinoma in-situ</w:t>
            </w:r>
          </w:p>
        </w:tc>
      </w:tr>
      <w:tr w:rsidR="00371B97" w:rsidRPr="00591A50" w14:paraId="53B1717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732B9AE" w14:textId="77777777" w:rsidR="00371B97" w:rsidRPr="00011226" w:rsidRDefault="00371B97" w:rsidP="00324B33">
            <w:pPr>
              <w:rPr>
                <w:szCs w:val="22"/>
              </w:rPr>
            </w:pPr>
            <w:r w:rsidRPr="00011226">
              <w:rPr>
                <w:szCs w:val="22"/>
              </w:rPr>
              <w:t>CMI</w:t>
            </w:r>
          </w:p>
        </w:tc>
        <w:tc>
          <w:tcPr>
            <w:tcW w:w="7167" w:type="dxa"/>
          </w:tcPr>
          <w:p w14:paraId="700A3C1F"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Consumer Medicines Information</w:t>
            </w:r>
          </w:p>
        </w:tc>
      </w:tr>
      <w:tr w:rsidR="00371B97" w:rsidRPr="00591A50" w14:paraId="20A4D4D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95AB3FA" w14:textId="77777777" w:rsidR="00371B97" w:rsidRPr="00011226" w:rsidRDefault="00371B97" w:rsidP="00324B33">
            <w:pPr>
              <w:rPr>
                <w:szCs w:val="22"/>
              </w:rPr>
            </w:pPr>
            <w:r w:rsidRPr="00011226">
              <w:rPr>
                <w:szCs w:val="22"/>
              </w:rPr>
              <w:t>CPS</w:t>
            </w:r>
          </w:p>
        </w:tc>
        <w:tc>
          <w:tcPr>
            <w:tcW w:w="7167" w:type="dxa"/>
          </w:tcPr>
          <w:p w14:paraId="07B75E2F"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Combined Positive Score</w:t>
            </w:r>
          </w:p>
        </w:tc>
      </w:tr>
      <w:tr w:rsidR="00371B97" w:rsidRPr="00591A50" w14:paraId="13910FD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E85220D" w14:textId="77777777" w:rsidR="00371B97" w:rsidRPr="00011226" w:rsidRDefault="00371B97" w:rsidP="00324B33">
            <w:pPr>
              <w:rPr>
                <w:szCs w:val="22"/>
              </w:rPr>
            </w:pPr>
            <w:r w:rsidRPr="00011226">
              <w:rPr>
                <w:szCs w:val="22"/>
              </w:rPr>
              <w:t>CTU</w:t>
            </w:r>
          </w:p>
        </w:tc>
        <w:tc>
          <w:tcPr>
            <w:tcW w:w="7167" w:type="dxa"/>
          </w:tcPr>
          <w:p w14:paraId="04783B8C"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Computer tomography uroscopy</w:t>
            </w:r>
          </w:p>
        </w:tc>
      </w:tr>
      <w:tr w:rsidR="00371B97" w:rsidRPr="00591A50" w14:paraId="7B2799C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F19D531" w14:textId="77777777" w:rsidR="00371B97" w:rsidRPr="00011226" w:rsidRDefault="00371B97" w:rsidP="00324B33">
            <w:pPr>
              <w:rPr>
                <w:szCs w:val="22"/>
              </w:rPr>
            </w:pPr>
            <w:r w:rsidRPr="00011226">
              <w:rPr>
                <w:szCs w:val="22"/>
              </w:rPr>
              <w:t>DLP</w:t>
            </w:r>
          </w:p>
        </w:tc>
        <w:tc>
          <w:tcPr>
            <w:tcW w:w="7167" w:type="dxa"/>
          </w:tcPr>
          <w:p w14:paraId="5D149F14"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Data lock point</w:t>
            </w:r>
          </w:p>
        </w:tc>
      </w:tr>
      <w:tr w:rsidR="00371B97" w:rsidRPr="00591A50" w14:paraId="37EE89B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9436D7E" w14:textId="77777777" w:rsidR="00371B97" w:rsidRPr="00011226" w:rsidRDefault="00371B97" w:rsidP="00324B33">
            <w:pPr>
              <w:rPr>
                <w:szCs w:val="22"/>
              </w:rPr>
            </w:pPr>
            <w:r w:rsidRPr="00011226">
              <w:rPr>
                <w:szCs w:val="22"/>
              </w:rPr>
              <w:t>EAU</w:t>
            </w:r>
          </w:p>
        </w:tc>
        <w:tc>
          <w:tcPr>
            <w:tcW w:w="7167" w:type="dxa"/>
          </w:tcPr>
          <w:p w14:paraId="6ACC3A8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European Association of Urology</w:t>
            </w:r>
          </w:p>
        </w:tc>
      </w:tr>
      <w:tr w:rsidR="00371B97" w:rsidRPr="00591A50" w14:paraId="7B389D3E"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525F357" w14:textId="77777777" w:rsidR="00371B97" w:rsidRPr="00011226" w:rsidRDefault="00371B97" w:rsidP="00324B33">
            <w:pPr>
              <w:rPr>
                <w:szCs w:val="22"/>
              </w:rPr>
            </w:pPr>
            <w:r w:rsidRPr="00011226">
              <w:rPr>
                <w:szCs w:val="22"/>
              </w:rPr>
              <w:t>ECOG (PS)</w:t>
            </w:r>
          </w:p>
        </w:tc>
        <w:tc>
          <w:tcPr>
            <w:tcW w:w="7167" w:type="dxa"/>
          </w:tcPr>
          <w:p w14:paraId="2BF543D9"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Eastern Cooperative Oncology Group (performance status)</w:t>
            </w:r>
          </w:p>
        </w:tc>
      </w:tr>
      <w:tr w:rsidR="00371B97" w:rsidRPr="00591A50" w14:paraId="25CD05DC"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F54351" w14:textId="77777777" w:rsidR="00371B97" w:rsidRPr="00011226" w:rsidRDefault="00371B97" w:rsidP="00324B33">
            <w:pPr>
              <w:rPr>
                <w:szCs w:val="22"/>
              </w:rPr>
            </w:pPr>
            <w:r w:rsidRPr="00011226">
              <w:rPr>
                <w:szCs w:val="22"/>
              </w:rPr>
              <w:t>EMA</w:t>
            </w:r>
          </w:p>
        </w:tc>
        <w:tc>
          <w:tcPr>
            <w:tcW w:w="7167" w:type="dxa"/>
          </w:tcPr>
          <w:p w14:paraId="6D245490"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European Medicines Agency (European Union)</w:t>
            </w:r>
          </w:p>
        </w:tc>
      </w:tr>
      <w:tr w:rsidR="00371B97" w:rsidRPr="00591A50" w14:paraId="5A74A778"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6691FA" w14:textId="77777777" w:rsidR="00371B97" w:rsidRPr="00011226" w:rsidRDefault="00371B97" w:rsidP="00324B33">
            <w:pPr>
              <w:rPr>
                <w:szCs w:val="22"/>
              </w:rPr>
            </w:pPr>
            <w:r w:rsidRPr="00011226">
              <w:rPr>
                <w:szCs w:val="22"/>
              </w:rPr>
              <w:t>EU</w:t>
            </w:r>
          </w:p>
        </w:tc>
        <w:tc>
          <w:tcPr>
            <w:tcW w:w="7167" w:type="dxa"/>
          </w:tcPr>
          <w:p w14:paraId="0AFB017C"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European Union</w:t>
            </w:r>
          </w:p>
        </w:tc>
      </w:tr>
      <w:tr w:rsidR="00371B97" w:rsidRPr="00591A50" w14:paraId="46F74C7D"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84993FD" w14:textId="77777777" w:rsidR="00371B97" w:rsidRPr="00011226" w:rsidRDefault="00371B97" w:rsidP="00324B33">
            <w:pPr>
              <w:rPr>
                <w:szCs w:val="22"/>
              </w:rPr>
            </w:pPr>
            <w:r w:rsidRPr="00011226">
              <w:rPr>
                <w:szCs w:val="22"/>
              </w:rPr>
              <w:t>FDA</w:t>
            </w:r>
          </w:p>
        </w:tc>
        <w:tc>
          <w:tcPr>
            <w:tcW w:w="7167" w:type="dxa"/>
          </w:tcPr>
          <w:p w14:paraId="49BF323E"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Food and Drug Administration (United States of America)</w:t>
            </w:r>
          </w:p>
        </w:tc>
      </w:tr>
      <w:tr w:rsidR="00371B97" w:rsidRPr="00591A50" w14:paraId="0E6D965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3E3AB1" w14:textId="77777777" w:rsidR="00371B97" w:rsidRPr="00011226" w:rsidRDefault="00371B97" w:rsidP="00324B33">
            <w:pPr>
              <w:rPr>
                <w:szCs w:val="22"/>
              </w:rPr>
            </w:pPr>
            <w:r w:rsidRPr="00011226">
              <w:rPr>
                <w:szCs w:val="22"/>
              </w:rPr>
              <w:t>IBCG</w:t>
            </w:r>
          </w:p>
        </w:tc>
        <w:tc>
          <w:tcPr>
            <w:tcW w:w="7167" w:type="dxa"/>
          </w:tcPr>
          <w:p w14:paraId="265E65A1"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International Bladder Cancer Group</w:t>
            </w:r>
          </w:p>
        </w:tc>
      </w:tr>
      <w:tr w:rsidR="00371B97" w:rsidRPr="00591A50" w14:paraId="56EF7B7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D2DAB67" w14:textId="77777777" w:rsidR="00371B97" w:rsidRPr="00011226" w:rsidRDefault="00371B97" w:rsidP="00324B33">
            <w:pPr>
              <w:rPr>
                <w:szCs w:val="22"/>
              </w:rPr>
            </w:pPr>
            <w:r w:rsidRPr="00011226">
              <w:rPr>
                <w:szCs w:val="22"/>
              </w:rPr>
              <w:t>NCCN</w:t>
            </w:r>
          </w:p>
        </w:tc>
        <w:tc>
          <w:tcPr>
            <w:tcW w:w="7167" w:type="dxa"/>
          </w:tcPr>
          <w:p w14:paraId="7C154470"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rStyle w:val="EndnoteReference"/>
                <w:szCs w:val="22"/>
                <w:vertAlign w:val="baseline"/>
              </w:rPr>
              <w:t>National Comprehensive Cancer Network</w:t>
            </w:r>
          </w:p>
        </w:tc>
      </w:tr>
      <w:tr w:rsidR="00371B97" w:rsidRPr="00591A50" w14:paraId="03AED834"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606AF5" w14:textId="77777777" w:rsidR="00371B97" w:rsidRPr="00011226" w:rsidRDefault="00371B97" w:rsidP="00324B33">
            <w:pPr>
              <w:rPr>
                <w:szCs w:val="22"/>
              </w:rPr>
            </w:pPr>
            <w:r w:rsidRPr="00011226">
              <w:rPr>
                <w:szCs w:val="22"/>
              </w:rPr>
              <w:t>NMIBC</w:t>
            </w:r>
          </w:p>
        </w:tc>
        <w:tc>
          <w:tcPr>
            <w:tcW w:w="7167" w:type="dxa"/>
          </w:tcPr>
          <w:p w14:paraId="59F413F7"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Non-muscle invasive bladder cancer</w:t>
            </w:r>
          </w:p>
        </w:tc>
      </w:tr>
      <w:tr w:rsidR="00371B97" w:rsidRPr="00591A50" w14:paraId="2E993794"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5A904D3" w14:textId="77777777" w:rsidR="00371B97" w:rsidRPr="00011226" w:rsidRDefault="00371B97" w:rsidP="00324B33">
            <w:pPr>
              <w:rPr>
                <w:szCs w:val="22"/>
              </w:rPr>
            </w:pPr>
            <w:r w:rsidRPr="00011226">
              <w:rPr>
                <w:szCs w:val="22"/>
              </w:rPr>
              <w:t>PD-1</w:t>
            </w:r>
          </w:p>
        </w:tc>
        <w:tc>
          <w:tcPr>
            <w:tcW w:w="7167" w:type="dxa"/>
          </w:tcPr>
          <w:p w14:paraId="202B0CDD"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Programmed cell death protein 1</w:t>
            </w:r>
          </w:p>
        </w:tc>
      </w:tr>
      <w:tr w:rsidR="00371B97" w:rsidRPr="00591A50" w14:paraId="76B182F8"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6F5F292" w14:textId="77777777" w:rsidR="00371B97" w:rsidRPr="00011226" w:rsidRDefault="00371B97" w:rsidP="00324B33">
            <w:pPr>
              <w:rPr>
                <w:szCs w:val="22"/>
              </w:rPr>
            </w:pPr>
            <w:r w:rsidRPr="00011226">
              <w:rPr>
                <w:szCs w:val="22"/>
              </w:rPr>
              <w:t>PD-L1</w:t>
            </w:r>
          </w:p>
        </w:tc>
        <w:tc>
          <w:tcPr>
            <w:tcW w:w="7167" w:type="dxa"/>
          </w:tcPr>
          <w:p w14:paraId="6467A1A7"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Programmed death-ligand 1</w:t>
            </w:r>
          </w:p>
        </w:tc>
      </w:tr>
      <w:tr w:rsidR="00371B97" w:rsidRPr="00591A50" w14:paraId="53EA0443"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FA553D" w14:textId="77777777" w:rsidR="00371B97" w:rsidRPr="00011226" w:rsidRDefault="00371B97" w:rsidP="00324B33">
            <w:pPr>
              <w:rPr>
                <w:szCs w:val="22"/>
              </w:rPr>
            </w:pPr>
            <w:r w:rsidRPr="00011226">
              <w:rPr>
                <w:szCs w:val="22"/>
              </w:rPr>
              <w:t>PD-L2</w:t>
            </w:r>
          </w:p>
        </w:tc>
        <w:tc>
          <w:tcPr>
            <w:tcW w:w="7167" w:type="dxa"/>
          </w:tcPr>
          <w:p w14:paraId="28A4C36D"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Programmed death-ligand 2</w:t>
            </w:r>
          </w:p>
        </w:tc>
      </w:tr>
      <w:tr w:rsidR="00371B97" w:rsidRPr="00591A50" w14:paraId="7D71C5E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B26C1C" w14:textId="77777777" w:rsidR="00371B97" w:rsidRPr="00011226" w:rsidRDefault="00371B97" w:rsidP="00324B33">
            <w:pPr>
              <w:rPr>
                <w:szCs w:val="22"/>
              </w:rPr>
            </w:pPr>
            <w:r w:rsidRPr="00011226">
              <w:rPr>
                <w:szCs w:val="22"/>
              </w:rPr>
              <w:t>PI</w:t>
            </w:r>
          </w:p>
        </w:tc>
        <w:tc>
          <w:tcPr>
            <w:tcW w:w="7167" w:type="dxa"/>
          </w:tcPr>
          <w:p w14:paraId="7EEA4BFB"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Product Information</w:t>
            </w:r>
          </w:p>
        </w:tc>
      </w:tr>
      <w:tr w:rsidR="00371B97" w:rsidRPr="00591A50" w14:paraId="18082E78"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0C23A83" w14:textId="77777777" w:rsidR="00371B97" w:rsidRPr="00011226" w:rsidRDefault="00371B97" w:rsidP="00324B33">
            <w:pPr>
              <w:rPr>
                <w:szCs w:val="22"/>
              </w:rPr>
            </w:pPr>
            <w:r w:rsidRPr="00011226">
              <w:rPr>
                <w:szCs w:val="22"/>
              </w:rPr>
              <w:t>PSUR</w:t>
            </w:r>
          </w:p>
        </w:tc>
        <w:tc>
          <w:tcPr>
            <w:tcW w:w="7167" w:type="dxa"/>
          </w:tcPr>
          <w:p w14:paraId="064B765B"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Periodic safety update report</w:t>
            </w:r>
          </w:p>
        </w:tc>
      </w:tr>
      <w:tr w:rsidR="00371B97" w:rsidRPr="00591A50" w14:paraId="6526E9D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EB67EC" w14:textId="77777777" w:rsidR="00371B97" w:rsidRPr="00011226" w:rsidRDefault="00371B97" w:rsidP="00324B33">
            <w:pPr>
              <w:rPr>
                <w:szCs w:val="22"/>
              </w:rPr>
            </w:pPr>
            <w:r w:rsidRPr="00011226">
              <w:rPr>
                <w:szCs w:val="22"/>
              </w:rPr>
              <w:t>RMP</w:t>
            </w:r>
          </w:p>
        </w:tc>
        <w:tc>
          <w:tcPr>
            <w:tcW w:w="7167" w:type="dxa"/>
          </w:tcPr>
          <w:p w14:paraId="3DFE704C"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Risk management plan</w:t>
            </w:r>
          </w:p>
        </w:tc>
      </w:tr>
      <w:tr w:rsidR="00371B97" w:rsidRPr="00591A50" w14:paraId="34EBAD1D"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0E62CA9" w14:textId="77777777" w:rsidR="00371B97" w:rsidRPr="00011226" w:rsidRDefault="00371B97" w:rsidP="00324B33">
            <w:pPr>
              <w:rPr>
                <w:szCs w:val="22"/>
              </w:rPr>
            </w:pPr>
            <w:r w:rsidRPr="00011226">
              <w:rPr>
                <w:szCs w:val="22"/>
              </w:rPr>
              <w:t>SUO</w:t>
            </w:r>
          </w:p>
        </w:tc>
        <w:tc>
          <w:tcPr>
            <w:tcW w:w="7167" w:type="dxa"/>
          </w:tcPr>
          <w:p w14:paraId="394C086A"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Society of Urologic Oncology</w:t>
            </w:r>
          </w:p>
        </w:tc>
      </w:tr>
      <w:tr w:rsidR="00371B97" w:rsidRPr="00591A50" w14:paraId="1A68A11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05D0CDF" w14:textId="77777777" w:rsidR="00371B97" w:rsidRPr="00011226" w:rsidRDefault="00371B97" w:rsidP="00324B33">
            <w:pPr>
              <w:rPr>
                <w:szCs w:val="22"/>
              </w:rPr>
            </w:pPr>
            <w:r w:rsidRPr="00011226">
              <w:rPr>
                <w:szCs w:val="22"/>
              </w:rPr>
              <w:t>TGA</w:t>
            </w:r>
          </w:p>
        </w:tc>
        <w:tc>
          <w:tcPr>
            <w:tcW w:w="7167" w:type="dxa"/>
          </w:tcPr>
          <w:p w14:paraId="1CC3B0F6"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Therapeutic Goods Administration</w:t>
            </w:r>
          </w:p>
        </w:tc>
      </w:tr>
      <w:tr w:rsidR="00371B97" w:rsidRPr="00591A50" w14:paraId="5B173702"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F7B888" w14:textId="77777777" w:rsidR="00371B97" w:rsidRPr="00011226" w:rsidRDefault="00371B97" w:rsidP="00324B33">
            <w:pPr>
              <w:rPr>
                <w:szCs w:val="22"/>
              </w:rPr>
            </w:pPr>
            <w:r w:rsidRPr="00011226">
              <w:rPr>
                <w:szCs w:val="22"/>
              </w:rPr>
              <w:t>TNM</w:t>
            </w:r>
          </w:p>
        </w:tc>
        <w:tc>
          <w:tcPr>
            <w:tcW w:w="7167" w:type="dxa"/>
          </w:tcPr>
          <w:p w14:paraId="4C6F0B74"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Tumour, Nodes, Metastasis (staging system)</w:t>
            </w:r>
          </w:p>
        </w:tc>
      </w:tr>
      <w:tr w:rsidR="00371B97" w:rsidRPr="00591A50" w14:paraId="75C9DFC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A627B6" w14:textId="77777777" w:rsidR="00371B97" w:rsidRPr="00011226" w:rsidRDefault="00371B97" w:rsidP="00324B33">
            <w:pPr>
              <w:rPr>
                <w:szCs w:val="22"/>
              </w:rPr>
            </w:pPr>
            <w:r w:rsidRPr="00011226">
              <w:rPr>
                <w:szCs w:val="22"/>
              </w:rPr>
              <w:t>TURBT</w:t>
            </w:r>
          </w:p>
        </w:tc>
        <w:tc>
          <w:tcPr>
            <w:tcW w:w="7167" w:type="dxa"/>
          </w:tcPr>
          <w:p w14:paraId="154E3EBF"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lang w:eastAsia="ja-JP"/>
              </w:rPr>
              <w:t>Transurethral resection of bladder tumour</w:t>
            </w:r>
          </w:p>
        </w:tc>
      </w:tr>
      <w:tr w:rsidR="00371B97" w:rsidRPr="00591A50" w14:paraId="1E24B25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C99DC0F" w14:textId="77777777" w:rsidR="00371B97" w:rsidRPr="00011226" w:rsidRDefault="00371B97" w:rsidP="00324B33">
            <w:pPr>
              <w:rPr>
                <w:szCs w:val="22"/>
              </w:rPr>
            </w:pPr>
            <w:r w:rsidRPr="00011226">
              <w:rPr>
                <w:szCs w:val="22"/>
              </w:rPr>
              <w:t>US(A)</w:t>
            </w:r>
          </w:p>
        </w:tc>
        <w:tc>
          <w:tcPr>
            <w:tcW w:w="7167" w:type="dxa"/>
          </w:tcPr>
          <w:p w14:paraId="159C097D" w14:textId="77777777" w:rsidR="00371B97" w:rsidRPr="00011226" w:rsidRDefault="00371B97" w:rsidP="00324B33">
            <w:pPr>
              <w:cnfStyle w:val="000000000000" w:firstRow="0" w:lastRow="0" w:firstColumn="0" w:lastColumn="0" w:oddVBand="0" w:evenVBand="0" w:oddHBand="0" w:evenHBand="0" w:firstRowFirstColumn="0" w:firstRowLastColumn="0" w:lastRowFirstColumn="0" w:lastRowLastColumn="0"/>
              <w:rPr>
                <w:szCs w:val="22"/>
              </w:rPr>
            </w:pPr>
            <w:r w:rsidRPr="00011226">
              <w:rPr>
                <w:szCs w:val="22"/>
              </w:rPr>
              <w:t>United States (of America)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711782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711782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3D1E62" w14:paraId="77D11C95" w14:textId="77777777" w:rsidTr="00F865A7">
        <w:tc>
          <w:tcPr>
            <w:tcW w:w="1577" w:type="pct"/>
          </w:tcPr>
          <w:p w14:paraId="10E57D62" w14:textId="77777777" w:rsidR="00324B33" w:rsidRPr="003D1E62" w:rsidRDefault="00324B33" w:rsidP="007452E8">
            <w:pPr>
              <w:rPr>
                <w:i/>
              </w:rPr>
            </w:pPr>
            <w:r>
              <w:rPr>
                <w:i/>
              </w:rPr>
              <w:t>Type of s</w:t>
            </w:r>
            <w:r w:rsidRPr="003D1E62">
              <w:rPr>
                <w:i/>
              </w:rPr>
              <w:t>ubmission</w:t>
            </w:r>
            <w:r>
              <w:rPr>
                <w:i/>
              </w:rPr>
              <w:t>:</w:t>
            </w:r>
          </w:p>
        </w:tc>
        <w:tc>
          <w:tcPr>
            <w:tcW w:w="3423" w:type="pct"/>
          </w:tcPr>
          <w:p w14:paraId="4F07C303" w14:textId="32D28373" w:rsidR="00324B33" w:rsidRPr="003D1E62" w:rsidRDefault="002E04D4" w:rsidP="007452E8">
            <w:r>
              <w:t>Extension of indications</w:t>
            </w:r>
          </w:p>
        </w:tc>
      </w:tr>
      <w:tr w:rsidR="00324B33" w:rsidRPr="003D1E62" w14:paraId="13482B61" w14:textId="77777777" w:rsidTr="00F865A7">
        <w:tc>
          <w:tcPr>
            <w:tcW w:w="1577" w:type="pct"/>
          </w:tcPr>
          <w:p w14:paraId="2C427FCF" w14:textId="4049CF6C" w:rsidR="00324B33" w:rsidRPr="003D1E62" w:rsidRDefault="00324B33" w:rsidP="007452E8">
            <w:pPr>
              <w:rPr>
                <w:i/>
              </w:rPr>
            </w:pPr>
            <w:r w:rsidRPr="00460036">
              <w:rPr>
                <w:i/>
              </w:rPr>
              <w:t>Product</w:t>
            </w:r>
            <w:r w:rsidR="002E04D4">
              <w:rPr>
                <w:i/>
              </w:rPr>
              <w:t xml:space="preserve"> name</w:t>
            </w:r>
            <w:r w:rsidRPr="00460036">
              <w:rPr>
                <w:i/>
              </w:rPr>
              <w:t>:</w:t>
            </w:r>
          </w:p>
        </w:tc>
        <w:tc>
          <w:tcPr>
            <w:tcW w:w="3423" w:type="pct"/>
          </w:tcPr>
          <w:p w14:paraId="0E2DEF76" w14:textId="484AAD8A" w:rsidR="00324B33" w:rsidRPr="003D1E62" w:rsidRDefault="002E04D4" w:rsidP="007452E8">
            <w:r>
              <w:t>Keytruda</w:t>
            </w:r>
          </w:p>
        </w:tc>
      </w:tr>
      <w:tr w:rsidR="00324B33" w:rsidRPr="003D1E62" w14:paraId="01255B5B" w14:textId="77777777" w:rsidTr="00F865A7">
        <w:tc>
          <w:tcPr>
            <w:tcW w:w="1577" w:type="pct"/>
          </w:tcPr>
          <w:p w14:paraId="52B4F3D7" w14:textId="6AEEBA4D" w:rsidR="00324B33" w:rsidRPr="003D1E62" w:rsidRDefault="002E04D4" w:rsidP="007452E8">
            <w:pPr>
              <w:rPr>
                <w:i/>
              </w:rPr>
            </w:pPr>
            <w:r>
              <w:rPr>
                <w:i/>
              </w:rPr>
              <w:t>Active ingredient</w:t>
            </w:r>
            <w:r w:rsidR="00324B33" w:rsidRPr="00460036">
              <w:rPr>
                <w:i/>
              </w:rPr>
              <w:t>:</w:t>
            </w:r>
          </w:p>
        </w:tc>
        <w:tc>
          <w:tcPr>
            <w:tcW w:w="3423" w:type="pct"/>
          </w:tcPr>
          <w:p w14:paraId="02FB6383" w14:textId="52B4537C" w:rsidR="00324B33" w:rsidRPr="003D1E62" w:rsidRDefault="002E04D4" w:rsidP="002E04D4">
            <w:r>
              <w:t>Pembrolizumab</w:t>
            </w:r>
          </w:p>
        </w:tc>
      </w:tr>
      <w:tr w:rsidR="00324B33" w:rsidRPr="003D1E62" w14:paraId="219A281B" w14:textId="77777777" w:rsidTr="00F865A7">
        <w:tc>
          <w:tcPr>
            <w:tcW w:w="1577" w:type="pct"/>
          </w:tcPr>
          <w:p w14:paraId="112E5F78" w14:textId="77777777" w:rsidR="00324B33" w:rsidRPr="009F2673" w:rsidRDefault="00324B33" w:rsidP="007452E8">
            <w:pPr>
              <w:rPr>
                <w:i/>
              </w:rPr>
            </w:pPr>
            <w:r w:rsidRPr="003D1E62">
              <w:rPr>
                <w:i/>
              </w:rPr>
              <w:t>Decision</w:t>
            </w:r>
            <w:r w:rsidRPr="009F2673">
              <w:rPr>
                <w:i/>
              </w:rPr>
              <w:t>:</w:t>
            </w:r>
          </w:p>
        </w:tc>
        <w:tc>
          <w:tcPr>
            <w:tcW w:w="3423" w:type="pct"/>
          </w:tcPr>
          <w:p w14:paraId="3B114BEA" w14:textId="79A63C5E" w:rsidR="00324B33" w:rsidRPr="003D1E62" w:rsidRDefault="002E04D4" w:rsidP="002E04D4">
            <w:r>
              <w:t>Approved</w:t>
            </w:r>
          </w:p>
        </w:tc>
      </w:tr>
      <w:tr w:rsidR="00AE1947" w:rsidRPr="003D1E62" w14:paraId="32B72632" w14:textId="77777777" w:rsidTr="00F865A7">
        <w:tc>
          <w:tcPr>
            <w:tcW w:w="1577" w:type="pct"/>
          </w:tcPr>
          <w:p w14:paraId="332A5CD5" w14:textId="671B643E" w:rsidR="00AE1947" w:rsidRPr="002E04D4" w:rsidRDefault="00AE1947" w:rsidP="002E04D4">
            <w:pPr>
              <w:rPr>
                <w:i/>
              </w:rPr>
            </w:pPr>
            <w:r w:rsidRPr="003D1E62">
              <w:rPr>
                <w:i/>
              </w:rPr>
              <w:t xml:space="preserve">Date of </w:t>
            </w:r>
            <w:r>
              <w:rPr>
                <w:i/>
              </w:rPr>
              <w:t>d</w:t>
            </w:r>
            <w:r w:rsidRPr="003D1E62">
              <w:rPr>
                <w:i/>
              </w:rPr>
              <w:t>ecision:</w:t>
            </w:r>
          </w:p>
        </w:tc>
        <w:tc>
          <w:tcPr>
            <w:tcW w:w="3423" w:type="pct"/>
          </w:tcPr>
          <w:p w14:paraId="7B381CD6" w14:textId="14FA321A" w:rsidR="00AE1947" w:rsidRPr="003D1E62" w:rsidRDefault="00A3128D" w:rsidP="00641CB0">
            <w:r>
              <w:t>12 July 2021</w:t>
            </w:r>
          </w:p>
        </w:tc>
      </w:tr>
      <w:tr w:rsidR="00324B33" w:rsidRPr="003D1E62" w14:paraId="60A25F5A" w14:textId="77777777" w:rsidTr="00F865A7">
        <w:tc>
          <w:tcPr>
            <w:tcW w:w="1577" w:type="pct"/>
          </w:tcPr>
          <w:p w14:paraId="5C5E4CBA" w14:textId="77777777" w:rsidR="00324B33" w:rsidRPr="00441C3F" w:rsidRDefault="00324B33" w:rsidP="007452E8">
            <w:pPr>
              <w:rPr>
                <w:i/>
              </w:rPr>
            </w:pPr>
            <w:r w:rsidRPr="00441C3F">
              <w:rPr>
                <w:i/>
              </w:rPr>
              <w:t>Date of entry onto ARTG</w:t>
            </w:r>
            <w:r>
              <w:rPr>
                <w:i/>
              </w:rPr>
              <w:t>:</w:t>
            </w:r>
          </w:p>
        </w:tc>
        <w:tc>
          <w:tcPr>
            <w:tcW w:w="3423" w:type="pct"/>
          </w:tcPr>
          <w:p w14:paraId="28B270E9" w14:textId="20249415" w:rsidR="00324B33" w:rsidRPr="009F2673" w:rsidRDefault="00A3128D" w:rsidP="007452E8">
            <w:r>
              <w:t>14 July 2021</w:t>
            </w:r>
            <w:r w:rsidR="00324B33" w:rsidRPr="009F2673">
              <w:t xml:space="preserve"> </w:t>
            </w:r>
          </w:p>
        </w:tc>
      </w:tr>
      <w:tr w:rsidR="00324B33" w:rsidRPr="003D1E62" w14:paraId="547E08D7" w14:textId="77777777" w:rsidTr="00F865A7">
        <w:tc>
          <w:tcPr>
            <w:tcW w:w="1577" w:type="pct"/>
          </w:tcPr>
          <w:p w14:paraId="5030EF30" w14:textId="1072461E" w:rsidR="00324B33" w:rsidRPr="00441C3F" w:rsidRDefault="00A3128D" w:rsidP="007452E8">
            <w:pPr>
              <w:rPr>
                <w:i/>
              </w:rPr>
            </w:pPr>
            <w:r>
              <w:rPr>
                <w:i/>
              </w:rPr>
              <w:t>ARTG numbers</w:t>
            </w:r>
            <w:r w:rsidR="00324B33">
              <w:rPr>
                <w:i/>
              </w:rPr>
              <w:t>:</w:t>
            </w:r>
          </w:p>
        </w:tc>
        <w:tc>
          <w:tcPr>
            <w:tcW w:w="3423" w:type="pct"/>
          </w:tcPr>
          <w:p w14:paraId="0054E912" w14:textId="1EF5F8FC" w:rsidR="00324B33" w:rsidRPr="00441C3F" w:rsidRDefault="001960F4" w:rsidP="007452E8">
            <w:r>
              <w:t xml:space="preserve">226597, </w:t>
            </w:r>
            <w:r w:rsidR="00A3128D" w:rsidRPr="00A3128D">
              <w:t>263932</w:t>
            </w:r>
          </w:p>
        </w:tc>
      </w:tr>
      <w:tr w:rsidR="00324B33" w:rsidRPr="003D1E62" w14:paraId="7618393F" w14:textId="77777777" w:rsidTr="00F865A7">
        <w:tc>
          <w:tcPr>
            <w:tcW w:w="1577" w:type="pct"/>
          </w:tcPr>
          <w:p w14:paraId="6C24CEB6" w14:textId="3D6CF0F8" w:rsidR="00E47E0C" w:rsidRDefault="00324B33" w:rsidP="007452E8">
            <w:pPr>
              <w:rPr>
                <w:rStyle w:val="Hyperlink"/>
                <w:i/>
              </w:rPr>
            </w:pPr>
            <w:r>
              <w:rPr>
                <w:rFonts w:ascii="Wingdings 3" w:hAnsi="Wingdings 3"/>
                <w:sz w:val="34"/>
                <w:szCs w:val="34"/>
                <w:lang w:eastAsia="en-AU"/>
              </w:rPr>
              <w:t></w:t>
            </w:r>
            <w:hyperlink r:id="rId18" w:history="1">
              <w:r w:rsidRPr="009F2673">
                <w:rPr>
                  <w:rStyle w:val="Hyperlink"/>
                  <w:i/>
                </w:rPr>
                <w:t>Black Triangle Scheme</w:t>
              </w:r>
            </w:hyperlink>
          </w:p>
          <w:p w14:paraId="02260DE2" w14:textId="1FC334AE" w:rsidR="00324B33" w:rsidRDefault="00E47E0C" w:rsidP="007452E8">
            <w:pPr>
              <w:rPr>
                <w:i/>
              </w:rPr>
            </w:pPr>
            <w:r>
              <w:rPr>
                <w:i/>
              </w:rPr>
              <w:t xml:space="preserve">for </w:t>
            </w:r>
            <w:r w:rsidR="007B04DE">
              <w:rPr>
                <w:i/>
              </w:rPr>
              <w:t>the current</w:t>
            </w:r>
            <w:r>
              <w:rPr>
                <w:i/>
              </w:rPr>
              <w:t xml:space="preserve"> submission</w:t>
            </w:r>
            <w:r w:rsidR="00324B33">
              <w:rPr>
                <w:i/>
              </w:rPr>
              <w:t>:</w:t>
            </w:r>
          </w:p>
        </w:tc>
        <w:tc>
          <w:tcPr>
            <w:tcW w:w="3423" w:type="pct"/>
          </w:tcPr>
          <w:p w14:paraId="08EF3693" w14:textId="614AD31A" w:rsidR="00324B33" w:rsidRDefault="00A3128D" w:rsidP="007452E8">
            <w:r>
              <w:t>Yes</w:t>
            </w:r>
          </w:p>
          <w:p w14:paraId="6FF3C6A2" w14:textId="378F7FAA" w:rsidR="00324B33" w:rsidRPr="00487162" w:rsidRDefault="00324B33" w:rsidP="007452E8">
            <w:r>
              <w:t>As a provisionally registered product, this medicine will remain in the Black Triangle Scheme for the duration of its provisional registration</w:t>
            </w:r>
          </w:p>
        </w:tc>
      </w:tr>
      <w:tr w:rsidR="00324B33" w:rsidRPr="003D1E62" w14:paraId="179E09FE" w14:textId="77777777" w:rsidTr="00F865A7">
        <w:tc>
          <w:tcPr>
            <w:tcW w:w="1577" w:type="pct"/>
          </w:tcPr>
          <w:p w14:paraId="1A592498" w14:textId="77777777" w:rsidR="00324B33" w:rsidRPr="009F2673" w:rsidRDefault="00324B33" w:rsidP="007452E8">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3AE16809" w14:textId="77777777" w:rsidR="00591A50" w:rsidRDefault="00361314" w:rsidP="00361314">
            <w:r>
              <w:t>Merck Sharp &amp; Dohme (Australia) Pty Ltd</w:t>
            </w:r>
          </w:p>
          <w:p w14:paraId="1399D834" w14:textId="1BA9C6C3" w:rsidR="00591A50" w:rsidRDefault="00361314" w:rsidP="00361314">
            <w:r>
              <w:t>26 Talavera Road</w:t>
            </w:r>
          </w:p>
          <w:p w14:paraId="68DD94B0" w14:textId="5B3AE8B3" w:rsidR="00324B33" w:rsidRDefault="00361314" w:rsidP="00361314">
            <w:r>
              <w:t>Macquarie Park, NSW 2113</w:t>
            </w:r>
          </w:p>
        </w:tc>
      </w:tr>
      <w:tr w:rsidR="00324B33" w:rsidRPr="003D1E62" w14:paraId="5322B989" w14:textId="77777777" w:rsidTr="00F865A7">
        <w:tc>
          <w:tcPr>
            <w:tcW w:w="1577" w:type="pct"/>
          </w:tcPr>
          <w:p w14:paraId="24F217E3" w14:textId="4DAF77AD" w:rsidR="00324B33" w:rsidRPr="00487162" w:rsidRDefault="009E634A" w:rsidP="007452E8">
            <w:pPr>
              <w:rPr>
                <w:i/>
              </w:rPr>
            </w:pPr>
            <w:r>
              <w:rPr>
                <w:i/>
              </w:rPr>
              <w:t>Dose forms:</w:t>
            </w:r>
          </w:p>
        </w:tc>
        <w:tc>
          <w:tcPr>
            <w:tcW w:w="3423" w:type="pct"/>
          </w:tcPr>
          <w:p w14:paraId="768B254C" w14:textId="488C42C3" w:rsidR="00324B33" w:rsidRDefault="009E634A" w:rsidP="009E634A">
            <w:r>
              <w:t>P</w:t>
            </w:r>
            <w:r w:rsidR="00A52183">
              <w:t xml:space="preserve">owder for injection </w:t>
            </w:r>
            <w:r>
              <w:t>and concentrated injection</w:t>
            </w:r>
          </w:p>
        </w:tc>
      </w:tr>
      <w:tr w:rsidR="00324B33" w:rsidRPr="003D1E62" w14:paraId="115243E6" w14:textId="77777777" w:rsidTr="00F865A7">
        <w:tc>
          <w:tcPr>
            <w:tcW w:w="1577" w:type="pct"/>
          </w:tcPr>
          <w:p w14:paraId="7634B062" w14:textId="25C9E79E" w:rsidR="00324B33" w:rsidRPr="00487162" w:rsidRDefault="001960F4" w:rsidP="007452E8">
            <w:pPr>
              <w:rPr>
                <w:i/>
              </w:rPr>
            </w:pPr>
            <w:r>
              <w:rPr>
                <w:i/>
              </w:rPr>
              <w:t>Strengths</w:t>
            </w:r>
            <w:r w:rsidR="00324B33" w:rsidRPr="00487162">
              <w:rPr>
                <w:i/>
              </w:rPr>
              <w:t>:</w:t>
            </w:r>
          </w:p>
        </w:tc>
        <w:tc>
          <w:tcPr>
            <w:tcW w:w="3423" w:type="pct"/>
          </w:tcPr>
          <w:p w14:paraId="701C3E45" w14:textId="67A66ECD" w:rsidR="001960F4" w:rsidRDefault="001960F4" w:rsidP="007452E8">
            <w:r>
              <w:t>50 mg (powder for injection)</w:t>
            </w:r>
          </w:p>
          <w:p w14:paraId="5E5F83DB" w14:textId="6D838040" w:rsidR="00324B33" w:rsidRDefault="00A52183" w:rsidP="007452E8">
            <w:r>
              <w:t>100 mg/4 mL</w:t>
            </w:r>
            <w:r w:rsidR="001960F4">
              <w:t xml:space="preserve"> (concentrated injection)</w:t>
            </w:r>
          </w:p>
        </w:tc>
      </w:tr>
      <w:tr w:rsidR="00324B33" w:rsidRPr="003D1E62" w14:paraId="34B07BA6" w14:textId="77777777" w:rsidTr="00F865A7">
        <w:tc>
          <w:tcPr>
            <w:tcW w:w="1577" w:type="pct"/>
          </w:tcPr>
          <w:p w14:paraId="1C039224" w14:textId="56366AB2" w:rsidR="00324B33" w:rsidRPr="00487162" w:rsidRDefault="009E634A" w:rsidP="007452E8">
            <w:pPr>
              <w:rPr>
                <w:i/>
              </w:rPr>
            </w:pPr>
            <w:r>
              <w:rPr>
                <w:i/>
              </w:rPr>
              <w:t>Container</w:t>
            </w:r>
            <w:r w:rsidR="00324B33" w:rsidRPr="00487162">
              <w:rPr>
                <w:i/>
              </w:rPr>
              <w:t>:</w:t>
            </w:r>
          </w:p>
        </w:tc>
        <w:tc>
          <w:tcPr>
            <w:tcW w:w="3423" w:type="pct"/>
          </w:tcPr>
          <w:p w14:paraId="500A42C6" w14:textId="35DFBE6E" w:rsidR="00324B33" w:rsidRDefault="00A52183" w:rsidP="007452E8">
            <w:r>
              <w:t>Vial</w:t>
            </w:r>
          </w:p>
        </w:tc>
      </w:tr>
      <w:tr w:rsidR="00324B33" w:rsidRPr="003D1E62" w14:paraId="176B6773" w14:textId="77777777" w:rsidTr="00F865A7">
        <w:tc>
          <w:tcPr>
            <w:tcW w:w="1577" w:type="pct"/>
          </w:tcPr>
          <w:p w14:paraId="71846159" w14:textId="7DFE0E43" w:rsidR="00324B33" w:rsidRPr="00487162" w:rsidRDefault="00324B33" w:rsidP="007452E8">
            <w:pPr>
              <w:rPr>
                <w:i/>
              </w:rPr>
            </w:pPr>
            <w:r w:rsidRPr="00487162">
              <w:rPr>
                <w:i/>
              </w:rPr>
              <w:t>Pack size:</w:t>
            </w:r>
          </w:p>
        </w:tc>
        <w:tc>
          <w:tcPr>
            <w:tcW w:w="3423" w:type="pct"/>
          </w:tcPr>
          <w:p w14:paraId="7E978F8F" w14:textId="249C3952" w:rsidR="00324B33" w:rsidRDefault="00A52183" w:rsidP="007452E8">
            <w:r>
              <w:t>One single use vial</w:t>
            </w:r>
          </w:p>
        </w:tc>
      </w:tr>
      <w:tr w:rsidR="00324B33" w:rsidRPr="003D1E62" w14:paraId="19A2544A" w14:textId="77777777" w:rsidTr="00F865A7">
        <w:tc>
          <w:tcPr>
            <w:tcW w:w="1577" w:type="pct"/>
          </w:tcPr>
          <w:p w14:paraId="0E6C5C0E" w14:textId="7DB3FC66" w:rsidR="00324B33" w:rsidRPr="00487162" w:rsidRDefault="00324B33" w:rsidP="007452E8">
            <w:pPr>
              <w:rPr>
                <w:i/>
              </w:rPr>
            </w:pPr>
            <w:r w:rsidRPr="00487162">
              <w:rPr>
                <w:i/>
              </w:rPr>
              <w:t xml:space="preserve">Approved </w:t>
            </w:r>
            <w:r>
              <w:rPr>
                <w:i/>
              </w:rPr>
              <w:t>t</w:t>
            </w:r>
            <w:r w:rsidRPr="00487162">
              <w:rPr>
                <w:i/>
              </w:rPr>
              <w:t>herapeutic use</w:t>
            </w:r>
            <w:r w:rsidR="00E47E0C">
              <w:rPr>
                <w:i/>
              </w:rPr>
              <w:t xml:space="preserve"> </w:t>
            </w:r>
            <w:r w:rsidR="007B04DE">
              <w:rPr>
                <w:i/>
              </w:rPr>
              <w:t>for the current</w:t>
            </w:r>
            <w:r w:rsidR="00E47E0C">
              <w:rPr>
                <w:i/>
              </w:rPr>
              <w:t xml:space="preserve"> submission</w:t>
            </w:r>
            <w:r w:rsidRPr="00487162">
              <w:rPr>
                <w:i/>
              </w:rPr>
              <w:t>:</w:t>
            </w:r>
          </w:p>
        </w:tc>
        <w:tc>
          <w:tcPr>
            <w:tcW w:w="3423" w:type="pct"/>
          </w:tcPr>
          <w:p w14:paraId="6E143E2E" w14:textId="1729CCA5" w:rsidR="00324B33" w:rsidRPr="00A52183" w:rsidRDefault="00A52183" w:rsidP="007452E8">
            <w:pPr>
              <w:rPr>
                <w:i/>
              </w:rPr>
            </w:pPr>
            <w:r w:rsidRPr="00A52183">
              <w:rPr>
                <w:i/>
              </w:rPr>
              <w:t xml:space="preserve">Keytruda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sidRPr="00A52183">
              <w:rPr>
                <w:b/>
                <w:i/>
              </w:rPr>
              <w:t>provisional approval</w:t>
            </w:r>
            <w:r w:rsidRPr="00A52183">
              <w:rPr>
                <w:i/>
              </w:rPr>
              <w:t xml:space="preserve"> pathway based on complete response rate and duration of response. Continued approval of this indication depends on verification and description of benefit in confirmatory trials.</w:t>
            </w:r>
          </w:p>
        </w:tc>
      </w:tr>
      <w:tr w:rsidR="00324B33" w:rsidRPr="003D1E62" w14:paraId="5AFDEED3" w14:textId="77777777" w:rsidTr="00F865A7">
        <w:tc>
          <w:tcPr>
            <w:tcW w:w="1577" w:type="pct"/>
          </w:tcPr>
          <w:p w14:paraId="03884BD1" w14:textId="4AE805AA" w:rsidR="00324B33" w:rsidRPr="00487162" w:rsidRDefault="001960F4" w:rsidP="007452E8">
            <w:pPr>
              <w:rPr>
                <w:i/>
              </w:rPr>
            </w:pPr>
            <w:r>
              <w:rPr>
                <w:i/>
              </w:rPr>
              <w:t>Route</w:t>
            </w:r>
            <w:r w:rsidR="00324B33" w:rsidRPr="00487162">
              <w:rPr>
                <w:i/>
              </w:rPr>
              <w:t xml:space="preserve"> of administration:</w:t>
            </w:r>
          </w:p>
        </w:tc>
        <w:tc>
          <w:tcPr>
            <w:tcW w:w="3423" w:type="pct"/>
          </w:tcPr>
          <w:p w14:paraId="1ED1357E" w14:textId="1D4B41AB" w:rsidR="00324B33" w:rsidRPr="00487162" w:rsidRDefault="001960F4" w:rsidP="007452E8">
            <w:r>
              <w:t>Intravenous</w:t>
            </w:r>
            <w:r w:rsidR="009E634A">
              <w:t xml:space="preserve"> infusion</w:t>
            </w:r>
          </w:p>
        </w:tc>
      </w:tr>
      <w:tr w:rsidR="00324B33" w:rsidRPr="003D1E62" w14:paraId="70D7E9FA" w14:textId="77777777" w:rsidTr="00F865A7">
        <w:tc>
          <w:tcPr>
            <w:tcW w:w="1577" w:type="pct"/>
          </w:tcPr>
          <w:p w14:paraId="5ABFFC80" w14:textId="77777777" w:rsidR="00324B33" w:rsidRPr="00487162" w:rsidRDefault="00324B33" w:rsidP="007452E8">
            <w:pPr>
              <w:rPr>
                <w:i/>
              </w:rPr>
            </w:pPr>
            <w:r w:rsidRPr="00487162">
              <w:rPr>
                <w:i/>
              </w:rPr>
              <w:t>Dosage:</w:t>
            </w:r>
          </w:p>
        </w:tc>
        <w:tc>
          <w:tcPr>
            <w:tcW w:w="3423" w:type="pct"/>
          </w:tcPr>
          <w:p w14:paraId="1246B144" w14:textId="5F6F5C8E" w:rsidR="00324B33" w:rsidRDefault="00717CD2" w:rsidP="00717CD2">
            <w:r>
              <w:t>Treatment must be initiated and supervised by specialised healthcare professionals experienced in the treatment of cancer.</w:t>
            </w:r>
          </w:p>
          <w:p w14:paraId="532F40D4" w14:textId="3BD5FAA4" w:rsidR="00717CD2" w:rsidRDefault="00717CD2" w:rsidP="00717CD2">
            <w:r>
              <w:t>Keytruda is administered as an intravenous infusion over 30 minutes.</w:t>
            </w:r>
          </w:p>
          <w:p w14:paraId="229938A3" w14:textId="77777777" w:rsidR="00B0508E" w:rsidRDefault="00717CD2" w:rsidP="00717CD2">
            <w:r>
              <w:t xml:space="preserve">The recommended dose of Keytruda </w:t>
            </w:r>
            <w:r w:rsidR="00B0508E">
              <w:t>in adults is either:</w:t>
            </w:r>
          </w:p>
          <w:p w14:paraId="52C1B7E1" w14:textId="77777777" w:rsidR="00B0508E" w:rsidRDefault="00717CD2" w:rsidP="009E634A">
            <w:pPr>
              <w:pStyle w:val="ListBullet"/>
            </w:pPr>
            <w:r>
              <w:t xml:space="preserve">200 </w:t>
            </w:r>
            <w:r w:rsidR="00B0508E">
              <w:t>mg every 3 weeks; or</w:t>
            </w:r>
          </w:p>
          <w:p w14:paraId="2B00D9D2" w14:textId="53CC7E1A" w:rsidR="00717CD2" w:rsidRDefault="00717CD2" w:rsidP="009E634A">
            <w:pPr>
              <w:pStyle w:val="ListBullet"/>
            </w:pPr>
            <w:r>
              <w:lastRenderedPageBreak/>
              <w:t>400 mg every 6 weeks</w:t>
            </w:r>
          </w:p>
          <w:p w14:paraId="160661A8" w14:textId="2468053E" w:rsidR="00717CD2" w:rsidRDefault="00717CD2" w:rsidP="00717CD2">
            <w:r>
              <w:t xml:space="preserve">The recommended dose of </w:t>
            </w:r>
            <w:r w:rsidR="00B0508E">
              <w:t xml:space="preserve">Keytruda </w:t>
            </w:r>
            <w:r>
              <w:t xml:space="preserve">in paediatric patients </w:t>
            </w:r>
            <w:r w:rsidR="00B0508E">
              <w:t xml:space="preserve">is 2 mg/kg (up to a maximum of </w:t>
            </w:r>
            <w:r>
              <w:t xml:space="preserve">200 mg) every 3 weeks (see Section 4.2 </w:t>
            </w:r>
            <w:r w:rsidR="00B0508E">
              <w:t xml:space="preserve">Dose and Method of administration, </w:t>
            </w:r>
            <w:r>
              <w:t>Paediatric Patients</w:t>
            </w:r>
            <w:r w:rsidR="00B0508E">
              <w:t xml:space="preserve"> of the Product Information</w:t>
            </w:r>
            <w:r>
              <w:t>).</w:t>
            </w:r>
          </w:p>
          <w:p w14:paraId="7D193699" w14:textId="76AEC3E3" w:rsidR="00B0508E" w:rsidRDefault="00B0508E" w:rsidP="007452E8">
            <w:r>
              <w:t xml:space="preserve">For the treatment of high-risk BCG-unresponsive </w:t>
            </w:r>
            <w:r w:rsidRPr="00B0508E">
              <w:t>non-muscle invasive bladder cancer</w:t>
            </w:r>
            <w:r>
              <w:t xml:space="preserve">, Keytruda should be administered until persistent or recurrent high-risk </w:t>
            </w:r>
            <w:r w:rsidRPr="00B0508E">
              <w:t>non-muscle invasive bladder cancer</w:t>
            </w:r>
            <w:r>
              <w:t>, disease progression, unacceptable toxicity, or up to 24 months.</w:t>
            </w:r>
          </w:p>
          <w:p w14:paraId="299DE410" w14:textId="76E602FA" w:rsidR="00B0508E" w:rsidRDefault="00B0508E" w:rsidP="00B0508E">
            <w:r>
              <w:t>No dose reductions of Keytruda are recommended. Withhold or discontinue Keytruda to manage adverse reactions as described in Table 1 (Recommended Dose Modifications) of the Product Information; see also, Section 4.4 Special warnings and precautions for use</w:t>
            </w:r>
            <w:r w:rsidR="00D661F6">
              <w:t xml:space="preserve"> of the Product Information</w:t>
            </w:r>
            <w:r>
              <w:t>.</w:t>
            </w:r>
          </w:p>
          <w:p w14:paraId="26EBDF4B" w14:textId="3B1730F1" w:rsidR="00B0508E" w:rsidRDefault="00B0508E" w:rsidP="00B0508E">
            <w:r>
              <w:t>For use in combination, see the Product Information for the concomitant therapies. When administering Keytruda as part of a combination with intravenous chemotherapy, Keytruda should be administered first. Patients should be treated with Keytruda until disease progression or unacceptable toxicity.</w:t>
            </w:r>
          </w:p>
          <w:p w14:paraId="3D0B2D5C" w14:textId="0066A6CA" w:rsidR="00324B33" w:rsidRPr="00487162" w:rsidRDefault="00324B33" w:rsidP="007452E8">
            <w:r w:rsidRPr="00460036">
              <w:t>For further information regarding dosage, refer to the Product Information.</w:t>
            </w:r>
          </w:p>
        </w:tc>
      </w:tr>
      <w:tr w:rsidR="00324B33" w:rsidRPr="003D1E62" w14:paraId="24DC408E" w14:textId="77777777" w:rsidTr="00F865A7">
        <w:tc>
          <w:tcPr>
            <w:tcW w:w="1577" w:type="pct"/>
          </w:tcPr>
          <w:p w14:paraId="26380792" w14:textId="77777777" w:rsidR="00324B33" w:rsidRPr="00487162" w:rsidRDefault="00324B33" w:rsidP="007452E8">
            <w:pPr>
              <w:rPr>
                <w:i/>
              </w:rPr>
            </w:pPr>
            <w:r w:rsidRPr="00460036">
              <w:rPr>
                <w:i/>
              </w:rPr>
              <w:lastRenderedPageBreak/>
              <w:t>Pregnancy category</w:t>
            </w:r>
            <w:r>
              <w:rPr>
                <w:i/>
              </w:rPr>
              <w:t>:</w:t>
            </w:r>
          </w:p>
        </w:tc>
        <w:tc>
          <w:tcPr>
            <w:tcW w:w="3423" w:type="pct"/>
          </w:tcPr>
          <w:p w14:paraId="39BBAA15" w14:textId="1BE1014E" w:rsidR="00FA2A28" w:rsidRDefault="00FA2A28" w:rsidP="00FA2A28">
            <w:r>
              <w:t>D</w:t>
            </w:r>
          </w:p>
          <w:p w14:paraId="0D6BD6EF" w14:textId="77777777" w:rsidR="00D661F6" w:rsidRDefault="00FA2A28" w:rsidP="007452E8">
            <w: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08430036" w:rsidR="00324B33" w:rsidRPr="00487162" w:rsidRDefault="00324B33" w:rsidP="007452E8">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A52183">
              <w:t>ces in your State or Territory.</w:t>
            </w:r>
          </w:p>
        </w:tc>
      </w:tr>
    </w:tbl>
    <w:p w14:paraId="267A88C2" w14:textId="5F5D1FDD" w:rsidR="00591A50" w:rsidRDefault="00591A50" w:rsidP="00324B33"/>
    <w:p w14:paraId="7BE6C694" w14:textId="7679E1F3" w:rsidR="00324B33" w:rsidRDefault="00591A50" w:rsidP="00324B33">
      <w:r>
        <w:br w:type="page"/>
      </w:r>
    </w:p>
    <w:p w14:paraId="51F2479F" w14:textId="77777777" w:rsidR="00324B33" w:rsidRDefault="00324B33" w:rsidP="00324B33">
      <w:pPr>
        <w:pStyle w:val="Heading3"/>
      </w:pPr>
      <w:bookmarkStart w:id="11" w:name="_Toc247691503"/>
      <w:bookmarkStart w:id="12" w:name="_Toc314842484"/>
      <w:bookmarkStart w:id="13" w:name="_Toc103679290"/>
      <w:bookmarkStart w:id="14" w:name="_Toc137117828"/>
      <w:r>
        <w:lastRenderedPageBreak/>
        <w:t>Product background</w:t>
      </w:r>
      <w:bookmarkEnd w:id="11"/>
      <w:bookmarkEnd w:id="12"/>
      <w:bookmarkEnd w:id="13"/>
      <w:bookmarkEnd w:id="14"/>
    </w:p>
    <w:p w14:paraId="56B27CF2" w14:textId="4C7B888B" w:rsidR="00324B33" w:rsidRDefault="00324B33" w:rsidP="00324B33">
      <w:r w:rsidRPr="000A4A42">
        <w:t xml:space="preserve">This AusPAR describes the </w:t>
      </w:r>
      <w:r>
        <w:t>submission</w:t>
      </w:r>
      <w:r w:rsidRPr="000A4A42">
        <w:t xml:space="preserve"> by</w:t>
      </w:r>
      <w:r w:rsidR="00967D29">
        <w:t xml:space="preserve"> Merck Sharp &amp; Dohme</w:t>
      </w:r>
      <w:r w:rsidRPr="000A4A42">
        <w:t xml:space="preserve"> </w:t>
      </w:r>
      <w:r w:rsidR="00967D29">
        <w:t>(Australia) Pty Ltd (the</w:t>
      </w:r>
      <w:r w:rsidR="00591A50">
        <w:t> </w:t>
      </w:r>
      <w:r w:rsidR="00967D29">
        <w:t>sponsor) to provisionally register Keytruda (pembrolizumab (</w:t>
      </w:r>
      <w:proofErr w:type="spellStart"/>
      <w:r w:rsidR="00967D29">
        <w:t>rch</w:t>
      </w:r>
      <w:proofErr w:type="spellEnd"/>
      <w:r w:rsidR="00967D29">
        <w:t>)) 50 mg powder for injection (vial); and Keytruda (pembrolizumab (</w:t>
      </w:r>
      <w:proofErr w:type="spellStart"/>
      <w:r w:rsidR="00967D29">
        <w:t>rch</w:t>
      </w:r>
      <w:proofErr w:type="spellEnd"/>
      <w:r w:rsidR="00967D29">
        <w:t>)) 100 mg/4 mL concentrated injection (vial)</w:t>
      </w:r>
      <w:r w:rsidR="00591A50">
        <w:t>,</w:t>
      </w:r>
      <w:r w:rsidR="00967D29">
        <w:t xml:space="preserve"> </w:t>
      </w:r>
      <w:r w:rsidRPr="000A4A42">
        <w:t xml:space="preserve">for </w:t>
      </w:r>
      <w:r w:rsidR="00967D29">
        <w:t>the</w:t>
      </w:r>
      <w:r w:rsidRPr="000A4A42">
        <w:t xml:space="preserve"> following proposed extension of indications:</w:t>
      </w:r>
      <w:r w:rsidR="00D63760">
        <w:rPr>
          <w:rStyle w:val="FootnoteReference"/>
        </w:rPr>
        <w:footnoteReference w:id="2"/>
      </w:r>
    </w:p>
    <w:p w14:paraId="1265D1AA" w14:textId="4E2496A5" w:rsidR="005E32AF" w:rsidRPr="005E32AF" w:rsidRDefault="005E32AF" w:rsidP="005E32AF">
      <w:pPr>
        <w:ind w:left="720"/>
        <w:rPr>
          <w:i/>
        </w:rPr>
      </w:pPr>
      <w:r w:rsidRPr="005E32AF">
        <w:rPr>
          <w:i/>
        </w:rPr>
        <w:t>For the treatment of patients with Bacillus Calmette-</w:t>
      </w:r>
      <w:proofErr w:type="spellStart"/>
      <w:r w:rsidRPr="005E32AF">
        <w:rPr>
          <w:i/>
        </w:rPr>
        <w:t>Geurin</w:t>
      </w:r>
      <w:proofErr w:type="spellEnd"/>
      <w:r w:rsidRPr="005E32AF">
        <w:rPr>
          <w:i/>
        </w:rPr>
        <w:t xml:space="preserve"> (BCG)-unresponsive, high-risk, non-muscle invasive bladder cancer (NMIBC) with carcinoma-in-situ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r>
        <w:rPr>
          <w:i/>
        </w:rPr>
        <w:t>.</w:t>
      </w:r>
    </w:p>
    <w:p w14:paraId="0F428037" w14:textId="13478B90" w:rsidR="00641CB0" w:rsidRDefault="003E2254" w:rsidP="00641CB0">
      <w:pPr>
        <w:pStyle w:val="Heading4"/>
      </w:pPr>
      <w:bookmarkStart w:id="15" w:name="_Toc137117829"/>
      <w:r>
        <w:t>Bladder cancer (urothelial carcinoma)</w:t>
      </w:r>
      <w:bookmarkEnd w:id="15"/>
    </w:p>
    <w:p w14:paraId="053D7D26" w14:textId="32A421A9" w:rsidR="00641CB0" w:rsidRDefault="00641CB0" w:rsidP="00641CB0">
      <w:pPr>
        <w:rPr>
          <w:lang w:eastAsia="ja-JP"/>
        </w:rPr>
      </w:pPr>
      <w:r>
        <w:rPr>
          <w:lang w:eastAsia="ja-JP"/>
        </w:rPr>
        <w:t>Urothelial carcinoma is a malignancy arising in the urothelium (transitional cell epit</w:t>
      </w:r>
      <w:r w:rsidR="00A64EF1">
        <w:rPr>
          <w:lang w:eastAsia="ja-JP"/>
        </w:rPr>
        <w:t xml:space="preserve">helium) which lines the luminal </w:t>
      </w:r>
      <w:r>
        <w:rPr>
          <w:lang w:eastAsia="ja-JP"/>
        </w:rPr>
        <w:t>surface</w:t>
      </w:r>
      <w:r w:rsidR="00A64EF1">
        <w:rPr>
          <w:lang w:eastAsia="ja-JP"/>
        </w:rPr>
        <w:t xml:space="preserve"> (</w:t>
      </w:r>
      <w:r w:rsidR="00BD05EE">
        <w:rPr>
          <w:lang w:eastAsia="ja-JP"/>
        </w:rPr>
        <w:t>or innermost layer</w:t>
      </w:r>
      <w:r w:rsidR="00A64EF1">
        <w:rPr>
          <w:lang w:eastAsia="ja-JP"/>
        </w:rPr>
        <w:t>)</w:t>
      </w:r>
      <w:r>
        <w:rPr>
          <w:lang w:eastAsia="ja-JP"/>
        </w:rPr>
        <w:t xml:space="preserve"> of the </w:t>
      </w:r>
      <w:r w:rsidR="00BD05EE">
        <w:rPr>
          <w:lang w:eastAsia="ja-JP"/>
        </w:rPr>
        <w:t xml:space="preserve">bladder and </w:t>
      </w:r>
      <w:r>
        <w:rPr>
          <w:lang w:eastAsia="ja-JP"/>
        </w:rPr>
        <w:t xml:space="preserve">urinary tract. </w:t>
      </w:r>
      <w:r w:rsidR="00BD05EE">
        <w:rPr>
          <w:lang w:eastAsia="ja-JP"/>
        </w:rPr>
        <w:t>Malignancies arising from these urothelial cells account</w:t>
      </w:r>
      <w:r>
        <w:rPr>
          <w:lang w:eastAsia="ja-JP"/>
        </w:rPr>
        <w:t xml:space="preserve"> for over 90% of </w:t>
      </w:r>
      <w:r w:rsidR="00BD05EE">
        <w:rPr>
          <w:lang w:eastAsia="ja-JP"/>
        </w:rPr>
        <w:t xml:space="preserve">all </w:t>
      </w:r>
      <w:r>
        <w:rPr>
          <w:lang w:eastAsia="ja-JP"/>
        </w:rPr>
        <w:t>bladder cancer</w:t>
      </w:r>
      <w:r w:rsidR="00BD05EE">
        <w:rPr>
          <w:lang w:eastAsia="ja-JP"/>
        </w:rPr>
        <w:t xml:space="preserve"> cases</w:t>
      </w:r>
      <w:r>
        <w:rPr>
          <w:lang w:eastAsia="ja-JP"/>
        </w:rPr>
        <w:t>.</w:t>
      </w:r>
      <w:bookmarkStart w:id="16" w:name="_Ref130465879"/>
      <w:r w:rsidR="00BD05EE">
        <w:rPr>
          <w:rStyle w:val="FootnoteReference"/>
          <w:lang w:eastAsia="ja-JP"/>
        </w:rPr>
        <w:footnoteReference w:id="3"/>
      </w:r>
      <w:bookmarkEnd w:id="16"/>
      <w:r>
        <w:rPr>
          <w:lang w:eastAsia="ja-JP"/>
        </w:rPr>
        <w:t xml:space="preserve"> Other forms of bladder cancer include squamous cell carcinoma </w:t>
      </w:r>
      <w:r w:rsidR="00591A50">
        <w:rPr>
          <w:lang w:eastAsia="ja-JP"/>
        </w:rPr>
        <w:t xml:space="preserve">making up </w:t>
      </w:r>
      <w:r>
        <w:rPr>
          <w:lang w:eastAsia="ja-JP"/>
        </w:rPr>
        <w:t xml:space="preserve">5% </w:t>
      </w:r>
      <w:r w:rsidR="00A64EF1">
        <w:rPr>
          <w:lang w:eastAsia="ja-JP"/>
        </w:rPr>
        <w:t>of cases</w:t>
      </w:r>
      <w:r w:rsidR="00591A50">
        <w:rPr>
          <w:lang w:eastAsia="ja-JP"/>
        </w:rPr>
        <w:t>,</w:t>
      </w:r>
      <w:r w:rsidR="00A64EF1">
        <w:rPr>
          <w:lang w:eastAsia="ja-JP"/>
        </w:rPr>
        <w:t xml:space="preserve"> and adenocarcinomas </w:t>
      </w:r>
      <w:r w:rsidR="00591A50">
        <w:rPr>
          <w:lang w:eastAsia="ja-JP"/>
        </w:rPr>
        <w:t>comprising of about</w:t>
      </w:r>
      <w:r>
        <w:rPr>
          <w:lang w:eastAsia="ja-JP"/>
        </w:rPr>
        <w:t xml:space="preserve"> 2%</w:t>
      </w:r>
      <w:r w:rsidR="00B70188">
        <w:rPr>
          <w:lang w:eastAsia="ja-JP"/>
        </w:rPr>
        <w:t xml:space="preserve"> of cases</w:t>
      </w:r>
      <w:r>
        <w:rPr>
          <w:lang w:eastAsia="ja-JP"/>
        </w:rPr>
        <w:t>.</w:t>
      </w:r>
      <w:r w:rsidR="00B70188">
        <w:rPr>
          <w:rStyle w:val="FootnoteReference"/>
          <w:lang w:eastAsia="ja-JP"/>
        </w:rPr>
        <w:footnoteReference w:id="4"/>
      </w:r>
    </w:p>
    <w:p w14:paraId="1AB9CEC5" w14:textId="3ABA57AB" w:rsidR="00045CA7" w:rsidRPr="00D85125" w:rsidRDefault="00B70188" w:rsidP="00045CA7">
      <w:pPr>
        <w:rPr>
          <w:vertAlign w:val="superscript"/>
          <w:lang w:eastAsia="ja-JP"/>
        </w:rPr>
      </w:pPr>
      <w:r>
        <w:rPr>
          <w:lang w:eastAsia="ja-JP"/>
        </w:rPr>
        <w:t>Cancer of the bladder is estimated to be the tenth most common cancer globally.</w:t>
      </w:r>
      <w:r w:rsidR="003103C0" w:rsidRPr="003103C0">
        <w:rPr>
          <w:vertAlign w:val="superscript"/>
          <w:lang w:eastAsia="ja-JP"/>
        </w:rPr>
        <w:fldChar w:fldCharType="begin"/>
      </w:r>
      <w:r w:rsidR="003103C0" w:rsidRPr="003103C0">
        <w:rPr>
          <w:vertAlign w:val="superscript"/>
          <w:lang w:eastAsia="ja-JP"/>
        </w:rPr>
        <w:instrText xml:space="preserve"> NOTEREF _Ref130465879 \h </w:instrText>
      </w:r>
      <w:r w:rsidR="003103C0">
        <w:rPr>
          <w:vertAlign w:val="superscript"/>
          <w:lang w:eastAsia="ja-JP"/>
        </w:rPr>
        <w:instrText xml:space="preserve"> \* MERGEFORMAT </w:instrText>
      </w:r>
      <w:r w:rsidR="003103C0" w:rsidRPr="003103C0">
        <w:rPr>
          <w:vertAlign w:val="superscript"/>
          <w:lang w:eastAsia="ja-JP"/>
        </w:rPr>
      </w:r>
      <w:r w:rsidR="003103C0" w:rsidRPr="003103C0">
        <w:rPr>
          <w:vertAlign w:val="superscript"/>
          <w:lang w:eastAsia="ja-JP"/>
        </w:rPr>
        <w:fldChar w:fldCharType="separate"/>
      </w:r>
      <w:r w:rsidR="007F791A">
        <w:rPr>
          <w:vertAlign w:val="superscript"/>
          <w:lang w:eastAsia="ja-JP"/>
        </w:rPr>
        <w:t>2</w:t>
      </w:r>
      <w:r w:rsidR="003103C0" w:rsidRPr="003103C0">
        <w:rPr>
          <w:vertAlign w:val="superscript"/>
          <w:lang w:eastAsia="ja-JP"/>
        </w:rPr>
        <w:fldChar w:fldCharType="end"/>
      </w:r>
      <w:r w:rsidR="003103C0">
        <w:rPr>
          <w:lang w:eastAsia="ja-JP"/>
        </w:rPr>
        <w:t xml:space="preserve"> </w:t>
      </w:r>
      <w:r w:rsidR="00641CB0">
        <w:rPr>
          <w:lang w:eastAsia="ja-JP"/>
        </w:rPr>
        <w:t>The i</w:t>
      </w:r>
      <w:r w:rsidR="00641CB0" w:rsidRPr="000577F7">
        <w:rPr>
          <w:lang w:eastAsia="ja-JP"/>
        </w:rPr>
        <w:t>ncidence of bla</w:t>
      </w:r>
      <w:r w:rsidR="00A64EF1">
        <w:rPr>
          <w:lang w:eastAsia="ja-JP"/>
        </w:rPr>
        <w:t>dder cancer increases with age</w:t>
      </w:r>
      <w:r w:rsidR="002571B3">
        <w:rPr>
          <w:lang w:eastAsia="ja-JP"/>
        </w:rPr>
        <w:t>, and the average age at diagnosis is 75 years</w:t>
      </w:r>
      <w:bookmarkStart w:id="17" w:name="_Ref130306821"/>
      <w:r w:rsidR="002571B3">
        <w:rPr>
          <w:lang w:eastAsia="ja-JP"/>
        </w:rPr>
        <w:t>.</w:t>
      </w:r>
      <w:r w:rsidR="002571B3">
        <w:rPr>
          <w:rStyle w:val="FootnoteReference"/>
          <w:lang w:eastAsia="ja-JP"/>
        </w:rPr>
        <w:footnoteReference w:id="5"/>
      </w:r>
      <w:bookmarkEnd w:id="17"/>
      <w:r w:rsidR="002571B3">
        <w:rPr>
          <w:lang w:eastAsia="ja-JP"/>
        </w:rPr>
        <w:t xml:space="preserve"> Australian Institute of Health and Welfare (AIHW) data reported that in</w:t>
      </w:r>
      <w:r w:rsidR="00A64EF1">
        <w:rPr>
          <w:lang w:eastAsia="ja-JP"/>
        </w:rPr>
        <w:t xml:space="preserve"> 2018, there were 2,968 new cases of bladder cancer diagnosed in Australia (2,250 males and 717 females) with almost 77% of c</w:t>
      </w:r>
      <w:r w:rsidR="002571B3">
        <w:rPr>
          <w:lang w:eastAsia="ja-JP"/>
        </w:rPr>
        <w:t>ases occurred in male subjects.</w:t>
      </w:r>
      <w:r w:rsidR="00A64EF1" w:rsidRPr="00A64EF1">
        <w:rPr>
          <w:vertAlign w:val="superscript"/>
          <w:lang w:eastAsia="ja-JP"/>
        </w:rPr>
        <w:fldChar w:fldCharType="begin"/>
      </w:r>
      <w:r w:rsidR="00A64EF1" w:rsidRPr="00A64EF1">
        <w:rPr>
          <w:vertAlign w:val="superscript"/>
          <w:lang w:eastAsia="ja-JP"/>
        </w:rPr>
        <w:instrText xml:space="preserve"> NOTEREF _Ref130306821 \h </w:instrText>
      </w:r>
      <w:r w:rsidR="00A64EF1">
        <w:rPr>
          <w:vertAlign w:val="superscript"/>
          <w:lang w:eastAsia="ja-JP"/>
        </w:rPr>
        <w:instrText xml:space="preserve"> \* MERGEFORMAT </w:instrText>
      </w:r>
      <w:r w:rsidR="00A64EF1" w:rsidRPr="00A64EF1">
        <w:rPr>
          <w:vertAlign w:val="superscript"/>
          <w:lang w:eastAsia="ja-JP"/>
        </w:rPr>
      </w:r>
      <w:r w:rsidR="00A64EF1" w:rsidRPr="00A64EF1">
        <w:rPr>
          <w:vertAlign w:val="superscript"/>
          <w:lang w:eastAsia="ja-JP"/>
        </w:rPr>
        <w:fldChar w:fldCharType="separate"/>
      </w:r>
      <w:r w:rsidR="007F791A">
        <w:rPr>
          <w:vertAlign w:val="superscript"/>
          <w:lang w:eastAsia="ja-JP"/>
        </w:rPr>
        <w:t>4</w:t>
      </w:r>
      <w:r w:rsidR="00A64EF1" w:rsidRPr="00A64EF1">
        <w:rPr>
          <w:vertAlign w:val="superscript"/>
          <w:lang w:eastAsia="ja-JP"/>
        </w:rPr>
        <w:fldChar w:fldCharType="end"/>
      </w:r>
    </w:p>
    <w:p w14:paraId="6A1DAFB5" w14:textId="48C5ECB3" w:rsidR="005772F6" w:rsidRPr="003103C0" w:rsidRDefault="004C197F" w:rsidP="005772F6">
      <w:r>
        <w:rPr>
          <w:lang w:val="en-GB"/>
        </w:rPr>
        <w:t>Smoking tobacco and exposure to tobacco smoke is the greatest known factor to urinary bladder cancer</w:t>
      </w:r>
      <w:r w:rsidR="003103C0">
        <w:rPr>
          <w:lang w:val="en-GB"/>
        </w:rPr>
        <w:t xml:space="preserve"> and account</w:t>
      </w:r>
      <w:r w:rsidR="00045CA7">
        <w:rPr>
          <w:lang w:val="en-GB"/>
        </w:rPr>
        <w:t>s</w:t>
      </w:r>
      <w:r w:rsidR="003103C0">
        <w:rPr>
          <w:lang w:val="en-GB"/>
        </w:rPr>
        <w:t xml:space="preserve"> for </w:t>
      </w:r>
      <w:r w:rsidR="00045CA7">
        <w:rPr>
          <w:lang w:val="en-GB"/>
        </w:rPr>
        <w:t>50-65% of cases, and may explain the greater incidence in men</w:t>
      </w:r>
      <w:r w:rsidR="003103C0">
        <w:rPr>
          <w:lang w:val="en-GB"/>
        </w:rPr>
        <w:t>.</w:t>
      </w:r>
      <w:r w:rsidR="00045CA7" w:rsidRPr="004C197F">
        <w:rPr>
          <w:vertAlign w:val="superscript"/>
          <w:lang w:val="en-GB"/>
        </w:rPr>
        <w:fldChar w:fldCharType="begin"/>
      </w:r>
      <w:r w:rsidR="00045CA7" w:rsidRPr="004C197F">
        <w:rPr>
          <w:vertAlign w:val="superscript"/>
          <w:lang w:val="en-GB"/>
        </w:rPr>
        <w:instrText xml:space="preserve"> NOTEREF _Ref130465879 \h </w:instrText>
      </w:r>
      <w:r w:rsidR="00045CA7">
        <w:rPr>
          <w:vertAlign w:val="superscript"/>
          <w:lang w:val="en-GB"/>
        </w:rPr>
        <w:instrText xml:space="preserve"> \* MERGEFORMAT </w:instrText>
      </w:r>
      <w:r w:rsidR="00045CA7" w:rsidRPr="004C197F">
        <w:rPr>
          <w:vertAlign w:val="superscript"/>
          <w:lang w:val="en-GB"/>
        </w:rPr>
      </w:r>
      <w:r w:rsidR="00045CA7" w:rsidRPr="004C197F">
        <w:rPr>
          <w:vertAlign w:val="superscript"/>
          <w:lang w:val="en-GB"/>
        </w:rPr>
        <w:fldChar w:fldCharType="separate"/>
      </w:r>
      <w:r w:rsidR="007F791A">
        <w:rPr>
          <w:vertAlign w:val="superscript"/>
          <w:lang w:val="en-GB"/>
        </w:rPr>
        <w:t>2</w:t>
      </w:r>
      <w:r w:rsidR="00045CA7" w:rsidRPr="004C197F">
        <w:rPr>
          <w:vertAlign w:val="superscript"/>
          <w:lang w:val="en-GB"/>
        </w:rPr>
        <w:fldChar w:fldCharType="end"/>
      </w:r>
      <w:r w:rsidR="00045CA7">
        <w:rPr>
          <w:vertAlign w:val="superscript"/>
          <w:lang w:val="en-GB"/>
        </w:rPr>
        <w:t>,</w:t>
      </w:r>
      <w:r>
        <w:rPr>
          <w:rStyle w:val="FootnoteReference"/>
          <w:lang w:val="en-GB"/>
        </w:rPr>
        <w:footnoteReference w:id="6"/>
      </w:r>
      <w:r w:rsidR="00D661F6">
        <w:rPr>
          <w:lang w:val="en-GB"/>
        </w:rPr>
        <w:t xml:space="preserve"> </w:t>
      </w:r>
      <w:r w:rsidR="003103C0">
        <w:rPr>
          <w:lang w:val="en-GB"/>
        </w:rPr>
        <w:t xml:space="preserve">After smoking, </w:t>
      </w:r>
      <w:r w:rsidR="00045CA7">
        <w:rPr>
          <w:lang w:val="en-GB"/>
        </w:rPr>
        <w:t xml:space="preserve">past exposure to </w:t>
      </w:r>
      <w:r w:rsidR="003103C0">
        <w:rPr>
          <w:lang w:val="en-GB"/>
        </w:rPr>
        <w:t>o</w:t>
      </w:r>
      <w:r w:rsidR="003103C0" w:rsidRPr="003103C0">
        <w:rPr>
          <w:lang w:val="en-GB"/>
        </w:rPr>
        <w:t>ccupational or environmental toxins</w:t>
      </w:r>
      <w:r w:rsidR="00045CA7">
        <w:rPr>
          <w:lang w:val="en-GB"/>
        </w:rPr>
        <w:t xml:space="preserve"> are the next greatest contributor, however the </w:t>
      </w:r>
      <w:r w:rsidR="003103C0" w:rsidRPr="003103C0">
        <w:rPr>
          <w:lang w:val="en-GB"/>
        </w:rPr>
        <w:t xml:space="preserve">proportion can </w:t>
      </w:r>
      <w:r w:rsidR="00045CA7">
        <w:rPr>
          <w:lang w:val="en-GB"/>
        </w:rPr>
        <w:t>difficult to ascertain</w:t>
      </w:r>
      <w:r w:rsidR="003103C0" w:rsidRPr="003103C0">
        <w:rPr>
          <w:lang w:val="en-GB"/>
        </w:rPr>
        <w:t xml:space="preserve"> </w:t>
      </w:r>
      <w:r w:rsidR="00045CA7">
        <w:rPr>
          <w:lang w:val="en-GB"/>
        </w:rPr>
        <w:t>as</w:t>
      </w:r>
      <w:r w:rsidR="003103C0" w:rsidRPr="003103C0">
        <w:rPr>
          <w:lang w:val="en-GB"/>
        </w:rPr>
        <w:t xml:space="preserve"> bladder cancer develops decades after exposure, even if the exposure </w:t>
      </w:r>
      <w:r w:rsidR="00591A50">
        <w:rPr>
          <w:lang w:val="en-GB"/>
        </w:rPr>
        <w:t xml:space="preserve">may have </w:t>
      </w:r>
      <w:r w:rsidR="003103C0" w:rsidRPr="003103C0">
        <w:rPr>
          <w:lang w:val="en-GB"/>
        </w:rPr>
        <w:t>only lasted several years.</w:t>
      </w:r>
      <w:r w:rsidR="00045CA7" w:rsidRPr="00045CA7">
        <w:rPr>
          <w:vertAlign w:val="superscript"/>
          <w:lang w:val="en-GB"/>
        </w:rPr>
        <w:fldChar w:fldCharType="begin"/>
      </w:r>
      <w:r w:rsidR="00045CA7" w:rsidRPr="00045CA7">
        <w:rPr>
          <w:vertAlign w:val="superscript"/>
          <w:lang w:val="en-GB"/>
        </w:rPr>
        <w:instrText xml:space="preserve"> NOTEREF _Ref130465879 \h </w:instrText>
      </w:r>
      <w:r w:rsidR="00045CA7">
        <w:rPr>
          <w:vertAlign w:val="superscript"/>
          <w:lang w:val="en-GB"/>
        </w:rPr>
        <w:instrText xml:space="preserve"> \* MERGEFORMAT </w:instrText>
      </w:r>
      <w:r w:rsidR="00045CA7" w:rsidRPr="00045CA7">
        <w:rPr>
          <w:vertAlign w:val="superscript"/>
          <w:lang w:val="en-GB"/>
        </w:rPr>
      </w:r>
      <w:r w:rsidR="00045CA7" w:rsidRPr="00045CA7">
        <w:rPr>
          <w:vertAlign w:val="superscript"/>
          <w:lang w:val="en-GB"/>
        </w:rPr>
        <w:fldChar w:fldCharType="separate"/>
      </w:r>
      <w:r w:rsidR="007F791A">
        <w:rPr>
          <w:vertAlign w:val="superscript"/>
          <w:lang w:val="en-GB"/>
        </w:rPr>
        <w:t>2</w:t>
      </w:r>
      <w:r w:rsidR="00045CA7" w:rsidRPr="00045CA7">
        <w:rPr>
          <w:vertAlign w:val="superscript"/>
          <w:lang w:val="en-GB"/>
        </w:rPr>
        <w:fldChar w:fldCharType="end"/>
      </w:r>
    </w:p>
    <w:p w14:paraId="0CF1396A" w14:textId="3379D60B" w:rsidR="005772F6" w:rsidRPr="005772F6" w:rsidRDefault="00D661F6" w:rsidP="005772F6">
      <w:pPr>
        <w:rPr>
          <w:lang w:val="en-GB"/>
        </w:rPr>
      </w:pPr>
      <w:r>
        <w:t>N</w:t>
      </w:r>
      <w:r w:rsidRPr="00D661F6">
        <w:t>on-muscle invasive bladder cancer</w:t>
      </w:r>
      <w:r w:rsidR="005772F6" w:rsidRPr="005772F6">
        <w:rPr>
          <w:lang w:val="en-GB"/>
        </w:rPr>
        <w:t xml:space="preserve"> is usually first suspected due to h</w:t>
      </w:r>
      <w:r w:rsidR="003103C0">
        <w:rPr>
          <w:lang w:val="en-GB"/>
        </w:rPr>
        <w:t>a</w:t>
      </w:r>
      <w:r w:rsidR="005772F6" w:rsidRPr="005772F6">
        <w:rPr>
          <w:lang w:val="en-GB"/>
        </w:rPr>
        <w:t>ematuria</w:t>
      </w:r>
      <w:r w:rsidR="003103C0">
        <w:rPr>
          <w:lang w:val="en-GB"/>
        </w:rPr>
        <w:t xml:space="preserve"> (blood in urine)</w:t>
      </w:r>
      <w:r>
        <w:rPr>
          <w:lang w:val="en-GB"/>
        </w:rPr>
        <w:t xml:space="preserve"> that is usually painless, which may or may not be accompanied by vague urinary-type symptomology</w:t>
      </w:r>
      <w:r w:rsidR="00591A50">
        <w:rPr>
          <w:lang w:val="en-GB"/>
        </w:rPr>
        <w:t>. Diagnosis is</w:t>
      </w:r>
      <w:r w:rsidR="003103C0">
        <w:rPr>
          <w:lang w:val="en-GB"/>
        </w:rPr>
        <w:t xml:space="preserve"> then </w:t>
      </w:r>
      <w:r w:rsidR="00591A50">
        <w:rPr>
          <w:lang w:val="en-GB"/>
        </w:rPr>
        <w:t>confirmed via</w:t>
      </w:r>
      <w:r w:rsidR="005772F6" w:rsidRPr="005772F6">
        <w:rPr>
          <w:lang w:val="en-GB"/>
        </w:rPr>
        <w:t xml:space="preserve"> </w:t>
      </w:r>
      <w:proofErr w:type="gramStart"/>
      <w:r w:rsidR="005772F6" w:rsidRPr="005772F6">
        <w:rPr>
          <w:lang w:val="en-GB"/>
        </w:rPr>
        <w:t xml:space="preserve">cystoscopy, </w:t>
      </w:r>
      <w:r w:rsidR="003103C0">
        <w:rPr>
          <w:lang w:val="en-GB"/>
        </w:rPr>
        <w:t>or</w:t>
      </w:r>
      <w:proofErr w:type="gramEnd"/>
      <w:r w:rsidR="003103C0">
        <w:rPr>
          <w:lang w:val="en-GB"/>
        </w:rPr>
        <w:t xml:space="preserve"> </w:t>
      </w:r>
      <w:r w:rsidR="00591A50">
        <w:rPr>
          <w:lang w:val="en-GB"/>
        </w:rPr>
        <w:t xml:space="preserve">following </w:t>
      </w:r>
      <w:r w:rsidR="003103C0">
        <w:rPr>
          <w:lang w:val="en-GB"/>
        </w:rPr>
        <w:t xml:space="preserve">further investigations </w:t>
      </w:r>
      <w:r w:rsidR="00277801">
        <w:rPr>
          <w:lang w:val="en-GB"/>
        </w:rPr>
        <w:t xml:space="preserve">and imaging </w:t>
      </w:r>
      <w:r w:rsidR="003103C0">
        <w:rPr>
          <w:lang w:val="en-GB"/>
        </w:rPr>
        <w:t>including</w:t>
      </w:r>
      <w:r w:rsidR="005772F6" w:rsidRPr="005772F6">
        <w:rPr>
          <w:lang w:val="en-GB"/>
        </w:rPr>
        <w:t xml:space="preserve"> telescopic endoscopy of the bladder, transabdominal ultrasound, and/or comp</w:t>
      </w:r>
      <w:r w:rsidR="003103C0">
        <w:rPr>
          <w:lang w:val="en-GB"/>
        </w:rPr>
        <w:t xml:space="preserve">uter tomography </w:t>
      </w:r>
      <w:r>
        <w:rPr>
          <w:lang w:val="en-GB"/>
        </w:rPr>
        <w:t xml:space="preserve">urography </w:t>
      </w:r>
      <w:r w:rsidR="003103C0">
        <w:rPr>
          <w:lang w:val="en-GB"/>
        </w:rPr>
        <w:t>(CT</w:t>
      </w:r>
      <w:r>
        <w:rPr>
          <w:lang w:val="en-GB"/>
        </w:rPr>
        <w:t>U)</w:t>
      </w:r>
      <w:r w:rsidR="003103C0">
        <w:rPr>
          <w:lang w:val="en-GB"/>
        </w:rPr>
        <w:t>.</w:t>
      </w:r>
      <w:r w:rsidR="003103C0" w:rsidRPr="003103C0">
        <w:rPr>
          <w:vertAlign w:val="superscript"/>
          <w:lang w:val="en-GB"/>
        </w:rPr>
        <w:fldChar w:fldCharType="begin"/>
      </w:r>
      <w:r w:rsidR="003103C0" w:rsidRPr="003103C0">
        <w:rPr>
          <w:vertAlign w:val="superscript"/>
          <w:lang w:val="en-GB"/>
        </w:rPr>
        <w:instrText xml:space="preserve"> NOTEREF _Ref130465879 \h </w:instrText>
      </w:r>
      <w:r w:rsidR="003103C0">
        <w:rPr>
          <w:vertAlign w:val="superscript"/>
          <w:lang w:val="en-GB"/>
        </w:rPr>
        <w:instrText xml:space="preserve"> \* MERGEFORMAT </w:instrText>
      </w:r>
      <w:r w:rsidR="003103C0" w:rsidRPr="003103C0">
        <w:rPr>
          <w:vertAlign w:val="superscript"/>
          <w:lang w:val="en-GB"/>
        </w:rPr>
      </w:r>
      <w:r w:rsidR="003103C0" w:rsidRPr="003103C0">
        <w:rPr>
          <w:vertAlign w:val="superscript"/>
          <w:lang w:val="en-GB"/>
        </w:rPr>
        <w:fldChar w:fldCharType="separate"/>
      </w:r>
      <w:r w:rsidR="007F791A">
        <w:rPr>
          <w:vertAlign w:val="superscript"/>
          <w:lang w:val="en-GB"/>
        </w:rPr>
        <w:t>2</w:t>
      </w:r>
      <w:r w:rsidR="003103C0" w:rsidRPr="003103C0">
        <w:rPr>
          <w:vertAlign w:val="superscript"/>
          <w:lang w:val="en-GB"/>
        </w:rPr>
        <w:fldChar w:fldCharType="end"/>
      </w:r>
    </w:p>
    <w:p w14:paraId="7FF670CD" w14:textId="323C4A8A" w:rsidR="00277801" w:rsidRDefault="009E634A" w:rsidP="00F44683">
      <w:pPr>
        <w:rPr>
          <w:lang w:eastAsia="ja-JP"/>
        </w:rPr>
      </w:pPr>
      <w:r>
        <w:rPr>
          <w:lang w:eastAsia="ja-JP"/>
        </w:rPr>
        <w:lastRenderedPageBreak/>
        <w:t>B</w:t>
      </w:r>
      <w:r w:rsidR="00641CB0">
        <w:rPr>
          <w:lang w:eastAsia="ja-JP"/>
        </w:rPr>
        <w:t xml:space="preserve">ladder cancer is </w:t>
      </w:r>
      <w:r>
        <w:rPr>
          <w:lang w:eastAsia="ja-JP"/>
        </w:rPr>
        <w:t xml:space="preserve">commonly </w:t>
      </w:r>
      <w:r w:rsidR="00641CB0">
        <w:rPr>
          <w:lang w:eastAsia="ja-JP"/>
        </w:rPr>
        <w:t xml:space="preserve">staged according to the Tumour, Node, Metastasis (TNM) </w:t>
      </w:r>
      <w:r>
        <w:rPr>
          <w:lang w:eastAsia="ja-JP"/>
        </w:rPr>
        <w:t xml:space="preserve">staging </w:t>
      </w:r>
      <w:r w:rsidR="00641CB0">
        <w:rPr>
          <w:lang w:eastAsia="ja-JP"/>
        </w:rPr>
        <w:t>system</w:t>
      </w:r>
      <w:r w:rsidR="00277801">
        <w:rPr>
          <w:lang w:eastAsia="ja-JP"/>
        </w:rPr>
        <w:t>.</w:t>
      </w:r>
      <w:r w:rsidR="00F44683">
        <w:rPr>
          <w:rStyle w:val="FootnoteReference"/>
          <w:lang w:eastAsia="ja-JP"/>
        </w:rPr>
        <w:footnoteReference w:id="7"/>
      </w:r>
      <w:r w:rsidR="006C0B33">
        <w:rPr>
          <w:vertAlign w:val="superscript"/>
          <w:lang w:eastAsia="ja-JP"/>
        </w:rPr>
        <w:t>,</w:t>
      </w:r>
      <w:r w:rsidR="006C0B33">
        <w:rPr>
          <w:rStyle w:val="FootnoteReference"/>
          <w:lang w:eastAsia="ja-JP"/>
        </w:rPr>
        <w:footnoteReference w:id="8"/>
      </w:r>
      <w:r w:rsidR="00641CB0">
        <w:rPr>
          <w:lang w:eastAsia="ja-JP"/>
        </w:rPr>
        <w:t xml:space="preserve"> </w:t>
      </w:r>
      <w:r w:rsidR="00277801">
        <w:rPr>
          <w:lang w:eastAsia="ja-JP"/>
        </w:rPr>
        <w:t>Descriptions and staging of non-muscle invasive bladder cancer is based upon the T (tumour) stages and includes urothelial carcinoma of the Ta stage (non-invasive papillary carcinoma), Tis stage (carcinoma in-situ) and T1 stage (where the tumour has spread to the</w:t>
      </w:r>
      <w:r w:rsidR="00277801" w:rsidRPr="000D5A16">
        <w:rPr>
          <w:lang w:eastAsia="ja-JP"/>
        </w:rPr>
        <w:t xml:space="preserve"> subepithelial connective tissue</w:t>
      </w:r>
      <w:r w:rsidR="00277801">
        <w:rPr>
          <w:lang w:eastAsia="ja-JP"/>
        </w:rPr>
        <w:t xml:space="preserve"> beneath the urothelium. A</w:t>
      </w:r>
      <w:r w:rsidR="00AE6647">
        <w:rPr>
          <w:lang w:eastAsia="ja-JP"/>
        </w:rPr>
        <w:t xml:space="preserve"> </w:t>
      </w:r>
      <w:r w:rsidR="00277801">
        <w:rPr>
          <w:lang w:eastAsia="ja-JP"/>
        </w:rPr>
        <w:t xml:space="preserve">pictorial representation of the stages involved is given in </w:t>
      </w:r>
      <w:r w:rsidR="00277801">
        <w:rPr>
          <w:lang w:eastAsia="ja-JP"/>
        </w:rPr>
        <w:fldChar w:fldCharType="begin"/>
      </w:r>
      <w:r w:rsidR="00277801">
        <w:rPr>
          <w:lang w:eastAsia="ja-JP"/>
        </w:rPr>
        <w:instrText xml:space="preserve"> REF _Ref130305794 \h </w:instrText>
      </w:r>
      <w:r w:rsidR="00277801">
        <w:rPr>
          <w:lang w:eastAsia="ja-JP"/>
        </w:rPr>
      </w:r>
      <w:r w:rsidR="00277801">
        <w:rPr>
          <w:lang w:eastAsia="ja-JP"/>
        </w:rPr>
        <w:fldChar w:fldCharType="separate"/>
      </w:r>
      <w:r w:rsidR="007F791A">
        <w:t xml:space="preserve">Figure </w:t>
      </w:r>
      <w:r w:rsidR="007F791A">
        <w:rPr>
          <w:noProof/>
        </w:rPr>
        <w:t>1</w:t>
      </w:r>
      <w:r w:rsidR="00277801">
        <w:rPr>
          <w:lang w:eastAsia="ja-JP"/>
        </w:rPr>
        <w:fldChar w:fldCharType="end"/>
      </w:r>
      <w:r w:rsidR="00277801">
        <w:rPr>
          <w:lang w:eastAsia="ja-JP"/>
        </w:rPr>
        <w:t xml:space="preserve">, with a text </w:t>
      </w:r>
      <w:r w:rsidR="009D66B9">
        <w:rPr>
          <w:lang w:eastAsia="ja-JP"/>
        </w:rPr>
        <w:t>summary</w:t>
      </w:r>
      <w:r w:rsidR="00AE6647">
        <w:rPr>
          <w:lang w:eastAsia="ja-JP"/>
        </w:rPr>
        <w:t xml:space="preserve"> gi</w:t>
      </w:r>
      <w:r w:rsidR="00277801">
        <w:rPr>
          <w:lang w:eastAsia="ja-JP"/>
        </w:rPr>
        <w:t>ven</w:t>
      </w:r>
      <w:r w:rsidR="00641CB0">
        <w:rPr>
          <w:lang w:eastAsia="ja-JP"/>
        </w:rPr>
        <w:t xml:space="preserve"> in</w:t>
      </w:r>
      <w:r w:rsidR="006C0B33">
        <w:rPr>
          <w:lang w:eastAsia="ja-JP"/>
        </w:rPr>
        <w:t xml:space="preserve"> </w:t>
      </w:r>
      <w:r w:rsidR="006C0B33">
        <w:rPr>
          <w:lang w:eastAsia="ja-JP"/>
        </w:rPr>
        <w:fldChar w:fldCharType="begin"/>
      </w:r>
      <w:r w:rsidR="006C0B33">
        <w:rPr>
          <w:lang w:eastAsia="ja-JP"/>
        </w:rPr>
        <w:instrText xml:space="preserve"> REF _Ref130464071 \h </w:instrText>
      </w:r>
      <w:r w:rsidR="006C0B33">
        <w:rPr>
          <w:lang w:eastAsia="ja-JP"/>
        </w:rPr>
      </w:r>
      <w:r w:rsidR="006C0B33">
        <w:rPr>
          <w:lang w:eastAsia="ja-JP"/>
        </w:rPr>
        <w:fldChar w:fldCharType="separate"/>
      </w:r>
      <w:r w:rsidR="007F791A">
        <w:t xml:space="preserve">Table </w:t>
      </w:r>
      <w:r w:rsidR="007F791A">
        <w:rPr>
          <w:noProof/>
        </w:rPr>
        <w:t>1</w:t>
      </w:r>
      <w:r w:rsidR="006C0B33">
        <w:rPr>
          <w:lang w:eastAsia="ja-JP"/>
        </w:rPr>
        <w:fldChar w:fldCharType="end"/>
      </w:r>
      <w:r w:rsidR="00AE6647">
        <w:rPr>
          <w:lang w:eastAsia="ja-JP"/>
        </w:rPr>
        <w:t xml:space="preserve"> (below)</w:t>
      </w:r>
      <w:r w:rsidR="006C0B33">
        <w:rPr>
          <w:lang w:eastAsia="ja-JP"/>
        </w:rPr>
        <w:t>.</w:t>
      </w:r>
    </w:p>
    <w:p w14:paraId="7CACF5E4" w14:textId="16E16D4E" w:rsidR="00F44683" w:rsidRDefault="00277801" w:rsidP="00F44683">
      <w:pPr>
        <w:rPr>
          <w:lang w:eastAsia="ja-JP"/>
        </w:rPr>
      </w:pPr>
      <w:r>
        <w:t xml:space="preserve">Higher stages of bladder tumours (T2, T3 and T4 disease; not depicted in Figure 1) </w:t>
      </w:r>
      <w:proofErr w:type="gramStart"/>
      <w:r>
        <w:t>are considered to be</w:t>
      </w:r>
      <w:proofErr w:type="gramEnd"/>
      <w:r>
        <w:t xml:space="preserve"> muscle-invasive bladder cancer, as by definition these stages describe </w:t>
      </w:r>
      <w:r w:rsidRPr="00C94495">
        <w:t>cancer cells have spread into or through the muscle layer of the bladder wall.</w:t>
      </w:r>
    </w:p>
    <w:p w14:paraId="52C2CBC4" w14:textId="282B6CF3" w:rsidR="00C94495" w:rsidRDefault="00C94495" w:rsidP="00C94495">
      <w:pPr>
        <w:pStyle w:val="TableTitle0"/>
      </w:pPr>
      <w:bookmarkStart w:id="18" w:name="_Ref130305794"/>
      <w:r>
        <w:t xml:space="preserve">Figure </w:t>
      </w:r>
      <w:r w:rsidR="00B82441">
        <w:fldChar w:fldCharType="begin"/>
      </w:r>
      <w:r w:rsidR="00B82441">
        <w:instrText xml:space="preserve"> SEQ Figure \* ARABIC </w:instrText>
      </w:r>
      <w:r w:rsidR="00B82441">
        <w:fldChar w:fldCharType="separate"/>
      </w:r>
      <w:r w:rsidR="007F791A">
        <w:rPr>
          <w:noProof/>
        </w:rPr>
        <w:t>1</w:t>
      </w:r>
      <w:r w:rsidR="00B82441">
        <w:rPr>
          <w:noProof/>
        </w:rPr>
        <w:fldChar w:fldCharType="end"/>
      </w:r>
      <w:bookmarkEnd w:id="18"/>
      <w:r>
        <w:t xml:space="preserve">: TNM staging and anatomy of </w:t>
      </w:r>
      <w:r>
        <w:rPr>
          <w:lang w:eastAsia="ja-JP"/>
        </w:rPr>
        <w:t>non-muscle invasive bladder cancer</w:t>
      </w:r>
    </w:p>
    <w:p w14:paraId="160FF38D" w14:textId="77777777" w:rsidR="00C94495" w:rsidRDefault="00C94495" w:rsidP="00B82441">
      <w:r>
        <w:rPr>
          <w:noProof/>
          <w:lang w:val="en-GB" w:eastAsia="en-GB"/>
        </w:rPr>
        <w:drawing>
          <wp:inline distT="0" distB="0" distL="0" distR="0" wp14:anchorId="6AD27260" wp14:editId="02E1860E">
            <wp:extent cx="4469557" cy="4191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showing-early-stage-bladder-cancer (1).png"/>
                    <pic:cNvPicPr/>
                  </pic:nvPicPr>
                  <pic:blipFill rotWithShape="1">
                    <a:blip r:embed="rId19">
                      <a:extLst>
                        <a:ext uri="{28A0092B-C50C-407E-A947-70E740481C1C}">
                          <a14:useLocalDpi xmlns:a14="http://schemas.microsoft.com/office/drawing/2010/main" val="0"/>
                        </a:ext>
                      </a:extLst>
                    </a:blip>
                    <a:srcRect l="5866"/>
                    <a:stretch/>
                  </pic:blipFill>
                  <pic:spPr bwMode="auto">
                    <a:xfrm>
                      <a:off x="0" y="0"/>
                      <a:ext cx="4504585" cy="4223845"/>
                    </a:xfrm>
                    <a:prstGeom prst="rect">
                      <a:avLst/>
                    </a:prstGeom>
                    <a:ln>
                      <a:noFill/>
                    </a:ln>
                    <a:extLst>
                      <a:ext uri="{53640926-AAD7-44D8-BBD7-CCE9431645EC}">
                        <a14:shadowObscured xmlns:a14="http://schemas.microsoft.com/office/drawing/2010/main"/>
                      </a:ext>
                    </a:extLst>
                  </pic:spPr>
                </pic:pic>
              </a:graphicData>
            </a:graphic>
          </wp:inline>
        </w:drawing>
      </w:r>
    </w:p>
    <w:p w14:paraId="7CFF176D" w14:textId="4FB57A73" w:rsidR="00C94495" w:rsidRDefault="00C94495" w:rsidP="00011226">
      <w:pPr>
        <w:pStyle w:val="TableDescription0"/>
      </w:pPr>
      <w:r>
        <w:t>Tumour (T) staging is based on extent of invasion into the bladder wall. Non-muscle invasive bladder cancer includes Ta, Tis (carcinoma-in-situ) and T1 disease whereby there is no evidence of cancer cells invading into or beyond the muscle layer of the bladder.</w:t>
      </w:r>
    </w:p>
    <w:p w14:paraId="6D73DFB9" w14:textId="0E5B6C73" w:rsidR="00C94495" w:rsidRDefault="00B14AB3" w:rsidP="00011226">
      <w:pPr>
        <w:pStyle w:val="TableDescription0"/>
      </w:pPr>
      <w:r>
        <w:t>CIS (carcinoma-in-situ) are</w:t>
      </w:r>
      <w:r w:rsidR="00C94495">
        <w:t xml:space="preserve"> small lesion</w:t>
      </w:r>
      <w:r>
        <w:t>s</w:t>
      </w:r>
      <w:r w:rsidR="00C94495">
        <w:t xml:space="preserve"> in the innermost layer of the urothelium, high grade; may be referred to as a ‘flat tumour’.</w:t>
      </w:r>
    </w:p>
    <w:p w14:paraId="5D1566B1" w14:textId="44ED3CAC" w:rsidR="00C94495" w:rsidRDefault="00B14AB3" w:rsidP="00011226">
      <w:pPr>
        <w:pStyle w:val="TableDescription0"/>
      </w:pPr>
      <w:r>
        <w:t>Ta</w:t>
      </w:r>
      <w:r w:rsidR="00C94495">
        <w:t xml:space="preserve"> tumours </w:t>
      </w:r>
      <w:r>
        <w:t xml:space="preserve">(or non-invasive papillary carcinoma) </w:t>
      </w:r>
      <w:r w:rsidR="00C94495">
        <w:t xml:space="preserve">are restricted </w:t>
      </w:r>
      <w:r>
        <w:t>to</w:t>
      </w:r>
      <w:r w:rsidR="00C94495">
        <w:t xml:space="preserve"> the urothelium.</w:t>
      </w:r>
    </w:p>
    <w:p w14:paraId="4E3F3B4A" w14:textId="12C0FA62" w:rsidR="00C94495" w:rsidRDefault="00B14AB3" w:rsidP="00011226">
      <w:pPr>
        <w:pStyle w:val="TableDescription0"/>
      </w:pPr>
      <w:r>
        <w:t>T1</w:t>
      </w:r>
      <w:r w:rsidR="00C94495">
        <w:t xml:space="preserve"> tumours </w:t>
      </w:r>
      <w:r>
        <w:t xml:space="preserve">describe tumours </w:t>
      </w:r>
      <w:r w:rsidR="00C94495">
        <w:t xml:space="preserve">have started to grow into the lamina propria, the </w:t>
      </w:r>
      <w:r>
        <w:t xml:space="preserve">(subepithelial) </w:t>
      </w:r>
      <w:r w:rsidR="00C94495">
        <w:t xml:space="preserve">connective tissue </w:t>
      </w:r>
      <w:r>
        <w:t xml:space="preserve">lying </w:t>
      </w:r>
      <w:r w:rsidR="00C94495">
        <w:t>underneath the urothelium.</w:t>
      </w:r>
    </w:p>
    <w:p w14:paraId="10C2C7C9" w14:textId="475DEB48" w:rsidR="00277801" w:rsidRPr="00011226" w:rsidRDefault="00277801" w:rsidP="00011226">
      <w:pPr>
        <w:pStyle w:val="TableDescription0"/>
      </w:pPr>
      <w:r>
        <w:t xml:space="preserve">Diagram adapted from: </w:t>
      </w:r>
      <w:hyperlink r:id="rId20" w:history="1">
        <w:r w:rsidRPr="00774744">
          <w:rPr>
            <w:rStyle w:val="Hyperlink"/>
          </w:rPr>
          <w:t>Cancer Research UK uploader</w:t>
        </w:r>
      </w:hyperlink>
      <w:r w:rsidRPr="00774744">
        <w:t>, </w:t>
      </w:r>
      <w:hyperlink r:id="rId21" w:history="1">
        <w:r w:rsidRPr="00774744">
          <w:rPr>
            <w:rStyle w:val="Hyperlink"/>
          </w:rPr>
          <w:t>CC BY-SA 4.0</w:t>
        </w:r>
      </w:hyperlink>
      <w:r w:rsidRPr="00774744">
        <w:t>, via Wikimedia Commons</w:t>
      </w:r>
      <w:r>
        <w:t>.</w:t>
      </w:r>
    </w:p>
    <w:p w14:paraId="600DC444" w14:textId="1915C4D9" w:rsidR="006C0B33" w:rsidRDefault="006C0B33" w:rsidP="006C0B33">
      <w:pPr>
        <w:pStyle w:val="TableTitle0"/>
      </w:pPr>
      <w:bookmarkStart w:id="19" w:name="_Ref130464071"/>
      <w:r>
        <w:lastRenderedPageBreak/>
        <w:t xml:space="preserve">Table </w:t>
      </w:r>
      <w:r w:rsidR="00B82441">
        <w:fldChar w:fldCharType="begin"/>
      </w:r>
      <w:r w:rsidR="00B82441">
        <w:instrText xml:space="preserve"> SEQ Table \* ARABIC </w:instrText>
      </w:r>
      <w:r w:rsidR="00B82441">
        <w:fldChar w:fldCharType="separate"/>
      </w:r>
      <w:r w:rsidR="007F791A">
        <w:rPr>
          <w:noProof/>
        </w:rPr>
        <w:t>1</w:t>
      </w:r>
      <w:r w:rsidR="00B82441">
        <w:rPr>
          <w:noProof/>
        </w:rPr>
        <w:fldChar w:fldCharType="end"/>
      </w:r>
      <w:bookmarkEnd w:id="19"/>
      <w:r>
        <w:t xml:space="preserve">: </w:t>
      </w:r>
      <w:r w:rsidR="00D9359E">
        <w:t xml:space="preserve">AJCC (2017) </w:t>
      </w:r>
      <w:r>
        <w:t xml:space="preserve">TNM (Tumour, Nodes, Metastasis) </w:t>
      </w:r>
      <w:r w:rsidR="00D9359E">
        <w:t>c</w:t>
      </w:r>
      <w:r>
        <w:t xml:space="preserve">lassification </w:t>
      </w:r>
      <w:r w:rsidR="00D9359E">
        <w:t>of bladder cancer</w:t>
      </w:r>
    </w:p>
    <w:tbl>
      <w:tblPr>
        <w:tblStyle w:val="TableTGAblue2023"/>
        <w:tblW w:w="0" w:type="auto"/>
        <w:tblLook w:val="04A0" w:firstRow="1" w:lastRow="0" w:firstColumn="1" w:lastColumn="0" w:noHBand="0" w:noVBand="1"/>
      </w:tblPr>
      <w:tblGrid>
        <w:gridCol w:w="872"/>
        <w:gridCol w:w="8188"/>
      </w:tblGrid>
      <w:tr w:rsidR="000D5A16" w:rsidRPr="000D5A16" w14:paraId="5A600B43" w14:textId="77777777" w:rsidTr="00011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5" w:themeFillShade="BF"/>
          </w:tcPr>
          <w:p w14:paraId="2438040B" w14:textId="5D3BF8D2" w:rsidR="000D5A16" w:rsidRPr="006C0B33" w:rsidRDefault="000D5A16" w:rsidP="009001D1">
            <w:pPr>
              <w:rPr>
                <w:color w:val="FFFFFF" w:themeColor="background1"/>
                <w:lang w:eastAsia="ja-JP"/>
              </w:rPr>
            </w:pPr>
            <w:r w:rsidRPr="006C0B33">
              <w:rPr>
                <w:color w:val="FFFFFF" w:themeColor="background1"/>
                <w:lang w:eastAsia="ja-JP"/>
              </w:rPr>
              <w:t>Stage</w:t>
            </w:r>
          </w:p>
        </w:tc>
        <w:tc>
          <w:tcPr>
            <w:tcW w:w="7830" w:type="dxa"/>
            <w:shd w:val="clear" w:color="auto" w:fill="2E74B5" w:themeFill="accent5" w:themeFillShade="BF"/>
          </w:tcPr>
          <w:p w14:paraId="13FFE0CE" w14:textId="6F412A13" w:rsidR="000D5A16" w:rsidRPr="006C0B33" w:rsidRDefault="000D5A16" w:rsidP="009001D1">
            <w:pPr>
              <w:cnfStyle w:val="100000000000" w:firstRow="1" w:lastRow="0" w:firstColumn="0" w:lastColumn="0" w:oddVBand="0" w:evenVBand="0" w:oddHBand="0" w:evenHBand="0" w:firstRowFirstColumn="0" w:firstRowLastColumn="0" w:lastRowFirstColumn="0" w:lastRowLastColumn="0"/>
              <w:rPr>
                <w:color w:val="FFFFFF" w:themeColor="background1"/>
                <w:lang w:eastAsia="ja-JP"/>
              </w:rPr>
            </w:pPr>
            <w:r w:rsidRPr="006C0B33">
              <w:rPr>
                <w:color w:val="FFFFFF" w:themeColor="background1"/>
                <w:lang w:eastAsia="ja-JP"/>
              </w:rPr>
              <w:t>Definition</w:t>
            </w:r>
          </w:p>
        </w:tc>
      </w:tr>
      <w:tr w:rsidR="000D5A16" w:rsidRPr="000D5A16" w14:paraId="476B8131" w14:textId="77777777" w:rsidTr="00011226">
        <w:tc>
          <w:tcPr>
            <w:cnfStyle w:val="001000000000" w:firstRow="0" w:lastRow="0" w:firstColumn="1" w:lastColumn="0" w:oddVBand="0" w:evenVBand="0" w:oddHBand="0" w:evenHBand="0" w:firstRowFirstColumn="0" w:firstRowLastColumn="0" w:lastRowFirstColumn="0" w:lastRowLastColumn="0"/>
            <w:tcW w:w="8815" w:type="dxa"/>
            <w:gridSpan w:val="2"/>
          </w:tcPr>
          <w:p w14:paraId="2C0142C6" w14:textId="2B8E8877" w:rsidR="000D5A16" w:rsidRPr="000D5A16" w:rsidRDefault="006C0B33" w:rsidP="000D5A16">
            <w:pPr>
              <w:rPr>
                <w:b/>
                <w:lang w:eastAsia="ja-JP"/>
              </w:rPr>
            </w:pPr>
            <w:r>
              <w:rPr>
                <w:b/>
                <w:lang w:eastAsia="ja-JP"/>
              </w:rPr>
              <w:t>T: Primary t</w:t>
            </w:r>
            <w:r w:rsidR="000D5A16" w:rsidRPr="000D5A16">
              <w:rPr>
                <w:b/>
                <w:lang w:eastAsia="ja-JP"/>
              </w:rPr>
              <w:t>umour</w:t>
            </w:r>
          </w:p>
        </w:tc>
      </w:tr>
      <w:tr w:rsidR="000D5A16" w:rsidRPr="000D5A16" w14:paraId="518FCAAF"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319CEDAC" w14:textId="77777777" w:rsidR="000D5A16" w:rsidRPr="000D5A16" w:rsidRDefault="000D5A16" w:rsidP="009001D1">
            <w:pPr>
              <w:rPr>
                <w:lang w:eastAsia="ja-JP"/>
              </w:rPr>
            </w:pPr>
            <w:r w:rsidRPr="000D5A16">
              <w:rPr>
                <w:lang w:eastAsia="ja-JP"/>
              </w:rPr>
              <w:t>TX</w:t>
            </w:r>
          </w:p>
        </w:tc>
        <w:tc>
          <w:tcPr>
            <w:tcW w:w="7830" w:type="dxa"/>
          </w:tcPr>
          <w:p w14:paraId="6C569B46"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Primary tumour cannot be assessed</w:t>
            </w:r>
          </w:p>
        </w:tc>
      </w:tr>
      <w:tr w:rsidR="000D5A16" w:rsidRPr="000D5A16" w14:paraId="1FE70F63"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145F77F7" w14:textId="77777777" w:rsidR="000D5A16" w:rsidRPr="000D5A16" w:rsidRDefault="000D5A16" w:rsidP="009001D1">
            <w:pPr>
              <w:rPr>
                <w:lang w:eastAsia="ja-JP"/>
              </w:rPr>
            </w:pPr>
            <w:r w:rsidRPr="000D5A16">
              <w:rPr>
                <w:lang w:eastAsia="ja-JP"/>
              </w:rPr>
              <w:t>T0</w:t>
            </w:r>
          </w:p>
        </w:tc>
        <w:tc>
          <w:tcPr>
            <w:tcW w:w="7830" w:type="dxa"/>
          </w:tcPr>
          <w:p w14:paraId="2D89F0C9"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No evidence of primary tumour</w:t>
            </w:r>
          </w:p>
        </w:tc>
      </w:tr>
      <w:tr w:rsidR="000D5A16" w:rsidRPr="000D5A16" w14:paraId="29966308"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7E45FD90" w14:textId="77777777" w:rsidR="000D5A16" w:rsidRPr="000D5A16" w:rsidRDefault="000D5A16" w:rsidP="009001D1">
            <w:pPr>
              <w:rPr>
                <w:lang w:eastAsia="ja-JP"/>
              </w:rPr>
            </w:pPr>
            <w:r w:rsidRPr="000D5A16">
              <w:rPr>
                <w:lang w:eastAsia="ja-JP"/>
              </w:rPr>
              <w:t>Ta</w:t>
            </w:r>
          </w:p>
        </w:tc>
        <w:tc>
          <w:tcPr>
            <w:tcW w:w="7830" w:type="dxa"/>
          </w:tcPr>
          <w:p w14:paraId="5E1D6AC8"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Non-invasive papillary carcinoma</w:t>
            </w:r>
          </w:p>
        </w:tc>
      </w:tr>
      <w:tr w:rsidR="000D5A16" w:rsidRPr="000D5A16" w14:paraId="30A1E16B"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096204B9" w14:textId="77777777" w:rsidR="000D5A16" w:rsidRPr="000D5A16" w:rsidRDefault="000D5A16" w:rsidP="009001D1">
            <w:pPr>
              <w:rPr>
                <w:lang w:eastAsia="ja-JP"/>
              </w:rPr>
            </w:pPr>
            <w:r w:rsidRPr="000D5A16">
              <w:rPr>
                <w:lang w:eastAsia="ja-JP"/>
              </w:rPr>
              <w:t>Tis</w:t>
            </w:r>
          </w:p>
        </w:tc>
        <w:tc>
          <w:tcPr>
            <w:tcW w:w="7830" w:type="dxa"/>
          </w:tcPr>
          <w:p w14:paraId="105BE661"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Carcinoma in situ: ’flat tumour’</w:t>
            </w:r>
          </w:p>
        </w:tc>
      </w:tr>
      <w:tr w:rsidR="000D5A16" w:rsidRPr="000D5A16" w14:paraId="3FDD169D"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D5198F7" w14:textId="77777777" w:rsidR="000D5A16" w:rsidRPr="000D5A16" w:rsidRDefault="000D5A16" w:rsidP="009001D1">
            <w:pPr>
              <w:rPr>
                <w:lang w:eastAsia="ja-JP"/>
              </w:rPr>
            </w:pPr>
            <w:r w:rsidRPr="000D5A16">
              <w:rPr>
                <w:lang w:eastAsia="ja-JP"/>
              </w:rPr>
              <w:t>T1</w:t>
            </w:r>
          </w:p>
        </w:tc>
        <w:tc>
          <w:tcPr>
            <w:tcW w:w="7830" w:type="dxa"/>
          </w:tcPr>
          <w:p w14:paraId="4E66266E"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subepithelial connective tissue</w:t>
            </w:r>
          </w:p>
        </w:tc>
      </w:tr>
      <w:tr w:rsidR="000D5A16" w:rsidRPr="000D5A16" w14:paraId="32F6F2EB"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1FB957E8" w14:textId="77777777" w:rsidR="000D5A16" w:rsidRPr="000D5A16" w:rsidRDefault="000D5A16" w:rsidP="009001D1">
            <w:pPr>
              <w:rPr>
                <w:lang w:eastAsia="ja-JP"/>
              </w:rPr>
            </w:pPr>
            <w:r w:rsidRPr="000D5A16">
              <w:rPr>
                <w:lang w:eastAsia="ja-JP"/>
              </w:rPr>
              <w:t>T2</w:t>
            </w:r>
          </w:p>
        </w:tc>
        <w:tc>
          <w:tcPr>
            <w:tcW w:w="7830" w:type="dxa"/>
          </w:tcPr>
          <w:p w14:paraId="246E3513"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muscle</w:t>
            </w:r>
          </w:p>
        </w:tc>
      </w:tr>
      <w:tr w:rsidR="000D5A16" w:rsidRPr="000D5A16" w14:paraId="6CBEFC14"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6D1F31E" w14:textId="77777777" w:rsidR="000D5A16" w:rsidRPr="000D5A16" w:rsidRDefault="000D5A16" w:rsidP="009001D1">
            <w:pPr>
              <w:rPr>
                <w:lang w:eastAsia="ja-JP"/>
              </w:rPr>
            </w:pPr>
            <w:r w:rsidRPr="000D5A16">
              <w:rPr>
                <w:lang w:eastAsia="ja-JP"/>
              </w:rPr>
              <w:t>T2a</w:t>
            </w:r>
          </w:p>
        </w:tc>
        <w:tc>
          <w:tcPr>
            <w:tcW w:w="7830" w:type="dxa"/>
          </w:tcPr>
          <w:p w14:paraId="7F68A641"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superficial muscle (inner half)</w:t>
            </w:r>
          </w:p>
        </w:tc>
      </w:tr>
      <w:tr w:rsidR="000D5A16" w:rsidRPr="000D5A16" w14:paraId="7A163DEF"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75D97DD4" w14:textId="77777777" w:rsidR="000D5A16" w:rsidRPr="000D5A16" w:rsidRDefault="000D5A16" w:rsidP="009001D1">
            <w:pPr>
              <w:rPr>
                <w:lang w:eastAsia="ja-JP"/>
              </w:rPr>
            </w:pPr>
            <w:r w:rsidRPr="000D5A16">
              <w:rPr>
                <w:lang w:eastAsia="ja-JP"/>
              </w:rPr>
              <w:t>T2b</w:t>
            </w:r>
          </w:p>
        </w:tc>
        <w:tc>
          <w:tcPr>
            <w:tcW w:w="7830" w:type="dxa"/>
          </w:tcPr>
          <w:p w14:paraId="33BD23E1"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deep muscle (outer half)</w:t>
            </w:r>
          </w:p>
        </w:tc>
      </w:tr>
      <w:tr w:rsidR="000D5A16" w:rsidRPr="000D5A16" w14:paraId="0EF7C9B4"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252F9CD" w14:textId="77777777" w:rsidR="000D5A16" w:rsidRPr="000D5A16" w:rsidRDefault="000D5A16" w:rsidP="009001D1">
            <w:pPr>
              <w:rPr>
                <w:lang w:eastAsia="ja-JP"/>
              </w:rPr>
            </w:pPr>
            <w:r w:rsidRPr="000D5A16">
              <w:rPr>
                <w:lang w:eastAsia="ja-JP"/>
              </w:rPr>
              <w:t>T3</w:t>
            </w:r>
          </w:p>
        </w:tc>
        <w:tc>
          <w:tcPr>
            <w:tcW w:w="7830" w:type="dxa"/>
          </w:tcPr>
          <w:p w14:paraId="0446109B"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 xml:space="preserve">Tumour invades </w:t>
            </w:r>
            <w:proofErr w:type="spellStart"/>
            <w:r w:rsidRPr="000D5A16">
              <w:rPr>
                <w:lang w:eastAsia="ja-JP"/>
              </w:rPr>
              <w:t>perivesical</w:t>
            </w:r>
            <w:proofErr w:type="spellEnd"/>
            <w:r w:rsidRPr="000D5A16">
              <w:rPr>
                <w:lang w:eastAsia="ja-JP"/>
              </w:rPr>
              <w:t xml:space="preserve"> tissue</w:t>
            </w:r>
          </w:p>
        </w:tc>
      </w:tr>
      <w:tr w:rsidR="000D5A16" w:rsidRPr="000D5A16" w14:paraId="1259C8C5"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5301A521" w14:textId="77777777" w:rsidR="000D5A16" w:rsidRPr="000D5A16" w:rsidRDefault="000D5A16" w:rsidP="009001D1">
            <w:pPr>
              <w:rPr>
                <w:lang w:eastAsia="ja-JP"/>
              </w:rPr>
            </w:pPr>
            <w:r w:rsidRPr="000D5A16">
              <w:rPr>
                <w:lang w:eastAsia="ja-JP"/>
              </w:rPr>
              <w:t>T3a</w:t>
            </w:r>
          </w:p>
        </w:tc>
        <w:tc>
          <w:tcPr>
            <w:tcW w:w="7830" w:type="dxa"/>
          </w:tcPr>
          <w:p w14:paraId="0128B94F"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Microscopically</w:t>
            </w:r>
          </w:p>
        </w:tc>
      </w:tr>
      <w:tr w:rsidR="000D5A16" w:rsidRPr="000D5A16" w14:paraId="25417595"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1977E278" w14:textId="77777777" w:rsidR="000D5A16" w:rsidRPr="000D5A16" w:rsidRDefault="000D5A16" w:rsidP="009001D1">
            <w:pPr>
              <w:rPr>
                <w:lang w:eastAsia="ja-JP"/>
              </w:rPr>
            </w:pPr>
            <w:r w:rsidRPr="000D5A16">
              <w:rPr>
                <w:lang w:eastAsia="ja-JP"/>
              </w:rPr>
              <w:t>T3b</w:t>
            </w:r>
          </w:p>
        </w:tc>
        <w:tc>
          <w:tcPr>
            <w:tcW w:w="7830" w:type="dxa"/>
          </w:tcPr>
          <w:p w14:paraId="2737DDB7"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Macroscopically (extravesical mass)</w:t>
            </w:r>
          </w:p>
        </w:tc>
      </w:tr>
      <w:tr w:rsidR="000D5A16" w:rsidRPr="000D5A16" w14:paraId="141D7A84"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5B48AAE2" w14:textId="77777777" w:rsidR="000D5A16" w:rsidRPr="000D5A16" w:rsidRDefault="000D5A16" w:rsidP="009001D1">
            <w:pPr>
              <w:rPr>
                <w:lang w:eastAsia="ja-JP"/>
              </w:rPr>
            </w:pPr>
            <w:r w:rsidRPr="000D5A16">
              <w:rPr>
                <w:lang w:eastAsia="ja-JP"/>
              </w:rPr>
              <w:t>T4</w:t>
            </w:r>
          </w:p>
        </w:tc>
        <w:tc>
          <w:tcPr>
            <w:tcW w:w="7830" w:type="dxa"/>
          </w:tcPr>
          <w:p w14:paraId="0DD088D1"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any of the following: prostate stroma, seminal vesicles, uterus, vagina, pelvic wall, abdominal wall</w:t>
            </w:r>
          </w:p>
        </w:tc>
      </w:tr>
      <w:tr w:rsidR="000D5A16" w:rsidRPr="000D5A16" w14:paraId="7948AA18"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9F1E375" w14:textId="77777777" w:rsidR="000D5A16" w:rsidRPr="000D5A16" w:rsidRDefault="000D5A16" w:rsidP="009001D1">
            <w:pPr>
              <w:rPr>
                <w:lang w:eastAsia="ja-JP"/>
              </w:rPr>
            </w:pPr>
            <w:r w:rsidRPr="000D5A16">
              <w:rPr>
                <w:lang w:eastAsia="ja-JP"/>
              </w:rPr>
              <w:t>T4a</w:t>
            </w:r>
          </w:p>
        </w:tc>
        <w:tc>
          <w:tcPr>
            <w:tcW w:w="7830" w:type="dxa"/>
          </w:tcPr>
          <w:p w14:paraId="5FAFE09C"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 xml:space="preserve">Tumour invades prostate stroma, seminal vesicles, </w:t>
            </w:r>
            <w:proofErr w:type="gramStart"/>
            <w:r w:rsidRPr="000D5A16">
              <w:rPr>
                <w:lang w:eastAsia="ja-JP"/>
              </w:rPr>
              <w:t>uterus</w:t>
            </w:r>
            <w:proofErr w:type="gramEnd"/>
            <w:r w:rsidRPr="000D5A16">
              <w:rPr>
                <w:lang w:eastAsia="ja-JP"/>
              </w:rPr>
              <w:t xml:space="preserve"> or vagina</w:t>
            </w:r>
          </w:p>
        </w:tc>
      </w:tr>
      <w:tr w:rsidR="000D5A16" w:rsidRPr="000D5A16" w14:paraId="194E8227"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73B24A5C" w14:textId="77777777" w:rsidR="000D5A16" w:rsidRPr="000D5A16" w:rsidRDefault="000D5A16" w:rsidP="009001D1">
            <w:pPr>
              <w:rPr>
                <w:lang w:eastAsia="ja-JP"/>
              </w:rPr>
            </w:pPr>
            <w:r w:rsidRPr="000D5A16">
              <w:rPr>
                <w:lang w:eastAsia="ja-JP"/>
              </w:rPr>
              <w:t>T4b</w:t>
            </w:r>
          </w:p>
        </w:tc>
        <w:tc>
          <w:tcPr>
            <w:tcW w:w="7830" w:type="dxa"/>
          </w:tcPr>
          <w:p w14:paraId="19DB9E24"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Tumour invades pelvic wall or abdominal wall</w:t>
            </w:r>
          </w:p>
        </w:tc>
      </w:tr>
      <w:tr w:rsidR="000D5A16" w:rsidRPr="000D5A16" w14:paraId="3CEDAE2F" w14:textId="77777777" w:rsidTr="00011226">
        <w:tc>
          <w:tcPr>
            <w:cnfStyle w:val="001000000000" w:firstRow="0" w:lastRow="0" w:firstColumn="1" w:lastColumn="0" w:oddVBand="0" w:evenVBand="0" w:oddHBand="0" w:evenHBand="0" w:firstRowFirstColumn="0" w:firstRowLastColumn="0" w:lastRowFirstColumn="0" w:lastRowLastColumn="0"/>
            <w:tcW w:w="8815" w:type="dxa"/>
            <w:gridSpan w:val="2"/>
          </w:tcPr>
          <w:p w14:paraId="070A9B1F" w14:textId="41843504" w:rsidR="000D5A16" w:rsidRPr="000D5A16" w:rsidRDefault="006C0B33" w:rsidP="000D5A16">
            <w:pPr>
              <w:rPr>
                <w:b/>
                <w:lang w:eastAsia="ja-JP"/>
              </w:rPr>
            </w:pPr>
            <w:r>
              <w:rPr>
                <w:b/>
                <w:lang w:eastAsia="ja-JP"/>
              </w:rPr>
              <w:t xml:space="preserve">N: </w:t>
            </w:r>
            <w:r w:rsidR="000D5A16" w:rsidRPr="000D5A16">
              <w:rPr>
                <w:b/>
                <w:lang w:eastAsia="ja-JP"/>
              </w:rPr>
              <w:t>Re</w:t>
            </w:r>
            <w:r w:rsidR="000D5A16">
              <w:rPr>
                <w:b/>
                <w:lang w:eastAsia="ja-JP"/>
              </w:rPr>
              <w:t>gional l</w:t>
            </w:r>
            <w:r w:rsidR="000D5A16" w:rsidRPr="000D5A16">
              <w:rPr>
                <w:b/>
                <w:lang w:eastAsia="ja-JP"/>
              </w:rPr>
              <w:t>ymph</w:t>
            </w:r>
            <w:r>
              <w:rPr>
                <w:b/>
                <w:lang w:eastAsia="ja-JP"/>
              </w:rPr>
              <w:t xml:space="preserve"> nodes</w:t>
            </w:r>
          </w:p>
        </w:tc>
      </w:tr>
      <w:tr w:rsidR="000D5A16" w:rsidRPr="000D5A16" w14:paraId="6A471BBA"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05400437" w14:textId="77777777" w:rsidR="000D5A16" w:rsidRPr="000D5A16" w:rsidRDefault="000D5A16" w:rsidP="009001D1">
            <w:pPr>
              <w:rPr>
                <w:lang w:eastAsia="ja-JP"/>
              </w:rPr>
            </w:pPr>
            <w:r w:rsidRPr="000D5A16">
              <w:rPr>
                <w:lang w:eastAsia="ja-JP"/>
              </w:rPr>
              <w:t>NX</w:t>
            </w:r>
          </w:p>
        </w:tc>
        <w:tc>
          <w:tcPr>
            <w:tcW w:w="7830" w:type="dxa"/>
          </w:tcPr>
          <w:p w14:paraId="03EE5BDF"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Regional lymph nodes cannot be assessed</w:t>
            </w:r>
          </w:p>
        </w:tc>
      </w:tr>
      <w:tr w:rsidR="000D5A16" w:rsidRPr="000D5A16" w14:paraId="517B86FC"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4FFA4BB" w14:textId="77777777" w:rsidR="000D5A16" w:rsidRPr="000D5A16" w:rsidRDefault="000D5A16" w:rsidP="009001D1">
            <w:pPr>
              <w:rPr>
                <w:lang w:eastAsia="ja-JP"/>
              </w:rPr>
            </w:pPr>
            <w:r w:rsidRPr="000D5A16">
              <w:rPr>
                <w:lang w:eastAsia="ja-JP"/>
              </w:rPr>
              <w:t>N0</w:t>
            </w:r>
          </w:p>
        </w:tc>
        <w:tc>
          <w:tcPr>
            <w:tcW w:w="7830" w:type="dxa"/>
          </w:tcPr>
          <w:p w14:paraId="1E5F84EF"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No regional lymph node metastasis</w:t>
            </w:r>
          </w:p>
        </w:tc>
      </w:tr>
      <w:tr w:rsidR="000D5A16" w:rsidRPr="000D5A16" w14:paraId="2D7724D9"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0AF65A4D" w14:textId="77777777" w:rsidR="000D5A16" w:rsidRPr="000D5A16" w:rsidRDefault="000D5A16" w:rsidP="009001D1">
            <w:pPr>
              <w:rPr>
                <w:lang w:eastAsia="ja-JP"/>
              </w:rPr>
            </w:pPr>
            <w:r w:rsidRPr="000D5A16">
              <w:rPr>
                <w:lang w:eastAsia="ja-JP"/>
              </w:rPr>
              <w:t>N1</w:t>
            </w:r>
          </w:p>
        </w:tc>
        <w:tc>
          <w:tcPr>
            <w:tcW w:w="7830" w:type="dxa"/>
          </w:tcPr>
          <w:p w14:paraId="27F2ECE7"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Metastasis in a single lymph node in the true pelvis (hypogastric, obturator, external iliac, or presacral)</w:t>
            </w:r>
          </w:p>
        </w:tc>
      </w:tr>
      <w:tr w:rsidR="000D5A16" w:rsidRPr="000D5A16" w14:paraId="0A84760B"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ECD64E2" w14:textId="77777777" w:rsidR="000D5A16" w:rsidRPr="000D5A16" w:rsidRDefault="000D5A16" w:rsidP="009001D1">
            <w:pPr>
              <w:rPr>
                <w:lang w:eastAsia="ja-JP"/>
              </w:rPr>
            </w:pPr>
            <w:r w:rsidRPr="000D5A16">
              <w:rPr>
                <w:lang w:eastAsia="ja-JP"/>
              </w:rPr>
              <w:t>N2</w:t>
            </w:r>
          </w:p>
        </w:tc>
        <w:tc>
          <w:tcPr>
            <w:tcW w:w="7830" w:type="dxa"/>
          </w:tcPr>
          <w:p w14:paraId="38A419F4"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Metastasis in multiple regional lymph nodes in the true pelvis (hypogastric, obturator, external iliac, or presacral)</w:t>
            </w:r>
          </w:p>
        </w:tc>
      </w:tr>
      <w:tr w:rsidR="000D5A16" w:rsidRPr="000D5A16" w14:paraId="452D5774"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16B133A7" w14:textId="77777777" w:rsidR="000D5A16" w:rsidRPr="000D5A16" w:rsidRDefault="000D5A16" w:rsidP="009001D1">
            <w:pPr>
              <w:rPr>
                <w:lang w:eastAsia="ja-JP"/>
              </w:rPr>
            </w:pPr>
            <w:r w:rsidRPr="000D5A16">
              <w:rPr>
                <w:lang w:eastAsia="ja-JP"/>
              </w:rPr>
              <w:t>N3</w:t>
            </w:r>
          </w:p>
        </w:tc>
        <w:tc>
          <w:tcPr>
            <w:tcW w:w="7830" w:type="dxa"/>
          </w:tcPr>
          <w:p w14:paraId="2717553A" w14:textId="77777777"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sidRPr="000D5A16">
              <w:rPr>
                <w:lang w:eastAsia="ja-JP"/>
              </w:rPr>
              <w:t>Metastasis in common iliac lymph node(s)</w:t>
            </w:r>
          </w:p>
        </w:tc>
      </w:tr>
      <w:tr w:rsidR="000D5A16" w:rsidRPr="000D5A16" w14:paraId="580CFDAE" w14:textId="77777777" w:rsidTr="00011226">
        <w:tc>
          <w:tcPr>
            <w:cnfStyle w:val="001000000000" w:firstRow="0" w:lastRow="0" w:firstColumn="1" w:lastColumn="0" w:oddVBand="0" w:evenVBand="0" w:oddHBand="0" w:evenHBand="0" w:firstRowFirstColumn="0" w:firstRowLastColumn="0" w:lastRowFirstColumn="0" w:lastRowLastColumn="0"/>
            <w:tcW w:w="8815" w:type="dxa"/>
            <w:gridSpan w:val="2"/>
          </w:tcPr>
          <w:p w14:paraId="26EFC95F" w14:textId="5EAC565A" w:rsidR="000D5A16" w:rsidRPr="000D5A16" w:rsidRDefault="006C0B33" w:rsidP="009001D1">
            <w:pPr>
              <w:rPr>
                <w:b/>
                <w:lang w:eastAsia="ja-JP"/>
              </w:rPr>
            </w:pPr>
            <w:r>
              <w:rPr>
                <w:b/>
                <w:lang w:eastAsia="ja-JP"/>
              </w:rPr>
              <w:t>M: Distal m</w:t>
            </w:r>
            <w:r w:rsidR="000D5A16" w:rsidRPr="000D5A16">
              <w:rPr>
                <w:b/>
                <w:lang w:eastAsia="ja-JP"/>
              </w:rPr>
              <w:t>etastasis</w:t>
            </w:r>
          </w:p>
        </w:tc>
      </w:tr>
      <w:tr w:rsidR="000D5A16" w:rsidRPr="000D5A16" w14:paraId="005DF629"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4189A84D" w14:textId="1854648F" w:rsidR="000D5A16" w:rsidRPr="000D5A16" w:rsidRDefault="000D5A16" w:rsidP="009001D1">
            <w:pPr>
              <w:rPr>
                <w:lang w:eastAsia="ja-JP"/>
              </w:rPr>
            </w:pPr>
            <w:r>
              <w:rPr>
                <w:lang w:eastAsia="ja-JP"/>
              </w:rPr>
              <w:t>M0</w:t>
            </w:r>
          </w:p>
        </w:tc>
        <w:tc>
          <w:tcPr>
            <w:tcW w:w="7830" w:type="dxa"/>
          </w:tcPr>
          <w:p w14:paraId="590A6F55" w14:textId="7C9C037C" w:rsidR="000D5A16" w:rsidRPr="000D5A16" w:rsidRDefault="006C0B33" w:rsidP="009001D1">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No distant metas</w:t>
            </w:r>
            <w:r w:rsidR="000D5A16">
              <w:rPr>
                <w:lang w:eastAsia="ja-JP"/>
              </w:rPr>
              <w:t>tasis</w:t>
            </w:r>
          </w:p>
        </w:tc>
      </w:tr>
      <w:tr w:rsidR="000D5A16" w:rsidRPr="000D5A16" w14:paraId="7893D89D"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3DB3EB44" w14:textId="58A7400E" w:rsidR="000D5A16" w:rsidRPr="000D5A16" w:rsidRDefault="000D5A16" w:rsidP="009001D1">
            <w:pPr>
              <w:rPr>
                <w:lang w:eastAsia="ja-JP"/>
              </w:rPr>
            </w:pPr>
            <w:r>
              <w:rPr>
                <w:lang w:eastAsia="ja-JP"/>
              </w:rPr>
              <w:t>M1a</w:t>
            </w:r>
          </w:p>
        </w:tc>
        <w:tc>
          <w:tcPr>
            <w:tcW w:w="7830" w:type="dxa"/>
          </w:tcPr>
          <w:p w14:paraId="3A5561C0" w14:textId="05C0CA2F"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Non-regional lymph nodes</w:t>
            </w:r>
          </w:p>
        </w:tc>
      </w:tr>
      <w:tr w:rsidR="000D5A16" w:rsidRPr="000D5A16" w14:paraId="31BA1E04" w14:textId="77777777" w:rsidTr="00011226">
        <w:tc>
          <w:tcPr>
            <w:cnfStyle w:val="001000000000" w:firstRow="0" w:lastRow="0" w:firstColumn="1" w:lastColumn="0" w:oddVBand="0" w:evenVBand="0" w:oddHBand="0" w:evenHBand="0" w:firstRowFirstColumn="0" w:firstRowLastColumn="0" w:lastRowFirstColumn="0" w:lastRowLastColumn="0"/>
            <w:tcW w:w="0" w:type="dxa"/>
          </w:tcPr>
          <w:p w14:paraId="5F20C079" w14:textId="3CAF8904" w:rsidR="000D5A16" w:rsidRPr="000D5A16" w:rsidRDefault="000D5A16" w:rsidP="009001D1">
            <w:pPr>
              <w:rPr>
                <w:lang w:eastAsia="ja-JP"/>
              </w:rPr>
            </w:pPr>
            <w:r>
              <w:rPr>
                <w:lang w:eastAsia="ja-JP"/>
              </w:rPr>
              <w:t>M1b</w:t>
            </w:r>
          </w:p>
        </w:tc>
        <w:tc>
          <w:tcPr>
            <w:tcW w:w="7830" w:type="dxa"/>
          </w:tcPr>
          <w:p w14:paraId="0684DA5F" w14:textId="2552C9BA" w:rsidR="000D5A16" w:rsidRPr="000D5A16" w:rsidRDefault="000D5A16" w:rsidP="009001D1">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Other distant metastases</w:t>
            </w:r>
          </w:p>
        </w:tc>
      </w:tr>
    </w:tbl>
    <w:p w14:paraId="2A8F1FD4" w14:textId="54A830E9" w:rsidR="006C0B33" w:rsidRDefault="00277801" w:rsidP="00011226">
      <w:pPr>
        <w:pStyle w:val="TableDescription0"/>
      </w:pPr>
      <w:r>
        <w:t xml:space="preserve">Information from </w:t>
      </w:r>
      <w:r w:rsidRPr="00277801">
        <w:t>American Joint Committee on Cancer (AJCC). AJCC Cancer Staging Manual. 8th edition. New York: Springer; 2017</w:t>
      </w:r>
      <w:r>
        <w:t>.</w:t>
      </w:r>
    </w:p>
    <w:p w14:paraId="144DDBE5" w14:textId="0192E5F0" w:rsidR="00AE6647" w:rsidRDefault="00D9359E" w:rsidP="00AE6647">
      <w:pPr>
        <w:rPr>
          <w:lang w:eastAsia="ja-JP"/>
        </w:rPr>
      </w:pPr>
      <w:r>
        <w:rPr>
          <w:lang w:eastAsia="ja-JP"/>
        </w:rPr>
        <w:br w:type="page"/>
      </w:r>
      <w:r w:rsidR="00AE6647">
        <w:rPr>
          <w:lang w:eastAsia="ja-JP"/>
        </w:rPr>
        <w:lastRenderedPageBreak/>
        <w:t xml:space="preserve">Papillary tumours that protrude into the bladder lumen but do not extend beyond the bladder lining are Ta. Tis refers to urothelial carcinoma-in situ, a flat tumour only found on or near the surface of the bladder. T1 tumours reach the layer of connective tissue, a layer called the lamina propria, that separates the lining of the bladder from the muscle </w:t>
      </w:r>
      <w:proofErr w:type="gramStart"/>
      <w:r w:rsidR="00AE6647">
        <w:rPr>
          <w:lang w:eastAsia="ja-JP"/>
        </w:rPr>
        <w:t>beneath, but</w:t>
      </w:r>
      <w:proofErr w:type="gramEnd"/>
      <w:r w:rsidR="00AE6647">
        <w:rPr>
          <w:lang w:eastAsia="ja-JP"/>
        </w:rPr>
        <w:t xml:space="preserve"> does not extend into the muscle layer.</w:t>
      </w:r>
    </w:p>
    <w:p w14:paraId="65804491" w14:textId="18571EAB" w:rsidR="00AE6647" w:rsidRPr="00AE6647" w:rsidRDefault="00AE6647" w:rsidP="00641CB0">
      <w:pPr>
        <w:rPr>
          <w:vertAlign w:val="superscript"/>
          <w:lang w:eastAsia="ja-JP"/>
        </w:rPr>
      </w:pPr>
      <w:r>
        <w:rPr>
          <w:lang w:eastAsia="ja-JP"/>
        </w:rPr>
        <w:t>Approximately 75 to 80% of subjects newly diagnosed with urothelial carcinoma of the bladder present with non-muscle invasive bladder cancer.</w:t>
      </w:r>
      <w:bookmarkStart w:id="20" w:name="_Ref130299276"/>
      <w:r>
        <w:rPr>
          <w:rStyle w:val="FootnoteReference"/>
          <w:lang w:eastAsia="ja-JP"/>
        </w:rPr>
        <w:footnoteReference w:id="9"/>
      </w:r>
      <w:bookmarkEnd w:id="20"/>
      <w:r>
        <w:rPr>
          <w:vertAlign w:val="superscript"/>
          <w:lang w:eastAsia="ja-JP"/>
        </w:rPr>
        <w:t>,</w:t>
      </w:r>
      <w:bookmarkStart w:id="21" w:name="_Ref130298423"/>
      <w:r>
        <w:rPr>
          <w:rStyle w:val="FootnoteReference"/>
          <w:lang w:eastAsia="ja-JP"/>
        </w:rPr>
        <w:footnoteReference w:id="10"/>
      </w:r>
      <w:bookmarkEnd w:id="21"/>
      <w:r>
        <w:rPr>
          <w:lang w:eastAsia="ja-JP"/>
        </w:rPr>
        <w:t xml:space="preserve"> Of these patients, approximately 45% present with Ta, 24% with T1, and 10% with Tis (carcinoma-in-situ) staged tumours.</w:t>
      </w:r>
      <w:r w:rsidRPr="00FA54DA">
        <w:rPr>
          <w:vertAlign w:val="superscript"/>
          <w:lang w:eastAsia="ja-JP"/>
        </w:rPr>
        <w:fldChar w:fldCharType="begin"/>
      </w:r>
      <w:r w:rsidRPr="00FA54DA">
        <w:rPr>
          <w:vertAlign w:val="superscript"/>
          <w:lang w:eastAsia="ja-JP"/>
        </w:rPr>
        <w:instrText xml:space="preserve"> NOTEREF _Ref130298423 \h </w:instrText>
      </w:r>
      <w:r>
        <w:rPr>
          <w:vertAlign w:val="superscript"/>
          <w:lang w:eastAsia="ja-JP"/>
        </w:rPr>
        <w:instrText xml:space="preserve"> \* MERGEFORMAT </w:instrText>
      </w:r>
      <w:r w:rsidRPr="00FA54DA">
        <w:rPr>
          <w:vertAlign w:val="superscript"/>
          <w:lang w:eastAsia="ja-JP"/>
        </w:rPr>
      </w:r>
      <w:r w:rsidRPr="00FA54DA">
        <w:rPr>
          <w:vertAlign w:val="superscript"/>
          <w:lang w:eastAsia="ja-JP"/>
        </w:rPr>
        <w:fldChar w:fldCharType="separate"/>
      </w:r>
      <w:r w:rsidR="007F791A">
        <w:rPr>
          <w:vertAlign w:val="superscript"/>
          <w:lang w:eastAsia="ja-JP"/>
        </w:rPr>
        <w:t>9</w:t>
      </w:r>
      <w:r w:rsidRPr="00FA54DA">
        <w:rPr>
          <w:vertAlign w:val="superscript"/>
          <w:lang w:eastAsia="ja-JP"/>
        </w:rPr>
        <w:fldChar w:fldCharType="end"/>
      </w:r>
      <w:r>
        <w:rPr>
          <w:lang w:eastAsia="ja-JP"/>
        </w:rPr>
        <w:t xml:space="preserve"> The remainder present with</w:t>
      </w:r>
      <w:r w:rsidR="00277801">
        <w:rPr>
          <w:lang w:eastAsia="ja-JP"/>
        </w:rPr>
        <w:t xml:space="preserve"> muscle-invasive disease of</w:t>
      </w:r>
      <w:r>
        <w:rPr>
          <w:lang w:eastAsia="ja-JP"/>
        </w:rPr>
        <w:t xml:space="preserve"> T2 or higher stages.</w:t>
      </w:r>
    </w:p>
    <w:p w14:paraId="3579DB37" w14:textId="7B07D08F" w:rsidR="00AA7A88" w:rsidRDefault="00641CB0" w:rsidP="00641CB0">
      <w:pPr>
        <w:rPr>
          <w:lang w:eastAsia="ja-JP"/>
        </w:rPr>
      </w:pPr>
      <w:r>
        <w:rPr>
          <w:lang w:eastAsia="ja-JP"/>
        </w:rPr>
        <w:t>Histological grade is an important prognostic factor for urothelial carcinoma of the bladde</w:t>
      </w:r>
      <w:r w:rsidR="00FA54DA">
        <w:rPr>
          <w:lang w:eastAsia="ja-JP"/>
        </w:rPr>
        <w:t>r.</w:t>
      </w:r>
      <w:bookmarkStart w:id="22" w:name="_Ref130308842"/>
      <w:r w:rsidR="00FA54DA">
        <w:rPr>
          <w:rStyle w:val="FootnoteReference"/>
        </w:rPr>
        <w:footnoteReference w:id="11"/>
      </w:r>
      <w:bookmarkEnd w:id="22"/>
      <w:r w:rsidR="00AA7A88">
        <w:rPr>
          <w:vertAlign w:val="superscript"/>
          <w:lang w:eastAsia="ja-JP"/>
        </w:rPr>
        <w:t>,</w:t>
      </w:r>
      <w:bookmarkStart w:id="23" w:name="_Ref130299209"/>
      <w:r w:rsidR="00AA7A88">
        <w:rPr>
          <w:rStyle w:val="FootnoteReference"/>
          <w:lang w:eastAsia="ja-JP"/>
        </w:rPr>
        <w:footnoteReference w:id="12"/>
      </w:r>
      <w:bookmarkEnd w:id="23"/>
      <w:r>
        <w:rPr>
          <w:lang w:eastAsia="ja-JP"/>
        </w:rPr>
        <w:t xml:space="preserve"> Papillary tumours can be classified as either high grade </w:t>
      </w:r>
      <w:r w:rsidR="00860C8C">
        <w:rPr>
          <w:lang w:eastAsia="ja-JP"/>
        </w:rPr>
        <w:t xml:space="preserve">(cancer cells with a greater propensity to grow and spread) </w:t>
      </w:r>
      <w:r>
        <w:rPr>
          <w:lang w:eastAsia="ja-JP"/>
        </w:rPr>
        <w:t>or low grade</w:t>
      </w:r>
      <w:r w:rsidR="00860C8C">
        <w:rPr>
          <w:lang w:eastAsia="ja-JP"/>
        </w:rPr>
        <w:t xml:space="preserve"> (fewer or less irregular cancer cells with a lower propensity to grow and spread),</w:t>
      </w:r>
      <w:r>
        <w:rPr>
          <w:lang w:eastAsia="ja-JP"/>
        </w:rPr>
        <w:t xml:space="preserve"> but </w:t>
      </w:r>
      <w:r w:rsidR="009D66B9">
        <w:rPr>
          <w:lang w:eastAsia="ja-JP"/>
        </w:rPr>
        <w:t xml:space="preserve">carcinoma </w:t>
      </w:r>
      <w:r w:rsidR="006A057F">
        <w:rPr>
          <w:lang w:eastAsia="ja-JP"/>
        </w:rPr>
        <w:t>in-situ</w:t>
      </w:r>
      <w:r w:rsidR="009D66B9">
        <w:rPr>
          <w:lang w:eastAsia="ja-JP"/>
        </w:rPr>
        <w:t xml:space="preserve"> (Tis)</w:t>
      </w:r>
      <w:r>
        <w:rPr>
          <w:lang w:eastAsia="ja-JP"/>
        </w:rPr>
        <w:t xml:space="preserve"> is always </w:t>
      </w:r>
      <w:r w:rsidR="00AA7A88">
        <w:rPr>
          <w:lang w:eastAsia="ja-JP"/>
        </w:rPr>
        <w:t>considered a high grade lesion.</w:t>
      </w:r>
      <w:r w:rsidR="00AA7A88" w:rsidRPr="00AA7A88">
        <w:rPr>
          <w:vertAlign w:val="superscript"/>
          <w:lang w:eastAsia="ja-JP"/>
        </w:rPr>
        <w:fldChar w:fldCharType="begin"/>
      </w:r>
      <w:r w:rsidR="00AA7A88" w:rsidRPr="00AA7A88">
        <w:rPr>
          <w:vertAlign w:val="superscript"/>
          <w:lang w:eastAsia="ja-JP"/>
        </w:rPr>
        <w:instrText xml:space="preserve"> NOTEREF _Ref130299209 \h </w:instrText>
      </w:r>
      <w:r w:rsidR="00AA7A88">
        <w:rPr>
          <w:vertAlign w:val="superscript"/>
          <w:lang w:eastAsia="ja-JP"/>
        </w:rPr>
        <w:instrText xml:space="preserve"> \* MERGEFORMAT </w:instrText>
      </w:r>
      <w:r w:rsidR="00AA7A88" w:rsidRPr="00AA7A88">
        <w:rPr>
          <w:vertAlign w:val="superscript"/>
          <w:lang w:eastAsia="ja-JP"/>
        </w:rPr>
      </w:r>
      <w:r w:rsidR="00AA7A88" w:rsidRPr="00AA7A88">
        <w:rPr>
          <w:vertAlign w:val="superscript"/>
          <w:lang w:eastAsia="ja-JP"/>
        </w:rPr>
        <w:fldChar w:fldCharType="separate"/>
      </w:r>
      <w:r w:rsidR="007F791A">
        <w:rPr>
          <w:vertAlign w:val="superscript"/>
          <w:lang w:eastAsia="ja-JP"/>
        </w:rPr>
        <w:t>11</w:t>
      </w:r>
      <w:r w:rsidR="00AA7A88" w:rsidRPr="00AA7A88">
        <w:rPr>
          <w:vertAlign w:val="superscript"/>
          <w:lang w:eastAsia="ja-JP"/>
        </w:rPr>
        <w:fldChar w:fldCharType="end"/>
      </w:r>
    </w:p>
    <w:p w14:paraId="4475A5CE" w14:textId="1CCF5BA1" w:rsidR="00AA7A88" w:rsidRDefault="00641CB0" w:rsidP="00641CB0">
      <w:pPr>
        <w:rPr>
          <w:lang w:eastAsia="ja-JP"/>
        </w:rPr>
      </w:pPr>
      <w:r>
        <w:rPr>
          <w:lang w:eastAsia="ja-JP"/>
        </w:rPr>
        <w:t xml:space="preserve">Other adverse prognostic factors for disease progression include high stage, large tumour size, multifocal lesions, high number of recurrences, the presence of </w:t>
      </w:r>
      <w:proofErr w:type="spellStart"/>
      <w:r>
        <w:rPr>
          <w:lang w:eastAsia="ja-JP"/>
        </w:rPr>
        <w:t>lymphovascular</w:t>
      </w:r>
      <w:proofErr w:type="spellEnd"/>
      <w:r>
        <w:rPr>
          <w:lang w:eastAsia="ja-JP"/>
        </w:rPr>
        <w:t xml:space="preserve"> invasion in the lamina propria, </w:t>
      </w:r>
      <w:r w:rsidRPr="00E06020">
        <w:rPr>
          <w:lang w:eastAsia="ja-JP"/>
        </w:rPr>
        <w:t>a</w:t>
      </w:r>
      <w:r>
        <w:rPr>
          <w:lang w:eastAsia="ja-JP"/>
        </w:rPr>
        <w:t>nd</w:t>
      </w:r>
      <w:r w:rsidR="00AA7A88">
        <w:rPr>
          <w:lang w:eastAsia="ja-JP"/>
        </w:rPr>
        <w:t xml:space="preserve"> certain histological variants.</w:t>
      </w:r>
      <w:r w:rsidR="00AA7A88" w:rsidRPr="00AA7A88">
        <w:rPr>
          <w:vertAlign w:val="superscript"/>
          <w:lang w:eastAsia="ja-JP"/>
        </w:rPr>
        <w:fldChar w:fldCharType="begin"/>
      </w:r>
      <w:r w:rsidR="00AA7A88" w:rsidRPr="00AA7A88">
        <w:rPr>
          <w:vertAlign w:val="superscript"/>
          <w:lang w:eastAsia="ja-JP"/>
        </w:rPr>
        <w:instrText xml:space="preserve"> NOTEREF _Ref130299276 \h </w:instrText>
      </w:r>
      <w:r w:rsidR="00AA7A88">
        <w:rPr>
          <w:vertAlign w:val="superscript"/>
          <w:lang w:eastAsia="ja-JP"/>
        </w:rPr>
        <w:instrText xml:space="preserve"> \* MERGEFORMAT </w:instrText>
      </w:r>
      <w:r w:rsidR="00AA7A88" w:rsidRPr="00AA7A88">
        <w:rPr>
          <w:vertAlign w:val="superscript"/>
          <w:lang w:eastAsia="ja-JP"/>
        </w:rPr>
      </w:r>
      <w:r w:rsidR="00AA7A88" w:rsidRPr="00AA7A88">
        <w:rPr>
          <w:vertAlign w:val="superscript"/>
          <w:lang w:eastAsia="ja-JP"/>
        </w:rPr>
        <w:fldChar w:fldCharType="separate"/>
      </w:r>
      <w:r w:rsidR="007F791A">
        <w:rPr>
          <w:vertAlign w:val="superscript"/>
          <w:lang w:eastAsia="ja-JP"/>
        </w:rPr>
        <w:t>8</w:t>
      </w:r>
      <w:r w:rsidR="00AA7A88" w:rsidRPr="00AA7A88">
        <w:rPr>
          <w:vertAlign w:val="superscript"/>
          <w:lang w:eastAsia="ja-JP"/>
        </w:rPr>
        <w:fldChar w:fldCharType="end"/>
      </w:r>
    </w:p>
    <w:p w14:paraId="56883FA2" w14:textId="0BA50F97" w:rsidR="005772F6" w:rsidRPr="00045CA7" w:rsidRDefault="00641CB0" w:rsidP="00F736EF">
      <w:pPr>
        <w:rPr>
          <w:vertAlign w:val="superscript"/>
          <w:lang w:eastAsia="ja-JP"/>
        </w:rPr>
      </w:pPr>
      <w:r>
        <w:rPr>
          <w:lang w:eastAsia="ja-JP"/>
        </w:rPr>
        <w:t xml:space="preserve">Based on prognostic factors, </w:t>
      </w:r>
      <w:r w:rsidR="006A057F">
        <w:rPr>
          <w:lang w:eastAsia="ja-JP"/>
        </w:rPr>
        <w:t xml:space="preserve">non-muscle invasive bladder cancer </w:t>
      </w:r>
      <w:r>
        <w:rPr>
          <w:lang w:eastAsia="ja-JP"/>
        </w:rPr>
        <w:t>is classified as low-, intermediate-, or high-risk for disease recurrence/progression.</w:t>
      </w:r>
      <w:bookmarkStart w:id="24" w:name="_Ref130308801"/>
      <w:r w:rsidR="00AA7A88">
        <w:rPr>
          <w:rStyle w:val="FootnoteReference"/>
          <w:lang w:eastAsia="ja-JP"/>
        </w:rPr>
        <w:footnoteReference w:id="13"/>
      </w:r>
      <w:bookmarkEnd w:id="24"/>
      <w:r w:rsidR="00AA7A88">
        <w:rPr>
          <w:vertAlign w:val="superscript"/>
          <w:lang w:eastAsia="ja-JP"/>
        </w:rPr>
        <w:t>,</w:t>
      </w:r>
      <w:bookmarkStart w:id="25" w:name="_Ref130309219"/>
      <w:r w:rsidR="00AA7A88">
        <w:rPr>
          <w:rStyle w:val="FootnoteReference"/>
          <w:lang w:eastAsia="ja-JP"/>
        </w:rPr>
        <w:footnoteReference w:id="14"/>
      </w:r>
      <w:bookmarkEnd w:id="25"/>
      <w:r w:rsidR="00AA7A88">
        <w:rPr>
          <w:vertAlign w:val="superscript"/>
          <w:lang w:eastAsia="ja-JP"/>
        </w:rPr>
        <w:t>,</w:t>
      </w:r>
      <w:bookmarkStart w:id="26" w:name="_Ref130299579"/>
      <w:r w:rsidR="00AA7A88">
        <w:rPr>
          <w:rStyle w:val="FootnoteReference"/>
          <w:lang w:eastAsia="ja-JP"/>
        </w:rPr>
        <w:footnoteReference w:id="15"/>
      </w:r>
      <w:bookmarkEnd w:id="26"/>
      <w:r w:rsidR="00AA7A88">
        <w:rPr>
          <w:lang w:eastAsia="ja-JP"/>
        </w:rPr>
        <w:t xml:space="preserve"> </w:t>
      </w:r>
      <w:r w:rsidR="00F736EF">
        <w:rPr>
          <w:lang w:eastAsia="ja-JP"/>
        </w:rPr>
        <w:t>As defined by the</w:t>
      </w:r>
      <w:r>
        <w:rPr>
          <w:lang w:eastAsia="ja-JP"/>
        </w:rPr>
        <w:t xml:space="preserve"> Internationa</w:t>
      </w:r>
      <w:r w:rsidR="00F736EF">
        <w:rPr>
          <w:lang w:eastAsia="ja-JP"/>
        </w:rPr>
        <w:t>l Bladder Cancer Group (IBCG),</w:t>
      </w:r>
      <w:r>
        <w:rPr>
          <w:lang w:eastAsia="ja-JP"/>
        </w:rPr>
        <w:t xml:space="preserve"> high-risk disease includes T1 tumours, any high-grade papillary tumour</w:t>
      </w:r>
      <w:r w:rsidR="00D9359E">
        <w:rPr>
          <w:lang w:eastAsia="ja-JP"/>
        </w:rPr>
        <w:t>,</w:t>
      </w:r>
      <w:r>
        <w:rPr>
          <w:lang w:eastAsia="ja-JP"/>
        </w:rPr>
        <w:t xml:space="preserve"> and </w:t>
      </w:r>
      <w:r w:rsidR="006A057F">
        <w:rPr>
          <w:lang w:eastAsia="ja-JP"/>
        </w:rPr>
        <w:t>carcinom</w:t>
      </w:r>
      <w:r w:rsidR="00D9359E">
        <w:rPr>
          <w:lang w:eastAsia="ja-JP"/>
        </w:rPr>
        <w:t xml:space="preserve">a </w:t>
      </w:r>
      <w:r w:rsidR="006A057F">
        <w:rPr>
          <w:lang w:eastAsia="ja-JP"/>
        </w:rPr>
        <w:t>in-situ</w:t>
      </w:r>
      <w:r>
        <w:rPr>
          <w:lang w:eastAsia="ja-JP"/>
        </w:rPr>
        <w:t>.</w:t>
      </w:r>
      <w:r w:rsidR="00F736EF" w:rsidRPr="00F736EF">
        <w:rPr>
          <w:vertAlign w:val="superscript"/>
          <w:lang w:eastAsia="ja-JP"/>
        </w:rPr>
        <w:fldChar w:fldCharType="begin"/>
      </w:r>
      <w:r w:rsidR="00F736EF" w:rsidRPr="00F736EF">
        <w:rPr>
          <w:vertAlign w:val="superscript"/>
          <w:lang w:eastAsia="ja-JP"/>
        </w:rPr>
        <w:instrText xml:space="preserve"> NOTEREF _Ref130299579 \h </w:instrText>
      </w:r>
      <w:r w:rsidR="00F736EF">
        <w:rPr>
          <w:vertAlign w:val="superscript"/>
          <w:lang w:eastAsia="ja-JP"/>
        </w:rPr>
        <w:instrText xml:space="preserve"> \* MERGEFORMAT </w:instrText>
      </w:r>
      <w:r w:rsidR="00F736EF" w:rsidRPr="00F736EF">
        <w:rPr>
          <w:vertAlign w:val="superscript"/>
          <w:lang w:eastAsia="ja-JP"/>
        </w:rPr>
      </w:r>
      <w:r w:rsidR="00F736EF" w:rsidRPr="00F736EF">
        <w:rPr>
          <w:vertAlign w:val="superscript"/>
          <w:lang w:eastAsia="ja-JP"/>
        </w:rPr>
        <w:fldChar w:fldCharType="separate"/>
      </w:r>
      <w:r w:rsidR="007F791A">
        <w:rPr>
          <w:vertAlign w:val="superscript"/>
          <w:lang w:eastAsia="ja-JP"/>
        </w:rPr>
        <w:t>14</w:t>
      </w:r>
      <w:r w:rsidR="00F736EF" w:rsidRPr="00F736EF">
        <w:rPr>
          <w:vertAlign w:val="superscript"/>
          <w:lang w:eastAsia="ja-JP"/>
        </w:rPr>
        <w:fldChar w:fldCharType="end"/>
      </w:r>
    </w:p>
    <w:p w14:paraId="223DCAAE" w14:textId="77777777" w:rsidR="00641CB0" w:rsidRDefault="00641CB0" w:rsidP="00641CB0">
      <w:pPr>
        <w:pStyle w:val="Heading4"/>
        <w:rPr>
          <w:lang w:eastAsia="ja-JP"/>
        </w:rPr>
      </w:pPr>
      <w:bookmarkStart w:id="27" w:name="_Toc137117830"/>
      <w:r>
        <w:rPr>
          <w:lang w:eastAsia="ja-JP"/>
        </w:rPr>
        <w:t>Current treatment options</w:t>
      </w:r>
      <w:bookmarkEnd w:id="27"/>
    </w:p>
    <w:p w14:paraId="379536B3" w14:textId="08EC3AFF" w:rsidR="00641CB0" w:rsidRPr="00E0260D" w:rsidRDefault="00641CB0" w:rsidP="00641CB0">
      <w:pPr>
        <w:rPr>
          <w:lang w:eastAsia="ja-JP"/>
        </w:rPr>
      </w:pPr>
      <w:r>
        <w:rPr>
          <w:lang w:eastAsia="ja-JP"/>
        </w:rPr>
        <w:t>I</w:t>
      </w:r>
      <w:r w:rsidRPr="00405442">
        <w:rPr>
          <w:lang w:eastAsia="ja-JP"/>
        </w:rPr>
        <w:t>nitial treatment of bladder cancer involves cystoscopy and transurethral resection of bladder tumour (TURBT).</w:t>
      </w:r>
      <w:r w:rsidR="00B70188">
        <w:rPr>
          <w:rStyle w:val="FootnoteReference"/>
          <w:lang w:eastAsia="ja-JP"/>
        </w:rPr>
        <w:footnoteReference w:id="16"/>
      </w:r>
      <w:r w:rsidRPr="00405442">
        <w:rPr>
          <w:lang w:eastAsia="ja-JP"/>
        </w:rPr>
        <w:t xml:space="preserve"> This m</w:t>
      </w:r>
      <w:r w:rsidR="00D100AD">
        <w:rPr>
          <w:lang w:eastAsia="ja-JP"/>
        </w:rPr>
        <w:t xml:space="preserve">ay be followed a single dose of </w:t>
      </w:r>
      <w:r w:rsidRPr="00405442">
        <w:rPr>
          <w:lang w:eastAsia="ja-JP"/>
        </w:rPr>
        <w:t>intravesical chemotherapy (usually gemcitabine o</w:t>
      </w:r>
      <w:r w:rsidR="00D100AD">
        <w:rPr>
          <w:lang w:eastAsia="ja-JP"/>
        </w:rPr>
        <w:t xml:space="preserve">r mitomycin) within 24 hours following the </w:t>
      </w:r>
      <w:r w:rsidRPr="00405442">
        <w:rPr>
          <w:lang w:eastAsia="ja-JP"/>
        </w:rPr>
        <w:t>TURBT</w:t>
      </w:r>
      <w:r w:rsidR="00D100AD">
        <w:rPr>
          <w:lang w:eastAsia="ja-JP"/>
        </w:rPr>
        <w:t xml:space="preserve"> procedure</w:t>
      </w:r>
      <w:r w:rsidRPr="00405442">
        <w:rPr>
          <w:lang w:eastAsia="ja-JP"/>
        </w:rPr>
        <w:t>.</w:t>
      </w:r>
      <w:r w:rsidRPr="00014524">
        <w:t xml:space="preserve"> </w:t>
      </w:r>
      <w:r w:rsidRPr="00E0260D">
        <w:rPr>
          <w:lang w:eastAsia="ja-JP"/>
        </w:rPr>
        <w:t xml:space="preserve">Complete removal of </w:t>
      </w:r>
      <w:r w:rsidR="006A057F">
        <w:rPr>
          <w:lang w:eastAsia="ja-JP"/>
        </w:rPr>
        <w:t>carcinoma</w:t>
      </w:r>
      <w:r w:rsidR="00D9359E">
        <w:rPr>
          <w:lang w:eastAsia="ja-JP"/>
        </w:rPr>
        <w:t xml:space="preserve"> </w:t>
      </w:r>
      <w:r w:rsidR="006A057F">
        <w:rPr>
          <w:lang w:eastAsia="ja-JP"/>
        </w:rPr>
        <w:t>in-situ</w:t>
      </w:r>
      <w:r w:rsidRPr="00E0260D">
        <w:rPr>
          <w:lang w:eastAsia="ja-JP"/>
        </w:rPr>
        <w:t xml:space="preserve"> via TURBT is often not feasible because the disease is often diffuse and difficult to visualise.</w:t>
      </w:r>
    </w:p>
    <w:p w14:paraId="7260416C" w14:textId="1EE68DE2" w:rsidR="00641CB0" w:rsidRPr="00405442" w:rsidRDefault="006A057F" w:rsidP="00641CB0">
      <w:pPr>
        <w:rPr>
          <w:lang w:eastAsia="ja-JP"/>
        </w:rPr>
      </w:pPr>
      <w:r>
        <w:rPr>
          <w:lang w:eastAsia="ja-JP"/>
        </w:rPr>
        <w:lastRenderedPageBreak/>
        <w:t>Recommended treatment for high-</w:t>
      </w:r>
      <w:r w:rsidR="00641CB0" w:rsidRPr="00405442">
        <w:rPr>
          <w:lang w:eastAsia="ja-JP"/>
        </w:rPr>
        <w:t xml:space="preserve">risk </w:t>
      </w:r>
      <w:r>
        <w:rPr>
          <w:lang w:eastAsia="ja-JP"/>
        </w:rPr>
        <w:t xml:space="preserve">non-muscle invasive bladder cancer </w:t>
      </w:r>
      <w:r w:rsidR="00641CB0">
        <w:rPr>
          <w:lang w:eastAsia="ja-JP"/>
        </w:rPr>
        <w:t xml:space="preserve">patients </w:t>
      </w:r>
      <w:r w:rsidR="00641CB0" w:rsidRPr="00405442">
        <w:rPr>
          <w:lang w:eastAsia="ja-JP"/>
        </w:rPr>
        <w:t xml:space="preserve">is an induction course of intravesical </w:t>
      </w:r>
      <w:r w:rsidRPr="006A057F">
        <w:rPr>
          <w:lang w:eastAsia="ja-JP"/>
        </w:rPr>
        <w:t>Bacillus Calmette–</w:t>
      </w:r>
      <w:proofErr w:type="spellStart"/>
      <w:r w:rsidRPr="006A057F">
        <w:rPr>
          <w:lang w:eastAsia="ja-JP"/>
        </w:rPr>
        <w:t>Guérin</w:t>
      </w:r>
      <w:proofErr w:type="spellEnd"/>
      <w:r w:rsidRPr="006A057F">
        <w:rPr>
          <w:lang w:eastAsia="ja-JP"/>
        </w:rPr>
        <w:t xml:space="preserve"> (BCG) </w:t>
      </w:r>
      <w:r w:rsidR="0043408C">
        <w:rPr>
          <w:lang w:eastAsia="ja-JP"/>
        </w:rPr>
        <w:t xml:space="preserve">once a week for 6 </w:t>
      </w:r>
      <w:r w:rsidR="00D100AD">
        <w:rPr>
          <w:lang w:eastAsia="ja-JP"/>
        </w:rPr>
        <w:t>weeks</w:t>
      </w:r>
      <w:r w:rsidR="00641CB0" w:rsidRPr="00405442">
        <w:rPr>
          <w:lang w:eastAsia="ja-JP"/>
        </w:rPr>
        <w:t>.</w:t>
      </w:r>
      <w:bookmarkStart w:id="28" w:name="_Ref130534731"/>
      <w:r>
        <w:rPr>
          <w:rStyle w:val="FootnoteReference"/>
          <w:lang w:eastAsia="ja-JP"/>
        </w:rPr>
        <w:footnoteReference w:id="17"/>
      </w:r>
      <w:bookmarkEnd w:id="28"/>
      <w:r w:rsidR="00641CB0" w:rsidRPr="00405442">
        <w:rPr>
          <w:lang w:eastAsia="ja-JP"/>
        </w:rPr>
        <w:t xml:space="preserve"> Follow-up cystoscopy and urine cytology is generally performed 3 months after TURBT. In </w:t>
      </w:r>
      <w:r w:rsidR="00641CB0">
        <w:rPr>
          <w:lang w:eastAsia="ja-JP"/>
        </w:rPr>
        <w:t>patients</w:t>
      </w:r>
      <w:r w:rsidR="00641CB0" w:rsidRPr="00405442">
        <w:rPr>
          <w:lang w:eastAsia="ja-JP"/>
        </w:rPr>
        <w:t xml:space="preserve"> with negative cystoscopy and cytology a maintenance regime</w:t>
      </w:r>
      <w:r w:rsidR="0043408C">
        <w:rPr>
          <w:lang w:eastAsia="ja-JP"/>
        </w:rPr>
        <w:t xml:space="preserve">n of intravesical BCG lasting 1 to </w:t>
      </w:r>
      <w:r w:rsidR="00641CB0" w:rsidRPr="00405442">
        <w:rPr>
          <w:lang w:eastAsia="ja-JP"/>
        </w:rPr>
        <w:t xml:space="preserve">3 years is recommended. In </w:t>
      </w:r>
      <w:r w:rsidR="00641CB0">
        <w:rPr>
          <w:lang w:eastAsia="ja-JP"/>
        </w:rPr>
        <w:t>those</w:t>
      </w:r>
      <w:r w:rsidR="00641CB0" w:rsidRPr="00405442">
        <w:rPr>
          <w:lang w:eastAsia="ja-JP"/>
        </w:rPr>
        <w:t xml:space="preserve"> with persistent or recurrent disease after a single induction course of BCG, a second induction course may be ap</w:t>
      </w:r>
      <w:r w:rsidR="0043408C">
        <w:rPr>
          <w:lang w:eastAsia="ja-JP"/>
        </w:rPr>
        <w:t>propriate.</w:t>
      </w:r>
    </w:p>
    <w:p w14:paraId="5584FA50" w14:textId="51F47734" w:rsidR="00774744" w:rsidRDefault="00641CB0" w:rsidP="00641CB0">
      <w:pPr>
        <w:rPr>
          <w:lang w:eastAsia="ja-JP"/>
        </w:rPr>
      </w:pPr>
      <w:r>
        <w:rPr>
          <w:lang w:eastAsia="ja-JP"/>
        </w:rPr>
        <w:t xml:space="preserve">BCG therapy failure can be classified </w:t>
      </w:r>
      <w:proofErr w:type="gramStart"/>
      <w:r>
        <w:rPr>
          <w:lang w:eastAsia="ja-JP"/>
        </w:rPr>
        <w:t>in to</w:t>
      </w:r>
      <w:proofErr w:type="gramEnd"/>
      <w:r>
        <w:rPr>
          <w:lang w:eastAsia="ja-JP"/>
        </w:rPr>
        <w:t xml:space="preserve"> refractory, relapsi</w:t>
      </w:r>
      <w:r w:rsidR="00224E30">
        <w:rPr>
          <w:lang w:eastAsia="ja-JP"/>
        </w:rPr>
        <w:t xml:space="preserve">ng, intolerant or unresponsive, and is discussed in </w:t>
      </w:r>
      <w:r w:rsidR="00224E30">
        <w:rPr>
          <w:lang w:eastAsia="ja-JP"/>
        </w:rPr>
        <w:fldChar w:fldCharType="begin"/>
      </w:r>
      <w:r w:rsidR="00224E30">
        <w:rPr>
          <w:lang w:eastAsia="ja-JP"/>
        </w:rPr>
        <w:instrText xml:space="preserve"> REF _Ref130305532 \h </w:instrText>
      </w:r>
      <w:r w:rsidR="00224E30">
        <w:rPr>
          <w:lang w:eastAsia="ja-JP"/>
        </w:rPr>
      </w:r>
      <w:r w:rsidR="00224E30">
        <w:rPr>
          <w:lang w:eastAsia="ja-JP"/>
        </w:rPr>
        <w:fldChar w:fldCharType="separate"/>
      </w:r>
      <w:r w:rsidR="007F791A">
        <w:t xml:space="preserve">Table </w:t>
      </w:r>
      <w:r w:rsidR="007F791A">
        <w:rPr>
          <w:noProof/>
        </w:rPr>
        <w:t>2</w:t>
      </w:r>
      <w:r w:rsidR="00224E30">
        <w:rPr>
          <w:lang w:eastAsia="ja-JP"/>
        </w:rPr>
        <w:fldChar w:fldCharType="end"/>
      </w:r>
      <w:r w:rsidR="00224E30">
        <w:rPr>
          <w:lang w:eastAsia="ja-JP"/>
        </w:rPr>
        <w:t xml:space="preserve"> (shown below).</w:t>
      </w:r>
      <w:r w:rsidR="00224E30" w:rsidRPr="007B2869">
        <w:rPr>
          <w:vertAlign w:val="superscript"/>
          <w:lang w:eastAsia="ja-JP"/>
        </w:rPr>
        <w:fldChar w:fldCharType="begin"/>
      </w:r>
      <w:r w:rsidR="00224E30" w:rsidRPr="007B2869">
        <w:rPr>
          <w:vertAlign w:val="superscript"/>
          <w:lang w:eastAsia="ja-JP"/>
        </w:rPr>
        <w:instrText xml:space="preserve"> NOTEREF _Ref130299579 \h </w:instrText>
      </w:r>
      <w:r w:rsidR="007B2869">
        <w:rPr>
          <w:vertAlign w:val="superscript"/>
          <w:lang w:eastAsia="ja-JP"/>
        </w:rPr>
        <w:instrText xml:space="preserve"> \* MERGEFORMAT </w:instrText>
      </w:r>
      <w:r w:rsidR="00224E30" w:rsidRPr="007B2869">
        <w:rPr>
          <w:vertAlign w:val="superscript"/>
          <w:lang w:eastAsia="ja-JP"/>
        </w:rPr>
      </w:r>
      <w:r w:rsidR="00224E30" w:rsidRPr="007B2869">
        <w:rPr>
          <w:vertAlign w:val="superscript"/>
          <w:lang w:eastAsia="ja-JP"/>
        </w:rPr>
        <w:fldChar w:fldCharType="separate"/>
      </w:r>
      <w:r w:rsidR="007F791A">
        <w:rPr>
          <w:vertAlign w:val="superscript"/>
          <w:lang w:eastAsia="ja-JP"/>
        </w:rPr>
        <w:t>14</w:t>
      </w:r>
      <w:r w:rsidR="00224E30" w:rsidRPr="007B2869">
        <w:rPr>
          <w:vertAlign w:val="superscript"/>
          <w:lang w:eastAsia="ja-JP"/>
        </w:rPr>
        <w:fldChar w:fldCharType="end"/>
      </w:r>
    </w:p>
    <w:p w14:paraId="178193D1" w14:textId="7673C2A7" w:rsidR="00224E30" w:rsidRDefault="00224E30" w:rsidP="007B2869">
      <w:pPr>
        <w:pStyle w:val="TableTitle0"/>
      </w:pPr>
      <w:bookmarkStart w:id="29" w:name="_Ref130305532"/>
      <w:r>
        <w:t xml:space="preserve">Table </w:t>
      </w:r>
      <w:r w:rsidR="00B82441">
        <w:fldChar w:fldCharType="begin"/>
      </w:r>
      <w:r w:rsidR="00B82441">
        <w:instrText xml:space="preserve"> SEQ Table \* ARABIC </w:instrText>
      </w:r>
      <w:r w:rsidR="00B82441">
        <w:fldChar w:fldCharType="separate"/>
      </w:r>
      <w:r w:rsidR="007F791A">
        <w:rPr>
          <w:noProof/>
        </w:rPr>
        <w:t>2</w:t>
      </w:r>
      <w:r w:rsidR="00B82441">
        <w:rPr>
          <w:noProof/>
        </w:rPr>
        <w:fldChar w:fldCharType="end"/>
      </w:r>
      <w:bookmarkEnd w:id="29"/>
      <w:r>
        <w:t xml:space="preserve">: </w:t>
      </w:r>
      <w:proofErr w:type="spellStart"/>
      <w:r>
        <w:t>Kamat</w:t>
      </w:r>
      <w:proofErr w:type="spellEnd"/>
      <w:r>
        <w:t xml:space="preserve"> et al. (2016) </w:t>
      </w:r>
      <w:r>
        <w:rPr>
          <w:color w:val="333333"/>
          <w:shd w:val="clear" w:color="auto" w:fill="FFFCF0"/>
        </w:rPr>
        <w:t>Classification of BCG failures</w:t>
      </w:r>
    </w:p>
    <w:tbl>
      <w:tblPr>
        <w:tblStyle w:val="TableTGAblue"/>
        <w:tblW w:w="0" w:type="auto"/>
        <w:tblLook w:val="04A0" w:firstRow="1" w:lastRow="0" w:firstColumn="1" w:lastColumn="0" w:noHBand="0" w:noVBand="1"/>
      </w:tblPr>
      <w:tblGrid>
        <w:gridCol w:w="2033"/>
        <w:gridCol w:w="7017"/>
      </w:tblGrid>
      <w:tr w:rsidR="00224E30" w14:paraId="05D7F6B9" w14:textId="77777777" w:rsidTr="00BB5796">
        <w:trPr>
          <w:cnfStyle w:val="100000000000" w:firstRow="1" w:lastRow="0" w:firstColumn="0" w:lastColumn="0" w:oddVBand="0" w:evenVBand="0" w:oddHBand="0" w:evenHBand="0" w:firstRowFirstColumn="0" w:firstRowLastColumn="0" w:lastRowFirstColumn="0" w:lastRowLastColumn="0"/>
          <w:trHeight w:val="448"/>
        </w:trPr>
        <w:tc>
          <w:tcPr>
            <w:tcW w:w="0" w:type="auto"/>
            <w:vAlign w:val="center"/>
            <w:hideMark/>
          </w:tcPr>
          <w:p w14:paraId="66122ED5" w14:textId="77777777" w:rsidR="00790F17" w:rsidRPr="00BB5796" w:rsidRDefault="00790F17" w:rsidP="00BB5796">
            <w:r w:rsidRPr="00BB5796">
              <w:t>Classification</w:t>
            </w:r>
          </w:p>
        </w:tc>
        <w:tc>
          <w:tcPr>
            <w:tcW w:w="0" w:type="auto"/>
            <w:vAlign w:val="center"/>
            <w:hideMark/>
          </w:tcPr>
          <w:p w14:paraId="629B960A" w14:textId="77777777" w:rsidR="00790F17" w:rsidRPr="00BB5796" w:rsidRDefault="00790F17" w:rsidP="00BB5796">
            <w:r w:rsidRPr="00BB5796">
              <w:t>Description</w:t>
            </w:r>
          </w:p>
        </w:tc>
      </w:tr>
      <w:tr w:rsidR="00790F17" w14:paraId="37C49D85" w14:textId="77777777" w:rsidTr="00BB5796">
        <w:trPr>
          <w:trHeight w:val="1339"/>
        </w:trPr>
        <w:tc>
          <w:tcPr>
            <w:tcW w:w="0" w:type="auto"/>
            <w:vAlign w:val="center"/>
            <w:hideMark/>
          </w:tcPr>
          <w:p w14:paraId="4920B8B3" w14:textId="77777777" w:rsidR="00790F17" w:rsidRPr="00BB5796" w:rsidRDefault="00790F17" w:rsidP="00BB5796">
            <w:pPr>
              <w:rPr>
                <w:b/>
              </w:rPr>
            </w:pPr>
            <w:r w:rsidRPr="00BB5796">
              <w:rPr>
                <w:b/>
              </w:rPr>
              <w:t>Refractory</w:t>
            </w:r>
          </w:p>
        </w:tc>
        <w:tc>
          <w:tcPr>
            <w:tcW w:w="0" w:type="auto"/>
            <w:vAlign w:val="center"/>
            <w:hideMark/>
          </w:tcPr>
          <w:p w14:paraId="075A8C4A" w14:textId="22289B88" w:rsidR="00790F17" w:rsidRPr="00790F17" w:rsidRDefault="00790F17" w:rsidP="00BB5796">
            <w:r w:rsidRPr="00790F17">
              <w:t>Persistent high-grade disease at 6 months despite adequate BCG* treatment. This category also includes any stage or grade progression by 3 months after the first BCG cycle (</w:t>
            </w:r>
            <w:r w:rsidR="00BB5796">
              <w:t>that is</w:t>
            </w:r>
            <w:r w:rsidRPr="00790F17">
              <w:t>, high-grade T1 at 3 months after initial Ta, T1, high-grade disease, or CIS).</w:t>
            </w:r>
          </w:p>
        </w:tc>
      </w:tr>
      <w:tr w:rsidR="00790F17" w14:paraId="77A36378" w14:textId="77777777" w:rsidTr="00BB5796">
        <w:trPr>
          <w:trHeight w:val="2221"/>
        </w:trPr>
        <w:tc>
          <w:tcPr>
            <w:tcW w:w="0" w:type="auto"/>
            <w:vAlign w:val="center"/>
            <w:hideMark/>
          </w:tcPr>
          <w:p w14:paraId="0CDBB85C" w14:textId="77777777" w:rsidR="00790F17" w:rsidRPr="00BB5796" w:rsidRDefault="00790F17" w:rsidP="00BB5796">
            <w:pPr>
              <w:rPr>
                <w:b/>
              </w:rPr>
            </w:pPr>
            <w:r w:rsidRPr="00BB5796">
              <w:rPr>
                <w:b/>
              </w:rPr>
              <w:t>Relapsing</w:t>
            </w:r>
          </w:p>
        </w:tc>
        <w:tc>
          <w:tcPr>
            <w:tcW w:w="0" w:type="auto"/>
            <w:vAlign w:val="center"/>
            <w:hideMark/>
          </w:tcPr>
          <w:p w14:paraId="643C4802" w14:textId="0766B817" w:rsidR="00790F17" w:rsidRPr="00790F17" w:rsidRDefault="00790F17" w:rsidP="00BB5796">
            <w:r w:rsidRPr="00790F17">
              <w:t>Recurrence of high-grade disease after achieving a disease-free state at 6 months after adequate BCG.* Although this category has previously been subdivided based on time to recurrence after stopping BCG (</w:t>
            </w:r>
            <w:r w:rsidR="00BB5796">
              <w:t>that is, early (less than 12 months)</w:t>
            </w:r>
            <w:r w:rsidRPr="00790F17">
              <w:t>, intermedi</w:t>
            </w:r>
            <w:r w:rsidR="00BB5796">
              <w:t>ate (1 to 2 years), or late (more than 24 months)</w:t>
            </w:r>
            <w:r w:rsidRPr="00790F17">
              <w:t>), for the purpose of being included in the BCG-unresponsive category, patients should be within 6 months of the last BCG exposure (</w:t>
            </w:r>
            <w:r w:rsidR="00BB5796">
              <w:t>for example</w:t>
            </w:r>
            <w:r w:rsidRPr="00790F17">
              <w:t>, patient</w:t>
            </w:r>
            <w:r w:rsidR="00BB5796">
              <w:t>s</w:t>
            </w:r>
            <w:r w:rsidRPr="00790F17">
              <w:t xml:space="preserve"> receiving maintenance therapy).</w:t>
            </w:r>
          </w:p>
        </w:tc>
      </w:tr>
      <w:tr w:rsidR="00790F17" w14:paraId="677054DF" w14:textId="77777777" w:rsidTr="00BB5796">
        <w:trPr>
          <w:trHeight w:val="1330"/>
        </w:trPr>
        <w:tc>
          <w:tcPr>
            <w:tcW w:w="0" w:type="auto"/>
            <w:vAlign w:val="center"/>
            <w:hideMark/>
          </w:tcPr>
          <w:p w14:paraId="522BDE44" w14:textId="77777777" w:rsidR="00790F17" w:rsidRPr="00BB5796" w:rsidRDefault="00790F17" w:rsidP="00BB5796">
            <w:pPr>
              <w:rPr>
                <w:b/>
              </w:rPr>
            </w:pPr>
            <w:r w:rsidRPr="00BB5796">
              <w:rPr>
                <w:b/>
              </w:rPr>
              <w:t>Intolerant</w:t>
            </w:r>
          </w:p>
        </w:tc>
        <w:tc>
          <w:tcPr>
            <w:tcW w:w="0" w:type="auto"/>
            <w:vAlign w:val="center"/>
            <w:hideMark/>
          </w:tcPr>
          <w:p w14:paraId="77FAB14A" w14:textId="77777777" w:rsidR="00790F17" w:rsidRPr="00790F17" w:rsidRDefault="00790F17" w:rsidP="00BB5796">
            <w:r w:rsidRPr="00790F17">
              <w:t xml:space="preserve">Disease persistence </w:t>
            </w:r>
            <w:proofErr w:type="gramStart"/>
            <w:r w:rsidRPr="00790F17">
              <w:t>as a result of</w:t>
            </w:r>
            <w:proofErr w:type="gramEnd"/>
            <w:r w:rsidRPr="00790F17">
              <w:t xml:space="preserve"> inability to receive adequate BCG* because of toxicity. With current attention to abrogation of BCG adverse effects, we expect this category to represent a small portion of the BCG-treated population.</w:t>
            </w:r>
          </w:p>
        </w:tc>
      </w:tr>
      <w:tr w:rsidR="00790F17" w14:paraId="122EC6DF" w14:textId="77777777" w:rsidTr="00BB5796">
        <w:trPr>
          <w:trHeight w:val="1780"/>
        </w:trPr>
        <w:tc>
          <w:tcPr>
            <w:tcW w:w="0" w:type="auto"/>
            <w:vAlign w:val="center"/>
            <w:hideMark/>
          </w:tcPr>
          <w:p w14:paraId="5B74EBEA" w14:textId="7D55C259" w:rsidR="00790F17" w:rsidRPr="00BB5796" w:rsidRDefault="00790F17" w:rsidP="00BB5796">
            <w:pPr>
              <w:rPr>
                <w:b/>
                <w:vertAlign w:val="superscript"/>
              </w:rPr>
            </w:pPr>
            <w:r w:rsidRPr="00BB5796">
              <w:rPr>
                <w:b/>
              </w:rPr>
              <w:t>Unresponsive</w:t>
            </w:r>
            <w:r w:rsidR="00BB5796">
              <w:rPr>
                <w:b/>
                <w:vertAlign w:val="superscript"/>
              </w:rPr>
              <w:t>1</w:t>
            </w:r>
          </w:p>
        </w:tc>
        <w:tc>
          <w:tcPr>
            <w:tcW w:w="0" w:type="auto"/>
            <w:vAlign w:val="center"/>
            <w:hideMark/>
          </w:tcPr>
          <w:p w14:paraId="2F8B6858" w14:textId="77777777" w:rsidR="00790F17" w:rsidRPr="00790F17" w:rsidRDefault="00790F17" w:rsidP="00BB5796">
            <w:r w:rsidRPr="00790F17">
              <w:t xml:space="preserve">BCG refractory and BCG relapsing disease. The term BCG unresponsive, which essentially includes BCG refractory and BCG relapsing (within 6 months of last BCG exposure), is meant to denote a subgroup of patients at highest risk of recurrence and progression for whom additional BCG therapy is not a feasible option. These patients can be considered for single-arm </w:t>
            </w:r>
            <w:proofErr w:type="gramStart"/>
            <w:r w:rsidRPr="00790F17">
              <w:t>studies.</w:t>
            </w:r>
            <w:r w:rsidRPr="00011226">
              <w:rPr>
                <w:vertAlign w:val="superscript"/>
              </w:rPr>
              <w:t>†</w:t>
            </w:r>
            <w:proofErr w:type="gramEnd"/>
          </w:p>
        </w:tc>
      </w:tr>
    </w:tbl>
    <w:p w14:paraId="113CA74C" w14:textId="244B38BE" w:rsidR="00BB5796" w:rsidRDefault="00774744" w:rsidP="00011226">
      <w:pPr>
        <w:pStyle w:val="TableDescription0"/>
        <w:spacing w:before="0"/>
        <w:rPr>
          <w:lang w:eastAsia="ja-JP"/>
        </w:rPr>
      </w:pPr>
      <w:r>
        <w:rPr>
          <w:lang w:eastAsia="ja-JP"/>
        </w:rPr>
        <w:t>Abbreviations: BCG = Bacillus Calmette-</w:t>
      </w:r>
      <w:proofErr w:type="spellStart"/>
      <w:r>
        <w:rPr>
          <w:lang w:eastAsia="ja-JP"/>
        </w:rPr>
        <w:t>Guérin</w:t>
      </w:r>
      <w:proofErr w:type="spellEnd"/>
      <w:r>
        <w:rPr>
          <w:lang w:eastAsia="ja-JP"/>
        </w:rPr>
        <w:t>; CIS =</w:t>
      </w:r>
      <w:r w:rsidR="00224E30" w:rsidRPr="00224E30">
        <w:rPr>
          <w:lang w:eastAsia="ja-JP"/>
        </w:rPr>
        <w:t xml:space="preserve"> carcinoma in situ.</w:t>
      </w:r>
    </w:p>
    <w:p w14:paraId="546A2BA5" w14:textId="5043EF2E" w:rsidR="00224E30" w:rsidRDefault="00BB5796" w:rsidP="00011226">
      <w:pPr>
        <w:pStyle w:val="TableDescription0"/>
        <w:rPr>
          <w:lang w:eastAsia="ja-JP"/>
        </w:rPr>
      </w:pPr>
      <w:r>
        <w:rPr>
          <w:lang w:eastAsia="ja-JP"/>
        </w:rPr>
        <w:t xml:space="preserve">1: Classification derived from: </w:t>
      </w:r>
      <w:r w:rsidRPr="00BB5796">
        <w:rPr>
          <w:lang w:eastAsia="ja-JP"/>
        </w:rPr>
        <w:t xml:space="preserve">Lerner SP, </w:t>
      </w:r>
      <w:proofErr w:type="spellStart"/>
      <w:r w:rsidRPr="00BB5796">
        <w:rPr>
          <w:lang w:eastAsia="ja-JP"/>
        </w:rPr>
        <w:t>Dinney</w:t>
      </w:r>
      <w:proofErr w:type="spellEnd"/>
      <w:r w:rsidRPr="00BB5796">
        <w:rPr>
          <w:lang w:eastAsia="ja-JP"/>
        </w:rPr>
        <w:t xml:space="preserve"> C, </w:t>
      </w:r>
      <w:proofErr w:type="spellStart"/>
      <w:r w:rsidRPr="00BB5796">
        <w:rPr>
          <w:lang w:eastAsia="ja-JP"/>
        </w:rPr>
        <w:t>Kamat</w:t>
      </w:r>
      <w:proofErr w:type="spellEnd"/>
      <w:r w:rsidRPr="00BB5796">
        <w:rPr>
          <w:lang w:eastAsia="ja-JP"/>
        </w:rPr>
        <w:t xml:space="preserve"> AM, et al. </w:t>
      </w:r>
      <w:proofErr w:type="gramStart"/>
      <w:r w:rsidRPr="00BB5796">
        <w:rPr>
          <w:lang w:eastAsia="ja-JP"/>
        </w:rPr>
        <w:t>Short</w:t>
      </w:r>
      <w:proofErr w:type="gramEnd"/>
      <w:r w:rsidRPr="00BB5796">
        <w:rPr>
          <w:lang w:eastAsia="ja-JP"/>
        </w:rPr>
        <w:t xml:space="preserve"> communication: Clarification of bladder cancer disease states following treatment of patients with intravesical BCG. </w:t>
      </w:r>
      <w:r w:rsidRPr="00BB5796">
        <w:rPr>
          <w:i/>
          <w:lang w:eastAsia="ja-JP"/>
        </w:rPr>
        <w:t>Bladder Cancer</w:t>
      </w:r>
      <w:r w:rsidRPr="00BB5796">
        <w:rPr>
          <w:lang w:eastAsia="ja-JP"/>
        </w:rPr>
        <w:t xml:space="preserve">. </w:t>
      </w:r>
      <w:proofErr w:type="gramStart"/>
      <w:r w:rsidRPr="00BB5796">
        <w:rPr>
          <w:lang w:eastAsia="ja-JP"/>
        </w:rPr>
        <w:t>2015;1:29</w:t>
      </w:r>
      <w:proofErr w:type="gramEnd"/>
      <w:r w:rsidRPr="00BB5796">
        <w:rPr>
          <w:lang w:eastAsia="ja-JP"/>
        </w:rPr>
        <w:t>–30.</w:t>
      </w:r>
    </w:p>
    <w:p w14:paraId="7CADA95C" w14:textId="770676B9" w:rsidR="00224E30" w:rsidRDefault="00224E30" w:rsidP="00011226">
      <w:pPr>
        <w:pStyle w:val="TableDescription0"/>
        <w:spacing w:before="0"/>
        <w:rPr>
          <w:lang w:eastAsia="ja-JP"/>
        </w:rPr>
      </w:pPr>
      <w:r>
        <w:rPr>
          <w:lang w:eastAsia="ja-JP"/>
        </w:rPr>
        <w:t>*</w:t>
      </w:r>
      <w:r w:rsidR="00D9359E">
        <w:rPr>
          <w:lang w:eastAsia="ja-JP"/>
        </w:rPr>
        <w:t xml:space="preserve"> </w:t>
      </w:r>
      <w:r>
        <w:rPr>
          <w:lang w:eastAsia="ja-JP"/>
        </w:rPr>
        <w:t>For clinical trials, adequate BCG therapy is when a patient has received at least five of six induction instillations and at least one maintenance (two of three instillations) in a 6-month period.</w:t>
      </w:r>
    </w:p>
    <w:p w14:paraId="7E4054B4" w14:textId="7F5E5DF3" w:rsidR="00790F17" w:rsidRDefault="00224E30" w:rsidP="00011226">
      <w:pPr>
        <w:pStyle w:val="TableDescription0"/>
        <w:spacing w:before="0"/>
        <w:rPr>
          <w:lang w:eastAsia="ja-JP"/>
        </w:rPr>
      </w:pPr>
      <w:r>
        <w:rPr>
          <w:lang w:eastAsia="ja-JP"/>
        </w:rPr>
        <w:t>†</w:t>
      </w:r>
      <w:r w:rsidR="00D9359E">
        <w:rPr>
          <w:lang w:eastAsia="ja-JP"/>
        </w:rPr>
        <w:t xml:space="preserve"> </w:t>
      </w:r>
      <w:r>
        <w:rPr>
          <w:lang w:eastAsia="ja-JP"/>
        </w:rPr>
        <w:t>Because there are often delays in referral to and enrolment in trials, we recommend that study designs account for a window from tumour recurrence, and patients can be within 6 to 9 months of the last BCG exposure, thereby allowing a 3-month lead time for referral.</w:t>
      </w:r>
    </w:p>
    <w:p w14:paraId="56DF5CCE" w14:textId="719DF6A3" w:rsidR="00224E30" w:rsidRPr="00224E30" w:rsidRDefault="00224E30" w:rsidP="00011226">
      <w:pPr>
        <w:pStyle w:val="TableDescription0"/>
        <w:rPr>
          <w:lang w:eastAsia="ja-JP"/>
        </w:rPr>
      </w:pPr>
      <w:r>
        <w:rPr>
          <w:lang w:eastAsia="ja-JP"/>
        </w:rPr>
        <w:t xml:space="preserve">Table adapted from </w:t>
      </w:r>
      <w:proofErr w:type="spellStart"/>
      <w:r>
        <w:t>Kamat</w:t>
      </w:r>
      <w:proofErr w:type="spellEnd"/>
      <w:r>
        <w:t xml:space="preserve"> AM, Sylvester RJ, </w:t>
      </w:r>
      <w:proofErr w:type="spellStart"/>
      <w:r>
        <w:t>Böhle</w:t>
      </w:r>
      <w:proofErr w:type="spellEnd"/>
      <w:r>
        <w:t xml:space="preserve"> A et al. Definitions, End Points, and Clinical Trial Designs for Non-Muscle-Invasive Bladder Cancer: Recommendations </w:t>
      </w:r>
      <w:proofErr w:type="gramStart"/>
      <w:r>
        <w:t>From</w:t>
      </w:r>
      <w:proofErr w:type="gramEnd"/>
      <w:r>
        <w:t xml:space="preserve"> the International Bladder Cancer Group. </w:t>
      </w:r>
      <w:r>
        <w:rPr>
          <w:i/>
        </w:rPr>
        <w:t>J Clin Oncol.</w:t>
      </w:r>
      <w:r>
        <w:t xml:space="preserve"> 2016 Jun 1;34(16):1935-44.</w:t>
      </w:r>
    </w:p>
    <w:p w14:paraId="71BAC89D" w14:textId="4FE4B4AB" w:rsidR="00641CB0" w:rsidRPr="00224E30" w:rsidRDefault="00641CB0" w:rsidP="00224E30">
      <w:r w:rsidRPr="00224E30">
        <w:lastRenderedPageBreak/>
        <w:t xml:space="preserve">BCG unresponsive </w:t>
      </w:r>
      <w:r w:rsidR="00D9359E">
        <w:t xml:space="preserve">classifications </w:t>
      </w:r>
      <w:proofErr w:type="gramStart"/>
      <w:r w:rsidRPr="00224E30">
        <w:t>includes</w:t>
      </w:r>
      <w:proofErr w:type="gramEnd"/>
      <w:r w:rsidRPr="00224E30">
        <w:t xml:space="preserve"> BCG refractory and BCG relapsing (</w:t>
      </w:r>
      <w:r w:rsidR="00D9359E">
        <w:t xml:space="preserve">disease progression </w:t>
      </w:r>
      <w:r w:rsidRPr="00224E30">
        <w:t>within 6 months of last BCG therapy), denoting a group of patients at the highest risk of recurrence and p</w:t>
      </w:r>
      <w:r w:rsidR="0043408C" w:rsidRPr="00224E30">
        <w:t>rogression to invasive disease.</w:t>
      </w:r>
      <w:r w:rsidR="007B2869">
        <w:t xml:space="preserve"> The definition used in the key clinical study for this submission, the Keynote-057 trial, is discussed </w:t>
      </w:r>
      <w:r w:rsidR="00D9359E">
        <w:t xml:space="preserve">below </w:t>
      </w:r>
      <w:r w:rsidR="007B2869">
        <w:t xml:space="preserve">under </w:t>
      </w:r>
      <w:r w:rsidR="007B2869" w:rsidRPr="007B2869">
        <w:rPr>
          <w:i/>
        </w:rPr>
        <w:fldChar w:fldCharType="begin"/>
      </w:r>
      <w:r w:rsidR="007B2869" w:rsidRPr="007B2869">
        <w:rPr>
          <w:i/>
        </w:rPr>
        <w:instrText xml:space="preserve"> REF _Ref130308643 \h </w:instrText>
      </w:r>
      <w:r w:rsidR="007B2869">
        <w:rPr>
          <w:i/>
        </w:rPr>
        <w:instrText xml:space="preserve"> \* MERGEFORMAT </w:instrText>
      </w:r>
      <w:r w:rsidR="007B2869" w:rsidRPr="007B2869">
        <w:rPr>
          <w:i/>
        </w:rPr>
      </w:r>
      <w:r w:rsidR="007B2869" w:rsidRPr="007B2869">
        <w:rPr>
          <w:i/>
        </w:rPr>
        <w:fldChar w:fldCharType="separate"/>
      </w:r>
      <w:r w:rsidR="007F791A" w:rsidRPr="007F791A">
        <w:rPr>
          <w:i/>
        </w:rPr>
        <w:t>Inclusion and exclusion criteria</w:t>
      </w:r>
      <w:r w:rsidR="007B2869" w:rsidRPr="007B2869">
        <w:rPr>
          <w:i/>
        </w:rPr>
        <w:fldChar w:fldCharType="end"/>
      </w:r>
      <w:r w:rsidR="007B2869">
        <w:t>.</w:t>
      </w:r>
    </w:p>
    <w:p w14:paraId="25AF1CF5" w14:textId="0CCBB51A" w:rsidR="00641CB0" w:rsidRPr="00224E30" w:rsidRDefault="00641CB0" w:rsidP="00224E30">
      <w:r w:rsidRPr="00224E30">
        <w:t xml:space="preserve">In patients with high-risk </w:t>
      </w:r>
      <w:r w:rsidR="0043408C" w:rsidRPr="00224E30">
        <w:t>non-muscle invasive bladder cancer</w:t>
      </w:r>
      <w:r w:rsidRPr="00224E30">
        <w:t>, which is unresponsive to BCG, the recommended treatment is radical cystectomy which is curative. Radical</w:t>
      </w:r>
      <w:r w:rsidR="0043408C" w:rsidRPr="00224E30">
        <w:t xml:space="preserve"> cystectomy has associated 90</w:t>
      </w:r>
      <w:r w:rsidR="0043408C" w:rsidRPr="00224E30">
        <w:noBreakHyphen/>
      </w:r>
      <w:r w:rsidRPr="00224E30">
        <w:t xml:space="preserve">day mortality rates up to approximately 7% (possibly higher in the elderly), and substantial post-operative and long-term morbidity. For subjects with high-risk </w:t>
      </w:r>
      <w:r w:rsidR="0043408C" w:rsidRPr="00224E30">
        <w:t xml:space="preserve">non-muscle invasive bladder cancer </w:t>
      </w:r>
      <w:r w:rsidRPr="00224E30">
        <w:t>who are unfit or unwilling to undergo cystectomy:</w:t>
      </w:r>
    </w:p>
    <w:p w14:paraId="49F6A876" w14:textId="0C57E666" w:rsidR="00641CB0" w:rsidRPr="00641CB0" w:rsidRDefault="00641CB0" w:rsidP="00641CB0">
      <w:pPr>
        <w:pStyle w:val="ListBullet"/>
      </w:pPr>
      <w:r w:rsidRPr="00641CB0">
        <w:t>A 2016 American Urological Association (AUA) and the Society of Urologic Oncology (SUO) consensus guideline</w:t>
      </w:r>
      <w:r w:rsidR="007B2869">
        <w:t>;</w:t>
      </w:r>
      <w:r w:rsidR="007B2869" w:rsidRPr="007B2869">
        <w:rPr>
          <w:vertAlign w:val="superscript"/>
        </w:rPr>
        <w:fldChar w:fldCharType="begin"/>
      </w:r>
      <w:r w:rsidR="007B2869" w:rsidRPr="007B2869">
        <w:rPr>
          <w:vertAlign w:val="superscript"/>
        </w:rPr>
        <w:instrText xml:space="preserve"> NOTEREF _Ref130308801 \h </w:instrText>
      </w:r>
      <w:r w:rsidR="007B2869">
        <w:rPr>
          <w:vertAlign w:val="superscript"/>
        </w:rPr>
        <w:instrText xml:space="preserve"> \* MERGEFORMAT </w:instrText>
      </w:r>
      <w:r w:rsidR="007B2869" w:rsidRPr="007B2869">
        <w:rPr>
          <w:vertAlign w:val="superscript"/>
        </w:rPr>
      </w:r>
      <w:r w:rsidR="007B2869" w:rsidRPr="007B2869">
        <w:rPr>
          <w:vertAlign w:val="superscript"/>
        </w:rPr>
        <w:fldChar w:fldCharType="separate"/>
      </w:r>
      <w:r w:rsidR="007F791A">
        <w:rPr>
          <w:vertAlign w:val="superscript"/>
        </w:rPr>
        <w:t>12</w:t>
      </w:r>
      <w:r w:rsidR="007B2869" w:rsidRPr="007B2869">
        <w:rPr>
          <w:vertAlign w:val="superscript"/>
        </w:rPr>
        <w:fldChar w:fldCharType="end"/>
      </w:r>
      <w:r w:rsidRPr="00641CB0">
        <w:t xml:space="preserve"> recommends enrolment in a clinical trial, or the use of intravesical chemotherapy when clinical trials are </w:t>
      </w:r>
      <w:proofErr w:type="gramStart"/>
      <w:r w:rsidRPr="00641CB0">
        <w:t>unavailable;</w:t>
      </w:r>
      <w:proofErr w:type="gramEnd"/>
    </w:p>
    <w:p w14:paraId="16A99F52" w14:textId="4B03FAE6" w:rsidR="00641CB0" w:rsidRPr="00641CB0" w:rsidRDefault="00641CB0" w:rsidP="00641CB0">
      <w:pPr>
        <w:pStyle w:val="ListBullet"/>
      </w:pPr>
      <w:r w:rsidRPr="00641CB0">
        <w:t xml:space="preserve">The </w:t>
      </w:r>
      <w:r w:rsidRPr="00641CB0">
        <w:rPr>
          <w:rStyle w:val="EndnoteReference"/>
          <w:vertAlign w:val="baseline"/>
        </w:rPr>
        <w:t xml:space="preserve">National Comprehensive Cancer Network (NCCN) </w:t>
      </w:r>
      <w:r w:rsidRPr="00641CB0">
        <w:t xml:space="preserve">2020 </w:t>
      </w:r>
      <w:r w:rsidR="007B2869">
        <w:t>guidelines</w:t>
      </w:r>
      <w:r>
        <w:t>;</w:t>
      </w:r>
      <w:r w:rsidR="007B2869" w:rsidRPr="007B2869">
        <w:rPr>
          <w:vertAlign w:val="superscript"/>
        </w:rPr>
        <w:fldChar w:fldCharType="begin"/>
      </w:r>
      <w:r w:rsidR="007B2869" w:rsidRPr="007B2869">
        <w:rPr>
          <w:vertAlign w:val="superscript"/>
        </w:rPr>
        <w:instrText xml:space="preserve"> NOTEREF _Ref130308842 \h </w:instrText>
      </w:r>
      <w:r w:rsidR="007B2869">
        <w:rPr>
          <w:vertAlign w:val="superscript"/>
        </w:rPr>
        <w:instrText xml:space="preserve"> \* MERGEFORMAT </w:instrText>
      </w:r>
      <w:r w:rsidR="007B2869" w:rsidRPr="007B2869">
        <w:rPr>
          <w:vertAlign w:val="superscript"/>
        </w:rPr>
      </w:r>
      <w:r w:rsidR="007B2869" w:rsidRPr="007B2869">
        <w:rPr>
          <w:vertAlign w:val="superscript"/>
        </w:rPr>
        <w:fldChar w:fldCharType="separate"/>
      </w:r>
      <w:r w:rsidR="007F791A">
        <w:rPr>
          <w:vertAlign w:val="superscript"/>
        </w:rPr>
        <w:t>10</w:t>
      </w:r>
      <w:r w:rsidR="007B2869" w:rsidRPr="007B2869">
        <w:rPr>
          <w:vertAlign w:val="superscript"/>
        </w:rPr>
        <w:fldChar w:fldCharType="end"/>
      </w:r>
      <w:r w:rsidRPr="00641CB0">
        <w:t xml:space="preserve"> </w:t>
      </w:r>
      <w:r w:rsidRPr="00641CB0">
        <w:rPr>
          <w:rStyle w:val="EndnoteReference"/>
          <w:vertAlign w:val="baseline"/>
        </w:rPr>
        <w:t>recommend</w:t>
      </w:r>
      <w:r w:rsidRPr="00641CB0">
        <w:t xml:space="preserve"> a change of intravesical agent (</w:t>
      </w:r>
      <w:r>
        <w:t>for example</w:t>
      </w:r>
      <w:r w:rsidRPr="00641CB0">
        <w:t xml:space="preserve"> chemotherapy) or the use of </w:t>
      </w:r>
      <w:proofErr w:type="gramStart"/>
      <w:r w:rsidRPr="00641CB0">
        <w:t>pembrolizumab;</w:t>
      </w:r>
      <w:proofErr w:type="gramEnd"/>
    </w:p>
    <w:p w14:paraId="1E8E3A84" w14:textId="1361B4B4" w:rsidR="00641CB0" w:rsidRDefault="00641CB0" w:rsidP="00641CB0">
      <w:pPr>
        <w:pStyle w:val="ListBullet"/>
      </w:pPr>
      <w:r w:rsidRPr="00641CB0">
        <w:t xml:space="preserve">The 2020 European Association of Urology (EAU) </w:t>
      </w:r>
      <w:r>
        <w:t>guidance</w:t>
      </w:r>
      <w:r w:rsidR="00934E6A">
        <w:t>;</w:t>
      </w:r>
      <w:r w:rsidR="00934E6A">
        <w:rPr>
          <w:rStyle w:val="FootnoteReference"/>
        </w:rPr>
        <w:footnoteReference w:id="18"/>
      </w:r>
      <w:r>
        <w:t xml:space="preserve"> </w:t>
      </w:r>
      <w:r w:rsidRPr="00641CB0">
        <w:t>recommend</w:t>
      </w:r>
      <w:r w:rsidR="00011518">
        <w:t>s</w:t>
      </w:r>
      <w:r w:rsidRPr="00641CB0">
        <w:t xml:space="preserve"> enrolment in a clinical trial, or other investigational bladder-preservation strategies such as cytotoxic intravesical therapies, device-assisted instillation, intravesical or systemic immunotherapy or gene</w:t>
      </w:r>
      <w:r>
        <w:t xml:space="preserve"> therapy. The guideline states:</w:t>
      </w:r>
    </w:p>
    <w:p w14:paraId="6B9CCD90" w14:textId="66444A37" w:rsidR="00820AEC" w:rsidRPr="00937DB4" w:rsidRDefault="00641CB0" w:rsidP="00937DB4">
      <w:pPr>
        <w:pStyle w:val="ListBullet"/>
        <w:numPr>
          <w:ilvl w:val="0"/>
          <w:numId w:val="0"/>
        </w:numPr>
        <w:ind w:left="720"/>
        <w:rPr>
          <w:i/>
        </w:rPr>
      </w:pPr>
      <w:r w:rsidRPr="00641CB0">
        <w:rPr>
          <w:i/>
        </w:rPr>
        <w:t xml:space="preserve">‘At the present time, treatments other than radical cystectomy must, however, be considered </w:t>
      </w:r>
      <w:proofErr w:type="spellStart"/>
      <w:r w:rsidRPr="00641CB0">
        <w:rPr>
          <w:i/>
        </w:rPr>
        <w:t>oncologically</w:t>
      </w:r>
      <w:proofErr w:type="spellEnd"/>
      <w:r w:rsidRPr="00641CB0">
        <w:rPr>
          <w:i/>
        </w:rPr>
        <w:t xml:space="preserve"> inferior in pati</w:t>
      </w:r>
      <w:r w:rsidR="00937DB4">
        <w:rPr>
          <w:i/>
        </w:rPr>
        <w:t>ents BCG-unresponsive disease.’</w:t>
      </w:r>
    </w:p>
    <w:p w14:paraId="507A74AA" w14:textId="1AB40AAC" w:rsidR="00641CB0" w:rsidRDefault="00641CB0" w:rsidP="00641CB0">
      <w:pPr>
        <w:rPr>
          <w:lang w:eastAsia="ja-JP"/>
        </w:rPr>
      </w:pPr>
      <w:r>
        <w:rPr>
          <w:lang w:eastAsia="ja-JP"/>
        </w:rPr>
        <w:t xml:space="preserve">In Australia, thiotepa is registered for intravesical administration for </w:t>
      </w:r>
      <w:r w:rsidRPr="00511E50">
        <w:rPr>
          <w:lang w:eastAsia="ja-JP"/>
        </w:rPr>
        <w:t xml:space="preserve">the treatment of </w:t>
      </w:r>
      <w:r w:rsidR="0043408C">
        <w:rPr>
          <w:i/>
          <w:iCs/>
          <w:lang w:eastAsia="ja-JP"/>
        </w:rPr>
        <w:t>‘</w:t>
      </w:r>
      <w:r w:rsidRPr="00511E50">
        <w:rPr>
          <w:i/>
          <w:iCs/>
          <w:lang w:eastAsia="ja-JP"/>
        </w:rPr>
        <w:t>superficial papillary c</w:t>
      </w:r>
      <w:r w:rsidR="0043408C">
        <w:rPr>
          <w:i/>
          <w:iCs/>
          <w:lang w:eastAsia="ja-JP"/>
        </w:rPr>
        <w:t>arcinoma of the urinary bladder’</w:t>
      </w:r>
      <w:r>
        <w:rPr>
          <w:lang w:eastAsia="ja-JP"/>
        </w:rPr>
        <w:t xml:space="preserve"> but its use is not recommended in </w:t>
      </w:r>
      <w:r w:rsidRPr="00820AEC">
        <w:rPr>
          <w:lang w:eastAsia="ja-JP"/>
        </w:rPr>
        <w:t>current</w:t>
      </w:r>
      <w:r>
        <w:rPr>
          <w:lang w:eastAsia="ja-JP"/>
        </w:rPr>
        <w:t xml:space="preserve"> clinical practice guidelines.</w:t>
      </w:r>
      <w:r w:rsidR="00820AEC" w:rsidRPr="00820AEC">
        <w:rPr>
          <w:vertAlign w:val="superscript"/>
          <w:lang w:eastAsia="ja-JP"/>
        </w:rPr>
        <w:fldChar w:fldCharType="begin"/>
      </w:r>
      <w:r w:rsidR="00820AEC" w:rsidRPr="00820AEC">
        <w:rPr>
          <w:vertAlign w:val="superscript"/>
          <w:lang w:eastAsia="ja-JP"/>
        </w:rPr>
        <w:instrText xml:space="preserve"> NOTEREF _Ref130308842 \h </w:instrText>
      </w:r>
      <w:r w:rsidR="00820AEC">
        <w:rPr>
          <w:vertAlign w:val="superscript"/>
          <w:lang w:eastAsia="ja-JP"/>
        </w:rPr>
        <w:instrText xml:space="preserve"> \* MERGEFORMAT </w:instrText>
      </w:r>
      <w:r w:rsidR="00820AEC" w:rsidRPr="00820AEC">
        <w:rPr>
          <w:vertAlign w:val="superscript"/>
          <w:lang w:eastAsia="ja-JP"/>
        </w:rPr>
      </w:r>
      <w:r w:rsidR="00820AEC" w:rsidRPr="00820AEC">
        <w:rPr>
          <w:vertAlign w:val="superscript"/>
          <w:lang w:eastAsia="ja-JP"/>
        </w:rPr>
        <w:fldChar w:fldCharType="separate"/>
      </w:r>
      <w:r w:rsidR="007F791A">
        <w:rPr>
          <w:vertAlign w:val="superscript"/>
          <w:lang w:eastAsia="ja-JP"/>
        </w:rPr>
        <w:t>10</w:t>
      </w:r>
      <w:r w:rsidR="00820AEC" w:rsidRPr="00820AEC">
        <w:rPr>
          <w:vertAlign w:val="superscript"/>
          <w:lang w:eastAsia="ja-JP"/>
        </w:rPr>
        <w:fldChar w:fldCharType="end"/>
      </w:r>
      <w:r w:rsidR="00820AEC" w:rsidRPr="00820AEC">
        <w:rPr>
          <w:vertAlign w:val="superscript"/>
          <w:lang w:eastAsia="ja-JP"/>
        </w:rPr>
        <w:t>,</w:t>
      </w:r>
      <w:r w:rsidR="00820AEC" w:rsidRPr="00820AEC">
        <w:rPr>
          <w:vertAlign w:val="superscript"/>
          <w:lang w:eastAsia="ja-JP"/>
        </w:rPr>
        <w:fldChar w:fldCharType="begin"/>
      </w:r>
      <w:r w:rsidR="00820AEC" w:rsidRPr="00820AEC">
        <w:rPr>
          <w:vertAlign w:val="superscript"/>
          <w:lang w:eastAsia="ja-JP"/>
        </w:rPr>
        <w:instrText xml:space="preserve"> NOTEREF _Ref130308801 \h </w:instrText>
      </w:r>
      <w:r w:rsidR="00820AEC">
        <w:rPr>
          <w:vertAlign w:val="superscript"/>
          <w:lang w:eastAsia="ja-JP"/>
        </w:rPr>
        <w:instrText xml:space="preserve"> \* MERGEFORMAT </w:instrText>
      </w:r>
      <w:r w:rsidR="00820AEC" w:rsidRPr="00820AEC">
        <w:rPr>
          <w:vertAlign w:val="superscript"/>
          <w:lang w:eastAsia="ja-JP"/>
        </w:rPr>
      </w:r>
      <w:r w:rsidR="00820AEC" w:rsidRPr="00820AEC">
        <w:rPr>
          <w:vertAlign w:val="superscript"/>
          <w:lang w:eastAsia="ja-JP"/>
        </w:rPr>
        <w:fldChar w:fldCharType="separate"/>
      </w:r>
      <w:r w:rsidR="007F791A">
        <w:rPr>
          <w:vertAlign w:val="superscript"/>
          <w:lang w:eastAsia="ja-JP"/>
        </w:rPr>
        <w:t>12</w:t>
      </w:r>
      <w:r w:rsidR="00820AEC" w:rsidRPr="00820AEC">
        <w:rPr>
          <w:vertAlign w:val="superscript"/>
          <w:lang w:eastAsia="ja-JP"/>
        </w:rPr>
        <w:fldChar w:fldCharType="end"/>
      </w:r>
      <w:r w:rsidR="00820AEC" w:rsidRPr="00820AEC">
        <w:rPr>
          <w:vertAlign w:val="superscript"/>
          <w:lang w:eastAsia="ja-JP"/>
        </w:rPr>
        <w:t>,</w:t>
      </w:r>
      <w:r w:rsidR="00820AEC" w:rsidRPr="00820AEC">
        <w:rPr>
          <w:vertAlign w:val="superscript"/>
          <w:lang w:eastAsia="ja-JP"/>
        </w:rPr>
        <w:fldChar w:fldCharType="begin"/>
      </w:r>
      <w:r w:rsidR="00820AEC" w:rsidRPr="00820AEC">
        <w:rPr>
          <w:vertAlign w:val="superscript"/>
          <w:lang w:eastAsia="ja-JP"/>
        </w:rPr>
        <w:instrText xml:space="preserve"> NOTEREF _Ref130309219 \h </w:instrText>
      </w:r>
      <w:r w:rsidR="00820AEC">
        <w:rPr>
          <w:vertAlign w:val="superscript"/>
          <w:lang w:eastAsia="ja-JP"/>
        </w:rPr>
        <w:instrText xml:space="preserve"> \* MERGEFORMAT </w:instrText>
      </w:r>
      <w:r w:rsidR="00820AEC" w:rsidRPr="00820AEC">
        <w:rPr>
          <w:vertAlign w:val="superscript"/>
          <w:lang w:eastAsia="ja-JP"/>
        </w:rPr>
      </w:r>
      <w:r w:rsidR="00820AEC" w:rsidRPr="00820AEC">
        <w:rPr>
          <w:vertAlign w:val="superscript"/>
          <w:lang w:eastAsia="ja-JP"/>
        </w:rPr>
        <w:fldChar w:fldCharType="separate"/>
      </w:r>
      <w:r w:rsidR="007F791A">
        <w:rPr>
          <w:vertAlign w:val="superscript"/>
          <w:lang w:eastAsia="ja-JP"/>
        </w:rPr>
        <w:t>13</w:t>
      </w:r>
      <w:r w:rsidR="00820AEC" w:rsidRPr="00820AEC">
        <w:rPr>
          <w:vertAlign w:val="superscript"/>
          <w:lang w:eastAsia="ja-JP"/>
        </w:rPr>
        <w:fldChar w:fldCharType="end"/>
      </w:r>
      <w:r>
        <w:rPr>
          <w:lang w:eastAsia="ja-JP"/>
        </w:rPr>
        <w:t xml:space="preserve"> Gemcitabine and mitomycin, recommended for intravesical use in </w:t>
      </w:r>
      <w:r w:rsidRPr="00820AEC">
        <w:rPr>
          <w:lang w:eastAsia="ja-JP"/>
        </w:rPr>
        <w:t>some guidelines</w:t>
      </w:r>
      <w:r w:rsidR="00820AEC">
        <w:rPr>
          <w:lang w:eastAsia="ja-JP"/>
        </w:rPr>
        <w:t>;</w:t>
      </w:r>
      <w:r w:rsidR="00820AEC" w:rsidRPr="00820AEC">
        <w:rPr>
          <w:vertAlign w:val="superscript"/>
          <w:lang w:eastAsia="ja-JP"/>
        </w:rPr>
        <w:fldChar w:fldCharType="begin"/>
      </w:r>
      <w:r w:rsidR="00820AEC" w:rsidRPr="00820AEC">
        <w:rPr>
          <w:vertAlign w:val="superscript"/>
          <w:lang w:eastAsia="ja-JP"/>
        </w:rPr>
        <w:instrText xml:space="preserve"> NOTEREF _Ref130308842 \h </w:instrText>
      </w:r>
      <w:r w:rsidR="00820AEC">
        <w:rPr>
          <w:vertAlign w:val="superscript"/>
          <w:lang w:eastAsia="ja-JP"/>
        </w:rPr>
        <w:instrText xml:space="preserve"> \* MERGEFORMAT </w:instrText>
      </w:r>
      <w:r w:rsidR="00820AEC" w:rsidRPr="00820AEC">
        <w:rPr>
          <w:vertAlign w:val="superscript"/>
          <w:lang w:eastAsia="ja-JP"/>
        </w:rPr>
      </w:r>
      <w:r w:rsidR="00820AEC" w:rsidRPr="00820AEC">
        <w:rPr>
          <w:vertAlign w:val="superscript"/>
          <w:lang w:eastAsia="ja-JP"/>
        </w:rPr>
        <w:fldChar w:fldCharType="separate"/>
      </w:r>
      <w:r w:rsidR="007F791A">
        <w:rPr>
          <w:vertAlign w:val="superscript"/>
          <w:lang w:eastAsia="ja-JP"/>
        </w:rPr>
        <w:t>10</w:t>
      </w:r>
      <w:r w:rsidR="00820AEC" w:rsidRPr="00820AEC">
        <w:rPr>
          <w:vertAlign w:val="superscript"/>
          <w:lang w:eastAsia="ja-JP"/>
        </w:rPr>
        <w:fldChar w:fldCharType="end"/>
      </w:r>
      <w:r>
        <w:rPr>
          <w:lang w:eastAsia="ja-JP"/>
        </w:rPr>
        <w:t xml:space="preserve"> are not registered for such use in Australia. Intravesical valrubicin, which is approved for </w:t>
      </w:r>
      <w:r w:rsidRPr="005A35CF">
        <w:rPr>
          <w:lang w:eastAsia="ja-JP"/>
        </w:rPr>
        <w:t xml:space="preserve">BCG-refractory </w:t>
      </w:r>
      <w:r w:rsidR="00860C8C">
        <w:rPr>
          <w:lang w:eastAsia="ja-JP"/>
        </w:rPr>
        <w:t xml:space="preserve">carcinoma </w:t>
      </w:r>
      <w:r w:rsidR="0043408C">
        <w:rPr>
          <w:lang w:eastAsia="ja-JP"/>
        </w:rPr>
        <w:t>in-situ</w:t>
      </w:r>
      <w:r>
        <w:rPr>
          <w:lang w:eastAsia="ja-JP"/>
        </w:rPr>
        <w:t xml:space="preserve"> in patients unsuitable for cystectomy in the </w:t>
      </w:r>
      <w:proofErr w:type="gramStart"/>
      <w:r w:rsidR="00860C8C">
        <w:rPr>
          <w:lang w:eastAsia="ja-JP"/>
        </w:rPr>
        <w:t>USA</w:t>
      </w:r>
      <w:r>
        <w:rPr>
          <w:lang w:eastAsia="ja-JP"/>
        </w:rPr>
        <w:t>,</w:t>
      </w:r>
      <w:r w:rsidR="00860C8C">
        <w:rPr>
          <w:lang w:eastAsia="ja-JP"/>
        </w:rPr>
        <w:t xml:space="preserve"> but</w:t>
      </w:r>
      <w:proofErr w:type="gramEnd"/>
      <w:r w:rsidR="00860C8C">
        <w:rPr>
          <w:lang w:eastAsia="ja-JP"/>
        </w:rPr>
        <w:t xml:space="preserve"> was</w:t>
      </w:r>
      <w:r>
        <w:rPr>
          <w:lang w:eastAsia="ja-JP"/>
        </w:rPr>
        <w:t xml:space="preserve"> not registered in Australia</w:t>
      </w:r>
      <w:r w:rsidR="00860C8C">
        <w:rPr>
          <w:lang w:eastAsia="ja-JP"/>
        </w:rPr>
        <w:t xml:space="preserve"> at the time of this submission</w:t>
      </w:r>
      <w:r>
        <w:rPr>
          <w:lang w:eastAsia="ja-JP"/>
        </w:rPr>
        <w:t>.</w:t>
      </w:r>
    </w:p>
    <w:p w14:paraId="0711DB73" w14:textId="663F6C72" w:rsidR="00937DB4" w:rsidRPr="00937DB4" w:rsidRDefault="00937DB4" w:rsidP="00641CB0">
      <w:pPr>
        <w:rPr>
          <w:lang w:val="en-GB" w:eastAsia="ja-JP"/>
        </w:rPr>
      </w:pPr>
      <w:r>
        <w:rPr>
          <w:lang w:eastAsia="ja-JP"/>
        </w:rPr>
        <w:t xml:space="preserve">Despite the lack of an accepted standard treatment, the Cancer Institute of NSW </w:t>
      </w:r>
      <w:proofErr w:type="spellStart"/>
      <w:r>
        <w:rPr>
          <w:lang w:eastAsia="ja-JP"/>
        </w:rPr>
        <w:t>eviQ</w:t>
      </w:r>
      <w:proofErr w:type="spellEnd"/>
      <w:r>
        <w:rPr>
          <w:lang w:eastAsia="ja-JP"/>
        </w:rPr>
        <w:t xml:space="preserve"> website includes a treatment protocol for the use of intravesical gemcitabine </w:t>
      </w:r>
      <w:r w:rsidRPr="00AE49C1">
        <w:rPr>
          <w:lang w:val="en-GB" w:eastAsia="ja-JP"/>
        </w:rPr>
        <w:t xml:space="preserve">post-TURBT </w:t>
      </w:r>
      <w:r>
        <w:rPr>
          <w:lang w:val="en-GB" w:eastAsia="ja-JP"/>
        </w:rPr>
        <w:t xml:space="preserve">in </w:t>
      </w:r>
      <w:r w:rsidR="006D7A31" w:rsidRPr="00224E30">
        <w:t>non-muscle invasive bladder cancer</w:t>
      </w:r>
      <w:r>
        <w:rPr>
          <w:lang w:val="en-GB" w:eastAsia="ja-JP"/>
        </w:rPr>
        <w:t xml:space="preserve"> patients </w:t>
      </w:r>
      <w:r w:rsidRPr="00AE49C1">
        <w:rPr>
          <w:lang w:val="en-GB" w:eastAsia="ja-JP"/>
        </w:rPr>
        <w:t>who have progressed</w:t>
      </w:r>
      <w:r>
        <w:rPr>
          <w:lang w:val="en-GB" w:eastAsia="ja-JP"/>
        </w:rPr>
        <w:t xml:space="preserve"> </w:t>
      </w:r>
      <w:r w:rsidR="006D7A31">
        <w:rPr>
          <w:lang w:val="en-GB" w:eastAsia="ja-JP"/>
        </w:rPr>
        <w:t>or relapsed after BCG therapy</w:t>
      </w:r>
      <w:r>
        <w:rPr>
          <w:lang w:val="en-GB" w:eastAsia="ja-JP"/>
        </w:rPr>
        <w:t>.</w:t>
      </w:r>
      <w:r w:rsidR="006D7A31">
        <w:rPr>
          <w:rStyle w:val="FootnoteReference"/>
          <w:lang w:val="en-GB" w:eastAsia="ja-JP"/>
        </w:rPr>
        <w:footnoteReference w:id="19"/>
      </w:r>
    </w:p>
    <w:p w14:paraId="6C9BA4C4" w14:textId="7FC7137F" w:rsidR="00900498" w:rsidRDefault="00900498" w:rsidP="00900498">
      <w:pPr>
        <w:pStyle w:val="Heading4"/>
        <w:rPr>
          <w:lang w:eastAsia="ja-JP"/>
        </w:rPr>
      </w:pPr>
      <w:bookmarkStart w:id="30" w:name="_Toc137117831"/>
      <w:r>
        <w:rPr>
          <w:lang w:eastAsia="ja-JP"/>
        </w:rPr>
        <w:t>Pembrolizumab</w:t>
      </w:r>
      <w:bookmarkEnd w:id="30"/>
    </w:p>
    <w:p w14:paraId="1343E022" w14:textId="46B43010" w:rsidR="00900498" w:rsidRDefault="003503D1" w:rsidP="00900498">
      <w:r w:rsidRPr="00774744">
        <w:t>Programmed cell death protein 1</w:t>
      </w:r>
      <w:r>
        <w:t xml:space="preserve"> (PD-1) </w:t>
      </w:r>
      <w:r w:rsidR="00C46109">
        <w:t>is an immune-checkpoint recepto</w:t>
      </w:r>
      <w:r>
        <w:t>r that limits the activity of T </w:t>
      </w:r>
      <w:r w:rsidR="00C46109">
        <w:t xml:space="preserve">lymphocytes in peripheral tissues. The PD-1 pathway is an immune control checkpoint that may be engaged by tumour cells to inhibit active T-cell immune surveillance. Keytruda (pembrolizumab) is a high affinity antibody against PD-1, which exerts ligand blockade of the PD-1 </w:t>
      </w:r>
      <w:r>
        <w:t>pathway, including p</w:t>
      </w:r>
      <w:r w:rsidRPr="00774744">
        <w:t>rogrammed death-ligand</w:t>
      </w:r>
      <w:r>
        <w:t>s 1 and 2 (PD-L1 and PD</w:t>
      </w:r>
      <w:r>
        <w:noBreakHyphen/>
      </w:r>
      <w:r w:rsidR="00C46109">
        <w:t>L2</w:t>
      </w:r>
      <w:r>
        <w:t>)</w:t>
      </w:r>
      <w:r w:rsidR="00C46109">
        <w:t xml:space="preserve"> on antigen presenting or tumour cells. By inhibiting the PD-1 receptor from binding to its ligands, Keytruda reactivates tumour-specific cytotoxic T lymphocytes in the tumour microenvironment and reactivates anti-tumour immunity.</w:t>
      </w:r>
    </w:p>
    <w:p w14:paraId="0E0DA93D" w14:textId="4E2F1BEC" w:rsidR="00774744" w:rsidRPr="00900498" w:rsidRDefault="00774744" w:rsidP="00900498">
      <w:pPr>
        <w:rPr>
          <w:lang w:eastAsia="ja-JP"/>
        </w:rPr>
      </w:pPr>
      <w:r>
        <w:rPr>
          <w:lang w:eastAsia="ja-JP"/>
        </w:rPr>
        <w:lastRenderedPageBreak/>
        <w:t xml:space="preserve">The PD-1/PD-L1 inhibitors pembrolizumab (Keytruda), nivolumab, durvalumab, and atezolizumab are registered for advanced urothelial carcinoma (see </w:t>
      </w:r>
      <w:r w:rsidRPr="00774744">
        <w:rPr>
          <w:i/>
          <w:lang w:eastAsia="ja-JP"/>
        </w:rPr>
        <w:fldChar w:fldCharType="begin"/>
      </w:r>
      <w:r w:rsidRPr="00774744">
        <w:rPr>
          <w:i/>
          <w:lang w:eastAsia="ja-JP"/>
        </w:rPr>
        <w:instrText xml:space="preserve"> REF _Ref130539454 \h </w:instrText>
      </w:r>
      <w:r>
        <w:rPr>
          <w:i/>
          <w:lang w:eastAsia="ja-JP"/>
        </w:rPr>
        <w:instrText xml:space="preserve"> \* MERGEFORMAT </w:instrText>
      </w:r>
      <w:r w:rsidRPr="00774744">
        <w:rPr>
          <w:i/>
          <w:lang w:eastAsia="ja-JP"/>
        </w:rPr>
      </w:r>
      <w:r w:rsidRPr="00774744">
        <w:rPr>
          <w:i/>
          <w:lang w:eastAsia="ja-JP"/>
        </w:rPr>
        <w:fldChar w:fldCharType="separate"/>
      </w:r>
      <w:r w:rsidR="007F791A" w:rsidRPr="007F791A">
        <w:rPr>
          <w:i/>
        </w:rPr>
        <w:t>Regulatory status</w:t>
      </w:r>
      <w:r w:rsidRPr="00774744">
        <w:rPr>
          <w:i/>
          <w:lang w:eastAsia="ja-JP"/>
        </w:rPr>
        <w:fldChar w:fldCharType="end"/>
      </w:r>
      <w:r>
        <w:rPr>
          <w:lang w:eastAsia="ja-JP"/>
        </w:rPr>
        <w:t xml:space="preserve">, below). At the time of this submission, no PD-1/PD-L1 inhibitors are registered in Australia </w:t>
      </w:r>
      <w:r w:rsidR="00011518">
        <w:rPr>
          <w:lang w:eastAsia="ja-JP"/>
        </w:rPr>
        <w:t>for the treatment of</w:t>
      </w:r>
      <w:r>
        <w:rPr>
          <w:lang w:eastAsia="ja-JP"/>
        </w:rPr>
        <w:t xml:space="preserve"> </w:t>
      </w:r>
      <w:r w:rsidRPr="00224E30">
        <w:t>non-muscle invasive bladder cancer</w:t>
      </w:r>
      <w:r>
        <w:rPr>
          <w:lang w:eastAsia="ja-JP"/>
        </w:rPr>
        <w:t>.</w:t>
      </w:r>
    </w:p>
    <w:p w14:paraId="4C24E7EF" w14:textId="55BBF49D" w:rsidR="0068442B" w:rsidRDefault="00324B33" w:rsidP="005A7815">
      <w:pPr>
        <w:pStyle w:val="Heading3"/>
      </w:pPr>
      <w:bookmarkStart w:id="31" w:name="_Toc314842485"/>
      <w:bookmarkStart w:id="32" w:name="_Toc247691504"/>
      <w:bookmarkStart w:id="33" w:name="_Toc103679291"/>
      <w:bookmarkStart w:id="34" w:name="_Ref130539454"/>
      <w:bookmarkStart w:id="35" w:name="_Toc137117832"/>
      <w:r>
        <w:t>Regulatory status</w:t>
      </w:r>
      <w:bookmarkEnd w:id="31"/>
      <w:bookmarkEnd w:id="32"/>
      <w:bookmarkEnd w:id="33"/>
      <w:bookmarkEnd w:id="34"/>
      <w:bookmarkEnd w:id="35"/>
    </w:p>
    <w:p w14:paraId="21BBB0DA" w14:textId="5E661E1B" w:rsidR="0068442B" w:rsidRDefault="00FB155D" w:rsidP="0068442B">
      <w:r>
        <w:t>Keytruda (p</w:t>
      </w:r>
      <w:r w:rsidR="0068442B">
        <w:t>embrolizumab</w:t>
      </w:r>
      <w:r>
        <w:t>)</w:t>
      </w:r>
      <w:r w:rsidR="0068442B">
        <w:t xml:space="preserve"> was initially registered </w:t>
      </w:r>
      <w:r w:rsidR="0002280A">
        <w:t xml:space="preserve">on the </w:t>
      </w:r>
      <w:hyperlink r:id="rId22" w:history="1">
        <w:r w:rsidR="0002280A" w:rsidRPr="009108CE">
          <w:rPr>
            <w:rStyle w:val="Hyperlink"/>
          </w:rPr>
          <w:t>Australian Register of Therapeutic Goods</w:t>
        </w:r>
      </w:hyperlink>
      <w:r w:rsidR="0002280A">
        <w:t xml:space="preserve"> (</w:t>
      </w:r>
      <w:hyperlink r:id="rId23" w:history="1">
        <w:r w:rsidR="0002280A" w:rsidRPr="009108CE">
          <w:rPr>
            <w:rStyle w:val="Hyperlink"/>
          </w:rPr>
          <w:t>ARTG</w:t>
        </w:r>
      </w:hyperlink>
      <w:r w:rsidR="005A7815">
        <w:t>)</w:t>
      </w:r>
      <w:r w:rsidR="0068442B">
        <w:t xml:space="preserve"> for the treat</w:t>
      </w:r>
      <w:r>
        <w:t>ment of advanced melanoma on 16 April 2016.</w:t>
      </w:r>
      <w:r w:rsidR="00011518">
        <w:rPr>
          <w:rStyle w:val="FootnoteReference"/>
        </w:rPr>
        <w:footnoteReference w:id="20"/>
      </w:r>
    </w:p>
    <w:p w14:paraId="06CB6FB8" w14:textId="3B7DDC72" w:rsidR="00FB155D" w:rsidRDefault="00FB155D" w:rsidP="0068442B">
      <w:r>
        <w:t xml:space="preserve">Since </w:t>
      </w:r>
      <w:r w:rsidR="00F84CEB">
        <w:t>initial registration</w:t>
      </w:r>
      <w:r>
        <w:t xml:space="preserve"> </w:t>
      </w:r>
      <w:r w:rsidR="005A6E00">
        <w:t xml:space="preserve">many subsequent submissions to extend the indications of Keytruda (pembrolizumab) </w:t>
      </w:r>
      <w:r w:rsidR="00400AB0">
        <w:t xml:space="preserve">have been approved </w:t>
      </w:r>
      <w:r w:rsidR="007F13AC">
        <w:t>for the treatment of</w:t>
      </w:r>
      <w:r w:rsidR="005A6E00">
        <w:t xml:space="preserve"> </w:t>
      </w:r>
      <w:r w:rsidR="00400AB0">
        <w:t>range</w:t>
      </w:r>
      <w:r w:rsidR="005A6E00">
        <w:t xml:space="preserve"> of solid tumour and haematol</w:t>
      </w:r>
      <w:r w:rsidR="007F13AC">
        <w:t>ogical malignancies.</w:t>
      </w:r>
    </w:p>
    <w:p w14:paraId="18ED3094" w14:textId="0B8CDA17" w:rsidR="001F3B19" w:rsidRDefault="007F13AC" w:rsidP="001F3B19">
      <w:r>
        <w:t>Most closely related to this submission,</w:t>
      </w:r>
      <w:r w:rsidR="001F3B19">
        <w:t xml:space="preserve"> </w:t>
      </w:r>
      <w:r>
        <w:t>Keytruda (pembrolizumab) was approved</w:t>
      </w:r>
      <w:r w:rsidR="0002280A">
        <w:t xml:space="preserve"> in January 2018</w:t>
      </w:r>
      <w:r>
        <w:t xml:space="preserve"> for</w:t>
      </w:r>
      <w:r w:rsidR="001F3B19">
        <w:t xml:space="preserve"> use in more </w:t>
      </w:r>
      <w:r w:rsidR="002571B3">
        <w:t>severe presentations of bladder cancer, namely</w:t>
      </w:r>
      <w:r w:rsidR="001F3B19">
        <w:t xml:space="preserve"> </w:t>
      </w:r>
      <w:r>
        <w:t xml:space="preserve">locally advanced or metastatic urothelial carcinoma in patients </w:t>
      </w:r>
      <w:r w:rsidR="001F3B19">
        <w:t xml:space="preserve">who are ineligible for cisplatin-containing therapy, or as monotherapy in patients who have previously received </w:t>
      </w:r>
      <w:r w:rsidR="0002280A">
        <w:t>platinum</w:t>
      </w:r>
      <w:r w:rsidR="0002280A">
        <w:noBreakHyphen/>
      </w:r>
      <w:r w:rsidR="001F3B19">
        <w:t>containing chemotherapy.</w:t>
      </w:r>
      <w:r w:rsidR="00F84CEB">
        <w:rPr>
          <w:rStyle w:val="FootnoteReference"/>
        </w:rPr>
        <w:footnoteReference w:id="21"/>
      </w:r>
      <w:r w:rsidR="0002280A">
        <w:t xml:space="preserve"> The indications for use in advanced urothelial carcinoma that were approved at the time this submission was considered </w:t>
      </w:r>
      <w:r w:rsidR="00F84CEB">
        <w:t>were</w:t>
      </w:r>
      <w:r w:rsidR="0002280A">
        <w:t xml:space="preserve"> as follows:</w:t>
      </w:r>
    </w:p>
    <w:p w14:paraId="466669AA" w14:textId="77777777" w:rsidR="007F13AC" w:rsidRPr="00FB155D" w:rsidRDefault="007F13AC" w:rsidP="007F13AC">
      <w:pPr>
        <w:ind w:left="720"/>
        <w:rPr>
          <w:b/>
          <w:i/>
        </w:rPr>
      </w:pPr>
      <w:r w:rsidRPr="00FB155D">
        <w:rPr>
          <w:b/>
          <w:i/>
        </w:rPr>
        <w:t>Urothelial carcinoma</w:t>
      </w:r>
    </w:p>
    <w:p w14:paraId="61F07692" w14:textId="77777777" w:rsidR="007F13AC" w:rsidRPr="00FB155D" w:rsidRDefault="007F13AC" w:rsidP="007F13AC">
      <w:pPr>
        <w:ind w:left="720"/>
        <w:rPr>
          <w:i/>
        </w:rPr>
      </w:pPr>
      <w:r w:rsidRPr="00FB155D">
        <w:rPr>
          <w:i/>
        </w:rPr>
        <w:t>Keytruda (pembrolizumab) is indicated as monotherapy for the treatment of patients with locally advanced or metastatic urothelial carcinoma who are not eligible for cisplatin-containing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6101BABE" w14:textId="77777777" w:rsidR="007F13AC" w:rsidRPr="00FB155D" w:rsidRDefault="007F13AC" w:rsidP="007F13AC">
      <w:pPr>
        <w:ind w:left="720"/>
        <w:rPr>
          <w:i/>
        </w:rPr>
      </w:pPr>
      <w:r w:rsidRPr="00FB155D">
        <w:rPr>
          <w:i/>
        </w:rPr>
        <w:t>Keytruda (pembrolizumab) is indicated as monotherapy for the treatment of patients with locally advanced or metastatic urothelial carcinoma who have received platinum-containing chemotherapy.</w:t>
      </w:r>
    </w:p>
    <w:p w14:paraId="7A5F5459" w14:textId="555205E6" w:rsidR="007F13AC" w:rsidRDefault="00F84CEB" w:rsidP="0068442B">
      <w:r>
        <w:t>At the time the TGA made a</w:t>
      </w:r>
      <w:r w:rsidR="005A7815">
        <w:t xml:space="preserve"> regulatory </w:t>
      </w:r>
      <w:r w:rsidR="003F5B77">
        <w:t xml:space="preserve">decision </w:t>
      </w:r>
      <w:r>
        <w:t>for</w:t>
      </w:r>
      <w:r w:rsidR="005A7815">
        <w:t xml:space="preserve"> this submission (July 2021), the approved indications for Keytruda (pembrolizumab) for use in Australia were as follows:</w:t>
      </w:r>
    </w:p>
    <w:p w14:paraId="17DC8061" w14:textId="77777777" w:rsidR="0068442B" w:rsidRPr="00FB155D" w:rsidRDefault="0068442B" w:rsidP="00FB155D">
      <w:pPr>
        <w:ind w:left="720"/>
        <w:rPr>
          <w:b/>
          <w:i/>
        </w:rPr>
      </w:pPr>
      <w:r w:rsidRPr="00FB155D">
        <w:rPr>
          <w:b/>
          <w:i/>
        </w:rPr>
        <w:t>Melanoma</w:t>
      </w:r>
    </w:p>
    <w:p w14:paraId="0135BB38" w14:textId="16D9F3B5" w:rsidR="0068442B" w:rsidRPr="00FB155D" w:rsidRDefault="00FB155D" w:rsidP="00FB155D">
      <w:pPr>
        <w:ind w:left="720"/>
        <w:rPr>
          <w:i/>
        </w:rPr>
      </w:pPr>
      <w:r w:rsidRPr="00FB155D">
        <w:rPr>
          <w:i/>
        </w:rPr>
        <w:t xml:space="preserve">Keytruda </w:t>
      </w:r>
      <w:r w:rsidR="0068442B" w:rsidRPr="00FB155D">
        <w:rPr>
          <w:i/>
        </w:rPr>
        <w:t>(pembrolizumab) is indicated as monotherapy for the treatment of unresectable or metastatic melanoma in adults.</w:t>
      </w:r>
    </w:p>
    <w:p w14:paraId="055C0CBE" w14:textId="3C9054F8" w:rsidR="0068442B" w:rsidRDefault="00FB155D" w:rsidP="00FB155D">
      <w:pPr>
        <w:ind w:left="720"/>
        <w:rPr>
          <w:i/>
        </w:rPr>
      </w:pPr>
      <w:r w:rsidRPr="00FB155D">
        <w:rPr>
          <w:i/>
        </w:rPr>
        <w:t xml:space="preserve">Keytruda </w:t>
      </w:r>
      <w:r w:rsidR="0068442B" w:rsidRPr="00FB155D">
        <w:rPr>
          <w:i/>
        </w:rPr>
        <w:t>(pembrolizumab) is indicated as monotherapy for the adjuvant treatment of patients with melanoma with lymph node involvement who have undergone complete resection.</w:t>
      </w:r>
    </w:p>
    <w:p w14:paraId="78E9137A" w14:textId="3A9C9379" w:rsidR="00011518" w:rsidRDefault="009F55F2" w:rsidP="00011226">
      <w:r>
        <w:br w:type="page"/>
      </w:r>
    </w:p>
    <w:p w14:paraId="37618DBF" w14:textId="77777777" w:rsidR="0068442B" w:rsidRPr="00FB155D" w:rsidRDefault="0068442B" w:rsidP="00FB155D">
      <w:pPr>
        <w:ind w:left="720"/>
        <w:rPr>
          <w:b/>
          <w:i/>
        </w:rPr>
      </w:pPr>
      <w:r w:rsidRPr="00FB155D">
        <w:rPr>
          <w:b/>
          <w:i/>
        </w:rPr>
        <w:lastRenderedPageBreak/>
        <w:t>Non-small cell lung cancer (NSCLC)</w:t>
      </w:r>
    </w:p>
    <w:p w14:paraId="3487AA9E" w14:textId="5CDC00CD" w:rsidR="0068442B" w:rsidRPr="00FB155D" w:rsidRDefault="00FB155D" w:rsidP="00FB155D">
      <w:pPr>
        <w:ind w:left="720"/>
        <w:rPr>
          <w:i/>
        </w:rPr>
      </w:pPr>
      <w:r w:rsidRPr="00FB155D">
        <w:rPr>
          <w:i/>
        </w:rPr>
        <w:t xml:space="preserve">Keytruda </w:t>
      </w:r>
      <w:r w:rsidR="0068442B" w:rsidRPr="00FB155D">
        <w:rPr>
          <w:i/>
        </w:rPr>
        <w:t>(pembrolizumab), in combination with pemetrexed and platinum chemotherapy, for the first-line treatment of patients with metastatic non-squamous NSCLC, with no EGFR or ALK genomic tumour aberrations.</w:t>
      </w:r>
    </w:p>
    <w:p w14:paraId="53A93BE6" w14:textId="4408F98E" w:rsidR="0068442B" w:rsidRPr="00FB155D" w:rsidRDefault="00FB155D" w:rsidP="00FB155D">
      <w:pPr>
        <w:ind w:left="720"/>
        <w:rPr>
          <w:i/>
        </w:rPr>
      </w:pPr>
      <w:r w:rsidRPr="00FB155D">
        <w:rPr>
          <w:i/>
        </w:rPr>
        <w:t xml:space="preserve">Keytruda </w:t>
      </w:r>
      <w:r w:rsidR="0068442B" w:rsidRPr="00FB155D">
        <w:rPr>
          <w:i/>
        </w:rPr>
        <w:t>(pembrolizumab), in combination with carboplatin and either paclitaxel or nab-paclitaxel, for the first-line treatment of patients with metastatic squamous NSCLC.</w:t>
      </w:r>
    </w:p>
    <w:p w14:paraId="1E6BD1DB" w14:textId="0DA60452" w:rsidR="0068442B" w:rsidRPr="00FB155D" w:rsidRDefault="00FB155D" w:rsidP="00FB155D">
      <w:pPr>
        <w:ind w:left="720"/>
        <w:rPr>
          <w:i/>
        </w:rPr>
      </w:pPr>
      <w:r w:rsidRPr="00FB155D">
        <w:rPr>
          <w:i/>
        </w:rPr>
        <w:t xml:space="preserve">Keytruda </w:t>
      </w:r>
      <w:r w:rsidR="0068442B" w:rsidRPr="00FB155D">
        <w:rPr>
          <w:i/>
        </w:rPr>
        <w:t>(pembrolizumab) is indicated as monotherapy for the first-line treatment of patients with NSCLC expressing PD-L1 [tumour proportion score (TPS) ≥</w:t>
      </w:r>
      <w:r w:rsidR="003503D1">
        <w:rPr>
          <w:i/>
        </w:rPr>
        <w:t xml:space="preserve"> </w:t>
      </w:r>
      <w:r w:rsidR="0068442B" w:rsidRPr="00FB155D">
        <w:rPr>
          <w:i/>
        </w:rPr>
        <w:t>1%] as determined by a validated test, with no EGFR or ALK genomic tumour aberrations, and is</w:t>
      </w:r>
      <w:r>
        <w:rPr>
          <w:i/>
        </w:rPr>
        <w:t>:</w:t>
      </w:r>
    </w:p>
    <w:p w14:paraId="295E763B" w14:textId="1F2244ED" w:rsidR="0068442B" w:rsidRPr="00FB155D" w:rsidRDefault="00FB155D" w:rsidP="00FB155D">
      <w:pPr>
        <w:ind w:left="1440"/>
        <w:rPr>
          <w:i/>
        </w:rPr>
      </w:pPr>
      <w:r>
        <w:rPr>
          <w:i/>
        </w:rPr>
        <w:t xml:space="preserve">- </w:t>
      </w:r>
      <w:r w:rsidR="0068442B" w:rsidRPr="00FB155D">
        <w:rPr>
          <w:i/>
        </w:rPr>
        <w:t>stage III where patients are not candidates for surgical resection or definitive chemoradiation, or</w:t>
      </w:r>
    </w:p>
    <w:p w14:paraId="27EA8DB3" w14:textId="7516C5F2" w:rsidR="0068442B" w:rsidRPr="00FB155D" w:rsidRDefault="00FB155D" w:rsidP="00FB155D">
      <w:pPr>
        <w:ind w:left="720" w:firstLine="720"/>
        <w:rPr>
          <w:i/>
        </w:rPr>
      </w:pPr>
      <w:r>
        <w:rPr>
          <w:i/>
        </w:rPr>
        <w:t xml:space="preserve">- </w:t>
      </w:r>
      <w:r w:rsidR="0068442B" w:rsidRPr="00FB155D">
        <w:rPr>
          <w:i/>
        </w:rPr>
        <w:t>metastatic.</w:t>
      </w:r>
    </w:p>
    <w:p w14:paraId="6C4AE4D1" w14:textId="5E4B1C8F" w:rsidR="0068442B" w:rsidRPr="00FB155D" w:rsidRDefault="00FB155D" w:rsidP="00FB155D">
      <w:pPr>
        <w:ind w:left="720"/>
        <w:rPr>
          <w:i/>
        </w:rPr>
      </w:pPr>
      <w:r w:rsidRPr="00FB155D">
        <w:rPr>
          <w:i/>
        </w:rPr>
        <w:t xml:space="preserve">Keytruda </w:t>
      </w:r>
      <w:r w:rsidR="0068442B" w:rsidRPr="00FB155D">
        <w:rPr>
          <w:i/>
        </w:rPr>
        <w:t>(pembrolizumab)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w:t>
      </w:r>
      <w:r w:rsidRPr="00FB155D">
        <w:rPr>
          <w:i/>
        </w:rPr>
        <w:t xml:space="preserve"> Keytruda</w:t>
      </w:r>
      <w:r w:rsidR="0068442B" w:rsidRPr="00FB155D">
        <w:rPr>
          <w:i/>
        </w:rPr>
        <w:t>.</w:t>
      </w:r>
    </w:p>
    <w:p w14:paraId="10390922" w14:textId="77777777" w:rsidR="0068442B" w:rsidRPr="00FB155D" w:rsidRDefault="0068442B" w:rsidP="00FB155D">
      <w:pPr>
        <w:ind w:firstLine="720"/>
        <w:rPr>
          <w:b/>
          <w:i/>
        </w:rPr>
      </w:pPr>
      <w:r w:rsidRPr="00FB155D">
        <w:rPr>
          <w:b/>
          <w:i/>
        </w:rPr>
        <w:t>Head and neck squamous cell carcinoma (HNSCC)</w:t>
      </w:r>
    </w:p>
    <w:p w14:paraId="22646662" w14:textId="6808F5E6" w:rsidR="001F74D4" w:rsidRDefault="00FB155D">
      <w:pPr>
        <w:ind w:left="720"/>
        <w:rPr>
          <w:i/>
        </w:rPr>
      </w:pPr>
      <w:r w:rsidRPr="00FB155D">
        <w:rPr>
          <w:i/>
        </w:rPr>
        <w:t xml:space="preserve">Keytruda </w:t>
      </w:r>
      <w:r w:rsidR="0068442B" w:rsidRPr="00FB155D">
        <w:rPr>
          <w:i/>
        </w:rPr>
        <w:t>(pembrolizumab), as monotherapy or in combination with</w:t>
      </w:r>
      <w:r>
        <w:rPr>
          <w:i/>
        </w:rPr>
        <w:t xml:space="preserve"> platinum and 5-f</w:t>
      </w:r>
      <w:r w:rsidR="00BC5033">
        <w:rPr>
          <w:i/>
        </w:rPr>
        <w:t>l</w:t>
      </w:r>
      <w:r>
        <w:rPr>
          <w:i/>
        </w:rPr>
        <w:t>uorouracil (5</w:t>
      </w:r>
      <w:r>
        <w:rPr>
          <w:i/>
        </w:rPr>
        <w:noBreakHyphen/>
      </w:r>
      <w:r w:rsidR="0068442B" w:rsidRPr="00FB155D">
        <w:rPr>
          <w:i/>
        </w:rPr>
        <w:t>FU) chemotherapy, is indicated for the first-line treatment of patients with metastatic or unresectable recurrent HNSCC, and whose tumours express PD-L1 [</w:t>
      </w:r>
      <w:r>
        <w:rPr>
          <w:i/>
        </w:rPr>
        <w:t>Combined Positive Score (CPD) ≥ </w:t>
      </w:r>
      <w:r w:rsidR="0068442B" w:rsidRPr="00FB155D">
        <w:rPr>
          <w:i/>
        </w:rPr>
        <w:t>1] as determined by a validated test.</w:t>
      </w:r>
    </w:p>
    <w:p w14:paraId="2706C619" w14:textId="7091BF4A" w:rsidR="0068442B" w:rsidRDefault="001F74D4" w:rsidP="001F74D4">
      <w:pPr>
        <w:ind w:left="720"/>
      </w:pPr>
      <w:r>
        <w:t>Keytruda (pembrolizumab) is indicated as monotherapy for the treatment of patients with metastatic or unresectable recurrent HNSCC with disease progression on or after platinum containing chemotherapy and whose tumours express PD-L1 (Combined Positive Score (CPS) ≥ 1) as determined by a validated test.</w:t>
      </w:r>
    </w:p>
    <w:p w14:paraId="49EA83EC" w14:textId="77777777" w:rsidR="0068442B" w:rsidRPr="00FB155D" w:rsidRDefault="0068442B" w:rsidP="00FB155D">
      <w:pPr>
        <w:ind w:left="720"/>
        <w:rPr>
          <w:b/>
          <w:i/>
        </w:rPr>
      </w:pPr>
      <w:r w:rsidRPr="00FB155D">
        <w:rPr>
          <w:b/>
          <w:i/>
        </w:rPr>
        <w:t>Classical Hodgkin Lymphoma (</w:t>
      </w:r>
      <w:proofErr w:type="spellStart"/>
      <w:r w:rsidRPr="00FB155D">
        <w:rPr>
          <w:b/>
          <w:i/>
        </w:rPr>
        <w:t>cHL</w:t>
      </w:r>
      <w:proofErr w:type="spellEnd"/>
      <w:r w:rsidRPr="00FB155D">
        <w:rPr>
          <w:b/>
          <w:i/>
        </w:rPr>
        <w:t>)</w:t>
      </w:r>
    </w:p>
    <w:p w14:paraId="44D3E294" w14:textId="077B4956" w:rsidR="0068442B" w:rsidRPr="00FB155D" w:rsidRDefault="00FB155D" w:rsidP="00FB155D">
      <w:pPr>
        <w:ind w:left="720"/>
        <w:rPr>
          <w:i/>
        </w:rPr>
      </w:pPr>
      <w:r w:rsidRPr="00FB155D">
        <w:rPr>
          <w:i/>
        </w:rPr>
        <w:t>Keytruda</w:t>
      </w:r>
      <w:r w:rsidR="0068442B" w:rsidRPr="00FB155D">
        <w:rPr>
          <w:i/>
        </w:rPr>
        <w:t xml:space="preserve"> (pembrolizumab) is indicated as monotherapy for the treatment of adult patients with relapsed or refractory classical Hodgkin Lymphoma (</w:t>
      </w:r>
      <w:proofErr w:type="spellStart"/>
      <w:r w:rsidR="0068442B" w:rsidRPr="00FB155D">
        <w:rPr>
          <w:i/>
        </w:rPr>
        <w:t>cHL</w:t>
      </w:r>
      <w:proofErr w:type="spellEnd"/>
      <w:r w:rsidR="0068442B" w:rsidRPr="00FB155D">
        <w:rPr>
          <w:i/>
        </w:rPr>
        <w:t>):</w:t>
      </w:r>
    </w:p>
    <w:p w14:paraId="0FA82C8C" w14:textId="3ACE58D7" w:rsidR="0068442B" w:rsidRPr="00FB155D" w:rsidRDefault="009F55F2" w:rsidP="00011226">
      <w:pPr>
        <w:ind w:left="720" w:firstLine="720"/>
        <w:rPr>
          <w:i/>
        </w:rPr>
      </w:pPr>
      <w:r>
        <w:rPr>
          <w:i/>
        </w:rPr>
        <w:t xml:space="preserve">1. </w:t>
      </w:r>
      <w:r w:rsidR="0068442B" w:rsidRPr="00FB155D">
        <w:rPr>
          <w:i/>
        </w:rPr>
        <w:t>following autologous stem cell transplant (ASCT); or</w:t>
      </w:r>
    </w:p>
    <w:p w14:paraId="41C1B619" w14:textId="1932F33E" w:rsidR="0068442B" w:rsidRPr="00FB155D" w:rsidRDefault="009F55F2" w:rsidP="00011226">
      <w:pPr>
        <w:ind w:left="1440"/>
        <w:rPr>
          <w:i/>
        </w:rPr>
      </w:pPr>
      <w:r>
        <w:rPr>
          <w:i/>
        </w:rPr>
        <w:t xml:space="preserve">2. </w:t>
      </w:r>
      <w:r w:rsidR="0068442B" w:rsidRPr="00FB155D">
        <w:rPr>
          <w:i/>
        </w:rPr>
        <w:t>following at least two prior therapies when ASCT or multi-agent chemotherapy is not a treatment option.</w:t>
      </w:r>
    </w:p>
    <w:p w14:paraId="3F73C29C" w14:textId="32D4366D" w:rsidR="0068442B" w:rsidRDefault="0068442B" w:rsidP="00FB155D">
      <w:pPr>
        <w:ind w:left="720"/>
      </w:pPr>
      <w:r w:rsidRPr="00FB155D">
        <w:rPr>
          <w:i/>
        </w:rPr>
        <w:t xml:space="preserve">The approval of this indication is </w:t>
      </w:r>
      <w:proofErr w:type="gramStart"/>
      <w:r w:rsidRPr="00FB155D">
        <w:rPr>
          <w:i/>
        </w:rPr>
        <w:t>on the basis of</w:t>
      </w:r>
      <w:proofErr w:type="gramEnd"/>
      <w:r w:rsidRPr="00FB155D">
        <w:rPr>
          <w:i/>
        </w:rPr>
        <w:t xml:space="preserve"> objective response rate (ORR). See Section 5.1 </w:t>
      </w:r>
      <w:r w:rsidR="00FB155D" w:rsidRPr="00FB155D">
        <w:rPr>
          <w:i/>
        </w:rPr>
        <w:t xml:space="preserve">Pharmacodynamic Properties, </w:t>
      </w:r>
      <w:r w:rsidRPr="00FB155D">
        <w:rPr>
          <w:i/>
        </w:rPr>
        <w:t>Clinical Trials.</w:t>
      </w:r>
    </w:p>
    <w:p w14:paraId="56FDB93B" w14:textId="77777777" w:rsidR="0068442B" w:rsidRPr="00FB155D" w:rsidRDefault="0068442B" w:rsidP="00FB155D">
      <w:pPr>
        <w:ind w:left="720"/>
        <w:rPr>
          <w:b/>
          <w:i/>
        </w:rPr>
      </w:pPr>
      <w:r w:rsidRPr="00FB155D">
        <w:rPr>
          <w:b/>
          <w:i/>
        </w:rPr>
        <w:t>Primary mediastinal B-cell lymphoma (PMBCL)</w:t>
      </w:r>
    </w:p>
    <w:p w14:paraId="5EB7EF1D" w14:textId="1238C0ED" w:rsidR="0068442B" w:rsidRDefault="00FB155D" w:rsidP="00FB155D">
      <w:pPr>
        <w:ind w:left="720"/>
        <w:rPr>
          <w:i/>
        </w:rPr>
      </w:pPr>
      <w:r w:rsidRPr="00FB155D">
        <w:rPr>
          <w:i/>
        </w:rPr>
        <w:t xml:space="preserve">Keytruda </w:t>
      </w:r>
      <w:r w:rsidR="0068442B" w:rsidRPr="00FB155D">
        <w:rPr>
          <w:i/>
        </w:rPr>
        <w:t xml:space="preserve">(pembrolizumab) is indicated for the treatment of adult and paediatric patients with refractory primary mediastinal B-cell lymphoma (PMBCL), or who have relapsed after 2 or more prior lines of therapy. The approval of this indication is </w:t>
      </w:r>
      <w:proofErr w:type="gramStart"/>
      <w:r w:rsidR="0068442B" w:rsidRPr="00FB155D">
        <w:rPr>
          <w:i/>
        </w:rPr>
        <w:t>on the basis of</w:t>
      </w:r>
      <w:proofErr w:type="gramEnd"/>
      <w:r w:rsidR="0068442B" w:rsidRPr="00FB155D">
        <w:rPr>
          <w:i/>
        </w:rPr>
        <w:t xml:space="preserve"> objective response rate (ORR) and duration of response from non-randomised studies. See Section 5.1 </w:t>
      </w:r>
      <w:r w:rsidRPr="00FB155D">
        <w:rPr>
          <w:i/>
        </w:rPr>
        <w:t>Pharmacodynamic Properties</w:t>
      </w:r>
      <w:r w:rsidR="0068442B" w:rsidRPr="00FB155D">
        <w:rPr>
          <w:i/>
        </w:rPr>
        <w:t>, Clinical Trials.</w:t>
      </w:r>
    </w:p>
    <w:p w14:paraId="3E18CAD8" w14:textId="070A875B" w:rsidR="009F55F2" w:rsidRPr="00FB155D" w:rsidRDefault="009F55F2" w:rsidP="00011226">
      <w:pPr>
        <w:rPr>
          <w:i/>
        </w:rPr>
      </w:pPr>
      <w:r>
        <w:rPr>
          <w:i/>
        </w:rPr>
        <w:br w:type="page"/>
      </w:r>
    </w:p>
    <w:p w14:paraId="515D0DD7" w14:textId="77777777" w:rsidR="0068442B" w:rsidRPr="00FB155D" w:rsidRDefault="0068442B" w:rsidP="00FB155D">
      <w:pPr>
        <w:ind w:left="720"/>
        <w:rPr>
          <w:b/>
          <w:i/>
        </w:rPr>
      </w:pPr>
      <w:r w:rsidRPr="00FB155D">
        <w:rPr>
          <w:b/>
          <w:i/>
        </w:rPr>
        <w:lastRenderedPageBreak/>
        <w:t>Urothelial carcinoma</w:t>
      </w:r>
    </w:p>
    <w:p w14:paraId="79E8D6EE" w14:textId="26F8F710" w:rsidR="0068442B" w:rsidRPr="00FB155D" w:rsidRDefault="00FB155D" w:rsidP="00FB155D">
      <w:pPr>
        <w:ind w:left="720"/>
        <w:rPr>
          <w:i/>
        </w:rPr>
      </w:pPr>
      <w:r w:rsidRPr="00FB155D">
        <w:rPr>
          <w:i/>
        </w:rPr>
        <w:t>Keytruda</w:t>
      </w:r>
      <w:r w:rsidR="0068442B" w:rsidRPr="00FB155D">
        <w:rPr>
          <w:i/>
        </w:rPr>
        <w:t xml:space="preserve"> (pembrolizumab) is indicated as monotherapy for the treatment of patients with locally advanced or metastatic urothelial carcinoma who are not eligible for cisplatin-containing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748A62E4" w14:textId="4B202F3F" w:rsidR="0068442B" w:rsidRPr="00FB155D" w:rsidRDefault="00FB155D" w:rsidP="00FB155D">
      <w:pPr>
        <w:ind w:left="720"/>
        <w:rPr>
          <w:i/>
        </w:rPr>
      </w:pPr>
      <w:r w:rsidRPr="00FB155D">
        <w:rPr>
          <w:i/>
        </w:rPr>
        <w:t>Keytruda</w:t>
      </w:r>
      <w:r w:rsidR="0068442B" w:rsidRPr="00FB155D">
        <w:rPr>
          <w:i/>
        </w:rPr>
        <w:t xml:space="preserve"> (pembrolizumab) is indicated as monotherapy for the treatment of patients with locally advanced or metastatic urothelial carcinoma who have received platinum-containing chemotherapy.</w:t>
      </w:r>
    </w:p>
    <w:p w14:paraId="7C00BD89" w14:textId="77777777" w:rsidR="0068442B" w:rsidRPr="00FB155D" w:rsidRDefault="0068442B" w:rsidP="00FB155D">
      <w:pPr>
        <w:ind w:left="720"/>
        <w:rPr>
          <w:b/>
          <w:i/>
        </w:rPr>
      </w:pPr>
      <w:r w:rsidRPr="00FB155D">
        <w:rPr>
          <w:b/>
          <w:i/>
        </w:rPr>
        <w:t>Microsatellite instability-high cancer</w:t>
      </w:r>
    </w:p>
    <w:p w14:paraId="43742296" w14:textId="77777777" w:rsidR="0068442B" w:rsidRPr="00FB155D" w:rsidRDefault="0068442B" w:rsidP="00FB155D">
      <w:pPr>
        <w:ind w:left="720"/>
        <w:rPr>
          <w:b/>
          <w:i/>
        </w:rPr>
      </w:pPr>
      <w:r w:rsidRPr="00FB155D">
        <w:rPr>
          <w:b/>
          <w:i/>
        </w:rPr>
        <w:t>Colorectal (previously untreated)</w:t>
      </w:r>
    </w:p>
    <w:p w14:paraId="595FAB08" w14:textId="6C5529F7" w:rsidR="0068442B" w:rsidRPr="00FB155D" w:rsidRDefault="00FB155D" w:rsidP="00FB155D">
      <w:pPr>
        <w:ind w:left="720"/>
        <w:rPr>
          <w:i/>
        </w:rPr>
      </w:pPr>
      <w:r w:rsidRPr="00FB155D">
        <w:rPr>
          <w:i/>
        </w:rPr>
        <w:t xml:space="preserve">Keytruda </w:t>
      </w:r>
      <w:r w:rsidR="0068442B" w:rsidRPr="00FB155D">
        <w:rPr>
          <w:i/>
        </w:rPr>
        <w:t xml:space="preserve">(pembrolizumab) is indicated for the first-line treatment of patients with unresectable or metastatic colorectal cancer (CRC) that is MSI-H or </w:t>
      </w:r>
      <w:proofErr w:type="spellStart"/>
      <w:r w:rsidR="0068442B" w:rsidRPr="00FB155D">
        <w:rPr>
          <w:i/>
        </w:rPr>
        <w:t>dMMR</w:t>
      </w:r>
      <w:proofErr w:type="spellEnd"/>
      <w:r w:rsidR="0068442B" w:rsidRPr="00FB155D">
        <w:rPr>
          <w:i/>
        </w:rPr>
        <w:t xml:space="preserve"> as determined by a validated test.</w:t>
      </w:r>
    </w:p>
    <w:p w14:paraId="46314A3E" w14:textId="77777777" w:rsidR="0068442B" w:rsidRPr="00FB155D" w:rsidRDefault="0068442B" w:rsidP="00FB155D">
      <w:pPr>
        <w:ind w:left="720"/>
        <w:rPr>
          <w:b/>
          <w:i/>
        </w:rPr>
      </w:pPr>
      <w:r w:rsidRPr="00FB155D">
        <w:rPr>
          <w:b/>
          <w:i/>
        </w:rPr>
        <w:t>Colorectal (previously treated)</w:t>
      </w:r>
    </w:p>
    <w:p w14:paraId="6BF9FB6C" w14:textId="77652A4E" w:rsidR="0068442B" w:rsidRPr="00FB155D" w:rsidRDefault="00FB155D" w:rsidP="00FB155D">
      <w:pPr>
        <w:ind w:left="720"/>
        <w:rPr>
          <w:i/>
        </w:rPr>
      </w:pPr>
      <w:r w:rsidRPr="00FB155D">
        <w:rPr>
          <w:i/>
        </w:rPr>
        <w:t xml:space="preserve">Keytruda </w:t>
      </w:r>
      <w:r w:rsidR="0068442B" w:rsidRPr="00FB155D">
        <w:rPr>
          <w:i/>
        </w:rPr>
        <w:t>(pembrolizumab) is indicated in adult and paediatric patients for the treatment of unresectable or metastatic, microsatellite instability-high (MSI-H) or mismatch repair deficient (</w:t>
      </w:r>
      <w:proofErr w:type="spellStart"/>
      <w:r w:rsidR="0068442B" w:rsidRPr="00FB155D">
        <w:rPr>
          <w:i/>
        </w:rPr>
        <w:t>dMMR</w:t>
      </w:r>
      <w:proofErr w:type="spellEnd"/>
      <w:r w:rsidR="0068442B" w:rsidRPr="00FB155D">
        <w:rPr>
          <w:i/>
        </w:rPr>
        <w:t>) colorectal cancer that has progressed following treatment with a fluoropyrimidine, oxaliplatin, and irinotecan. This indication was approved via the provisional approval pathway, based on objective response rate and response duration in single-arm trials. Continued approval for this indication depends on verification and description of clinical benefit in the confirmatory trials.</w:t>
      </w:r>
    </w:p>
    <w:p w14:paraId="702F4256" w14:textId="77777777" w:rsidR="0068442B" w:rsidRPr="00FB155D" w:rsidRDefault="0068442B" w:rsidP="00FB155D">
      <w:pPr>
        <w:ind w:left="720"/>
        <w:rPr>
          <w:b/>
          <w:i/>
        </w:rPr>
      </w:pPr>
      <w:r w:rsidRPr="00FB155D">
        <w:rPr>
          <w:b/>
          <w:i/>
        </w:rPr>
        <w:t>Non-colorectal</w:t>
      </w:r>
    </w:p>
    <w:p w14:paraId="6010D0DB" w14:textId="1FF45503" w:rsidR="0068442B" w:rsidRPr="00FB155D" w:rsidRDefault="00FB155D" w:rsidP="00FB155D">
      <w:pPr>
        <w:ind w:left="720"/>
        <w:rPr>
          <w:i/>
        </w:rPr>
      </w:pPr>
      <w:r w:rsidRPr="00FB155D">
        <w:rPr>
          <w:i/>
        </w:rPr>
        <w:t xml:space="preserve">Keytruda </w:t>
      </w:r>
      <w:r w:rsidR="0068442B" w:rsidRPr="00FB155D">
        <w:rPr>
          <w:i/>
        </w:rPr>
        <w:t>(pembrolizumab) is indicated in adult and paediatric patients for the treatment of unresectable or metastatic, microsatellite instability-high (MSI-H) or mismatch repair deficient (</w:t>
      </w:r>
      <w:proofErr w:type="spellStart"/>
      <w:r w:rsidR="0068442B" w:rsidRPr="00FB155D">
        <w:rPr>
          <w:i/>
        </w:rPr>
        <w:t>dMMR</w:t>
      </w:r>
      <w:proofErr w:type="spellEnd"/>
      <w:r w:rsidR="0068442B" w:rsidRPr="00FB155D">
        <w:rPr>
          <w:i/>
        </w:rPr>
        <w:t>) tumours that have progressed following prior treatment and when there are no satisfactory alternative treatment options. This indication was approved via the provisional approval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0068442B" w:rsidRPr="00FB155D">
        <w:rPr>
          <w:i/>
        </w:rPr>
        <w:t>dMMR</w:t>
      </w:r>
      <w:proofErr w:type="spellEnd"/>
      <w:r w:rsidR="0068442B" w:rsidRPr="00FB155D">
        <w:rPr>
          <w:i/>
        </w:rPr>
        <w:t xml:space="preserve"> tests for each of the tissue types, individually. The assumption that MSI-H/</w:t>
      </w:r>
      <w:proofErr w:type="spellStart"/>
      <w:r w:rsidR="0068442B" w:rsidRPr="00FB155D">
        <w:rPr>
          <w:i/>
        </w:rPr>
        <w:t>dMMR</w:t>
      </w:r>
      <w:proofErr w:type="spellEnd"/>
      <w:r w:rsidR="0068442B" w:rsidRPr="00FB155D">
        <w:rPr>
          <w:i/>
        </w:rPr>
        <w:t xml:space="preserve">-status is predictive of the treatment effect of </w:t>
      </w:r>
      <w:r w:rsidRPr="00FB155D">
        <w:rPr>
          <w:i/>
        </w:rPr>
        <w:t xml:space="preserve">Keytruda </w:t>
      </w:r>
      <w:r w:rsidR="0068442B" w:rsidRPr="00FB155D">
        <w:rPr>
          <w:i/>
        </w:rPr>
        <w:t>for every tissue type has not been verified. Continued approval for this indication depends on verification and description of clinical benefit in the confirmatory trials.</w:t>
      </w:r>
    </w:p>
    <w:p w14:paraId="002945E4" w14:textId="41EEE5D0" w:rsidR="0068442B" w:rsidRPr="00FB155D" w:rsidRDefault="0068442B" w:rsidP="00FB155D">
      <w:pPr>
        <w:ind w:left="720"/>
        <w:rPr>
          <w:i/>
        </w:rPr>
      </w:pPr>
      <w:r w:rsidRPr="00FB155D">
        <w:rPr>
          <w:i/>
        </w:rPr>
        <w:t xml:space="preserve">The safety and effectiveness of </w:t>
      </w:r>
      <w:r w:rsidR="00FB155D" w:rsidRPr="00FB155D">
        <w:rPr>
          <w:i/>
        </w:rPr>
        <w:t xml:space="preserve">Keytruda </w:t>
      </w:r>
      <w:r w:rsidRPr="00FB155D">
        <w:rPr>
          <w:i/>
        </w:rPr>
        <w:t>in paediatric patients with MSI-H central nervous system cancers have not been established.</w:t>
      </w:r>
    </w:p>
    <w:p w14:paraId="4A6AF79F" w14:textId="77777777" w:rsidR="0068442B" w:rsidRPr="00FB155D" w:rsidRDefault="0068442B" w:rsidP="00FB155D">
      <w:pPr>
        <w:ind w:left="720"/>
        <w:rPr>
          <w:b/>
          <w:i/>
        </w:rPr>
      </w:pPr>
      <w:r w:rsidRPr="00FB155D">
        <w:rPr>
          <w:b/>
          <w:i/>
        </w:rPr>
        <w:t>Endometrial carcinoma</w:t>
      </w:r>
    </w:p>
    <w:p w14:paraId="04AA66A8" w14:textId="52C3E50F" w:rsidR="0068442B" w:rsidRPr="00FB155D" w:rsidRDefault="00FB155D" w:rsidP="00FB155D">
      <w:pPr>
        <w:ind w:left="720"/>
        <w:rPr>
          <w:i/>
        </w:rPr>
      </w:pPr>
      <w:r w:rsidRPr="00FB155D">
        <w:rPr>
          <w:i/>
        </w:rPr>
        <w:t xml:space="preserve">Keytruda </w:t>
      </w:r>
      <w:r w:rsidR="0068442B" w:rsidRPr="00FB155D">
        <w:rPr>
          <w:i/>
        </w:rPr>
        <w:t xml:space="preserve">(pembrolizumab) in combination with </w:t>
      </w:r>
      <w:proofErr w:type="spellStart"/>
      <w:r w:rsidR="0068442B" w:rsidRPr="00FB155D">
        <w:rPr>
          <w:i/>
        </w:rPr>
        <w:t>lenvatinib</w:t>
      </w:r>
      <w:proofErr w:type="spellEnd"/>
      <w:r w:rsidR="0068442B" w:rsidRPr="00FB155D">
        <w:rPr>
          <w:i/>
        </w:rPr>
        <w:t xml:space="preserve">, is indicated for the treatment of patients with advanced endometrial carcinoma that is not MSI-H or </w:t>
      </w:r>
      <w:proofErr w:type="spellStart"/>
      <w:r w:rsidR="0068442B" w:rsidRPr="00FB155D">
        <w:rPr>
          <w:i/>
        </w:rPr>
        <w:t>dMMR</w:t>
      </w:r>
      <w:proofErr w:type="spellEnd"/>
      <w:r w:rsidR="0068442B" w:rsidRPr="00FB155D">
        <w:rPr>
          <w:i/>
        </w:rPr>
        <w:t xml:space="preserve">, who have disease progression following prior systemic therapy and are not candidates for curative surgery or radiation. This indication was approved via the provisional approval pathway, based on objective response rate and duration of response in a single-arm trial. Full </w:t>
      </w:r>
      <w:r w:rsidR="0068442B" w:rsidRPr="00FB155D">
        <w:rPr>
          <w:i/>
        </w:rPr>
        <w:lastRenderedPageBreak/>
        <w:t>registration for this indication depends on verification and description of clinical benefit in confirmatory trials.</w:t>
      </w:r>
    </w:p>
    <w:p w14:paraId="1830FF5E" w14:textId="77777777" w:rsidR="0068442B" w:rsidRPr="00FB155D" w:rsidRDefault="0068442B" w:rsidP="00FB155D">
      <w:pPr>
        <w:ind w:left="720"/>
        <w:rPr>
          <w:b/>
          <w:i/>
        </w:rPr>
      </w:pPr>
      <w:r w:rsidRPr="00FB155D">
        <w:rPr>
          <w:b/>
          <w:i/>
        </w:rPr>
        <w:t>Renal Cell Carcinoma (RCC)</w:t>
      </w:r>
    </w:p>
    <w:p w14:paraId="2AC185CD" w14:textId="6570F7D8" w:rsidR="0068442B" w:rsidRPr="00FB155D" w:rsidRDefault="00FB155D" w:rsidP="00FB155D">
      <w:pPr>
        <w:ind w:left="720"/>
        <w:rPr>
          <w:i/>
        </w:rPr>
      </w:pPr>
      <w:r w:rsidRPr="00FB155D">
        <w:rPr>
          <w:i/>
        </w:rPr>
        <w:t>Keytruda</w:t>
      </w:r>
      <w:r w:rsidR="0068442B" w:rsidRPr="00FB155D">
        <w:rPr>
          <w:i/>
        </w:rPr>
        <w:t xml:space="preserve"> (pembrolizumab), in combination with </w:t>
      </w:r>
      <w:proofErr w:type="spellStart"/>
      <w:r w:rsidR="0068442B" w:rsidRPr="00FB155D">
        <w:rPr>
          <w:i/>
        </w:rPr>
        <w:t>axitinib</w:t>
      </w:r>
      <w:proofErr w:type="spellEnd"/>
      <w:r w:rsidR="0068442B" w:rsidRPr="00FB155D">
        <w:rPr>
          <w:i/>
        </w:rPr>
        <w:t>, is indicated for the first-line treatment of patients with advanced renal cell carcinoma (RCC).</w:t>
      </w:r>
    </w:p>
    <w:p w14:paraId="24DA9EDB" w14:textId="77777777" w:rsidR="0068442B" w:rsidRDefault="0068442B" w:rsidP="00400AB0">
      <w:pPr>
        <w:pStyle w:val="Heading4"/>
      </w:pPr>
      <w:bookmarkStart w:id="36" w:name="_Toc137117833"/>
      <w:r>
        <w:t>International regulatory status</w:t>
      </w:r>
      <w:bookmarkEnd w:id="36"/>
    </w:p>
    <w:p w14:paraId="7C67EF0A" w14:textId="72B4996F" w:rsidR="00400AB0" w:rsidRDefault="00324B33" w:rsidP="00324B33">
      <w:r>
        <w:t>At the time the TGA considered this subm</w:t>
      </w:r>
      <w:r w:rsidR="00400AB0">
        <w:t>ission,</w:t>
      </w:r>
      <w:r>
        <w:t xml:space="preserve"> simila</w:t>
      </w:r>
      <w:r w:rsidR="00400AB0">
        <w:t>r submissions had been approved</w:t>
      </w:r>
      <w:r>
        <w:t xml:space="preserve"> in </w:t>
      </w:r>
      <w:r w:rsidR="00400AB0">
        <w:t>the United States of America (USA) on 8 January 2020 and in Canada on 14 December 2020.</w:t>
      </w:r>
    </w:p>
    <w:p w14:paraId="733D9514" w14:textId="57148FE3" w:rsidR="00400AB0" w:rsidRDefault="00400AB0" w:rsidP="00324B33">
      <w:r>
        <w:t>Of note, the submission to the US Food and Drug Administration</w:t>
      </w:r>
      <w:r w:rsidR="003503D1">
        <w:t xml:space="preserve"> (FDA)</w:t>
      </w:r>
      <w:r w:rsidR="009F55F2">
        <w:t xml:space="preserve"> </w:t>
      </w:r>
      <w:r w:rsidRPr="00400AB0">
        <w:t xml:space="preserve">was the subject of a meeting of the </w:t>
      </w:r>
      <w:r w:rsidR="009F55F2">
        <w:t xml:space="preserve">US </w:t>
      </w:r>
      <w:r w:rsidRPr="00400AB0">
        <w:t xml:space="preserve">Oncologic Drugs Advisory Committee on </w:t>
      </w:r>
      <w:r>
        <w:t xml:space="preserve">17 December </w:t>
      </w:r>
      <w:r w:rsidRPr="00400AB0">
        <w:t>2019 that recommended its approval. The minutes from this meeting are publicly available.</w:t>
      </w:r>
      <w:bookmarkStart w:id="37" w:name="_Ref130383502"/>
      <w:r>
        <w:rPr>
          <w:rStyle w:val="FootnoteReference"/>
        </w:rPr>
        <w:footnoteReference w:id="22"/>
      </w:r>
      <w:bookmarkEnd w:id="37"/>
    </w:p>
    <w:p w14:paraId="2CBCD6AA" w14:textId="4AE0E289" w:rsidR="00400AB0" w:rsidRDefault="00400AB0" w:rsidP="00400AB0">
      <w:r>
        <w:t>Numerous other indications have been approved in both the USA and the European Union (EU), however during this submission, the sponsor has said it has no plans for a similar submission</w:t>
      </w:r>
      <w:r w:rsidR="009F55F2">
        <w:t xml:space="preserve"> in the EU as the current one as discussed in this AusPAR</w:t>
      </w:r>
      <w:r>
        <w:t>.</w:t>
      </w:r>
    </w:p>
    <w:p w14:paraId="1B9AB90D" w14:textId="3E8AA98C" w:rsidR="00324B33" w:rsidRDefault="00324B33" w:rsidP="00324B33">
      <w:r>
        <w:t>The following table summarises these submissions and provides the indications where approved.</w:t>
      </w:r>
    </w:p>
    <w:p w14:paraId="19B9E0AC" w14:textId="7341640D" w:rsidR="00324B33" w:rsidRDefault="00324B33" w:rsidP="00324B33">
      <w:pPr>
        <w:pStyle w:val="TableTitle0"/>
      </w:pPr>
      <w:bookmarkStart w:id="38" w:name="_Ref99705479"/>
      <w:r>
        <w:t xml:space="preserve">Table </w:t>
      </w:r>
      <w:r w:rsidR="00B82441">
        <w:fldChar w:fldCharType="begin"/>
      </w:r>
      <w:r w:rsidR="00B82441">
        <w:instrText xml:space="preserve"> SEQ Table \* ARABIC </w:instrText>
      </w:r>
      <w:r w:rsidR="00B82441">
        <w:fldChar w:fldCharType="separate"/>
      </w:r>
      <w:r w:rsidR="007F791A">
        <w:rPr>
          <w:noProof/>
        </w:rPr>
        <w:t>3</w:t>
      </w:r>
      <w:r w:rsidR="00B82441">
        <w:rPr>
          <w:noProof/>
        </w:rPr>
        <w:fldChar w:fldCharType="end"/>
      </w:r>
      <w:bookmarkEnd w:id="38"/>
      <w:r>
        <w:t>: International regulatory status</w:t>
      </w:r>
    </w:p>
    <w:tbl>
      <w:tblPr>
        <w:tblStyle w:val="TableTGAblue2023"/>
        <w:tblW w:w="0" w:type="auto"/>
        <w:tblLook w:val="04A0" w:firstRow="1" w:lastRow="0" w:firstColumn="1" w:lastColumn="0" w:noHBand="0" w:noVBand="1"/>
      </w:tblPr>
      <w:tblGrid>
        <w:gridCol w:w="1287"/>
        <w:gridCol w:w="1576"/>
        <w:gridCol w:w="1787"/>
        <w:gridCol w:w="4410"/>
      </w:tblGrid>
      <w:tr w:rsidR="00324B33" w14:paraId="405E5D78" w14:textId="16839333" w:rsidTr="007D7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E74B5" w:themeFill="accent5" w:themeFillShade="BF"/>
          </w:tcPr>
          <w:p w14:paraId="185B099B" w14:textId="7A4C0E6C" w:rsidR="00324B33" w:rsidRPr="003503D1" w:rsidRDefault="00324B33" w:rsidP="00324B33">
            <w:pPr>
              <w:rPr>
                <w:color w:val="FFFFFF" w:themeColor="background1"/>
              </w:rPr>
            </w:pPr>
            <w:r w:rsidRPr="003503D1">
              <w:rPr>
                <w:color w:val="FFFFFF" w:themeColor="background1"/>
              </w:rPr>
              <w:t>Region</w:t>
            </w:r>
          </w:p>
        </w:tc>
        <w:tc>
          <w:tcPr>
            <w:tcW w:w="0" w:type="auto"/>
            <w:shd w:val="clear" w:color="auto" w:fill="2E74B5" w:themeFill="accent5" w:themeFillShade="BF"/>
          </w:tcPr>
          <w:p w14:paraId="778C35C7" w14:textId="52D23C85" w:rsidR="00324B33" w:rsidRPr="003503D1" w:rsidRDefault="00324B33" w:rsidP="00324B3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503D1">
              <w:rPr>
                <w:color w:val="FFFFFF" w:themeColor="background1"/>
              </w:rPr>
              <w:t>Submission date</w:t>
            </w:r>
          </w:p>
        </w:tc>
        <w:tc>
          <w:tcPr>
            <w:tcW w:w="0" w:type="auto"/>
            <w:shd w:val="clear" w:color="auto" w:fill="2E74B5" w:themeFill="accent5" w:themeFillShade="BF"/>
          </w:tcPr>
          <w:p w14:paraId="58F81584" w14:textId="66689ABF" w:rsidR="00324B33" w:rsidRPr="003503D1" w:rsidRDefault="00324B33" w:rsidP="00324B3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503D1">
              <w:rPr>
                <w:color w:val="FFFFFF" w:themeColor="background1"/>
              </w:rPr>
              <w:t>Status</w:t>
            </w:r>
          </w:p>
        </w:tc>
        <w:tc>
          <w:tcPr>
            <w:tcW w:w="0" w:type="auto"/>
            <w:shd w:val="clear" w:color="auto" w:fill="2E74B5" w:themeFill="accent5" w:themeFillShade="BF"/>
          </w:tcPr>
          <w:p w14:paraId="50B2D435" w14:textId="560588D2" w:rsidR="00324B33" w:rsidRPr="003503D1" w:rsidRDefault="00324B33" w:rsidP="00324B3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503D1">
              <w:rPr>
                <w:color w:val="FFFFFF" w:themeColor="background1"/>
              </w:rPr>
              <w:t>Approved indications</w:t>
            </w:r>
          </w:p>
        </w:tc>
      </w:tr>
      <w:tr w:rsidR="00324B33" w14:paraId="38D24E86" w14:textId="77777777" w:rsidTr="007D7FDD">
        <w:tc>
          <w:tcPr>
            <w:cnfStyle w:val="001000000000" w:firstRow="0" w:lastRow="0" w:firstColumn="1" w:lastColumn="0" w:oddVBand="0" w:evenVBand="0" w:oddHBand="0" w:evenHBand="0" w:firstRowFirstColumn="0" w:firstRowLastColumn="0" w:lastRowFirstColumn="0" w:lastRowLastColumn="0"/>
            <w:tcW w:w="0" w:type="auto"/>
          </w:tcPr>
          <w:p w14:paraId="4C540DE5" w14:textId="75E52C3B" w:rsidR="00324B33" w:rsidRDefault="00E81A91" w:rsidP="00324B33">
            <w:r>
              <w:t>United States of America</w:t>
            </w:r>
          </w:p>
        </w:tc>
        <w:tc>
          <w:tcPr>
            <w:tcW w:w="0" w:type="auto"/>
          </w:tcPr>
          <w:p w14:paraId="4FA5DDA9" w14:textId="7020EE41" w:rsidR="00324B33" w:rsidRDefault="00E81A91" w:rsidP="00324B33">
            <w:pPr>
              <w:cnfStyle w:val="000000000000" w:firstRow="0" w:lastRow="0" w:firstColumn="0" w:lastColumn="0" w:oddVBand="0" w:evenVBand="0" w:oddHBand="0" w:evenHBand="0" w:firstRowFirstColumn="0" w:firstRowLastColumn="0" w:lastRowFirstColumn="0" w:lastRowLastColumn="0"/>
            </w:pPr>
            <w:r>
              <w:t>8 July 2019</w:t>
            </w:r>
          </w:p>
        </w:tc>
        <w:tc>
          <w:tcPr>
            <w:tcW w:w="0" w:type="auto"/>
          </w:tcPr>
          <w:p w14:paraId="29358393" w14:textId="723B9D8F" w:rsidR="00324B33" w:rsidRDefault="00E81A91" w:rsidP="00324B33">
            <w:pPr>
              <w:cnfStyle w:val="000000000000" w:firstRow="0" w:lastRow="0" w:firstColumn="0" w:lastColumn="0" w:oddVBand="0" w:evenVBand="0" w:oddHBand="0" w:evenHBand="0" w:firstRowFirstColumn="0" w:firstRowLastColumn="0" w:lastRowFirstColumn="0" w:lastRowLastColumn="0"/>
            </w:pPr>
            <w:r>
              <w:t>Approved on</w:t>
            </w:r>
            <w:r>
              <w:br/>
              <w:t>8 January 2020</w:t>
            </w:r>
          </w:p>
        </w:tc>
        <w:tc>
          <w:tcPr>
            <w:tcW w:w="0" w:type="auto"/>
          </w:tcPr>
          <w:p w14:paraId="76204B82" w14:textId="5E776C7D" w:rsidR="00E81A91" w:rsidRPr="0068442B" w:rsidRDefault="00E81A91" w:rsidP="0068442B">
            <w:pPr>
              <w:cnfStyle w:val="000000000000" w:firstRow="0" w:lastRow="0" w:firstColumn="0" w:lastColumn="0" w:oddVBand="0" w:evenVBand="0" w:oddHBand="0" w:evenHBand="0" w:firstRowFirstColumn="0" w:firstRowLastColumn="0" w:lastRowFirstColumn="0" w:lastRowLastColumn="0"/>
              <w:rPr>
                <w:i/>
              </w:rPr>
            </w:pPr>
            <w:r w:rsidRPr="0068442B">
              <w:rPr>
                <w:i/>
              </w:rPr>
              <w:t xml:space="preserve">Keytruda is indicated for the treatment of patients with Bacillus Calmette-Guerin (BCG)-unresponsive, high-risk, non-muscle invasive bladder cancer (NMIBC) with carcinoma in situ (CIS) with or without papillary </w:t>
            </w:r>
            <w:proofErr w:type="spellStart"/>
            <w:r w:rsidRPr="0068442B">
              <w:rPr>
                <w:i/>
              </w:rPr>
              <w:t>tumors</w:t>
            </w:r>
            <w:proofErr w:type="spellEnd"/>
            <w:r w:rsidRPr="0068442B">
              <w:rPr>
                <w:i/>
              </w:rPr>
              <w:t xml:space="preserve"> who are ineligible for</w:t>
            </w:r>
            <w:r w:rsidR="0068442B" w:rsidRPr="0068442B">
              <w:rPr>
                <w:i/>
              </w:rPr>
              <w:t xml:space="preserve"> or have elected not to undergo </w:t>
            </w:r>
            <w:r w:rsidRPr="0068442B">
              <w:rPr>
                <w:i/>
              </w:rPr>
              <w:t>cystectomy.</w:t>
            </w:r>
          </w:p>
          <w:p w14:paraId="05055674" w14:textId="717B1A73" w:rsidR="00324B33" w:rsidRPr="00D96526" w:rsidRDefault="0068442B" w:rsidP="0068442B">
            <w:pPr>
              <w:cnfStyle w:val="000000000000" w:firstRow="0" w:lastRow="0" w:firstColumn="0" w:lastColumn="0" w:oddVBand="0" w:evenVBand="0" w:oddHBand="0" w:evenHBand="0" w:firstRowFirstColumn="0" w:firstRowLastColumn="0" w:lastRowFirstColumn="0" w:lastRowLastColumn="0"/>
              <w:rPr>
                <w:vertAlign w:val="superscript"/>
              </w:rPr>
            </w:pPr>
            <w:r>
              <w:t xml:space="preserve">The US FDA granted Priority Review Designation for this </w:t>
            </w:r>
            <w:proofErr w:type="gramStart"/>
            <w:r w:rsidR="00E81A91">
              <w:t>indication.</w:t>
            </w:r>
            <w:r w:rsidR="00D96526">
              <w:rPr>
                <w:vertAlign w:val="superscript"/>
              </w:rPr>
              <w:t>(</w:t>
            </w:r>
            <w:proofErr w:type="gramEnd"/>
            <w:r w:rsidR="00D96526">
              <w:rPr>
                <w:vertAlign w:val="superscript"/>
              </w:rPr>
              <w:t>a)</w:t>
            </w:r>
          </w:p>
        </w:tc>
      </w:tr>
      <w:tr w:rsidR="0068442B" w14:paraId="22C4A299" w14:textId="77777777" w:rsidTr="007D7FDD">
        <w:tc>
          <w:tcPr>
            <w:cnfStyle w:val="001000000000" w:firstRow="0" w:lastRow="0" w:firstColumn="1" w:lastColumn="0" w:oddVBand="0" w:evenVBand="0" w:oddHBand="0" w:evenHBand="0" w:firstRowFirstColumn="0" w:firstRowLastColumn="0" w:lastRowFirstColumn="0" w:lastRowLastColumn="0"/>
            <w:tcW w:w="0" w:type="auto"/>
          </w:tcPr>
          <w:p w14:paraId="658E833F" w14:textId="305F9144" w:rsidR="0068442B" w:rsidRDefault="0068442B" w:rsidP="00324B33">
            <w:r>
              <w:t>Canada</w:t>
            </w:r>
          </w:p>
        </w:tc>
        <w:tc>
          <w:tcPr>
            <w:tcW w:w="0" w:type="auto"/>
          </w:tcPr>
          <w:p w14:paraId="274DECE4" w14:textId="6FEB88A7" w:rsidR="0068442B" w:rsidRDefault="0068442B" w:rsidP="00011226">
            <w:pPr>
              <w:ind w:left="0"/>
              <w:cnfStyle w:val="000000000000" w:firstRow="0" w:lastRow="0" w:firstColumn="0" w:lastColumn="0" w:oddVBand="0" w:evenVBand="0" w:oddHBand="0" w:evenHBand="0" w:firstRowFirstColumn="0" w:firstRowLastColumn="0" w:lastRowFirstColumn="0" w:lastRowLastColumn="0"/>
            </w:pPr>
            <w:r>
              <w:t>3 March 2020</w:t>
            </w:r>
          </w:p>
        </w:tc>
        <w:tc>
          <w:tcPr>
            <w:tcW w:w="0" w:type="auto"/>
          </w:tcPr>
          <w:p w14:paraId="7385BAF8" w14:textId="5D549BF8" w:rsidR="0068442B" w:rsidRPr="00006FAB" w:rsidRDefault="00BC5033" w:rsidP="00324B33">
            <w:pPr>
              <w:cnfStyle w:val="000000000000" w:firstRow="0" w:lastRow="0" w:firstColumn="0" w:lastColumn="0" w:oddVBand="0" w:evenVBand="0" w:oddHBand="0" w:evenHBand="0" w:firstRowFirstColumn="0" w:firstRowLastColumn="0" w:lastRowFirstColumn="0" w:lastRowLastColumn="0"/>
            </w:pPr>
            <w:r>
              <w:t xml:space="preserve">Approved on </w:t>
            </w:r>
            <w:r w:rsidR="0068442B">
              <w:t>14</w:t>
            </w:r>
            <w:r>
              <w:t> </w:t>
            </w:r>
            <w:r w:rsidR="0068442B">
              <w:t>December 2020</w:t>
            </w:r>
          </w:p>
        </w:tc>
        <w:tc>
          <w:tcPr>
            <w:tcW w:w="0" w:type="auto"/>
          </w:tcPr>
          <w:p w14:paraId="4DA26830" w14:textId="77777777" w:rsidR="0068442B" w:rsidRPr="0068442B" w:rsidRDefault="0068442B" w:rsidP="0068442B">
            <w:pPr>
              <w:cnfStyle w:val="000000000000" w:firstRow="0" w:lastRow="0" w:firstColumn="0" w:lastColumn="0" w:oddVBand="0" w:evenVBand="0" w:oddHBand="0" w:evenHBand="0" w:firstRowFirstColumn="0" w:firstRowLastColumn="0" w:lastRowFirstColumn="0" w:lastRowLastColumn="0"/>
              <w:rPr>
                <w:i/>
              </w:rPr>
            </w:pPr>
            <w:r w:rsidRPr="0068442B">
              <w:rPr>
                <w:i/>
              </w:rPr>
              <w:t xml:space="preserve">Keytruda is indicated for the treatment of patients with Bacillus Calmette-Guerin (BCG)-unresponsive, high-risk, non-muscle invasive bladder cancer (NMIBC) with carcinoma in situ (CIS) with or without papillary </w:t>
            </w:r>
            <w:proofErr w:type="spellStart"/>
            <w:r w:rsidRPr="0068442B">
              <w:rPr>
                <w:i/>
              </w:rPr>
              <w:t>tumors</w:t>
            </w:r>
            <w:proofErr w:type="spellEnd"/>
            <w:r w:rsidRPr="0068442B">
              <w:rPr>
                <w:i/>
              </w:rPr>
              <w:t xml:space="preserve"> who are ineligible for or have elected not to undergo cystectomy.</w:t>
            </w:r>
          </w:p>
          <w:p w14:paraId="6C62BB9F" w14:textId="414FFE66" w:rsidR="0068442B" w:rsidRPr="00D96526" w:rsidRDefault="0068442B" w:rsidP="0068442B">
            <w:pPr>
              <w:cnfStyle w:val="000000000000" w:firstRow="0" w:lastRow="0" w:firstColumn="0" w:lastColumn="0" w:oddVBand="0" w:evenVBand="0" w:oddHBand="0" w:evenHBand="0" w:firstRowFirstColumn="0" w:firstRowLastColumn="0" w:lastRowFirstColumn="0" w:lastRowLastColumn="0"/>
              <w:rPr>
                <w:vertAlign w:val="superscript"/>
              </w:rPr>
            </w:pPr>
            <w:r>
              <w:t xml:space="preserve">Issued with Notice of Compliance with </w:t>
            </w:r>
            <w:proofErr w:type="gramStart"/>
            <w:r>
              <w:t>conditions.</w:t>
            </w:r>
            <w:r w:rsidR="00D96526">
              <w:rPr>
                <w:vertAlign w:val="superscript"/>
              </w:rPr>
              <w:t>(</w:t>
            </w:r>
            <w:proofErr w:type="gramEnd"/>
            <w:r w:rsidR="00D96526">
              <w:rPr>
                <w:vertAlign w:val="superscript"/>
              </w:rPr>
              <w:t>b)</w:t>
            </w:r>
          </w:p>
        </w:tc>
      </w:tr>
      <w:tr w:rsidR="0068442B" w14:paraId="0991972A" w14:textId="77777777" w:rsidTr="007D7FDD">
        <w:tc>
          <w:tcPr>
            <w:cnfStyle w:val="001000000000" w:firstRow="0" w:lastRow="0" w:firstColumn="1" w:lastColumn="0" w:oddVBand="0" w:evenVBand="0" w:oddHBand="0" w:evenHBand="0" w:firstRowFirstColumn="0" w:firstRowLastColumn="0" w:lastRowFirstColumn="0" w:lastRowLastColumn="0"/>
            <w:tcW w:w="0" w:type="auto"/>
          </w:tcPr>
          <w:p w14:paraId="23A1D43E" w14:textId="7CA6E304" w:rsidR="0068442B" w:rsidRDefault="0068442B" w:rsidP="00324B33">
            <w:r>
              <w:lastRenderedPageBreak/>
              <w:t>New Zealand</w:t>
            </w:r>
          </w:p>
        </w:tc>
        <w:tc>
          <w:tcPr>
            <w:tcW w:w="0" w:type="auto"/>
          </w:tcPr>
          <w:p w14:paraId="12582315" w14:textId="1F86C70B" w:rsidR="0068442B" w:rsidRDefault="0068442B" w:rsidP="00324B33">
            <w:pPr>
              <w:cnfStyle w:val="000000000000" w:firstRow="0" w:lastRow="0" w:firstColumn="0" w:lastColumn="0" w:oddVBand="0" w:evenVBand="0" w:oddHBand="0" w:evenHBand="0" w:firstRowFirstColumn="0" w:firstRowLastColumn="0" w:lastRowFirstColumn="0" w:lastRowLastColumn="0"/>
            </w:pPr>
            <w:r>
              <w:t>30 September 2020</w:t>
            </w:r>
          </w:p>
        </w:tc>
        <w:tc>
          <w:tcPr>
            <w:tcW w:w="0" w:type="auto"/>
          </w:tcPr>
          <w:p w14:paraId="5A46A293" w14:textId="11F050C3" w:rsidR="0068442B" w:rsidRPr="00006FAB" w:rsidRDefault="002442B8" w:rsidP="00324B33">
            <w:pPr>
              <w:cnfStyle w:val="000000000000" w:firstRow="0" w:lastRow="0" w:firstColumn="0" w:lastColumn="0" w:oddVBand="0" w:evenVBand="0" w:oddHBand="0" w:evenHBand="0" w:firstRowFirstColumn="0" w:firstRowLastColumn="0" w:lastRowFirstColumn="0" w:lastRowLastColumn="0"/>
            </w:pPr>
            <w:r>
              <w:t>Approved on 22</w:t>
            </w:r>
            <w:r w:rsidR="00BC5033">
              <w:t> </w:t>
            </w:r>
            <w:r>
              <w:t>April 2021</w:t>
            </w:r>
          </w:p>
        </w:tc>
        <w:tc>
          <w:tcPr>
            <w:tcW w:w="0" w:type="auto"/>
          </w:tcPr>
          <w:p w14:paraId="62D7BD9A" w14:textId="4B57103F" w:rsidR="0068442B" w:rsidRPr="0068442B" w:rsidRDefault="0068442B" w:rsidP="0068442B">
            <w:pPr>
              <w:cnfStyle w:val="000000000000" w:firstRow="0" w:lastRow="0" w:firstColumn="0" w:lastColumn="0" w:oddVBand="0" w:evenVBand="0" w:oddHBand="0" w:evenHBand="0" w:firstRowFirstColumn="0" w:firstRowLastColumn="0" w:lastRowFirstColumn="0" w:lastRowLastColumn="0"/>
            </w:pPr>
            <w:r w:rsidRPr="0068442B">
              <w:rPr>
                <w:i/>
              </w:rPr>
              <w:t>Keytruda is indicated for the treatment of patients with Bacillus Calmette-Guerin (BCG)-unresponsive, high-risk, non-muscle invasive bladder cancer (NMIBC) with carcinoma in-situ (CIS) with or without papillary tumours who are ineligible for or have elected not to undergo cystectomy.</w:t>
            </w:r>
          </w:p>
        </w:tc>
      </w:tr>
    </w:tbl>
    <w:p w14:paraId="49A5EF1E" w14:textId="33DA6DC1" w:rsidR="00D96526" w:rsidRDefault="00D96526" w:rsidP="00011226">
      <w:pPr>
        <w:pStyle w:val="TableDescription0"/>
      </w:pPr>
      <w:bookmarkStart w:id="39" w:name="_Toc103679292"/>
      <w:r>
        <w:t xml:space="preserve">(a) A Priority Review designation means the US FDA’s goal is to </w:t>
      </w:r>
      <w:proofErr w:type="gramStart"/>
      <w:r>
        <w:t>take action</w:t>
      </w:r>
      <w:proofErr w:type="gramEnd"/>
      <w:r>
        <w:t xml:space="preserve"> on an application within 6 months (compared to 10 months under standard review). A Priority Review designation will direct overall attention and resources to the evaluation of applications for drugs that, if approved, would be significant improvements in the safety or effectiveness of the treatment, diagnosis, or prevention of serious conditions when compared to standard applications.</w:t>
      </w:r>
    </w:p>
    <w:p w14:paraId="404E0C9E" w14:textId="66171EB2" w:rsidR="00D96526" w:rsidRPr="00D96526" w:rsidRDefault="00D96526" w:rsidP="00011226">
      <w:pPr>
        <w:pStyle w:val="TableDescription0"/>
      </w:pPr>
      <w:r>
        <w:t xml:space="preserve">(b) </w:t>
      </w:r>
      <w:r w:rsidR="003C0C56">
        <w:t xml:space="preserve">A Notice of </w:t>
      </w:r>
      <w:r w:rsidR="00BC5033">
        <w:t>Compliance</w:t>
      </w:r>
      <w:r w:rsidR="003C0C56">
        <w:t xml:space="preserve"> with conditions (</w:t>
      </w:r>
      <w:r w:rsidRPr="00D96526">
        <w:t>NOC/c</w:t>
      </w:r>
      <w:r w:rsidR="003C0C56">
        <w:t>) is authoris</w:t>
      </w:r>
      <w:r w:rsidRPr="00D96526">
        <w:t>ation</w:t>
      </w:r>
      <w:r w:rsidR="003C0C56">
        <w:t xml:space="preserve"> from Health Canada</w:t>
      </w:r>
      <w:r w:rsidRPr="00D96526">
        <w:t xml:space="preserve"> to market a drug (</w:t>
      </w:r>
      <w:r w:rsidR="003C0C56">
        <w:t>in</w:t>
      </w:r>
      <w:r w:rsidRPr="00D96526">
        <w:t xml:space="preserve"> a Notice of Compliance (NOC)), with the condition that the sponsor undertake additional studies to verify the clinical benefit.</w:t>
      </w:r>
      <w:r w:rsidR="003C0C56">
        <w:t xml:space="preserve"> It is intended to </w:t>
      </w:r>
      <w:r w:rsidR="003C0C56" w:rsidRPr="003C0C56">
        <w:t>provide earlier market access to potentially life-saving drugs. Conditions</w:t>
      </w:r>
      <w:r w:rsidR="003C0C56">
        <w:t xml:space="preserve"> associated with market authoris</w:t>
      </w:r>
      <w:r w:rsidR="003C0C56" w:rsidRPr="003C0C56">
        <w:t>ation allow Health Canada to monitor the drug through enhanced post-market surveillance.</w:t>
      </w:r>
    </w:p>
    <w:p w14:paraId="064CCADF" w14:textId="50C5A709" w:rsidR="00324B33" w:rsidRDefault="00324B33" w:rsidP="00324B33">
      <w:pPr>
        <w:pStyle w:val="Heading3"/>
      </w:pPr>
      <w:bookmarkStart w:id="40" w:name="_Toc137117834"/>
      <w:r>
        <w:t>Product Information</w:t>
      </w:r>
      <w:bookmarkEnd w:id="39"/>
      <w:bookmarkEnd w:id="40"/>
    </w:p>
    <w:p w14:paraId="4B0F7D57" w14:textId="3C37B5DF" w:rsidR="00324B33" w:rsidRDefault="00324B33" w:rsidP="00324B33">
      <w:bookmarkStart w:id="41" w:name="_Toc504480011"/>
      <w:r>
        <w:t xml:space="preserve">The </w:t>
      </w:r>
      <w:hyperlink r:id="rId24" w:history="1">
        <w:r w:rsidRPr="009108CE">
          <w:rPr>
            <w:rStyle w:val="Hyperlink"/>
          </w:rPr>
          <w:t>Product Information</w:t>
        </w:r>
      </w:hyperlink>
      <w:r>
        <w:t xml:space="preserve"> (</w:t>
      </w:r>
      <w:hyperlink r:id="rId25" w:history="1">
        <w:r w:rsidRPr="009108CE">
          <w:rPr>
            <w:rStyle w:val="Hyperlink"/>
          </w:rPr>
          <w:t>PI</w:t>
        </w:r>
      </w:hyperlink>
      <w:r>
        <w:t>) approved with the submission which is described in this AusPAR can be found as Attachment 1. For the most recent PI</w:t>
      </w:r>
      <w:r w:rsidR="00A93DC6">
        <w:t xml:space="preserve"> and </w:t>
      </w:r>
      <w:hyperlink r:id="rId26" w:history="1">
        <w:r w:rsidR="00A93DC6" w:rsidRPr="00A93DC6">
          <w:rPr>
            <w:rStyle w:val="Hyperlink"/>
          </w:rPr>
          <w:t>Consumer Medicines Information</w:t>
        </w:r>
      </w:hyperlink>
      <w:r w:rsidR="00A93DC6">
        <w:t xml:space="preserve"> (CMI)</w:t>
      </w:r>
      <w:r>
        <w:t xml:space="preserve">, please refer to the TGA </w:t>
      </w:r>
      <w:hyperlink r:id="rId27" w:history="1">
        <w:r>
          <w:rPr>
            <w:rStyle w:val="Hyperlink"/>
          </w:rPr>
          <w:t>PI/CMI search facility.</w:t>
        </w:r>
      </w:hyperlink>
    </w:p>
    <w:p w14:paraId="6D92589C" w14:textId="77777777" w:rsidR="00324B33" w:rsidRDefault="00324B33" w:rsidP="00324B33">
      <w:pPr>
        <w:pStyle w:val="Heading2"/>
      </w:pPr>
      <w:bookmarkStart w:id="42" w:name="_Toc103679293"/>
      <w:bookmarkStart w:id="43" w:name="_Toc137117835"/>
      <w:r>
        <w:t>Registration timeline</w:t>
      </w:r>
      <w:bookmarkEnd w:id="41"/>
      <w:bookmarkEnd w:id="42"/>
      <w:bookmarkEnd w:id="43"/>
    </w:p>
    <w:p w14:paraId="551AEAD9" w14:textId="40490E65" w:rsidR="00F84CEB" w:rsidRDefault="00535DFE" w:rsidP="00F84CEB">
      <w:r>
        <w:t xml:space="preserve">This submission was evaluated under the </w:t>
      </w:r>
      <w:hyperlink r:id="rId28" w:history="1">
        <w:r w:rsidRPr="00535DFE">
          <w:rPr>
            <w:rStyle w:val="Hyperlink"/>
          </w:rPr>
          <w:t>provisional registration process</w:t>
        </w:r>
      </w:hyperlink>
      <w:r w:rsidR="00F84CEB">
        <w:t>. Pembrolizumab was granted provisional determination on 11 February 2020 for</w:t>
      </w:r>
      <w:r w:rsidR="00A94227">
        <w:t xml:space="preserve"> the following indication</w:t>
      </w:r>
      <w:r w:rsidR="00F84CEB">
        <w:t>:</w:t>
      </w:r>
    </w:p>
    <w:p w14:paraId="53831E5A" w14:textId="060DBABA" w:rsidR="00477C4E" w:rsidRDefault="00F84CEB" w:rsidP="00F84CEB">
      <w:pPr>
        <w:ind w:left="720"/>
      </w:pPr>
      <w:r>
        <w:rPr>
          <w:i/>
        </w:rPr>
        <w:t>‘</w:t>
      </w:r>
      <w:proofErr w:type="gramStart"/>
      <w:r>
        <w:rPr>
          <w:i/>
        </w:rPr>
        <w:t>the</w:t>
      </w:r>
      <w:proofErr w:type="gramEnd"/>
      <w:r>
        <w:rPr>
          <w:i/>
        </w:rPr>
        <w:t xml:space="preserve"> treatment of patients with Bacillus Calmette-Guerin (BCG)-unresponsive, high-risk, non-muscle invasive bladder cancer (NMIBC) with carcinoma-in-situ (CIS) with or without papillary tumours who are ineligible for or have elected not to undergo cystectomy</w:t>
      </w:r>
      <w:r>
        <w:t>.’</w:t>
      </w:r>
    </w:p>
    <w:p w14:paraId="2D040347" w14:textId="20017C64" w:rsidR="00F6144D" w:rsidRDefault="00A94227" w:rsidP="00A94227">
      <w:r w:rsidRPr="00C93EC1">
        <w:t xml:space="preserve">The following table captures the key steps and dates for this </w:t>
      </w:r>
      <w:r>
        <w:t>submission</w:t>
      </w:r>
      <w:r w:rsidRPr="00C93EC1">
        <w:t>.</w:t>
      </w:r>
    </w:p>
    <w:p w14:paraId="38575CA0" w14:textId="05A91FB6" w:rsidR="007F50D3" w:rsidRPr="00A94227" w:rsidRDefault="00324B33" w:rsidP="00A94227">
      <w:pPr>
        <w:pStyle w:val="TableTitle0"/>
        <w:rPr>
          <w:rStyle w:val="Hyperlink"/>
          <w:color w:val="auto"/>
          <w:u w:val="none"/>
        </w:rPr>
      </w:pPr>
      <w:r>
        <w:t xml:space="preserve">Table </w:t>
      </w:r>
      <w:r w:rsidR="0013528C">
        <w:fldChar w:fldCharType="begin"/>
      </w:r>
      <w:r w:rsidR="0013528C">
        <w:rPr>
          <w:b w:val="0"/>
        </w:rPr>
        <w:instrText xml:space="preserve"> SEQ Table \* ARABIC </w:instrText>
      </w:r>
      <w:r w:rsidR="0013528C">
        <w:fldChar w:fldCharType="separate"/>
      </w:r>
      <w:r w:rsidR="007F791A">
        <w:rPr>
          <w:b w:val="0"/>
          <w:noProof/>
        </w:rPr>
        <w:t>4</w:t>
      </w:r>
      <w:r w:rsidR="0013528C">
        <w:rPr>
          <w:noProof/>
        </w:rPr>
        <w:fldChar w:fldCharType="end"/>
      </w:r>
      <w:r>
        <w:t>:</w:t>
      </w:r>
      <w:r w:rsidRPr="006A58A8">
        <w:t xml:space="preserve"> Timeline for Submission PM-</w:t>
      </w:r>
      <w:r w:rsidR="00A94227">
        <w:t>2020-01294-1-4</w:t>
      </w:r>
    </w:p>
    <w:tbl>
      <w:tblPr>
        <w:tblStyle w:val="TableTGAblue2023"/>
        <w:tblW w:w="8642" w:type="dxa"/>
        <w:tblLook w:val="04A0" w:firstRow="1" w:lastRow="0" w:firstColumn="1" w:lastColumn="0" w:noHBand="0" w:noVBand="1"/>
      </w:tblPr>
      <w:tblGrid>
        <w:gridCol w:w="5949"/>
        <w:gridCol w:w="2693"/>
      </w:tblGrid>
      <w:tr w:rsidR="00324B33" w:rsidRPr="003D71A1" w14:paraId="6C59BE9C" w14:textId="77777777" w:rsidTr="00B82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2E74B5" w:themeFill="accent5" w:themeFillShade="BF"/>
          </w:tcPr>
          <w:p w14:paraId="16D80E78" w14:textId="3EC0CCAF" w:rsidR="00324B33" w:rsidRPr="00A94227" w:rsidRDefault="00324B33" w:rsidP="00324B33">
            <w:pPr>
              <w:rPr>
                <w:color w:val="FFFFFF" w:themeColor="background1"/>
                <w:sz w:val="20"/>
                <w:szCs w:val="20"/>
              </w:rPr>
            </w:pPr>
            <w:r w:rsidRPr="00A94227">
              <w:rPr>
                <w:color w:val="FFFFFF" w:themeColor="background1"/>
                <w:sz w:val="20"/>
                <w:szCs w:val="20"/>
              </w:rPr>
              <w:t>Description</w:t>
            </w:r>
          </w:p>
        </w:tc>
        <w:tc>
          <w:tcPr>
            <w:tcW w:w="2693" w:type="dxa"/>
            <w:shd w:val="clear" w:color="auto" w:fill="2E74B5" w:themeFill="accent5" w:themeFillShade="BF"/>
          </w:tcPr>
          <w:p w14:paraId="79AFDC4B" w14:textId="05792035" w:rsidR="00324B33" w:rsidRPr="00A94227" w:rsidRDefault="00324B33" w:rsidP="00324B3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94227">
              <w:rPr>
                <w:color w:val="FFFFFF" w:themeColor="background1"/>
                <w:sz w:val="20"/>
                <w:szCs w:val="20"/>
              </w:rPr>
              <w:t>Date</w:t>
            </w:r>
          </w:p>
        </w:tc>
      </w:tr>
      <w:tr w:rsidR="00324B33" w:rsidRPr="003D71A1" w14:paraId="0556FE3C"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49DFA3AA" w14:textId="12FE02E7" w:rsidR="00324B33" w:rsidRPr="003D71A1" w:rsidRDefault="00324B33" w:rsidP="00324B33">
            <w:pPr>
              <w:rPr>
                <w:sz w:val="20"/>
                <w:szCs w:val="20"/>
              </w:rPr>
            </w:pPr>
            <w:r w:rsidRPr="00A94227">
              <w:rPr>
                <w:iCs/>
                <w:color w:val="auto"/>
                <w:sz w:val="20"/>
                <w:szCs w:val="20"/>
              </w:rPr>
              <w:t xml:space="preserve">Determination </w:t>
            </w:r>
            <w:r w:rsidRPr="003D71A1">
              <w:rPr>
                <w:iCs/>
                <w:color w:val="auto"/>
                <w:sz w:val="20"/>
                <w:szCs w:val="20"/>
              </w:rPr>
              <w:t>(</w:t>
            </w:r>
            <w:hyperlink r:id="rId29" w:anchor="pd" w:history="1">
              <w:r w:rsidRPr="003D71A1">
                <w:rPr>
                  <w:rStyle w:val="Hyperlink"/>
                  <w:iCs/>
                  <w:sz w:val="20"/>
                  <w:szCs w:val="20"/>
                </w:rPr>
                <w:t>Provisional</w:t>
              </w:r>
            </w:hyperlink>
            <w:r w:rsidR="00A94227">
              <w:rPr>
                <w:iCs/>
                <w:color w:val="auto"/>
                <w:sz w:val="20"/>
                <w:szCs w:val="20"/>
              </w:rPr>
              <w:t>)</w:t>
            </w:r>
          </w:p>
        </w:tc>
        <w:tc>
          <w:tcPr>
            <w:tcW w:w="2693" w:type="dxa"/>
          </w:tcPr>
          <w:p w14:paraId="239696E3" w14:textId="280FE785"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February 2020</w:t>
            </w:r>
          </w:p>
        </w:tc>
      </w:tr>
      <w:tr w:rsidR="00324B33" w:rsidRPr="003D71A1" w14:paraId="23610C53"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3D71A1" w:rsidRDefault="00324B33" w:rsidP="00324B33">
            <w:pPr>
              <w:rPr>
                <w:sz w:val="20"/>
                <w:szCs w:val="20"/>
              </w:rPr>
            </w:pPr>
            <w:r w:rsidRPr="003D71A1">
              <w:rPr>
                <w:sz w:val="20"/>
                <w:szCs w:val="20"/>
              </w:rPr>
              <w:t>Submission dossier accepted and first round evaluation commenced</w:t>
            </w:r>
          </w:p>
        </w:tc>
        <w:tc>
          <w:tcPr>
            <w:tcW w:w="2693" w:type="dxa"/>
          </w:tcPr>
          <w:p w14:paraId="2963D9D8" w14:textId="0A53D749"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April 2020</w:t>
            </w:r>
          </w:p>
        </w:tc>
      </w:tr>
      <w:tr w:rsidR="00324B33" w:rsidRPr="003D71A1" w14:paraId="53437815"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3D71A1" w:rsidRDefault="00324B33" w:rsidP="00324B33">
            <w:pPr>
              <w:rPr>
                <w:sz w:val="20"/>
                <w:szCs w:val="20"/>
              </w:rPr>
            </w:pPr>
            <w:r w:rsidRPr="003D71A1">
              <w:rPr>
                <w:sz w:val="20"/>
                <w:szCs w:val="20"/>
              </w:rPr>
              <w:t>First round evaluation completed</w:t>
            </w:r>
          </w:p>
        </w:tc>
        <w:tc>
          <w:tcPr>
            <w:tcW w:w="2693" w:type="dxa"/>
          </w:tcPr>
          <w:p w14:paraId="3CEAFAAB" w14:textId="297B1259"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September 2020</w:t>
            </w:r>
          </w:p>
        </w:tc>
      </w:tr>
      <w:tr w:rsidR="00324B33" w:rsidRPr="003D71A1" w14:paraId="60DA57CC"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02EA1147" w14:textId="2853A422" w:rsidR="00324B33" w:rsidRPr="003D71A1" w:rsidRDefault="00324B33" w:rsidP="00324B33">
            <w:pPr>
              <w:rPr>
                <w:sz w:val="20"/>
                <w:szCs w:val="20"/>
              </w:rPr>
            </w:pPr>
            <w:r w:rsidRPr="003D71A1">
              <w:rPr>
                <w:sz w:val="20"/>
                <w:szCs w:val="20"/>
              </w:rPr>
              <w:t>Sponsor provides responses on questions raised in first round evaluation</w:t>
            </w:r>
          </w:p>
        </w:tc>
        <w:tc>
          <w:tcPr>
            <w:tcW w:w="2693" w:type="dxa"/>
          </w:tcPr>
          <w:p w14:paraId="68A577C1" w14:textId="533E4DAC"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November 2020</w:t>
            </w:r>
          </w:p>
        </w:tc>
      </w:tr>
      <w:tr w:rsidR="00324B33" w:rsidRPr="003D71A1" w14:paraId="767E33A4"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3D71A1" w:rsidRDefault="00324B33" w:rsidP="00324B33">
            <w:pPr>
              <w:rPr>
                <w:sz w:val="20"/>
                <w:szCs w:val="20"/>
              </w:rPr>
            </w:pPr>
            <w:r w:rsidRPr="003D71A1">
              <w:rPr>
                <w:sz w:val="20"/>
                <w:szCs w:val="20"/>
              </w:rPr>
              <w:t>Second round evaluation completed</w:t>
            </w:r>
          </w:p>
        </w:tc>
        <w:tc>
          <w:tcPr>
            <w:tcW w:w="2693" w:type="dxa"/>
          </w:tcPr>
          <w:p w14:paraId="4E47DF62" w14:textId="27F96962"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January 2021</w:t>
            </w:r>
          </w:p>
        </w:tc>
      </w:tr>
      <w:tr w:rsidR="00324B33" w:rsidRPr="003D71A1" w14:paraId="302FCB45"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716E9DC1" w14:textId="4613696A" w:rsidR="00324B33" w:rsidRPr="003D71A1" w:rsidRDefault="00324B33" w:rsidP="00A94227">
            <w:pPr>
              <w:rPr>
                <w:sz w:val="20"/>
                <w:szCs w:val="20"/>
              </w:rPr>
            </w:pPr>
            <w:r w:rsidRPr="00A94227">
              <w:rPr>
                <w:color w:val="auto"/>
                <w:sz w:val="20"/>
                <w:szCs w:val="20"/>
              </w:rPr>
              <w:t>Delegate’s Overall benefit-risk assessment and request</w:t>
            </w:r>
            <w:r w:rsidR="00A94227" w:rsidRPr="00A94227">
              <w:rPr>
                <w:color w:val="auto"/>
                <w:sz w:val="20"/>
                <w:szCs w:val="20"/>
              </w:rPr>
              <w:t xml:space="preserve"> for Advisory Committee advice</w:t>
            </w:r>
          </w:p>
        </w:tc>
        <w:tc>
          <w:tcPr>
            <w:tcW w:w="2693" w:type="dxa"/>
          </w:tcPr>
          <w:p w14:paraId="3BA6EF79" w14:textId="20EFC38F"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February 2021</w:t>
            </w:r>
          </w:p>
        </w:tc>
      </w:tr>
      <w:tr w:rsidR="00324B33" w:rsidRPr="003D71A1" w14:paraId="5832EBC8"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720592DE" w14:textId="1F72CD22" w:rsidR="00324B33" w:rsidRPr="003D71A1" w:rsidRDefault="00324B33" w:rsidP="00324B33">
            <w:pPr>
              <w:rPr>
                <w:sz w:val="20"/>
                <w:szCs w:val="20"/>
              </w:rPr>
            </w:pPr>
            <w:r w:rsidRPr="003D71A1">
              <w:rPr>
                <w:sz w:val="20"/>
                <w:szCs w:val="20"/>
              </w:rPr>
              <w:lastRenderedPageBreak/>
              <w:t>Sponsor’s pre-Advisory Committee response</w:t>
            </w:r>
          </w:p>
        </w:tc>
        <w:tc>
          <w:tcPr>
            <w:tcW w:w="2693" w:type="dxa"/>
          </w:tcPr>
          <w:p w14:paraId="5AE04841" w14:textId="1082BA2A"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March 2021</w:t>
            </w:r>
          </w:p>
        </w:tc>
      </w:tr>
      <w:tr w:rsidR="00324B33" w:rsidRPr="003D71A1" w14:paraId="5754F7AC"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3D71A1" w:rsidRDefault="00324B33" w:rsidP="00324B33">
            <w:pPr>
              <w:rPr>
                <w:sz w:val="20"/>
                <w:szCs w:val="20"/>
              </w:rPr>
            </w:pPr>
            <w:r w:rsidRPr="003D71A1">
              <w:rPr>
                <w:sz w:val="20"/>
                <w:szCs w:val="20"/>
              </w:rPr>
              <w:t>Advisory Committee meeting</w:t>
            </w:r>
          </w:p>
        </w:tc>
        <w:tc>
          <w:tcPr>
            <w:tcW w:w="2693" w:type="dxa"/>
          </w:tcPr>
          <w:p w14:paraId="5BE1EDE7" w14:textId="13DFC741"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 April 2021</w:t>
            </w:r>
          </w:p>
        </w:tc>
      </w:tr>
      <w:tr w:rsidR="00324B33" w:rsidRPr="003D71A1" w14:paraId="6E5D32FE"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3D71A1" w:rsidRDefault="00324B33" w:rsidP="00324B33">
            <w:pPr>
              <w:rPr>
                <w:sz w:val="20"/>
                <w:szCs w:val="20"/>
              </w:rPr>
            </w:pPr>
            <w:r w:rsidRPr="003D71A1">
              <w:rPr>
                <w:sz w:val="20"/>
                <w:szCs w:val="20"/>
              </w:rPr>
              <w:t>Registration decision (Outcome)</w:t>
            </w:r>
          </w:p>
        </w:tc>
        <w:tc>
          <w:tcPr>
            <w:tcW w:w="2693" w:type="dxa"/>
          </w:tcPr>
          <w:p w14:paraId="62987ABD" w14:textId="39748555"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July 2021</w:t>
            </w:r>
          </w:p>
        </w:tc>
      </w:tr>
      <w:tr w:rsidR="00324B33" w:rsidRPr="003D71A1" w14:paraId="6DDCDDA4"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192FD19D" w14:textId="458EB044" w:rsidR="00324B33" w:rsidRPr="003D71A1" w:rsidRDefault="00324B33" w:rsidP="00324B33">
            <w:pPr>
              <w:rPr>
                <w:sz w:val="20"/>
                <w:szCs w:val="20"/>
              </w:rPr>
            </w:pPr>
            <w:r w:rsidRPr="003D71A1">
              <w:rPr>
                <w:sz w:val="20"/>
                <w:szCs w:val="20"/>
              </w:rPr>
              <w:t>Completion of administrative activities and registration on the ARTG</w:t>
            </w:r>
          </w:p>
        </w:tc>
        <w:tc>
          <w:tcPr>
            <w:tcW w:w="2693" w:type="dxa"/>
          </w:tcPr>
          <w:p w14:paraId="5A8923FD" w14:textId="54E47058"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July 2021</w:t>
            </w:r>
          </w:p>
        </w:tc>
      </w:tr>
      <w:tr w:rsidR="00324B33" w:rsidRPr="003D71A1" w14:paraId="56D922E2" w14:textId="77777777" w:rsidTr="00B82441">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3D71A1" w:rsidRDefault="00324B33" w:rsidP="00324B33">
            <w:pPr>
              <w:rPr>
                <w:sz w:val="20"/>
                <w:szCs w:val="20"/>
              </w:rPr>
            </w:pPr>
            <w:r w:rsidRPr="003D71A1">
              <w:rPr>
                <w:sz w:val="20"/>
                <w:szCs w:val="20"/>
              </w:rPr>
              <w:t>Number of working days from submission dossier acceptance to registration decision*</w:t>
            </w:r>
          </w:p>
        </w:tc>
        <w:tc>
          <w:tcPr>
            <w:tcW w:w="2693" w:type="dxa"/>
          </w:tcPr>
          <w:p w14:paraId="5BAF9FA1" w14:textId="5FFE9C7A" w:rsidR="00324B33" w:rsidRPr="003D71A1" w:rsidRDefault="00A94227" w:rsidP="00324B3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r>
    </w:tbl>
    <w:p w14:paraId="7B02554C" w14:textId="77777777" w:rsidR="00433318" w:rsidRDefault="00433318" w:rsidP="00433318">
      <w:pPr>
        <w:pStyle w:val="TableDescription0"/>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44" w:name="_Toc196046504"/>
      <w:bookmarkStart w:id="45" w:name="_Toc247691527"/>
      <w:bookmarkStart w:id="46" w:name="_Toc314842510"/>
      <w:bookmarkStart w:id="47" w:name="_Toc103679294"/>
      <w:bookmarkStart w:id="48" w:name="_Toc137117836"/>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44"/>
      <w:bookmarkEnd w:id="45"/>
      <w:bookmarkEnd w:id="46"/>
      <w:bookmarkEnd w:id="47"/>
      <w:bookmarkEnd w:id="48"/>
    </w:p>
    <w:p w14:paraId="540151FC" w14:textId="70B60609" w:rsidR="00C22214" w:rsidRDefault="00C22214" w:rsidP="00C04EE0">
      <w:bookmarkStart w:id="49" w:name="_Toc247691528"/>
      <w:bookmarkStart w:id="50" w:name="_Toc314842511"/>
      <w:r w:rsidRPr="00C04EE0">
        <w:t>A summary of the TGA’s assessment for this submission is provided below.</w:t>
      </w:r>
    </w:p>
    <w:p w14:paraId="121271D2" w14:textId="68CD85FB" w:rsidR="000D12F7" w:rsidRPr="00C04EE0" w:rsidRDefault="000D12F7" w:rsidP="000D12F7">
      <w:pPr>
        <w:pStyle w:val="Heading3"/>
      </w:pPr>
      <w:bookmarkStart w:id="51" w:name="_Ref130484088"/>
      <w:bookmarkStart w:id="52" w:name="_Toc137117837"/>
      <w:r>
        <w:t>Guidance and definitions</w:t>
      </w:r>
      <w:bookmarkEnd w:id="51"/>
      <w:bookmarkEnd w:id="52"/>
    </w:p>
    <w:p w14:paraId="764CCADD" w14:textId="264E08F5" w:rsidR="007072A1" w:rsidRPr="007072A1" w:rsidRDefault="007072A1" w:rsidP="00966EF1">
      <w:r w:rsidRPr="007072A1">
        <w:t>The following guideline was referred to by the Delegate as being relevant to this submission:</w:t>
      </w:r>
    </w:p>
    <w:p w14:paraId="7F2D6830" w14:textId="35C21FED" w:rsidR="008A28CD" w:rsidRDefault="008A28CD" w:rsidP="008A28CD">
      <w:pPr>
        <w:pStyle w:val="ListBullet"/>
      </w:pPr>
      <w:r w:rsidRPr="008A28CD">
        <w:t xml:space="preserve">European Medicines Agency. </w:t>
      </w:r>
      <w:hyperlink r:id="rId30" w:history="1">
        <w:r w:rsidRPr="008A28CD">
          <w:rPr>
            <w:rStyle w:val="Hyperlink"/>
          </w:rPr>
          <w:t>Guideline on the evaluation of anticancer medicinal products in man</w:t>
        </w:r>
      </w:hyperlink>
      <w:r w:rsidRPr="008A28CD">
        <w:t xml:space="preserve">. </w:t>
      </w:r>
      <w:r>
        <w:t xml:space="preserve">EMA/CHMP/205/95/Rev.4; (2012); </w:t>
      </w:r>
      <w:r w:rsidR="00E76ECD">
        <w:t xml:space="preserve">TGA-adopted, </w:t>
      </w:r>
      <w:r>
        <w:t>effective date: 1 April 2014</w:t>
      </w:r>
    </w:p>
    <w:p w14:paraId="4CC3A487" w14:textId="3BFE12A7" w:rsidR="00C04EE0" w:rsidRDefault="00C04EE0" w:rsidP="00C04EE0">
      <w:pPr>
        <w:rPr>
          <w:lang w:eastAsia="ja-JP"/>
        </w:rPr>
      </w:pPr>
      <w:r>
        <w:rPr>
          <w:lang w:eastAsia="ja-JP"/>
        </w:rPr>
        <w:t>The US Food and Drug Administration (FDA) has issued specific guidance for industry</w:t>
      </w:r>
      <w:r w:rsidRPr="00D17E80">
        <w:rPr>
          <w:vertAlign w:val="superscript"/>
          <w:lang w:eastAsia="ja-JP"/>
        </w:rPr>
        <w:t xml:space="preserve"> </w:t>
      </w:r>
      <w:r>
        <w:rPr>
          <w:lang w:eastAsia="ja-JP"/>
        </w:rPr>
        <w:t>on the development of drugs for BCG-unresponsive n</w:t>
      </w:r>
      <w:r w:rsidRPr="00C04EE0">
        <w:rPr>
          <w:lang w:eastAsia="ja-JP"/>
        </w:rPr>
        <w:t>on</w:t>
      </w:r>
      <w:r>
        <w:rPr>
          <w:lang w:eastAsia="ja-JP"/>
        </w:rPr>
        <w:t>-muscle invasive bladder cancer. This guidance is as follows:</w:t>
      </w:r>
    </w:p>
    <w:p w14:paraId="79D335CE" w14:textId="734F8FED" w:rsidR="00C04EE0" w:rsidRDefault="00C04EE0" w:rsidP="00C04EE0">
      <w:pPr>
        <w:pStyle w:val="ListBullet"/>
        <w:rPr>
          <w:lang w:eastAsia="ja-JP"/>
        </w:rPr>
      </w:pPr>
      <w:r>
        <w:rPr>
          <w:lang w:eastAsia="ja-JP"/>
        </w:rPr>
        <w:t xml:space="preserve">Food and Drug Administration (FDA): </w:t>
      </w:r>
      <w:hyperlink r:id="rId31" w:history="1">
        <w:r w:rsidRPr="00C04EE0">
          <w:rPr>
            <w:rStyle w:val="Hyperlink"/>
            <w:lang w:eastAsia="ja-JP"/>
          </w:rPr>
          <w:t>Bacillus Calmette-</w:t>
        </w:r>
        <w:proofErr w:type="spellStart"/>
        <w:r w:rsidRPr="00C04EE0">
          <w:rPr>
            <w:rStyle w:val="Hyperlink"/>
            <w:lang w:eastAsia="ja-JP"/>
          </w:rPr>
          <w:t>Guérin</w:t>
        </w:r>
        <w:proofErr w:type="spellEnd"/>
        <w:r w:rsidRPr="00C04EE0">
          <w:rPr>
            <w:rStyle w:val="Hyperlink"/>
            <w:lang w:eastAsia="ja-JP"/>
          </w:rPr>
          <w:t xml:space="preserve">-Unresponsive </w:t>
        </w:r>
        <w:proofErr w:type="spellStart"/>
        <w:r w:rsidRPr="00C04EE0">
          <w:rPr>
            <w:rStyle w:val="Hyperlink"/>
            <w:lang w:eastAsia="ja-JP"/>
          </w:rPr>
          <w:t>Nonmuscle</w:t>
        </w:r>
        <w:proofErr w:type="spellEnd"/>
        <w:r w:rsidRPr="00C04EE0">
          <w:rPr>
            <w:rStyle w:val="Hyperlink"/>
            <w:lang w:eastAsia="ja-JP"/>
          </w:rPr>
          <w:t xml:space="preserve"> Invasive Bladder Cancer: Developing Drugs and Biologics for Treatment</w:t>
        </w:r>
      </w:hyperlink>
      <w:r>
        <w:rPr>
          <w:lang w:eastAsia="ja-JP"/>
        </w:rPr>
        <w:t xml:space="preserve">. Guidance for Industry. </w:t>
      </w:r>
      <w:r w:rsidR="00F06997">
        <w:rPr>
          <w:lang w:eastAsia="ja-JP"/>
        </w:rPr>
        <w:t>(</w:t>
      </w:r>
      <w:r>
        <w:rPr>
          <w:lang w:eastAsia="ja-JP"/>
        </w:rPr>
        <w:t>2018</w:t>
      </w:r>
      <w:r w:rsidR="00F06997">
        <w:rPr>
          <w:lang w:eastAsia="ja-JP"/>
        </w:rPr>
        <w:t>)</w:t>
      </w:r>
      <w:r>
        <w:rPr>
          <w:lang w:eastAsia="ja-JP"/>
        </w:rPr>
        <w:t>.</w:t>
      </w:r>
    </w:p>
    <w:p w14:paraId="785A08B6" w14:textId="4F9CABFB" w:rsidR="00C04EE0" w:rsidRDefault="00C04EE0" w:rsidP="00C04EE0">
      <w:pPr>
        <w:rPr>
          <w:lang w:eastAsia="ja-JP"/>
        </w:rPr>
      </w:pPr>
      <w:r>
        <w:rPr>
          <w:lang w:eastAsia="ja-JP"/>
        </w:rPr>
        <w:t xml:space="preserve">This FDA guidance has not been formally adopted by the </w:t>
      </w:r>
      <w:proofErr w:type="gramStart"/>
      <w:r>
        <w:rPr>
          <w:lang w:eastAsia="ja-JP"/>
        </w:rPr>
        <w:t>TGA, but</w:t>
      </w:r>
      <w:proofErr w:type="gramEnd"/>
      <w:r>
        <w:rPr>
          <w:lang w:eastAsia="ja-JP"/>
        </w:rPr>
        <w:t xml:space="preserve"> has </w:t>
      </w:r>
      <w:r w:rsidR="00F06997">
        <w:rPr>
          <w:lang w:eastAsia="ja-JP"/>
        </w:rPr>
        <w:t>informed the definition of BCG</w:t>
      </w:r>
      <w:r w:rsidR="00F06997">
        <w:rPr>
          <w:lang w:eastAsia="ja-JP"/>
        </w:rPr>
        <w:noBreakHyphen/>
        <w:t xml:space="preserve">unresponsive </w:t>
      </w:r>
      <w:r w:rsidR="000530FC">
        <w:rPr>
          <w:lang w:eastAsia="ja-JP"/>
        </w:rPr>
        <w:t>n</w:t>
      </w:r>
      <w:r w:rsidR="000530FC" w:rsidRPr="00C04EE0">
        <w:rPr>
          <w:lang w:eastAsia="ja-JP"/>
        </w:rPr>
        <w:t>on</w:t>
      </w:r>
      <w:r w:rsidR="000530FC">
        <w:rPr>
          <w:lang w:eastAsia="ja-JP"/>
        </w:rPr>
        <w:t>-muscle invasive bladder cancer</w:t>
      </w:r>
      <w:r>
        <w:rPr>
          <w:lang w:eastAsia="ja-JP"/>
        </w:rPr>
        <w:t xml:space="preserve"> </w:t>
      </w:r>
      <w:r w:rsidR="000530FC">
        <w:rPr>
          <w:lang w:eastAsia="ja-JP"/>
        </w:rPr>
        <w:t>used in the</w:t>
      </w:r>
      <w:r>
        <w:rPr>
          <w:lang w:eastAsia="ja-JP"/>
        </w:rPr>
        <w:t xml:space="preserve"> clinical study plan for </w:t>
      </w:r>
      <w:r w:rsidR="000530FC">
        <w:rPr>
          <w:lang w:eastAsia="ja-JP"/>
        </w:rPr>
        <w:t>the Keynote</w:t>
      </w:r>
      <w:r w:rsidR="000530FC">
        <w:rPr>
          <w:lang w:eastAsia="ja-JP"/>
        </w:rPr>
        <w:noBreakHyphen/>
        <w:t>057 trial and this</w:t>
      </w:r>
      <w:r>
        <w:rPr>
          <w:lang w:eastAsia="ja-JP"/>
        </w:rPr>
        <w:t xml:space="preserve"> submission, and has been referred to in the evaluation of </w:t>
      </w:r>
      <w:r w:rsidR="009F55F2">
        <w:rPr>
          <w:lang w:eastAsia="ja-JP"/>
        </w:rPr>
        <w:t>Keytruda by the</w:t>
      </w:r>
      <w:r w:rsidR="000530FC">
        <w:rPr>
          <w:lang w:eastAsia="ja-JP"/>
        </w:rPr>
        <w:t xml:space="preserve"> TGA</w:t>
      </w:r>
      <w:r>
        <w:rPr>
          <w:lang w:eastAsia="ja-JP"/>
        </w:rPr>
        <w:t>.</w:t>
      </w:r>
    </w:p>
    <w:p w14:paraId="4162FBA1" w14:textId="487E8D2E" w:rsidR="00F6144D" w:rsidRDefault="00C04EE0" w:rsidP="00C04EE0">
      <w:r>
        <w:rPr>
          <w:lang w:eastAsia="ja-JP"/>
        </w:rPr>
        <w:t xml:space="preserve">In this guidance, </w:t>
      </w:r>
      <w:r>
        <w:t>BCG-unresponsive disease is defined as being</w:t>
      </w:r>
      <w:r w:rsidR="00F06997">
        <w:t xml:space="preserve"> at least one of the following:</w:t>
      </w:r>
    </w:p>
    <w:p w14:paraId="49382561" w14:textId="5CD7E8ED" w:rsidR="000530FC" w:rsidRDefault="000530FC" w:rsidP="00E76ECD">
      <w:pPr>
        <w:pStyle w:val="TableTitle0"/>
      </w:pPr>
      <w:r>
        <w:t xml:space="preserve">Table </w:t>
      </w:r>
      <w:r w:rsidR="00B82441">
        <w:fldChar w:fldCharType="begin"/>
      </w:r>
      <w:r w:rsidR="00B82441">
        <w:instrText xml:space="preserve"> SEQ Table \* ARABIC </w:instrText>
      </w:r>
      <w:r w:rsidR="00B82441">
        <w:fldChar w:fldCharType="separate"/>
      </w:r>
      <w:r w:rsidR="007F791A">
        <w:rPr>
          <w:noProof/>
        </w:rPr>
        <w:t>5</w:t>
      </w:r>
      <w:r w:rsidR="00B82441">
        <w:rPr>
          <w:noProof/>
        </w:rPr>
        <w:fldChar w:fldCharType="end"/>
      </w:r>
      <w:r>
        <w:t xml:space="preserve">: </w:t>
      </w:r>
      <w:r w:rsidR="003C0C56">
        <w:t xml:space="preserve">US </w:t>
      </w:r>
      <w:r>
        <w:t>F</w:t>
      </w:r>
      <w:r w:rsidR="003C0C56">
        <w:t>DA (2018); Guidance for Industry</w:t>
      </w:r>
      <w:r w:rsidR="009F55F2">
        <w:t>,</w:t>
      </w:r>
      <w:r>
        <w:t xml:space="preserve"> definition of </w:t>
      </w:r>
      <w:r w:rsidR="00E76ECD">
        <w:t>BCG-</w:t>
      </w:r>
      <w:r w:rsidR="00E76ECD">
        <w:rPr>
          <w:lang w:eastAsia="ja-JP"/>
        </w:rPr>
        <w:t>unresponsive non-muscle invasive bladder cancer</w:t>
      </w:r>
    </w:p>
    <w:tbl>
      <w:tblPr>
        <w:tblStyle w:val="TableGridLight"/>
        <w:tblW w:w="0" w:type="auto"/>
        <w:tblInd w:w="-5" w:type="dxa"/>
        <w:tblLook w:val="04A0" w:firstRow="1" w:lastRow="0" w:firstColumn="1" w:lastColumn="0" w:noHBand="0" w:noVBand="1"/>
      </w:tblPr>
      <w:tblGrid>
        <w:gridCol w:w="9065"/>
      </w:tblGrid>
      <w:tr w:rsidR="00F06997" w14:paraId="37ED3EE9" w14:textId="77777777" w:rsidTr="000530FC">
        <w:tc>
          <w:tcPr>
            <w:tcW w:w="9065" w:type="dxa"/>
          </w:tcPr>
          <w:p w14:paraId="3C8EB59E" w14:textId="145DF7F7" w:rsidR="00F06997" w:rsidRPr="00F06997" w:rsidRDefault="00F06997" w:rsidP="00F06997">
            <w:r w:rsidRPr="00F06997">
              <w:t>For the purposes of this guidance, BCG-unresponsive disease is defined as being</w:t>
            </w:r>
            <w:r>
              <w:t xml:space="preserve"> at least one of the following:</w:t>
            </w:r>
          </w:p>
          <w:p w14:paraId="49DA343B" w14:textId="7E506CEC" w:rsidR="00F06997" w:rsidRPr="00F06997" w:rsidRDefault="00F06997" w:rsidP="000530FC">
            <w:pPr>
              <w:pStyle w:val="ListBullet2"/>
            </w:pPr>
            <w:r w:rsidRPr="00F06997">
              <w:t xml:space="preserve">Persistent or recurrent CIS </w:t>
            </w:r>
            <w:r w:rsidR="009F55F2">
              <w:t xml:space="preserve">[carcinoma in-situ] </w:t>
            </w:r>
            <w:r w:rsidRPr="00F06997">
              <w:t>alone or with recurrent Ta/T1 (</w:t>
            </w:r>
            <w:proofErr w:type="spellStart"/>
            <w:r w:rsidRPr="00F06997">
              <w:t>noninvasive</w:t>
            </w:r>
            <w:proofErr w:type="spellEnd"/>
            <w:r w:rsidRPr="00F06997">
              <w:t xml:space="preserve"> papillary disease/</w:t>
            </w:r>
            <w:proofErr w:type="spellStart"/>
            <w:r w:rsidRPr="00F06997">
              <w:t>tumor</w:t>
            </w:r>
            <w:proofErr w:type="spellEnd"/>
            <w:r w:rsidRPr="00F06997">
              <w:t xml:space="preserve"> invades the subepithelial connective tissue) disease within 12 months of completion of adequate BCG therapy</w:t>
            </w:r>
          </w:p>
          <w:p w14:paraId="458FA6A7" w14:textId="42F0B62C" w:rsidR="00F06997" w:rsidRPr="00F06997" w:rsidRDefault="00F06997" w:rsidP="000530FC">
            <w:pPr>
              <w:pStyle w:val="ListBullet2"/>
              <w:rPr>
                <w:sz w:val="18"/>
                <w:szCs w:val="21"/>
                <w:lang w:eastAsia="en-AU"/>
              </w:rPr>
            </w:pPr>
            <w:r w:rsidRPr="00F06997">
              <w:t>Recurrent high-grade Ta/T1 disease within 6 months of com</w:t>
            </w:r>
            <w:r>
              <w:t>pletion of adequate BCG therapy.</w:t>
            </w:r>
          </w:p>
          <w:p w14:paraId="1D4BD976" w14:textId="39FB051D" w:rsidR="00F06997" w:rsidRPr="000530FC" w:rsidRDefault="00F06997" w:rsidP="000530FC">
            <w:pPr>
              <w:pStyle w:val="ListBullet2"/>
              <w:rPr>
                <w:sz w:val="18"/>
                <w:szCs w:val="21"/>
                <w:lang w:eastAsia="en-AU"/>
              </w:rPr>
            </w:pPr>
            <w:r w:rsidRPr="00F06997">
              <w:t xml:space="preserve">T1 high-grade disease at the first evaluation following an </w:t>
            </w:r>
            <w:r w:rsidR="000530FC">
              <w:t>induction BCG course (Steinberg et </w:t>
            </w:r>
            <w:r w:rsidRPr="00F06997">
              <w:t>al. 201</w:t>
            </w:r>
            <w:r w:rsidR="000530FC">
              <w:t>6</w:t>
            </w:r>
            <w:proofErr w:type="gramStart"/>
            <w:r w:rsidR="000530FC">
              <w:t>)</w:t>
            </w:r>
            <w:r w:rsidR="009F55F2">
              <w:t>.</w:t>
            </w:r>
            <w:r w:rsidR="00E76ECD">
              <w:t>*</w:t>
            </w:r>
            <w:proofErr w:type="gramEnd"/>
          </w:p>
          <w:p w14:paraId="01E23CF7" w14:textId="0AC1C528" w:rsidR="00F06997" w:rsidRPr="00F06997" w:rsidRDefault="00F06997" w:rsidP="00F06997">
            <w:pPr>
              <w:ind w:left="113"/>
            </w:pPr>
            <w:r w:rsidRPr="00F06997">
              <w:lastRenderedPageBreak/>
              <w:t>In this context, adequate BCG therapy is defined as at least one of the following:</w:t>
            </w:r>
          </w:p>
          <w:p w14:paraId="5F4992F1" w14:textId="46B54DF2" w:rsidR="00F06997" w:rsidRPr="00F06997" w:rsidRDefault="00F06997" w:rsidP="000530FC">
            <w:pPr>
              <w:pStyle w:val="ListBullet2"/>
            </w:pPr>
            <w:r w:rsidRPr="00F06997">
              <w:t>At least five of six doses of an initial induction course plus at least two of three doses of maintenance therapy</w:t>
            </w:r>
          </w:p>
          <w:p w14:paraId="6CDEBC5D" w14:textId="032CF276" w:rsidR="00F06997" w:rsidRPr="00F06997" w:rsidRDefault="00F06997" w:rsidP="000530FC">
            <w:pPr>
              <w:pStyle w:val="ListBullet2"/>
              <w:rPr>
                <w:sz w:val="18"/>
                <w:szCs w:val="21"/>
                <w:lang w:eastAsia="en-AU"/>
              </w:rPr>
            </w:pPr>
            <w:r w:rsidRPr="00F06997">
              <w:t>At least five of six doses of an initial induction course plus at least two of six dos</w:t>
            </w:r>
            <w:r>
              <w:t>es of a second induction course.</w:t>
            </w:r>
          </w:p>
        </w:tc>
      </w:tr>
    </w:tbl>
    <w:p w14:paraId="1FC454EC" w14:textId="5295D477" w:rsidR="00F06997" w:rsidRDefault="000530FC" w:rsidP="00011226">
      <w:pPr>
        <w:pStyle w:val="TableDescription0"/>
      </w:pPr>
      <w:r>
        <w:lastRenderedPageBreak/>
        <w:t xml:space="preserve">Extract from </w:t>
      </w:r>
      <w:r w:rsidRPr="000530FC">
        <w:t>Food and Drug Administration (FDA): Bacillus Calmette-</w:t>
      </w:r>
      <w:proofErr w:type="spellStart"/>
      <w:r w:rsidRPr="000530FC">
        <w:t>Guérin</w:t>
      </w:r>
      <w:proofErr w:type="spellEnd"/>
      <w:r w:rsidRPr="000530FC">
        <w:t xml:space="preserve">-Unresponsive </w:t>
      </w:r>
      <w:proofErr w:type="spellStart"/>
      <w:r w:rsidRPr="000530FC">
        <w:t>Nonmuscle</w:t>
      </w:r>
      <w:proofErr w:type="spellEnd"/>
      <w:r w:rsidRPr="000530FC">
        <w:t xml:space="preserve"> Invasive Bladder Cancer: Developing Drugs and Biologics for Treatment. Guidance for Industry. (2018).</w:t>
      </w:r>
    </w:p>
    <w:p w14:paraId="5904CD12" w14:textId="11F4BCDE" w:rsidR="00E76ECD" w:rsidRDefault="00E76ECD" w:rsidP="00011226">
      <w:pPr>
        <w:pStyle w:val="TableDescription0"/>
      </w:pPr>
      <w:r>
        <w:t xml:space="preserve">* </w:t>
      </w:r>
      <w:r w:rsidRPr="00E76ECD">
        <w:t>Steinberg RL, Thomas LJ, Mott SL, O'Donnell MA. Bacillus Calmette-</w:t>
      </w:r>
      <w:proofErr w:type="spellStart"/>
      <w:r w:rsidRPr="00E76ECD">
        <w:t>Guérin</w:t>
      </w:r>
      <w:proofErr w:type="spellEnd"/>
      <w:r w:rsidRPr="00E76ECD">
        <w:t xml:space="preserve"> (BCG) Treatment Failures with Non-Muscle Invasive Bladder Cancer: A Data-Driven Definition for BCG Unresponsive Disease. Bladder Cancer. 2016 Apr 27;2(2):215-224.</w:t>
      </w:r>
    </w:p>
    <w:p w14:paraId="37F5A1C0" w14:textId="77777777" w:rsidR="00C22214" w:rsidRDefault="00C22214" w:rsidP="00C22214">
      <w:pPr>
        <w:pStyle w:val="Heading3"/>
      </w:pPr>
      <w:bookmarkStart w:id="53" w:name="_Toc103679295"/>
      <w:bookmarkStart w:id="54" w:name="_Toc137117838"/>
      <w:r>
        <w:t>Quality</w:t>
      </w:r>
      <w:bookmarkEnd w:id="49"/>
      <w:bookmarkEnd w:id="50"/>
      <w:bookmarkEnd w:id="53"/>
      <w:bookmarkEnd w:id="54"/>
    </w:p>
    <w:p w14:paraId="29A3BB75" w14:textId="794E9D7B" w:rsidR="00A01C56" w:rsidRDefault="00B272CF" w:rsidP="00637F0E">
      <w:r>
        <w:t>A q</w:t>
      </w:r>
      <w:r w:rsidR="00637F0E">
        <w:t xml:space="preserve">uality evaluation </w:t>
      </w:r>
      <w:r>
        <w:t>was</w:t>
      </w:r>
      <w:r w:rsidR="00637F0E">
        <w:t xml:space="preserve"> not required for this submission as there are no proposed changes to the quality of the currently approved product in Australia. A full quality evaluation was conducted at the time this produc</w:t>
      </w:r>
      <w:r>
        <w:t>t received initial registration.</w:t>
      </w:r>
      <w:r w:rsidR="00A01C56">
        <w:rPr>
          <w:rStyle w:val="FootnoteReference"/>
        </w:rPr>
        <w:footnoteReference w:id="23"/>
      </w:r>
    </w:p>
    <w:p w14:paraId="57FC77F6" w14:textId="3471DAE3" w:rsidR="007828F3" w:rsidRDefault="007828F3" w:rsidP="00637F0E">
      <w:r>
        <w:t>The following is a summary of the quality characteristics of this product:</w:t>
      </w:r>
    </w:p>
    <w:p w14:paraId="48B8F286" w14:textId="1BB0F1EF" w:rsidR="00E76ECD" w:rsidRDefault="00E76ECD" w:rsidP="00E76ECD">
      <w:r>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t>kDa</w:t>
      </w:r>
      <w:proofErr w:type="spellEnd"/>
      <w:r>
        <w:t>. Pembrolizumab is produced in Chinese hamster ovary cells by recombinant DNA technology.</w:t>
      </w:r>
    </w:p>
    <w:p w14:paraId="6E3E1917" w14:textId="5E5D0932" w:rsidR="007828F3" w:rsidRDefault="007828F3" w:rsidP="00E76ECD">
      <w:r>
        <w:t>One vial contains 100 mg of pembrolizumab in 4 mL of solution. The excipients are as follows: histidine, histidine hydrochloride monohydrate, sucrose, polysorbate 80, and water for injections.</w:t>
      </w:r>
    </w:p>
    <w:p w14:paraId="043DF31F" w14:textId="556BE084" w:rsidR="00E76ECD" w:rsidRDefault="00E76ECD" w:rsidP="00E76ECD">
      <w:r>
        <w:t xml:space="preserve">Keytruda 100 mg/4 mL concentrated injection is a sterile, preservative-free, clear to slightly opalescent, colourless to slightly yellow solution. </w:t>
      </w:r>
      <w:r w:rsidR="009D017B">
        <w:t>It should not be given as a</w:t>
      </w:r>
      <w:r>
        <w:t xml:space="preserve"> direct inf</w:t>
      </w:r>
      <w:r w:rsidR="00B272CF">
        <w:t>usion or injection.</w:t>
      </w:r>
    </w:p>
    <w:p w14:paraId="44882670" w14:textId="7B4FE230" w:rsidR="009D017B" w:rsidRDefault="009D017B" w:rsidP="00E76ECD">
      <w:r>
        <w:t xml:space="preserve">Keytruda (pembrolizumab) 100 mg/4 mL concentrated injection has a shelf-life of 24 months. The product should </w:t>
      </w:r>
      <w:proofErr w:type="gramStart"/>
      <w:r>
        <w:t>protected</w:t>
      </w:r>
      <w:proofErr w:type="gramEnd"/>
      <w:r>
        <w:t xml:space="preserve"> from light and be stored in a refrigerator (at 2°C to 8°C). Do not freeze. Do not shake.</w:t>
      </w:r>
    </w:p>
    <w:p w14:paraId="42A54A4B" w14:textId="2DEC67A5" w:rsidR="00B272CF" w:rsidRDefault="00B272CF" w:rsidP="00E76ECD">
      <w:r>
        <w:t>See the Product Information for information on preparation and administration.</w:t>
      </w:r>
    </w:p>
    <w:p w14:paraId="56F62C5F" w14:textId="77777777" w:rsidR="00B272CF" w:rsidRDefault="009D017B" w:rsidP="00E76ECD">
      <w:r>
        <w:t xml:space="preserve">Prior to preparation for administration </w:t>
      </w:r>
      <w:r w:rsidR="00B272CF">
        <w:t>e</w:t>
      </w:r>
      <w:r>
        <w:t xml:space="preserve">quilibrate the vial of </w:t>
      </w:r>
      <w:r w:rsidR="00B272CF">
        <w:t>Keytruda to room temperature. Prior to dilution, the vial of liquid can be out of refrigeration (temperatures at or below 25°C) for up to 24 hours.</w:t>
      </w:r>
    </w:p>
    <w:p w14:paraId="20BF5AC2" w14:textId="32B7F9C8" w:rsidR="009D017B" w:rsidRDefault="00B272CF" w:rsidP="00E76ECD">
      <w:r>
        <w:t>Parenteral drug products should be inspected visually for particulate matter and discoloration prior to administration. Keytruda is a clear to slightly opalescent, colourless to slightly yellow solution. Discard the vial if visible particles are observed.</w:t>
      </w:r>
    </w:p>
    <w:p w14:paraId="15421596" w14:textId="6596270F" w:rsidR="00B272CF" w:rsidRDefault="00B272CF" w:rsidP="00E76ECD">
      <w:r>
        <w:t xml:space="preserve">If not used immediately, diluted solutions of Keytruda may be stored at room temperature for a cumulative time of up to 6 hours. Diluted solutions of Keytruda may also be stored under refrigeration at 2°C to 8°C; however, the total time from dilution of Keytruda to completion of infusion should not exceed 96 hours. If refrigerated, allow the vials and/or IV bags to come to room temperature prior to use. Translucent to white proteinaceous particles may be seen in the </w:t>
      </w:r>
      <w:r>
        <w:lastRenderedPageBreak/>
        <w:t>diluted solution, and are not of concern, as particles will be removed by the filter during administration. Do not freeze the infusion solution.</w:t>
      </w:r>
    </w:p>
    <w:p w14:paraId="5B30EA0E" w14:textId="7A85F3FC" w:rsidR="00B272CF" w:rsidRDefault="00B272CF" w:rsidP="00E76ECD">
      <w:r>
        <w:t xml:space="preserve">This product is for single use in one patient only, </w:t>
      </w:r>
      <w:proofErr w:type="gramStart"/>
      <w:r>
        <w:t>The</w:t>
      </w:r>
      <w:proofErr w:type="gramEnd"/>
      <w:r>
        <w:t xml:space="preserve"> product does not contain preservative. A diluted product should be used immediately. Discard any residue.</w:t>
      </w:r>
    </w:p>
    <w:p w14:paraId="2BE90AAE" w14:textId="77777777" w:rsidR="00C22214" w:rsidRDefault="00C22214" w:rsidP="00C22214">
      <w:pPr>
        <w:pStyle w:val="Heading3"/>
      </w:pPr>
      <w:bookmarkStart w:id="55" w:name="_Toc314842512"/>
      <w:bookmarkStart w:id="56" w:name="_Toc103679296"/>
      <w:bookmarkStart w:id="57" w:name="_Toc137117839"/>
      <w:r>
        <w:t>Nonclinical</w:t>
      </w:r>
      <w:bookmarkEnd w:id="55"/>
      <w:bookmarkEnd w:id="56"/>
      <w:bookmarkEnd w:id="57"/>
    </w:p>
    <w:p w14:paraId="03CED824" w14:textId="2B656652" w:rsidR="008804CF" w:rsidRPr="008804CF" w:rsidRDefault="008804CF" w:rsidP="008804CF">
      <w:bookmarkStart w:id="58" w:name="_Toc247691530"/>
      <w:bookmarkStart w:id="59" w:name="_Toc314842513"/>
      <w:bookmarkStart w:id="60" w:name="_Toc103679297"/>
      <w:r w:rsidRPr="008804CF">
        <w:t>No new nonclinical data or further nonclinical evaluation were required for this submission.</w:t>
      </w:r>
    </w:p>
    <w:p w14:paraId="15C51A23" w14:textId="76BE9039" w:rsidR="008804CF" w:rsidRDefault="008804CF" w:rsidP="008804CF">
      <w:pPr>
        <w:rPr>
          <w:b/>
          <w:bCs/>
        </w:rPr>
      </w:pPr>
      <w:r w:rsidRPr="008804CF">
        <w:t>The TGA considers that previously submitted and evaluated data satisfactorily address nonclinical aspects of safety/efficacy relating to this submission</w:t>
      </w:r>
      <w:r w:rsidR="00F865A7">
        <w:t>.</w:t>
      </w:r>
    </w:p>
    <w:p w14:paraId="35B580A5" w14:textId="69B9BE44" w:rsidR="00C22214" w:rsidRDefault="00C22214" w:rsidP="008804CF">
      <w:pPr>
        <w:pStyle w:val="Heading3"/>
      </w:pPr>
      <w:bookmarkStart w:id="61" w:name="_Toc137117840"/>
      <w:r>
        <w:t>Clinical</w:t>
      </w:r>
      <w:bookmarkEnd w:id="58"/>
      <w:bookmarkEnd w:id="59"/>
      <w:bookmarkEnd w:id="60"/>
      <w:bookmarkEnd w:id="61"/>
    </w:p>
    <w:p w14:paraId="32B0DEDA" w14:textId="5F2FAD03" w:rsidR="00C22214" w:rsidRDefault="00C22214" w:rsidP="00433318">
      <w:pPr>
        <w:pStyle w:val="Heading4"/>
      </w:pPr>
      <w:bookmarkStart w:id="62" w:name="_Toc98931928"/>
      <w:bookmarkStart w:id="63" w:name="_Toc137117841"/>
      <w:r>
        <w:t>Summary of clinical studies</w:t>
      </w:r>
      <w:bookmarkEnd w:id="62"/>
      <w:bookmarkEnd w:id="63"/>
    </w:p>
    <w:p w14:paraId="0B8C981C" w14:textId="6D439C06" w:rsidR="00EE40C6" w:rsidRDefault="00EE40C6" w:rsidP="00EE40C6">
      <w:r w:rsidRPr="00FC426D">
        <w:t xml:space="preserve">The main clinical data supporting the proposed indication included a full study report for </w:t>
      </w:r>
      <w:r w:rsidR="00074F9D">
        <w:t>the Keynote</w:t>
      </w:r>
      <w:r w:rsidR="00074F9D">
        <w:noBreakHyphen/>
        <w:t>057 trial;</w:t>
      </w:r>
      <w:bookmarkStart w:id="64" w:name="_Ref130382569"/>
      <w:r w:rsidR="00074F9D">
        <w:rPr>
          <w:rStyle w:val="FootnoteReference"/>
        </w:rPr>
        <w:footnoteReference w:id="24"/>
      </w:r>
      <w:bookmarkEnd w:id="64"/>
      <w:r w:rsidR="00074F9D">
        <w:rPr>
          <w:vertAlign w:val="superscript"/>
        </w:rPr>
        <w:t>,</w:t>
      </w:r>
      <w:bookmarkStart w:id="65" w:name="_Ref130382675"/>
      <w:r w:rsidR="00074F9D">
        <w:rPr>
          <w:rStyle w:val="FootnoteReference"/>
        </w:rPr>
        <w:footnoteReference w:id="25"/>
      </w:r>
      <w:bookmarkEnd w:id="65"/>
      <w:r w:rsidR="00074F9D" w:rsidRPr="00EE40C6">
        <w:t xml:space="preserve"> </w:t>
      </w:r>
      <w:r w:rsidRPr="00FC426D">
        <w:rPr>
          <w:bCs/>
        </w:rPr>
        <w:t>and a</w:t>
      </w:r>
      <w:r w:rsidRPr="00FC426D">
        <w:t>n integrated summary of safety data</w:t>
      </w:r>
      <w:r>
        <w:t>.</w:t>
      </w:r>
    </w:p>
    <w:p w14:paraId="6A6B0B82" w14:textId="0501DF02" w:rsidR="00867CBE" w:rsidRDefault="00867CBE" w:rsidP="00867CBE">
      <w:pPr>
        <w:rPr>
          <w:lang w:eastAsia="ja-JP"/>
        </w:rPr>
      </w:pPr>
      <w:r>
        <w:rPr>
          <w:lang w:eastAsia="ja-JP"/>
        </w:rPr>
        <w:t>No paediatric data were included in the submission. Urothelial carcinoma of the bladder is very rare in children.</w:t>
      </w:r>
      <w:r>
        <w:rPr>
          <w:rStyle w:val="FootnoteReference"/>
          <w:lang w:eastAsia="ja-JP"/>
        </w:rPr>
        <w:footnoteReference w:id="26"/>
      </w:r>
      <w:r>
        <w:rPr>
          <w:lang w:eastAsia="ja-JP"/>
        </w:rPr>
        <w:t xml:space="preserve"> The sponsor had received a waiver from the </w:t>
      </w:r>
      <w:r w:rsidR="009F55F2">
        <w:rPr>
          <w:lang w:eastAsia="ja-JP"/>
        </w:rPr>
        <w:t xml:space="preserve">US </w:t>
      </w:r>
      <w:r>
        <w:rPr>
          <w:lang w:eastAsia="ja-JP"/>
        </w:rPr>
        <w:t xml:space="preserve">FDA for the conduct of paediatric studies on the grounds that </w:t>
      </w:r>
      <w:r>
        <w:rPr>
          <w:i/>
          <w:iCs/>
          <w:lang w:eastAsia="ja-JP"/>
        </w:rPr>
        <w:t>‘</w:t>
      </w:r>
      <w:r w:rsidRPr="00132E11">
        <w:rPr>
          <w:i/>
          <w:iCs/>
          <w:lang w:eastAsia="ja-JP"/>
        </w:rPr>
        <w:t>necessary studies are imp</w:t>
      </w:r>
      <w:r>
        <w:rPr>
          <w:i/>
          <w:iCs/>
          <w:lang w:eastAsia="ja-JP"/>
        </w:rPr>
        <w:t>ossible or highly impracticable’</w:t>
      </w:r>
      <w:r>
        <w:rPr>
          <w:lang w:eastAsia="ja-JP"/>
        </w:rPr>
        <w:t>.</w:t>
      </w:r>
    </w:p>
    <w:p w14:paraId="0D09DCAE" w14:textId="4339B506" w:rsidR="00867CBE" w:rsidRDefault="00867CBE" w:rsidP="00867CBE">
      <w:pPr>
        <w:rPr>
          <w:lang w:eastAsia="ja-JP"/>
        </w:rPr>
      </w:pPr>
      <w:r>
        <w:rPr>
          <w:lang w:eastAsia="ja-JP"/>
        </w:rPr>
        <w:t xml:space="preserve">The study report for the single clinical trial in the submission included an assurance that the study </w:t>
      </w:r>
      <w:r>
        <w:rPr>
          <w:i/>
          <w:iCs/>
          <w:lang w:eastAsia="ja-JP"/>
        </w:rPr>
        <w:t>‘…</w:t>
      </w:r>
      <w:r w:rsidRPr="00B055A2">
        <w:rPr>
          <w:i/>
          <w:iCs/>
          <w:lang w:eastAsia="ja-JP"/>
        </w:rPr>
        <w:t>was conducted in conformance with the ethical principles originating from the Declaration of Helsinki, GCP</w:t>
      </w:r>
      <w:r w:rsidR="003503D1">
        <w:rPr>
          <w:i/>
          <w:iCs/>
          <w:lang w:eastAsia="ja-JP"/>
        </w:rPr>
        <w:t xml:space="preserve"> </w:t>
      </w:r>
      <w:r w:rsidR="003503D1" w:rsidRPr="00011226">
        <w:rPr>
          <w:iCs/>
          <w:lang w:eastAsia="ja-JP"/>
        </w:rPr>
        <w:t>[Good Clinical Practice]</w:t>
      </w:r>
      <w:r w:rsidRPr="00B055A2">
        <w:rPr>
          <w:i/>
          <w:iCs/>
          <w:lang w:eastAsia="ja-JP"/>
        </w:rPr>
        <w:t xml:space="preserve"> requirements, and applicable country and/or l</w:t>
      </w:r>
      <w:r>
        <w:rPr>
          <w:i/>
          <w:iCs/>
          <w:lang w:eastAsia="ja-JP"/>
        </w:rPr>
        <w:t>ocal statutes and regulations …’</w:t>
      </w:r>
      <w:r>
        <w:rPr>
          <w:lang w:eastAsia="ja-JP"/>
        </w:rPr>
        <w:t>.</w:t>
      </w:r>
    </w:p>
    <w:p w14:paraId="5D57FE1E" w14:textId="77777777" w:rsidR="00EE40C6" w:rsidRDefault="00EE40C6" w:rsidP="00EE40C6">
      <w:pPr>
        <w:pStyle w:val="Heading4"/>
      </w:pPr>
      <w:bookmarkStart w:id="66" w:name="_Toc137117842"/>
      <w:r w:rsidRPr="00AA53F4">
        <w:t>Efficacy</w:t>
      </w:r>
      <w:bookmarkEnd w:id="66"/>
    </w:p>
    <w:p w14:paraId="28BBF668" w14:textId="6274AA8C" w:rsidR="00CB3713" w:rsidRDefault="00CB3713" w:rsidP="00CB3713">
      <w:pPr>
        <w:pStyle w:val="Heading5"/>
      </w:pPr>
      <w:r>
        <w:t>The Keynote-057 trial</w:t>
      </w:r>
    </w:p>
    <w:p w14:paraId="13BCAEDA" w14:textId="146E4991" w:rsidR="00EE40C6" w:rsidRDefault="00074F9D" w:rsidP="00EE40C6">
      <w:r>
        <w:t xml:space="preserve">Study </w:t>
      </w:r>
      <w:r w:rsidRPr="00CB3713">
        <w:t>MK-3475-057</w:t>
      </w:r>
      <w:r>
        <w:t xml:space="preserve"> (otherwise referred to as the Keynote-057 trial);</w:t>
      </w:r>
      <w:r w:rsidRPr="00074F9D">
        <w:rPr>
          <w:vertAlign w:val="superscript"/>
        </w:rPr>
        <w:fldChar w:fldCharType="begin"/>
      </w:r>
      <w:r w:rsidRPr="00074F9D">
        <w:rPr>
          <w:vertAlign w:val="superscript"/>
        </w:rPr>
        <w:instrText xml:space="preserve"> NOTEREF _Ref130382569 \h </w:instrText>
      </w:r>
      <w:r>
        <w:rPr>
          <w:vertAlign w:val="superscript"/>
        </w:rPr>
        <w:instrText xml:space="preserve"> \* MERGEFORMAT </w:instrText>
      </w:r>
      <w:r w:rsidRPr="00074F9D">
        <w:rPr>
          <w:vertAlign w:val="superscript"/>
        </w:rPr>
      </w:r>
      <w:r w:rsidRPr="00074F9D">
        <w:rPr>
          <w:vertAlign w:val="superscript"/>
        </w:rPr>
        <w:fldChar w:fldCharType="separate"/>
      </w:r>
      <w:r w:rsidR="007F791A">
        <w:rPr>
          <w:vertAlign w:val="superscript"/>
        </w:rPr>
        <w:t>23</w:t>
      </w:r>
      <w:r w:rsidRPr="00074F9D">
        <w:rPr>
          <w:vertAlign w:val="superscript"/>
        </w:rPr>
        <w:fldChar w:fldCharType="end"/>
      </w:r>
      <w:r w:rsidRPr="00074F9D">
        <w:rPr>
          <w:vertAlign w:val="superscript"/>
        </w:rPr>
        <w:t>,</w:t>
      </w:r>
      <w:r w:rsidRPr="00074F9D">
        <w:rPr>
          <w:vertAlign w:val="superscript"/>
        </w:rPr>
        <w:fldChar w:fldCharType="begin"/>
      </w:r>
      <w:r w:rsidRPr="00074F9D">
        <w:rPr>
          <w:vertAlign w:val="superscript"/>
        </w:rPr>
        <w:instrText xml:space="preserve"> NOTEREF _Ref130382675 \h </w:instrText>
      </w:r>
      <w:r>
        <w:rPr>
          <w:vertAlign w:val="superscript"/>
        </w:rPr>
        <w:instrText xml:space="preserve"> \* MERGEFORMAT </w:instrText>
      </w:r>
      <w:r w:rsidRPr="00074F9D">
        <w:rPr>
          <w:vertAlign w:val="superscript"/>
        </w:rPr>
      </w:r>
      <w:r w:rsidRPr="00074F9D">
        <w:rPr>
          <w:vertAlign w:val="superscript"/>
        </w:rPr>
        <w:fldChar w:fldCharType="separate"/>
      </w:r>
      <w:r w:rsidR="007F791A">
        <w:rPr>
          <w:vertAlign w:val="superscript"/>
        </w:rPr>
        <w:t>24</w:t>
      </w:r>
      <w:r w:rsidRPr="00074F9D">
        <w:rPr>
          <w:vertAlign w:val="superscript"/>
        </w:rPr>
        <w:fldChar w:fldCharType="end"/>
      </w:r>
      <w:r>
        <w:t xml:space="preserve"> </w:t>
      </w:r>
      <w:r w:rsidR="00EE40C6" w:rsidRPr="00EE40C6">
        <w:t xml:space="preserve">is an ongoing, multicentre, multinational, </w:t>
      </w:r>
      <w:r w:rsidR="00EE40C6">
        <w:t>Phase II</w:t>
      </w:r>
      <w:r w:rsidR="00EE40C6" w:rsidRPr="00EE40C6">
        <w:t xml:space="preserve">, open-label study in adult patients with high risk </w:t>
      </w:r>
      <w:r w:rsidR="009001D1" w:rsidRPr="009001D1">
        <w:t xml:space="preserve">non-muscle-invasive bladder cancer </w:t>
      </w:r>
      <w:r w:rsidR="00EE40C6" w:rsidRPr="00EE40C6">
        <w:t>unresponsive to BCG and ineligible for/</w:t>
      </w:r>
      <w:r w:rsidR="009F55F2">
        <w:t xml:space="preserve">or </w:t>
      </w:r>
      <w:r w:rsidR="00EE40C6" w:rsidRPr="00EE40C6">
        <w:t>unwilling to undergo radical cystectomy</w:t>
      </w:r>
      <w:r w:rsidR="009F55F2">
        <w:t>. The study</w:t>
      </w:r>
      <w:r w:rsidR="00EE40C6" w:rsidRPr="00EE40C6">
        <w:t xml:space="preserve"> commenced in 2016 and is </w:t>
      </w:r>
      <w:r w:rsidR="009F55F2">
        <w:t xml:space="preserve">still </w:t>
      </w:r>
      <w:r w:rsidR="00EE40C6" w:rsidRPr="00EE40C6">
        <w:t>ongoing</w:t>
      </w:r>
      <w:r w:rsidR="00EE40C6">
        <w:t>.</w:t>
      </w:r>
    </w:p>
    <w:p w14:paraId="0A889536" w14:textId="35489937" w:rsidR="00CB3713" w:rsidRDefault="00CB3713" w:rsidP="00CB3713">
      <w:pPr>
        <w:pStyle w:val="Heading5"/>
      </w:pPr>
      <w:bookmarkStart w:id="67" w:name="_Ref130308643"/>
      <w:r>
        <w:t>Inclusion and exclusion criteria</w:t>
      </w:r>
      <w:bookmarkEnd w:id="67"/>
    </w:p>
    <w:p w14:paraId="488C8E87" w14:textId="4B800D3C" w:rsidR="00EE40C6" w:rsidRDefault="00EE40C6" w:rsidP="00EE40C6">
      <w:r>
        <w:t>Key inclusion criteria were:</w:t>
      </w:r>
    </w:p>
    <w:p w14:paraId="5344A6C3" w14:textId="06FC9FA2" w:rsidR="00EE40C6" w:rsidRDefault="00EE40C6" w:rsidP="00EE40C6">
      <w:pPr>
        <w:pStyle w:val="ListBullet"/>
      </w:pPr>
      <w:r>
        <w:t>Adults</w:t>
      </w:r>
      <w:r w:rsidR="009001D1">
        <w:t>; with</w:t>
      </w:r>
    </w:p>
    <w:p w14:paraId="0BBE58E4" w14:textId="74CE447E" w:rsidR="00EE40C6" w:rsidRDefault="009001D1" w:rsidP="009001D1">
      <w:pPr>
        <w:pStyle w:val="ListBullet"/>
      </w:pPr>
      <w:r>
        <w:lastRenderedPageBreak/>
        <w:t>h</w:t>
      </w:r>
      <w:r w:rsidR="00EE40C6">
        <w:t xml:space="preserve">istologically confirmed high risk </w:t>
      </w:r>
      <w:r w:rsidRPr="009001D1">
        <w:t xml:space="preserve">non-muscle-invasive bladder cancer </w:t>
      </w:r>
      <w:r w:rsidR="00EE40C6">
        <w:t>(</w:t>
      </w:r>
      <w:r>
        <w:t>transition cell carcinoma/transition cell-</w:t>
      </w:r>
      <w:r w:rsidR="00EE40C6">
        <w:t>dominant tumour</w:t>
      </w:r>
      <w:proofErr w:type="gramStart"/>
      <w:r w:rsidR="00EE40C6">
        <w:t>)</w:t>
      </w:r>
      <w:r>
        <w:t>;</w:t>
      </w:r>
      <w:proofErr w:type="gramEnd"/>
    </w:p>
    <w:p w14:paraId="2064D256" w14:textId="472A0C17" w:rsidR="00EE40C6" w:rsidRDefault="00EE40C6" w:rsidP="00EE40C6">
      <w:pPr>
        <w:pStyle w:val="ListBullet"/>
      </w:pPr>
      <w:r>
        <w:t xml:space="preserve">Ta/T1 </w:t>
      </w:r>
      <w:r w:rsidR="009001D1">
        <w:t>tumours</w:t>
      </w:r>
      <w:r w:rsidR="00EB4587">
        <w:t>;</w:t>
      </w:r>
      <w:bookmarkStart w:id="68" w:name="_Ref130480253"/>
      <w:r w:rsidR="00EB4587">
        <w:rPr>
          <w:rStyle w:val="FootnoteReference"/>
        </w:rPr>
        <w:footnoteReference w:id="27"/>
      </w:r>
      <w:bookmarkEnd w:id="68"/>
      <w:r w:rsidR="009001D1">
        <w:t xml:space="preserve"> </w:t>
      </w:r>
      <w:r>
        <w:t xml:space="preserve">must have had complete </w:t>
      </w:r>
      <w:r w:rsidR="009001D1">
        <w:t>transurethral resection of bladder tumour (TURBT)</w:t>
      </w:r>
      <w:r>
        <w:t xml:space="preserve"> (absence of </w:t>
      </w:r>
      <w:proofErr w:type="spellStart"/>
      <w:r>
        <w:t>resectable</w:t>
      </w:r>
      <w:proofErr w:type="spellEnd"/>
      <w:r>
        <w:t xml:space="preserve"> disease after </w:t>
      </w:r>
      <w:r w:rsidRPr="00110985">
        <w:t>≥</w:t>
      </w:r>
      <w:r>
        <w:t xml:space="preserve"> 2 cystoscopy/TURBT procedures and most recent </w:t>
      </w:r>
      <w:r w:rsidR="009001D1">
        <w:t>(</w:t>
      </w:r>
      <w:r w:rsidRPr="005C4F6B">
        <w:t>≤</w:t>
      </w:r>
      <w:r>
        <w:t xml:space="preserve"> 8 weeks prior to first treatment dose) or residual </w:t>
      </w:r>
      <w:r w:rsidR="003503D1">
        <w:t>carcinoma in-situ</w:t>
      </w:r>
      <w:r>
        <w:t xml:space="preserve"> not amenable to complete TURBT)</w:t>
      </w:r>
      <w:r w:rsidR="009001D1">
        <w:t>.</w:t>
      </w:r>
      <w:r>
        <w:rPr>
          <w:rStyle w:val="FootnoteReference"/>
        </w:rPr>
        <w:footnoteReference w:id="28"/>
      </w:r>
    </w:p>
    <w:p w14:paraId="56E5E6DC" w14:textId="124F33A6" w:rsidR="00EE40C6" w:rsidRDefault="00EE40C6" w:rsidP="00EE40C6">
      <w:pPr>
        <w:pStyle w:val="ListBullet"/>
      </w:pPr>
      <w:r>
        <w:t>Adequate BCG therapy of 7 instillations (5</w:t>
      </w:r>
      <w:r w:rsidR="009001D1">
        <w:t xml:space="preserve"> </w:t>
      </w:r>
      <w:r>
        <w:t xml:space="preserve">x induction instillations then </w:t>
      </w:r>
      <w:r w:rsidRPr="00110985">
        <w:t>≥</w:t>
      </w:r>
      <w:r>
        <w:t xml:space="preserve"> 2 BCG maintenance instillations or second induction of 2 instillations starting </w:t>
      </w:r>
      <w:r w:rsidRPr="005C4F6B">
        <w:t>≤</w:t>
      </w:r>
      <w:r>
        <w:t xml:space="preserve"> 9 months from diagnosis), </w:t>
      </w:r>
      <w:r w:rsidRPr="00EE40C6">
        <w:rPr>
          <w:i/>
        </w:rPr>
        <w:t>or</w:t>
      </w:r>
    </w:p>
    <w:p w14:paraId="4CD679E9" w14:textId="3C565459" w:rsidR="00EE40C6" w:rsidRDefault="00EE40C6" w:rsidP="009001D1">
      <w:pPr>
        <w:pStyle w:val="ListBullet"/>
      </w:pPr>
      <w:r>
        <w:t xml:space="preserve">BCG unresponsive high risk </w:t>
      </w:r>
      <w:r w:rsidR="009001D1" w:rsidRPr="009001D1">
        <w:t xml:space="preserve">non-muscle-invasive bladder cancer </w:t>
      </w:r>
      <w:r>
        <w:t xml:space="preserve">(persistent </w:t>
      </w:r>
      <w:r w:rsidRPr="00D56833">
        <w:t>high r</w:t>
      </w:r>
      <w:r>
        <w:t xml:space="preserve">isk </w:t>
      </w:r>
      <w:r w:rsidR="009001D1" w:rsidRPr="009001D1">
        <w:t xml:space="preserve">non-muscle-invasive bladder cancer </w:t>
      </w:r>
      <w:r>
        <w:t xml:space="preserve">6 months after </w:t>
      </w:r>
      <w:r w:rsidRPr="00D56833">
        <w:t>BCG initiation despite ad</w:t>
      </w:r>
      <w:r>
        <w:t xml:space="preserve">equate BCG therapy; or high grade T1 disease after the first evaluation after adequate BCG induction; or stage/grade progression </w:t>
      </w:r>
      <w:r w:rsidRPr="00110985">
        <w:t>≥</w:t>
      </w:r>
      <w:r w:rsidR="009001D1">
        <w:t> 3 </w:t>
      </w:r>
      <w:r w:rsidRPr="00D56833">
        <w:t>months</w:t>
      </w:r>
      <w:r>
        <w:t xml:space="preserve"> (± 4 weeks) despite adequate induction</w:t>
      </w:r>
      <w:r w:rsidRPr="00D56833">
        <w:t xml:space="preserve"> BCG therapy</w:t>
      </w:r>
      <w:r>
        <w:t>;</w:t>
      </w:r>
      <w:r w:rsidRPr="00D56833">
        <w:t xml:space="preserve"> or recurrence of </w:t>
      </w:r>
      <w:proofErr w:type="gramStart"/>
      <w:r w:rsidRPr="00D56833">
        <w:t>high risk</w:t>
      </w:r>
      <w:proofErr w:type="gramEnd"/>
      <w:r w:rsidRPr="00D56833">
        <w:t xml:space="preserve"> </w:t>
      </w:r>
      <w:r w:rsidR="009001D1" w:rsidRPr="009001D1">
        <w:t xml:space="preserve">non-muscle-invasive bladder cancer </w:t>
      </w:r>
      <w:r>
        <w:t>&lt;</w:t>
      </w:r>
      <w:r w:rsidR="009001D1">
        <w:t xml:space="preserve"> </w:t>
      </w:r>
      <w:r>
        <w:t>9</w:t>
      </w:r>
      <w:r w:rsidRPr="00D56833">
        <w:t xml:space="preserve"> months </w:t>
      </w:r>
      <w:r>
        <w:t xml:space="preserve">from </w:t>
      </w:r>
      <w:r w:rsidRPr="00D56833">
        <w:t>last BCG treatment</w:t>
      </w:r>
      <w:r>
        <w:t xml:space="preserve"> despite adequate treatment)</w:t>
      </w:r>
      <w:r w:rsidRPr="00D56833">
        <w:t>.</w:t>
      </w:r>
    </w:p>
    <w:p w14:paraId="5B0FC060" w14:textId="7DC235D0" w:rsidR="00EE40C6" w:rsidRDefault="00EE40C6" w:rsidP="00EE40C6">
      <w:pPr>
        <w:pStyle w:val="ListBullet"/>
      </w:pPr>
      <w:r>
        <w:t xml:space="preserve">Ineligible for radical cystectomy because of </w:t>
      </w:r>
      <w:r w:rsidR="009001D1">
        <w:t>cardiovascular</w:t>
      </w:r>
      <w:r>
        <w:t xml:space="preserve"> disease, </w:t>
      </w:r>
      <w:r w:rsidR="009001D1">
        <w:t>chronic obstructive pulmonary disease;</w:t>
      </w:r>
      <w:r>
        <w:t xml:space="preserve"> ECOG </w:t>
      </w:r>
      <w:r w:rsidR="009001D1">
        <w:t>PS &gt; 2;</w:t>
      </w:r>
      <w:bookmarkStart w:id="69" w:name="_Ref130479757"/>
      <w:r w:rsidR="009001D1">
        <w:rPr>
          <w:rStyle w:val="FootnoteReference"/>
        </w:rPr>
        <w:footnoteReference w:id="29"/>
      </w:r>
      <w:bookmarkEnd w:id="69"/>
      <w:r>
        <w:t xml:space="preserve"> prior abdominal and pelvic surgery (procedure unsafe); </w:t>
      </w:r>
      <w:r w:rsidRPr="00EE40C6">
        <w:rPr>
          <w:i/>
        </w:rPr>
        <w:t>or</w:t>
      </w:r>
      <w:r>
        <w:t xml:space="preserve"> unwilling to undergo radical cystectomy</w:t>
      </w:r>
    </w:p>
    <w:p w14:paraId="06540FD3" w14:textId="6E6F9883" w:rsidR="00EE40C6" w:rsidRDefault="00EE40C6" w:rsidP="00EE40C6">
      <w:pPr>
        <w:pStyle w:val="ListBullet"/>
      </w:pPr>
      <w:r>
        <w:t>Tissue for biomarker analysis from 2 most recent cystoscopy/TURBT procedures (</w:t>
      </w:r>
      <w:r w:rsidRPr="005C4F6B">
        <w:t>≤</w:t>
      </w:r>
      <w:r>
        <w:t xml:space="preserve"> 8 weeks from initial treatment)</w:t>
      </w:r>
    </w:p>
    <w:p w14:paraId="61EFC92C" w14:textId="03788D69" w:rsidR="00EE40C6" w:rsidRDefault="00EE40C6" w:rsidP="00EE40C6">
      <w:pPr>
        <w:pStyle w:val="ListBullet"/>
      </w:pPr>
      <w:r>
        <w:t xml:space="preserve">ECOG </w:t>
      </w:r>
      <w:r w:rsidRPr="005C4F6B">
        <w:t>≤</w:t>
      </w:r>
      <w:r>
        <w:t xml:space="preserve"> 2 (limited to &lt;5% had ECOG 2).</w:t>
      </w:r>
      <w:r w:rsidR="009001D1" w:rsidRPr="009001D1">
        <w:rPr>
          <w:vertAlign w:val="superscript"/>
        </w:rPr>
        <w:fldChar w:fldCharType="begin"/>
      </w:r>
      <w:r w:rsidR="009001D1" w:rsidRPr="009001D1">
        <w:rPr>
          <w:vertAlign w:val="superscript"/>
        </w:rPr>
        <w:instrText xml:space="preserve"> NOTEREF _Ref130479757 \h </w:instrText>
      </w:r>
      <w:r w:rsidR="009001D1">
        <w:rPr>
          <w:vertAlign w:val="superscript"/>
        </w:rPr>
        <w:instrText xml:space="preserve"> \* MERGEFORMAT </w:instrText>
      </w:r>
      <w:r w:rsidR="009001D1" w:rsidRPr="009001D1">
        <w:rPr>
          <w:vertAlign w:val="superscript"/>
        </w:rPr>
      </w:r>
      <w:r w:rsidR="009001D1" w:rsidRPr="009001D1">
        <w:rPr>
          <w:vertAlign w:val="superscript"/>
        </w:rPr>
        <w:fldChar w:fldCharType="separate"/>
      </w:r>
      <w:r w:rsidR="007F791A">
        <w:rPr>
          <w:vertAlign w:val="superscript"/>
        </w:rPr>
        <w:t>28</w:t>
      </w:r>
      <w:r w:rsidR="009001D1" w:rsidRPr="009001D1">
        <w:rPr>
          <w:vertAlign w:val="superscript"/>
        </w:rPr>
        <w:fldChar w:fldCharType="end"/>
      </w:r>
    </w:p>
    <w:p w14:paraId="47058DAD" w14:textId="17234AEC" w:rsidR="00EE40C6" w:rsidRPr="00EE40C6" w:rsidRDefault="00EE40C6" w:rsidP="00EE40C6">
      <w:r w:rsidRPr="00EE40C6">
        <w:t>Exclusion criteria were numerous and included T2, T3, or T4 disease;</w:t>
      </w:r>
      <w:r w:rsidR="00EB4587" w:rsidRPr="00EB4587">
        <w:rPr>
          <w:vertAlign w:val="superscript"/>
        </w:rPr>
        <w:fldChar w:fldCharType="begin"/>
      </w:r>
      <w:r w:rsidR="00EB4587" w:rsidRPr="00EB4587">
        <w:rPr>
          <w:vertAlign w:val="superscript"/>
        </w:rPr>
        <w:instrText xml:space="preserve"> NOTEREF _Ref130480253 \h </w:instrText>
      </w:r>
      <w:r w:rsidR="00EB4587">
        <w:rPr>
          <w:vertAlign w:val="superscript"/>
        </w:rPr>
        <w:instrText xml:space="preserve"> \* MERGEFORMAT </w:instrText>
      </w:r>
      <w:r w:rsidR="00EB4587" w:rsidRPr="00EB4587">
        <w:rPr>
          <w:vertAlign w:val="superscript"/>
        </w:rPr>
      </w:r>
      <w:r w:rsidR="00EB4587" w:rsidRPr="00EB4587">
        <w:rPr>
          <w:vertAlign w:val="superscript"/>
        </w:rPr>
        <w:fldChar w:fldCharType="separate"/>
      </w:r>
      <w:r w:rsidR="007F791A">
        <w:rPr>
          <w:vertAlign w:val="superscript"/>
        </w:rPr>
        <w:t>26</w:t>
      </w:r>
      <w:r w:rsidR="00EB4587" w:rsidRPr="00EB4587">
        <w:rPr>
          <w:vertAlign w:val="superscript"/>
        </w:rPr>
        <w:fldChar w:fldCharType="end"/>
      </w:r>
      <w:r w:rsidRPr="00EE40C6">
        <w:t xml:space="preserve"> concurrent extra-vesical (</w:t>
      </w:r>
      <w:r w:rsidR="009F55F2">
        <w:t>that is</w:t>
      </w:r>
      <w:r w:rsidRPr="00EE40C6">
        <w:t xml:space="preserve"> urethra, ureter or renal pelvis) non-muscle invasive transitional cell carcinoma of the urothelium; any intravesical chemotherapy or immunotherapy from the time of the most recent cystoscopy/TURBT to the start of trial treatment; prior chemotherapy, targeted small molecule therapy, or radiation therapy within 2 weeks of Cycle 1, Day </w:t>
      </w:r>
      <w:r w:rsidR="00EB4587">
        <w:t>1 or who has not recovered (that is, ≤ Grade 1 or at B</w:t>
      </w:r>
      <w:r w:rsidRPr="00EE40C6">
        <w:t>aseline) from adverse events due to a previously administered agent (Grade ≤ 2 neuropathy or alopecia may qualify); prior therapy with an anti-PD-1, anti-PD-L1, anti-PD-L2 agent, or with an agent directed to another co-inhibitory T-cell receptor (</w:t>
      </w:r>
      <w:r w:rsidR="00EB4587">
        <w:t>for example,</w:t>
      </w:r>
      <w:r w:rsidRPr="00EE40C6">
        <w:t xml:space="preserve"> CTLA-4, OX-40,</w:t>
      </w:r>
      <w:r w:rsidR="00EB4587">
        <w:t xml:space="preserve"> or</w:t>
      </w:r>
      <w:r w:rsidRPr="00EE40C6">
        <w:t xml:space="preserve"> CD137).</w:t>
      </w:r>
    </w:p>
    <w:p w14:paraId="3A2A56E3" w14:textId="24FC3D8A" w:rsidR="00EE40C6" w:rsidRDefault="00EE40C6" w:rsidP="00CB3713">
      <w:pPr>
        <w:pStyle w:val="TableTitle0"/>
      </w:pPr>
      <w:r>
        <w:lastRenderedPageBreak/>
        <w:t xml:space="preserve">Figure </w:t>
      </w:r>
      <w:r w:rsidR="00B82441">
        <w:fldChar w:fldCharType="begin"/>
      </w:r>
      <w:r w:rsidR="00B82441">
        <w:instrText xml:space="preserve"> SEQ Figure \* ARABIC</w:instrText>
      </w:r>
      <w:r w:rsidR="00B82441">
        <w:instrText xml:space="preserve"> </w:instrText>
      </w:r>
      <w:r w:rsidR="00B82441">
        <w:fldChar w:fldCharType="separate"/>
      </w:r>
      <w:r w:rsidR="007F791A">
        <w:rPr>
          <w:noProof/>
        </w:rPr>
        <w:t>2</w:t>
      </w:r>
      <w:r w:rsidR="00B82441">
        <w:rPr>
          <w:noProof/>
        </w:rPr>
        <w:fldChar w:fldCharType="end"/>
      </w:r>
      <w:r>
        <w:t>: Keynote-057</w:t>
      </w:r>
      <w:r w:rsidR="00CB3713">
        <w:t xml:space="preserve"> trial;</w:t>
      </w:r>
      <w:r>
        <w:t xml:space="preserve"> Study schematic and overview</w:t>
      </w:r>
    </w:p>
    <w:p w14:paraId="29771519" w14:textId="408BF12A" w:rsidR="004E1762" w:rsidRDefault="004E1762" w:rsidP="00CB3713">
      <w:pPr>
        <w:pStyle w:val="TableTitle0"/>
      </w:pPr>
      <w:r>
        <w:rPr>
          <w:noProof/>
          <w:lang w:val="en-GB" w:eastAsia="en-GB"/>
        </w:rPr>
        <w:drawing>
          <wp:inline distT="0" distB="0" distL="0" distR="0" wp14:anchorId="453C8002" wp14:editId="2722E613">
            <wp:extent cx="5819775" cy="2832291"/>
            <wp:effectExtent l="0" t="0" r="0" b="6350"/>
            <wp:docPr id="4" name="Picture 4" descr="A diagram showing the design and an overview of the Keynote-057 trial.&#10;&#10;All subjects in both cohorts were treated with pembrolizumab 200 mg IV on Day 1 of a 21-day cycle. The drug was administered as an infusion over 30 minutes. The formulation/presentation of pembrolizumab that was used in the study was not stated. Doses could be withheld in the event of toxicity, but dose reductions were not permitted.&#10;Treatment was continued until one of the following occurred: persistent high-risk disease was detected at the 12-week disease assessment; high risk recurrence at any time point (including high grade recurrence in the upper urinary tract); disease progression (by grade or stage) at any time point; the subject had completed 24 months of treatment with pembrolizumab; the subject completed a minimum of 18 months of treatment with pembrolizumab and remained without evidence of disease (as determined by negative cystoscopy, negative cytology and negative cross-sectional imaging of abdomen and pelvis) at 2 or more consecutive evaluation visits.&#10;Other reasons for treatment discontinuation included subject request/withdrawal of consent, pregnancy, occurrence of another malignancy, intercurrent illness that prevented further treatment and loss to follow-up. &#10;After commencement of treatment, subjects had a cystoscopy and urine cytology performed every 12 weeks for the first 2 years and every 24 weeks thereafter for a total of 5 years. Cystoscopy could be performed using white light cystoscopy or fluorescence-guided cystoscopy (photodynamic diagnosis or blue light cystoscopy). However, the same method had to be used for an individual subject throughout the trial. Computed Tomography Urography (CTU) imaging of the abdomen and pelvis for assessment of extra-vesical disease was performed at screening, then every 24 weeks for the first 2 years and then yearly thereafter. &#10;All tumour tissue samples, and urine cytology specimens were analysed at a central laboratory. CTU imaging was analysed both by a local radiologist and an independent central radiologist.&#10;If cystoscopy suggested persistence, recurrence or progression of disease, at any timepoint, TURBT and/or biopsy was required. If cystoscopy appeared normal but urine cytology was suspicious for high grade urothelial carcinoma, subjects were required to have a repeat cystoscopy with random biopsies, as well as CTU to detect possible extravesica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Lst>
                    </a:blip>
                    <a:srcRect l="41180" t="23077" r="9206" b="32000"/>
                    <a:stretch/>
                  </pic:blipFill>
                  <pic:spPr bwMode="auto">
                    <a:xfrm>
                      <a:off x="0" y="0"/>
                      <a:ext cx="5833387" cy="2838915"/>
                    </a:xfrm>
                    <a:prstGeom prst="rect">
                      <a:avLst/>
                    </a:prstGeom>
                    <a:ln>
                      <a:noFill/>
                    </a:ln>
                    <a:extLst>
                      <a:ext uri="{53640926-AAD7-44D8-BBD7-CCE9431645EC}">
                        <a14:shadowObscured xmlns:a14="http://schemas.microsoft.com/office/drawing/2010/main"/>
                      </a:ext>
                    </a:extLst>
                  </pic:spPr>
                </pic:pic>
              </a:graphicData>
            </a:graphic>
          </wp:inline>
        </w:drawing>
      </w:r>
    </w:p>
    <w:p w14:paraId="53AFAF06" w14:textId="26C89105" w:rsidR="004E1762" w:rsidRDefault="004E1762" w:rsidP="00011226">
      <w:pPr>
        <w:pStyle w:val="TableDescription0"/>
      </w:pPr>
      <w:r>
        <w:t xml:space="preserve">Abbreviations: </w:t>
      </w:r>
      <w:r w:rsidR="00C04CCE">
        <w:t xml:space="preserve">bx = biopsy; </w:t>
      </w:r>
      <w:r>
        <w:t xml:space="preserve">CIS = carcinoma in situ; CTU = computerised tomography uroscopy; </w:t>
      </w:r>
      <w:r w:rsidR="00C04CCE">
        <w:t xml:space="preserve">f/u = follow up; </w:t>
      </w:r>
      <w:r>
        <w:t>NMIBC = non-muscle-invasive bladder cancer;</w:t>
      </w:r>
      <w:r w:rsidR="00C04CCE">
        <w:t xml:space="preserve"> PD = progressive disease; Q12w = every 12 weeks; Q24w = every 24 weeks.</w:t>
      </w:r>
    </w:p>
    <w:p w14:paraId="777032B9" w14:textId="2A54CF83" w:rsidR="00C04CCE" w:rsidRPr="00C04CCE" w:rsidRDefault="00C04CCE" w:rsidP="00011226">
      <w:pPr>
        <w:pStyle w:val="TableDescription0"/>
      </w:pPr>
      <w:r>
        <w:t xml:space="preserve">Note: Patients population also includes patients who refused or are ineligible for cystectomy. Cohort A comprises of </w:t>
      </w:r>
      <w:r w:rsidR="00D96F21">
        <w:t xml:space="preserve">patients with </w:t>
      </w:r>
      <w:r>
        <w:t>carcinoma in situ</w:t>
      </w:r>
      <w:r w:rsidR="00D96F21">
        <w:t xml:space="preserve"> +/- papillary disease. Cohort B comprises of patients with papillary disease without carcinoma in situ.</w:t>
      </w:r>
    </w:p>
    <w:p w14:paraId="4A29C832" w14:textId="1D9EB7AC" w:rsidR="00EE40C6" w:rsidRDefault="00C04CCE" w:rsidP="00011226">
      <w:pPr>
        <w:pStyle w:val="TableDescription0"/>
        <w:spacing w:after="240"/>
      </w:pPr>
      <w:r>
        <w:t>Evaluations continue with cystoscopy, cytology +/- biopsy every 12 weeks for 2 years, then every 24 weeks for 3 years. For extravesical disease, computerised tomography uroscopy every 24 weeks for 2 years then every 48 weeks for 3 years.</w:t>
      </w:r>
    </w:p>
    <w:p w14:paraId="06D0CD44" w14:textId="795098A4" w:rsidR="00D96F21" w:rsidRPr="00D96F21" w:rsidRDefault="00D96F21" w:rsidP="00D96F21">
      <w:r>
        <w:t>For the cohorts in the Keynote-057 trial:</w:t>
      </w:r>
    </w:p>
    <w:p w14:paraId="3FF1F391" w14:textId="310A10FC" w:rsidR="00EE40C6" w:rsidRPr="00CB3713" w:rsidRDefault="00EE40C6" w:rsidP="00CB3713">
      <w:pPr>
        <w:pStyle w:val="ListBullet"/>
      </w:pPr>
      <w:r w:rsidRPr="00CB3713">
        <w:t xml:space="preserve">Cohort A included subjects with </w:t>
      </w:r>
      <w:r w:rsidR="00D96F21">
        <w:t>carcinoma in situ at B</w:t>
      </w:r>
      <w:r w:rsidRPr="00CB3713">
        <w:t>aselin</w:t>
      </w:r>
      <w:r w:rsidR="00D96F21">
        <w:t>e (</w:t>
      </w:r>
      <w:r w:rsidR="00E770A6">
        <w:t>carcinoma in situ only;</w:t>
      </w:r>
      <w:r w:rsidR="00D96F21">
        <w:t xml:space="preserve"> Ta</w:t>
      </w:r>
      <w:r w:rsidR="00E770A6">
        <w:t xml:space="preserve"> </w:t>
      </w:r>
      <w:r w:rsidR="00D96F21">
        <w:t>+</w:t>
      </w:r>
      <w:r w:rsidR="00E770A6">
        <w:t xml:space="preserve"> carcinoma in situ;</w:t>
      </w:r>
      <w:r w:rsidR="00D96F21">
        <w:t xml:space="preserve"> or T1</w:t>
      </w:r>
      <w:r w:rsidR="00E770A6">
        <w:t xml:space="preserve"> </w:t>
      </w:r>
      <w:r w:rsidR="00D96F21">
        <w:t>+</w:t>
      </w:r>
      <w:r w:rsidR="00E770A6">
        <w:t xml:space="preserve"> carcinoma in situ</w:t>
      </w:r>
      <w:r w:rsidR="00D96F21">
        <w:t>);</w:t>
      </w:r>
      <w:r w:rsidR="00D96F21">
        <w:rPr>
          <w:vertAlign w:val="superscript"/>
        </w:rPr>
        <w:fldChar w:fldCharType="begin"/>
      </w:r>
      <w:r w:rsidR="00D96F21">
        <w:rPr>
          <w:vertAlign w:val="superscript"/>
        </w:rPr>
        <w:instrText xml:space="preserve"> NOTEREF _Ref130480253 \h  \* MERGEFORMAT </w:instrText>
      </w:r>
      <w:r w:rsidR="00D96F21">
        <w:rPr>
          <w:vertAlign w:val="superscript"/>
        </w:rPr>
      </w:r>
      <w:r w:rsidR="00D96F21">
        <w:rPr>
          <w:vertAlign w:val="superscript"/>
        </w:rPr>
        <w:fldChar w:fldCharType="separate"/>
      </w:r>
      <w:r w:rsidR="007F791A">
        <w:rPr>
          <w:vertAlign w:val="superscript"/>
        </w:rPr>
        <w:t>26</w:t>
      </w:r>
      <w:r w:rsidR="00D96F21">
        <w:rPr>
          <w:vertAlign w:val="superscript"/>
        </w:rPr>
        <w:fldChar w:fldCharType="end"/>
      </w:r>
    </w:p>
    <w:p w14:paraId="4019CD81" w14:textId="59E2F5EB" w:rsidR="00EE40C6" w:rsidRPr="00CB3713" w:rsidRDefault="00EE40C6" w:rsidP="00CB3713">
      <w:pPr>
        <w:pStyle w:val="ListBullet"/>
      </w:pPr>
      <w:r w:rsidRPr="00CB3713">
        <w:t xml:space="preserve">Cohort B included subjects without </w:t>
      </w:r>
      <w:r w:rsidR="00D96F21">
        <w:t>carcinoma in situ at B</w:t>
      </w:r>
      <w:r w:rsidRPr="00CB3713">
        <w:t>aseline (high-grade Ta or any grade T1</w:t>
      </w:r>
      <w:r w:rsidR="009F55F2">
        <w:t xml:space="preserve"> tumour</w:t>
      </w:r>
      <w:r w:rsidRPr="00CB3713">
        <w:t>).</w:t>
      </w:r>
      <w:r w:rsidR="00D96F21">
        <w:rPr>
          <w:vertAlign w:val="superscript"/>
        </w:rPr>
        <w:fldChar w:fldCharType="begin"/>
      </w:r>
      <w:r w:rsidR="00D96F21">
        <w:rPr>
          <w:vertAlign w:val="superscript"/>
        </w:rPr>
        <w:instrText xml:space="preserve"> NOTEREF _Ref130480253 \h  \* MERGEFORMAT </w:instrText>
      </w:r>
      <w:r w:rsidR="00D96F21">
        <w:rPr>
          <w:vertAlign w:val="superscript"/>
        </w:rPr>
      </w:r>
      <w:r w:rsidR="00D96F21">
        <w:rPr>
          <w:vertAlign w:val="superscript"/>
        </w:rPr>
        <w:fldChar w:fldCharType="separate"/>
      </w:r>
      <w:r w:rsidR="007F791A">
        <w:rPr>
          <w:vertAlign w:val="superscript"/>
        </w:rPr>
        <w:t>26</w:t>
      </w:r>
      <w:r w:rsidR="00D96F21">
        <w:rPr>
          <w:vertAlign w:val="superscript"/>
        </w:rPr>
        <w:fldChar w:fldCharType="end"/>
      </w:r>
    </w:p>
    <w:p w14:paraId="38EDA0CF" w14:textId="0FB02958" w:rsidR="00EE40C6" w:rsidRPr="00CB3713" w:rsidRDefault="00EE40C6" w:rsidP="00CB3713">
      <w:r w:rsidRPr="00CB3713">
        <w:t>Cohort A is relevant for the indication that is sought. Cohort B</w:t>
      </w:r>
      <w:r w:rsidR="00CB3713">
        <w:t xml:space="preserve"> was not part of this </w:t>
      </w:r>
      <w:proofErr w:type="gramStart"/>
      <w:r w:rsidR="00CB3713">
        <w:t>submission, and</w:t>
      </w:r>
      <w:proofErr w:type="gramEnd"/>
      <w:r w:rsidRPr="00CB3713">
        <w:t xml:space="preserve"> is not discussed further in this </w:t>
      </w:r>
      <w:r w:rsidR="00CB3713">
        <w:t>AusPAR</w:t>
      </w:r>
      <w:r w:rsidRPr="00CB3713">
        <w:t>.</w:t>
      </w:r>
    </w:p>
    <w:p w14:paraId="0F3F01F7" w14:textId="77777777" w:rsidR="00EE40C6" w:rsidRPr="00A12787" w:rsidRDefault="00EE40C6" w:rsidP="00CB3713">
      <w:pPr>
        <w:pStyle w:val="Heading5"/>
        <w:rPr>
          <w:lang w:eastAsia="ja-JP"/>
        </w:rPr>
      </w:pPr>
      <w:r>
        <w:rPr>
          <w:lang w:eastAsia="ja-JP"/>
        </w:rPr>
        <w:t>Baseline characteristics</w:t>
      </w:r>
    </w:p>
    <w:p w14:paraId="7F3B0F42" w14:textId="0D5E8931" w:rsidR="00EE40C6" w:rsidRDefault="00CB3713" w:rsidP="00EE40C6">
      <w:pPr>
        <w:rPr>
          <w:lang w:eastAsia="ja-JP"/>
        </w:rPr>
      </w:pPr>
      <w:r>
        <w:rPr>
          <w:lang w:eastAsia="ja-JP"/>
        </w:rPr>
        <w:t xml:space="preserve">The study population (specifically, the </w:t>
      </w:r>
      <w:r w:rsidR="00EE40C6">
        <w:rPr>
          <w:lang w:eastAsia="ja-JP"/>
        </w:rPr>
        <w:t>Cohort A</w:t>
      </w:r>
      <w:r>
        <w:rPr>
          <w:lang w:eastAsia="ja-JP"/>
        </w:rPr>
        <w:t xml:space="preserve"> population)</w:t>
      </w:r>
      <w:r w:rsidR="00EE40C6">
        <w:rPr>
          <w:lang w:eastAsia="ja-JP"/>
        </w:rPr>
        <w:t xml:space="preserve"> was predominantly male (83.3%) with a median age of 73.0 years. 38.2% had PD-L1 positive disease (</w:t>
      </w:r>
      <w:r w:rsidR="00EE40C6" w:rsidRPr="00A960B7">
        <w:rPr>
          <w:lang w:eastAsia="ja-JP"/>
        </w:rPr>
        <w:t xml:space="preserve">PD-L1 CPS </w:t>
      </w:r>
      <w:r w:rsidR="00EE40C6">
        <w:rPr>
          <w:rFonts w:ascii="Symbol" w:eastAsia="Symbol" w:hAnsi="Symbol" w:cs="Symbol"/>
          <w:lang w:eastAsia="ja-JP"/>
        </w:rPr>
        <w:t></w:t>
      </w:r>
      <w:r w:rsidR="00EE40C6">
        <w:rPr>
          <w:lang w:eastAsia="ja-JP"/>
        </w:rPr>
        <w:t xml:space="preserve"> </w:t>
      </w:r>
      <w:r w:rsidR="00EE40C6" w:rsidRPr="00A960B7">
        <w:rPr>
          <w:lang w:eastAsia="ja-JP"/>
        </w:rPr>
        <w:t>10</w:t>
      </w:r>
      <w:r w:rsidR="003157D7">
        <w:rPr>
          <w:lang w:eastAsia="ja-JP"/>
        </w:rPr>
        <w:t>);</w:t>
      </w:r>
      <w:bookmarkStart w:id="70" w:name="_Ref130484583"/>
      <w:r w:rsidR="003157D7">
        <w:rPr>
          <w:rStyle w:val="FootnoteReference"/>
          <w:lang w:eastAsia="ja-JP"/>
        </w:rPr>
        <w:footnoteReference w:id="30"/>
      </w:r>
      <w:bookmarkEnd w:id="70"/>
      <w:r w:rsidR="00EE40C6">
        <w:rPr>
          <w:lang w:eastAsia="ja-JP"/>
        </w:rPr>
        <w:t xml:space="preserve"> 63.7% had </w:t>
      </w:r>
      <w:r w:rsidR="003157D7">
        <w:t xml:space="preserve">carcinoma in situ </w:t>
      </w:r>
      <w:r w:rsidR="00EE40C6">
        <w:rPr>
          <w:lang w:eastAsia="ja-JP"/>
        </w:rPr>
        <w:t xml:space="preserve">only, 24.5% had </w:t>
      </w:r>
      <w:r w:rsidR="003157D7">
        <w:t xml:space="preserve">carcinoma in situ </w:t>
      </w:r>
      <w:r w:rsidR="00EE40C6">
        <w:rPr>
          <w:lang w:eastAsia="ja-JP"/>
        </w:rPr>
        <w:t xml:space="preserve">with high grade papillary tumours, and 11.8% had CIS with T1 disease. Baseline high-risk </w:t>
      </w:r>
      <w:r w:rsidR="003157D7" w:rsidRPr="003157D7">
        <w:rPr>
          <w:lang w:eastAsia="ja-JP"/>
        </w:rPr>
        <w:t xml:space="preserve">non-muscle-invasive bladder cancer </w:t>
      </w:r>
      <w:r w:rsidR="00EE40C6">
        <w:rPr>
          <w:lang w:eastAsia="ja-JP"/>
        </w:rPr>
        <w:t>disease status was 27% persistent and 73% recurrent. All patients had prior intravesical BCG therapy, with a median of 12.0 prior installations, and none had prior antineoplastic agents.</w:t>
      </w:r>
    </w:p>
    <w:p w14:paraId="17C54F77" w14:textId="77777777" w:rsidR="00EE40C6" w:rsidRDefault="00EE40C6" w:rsidP="00CB3713">
      <w:pPr>
        <w:rPr>
          <w:lang w:eastAsia="ja-JP"/>
        </w:rPr>
      </w:pPr>
      <w:r>
        <w:rPr>
          <w:lang w:eastAsia="ja-JP"/>
        </w:rPr>
        <w:t>Most patients (95.1%) refused cystectomy and 2.9% were considered ineligible for the procedure.</w:t>
      </w:r>
    </w:p>
    <w:p w14:paraId="07863EB5" w14:textId="77777777" w:rsidR="00EE40C6" w:rsidRDefault="00EE40C6" w:rsidP="00CB3713">
      <w:pPr>
        <w:pStyle w:val="Heading5"/>
      </w:pPr>
      <w:r>
        <w:lastRenderedPageBreak/>
        <w:t>Statistics</w:t>
      </w:r>
    </w:p>
    <w:p w14:paraId="6DCBAB00" w14:textId="77777777" w:rsidR="003157D7" w:rsidRDefault="00EE40C6" w:rsidP="00EE40C6">
      <w:pPr>
        <w:rPr>
          <w:lang w:eastAsia="ja-JP"/>
        </w:rPr>
      </w:pPr>
      <w:r>
        <w:rPr>
          <w:lang w:eastAsia="ja-JP"/>
        </w:rPr>
        <w:t xml:space="preserve">The null hypothesis for Cohort A was </w:t>
      </w:r>
      <w:r w:rsidR="003157D7">
        <w:rPr>
          <w:lang w:eastAsia="ja-JP"/>
        </w:rPr>
        <w:t>that a complete response</w:t>
      </w:r>
      <w:r>
        <w:rPr>
          <w:lang w:eastAsia="ja-JP"/>
        </w:rPr>
        <w:t xml:space="preserve"> for pembrolizumab would be </w:t>
      </w:r>
      <w:r w:rsidRPr="006B269D">
        <w:rPr>
          <w:lang w:eastAsia="ja-JP"/>
        </w:rPr>
        <w:t>≤</w:t>
      </w:r>
      <w:r>
        <w:rPr>
          <w:rFonts w:ascii="Cambria Math" w:hAnsi="Cambria Math"/>
          <w:lang w:eastAsia="ja-JP"/>
        </w:rPr>
        <w:t xml:space="preserve"> 20%.</w:t>
      </w:r>
    </w:p>
    <w:p w14:paraId="44205B41" w14:textId="16C50472" w:rsidR="00EE40C6" w:rsidRDefault="003157D7" w:rsidP="00EE40C6">
      <w:pPr>
        <w:rPr>
          <w:lang w:eastAsia="ja-JP"/>
        </w:rPr>
      </w:pPr>
      <w:r>
        <w:rPr>
          <w:lang w:eastAsia="ja-JP"/>
        </w:rPr>
        <w:t xml:space="preserve">Assuming a complete response rate of </w:t>
      </w:r>
      <w:r w:rsidR="00EE40C6">
        <w:rPr>
          <w:lang w:eastAsia="ja-JP"/>
        </w:rPr>
        <w:t xml:space="preserve">35%, a sample size of 130 would give about 97% power, </w:t>
      </w:r>
      <w:r w:rsidR="00EE40C6" w:rsidRPr="00860BA1">
        <w:rPr>
          <w:lang w:eastAsia="ja-JP"/>
        </w:rPr>
        <w:t xml:space="preserve">at </w:t>
      </w:r>
      <w:r w:rsidR="00EE40C6">
        <w:rPr>
          <w:lang w:eastAsia="ja-JP"/>
        </w:rPr>
        <w:t xml:space="preserve">a </w:t>
      </w:r>
      <w:r w:rsidR="00EE40C6" w:rsidRPr="00860BA1">
        <w:rPr>
          <w:lang w:eastAsia="ja-JP"/>
        </w:rPr>
        <w:t>5% (two-sided) alpha level</w:t>
      </w:r>
      <w:r w:rsidR="00EE40C6">
        <w:rPr>
          <w:lang w:eastAsia="ja-JP"/>
        </w:rPr>
        <w:t xml:space="preserve">, to reject the null hypothesis with the lower bound of the 95% </w:t>
      </w:r>
      <w:r>
        <w:rPr>
          <w:lang w:eastAsia="ja-JP"/>
        </w:rPr>
        <w:t>confidence intervals (CI)</w:t>
      </w:r>
      <w:r w:rsidR="00EE40C6">
        <w:rPr>
          <w:lang w:eastAsia="ja-JP"/>
        </w:rPr>
        <w:t xml:space="preserve"> &gt;</w:t>
      </w:r>
      <w:r>
        <w:rPr>
          <w:lang w:eastAsia="ja-JP"/>
        </w:rPr>
        <w:t xml:space="preserve"> </w:t>
      </w:r>
      <w:r w:rsidR="00EE40C6">
        <w:rPr>
          <w:lang w:eastAsia="ja-JP"/>
        </w:rPr>
        <w:t>20%.</w:t>
      </w:r>
    </w:p>
    <w:p w14:paraId="28599A9E" w14:textId="5A4D756D" w:rsidR="00EE40C6" w:rsidRDefault="00EE40C6" w:rsidP="00EE40C6">
      <w:pPr>
        <w:rPr>
          <w:lang w:eastAsia="ja-JP"/>
        </w:rPr>
      </w:pPr>
      <w:r>
        <w:rPr>
          <w:lang w:eastAsia="ja-JP"/>
        </w:rPr>
        <w:t xml:space="preserve">A </w:t>
      </w:r>
      <w:r w:rsidR="003157D7">
        <w:rPr>
          <w:lang w:eastAsia="ja-JP"/>
        </w:rPr>
        <w:t xml:space="preserve">US </w:t>
      </w:r>
      <w:r>
        <w:rPr>
          <w:lang w:eastAsia="ja-JP"/>
        </w:rPr>
        <w:t>FDA/</w:t>
      </w:r>
      <w:r w:rsidR="003157D7">
        <w:rPr>
          <w:lang w:eastAsia="ja-JP"/>
        </w:rPr>
        <w:t>American Urology Association (</w:t>
      </w:r>
      <w:r>
        <w:rPr>
          <w:lang w:eastAsia="ja-JP"/>
        </w:rPr>
        <w:t>AUA</w:t>
      </w:r>
      <w:r w:rsidR="003157D7">
        <w:rPr>
          <w:lang w:eastAsia="ja-JP"/>
        </w:rPr>
        <w:t>)</w:t>
      </w:r>
      <w:r>
        <w:rPr>
          <w:lang w:eastAsia="ja-JP"/>
        </w:rPr>
        <w:t xml:space="preserve"> workshop</w:t>
      </w:r>
      <w:r w:rsidR="00E770A6">
        <w:rPr>
          <w:lang w:eastAsia="ja-JP"/>
        </w:rPr>
        <w:t>;</w:t>
      </w:r>
      <w:r w:rsidR="00E770A6">
        <w:rPr>
          <w:rStyle w:val="FootnoteReference"/>
          <w:lang w:eastAsia="ja-JP"/>
        </w:rPr>
        <w:footnoteReference w:id="31"/>
      </w:r>
      <w:r>
        <w:rPr>
          <w:lang w:eastAsia="ja-JP"/>
        </w:rPr>
        <w:t xml:space="preserve"> suggested that a </w:t>
      </w:r>
      <w:r w:rsidR="00CB3713">
        <w:rPr>
          <w:lang w:eastAsia="ja-JP"/>
        </w:rPr>
        <w:t xml:space="preserve">complete response rate of 40% to </w:t>
      </w:r>
      <w:r w:rsidRPr="00A23EAF">
        <w:rPr>
          <w:lang w:eastAsia="ja-JP"/>
        </w:rPr>
        <w:t>50% at 6 months</w:t>
      </w:r>
      <w:r>
        <w:rPr>
          <w:lang w:eastAsia="ja-JP"/>
        </w:rPr>
        <w:t xml:space="preserve">, with a </w:t>
      </w:r>
      <w:r w:rsidRPr="00A23EAF">
        <w:rPr>
          <w:lang w:val="en-GB" w:eastAsia="ja-JP"/>
        </w:rPr>
        <w:t>lower</w:t>
      </w:r>
      <w:r>
        <w:rPr>
          <w:lang w:eastAsia="ja-JP"/>
        </w:rPr>
        <w:t xml:space="preserve"> </w:t>
      </w:r>
      <w:r w:rsidRPr="00A23EAF">
        <w:rPr>
          <w:lang w:val="en-GB" w:eastAsia="ja-JP"/>
        </w:rPr>
        <w:t xml:space="preserve">bound of the 95% </w:t>
      </w:r>
      <w:r w:rsidR="00CB3713">
        <w:rPr>
          <w:lang w:val="en-GB" w:eastAsia="ja-JP"/>
        </w:rPr>
        <w:t>confidence interval (</w:t>
      </w:r>
      <w:r>
        <w:rPr>
          <w:lang w:val="en-GB" w:eastAsia="ja-JP"/>
        </w:rPr>
        <w:t>CI</w:t>
      </w:r>
      <w:r w:rsidR="00CB3713">
        <w:rPr>
          <w:lang w:val="en-GB" w:eastAsia="ja-JP"/>
        </w:rPr>
        <w:t>) above</w:t>
      </w:r>
      <w:r w:rsidRPr="00A23EAF">
        <w:rPr>
          <w:lang w:val="en-GB" w:eastAsia="ja-JP"/>
        </w:rPr>
        <w:t xml:space="preserve"> 20%</w:t>
      </w:r>
      <w:r>
        <w:rPr>
          <w:lang w:val="en-GB" w:eastAsia="ja-JP"/>
        </w:rPr>
        <w:t>,</w:t>
      </w:r>
      <w:r w:rsidRPr="00A23EAF">
        <w:rPr>
          <w:lang w:val="en-GB" w:eastAsia="ja-JP"/>
        </w:rPr>
        <w:t xml:space="preserve"> could be</w:t>
      </w:r>
      <w:r>
        <w:rPr>
          <w:lang w:eastAsia="ja-JP"/>
        </w:rPr>
        <w:t xml:space="preserve"> clinically meaningful in BCG refractory </w:t>
      </w:r>
      <w:r w:rsidR="00E770A6">
        <w:rPr>
          <w:lang w:eastAsia="ja-JP"/>
        </w:rPr>
        <w:t>non-muscle-invasive bladder cancer disease</w:t>
      </w:r>
      <w:r>
        <w:rPr>
          <w:lang w:eastAsia="ja-JP"/>
        </w:rPr>
        <w:t>, based on previous data obtained with intravesical valrubicin (</w:t>
      </w:r>
      <w:r w:rsidR="00CB3713">
        <w:rPr>
          <w:lang w:eastAsia="ja-JP"/>
        </w:rPr>
        <w:t>complete response</w:t>
      </w:r>
      <w:r>
        <w:rPr>
          <w:lang w:eastAsia="ja-JP"/>
        </w:rPr>
        <w:t xml:space="preserve"> was approximately 20%), and a meta-analysis of </w:t>
      </w:r>
      <w:r w:rsidR="007F04B3">
        <w:rPr>
          <w:lang w:eastAsia="ja-JP"/>
        </w:rPr>
        <w:t>four</w:t>
      </w:r>
      <w:r>
        <w:rPr>
          <w:lang w:eastAsia="ja-JP"/>
        </w:rPr>
        <w:t xml:space="preserve"> trial</w:t>
      </w:r>
      <w:r w:rsidR="007F04B3">
        <w:rPr>
          <w:lang w:eastAsia="ja-JP"/>
        </w:rPr>
        <w:t>s of intravesical chemotherapy,</w:t>
      </w:r>
      <w:r>
        <w:rPr>
          <w:lang w:eastAsia="ja-JP"/>
        </w:rPr>
        <w:t xml:space="preserve"> two with valrubicin, and one each with docetaxel and nab-paclitaxel, that</w:t>
      </w:r>
      <w:r w:rsidRPr="00694635">
        <w:rPr>
          <w:lang w:eastAsia="ja-JP"/>
        </w:rPr>
        <w:t xml:space="preserve"> show</w:t>
      </w:r>
      <w:r>
        <w:rPr>
          <w:lang w:eastAsia="ja-JP"/>
        </w:rPr>
        <w:t>ed</w:t>
      </w:r>
      <w:r w:rsidRPr="00694635">
        <w:rPr>
          <w:lang w:eastAsia="ja-JP"/>
        </w:rPr>
        <w:t xml:space="preserve"> a pooled </w:t>
      </w:r>
      <w:r w:rsidR="007F04B3">
        <w:rPr>
          <w:lang w:eastAsia="ja-JP"/>
        </w:rPr>
        <w:t>complete response</w:t>
      </w:r>
      <w:r w:rsidRPr="00694635">
        <w:rPr>
          <w:lang w:eastAsia="ja-JP"/>
        </w:rPr>
        <w:t xml:space="preserve"> rate of </w:t>
      </w:r>
      <w:r w:rsidRPr="00E770A6">
        <w:t>21%</w:t>
      </w:r>
      <w:r>
        <w:rPr>
          <w:lang w:eastAsia="ja-JP"/>
        </w:rPr>
        <w:t xml:space="preserve"> (95%</w:t>
      </w:r>
      <w:r w:rsidR="00CB3713">
        <w:rPr>
          <w:lang w:eastAsia="ja-JP"/>
        </w:rPr>
        <w:t xml:space="preserve"> </w:t>
      </w:r>
      <w:r>
        <w:rPr>
          <w:lang w:eastAsia="ja-JP"/>
        </w:rPr>
        <w:t>CI: 0.15 to 0.27).</w:t>
      </w:r>
    </w:p>
    <w:p w14:paraId="108D5640" w14:textId="77777777" w:rsidR="00EE40C6" w:rsidRDefault="00EE40C6" w:rsidP="007F04B3">
      <w:pPr>
        <w:pStyle w:val="Heading5"/>
        <w:rPr>
          <w:lang w:eastAsia="ja-JP"/>
        </w:rPr>
      </w:pPr>
      <w:r>
        <w:rPr>
          <w:lang w:eastAsia="ja-JP"/>
        </w:rPr>
        <w:t>Treatments</w:t>
      </w:r>
    </w:p>
    <w:p w14:paraId="1932873B" w14:textId="4AF0BE77" w:rsidR="00EE40C6" w:rsidRDefault="00EE40C6" w:rsidP="00EE40C6">
      <w:pPr>
        <w:pStyle w:val="ListBullet"/>
        <w:numPr>
          <w:ilvl w:val="0"/>
          <w:numId w:val="0"/>
        </w:numPr>
        <w:rPr>
          <w:lang w:eastAsia="ja-JP"/>
        </w:rPr>
      </w:pPr>
      <w:r>
        <w:rPr>
          <w:lang w:eastAsia="ja-JP"/>
        </w:rPr>
        <w:t xml:space="preserve">All patients received at least one dose of study treatment. </w:t>
      </w:r>
      <w:r>
        <w:t xml:space="preserve">Patients were dosed at 200 mg </w:t>
      </w:r>
      <w:r w:rsidR="00E770A6">
        <w:t>intravenously infused over 30 minutes on D</w:t>
      </w:r>
      <w:r>
        <w:t xml:space="preserve">ay 1 of a </w:t>
      </w:r>
      <w:proofErr w:type="gramStart"/>
      <w:r>
        <w:t>21 day</w:t>
      </w:r>
      <w:proofErr w:type="gramEnd"/>
      <w:r>
        <w:t xml:space="preserve"> cycle until one of the following:</w:t>
      </w:r>
    </w:p>
    <w:p w14:paraId="427A9BD4" w14:textId="1A2340EA" w:rsidR="00EE40C6" w:rsidRPr="007F04B3" w:rsidRDefault="007F04B3" w:rsidP="007F04B3">
      <w:pPr>
        <w:pStyle w:val="ListBullet"/>
      </w:pPr>
      <w:r>
        <w:t>p</w:t>
      </w:r>
      <w:r w:rsidR="00EE40C6" w:rsidRPr="007F04B3">
        <w:t xml:space="preserve">ersistent high-risk disease was detected at the 12-week disease </w:t>
      </w:r>
      <w:proofErr w:type="gramStart"/>
      <w:r w:rsidR="00EE40C6" w:rsidRPr="007F04B3">
        <w:t>assessment;</w:t>
      </w:r>
      <w:proofErr w:type="gramEnd"/>
    </w:p>
    <w:p w14:paraId="74B8F319" w14:textId="2FEC807B" w:rsidR="00EE40C6" w:rsidRPr="007F04B3" w:rsidRDefault="007F04B3" w:rsidP="007F04B3">
      <w:pPr>
        <w:pStyle w:val="ListBullet"/>
      </w:pPr>
      <w:r>
        <w:t>h</w:t>
      </w:r>
      <w:r w:rsidR="00EE40C6" w:rsidRPr="007F04B3">
        <w:t>igh risk recurrence at any time point (including in the upper urinary tract</w:t>
      </w:r>
      <w:proofErr w:type="gramStart"/>
      <w:r w:rsidR="00EE40C6" w:rsidRPr="007F04B3">
        <w:t>);</w:t>
      </w:r>
      <w:proofErr w:type="gramEnd"/>
    </w:p>
    <w:p w14:paraId="7652F32D" w14:textId="5FD6B807" w:rsidR="00EE40C6" w:rsidRPr="007F04B3" w:rsidRDefault="007F04B3" w:rsidP="007F04B3">
      <w:pPr>
        <w:pStyle w:val="ListBullet"/>
      </w:pPr>
      <w:r>
        <w:t>d</w:t>
      </w:r>
      <w:r w:rsidR="00EE40C6" w:rsidRPr="007F04B3">
        <w:t xml:space="preserve">isease progression (by grade or stage) at any time </w:t>
      </w:r>
      <w:proofErr w:type="gramStart"/>
      <w:r w:rsidR="00EE40C6" w:rsidRPr="007F04B3">
        <w:t>point;</w:t>
      </w:r>
      <w:proofErr w:type="gramEnd"/>
    </w:p>
    <w:p w14:paraId="6747F12B" w14:textId="5B27B4B6" w:rsidR="00EE40C6" w:rsidRPr="007F04B3" w:rsidRDefault="007F04B3" w:rsidP="007F04B3">
      <w:pPr>
        <w:pStyle w:val="ListBullet"/>
      </w:pPr>
      <w:r>
        <w:t>c</w:t>
      </w:r>
      <w:r w:rsidR="00EE40C6" w:rsidRPr="007F04B3">
        <w:t xml:space="preserve">ompleted 24 months of treatment with </w:t>
      </w:r>
      <w:proofErr w:type="gramStart"/>
      <w:r w:rsidR="00EE40C6" w:rsidRPr="007F04B3">
        <w:t>pembrolizumab;</w:t>
      </w:r>
      <w:proofErr w:type="gramEnd"/>
    </w:p>
    <w:p w14:paraId="4DFBE725" w14:textId="7D1E2B8A" w:rsidR="00EE40C6" w:rsidRPr="007F04B3" w:rsidRDefault="007F04B3" w:rsidP="007F04B3">
      <w:pPr>
        <w:pStyle w:val="ListBullet"/>
      </w:pPr>
      <w:r>
        <w:t>completed</w:t>
      </w:r>
      <w:r w:rsidR="00EE40C6" w:rsidRPr="007F04B3">
        <w:t xml:space="preserve"> </w:t>
      </w:r>
      <w:r>
        <w:t xml:space="preserve">at least </w:t>
      </w:r>
      <w:r w:rsidR="00EE40C6" w:rsidRPr="007F04B3">
        <w:t xml:space="preserve">18 months of treatment with pembrolizumab and remained without evidence of disease (negative cystoscopy, negative cytology and negative cross-sectional imaging of abdomen and pelvis) at 2 </w:t>
      </w:r>
      <w:r>
        <w:t xml:space="preserve">or more </w:t>
      </w:r>
      <w:r w:rsidR="00EE40C6" w:rsidRPr="007F04B3">
        <w:t>consecutive evaluation visits.</w:t>
      </w:r>
    </w:p>
    <w:p w14:paraId="53DF5F31" w14:textId="12F8D5E2" w:rsidR="00EE40C6" w:rsidRDefault="00EE40C6" w:rsidP="00EE40C6">
      <w:r w:rsidRPr="000C6F42">
        <w:rPr>
          <w:lang w:eastAsia="ja-JP"/>
        </w:rPr>
        <w:t>Doses could be withheld in the event of toxicity, but dose reductions were not permitted</w:t>
      </w:r>
      <w:r>
        <w:rPr>
          <w:lang w:eastAsia="ja-JP"/>
        </w:rPr>
        <w:t>.</w:t>
      </w:r>
      <w:r w:rsidRPr="00087BD4">
        <w:t xml:space="preserve"> </w:t>
      </w:r>
      <w:r>
        <w:t>Antineoplastic chemotherapy or biological therapy (single dose of intravesical chemo</w:t>
      </w:r>
      <w:r w:rsidR="00E770A6">
        <w:t>therapy</w:t>
      </w:r>
      <w:r>
        <w:t xml:space="preserve"> post-TURBT permitted), immunotherapy, other investigational agents, radiotherapy, live </w:t>
      </w:r>
      <w:proofErr w:type="gramStart"/>
      <w:r>
        <w:t>vaccines</w:t>
      </w:r>
      <w:proofErr w:type="gramEnd"/>
      <w:r>
        <w:t xml:space="preserve"> and glucocorticoids were not permitted.</w:t>
      </w:r>
    </w:p>
    <w:p w14:paraId="3B53B218" w14:textId="77777777" w:rsidR="00EE40C6" w:rsidRDefault="00EE40C6" w:rsidP="007F04B3">
      <w:pPr>
        <w:pStyle w:val="Heading5"/>
      </w:pPr>
      <w:r>
        <w:t>Efficacy endpoints</w:t>
      </w:r>
    </w:p>
    <w:p w14:paraId="14E40DA6" w14:textId="10C7A94F" w:rsidR="00EE40C6" w:rsidRDefault="00EE40C6" w:rsidP="00EE40C6">
      <w:pPr>
        <w:rPr>
          <w:lang w:eastAsia="ja-JP"/>
        </w:rPr>
      </w:pPr>
      <w:r>
        <w:rPr>
          <w:lang w:eastAsia="ja-JP"/>
        </w:rPr>
        <w:t xml:space="preserve">Cystoscopy and urine cytology </w:t>
      </w:r>
      <w:r w:rsidR="00AC4733">
        <w:rPr>
          <w:lang w:eastAsia="ja-JP"/>
        </w:rPr>
        <w:t xml:space="preserve">was </w:t>
      </w:r>
      <w:r>
        <w:rPr>
          <w:lang w:eastAsia="ja-JP"/>
        </w:rPr>
        <w:t>performed every 12 weeks for the first 2 years then every 24</w:t>
      </w:r>
      <w:r w:rsidR="00AC4733">
        <w:rPr>
          <w:lang w:eastAsia="ja-JP"/>
        </w:rPr>
        <w:t> </w:t>
      </w:r>
      <w:r>
        <w:rPr>
          <w:lang w:eastAsia="ja-JP"/>
        </w:rPr>
        <w:t>weeks for a total of 5 years. Cystoscopy could be performed using white light cystoscopy or fluorescence-guided cystoscopy (photodynamic diagnosis or blue light cystoscopy</w:t>
      </w:r>
      <w:proofErr w:type="gramStart"/>
      <w:r>
        <w:rPr>
          <w:lang w:eastAsia="ja-JP"/>
        </w:rPr>
        <w:t>)</w:t>
      </w:r>
      <w:proofErr w:type="gramEnd"/>
      <w:r>
        <w:rPr>
          <w:lang w:eastAsia="ja-JP"/>
        </w:rPr>
        <w:t xml:space="preserve"> but the same method had to be used for an individual patient throughout the trial.</w:t>
      </w:r>
    </w:p>
    <w:p w14:paraId="0BEC655C" w14:textId="56B6F984" w:rsidR="00EE40C6" w:rsidRDefault="00EE40C6" w:rsidP="00EE40C6">
      <w:pPr>
        <w:rPr>
          <w:lang w:eastAsia="ja-JP"/>
        </w:rPr>
      </w:pPr>
      <w:r>
        <w:rPr>
          <w:lang w:eastAsia="ja-JP"/>
        </w:rPr>
        <w:t xml:space="preserve">Extra-vesical disease was assessed using </w:t>
      </w:r>
      <w:r w:rsidR="007F04B3">
        <w:rPr>
          <w:lang w:eastAsia="ja-JP"/>
        </w:rPr>
        <w:t xml:space="preserve">computed tomography urography </w:t>
      </w:r>
      <w:r>
        <w:rPr>
          <w:lang w:eastAsia="ja-JP"/>
        </w:rPr>
        <w:t>(CTU) of the abdomen and pelvis at screening, every 24 weeks for the first 2 years, and then annually.</w:t>
      </w:r>
    </w:p>
    <w:p w14:paraId="763D2762" w14:textId="1574ECF3" w:rsidR="003C0C56" w:rsidRDefault="00EE40C6" w:rsidP="00EE40C6">
      <w:pPr>
        <w:rPr>
          <w:lang w:eastAsia="ja-JP"/>
        </w:rPr>
      </w:pPr>
      <w:r>
        <w:rPr>
          <w:lang w:eastAsia="ja-JP"/>
        </w:rPr>
        <w:t>Response criteria</w:t>
      </w:r>
      <w:r w:rsidR="007F04B3">
        <w:rPr>
          <w:lang w:eastAsia="ja-JP"/>
        </w:rPr>
        <w:t xml:space="preserve"> are shown in </w:t>
      </w:r>
      <w:r w:rsidR="007F04B3">
        <w:rPr>
          <w:lang w:eastAsia="ja-JP"/>
        </w:rPr>
        <w:fldChar w:fldCharType="begin"/>
      </w:r>
      <w:r w:rsidR="007F04B3">
        <w:rPr>
          <w:lang w:eastAsia="ja-JP"/>
        </w:rPr>
        <w:instrText xml:space="preserve"> REF _Ref130289438 \h </w:instrText>
      </w:r>
      <w:r w:rsidR="007F04B3">
        <w:rPr>
          <w:lang w:eastAsia="ja-JP"/>
        </w:rPr>
      </w:r>
      <w:r w:rsidR="007F04B3">
        <w:rPr>
          <w:lang w:eastAsia="ja-JP"/>
        </w:rPr>
        <w:fldChar w:fldCharType="separate"/>
      </w:r>
      <w:r w:rsidR="007F791A">
        <w:t xml:space="preserve">Table </w:t>
      </w:r>
      <w:r w:rsidR="007F791A">
        <w:rPr>
          <w:noProof/>
        </w:rPr>
        <w:t>6</w:t>
      </w:r>
      <w:r w:rsidR="007F04B3">
        <w:rPr>
          <w:lang w:eastAsia="ja-JP"/>
        </w:rPr>
        <w:fldChar w:fldCharType="end"/>
      </w:r>
      <w:r w:rsidR="007F04B3">
        <w:rPr>
          <w:lang w:eastAsia="ja-JP"/>
        </w:rPr>
        <w:t xml:space="preserve"> as follows below.</w:t>
      </w:r>
    </w:p>
    <w:p w14:paraId="618A9A7E" w14:textId="157E4035" w:rsidR="007F04B3" w:rsidRDefault="007F04B3" w:rsidP="007F04B3">
      <w:pPr>
        <w:pStyle w:val="TableTitle0"/>
      </w:pPr>
      <w:bookmarkStart w:id="71" w:name="_Ref130289438"/>
      <w:r>
        <w:lastRenderedPageBreak/>
        <w:t xml:space="preserve">Table </w:t>
      </w:r>
      <w:r w:rsidR="00B82441">
        <w:fldChar w:fldCharType="begin"/>
      </w:r>
      <w:r w:rsidR="00B82441">
        <w:instrText xml:space="preserve"> SEQ Table \* ARABIC </w:instrText>
      </w:r>
      <w:r w:rsidR="00B82441">
        <w:fldChar w:fldCharType="separate"/>
      </w:r>
      <w:r w:rsidR="007F791A">
        <w:rPr>
          <w:noProof/>
        </w:rPr>
        <w:t>6</w:t>
      </w:r>
      <w:r w:rsidR="00B82441">
        <w:rPr>
          <w:noProof/>
        </w:rPr>
        <w:fldChar w:fldCharType="end"/>
      </w:r>
      <w:bookmarkEnd w:id="71"/>
      <w:r>
        <w:t>: Response categories and criteria/descriptions</w:t>
      </w:r>
    </w:p>
    <w:tbl>
      <w:tblPr>
        <w:tblStyle w:val="TableTGAblue2023"/>
        <w:tblW w:w="0" w:type="auto"/>
        <w:tblLook w:val="04A0" w:firstRow="1" w:lastRow="0" w:firstColumn="1" w:lastColumn="0" w:noHBand="0" w:noVBand="1"/>
      </w:tblPr>
      <w:tblGrid>
        <w:gridCol w:w="2515"/>
        <w:gridCol w:w="6545"/>
      </w:tblGrid>
      <w:tr w:rsidR="007F04B3" w:rsidRPr="007F04B3" w14:paraId="0380D83F" w14:textId="77777777" w:rsidTr="00E77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2E74B5" w:themeFill="accent5" w:themeFillShade="BF"/>
          </w:tcPr>
          <w:p w14:paraId="5667FD0D" w14:textId="7CDA93CC" w:rsidR="007F04B3" w:rsidRPr="00E770A6" w:rsidRDefault="007F04B3" w:rsidP="004A7AEC">
            <w:pPr>
              <w:rPr>
                <w:color w:val="FFFFFF" w:themeColor="background1"/>
              </w:rPr>
            </w:pPr>
            <w:r w:rsidRPr="00E770A6">
              <w:rPr>
                <w:color w:val="FFFFFF" w:themeColor="background1"/>
              </w:rPr>
              <w:t>Response category</w:t>
            </w:r>
          </w:p>
        </w:tc>
        <w:tc>
          <w:tcPr>
            <w:tcW w:w="6545" w:type="dxa"/>
            <w:shd w:val="clear" w:color="auto" w:fill="2E74B5" w:themeFill="accent5" w:themeFillShade="BF"/>
          </w:tcPr>
          <w:p w14:paraId="6E63BE1A" w14:textId="6E2CF877" w:rsidR="007F04B3" w:rsidRPr="00E770A6" w:rsidRDefault="007F04B3" w:rsidP="004A7AE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770A6">
              <w:rPr>
                <w:color w:val="FFFFFF" w:themeColor="background1"/>
              </w:rPr>
              <w:t>Criteria or description of response</w:t>
            </w:r>
          </w:p>
        </w:tc>
      </w:tr>
      <w:tr w:rsidR="007F04B3" w:rsidRPr="007F04B3" w14:paraId="4B686154"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00F4927A" w14:textId="77777777" w:rsidR="007F04B3" w:rsidRPr="007F04B3" w:rsidRDefault="007F04B3" w:rsidP="004A7AEC">
            <w:r w:rsidRPr="007F04B3">
              <w:t>Complete response (CR)</w:t>
            </w:r>
          </w:p>
        </w:tc>
        <w:tc>
          <w:tcPr>
            <w:tcW w:w="6545" w:type="dxa"/>
          </w:tcPr>
          <w:p w14:paraId="41A3FE87" w14:textId="35774C4E"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rsidRPr="007F04B3">
              <w:t xml:space="preserve">absence of </w:t>
            </w:r>
            <w:r w:rsidR="00E770A6">
              <w:rPr>
                <w:lang w:eastAsia="ja-JP"/>
              </w:rPr>
              <w:t>non-muscle-invasive bladder cancer disease</w:t>
            </w:r>
            <w:r w:rsidRPr="007F04B3">
              <w:t>, or p</w:t>
            </w:r>
            <w:r>
              <w:t>rogressive urothelial carcinoma</w:t>
            </w:r>
          </w:p>
        </w:tc>
      </w:tr>
      <w:tr w:rsidR="007F04B3" w:rsidRPr="007F04B3" w14:paraId="5A35CCB9"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7E6AA21D" w14:textId="77777777" w:rsidR="007F04B3" w:rsidRPr="007F04B3" w:rsidRDefault="007F04B3" w:rsidP="004A7AEC">
            <w:r w:rsidRPr="007F04B3">
              <w:t>Persistent disease</w:t>
            </w:r>
          </w:p>
        </w:tc>
        <w:tc>
          <w:tcPr>
            <w:tcW w:w="6545" w:type="dxa"/>
          </w:tcPr>
          <w:p w14:paraId="5BDA2121" w14:textId="3B19B3F1"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rsidRPr="007F04B3">
              <w:t xml:space="preserve">pathologically confirmed </w:t>
            </w:r>
            <w:r w:rsidR="00E770A6" w:rsidRPr="00E770A6">
              <w:t xml:space="preserve">carcinoma in situ </w:t>
            </w:r>
            <w:r w:rsidRPr="007F04B3">
              <w:t>± papillary tumour (high grade Ta/T1)</w:t>
            </w:r>
          </w:p>
        </w:tc>
      </w:tr>
      <w:tr w:rsidR="007F04B3" w:rsidRPr="007F04B3" w14:paraId="405C1249"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5CFBB7F6" w14:textId="77777777" w:rsidR="007F04B3" w:rsidRPr="007F04B3" w:rsidRDefault="007F04B3" w:rsidP="004A7AEC">
            <w:r w:rsidRPr="007F04B3">
              <w:t>Recurrent disease</w:t>
            </w:r>
          </w:p>
        </w:tc>
        <w:tc>
          <w:tcPr>
            <w:tcW w:w="6545" w:type="dxa"/>
          </w:tcPr>
          <w:p w14:paraId="3FCD41A4" w14:textId="4770C3A4"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rsidRPr="007F04B3">
              <w:t xml:space="preserve">pathologically confirmed papillary tumour (high grade Ta/T1) no </w:t>
            </w:r>
            <w:r w:rsidR="00E770A6">
              <w:t>carcinoma in situ</w:t>
            </w:r>
          </w:p>
        </w:tc>
      </w:tr>
      <w:tr w:rsidR="007F04B3" w:rsidRPr="007F04B3" w14:paraId="749AECFA"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27364EF7" w14:textId="67B5401B" w:rsidR="007F04B3" w:rsidRPr="007F04B3" w:rsidRDefault="00E770A6" w:rsidP="004A7AEC">
            <w:r>
              <w:rPr>
                <w:lang w:eastAsia="ja-JP"/>
              </w:rPr>
              <w:t xml:space="preserve">Non-muscle-invasive bladder cancer disease </w:t>
            </w:r>
            <w:r w:rsidR="007F04B3" w:rsidRPr="007F04B3">
              <w:t>stage progression</w:t>
            </w:r>
          </w:p>
        </w:tc>
        <w:tc>
          <w:tcPr>
            <w:tcW w:w="6545" w:type="dxa"/>
          </w:tcPr>
          <w:p w14:paraId="69802867" w14:textId="5EB88F08" w:rsidR="007F04B3" w:rsidRPr="007F04B3" w:rsidRDefault="007F04B3" w:rsidP="00E770A6">
            <w:pPr>
              <w:cnfStyle w:val="000000000000" w:firstRow="0" w:lastRow="0" w:firstColumn="0" w:lastColumn="0" w:oddVBand="0" w:evenVBand="0" w:oddHBand="0" w:evenHBand="0" w:firstRowFirstColumn="0" w:firstRowLastColumn="0" w:lastRowFirstColumn="0" w:lastRowLastColumn="0"/>
            </w:pPr>
            <w:r w:rsidRPr="007F04B3">
              <w:t xml:space="preserve">pathologically confirmed increase in stage from baseline </w:t>
            </w:r>
            <w:r w:rsidR="00E770A6">
              <w:t xml:space="preserve">carcinoma in situ </w:t>
            </w:r>
            <w:r w:rsidRPr="007F04B3">
              <w:t xml:space="preserve">± high grade Ta </w:t>
            </w:r>
            <w:r>
              <w:t>to T1 disease</w:t>
            </w:r>
          </w:p>
        </w:tc>
      </w:tr>
      <w:tr w:rsidR="007F04B3" w:rsidRPr="007F04B3" w14:paraId="6660CCFC"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768232CB" w14:textId="77777777" w:rsidR="007F04B3" w:rsidRPr="007F04B3" w:rsidRDefault="007F04B3" w:rsidP="004A7AEC">
            <w:r w:rsidRPr="007F04B3">
              <w:t>Progression to T2</w:t>
            </w:r>
          </w:p>
        </w:tc>
        <w:tc>
          <w:tcPr>
            <w:tcW w:w="6545" w:type="dxa"/>
          </w:tcPr>
          <w:p w14:paraId="7BE39F3C" w14:textId="228C7523"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rsidRPr="007F04B3">
              <w:t>pathologically confirmed progression to muscle invasive bladder cancer.</w:t>
            </w:r>
          </w:p>
        </w:tc>
      </w:tr>
      <w:tr w:rsidR="007F04B3" w:rsidRPr="007F04B3" w14:paraId="7DD18AEE"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2AA4DA0E" w14:textId="77777777" w:rsidR="007F04B3" w:rsidRPr="007F04B3" w:rsidRDefault="007F04B3" w:rsidP="004A7AEC">
            <w:r w:rsidRPr="007F04B3">
              <w:t>Extravesical disease</w:t>
            </w:r>
          </w:p>
        </w:tc>
        <w:tc>
          <w:tcPr>
            <w:tcW w:w="6545" w:type="dxa"/>
          </w:tcPr>
          <w:p w14:paraId="114E2441" w14:textId="68C34AC5"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rsidRPr="007F04B3">
              <w:t xml:space="preserve">lesions suspicious for locally advanced or metastatic bladder cancer present </w:t>
            </w:r>
            <w:r>
              <w:t>on imaging</w:t>
            </w:r>
          </w:p>
        </w:tc>
      </w:tr>
      <w:tr w:rsidR="007F04B3" w:rsidRPr="007F04B3" w14:paraId="42743CF1" w14:textId="77777777" w:rsidTr="007F04B3">
        <w:tc>
          <w:tcPr>
            <w:cnfStyle w:val="001000000000" w:firstRow="0" w:lastRow="0" w:firstColumn="1" w:lastColumn="0" w:oddVBand="0" w:evenVBand="0" w:oddHBand="0" w:evenHBand="0" w:firstRowFirstColumn="0" w:firstRowLastColumn="0" w:lastRowFirstColumn="0" w:lastRowLastColumn="0"/>
            <w:tcW w:w="2515" w:type="dxa"/>
          </w:tcPr>
          <w:p w14:paraId="6ACBCAF0" w14:textId="77777777" w:rsidR="007F04B3" w:rsidRPr="007F04B3" w:rsidRDefault="007F04B3" w:rsidP="004A7AEC">
            <w:r w:rsidRPr="007F04B3">
              <w:t>Not evaluable</w:t>
            </w:r>
          </w:p>
        </w:tc>
        <w:tc>
          <w:tcPr>
            <w:tcW w:w="6545" w:type="dxa"/>
          </w:tcPr>
          <w:p w14:paraId="27354A68" w14:textId="69C17540" w:rsidR="007F04B3" w:rsidRPr="007F04B3" w:rsidRDefault="007F04B3" w:rsidP="004A7AEC">
            <w:pPr>
              <w:cnfStyle w:val="000000000000" w:firstRow="0" w:lastRow="0" w:firstColumn="0" w:lastColumn="0" w:oddVBand="0" w:evenVBand="0" w:oddHBand="0" w:evenHBand="0" w:firstRowFirstColumn="0" w:firstRowLastColumn="0" w:lastRowFirstColumn="0" w:lastRowLastColumn="0"/>
            </w:pPr>
            <w:r>
              <w:t>Patient/tumour not evaluable</w:t>
            </w:r>
          </w:p>
        </w:tc>
      </w:tr>
    </w:tbl>
    <w:p w14:paraId="4CDB345F" w14:textId="2C209566" w:rsidR="00E770A6" w:rsidRPr="00E770A6" w:rsidRDefault="00E770A6" w:rsidP="00011226">
      <w:pPr>
        <w:pStyle w:val="TableDescription0"/>
      </w:pPr>
      <w:r w:rsidRPr="00E770A6">
        <w:t xml:space="preserve">TNM staging: Ta = non-invasive papillary carcinoma; Tis = carcinoma in situ: ’flat tumour’; T1 = tumour invading subepithelial connective tissue; T2 = tumour invading muscle wall; T3 = tumour invading </w:t>
      </w:r>
      <w:proofErr w:type="spellStart"/>
      <w:r w:rsidRPr="00E770A6">
        <w:t>perivesical</w:t>
      </w:r>
      <w:proofErr w:type="spellEnd"/>
      <w:r w:rsidRPr="00E770A6">
        <w:t xml:space="preserve"> tissue; T4 = tumour invades any of the following: prostate stroma, seminal vesicles, uterus, vagina, pelv</w:t>
      </w:r>
      <w:r>
        <w:t>ic wall, or/and abdominal wall.</w:t>
      </w:r>
    </w:p>
    <w:p w14:paraId="2A4C8E45" w14:textId="2C261AB4" w:rsidR="00EE40C6" w:rsidRPr="00C70A2C" w:rsidRDefault="00EE40C6" w:rsidP="007F04B3">
      <w:pPr>
        <w:pStyle w:val="Heading6"/>
        <w:rPr>
          <w:lang w:eastAsia="ja-JP"/>
        </w:rPr>
      </w:pPr>
      <w:r w:rsidRPr="00C70A2C">
        <w:rPr>
          <w:lang w:eastAsia="ja-JP"/>
        </w:rPr>
        <w:t>Primary endpoint</w:t>
      </w:r>
    </w:p>
    <w:p w14:paraId="55FAAB08" w14:textId="0304FEE3" w:rsidR="00EE40C6" w:rsidRDefault="007F04B3" w:rsidP="007F04B3">
      <w:pPr>
        <w:rPr>
          <w:lang w:eastAsia="ja-JP"/>
        </w:rPr>
      </w:pPr>
      <w:r>
        <w:rPr>
          <w:lang w:eastAsia="ja-JP"/>
        </w:rPr>
        <w:t>The c</w:t>
      </w:r>
      <w:r w:rsidR="00EE40C6">
        <w:rPr>
          <w:lang w:eastAsia="ja-JP"/>
        </w:rPr>
        <w:t>omplete response rate</w:t>
      </w:r>
      <w:r>
        <w:rPr>
          <w:lang w:eastAsia="ja-JP"/>
        </w:rPr>
        <w:t xml:space="preserve"> is</w:t>
      </w:r>
      <w:r w:rsidR="00EE40C6">
        <w:rPr>
          <w:lang w:eastAsia="ja-JP"/>
        </w:rPr>
        <w:t xml:space="preserve"> the proportion of subjects who had absence of </w:t>
      </w:r>
      <w:r w:rsidR="00EE40C6" w:rsidRPr="00D4652C">
        <w:rPr>
          <w:iCs/>
          <w:lang w:eastAsia="ja-JP"/>
        </w:rPr>
        <w:t>high risk</w:t>
      </w:r>
      <w:r w:rsidR="00EE40C6">
        <w:rPr>
          <w:lang w:eastAsia="ja-JP"/>
        </w:rPr>
        <w:t xml:space="preserve"> </w:t>
      </w:r>
      <w:r w:rsidR="00E770A6">
        <w:rPr>
          <w:lang w:eastAsia="ja-JP"/>
        </w:rPr>
        <w:t>non</w:t>
      </w:r>
      <w:r w:rsidR="00381ADB">
        <w:rPr>
          <w:lang w:eastAsia="ja-JP"/>
        </w:rPr>
        <w:noBreakHyphen/>
      </w:r>
      <w:r w:rsidR="00E770A6">
        <w:rPr>
          <w:lang w:eastAsia="ja-JP"/>
        </w:rPr>
        <w:t>muscle</w:t>
      </w:r>
      <w:r w:rsidR="00381ADB">
        <w:rPr>
          <w:lang w:eastAsia="ja-JP"/>
        </w:rPr>
        <w:t xml:space="preserve"> </w:t>
      </w:r>
      <w:r w:rsidR="004973E1">
        <w:rPr>
          <w:lang w:eastAsia="ja-JP"/>
        </w:rPr>
        <w:t>invasive bladder cancer disease</w:t>
      </w:r>
      <w:r w:rsidR="00EE40C6">
        <w:rPr>
          <w:lang w:eastAsia="ja-JP"/>
        </w:rPr>
        <w:t xml:space="preserve"> (</w:t>
      </w:r>
      <w:r w:rsidR="00E770A6">
        <w:t>carcinoma in situ</w:t>
      </w:r>
      <w:r w:rsidR="00EE40C6">
        <w:rPr>
          <w:lang w:eastAsia="ja-JP"/>
        </w:rPr>
        <w:t>, high grade Ta or T1), or pr</w:t>
      </w:r>
      <w:r w:rsidR="004973E1">
        <w:rPr>
          <w:lang w:eastAsia="ja-JP"/>
        </w:rPr>
        <w:t>ogressive urothelial carcinoma.</w:t>
      </w:r>
    </w:p>
    <w:p w14:paraId="0C803411" w14:textId="77777777" w:rsidR="00EE40C6" w:rsidRPr="00972142" w:rsidRDefault="00EE40C6" w:rsidP="007F04B3">
      <w:pPr>
        <w:pStyle w:val="Heading6"/>
        <w:rPr>
          <w:lang w:eastAsia="ja-JP"/>
        </w:rPr>
      </w:pPr>
      <w:r w:rsidRPr="00972142">
        <w:rPr>
          <w:lang w:eastAsia="ja-JP"/>
        </w:rPr>
        <w:t>Key secondary endpoints</w:t>
      </w:r>
    </w:p>
    <w:p w14:paraId="3D5D6F9B" w14:textId="654584A2" w:rsidR="007F04B3" w:rsidRDefault="007F04B3" w:rsidP="007F04B3">
      <w:r>
        <w:t>Key secondary endpoints are as follows:</w:t>
      </w:r>
    </w:p>
    <w:p w14:paraId="20EB7ED8" w14:textId="2FE55223" w:rsidR="007F04B3" w:rsidRDefault="00E770A6" w:rsidP="007F04B3">
      <w:pPr>
        <w:pStyle w:val="ListBullet"/>
      </w:pPr>
      <w:r>
        <w:t>complete response</w:t>
      </w:r>
      <w:r w:rsidR="00EE40C6" w:rsidRPr="007F04B3">
        <w:t xml:space="preserve"> rate</w:t>
      </w:r>
      <w:r w:rsidR="007F04B3">
        <w:t xml:space="preserve"> (as discussed under </w:t>
      </w:r>
      <w:r w:rsidR="007F04B3" w:rsidRPr="007F04B3">
        <w:rPr>
          <w:i/>
        </w:rPr>
        <w:t>Primary endpoint</w:t>
      </w:r>
      <w:r w:rsidR="007F04B3">
        <w:t>)</w:t>
      </w:r>
      <w:r w:rsidR="00EE40C6" w:rsidRPr="007F04B3">
        <w:t xml:space="preserve"> for </w:t>
      </w:r>
      <w:r w:rsidR="007F04B3">
        <w:t xml:space="preserve">the </w:t>
      </w:r>
      <w:r w:rsidR="00EE40C6" w:rsidRPr="007F04B3">
        <w:t xml:space="preserve">absence of any </w:t>
      </w:r>
      <w:proofErr w:type="gramStart"/>
      <w:r w:rsidR="00EE40C6" w:rsidRPr="007F04B3">
        <w:t>disease</w:t>
      </w:r>
      <w:r w:rsidR="007F04B3">
        <w:t>;</w:t>
      </w:r>
      <w:proofErr w:type="gramEnd"/>
    </w:p>
    <w:p w14:paraId="1D6CAC43" w14:textId="77777777" w:rsidR="00A44488" w:rsidRDefault="007F04B3" w:rsidP="007F04B3">
      <w:pPr>
        <w:pStyle w:val="ListBullet"/>
      </w:pPr>
      <w:r>
        <w:t>d</w:t>
      </w:r>
      <w:r w:rsidR="00EE40C6" w:rsidRPr="007F04B3">
        <w:t>uration of response (</w:t>
      </w:r>
      <w:r w:rsidR="00A44488">
        <w:t>high-</w:t>
      </w:r>
      <w:r w:rsidR="00EE40C6" w:rsidRPr="007F04B3">
        <w:t xml:space="preserve">risk </w:t>
      </w:r>
      <w:r w:rsidR="00A44488">
        <w:rPr>
          <w:lang w:eastAsia="ja-JP"/>
        </w:rPr>
        <w:t>non-muscle invasive bladder cancer</w:t>
      </w:r>
      <w:r w:rsidR="00EE40C6" w:rsidRPr="007F04B3">
        <w:t>)</w:t>
      </w:r>
      <w:r w:rsidR="00A44488">
        <w:t xml:space="preserve">: the </w:t>
      </w:r>
      <w:r w:rsidR="00EE40C6" w:rsidRPr="007F04B3">
        <w:t xml:space="preserve">time from </w:t>
      </w:r>
      <w:r w:rsidR="00A44488">
        <w:t>complete response</w:t>
      </w:r>
      <w:r w:rsidR="00EE40C6" w:rsidRPr="007F04B3">
        <w:t xml:space="preserve"> to recurrence of </w:t>
      </w:r>
      <w:proofErr w:type="gramStart"/>
      <w:r w:rsidR="00EE40C6" w:rsidRPr="007F04B3">
        <w:t>high risk</w:t>
      </w:r>
      <w:proofErr w:type="gramEnd"/>
      <w:r w:rsidR="00EE40C6" w:rsidRPr="007F04B3">
        <w:t xml:space="preserve"> </w:t>
      </w:r>
      <w:r w:rsidR="00A44488">
        <w:rPr>
          <w:lang w:eastAsia="ja-JP"/>
        </w:rPr>
        <w:t xml:space="preserve">non-muscle invasive bladder cancer </w:t>
      </w:r>
      <w:r w:rsidR="00EE40C6" w:rsidRPr="007F04B3">
        <w:t>or worse;</w:t>
      </w:r>
      <w:r w:rsidR="00A44488">
        <w:t xml:space="preserve"> and</w:t>
      </w:r>
    </w:p>
    <w:p w14:paraId="275F14D7" w14:textId="29DFA358" w:rsidR="00EE40C6" w:rsidRPr="007F04B3" w:rsidRDefault="00A44488" w:rsidP="007F04B3">
      <w:pPr>
        <w:pStyle w:val="ListBullet"/>
      </w:pPr>
      <w:r>
        <w:t>d</w:t>
      </w:r>
      <w:r w:rsidR="00EE40C6" w:rsidRPr="007F04B3">
        <w:t>uration of response (</w:t>
      </w:r>
      <w:r>
        <w:t>any disease): the time from complete response</w:t>
      </w:r>
      <w:r w:rsidR="00EE40C6" w:rsidRPr="007F04B3">
        <w:t xml:space="preserve"> to recurrence of any disease.</w:t>
      </w:r>
    </w:p>
    <w:p w14:paraId="0DD012B6" w14:textId="58E677C9" w:rsidR="007F04B3" w:rsidRPr="00A44488" w:rsidRDefault="007F04B3" w:rsidP="00A44488">
      <w:pPr>
        <w:pStyle w:val="Heading6"/>
      </w:pPr>
      <w:r w:rsidRPr="00A44488">
        <w:t>Other secondary endpoints</w:t>
      </w:r>
    </w:p>
    <w:p w14:paraId="7A7C84A3" w14:textId="77777777" w:rsidR="00A44488" w:rsidRDefault="00EE40C6" w:rsidP="00A44488">
      <w:r w:rsidRPr="00A44488">
        <w:t xml:space="preserve">Other secondary endpoints </w:t>
      </w:r>
      <w:r w:rsidR="00A44488">
        <w:t>include:</w:t>
      </w:r>
    </w:p>
    <w:p w14:paraId="2E3AD740" w14:textId="77777777" w:rsidR="00A44488" w:rsidRDefault="00A44488" w:rsidP="00A44488">
      <w:pPr>
        <w:pStyle w:val="ListBullet"/>
      </w:pPr>
      <w:r>
        <w:t>duration of response</w:t>
      </w:r>
      <w:r w:rsidR="00EE40C6" w:rsidRPr="00A44488">
        <w:t xml:space="preserve"> rate for specific time periods (</w:t>
      </w:r>
      <w:r>
        <w:t>these include at response at 6 months, 12 months, and so on</w:t>
      </w:r>
      <w:proofErr w:type="gramStart"/>
      <w:r w:rsidR="00EE40C6" w:rsidRPr="00A44488">
        <w:t>);</w:t>
      </w:r>
      <w:proofErr w:type="gramEnd"/>
    </w:p>
    <w:p w14:paraId="58766FF7" w14:textId="1FAF86B1" w:rsidR="00A44488" w:rsidRDefault="00EE40C6" w:rsidP="00A44488">
      <w:pPr>
        <w:pStyle w:val="ListBullet"/>
      </w:pPr>
      <w:r w:rsidRPr="00A44488">
        <w:t>pro</w:t>
      </w:r>
      <w:r w:rsidR="00E770A6">
        <w:t>gression-free survival until:</w:t>
      </w:r>
    </w:p>
    <w:p w14:paraId="5EAA6988" w14:textId="2E88E08E" w:rsidR="00A44488" w:rsidRDefault="00EE40C6" w:rsidP="00A44488">
      <w:pPr>
        <w:pStyle w:val="ListBullet2"/>
      </w:pPr>
      <w:r w:rsidRPr="00A44488">
        <w:t>worseni</w:t>
      </w:r>
      <w:r w:rsidR="00A44488">
        <w:t>ng of grade, stage, or death; and</w:t>
      </w:r>
    </w:p>
    <w:p w14:paraId="0D375B48" w14:textId="2E25ADDB" w:rsidR="00A44488" w:rsidRDefault="00EE40C6" w:rsidP="00A44488">
      <w:pPr>
        <w:pStyle w:val="ListBullet2"/>
      </w:pPr>
      <w:r w:rsidRPr="00A44488">
        <w:t>muscle invasive or metastatic disease or death;</w:t>
      </w:r>
      <w:r w:rsidR="00A44488">
        <w:t xml:space="preserve"> and</w:t>
      </w:r>
    </w:p>
    <w:p w14:paraId="05AF40AB" w14:textId="694E0E37" w:rsidR="00EE40C6" w:rsidRPr="00A44488" w:rsidRDefault="00A44488" w:rsidP="00A44488">
      <w:pPr>
        <w:pStyle w:val="ListBullet"/>
      </w:pPr>
      <w:r>
        <w:lastRenderedPageBreak/>
        <w:t>Overall survival</w:t>
      </w:r>
      <w:r w:rsidR="00EE40C6" w:rsidRPr="00A44488">
        <w:t>.</w:t>
      </w:r>
    </w:p>
    <w:p w14:paraId="60EDBABA" w14:textId="71EF1BF4" w:rsidR="00687D2D" w:rsidRPr="00687D2D" w:rsidRDefault="00687D2D" w:rsidP="00687D2D">
      <w:pPr>
        <w:pStyle w:val="Heading5"/>
      </w:pPr>
      <w:r>
        <w:t>Results</w:t>
      </w:r>
    </w:p>
    <w:p w14:paraId="2F509B51" w14:textId="716685D6" w:rsidR="00EE40C6" w:rsidRPr="00DA2BA1" w:rsidRDefault="00EE40C6" w:rsidP="00687D2D">
      <w:pPr>
        <w:pStyle w:val="Heading6"/>
        <w:rPr>
          <w:lang w:eastAsia="ja-JP"/>
        </w:rPr>
      </w:pPr>
      <w:r w:rsidRPr="00DA2BA1">
        <w:rPr>
          <w:lang w:eastAsia="ja-JP"/>
        </w:rPr>
        <w:t>Primary endpoint</w:t>
      </w:r>
      <w:r w:rsidR="00687D2D">
        <w:rPr>
          <w:lang w:eastAsia="ja-JP"/>
        </w:rPr>
        <w:t xml:space="preserve"> (complete response)</w:t>
      </w:r>
    </w:p>
    <w:p w14:paraId="426338EF" w14:textId="448F112C" w:rsidR="00EE40C6" w:rsidRDefault="00EE40C6" w:rsidP="00EE40C6">
      <w:pPr>
        <w:pStyle w:val="ListBullet"/>
        <w:numPr>
          <w:ilvl w:val="0"/>
          <w:numId w:val="0"/>
        </w:numPr>
        <w:rPr>
          <w:lang w:eastAsia="ja-JP"/>
        </w:rPr>
      </w:pPr>
      <w:r w:rsidRPr="00A12787">
        <w:rPr>
          <w:lang w:eastAsia="ja-JP"/>
        </w:rPr>
        <w:t>The final analysis was to be conducted 9 months after full enrolment. The protocol stated that no early stopping of the trial (for strong efficacy) was planned.</w:t>
      </w:r>
      <w:r>
        <w:rPr>
          <w:lang w:eastAsia="ja-JP"/>
        </w:rPr>
        <w:t xml:space="preserve"> After discussions with the </w:t>
      </w:r>
      <w:r w:rsidR="00E770A6">
        <w:rPr>
          <w:lang w:eastAsia="ja-JP"/>
        </w:rPr>
        <w:t xml:space="preserve">US </w:t>
      </w:r>
      <w:r>
        <w:rPr>
          <w:lang w:eastAsia="ja-JP"/>
        </w:rPr>
        <w:t>FDA and external experts the final analysis was to be conducted 15 months after full enrolment.</w:t>
      </w:r>
    </w:p>
    <w:p w14:paraId="738BFFBD" w14:textId="3F92A51E" w:rsidR="00EE40C6" w:rsidRPr="00487BB4" w:rsidRDefault="00EE40C6" w:rsidP="00EE40C6">
      <w:pPr>
        <w:pStyle w:val="ListBullet"/>
        <w:numPr>
          <w:ilvl w:val="0"/>
          <w:numId w:val="0"/>
        </w:numPr>
        <w:rPr>
          <w:lang w:eastAsia="ja-JP"/>
        </w:rPr>
      </w:pPr>
      <w:r>
        <w:t xml:space="preserve">The study commenced in March 2016 and </w:t>
      </w:r>
      <w:r>
        <w:rPr>
          <w:lang w:eastAsia="ja-JP"/>
        </w:rPr>
        <w:t xml:space="preserve">by 1 April 2018 (enrolment cut-off) 102 subjects had enrolled in Cohort A and had </w:t>
      </w:r>
      <w:r w:rsidR="00A44488">
        <w:rPr>
          <w:lang w:eastAsia="ja-JP"/>
        </w:rPr>
        <w:t>at least one</w:t>
      </w:r>
      <w:r>
        <w:rPr>
          <w:lang w:eastAsia="ja-JP"/>
        </w:rPr>
        <w:t xml:space="preserve"> dose of pembrolizumab.</w:t>
      </w:r>
    </w:p>
    <w:p w14:paraId="5CDEEA79" w14:textId="1F20E68C" w:rsidR="00EE40C6" w:rsidRDefault="00EE40C6" w:rsidP="00EE40C6">
      <w:r>
        <w:t xml:space="preserve">The sponsor initially presented data for the primary endpoint </w:t>
      </w:r>
      <w:r w:rsidR="00A44488">
        <w:t xml:space="preserve">at </w:t>
      </w:r>
      <w:r>
        <w:t>three cut</w:t>
      </w:r>
      <w:r w:rsidR="00A44488">
        <w:t xml:space="preserve">-off points in the study. These were </w:t>
      </w:r>
      <w:r>
        <w:t>20 February 2019, 24 May 2019,</w:t>
      </w:r>
      <w:r w:rsidR="00A44488">
        <w:t xml:space="preserve"> and</w:t>
      </w:r>
      <w:r>
        <w:t xml:space="preserve"> 24 September 2019.</w:t>
      </w:r>
    </w:p>
    <w:p w14:paraId="6ED604B0" w14:textId="57043426" w:rsidR="00EE40C6" w:rsidRPr="00F96EC4" w:rsidRDefault="00EE40C6" w:rsidP="00EE40C6">
      <w:r w:rsidRPr="007148A2">
        <w:t xml:space="preserve">The 20 February </w:t>
      </w:r>
      <w:r w:rsidR="00A44488">
        <w:t xml:space="preserve">2019 </w:t>
      </w:r>
      <w:r w:rsidRPr="007148A2">
        <w:t xml:space="preserve">and 24 May </w:t>
      </w:r>
      <w:r w:rsidR="00A44488">
        <w:t xml:space="preserve">2019 </w:t>
      </w:r>
      <w:r w:rsidRPr="007148A2">
        <w:t xml:space="preserve">results were based on all the 102 </w:t>
      </w:r>
      <w:r>
        <w:t>patients</w:t>
      </w:r>
      <w:r w:rsidRPr="007148A2">
        <w:t xml:space="preserve"> enrolled in Cohort A. The 24 September </w:t>
      </w:r>
      <w:r w:rsidR="00A44488">
        <w:t xml:space="preserve">2019 </w:t>
      </w:r>
      <w:r w:rsidRPr="007148A2">
        <w:t xml:space="preserve">results were based on only 96 of the 102 </w:t>
      </w:r>
      <w:r>
        <w:t>patients (</w:t>
      </w:r>
      <w:r w:rsidRPr="007148A2">
        <w:t xml:space="preserve">5 </w:t>
      </w:r>
      <w:r>
        <w:t>were not considered</w:t>
      </w:r>
      <w:r w:rsidRPr="007148A2">
        <w:t xml:space="preserve"> </w:t>
      </w:r>
      <w:r>
        <w:t xml:space="preserve">BCG unresponsive, </w:t>
      </w:r>
      <w:r w:rsidRPr="007148A2">
        <w:t xml:space="preserve">as defined in the FDA </w:t>
      </w:r>
      <w:r w:rsidRPr="00E770A6">
        <w:t>guideline</w:t>
      </w:r>
      <w:r w:rsidR="000D12F7">
        <w:t xml:space="preserve"> (see </w:t>
      </w:r>
      <w:r w:rsidR="000D12F7" w:rsidRPr="000D12F7">
        <w:rPr>
          <w:i/>
        </w:rPr>
        <w:fldChar w:fldCharType="begin"/>
      </w:r>
      <w:r w:rsidR="000D12F7" w:rsidRPr="000D12F7">
        <w:rPr>
          <w:i/>
        </w:rPr>
        <w:instrText xml:space="preserve"> REF _Ref130484088 \h </w:instrText>
      </w:r>
      <w:r w:rsidR="000D12F7">
        <w:rPr>
          <w:i/>
        </w:rPr>
        <w:instrText xml:space="preserve"> \* MERGEFORMAT </w:instrText>
      </w:r>
      <w:r w:rsidR="000D12F7" w:rsidRPr="000D12F7">
        <w:rPr>
          <w:i/>
        </w:rPr>
      </w:r>
      <w:r w:rsidR="000D12F7" w:rsidRPr="000D12F7">
        <w:rPr>
          <w:i/>
        </w:rPr>
        <w:fldChar w:fldCharType="separate"/>
      </w:r>
      <w:r w:rsidR="007F791A" w:rsidRPr="007F791A">
        <w:rPr>
          <w:i/>
        </w:rPr>
        <w:t>Guidance and definitions</w:t>
      </w:r>
      <w:r w:rsidR="000D12F7" w:rsidRPr="000D12F7">
        <w:rPr>
          <w:i/>
        </w:rPr>
        <w:fldChar w:fldCharType="end"/>
      </w:r>
      <w:r w:rsidR="000D12F7">
        <w:t>)</w:t>
      </w:r>
      <w:r>
        <w:t xml:space="preserve"> </w:t>
      </w:r>
      <w:r w:rsidR="00A44488">
        <w:t>one</w:t>
      </w:r>
      <w:r w:rsidRPr="007148A2">
        <w:t xml:space="preserve"> </w:t>
      </w:r>
      <w:r>
        <w:t xml:space="preserve">did not have </w:t>
      </w:r>
      <w:r w:rsidR="00A44488">
        <w:t>carcinoma-in-situ at Baseline</w:t>
      </w:r>
      <w:r>
        <w:t>)</w:t>
      </w:r>
      <w:r w:rsidRPr="007148A2">
        <w:t>.</w:t>
      </w:r>
    </w:p>
    <w:p w14:paraId="0A870EA6" w14:textId="43688F64" w:rsidR="00A44488" w:rsidRDefault="00A44488" w:rsidP="00A44488">
      <w:pPr>
        <w:pStyle w:val="TableTitle0"/>
      </w:pPr>
      <w:r>
        <w:t xml:space="preserve">Table </w:t>
      </w:r>
      <w:r w:rsidR="00B82441">
        <w:fldChar w:fldCharType="begin"/>
      </w:r>
      <w:r w:rsidR="00B82441">
        <w:instrText xml:space="preserve"> SEQ Table \* ARABIC </w:instrText>
      </w:r>
      <w:r w:rsidR="00B82441">
        <w:fldChar w:fldCharType="separate"/>
      </w:r>
      <w:r w:rsidR="007F791A">
        <w:rPr>
          <w:noProof/>
        </w:rPr>
        <w:t>7</w:t>
      </w:r>
      <w:r w:rsidR="00B82441">
        <w:rPr>
          <w:noProof/>
        </w:rPr>
        <w:fldChar w:fldCharType="end"/>
      </w:r>
      <w:r>
        <w:t>: Keynote-057 trial; results for the primary efficacy endpoint</w:t>
      </w:r>
      <w:r w:rsidR="00FA70A3">
        <w:t xml:space="preserve"> (achieving complete response)</w:t>
      </w:r>
      <w:r>
        <w:t xml:space="preserve"> at all data cut-off points</w:t>
      </w:r>
    </w:p>
    <w:tbl>
      <w:tblPr>
        <w:tblStyle w:val="TableTGAblue"/>
        <w:tblW w:w="0" w:type="auto"/>
        <w:tblLook w:val="04A0" w:firstRow="1" w:lastRow="0" w:firstColumn="1" w:lastColumn="0" w:noHBand="0" w:noVBand="1"/>
      </w:tblPr>
      <w:tblGrid>
        <w:gridCol w:w="1948"/>
        <w:gridCol w:w="549"/>
        <w:gridCol w:w="2263"/>
        <w:gridCol w:w="1470"/>
        <w:gridCol w:w="1518"/>
        <w:gridCol w:w="1302"/>
      </w:tblGrid>
      <w:tr w:rsidR="00A44488" w:rsidRPr="00880687" w14:paraId="173E9DF5" w14:textId="77777777" w:rsidTr="00011226">
        <w:trPr>
          <w:cnfStyle w:val="100000000000" w:firstRow="1" w:lastRow="0" w:firstColumn="0" w:lastColumn="0" w:oddVBand="0" w:evenVBand="0" w:oddHBand="0" w:evenHBand="0" w:firstRowFirstColumn="0" w:firstRowLastColumn="0" w:lastRowFirstColumn="0" w:lastRowLastColumn="0"/>
        </w:trPr>
        <w:tc>
          <w:tcPr>
            <w:tcW w:w="1948" w:type="dxa"/>
            <w:vAlign w:val="bottom"/>
          </w:tcPr>
          <w:p w14:paraId="237EC0E3" w14:textId="1C050AB7" w:rsidR="00EE40C6" w:rsidRPr="00A44488" w:rsidRDefault="00EE40C6">
            <w:pPr>
              <w:ind w:left="0" w:right="0"/>
              <w:rPr>
                <w:sz w:val="20"/>
              </w:rPr>
            </w:pPr>
            <w:r w:rsidRPr="00A44488">
              <w:rPr>
                <w:sz w:val="20"/>
              </w:rPr>
              <w:t>Cut-off</w:t>
            </w:r>
            <w:r w:rsidR="00687D2D">
              <w:rPr>
                <w:sz w:val="20"/>
              </w:rPr>
              <w:t xml:space="preserve"> date</w:t>
            </w:r>
          </w:p>
        </w:tc>
        <w:tc>
          <w:tcPr>
            <w:tcW w:w="549" w:type="dxa"/>
            <w:vAlign w:val="bottom"/>
          </w:tcPr>
          <w:p w14:paraId="50BA7C23" w14:textId="77777777" w:rsidR="00EE40C6" w:rsidRPr="00A44488" w:rsidRDefault="00EE40C6" w:rsidP="00011226">
            <w:pPr>
              <w:ind w:left="0" w:right="0"/>
              <w:rPr>
                <w:sz w:val="20"/>
              </w:rPr>
            </w:pPr>
            <w:r w:rsidRPr="00A44488">
              <w:rPr>
                <w:sz w:val="20"/>
              </w:rPr>
              <w:t>N</w:t>
            </w:r>
          </w:p>
        </w:tc>
        <w:tc>
          <w:tcPr>
            <w:tcW w:w="2263" w:type="dxa"/>
            <w:vAlign w:val="bottom"/>
          </w:tcPr>
          <w:p w14:paraId="1D3922FC" w14:textId="6D5385C8" w:rsidR="00EE40C6" w:rsidRPr="00A44488" w:rsidRDefault="00EE40C6">
            <w:pPr>
              <w:ind w:left="0" w:right="0"/>
              <w:rPr>
                <w:sz w:val="20"/>
              </w:rPr>
            </w:pPr>
            <w:r w:rsidRPr="00A44488">
              <w:rPr>
                <w:sz w:val="20"/>
              </w:rPr>
              <w:t xml:space="preserve">Median </w:t>
            </w:r>
            <w:r w:rsidRPr="00FA70A3">
              <w:rPr>
                <w:b w:val="0"/>
                <w:sz w:val="20"/>
              </w:rPr>
              <w:t>(range)</w:t>
            </w:r>
            <w:r w:rsidRPr="00A44488">
              <w:rPr>
                <w:sz w:val="20"/>
              </w:rPr>
              <w:t xml:space="preserve"> follow up </w:t>
            </w:r>
            <w:r w:rsidRPr="00FA70A3">
              <w:rPr>
                <w:b w:val="0"/>
                <w:sz w:val="20"/>
              </w:rPr>
              <w:t>(</w:t>
            </w:r>
            <w:r w:rsidR="00381ADB">
              <w:rPr>
                <w:b w:val="0"/>
                <w:sz w:val="20"/>
              </w:rPr>
              <w:t xml:space="preserve">in </w:t>
            </w:r>
            <w:r w:rsidRPr="00FA70A3">
              <w:rPr>
                <w:b w:val="0"/>
                <w:sz w:val="20"/>
              </w:rPr>
              <w:t>months)</w:t>
            </w:r>
          </w:p>
        </w:tc>
        <w:tc>
          <w:tcPr>
            <w:tcW w:w="1470" w:type="dxa"/>
            <w:vAlign w:val="bottom"/>
          </w:tcPr>
          <w:p w14:paraId="33FFCFFA" w14:textId="544D9FA4" w:rsidR="00EE40C6" w:rsidRPr="00A44488" w:rsidRDefault="00687D2D" w:rsidP="00011226">
            <w:pPr>
              <w:ind w:left="0" w:right="0"/>
              <w:rPr>
                <w:sz w:val="20"/>
              </w:rPr>
            </w:pPr>
            <w:r>
              <w:rPr>
                <w:sz w:val="20"/>
              </w:rPr>
              <w:t>Complete response</w:t>
            </w:r>
            <w:r w:rsidR="00FA70A3">
              <w:rPr>
                <w:sz w:val="20"/>
              </w:rPr>
              <w:t>s</w:t>
            </w:r>
            <w:r w:rsidR="00EE40C6" w:rsidRPr="00A44488">
              <w:rPr>
                <w:sz w:val="20"/>
              </w:rPr>
              <w:t xml:space="preserve"> </w:t>
            </w:r>
            <w:r w:rsidR="00EE40C6" w:rsidRPr="00FA70A3">
              <w:rPr>
                <w:b w:val="0"/>
                <w:sz w:val="20"/>
              </w:rPr>
              <w:t>(n)</w:t>
            </w:r>
          </w:p>
        </w:tc>
        <w:tc>
          <w:tcPr>
            <w:tcW w:w="1518" w:type="dxa"/>
            <w:vAlign w:val="bottom"/>
          </w:tcPr>
          <w:p w14:paraId="77DA66A9" w14:textId="60B5E94C" w:rsidR="00EE40C6" w:rsidRPr="00A44488" w:rsidRDefault="00687D2D" w:rsidP="00011226">
            <w:pPr>
              <w:ind w:left="0" w:right="0"/>
              <w:rPr>
                <w:sz w:val="20"/>
              </w:rPr>
            </w:pPr>
            <w:r>
              <w:rPr>
                <w:sz w:val="20"/>
              </w:rPr>
              <w:t>Complete response</w:t>
            </w:r>
            <w:r w:rsidR="00EE40C6" w:rsidRPr="00A44488">
              <w:rPr>
                <w:sz w:val="20"/>
              </w:rPr>
              <w:t xml:space="preserve"> rate</w:t>
            </w:r>
          </w:p>
        </w:tc>
        <w:tc>
          <w:tcPr>
            <w:tcW w:w="1302" w:type="dxa"/>
            <w:vAlign w:val="bottom"/>
          </w:tcPr>
          <w:p w14:paraId="10A14E1E" w14:textId="77777777" w:rsidR="00EE40C6" w:rsidRPr="00A44488" w:rsidRDefault="00EE40C6" w:rsidP="00011226">
            <w:pPr>
              <w:ind w:left="0" w:right="0"/>
              <w:rPr>
                <w:sz w:val="20"/>
              </w:rPr>
            </w:pPr>
            <w:r w:rsidRPr="00A44488">
              <w:rPr>
                <w:sz w:val="20"/>
              </w:rPr>
              <w:t>95% CI</w:t>
            </w:r>
          </w:p>
        </w:tc>
      </w:tr>
      <w:tr w:rsidR="00A44488" w14:paraId="0FCF46E1" w14:textId="77777777" w:rsidTr="00011226">
        <w:tc>
          <w:tcPr>
            <w:tcW w:w="1948" w:type="dxa"/>
          </w:tcPr>
          <w:p w14:paraId="583E774D" w14:textId="1F284A9A" w:rsidR="00EE40C6" w:rsidRPr="00A44488" w:rsidRDefault="00EE40C6" w:rsidP="00687D2D">
            <w:pPr>
              <w:ind w:left="0" w:right="0"/>
              <w:rPr>
                <w:sz w:val="20"/>
              </w:rPr>
            </w:pPr>
            <w:r w:rsidRPr="00A44488">
              <w:rPr>
                <w:sz w:val="20"/>
              </w:rPr>
              <w:t>20 Feb</w:t>
            </w:r>
            <w:r w:rsidR="00687D2D">
              <w:rPr>
                <w:sz w:val="20"/>
              </w:rPr>
              <w:t>ruary 2019</w:t>
            </w:r>
          </w:p>
        </w:tc>
        <w:tc>
          <w:tcPr>
            <w:tcW w:w="549" w:type="dxa"/>
          </w:tcPr>
          <w:p w14:paraId="6F73A0C2" w14:textId="77777777" w:rsidR="00EE40C6" w:rsidRPr="00A44488" w:rsidRDefault="00EE40C6" w:rsidP="00FA70A3">
            <w:pPr>
              <w:ind w:left="0" w:right="0"/>
              <w:jc w:val="center"/>
              <w:rPr>
                <w:sz w:val="20"/>
              </w:rPr>
            </w:pPr>
            <w:r w:rsidRPr="00A44488">
              <w:rPr>
                <w:sz w:val="20"/>
              </w:rPr>
              <w:t>102</w:t>
            </w:r>
          </w:p>
        </w:tc>
        <w:tc>
          <w:tcPr>
            <w:tcW w:w="2263" w:type="dxa"/>
          </w:tcPr>
          <w:p w14:paraId="41EB1FDF" w14:textId="71B2F2A0" w:rsidR="00EE40C6" w:rsidRPr="00A44488" w:rsidRDefault="00EE40C6" w:rsidP="00FA70A3">
            <w:pPr>
              <w:ind w:left="0" w:right="0"/>
              <w:jc w:val="center"/>
              <w:rPr>
                <w:sz w:val="20"/>
              </w:rPr>
            </w:pPr>
            <w:r w:rsidRPr="00A44488">
              <w:rPr>
                <w:sz w:val="20"/>
              </w:rPr>
              <w:t xml:space="preserve">21.1 (4.6 </w:t>
            </w:r>
            <w:r w:rsidR="00381ADB">
              <w:rPr>
                <w:sz w:val="20"/>
              </w:rPr>
              <w:t>to</w:t>
            </w:r>
            <w:r w:rsidRPr="00A44488">
              <w:rPr>
                <w:sz w:val="20"/>
              </w:rPr>
              <w:t xml:space="preserve"> 33.4)</w:t>
            </w:r>
          </w:p>
        </w:tc>
        <w:tc>
          <w:tcPr>
            <w:tcW w:w="1470" w:type="dxa"/>
          </w:tcPr>
          <w:p w14:paraId="74328F57" w14:textId="77777777" w:rsidR="00EE40C6" w:rsidRPr="00A44488" w:rsidRDefault="00EE40C6" w:rsidP="00FA70A3">
            <w:pPr>
              <w:ind w:left="0" w:right="0"/>
              <w:jc w:val="center"/>
              <w:rPr>
                <w:sz w:val="20"/>
              </w:rPr>
            </w:pPr>
            <w:r w:rsidRPr="00A44488">
              <w:rPr>
                <w:sz w:val="20"/>
              </w:rPr>
              <w:t>42</w:t>
            </w:r>
          </w:p>
        </w:tc>
        <w:tc>
          <w:tcPr>
            <w:tcW w:w="1518" w:type="dxa"/>
          </w:tcPr>
          <w:p w14:paraId="52B1FAEF" w14:textId="77777777" w:rsidR="00EE40C6" w:rsidRPr="00A44488" w:rsidRDefault="00EE40C6" w:rsidP="00FA70A3">
            <w:pPr>
              <w:ind w:left="0" w:right="0"/>
              <w:jc w:val="center"/>
              <w:rPr>
                <w:sz w:val="20"/>
              </w:rPr>
            </w:pPr>
            <w:r w:rsidRPr="00A44488">
              <w:rPr>
                <w:sz w:val="20"/>
              </w:rPr>
              <w:t>41.2%</w:t>
            </w:r>
          </w:p>
        </w:tc>
        <w:tc>
          <w:tcPr>
            <w:tcW w:w="1302" w:type="dxa"/>
          </w:tcPr>
          <w:p w14:paraId="10F48642" w14:textId="77777777" w:rsidR="00EE40C6" w:rsidRPr="00A44488" w:rsidRDefault="00EE40C6" w:rsidP="00FA70A3">
            <w:pPr>
              <w:ind w:left="0" w:right="0"/>
              <w:jc w:val="center"/>
              <w:rPr>
                <w:sz w:val="20"/>
              </w:rPr>
            </w:pPr>
            <w:r w:rsidRPr="00A44488">
              <w:rPr>
                <w:sz w:val="20"/>
              </w:rPr>
              <w:t>31.5 to 51.4</w:t>
            </w:r>
          </w:p>
        </w:tc>
      </w:tr>
      <w:tr w:rsidR="00A44488" w14:paraId="7E42BD91" w14:textId="77777777" w:rsidTr="00011226">
        <w:tc>
          <w:tcPr>
            <w:tcW w:w="1948" w:type="dxa"/>
          </w:tcPr>
          <w:p w14:paraId="1DDEE25C" w14:textId="1B05DA90" w:rsidR="00EE40C6" w:rsidRPr="00A44488" w:rsidRDefault="00EE40C6" w:rsidP="00687D2D">
            <w:pPr>
              <w:ind w:left="0" w:right="0"/>
              <w:rPr>
                <w:sz w:val="20"/>
              </w:rPr>
            </w:pPr>
            <w:r w:rsidRPr="00A44488">
              <w:rPr>
                <w:sz w:val="20"/>
              </w:rPr>
              <w:t>24 May</w:t>
            </w:r>
            <w:r w:rsidR="00687D2D">
              <w:rPr>
                <w:sz w:val="20"/>
              </w:rPr>
              <w:t xml:space="preserve"> 2019</w:t>
            </w:r>
          </w:p>
        </w:tc>
        <w:tc>
          <w:tcPr>
            <w:tcW w:w="549" w:type="dxa"/>
          </w:tcPr>
          <w:p w14:paraId="0A9E94E1" w14:textId="77777777" w:rsidR="00EE40C6" w:rsidRPr="00A44488" w:rsidRDefault="00EE40C6" w:rsidP="00FA70A3">
            <w:pPr>
              <w:ind w:left="0" w:right="0"/>
              <w:jc w:val="center"/>
              <w:rPr>
                <w:sz w:val="20"/>
              </w:rPr>
            </w:pPr>
            <w:r w:rsidRPr="00A44488">
              <w:rPr>
                <w:sz w:val="20"/>
              </w:rPr>
              <w:t>102</w:t>
            </w:r>
          </w:p>
        </w:tc>
        <w:tc>
          <w:tcPr>
            <w:tcW w:w="2263" w:type="dxa"/>
          </w:tcPr>
          <w:p w14:paraId="00C22AB9" w14:textId="611F7D9C" w:rsidR="00EE40C6" w:rsidRPr="00A44488" w:rsidRDefault="00EE40C6" w:rsidP="00FA70A3">
            <w:pPr>
              <w:ind w:left="0" w:right="0"/>
              <w:jc w:val="center"/>
              <w:rPr>
                <w:sz w:val="20"/>
              </w:rPr>
            </w:pPr>
            <w:r w:rsidRPr="00A44488">
              <w:rPr>
                <w:sz w:val="20"/>
              </w:rPr>
              <w:t xml:space="preserve">24.1 (4.6 </w:t>
            </w:r>
            <w:r w:rsidR="00381ADB">
              <w:rPr>
                <w:sz w:val="20"/>
              </w:rPr>
              <w:t xml:space="preserve">to </w:t>
            </w:r>
            <w:r w:rsidRPr="00A44488">
              <w:rPr>
                <w:sz w:val="20"/>
              </w:rPr>
              <w:t>36.5)</w:t>
            </w:r>
          </w:p>
        </w:tc>
        <w:tc>
          <w:tcPr>
            <w:tcW w:w="1470" w:type="dxa"/>
          </w:tcPr>
          <w:p w14:paraId="33EDAA6A" w14:textId="77777777" w:rsidR="00EE40C6" w:rsidRPr="00A44488" w:rsidRDefault="00EE40C6" w:rsidP="00FA70A3">
            <w:pPr>
              <w:ind w:left="0" w:right="0"/>
              <w:jc w:val="center"/>
              <w:rPr>
                <w:sz w:val="20"/>
              </w:rPr>
            </w:pPr>
            <w:r w:rsidRPr="00A44488">
              <w:rPr>
                <w:sz w:val="20"/>
              </w:rPr>
              <w:t>42</w:t>
            </w:r>
          </w:p>
        </w:tc>
        <w:tc>
          <w:tcPr>
            <w:tcW w:w="1518" w:type="dxa"/>
          </w:tcPr>
          <w:p w14:paraId="3FAF689F" w14:textId="77777777" w:rsidR="00EE40C6" w:rsidRPr="00A44488" w:rsidRDefault="00EE40C6" w:rsidP="00FA70A3">
            <w:pPr>
              <w:ind w:left="0" w:right="0"/>
              <w:jc w:val="center"/>
              <w:rPr>
                <w:sz w:val="20"/>
              </w:rPr>
            </w:pPr>
            <w:r w:rsidRPr="00A44488">
              <w:rPr>
                <w:sz w:val="20"/>
              </w:rPr>
              <w:t>41.2%</w:t>
            </w:r>
          </w:p>
        </w:tc>
        <w:tc>
          <w:tcPr>
            <w:tcW w:w="1302" w:type="dxa"/>
          </w:tcPr>
          <w:p w14:paraId="474D5F02" w14:textId="77777777" w:rsidR="00EE40C6" w:rsidRPr="00A44488" w:rsidRDefault="00EE40C6" w:rsidP="00FA70A3">
            <w:pPr>
              <w:ind w:left="0" w:right="0"/>
              <w:jc w:val="center"/>
              <w:rPr>
                <w:sz w:val="20"/>
              </w:rPr>
            </w:pPr>
            <w:r w:rsidRPr="00A44488">
              <w:rPr>
                <w:sz w:val="20"/>
              </w:rPr>
              <w:t>31.5 to 51.4</w:t>
            </w:r>
          </w:p>
        </w:tc>
      </w:tr>
      <w:tr w:rsidR="00A44488" w14:paraId="5B01326A" w14:textId="77777777" w:rsidTr="00011226">
        <w:tc>
          <w:tcPr>
            <w:tcW w:w="1948" w:type="dxa"/>
          </w:tcPr>
          <w:p w14:paraId="616F6ED1" w14:textId="1E3EF8B2" w:rsidR="00EE40C6" w:rsidRPr="00A44488" w:rsidRDefault="00EE40C6" w:rsidP="00687D2D">
            <w:pPr>
              <w:ind w:left="0" w:right="0"/>
              <w:rPr>
                <w:sz w:val="20"/>
              </w:rPr>
            </w:pPr>
            <w:r w:rsidRPr="00A44488">
              <w:rPr>
                <w:sz w:val="20"/>
              </w:rPr>
              <w:t>24 Sep</w:t>
            </w:r>
            <w:r w:rsidR="00687D2D">
              <w:rPr>
                <w:sz w:val="20"/>
              </w:rPr>
              <w:t>tember 2019</w:t>
            </w:r>
          </w:p>
        </w:tc>
        <w:tc>
          <w:tcPr>
            <w:tcW w:w="549" w:type="dxa"/>
          </w:tcPr>
          <w:p w14:paraId="0AFB2D9B" w14:textId="77777777" w:rsidR="00EE40C6" w:rsidRPr="00A44488" w:rsidRDefault="00EE40C6" w:rsidP="00FA70A3">
            <w:pPr>
              <w:ind w:left="0" w:right="0"/>
              <w:jc w:val="center"/>
              <w:rPr>
                <w:sz w:val="20"/>
              </w:rPr>
            </w:pPr>
            <w:r w:rsidRPr="00A44488">
              <w:rPr>
                <w:sz w:val="20"/>
              </w:rPr>
              <w:t>96</w:t>
            </w:r>
          </w:p>
        </w:tc>
        <w:tc>
          <w:tcPr>
            <w:tcW w:w="2263" w:type="dxa"/>
          </w:tcPr>
          <w:p w14:paraId="61115971" w14:textId="1022A311" w:rsidR="00EE40C6" w:rsidRPr="00A44488" w:rsidRDefault="00EE40C6" w:rsidP="00FA70A3">
            <w:pPr>
              <w:ind w:left="0" w:right="0"/>
              <w:jc w:val="center"/>
              <w:rPr>
                <w:sz w:val="20"/>
              </w:rPr>
            </w:pPr>
            <w:r w:rsidRPr="00A44488">
              <w:rPr>
                <w:sz w:val="20"/>
              </w:rPr>
              <w:t xml:space="preserve">28.0 (4.6 </w:t>
            </w:r>
            <w:r w:rsidR="00381ADB">
              <w:rPr>
                <w:sz w:val="20"/>
              </w:rPr>
              <w:t>to</w:t>
            </w:r>
            <w:r w:rsidRPr="00A44488">
              <w:rPr>
                <w:sz w:val="20"/>
              </w:rPr>
              <w:t xml:space="preserve"> 40.5)</w:t>
            </w:r>
          </w:p>
        </w:tc>
        <w:tc>
          <w:tcPr>
            <w:tcW w:w="1470" w:type="dxa"/>
          </w:tcPr>
          <w:p w14:paraId="71A11E7D" w14:textId="77777777" w:rsidR="00EE40C6" w:rsidRPr="00A44488" w:rsidRDefault="00EE40C6" w:rsidP="00FA70A3">
            <w:pPr>
              <w:ind w:left="0" w:right="0"/>
              <w:jc w:val="center"/>
              <w:rPr>
                <w:sz w:val="20"/>
              </w:rPr>
            </w:pPr>
            <w:r w:rsidRPr="00A44488">
              <w:rPr>
                <w:sz w:val="20"/>
              </w:rPr>
              <w:t>39</w:t>
            </w:r>
          </w:p>
        </w:tc>
        <w:tc>
          <w:tcPr>
            <w:tcW w:w="1518" w:type="dxa"/>
          </w:tcPr>
          <w:p w14:paraId="4D1B8477" w14:textId="77777777" w:rsidR="00EE40C6" w:rsidRPr="00A44488" w:rsidRDefault="00EE40C6" w:rsidP="00FA70A3">
            <w:pPr>
              <w:ind w:left="0" w:right="0"/>
              <w:jc w:val="center"/>
              <w:rPr>
                <w:sz w:val="20"/>
              </w:rPr>
            </w:pPr>
            <w:r w:rsidRPr="00A44488">
              <w:rPr>
                <w:sz w:val="20"/>
              </w:rPr>
              <w:t>40.6%</w:t>
            </w:r>
          </w:p>
        </w:tc>
        <w:tc>
          <w:tcPr>
            <w:tcW w:w="1302" w:type="dxa"/>
          </w:tcPr>
          <w:p w14:paraId="33B5A82A" w14:textId="77777777" w:rsidR="00EE40C6" w:rsidRPr="00A44488" w:rsidRDefault="00EE40C6" w:rsidP="00FA70A3">
            <w:pPr>
              <w:ind w:left="0" w:right="0"/>
              <w:jc w:val="center"/>
              <w:rPr>
                <w:sz w:val="20"/>
              </w:rPr>
            </w:pPr>
            <w:r w:rsidRPr="00A44488">
              <w:rPr>
                <w:sz w:val="20"/>
              </w:rPr>
              <w:t>30.7 to 51.1</w:t>
            </w:r>
          </w:p>
        </w:tc>
      </w:tr>
    </w:tbl>
    <w:p w14:paraId="6F4A9C10" w14:textId="175611EC" w:rsidR="00687D2D" w:rsidRDefault="00381ADB" w:rsidP="00011226">
      <w:pPr>
        <w:pStyle w:val="TableDescription0"/>
        <w:rPr>
          <w:lang w:eastAsia="ja-JP"/>
        </w:rPr>
      </w:pPr>
      <w:r>
        <w:rPr>
          <w:lang w:eastAsia="ja-JP"/>
        </w:rPr>
        <w:t>Abbreviations: CI = confidence interval(s); N = total number of patients in study; n = number of patients with specified response.</w:t>
      </w:r>
    </w:p>
    <w:p w14:paraId="57F80092" w14:textId="7125F7D7" w:rsidR="00EE40C6" w:rsidRPr="00161296" w:rsidRDefault="00FE592F" w:rsidP="00011226">
      <w:pPr>
        <w:spacing w:before="240"/>
        <w:rPr>
          <w:lang w:eastAsia="ja-JP"/>
        </w:rPr>
      </w:pPr>
      <w:r>
        <w:rPr>
          <w:lang w:eastAsia="ja-JP"/>
        </w:rPr>
        <w:t xml:space="preserve">As part of </w:t>
      </w:r>
      <w:r w:rsidR="003F5B77">
        <w:rPr>
          <w:lang w:eastAsia="ja-JP"/>
        </w:rPr>
        <w:t xml:space="preserve">a </w:t>
      </w:r>
      <w:r>
        <w:rPr>
          <w:lang w:eastAsia="ja-JP"/>
        </w:rPr>
        <w:t>response to TGA questions, the sponsor supplied data based on</w:t>
      </w:r>
      <w:r w:rsidR="00EE40C6" w:rsidRPr="00161296">
        <w:rPr>
          <w:lang w:eastAsia="ja-JP"/>
        </w:rPr>
        <w:t xml:space="preserve"> the 24 September 2019 data cut</w:t>
      </w:r>
      <w:r w:rsidR="00687D2D" w:rsidRPr="00161296">
        <w:rPr>
          <w:lang w:eastAsia="ja-JP"/>
        </w:rPr>
        <w:t>-off date</w:t>
      </w:r>
      <w:r>
        <w:rPr>
          <w:lang w:eastAsia="ja-JP"/>
        </w:rPr>
        <w:t xml:space="preserve"> </w:t>
      </w:r>
      <w:r w:rsidR="003F5B77">
        <w:rPr>
          <w:lang w:eastAsia="ja-JP"/>
        </w:rPr>
        <w:t>where the complete response over time, which was</w:t>
      </w:r>
      <w:r>
        <w:rPr>
          <w:lang w:eastAsia="ja-JP"/>
        </w:rPr>
        <w:t xml:space="preserve"> not </w:t>
      </w:r>
      <w:r w:rsidR="003F5B77">
        <w:rPr>
          <w:lang w:eastAsia="ja-JP"/>
        </w:rPr>
        <w:t>a defined endpoint per protocol, was as follows</w:t>
      </w:r>
      <w:r w:rsidR="00EE40C6" w:rsidRPr="00161296">
        <w:rPr>
          <w:lang w:eastAsia="ja-JP"/>
        </w:rPr>
        <w:t>:</w:t>
      </w:r>
    </w:p>
    <w:p w14:paraId="603AC8BD" w14:textId="3D253F10" w:rsidR="00EE40C6" w:rsidRPr="00161296" w:rsidRDefault="00687D2D" w:rsidP="00687D2D">
      <w:pPr>
        <w:pStyle w:val="ListBullet"/>
      </w:pPr>
      <w:r w:rsidRPr="00161296">
        <w:t xml:space="preserve">Month 6: </w:t>
      </w:r>
      <w:r w:rsidR="00EE40C6" w:rsidRPr="00161296">
        <w:t>30.2% (95% CI: 21.3 to 40.4</w:t>
      </w:r>
      <w:proofErr w:type="gramStart"/>
      <w:r w:rsidR="00EE40C6" w:rsidRPr="00161296">
        <w:t>);</w:t>
      </w:r>
      <w:proofErr w:type="gramEnd"/>
    </w:p>
    <w:p w14:paraId="4A33E37C" w14:textId="72BCAA7A" w:rsidR="00EE40C6" w:rsidRPr="00161296" w:rsidRDefault="00EE40C6" w:rsidP="00687D2D">
      <w:pPr>
        <w:pStyle w:val="ListBullet"/>
      </w:pPr>
      <w:r w:rsidRPr="00161296">
        <w:t>Month 12: 18.8% (95%</w:t>
      </w:r>
      <w:r w:rsidR="00636B78" w:rsidRPr="00161296">
        <w:t xml:space="preserve"> </w:t>
      </w:r>
      <w:r w:rsidRPr="00161296">
        <w:t>CI: 11.5 to 28.0</w:t>
      </w:r>
      <w:proofErr w:type="gramStart"/>
      <w:r w:rsidRPr="00161296">
        <w:t>);</w:t>
      </w:r>
      <w:proofErr w:type="gramEnd"/>
    </w:p>
    <w:p w14:paraId="43AAEA4F" w14:textId="590BFB41" w:rsidR="00EE40C6" w:rsidRPr="00161296" w:rsidRDefault="00687D2D" w:rsidP="00687D2D">
      <w:pPr>
        <w:pStyle w:val="ListBullet"/>
      </w:pPr>
      <w:r w:rsidRPr="00161296">
        <w:t xml:space="preserve">Month 18: </w:t>
      </w:r>
      <w:r w:rsidR="00EE40C6" w:rsidRPr="00161296">
        <w:t>15.6% (95%CI: 9.0 to 24.5).</w:t>
      </w:r>
    </w:p>
    <w:p w14:paraId="0EEB9F83" w14:textId="157C6FB8" w:rsidR="00EE40C6" w:rsidRDefault="00EE40C6" w:rsidP="00EE40C6">
      <w:pPr>
        <w:rPr>
          <w:lang w:eastAsia="ja-JP"/>
        </w:rPr>
      </w:pPr>
      <w:r>
        <w:rPr>
          <w:lang w:eastAsia="ja-JP"/>
        </w:rPr>
        <w:t xml:space="preserve">Persistent of high-risk disease was the most common reason (41.7%) for not achieving a </w:t>
      </w:r>
      <w:r w:rsidR="00687D2D">
        <w:rPr>
          <w:lang w:eastAsia="ja-JP"/>
        </w:rPr>
        <w:t>complete response</w:t>
      </w:r>
      <w:r>
        <w:rPr>
          <w:lang w:eastAsia="ja-JP"/>
        </w:rPr>
        <w:t xml:space="preserve">. At Week 12, 9 patients progressed from </w:t>
      </w:r>
      <w:r w:rsidR="00687D2D">
        <w:rPr>
          <w:lang w:eastAsia="ja-JP"/>
        </w:rPr>
        <w:t>carcinoma-in-situ</w:t>
      </w:r>
      <w:r>
        <w:rPr>
          <w:lang w:eastAsia="ja-JP"/>
        </w:rPr>
        <w:t xml:space="preserve"> to T1 disease, and none had muscle invasive disease.</w:t>
      </w:r>
    </w:p>
    <w:p w14:paraId="00530AA8" w14:textId="1FDDCEE5" w:rsidR="00EE40C6" w:rsidRDefault="00EE40C6" w:rsidP="00EE40C6">
      <w:r>
        <w:t>Subgroup analysis was generally consistent with the primary analysis. The</w:t>
      </w:r>
      <w:r>
        <w:rPr>
          <w:lang w:eastAsia="ja-JP"/>
        </w:rPr>
        <w:t xml:space="preserve"> </w:t>
      </w:r>
      <w:r w:rsidR="00687D2D">
        <w:rPr>
          <w:lang w:eastAsia="ja-JP"/>
        </w:rPr>
        <w:t>complete response rate in PD</w:t>
      </w:r>
      <w:r w:rsidR="00687D2D">
        <w:rPr>
          <w:lang w:eastAsia="ja-JP"/>
        </w:rPr>
        <w:noBreakHyphen/>
      </w:r>
      <w:r>
        <w:rPr>
          <w:lang w:eastAsia="ja-JP"/>
        </w:rPr>
        <w:t>L1 positive subjects was 28.6% (95%</w:t>
      </w:r>
      <w:r w:rsidR="00687D2D">
        <w:rPr>
          <w:lang w:eastAsia="ja-JP"/>
        </w:rPr>
        <w:t> </w:t>
      </w:r>
      <w:r>
        <w:rPr>
          <w:lang w:eastAsia="ja-JP"/>
        </w:rPr>
        <w:t>CI: 14.6 to 46.3), compared with 48.2% (95%</w:t>
      </w:r>
      <w:r w:rsidR="00687D2D">
        <w:rPr>
          <w:lang w:eastAsia="ja-JP"/>
        </w:rPr>
        <w:t> </w:t>
      </w:r>
      <w:r>
        <w:rPr>
          <w:lang w:eastAsia="ja-JP"/>
        </w:rPr>
        <w:t>CI: 34.7 to 62.0) in PD-L1 negative subjects</w:t>
      </w:r>
      <w:r>
        <w:t>.</w:t>
      </w:r>
    </w:p>
    <w:p w14:paraId="0CCC8D00" w14:textId="136AC85C" w:rsidR="00EE40C6" w:rsidRDefault="00687D2D" w:rsidP="00687D2D">
      <w:pPr>
        <w:pStyle w:val="Heading6"/>
      </w:pPr>
      <w:r>
        <w:t>S</w:t>
      </w:r>
      <w:r w:rsidR="00EE40C6">
        <w:t>econdary</w:t>
      </w:r>
      <w:r>
        <w:t xml:space="preserve"> endpoints</w:t>
      </w:r>
    </w:p>
    <w:p w14:paraId="1E49F4CC" w14:textId="77777777" w:rsidR="00EE40C6" w:rsidRDefault="00EE40C6" w:rsidP="00687D2D">
      <w:pPr>
        <w:pStyle w:val="Heading7"/>
      </w:pPr>
      <w:r>
        <w:t>Complete response (absence of any disease)</w:t>
      </w:r>
    </w:p>
    <w:p w14:paraId="1640F604" w14:textId="4CBCC65B" w:rsidR="00EE40C6" w:rsidRPr="00790ED3" w:rsidRDefault="00687D2D" w:rsidP="00EE40C6">
      <w:pPr>
        <w:rPr>
          <w:lang w:eastAsia="ja-JP"/>
        </w:rPr>
      </w:pPr>
      <w:r>
        <w:rPr>
          <w:lang w:eastAsia="ja-JP"/>
        </w:rPr>
        <w:t>Complete response</w:t>
      </w:r>
      <w:r w:rsidR="00EE40C6">
        <w:rPr>
          <w:lang w:eastAsia="ja-JP"/>
        </w:rPr>
        <w:t xml:space="preserve"> (absence of disease) results at the 20 F</w:t>
      </w:r>
      <w:r>
        <w:rPr>
          <w:lang w:eastAsia="ja-JP"/>
        </w:rPr>
        <w:t>ebruary 2019 and 24 May 2019 data cut-off dates</w:t>
      </w:r>
      <w:r w:rsidR="00EE40C6">
        <w:rPr>
          <w:lang w:eastAsia="ja-JP"/>
        </w:rPr>
        <w:t>, were identical to the primary endpoint. No u</w:t>
      </w:r>
      <w:r w:rsidR="00EE40C6" w:rsidRPr="00790ED3">
        <w:rPr>
          <w:lang w:eastAsia="ja-JP"/>
        </w:rPr>
        <w:t xml:space="preserve">pdated data </w:t>
      </w:r>
      <w:r w:rsidR="00EE40C6">
        <w:rPr>
          <w:lang w:eastAsia="ja-JP"/>
        </w:rPr>
        <w:t>were</w:t>
      </w:r>
      <w:r w:rsidR="00EE40C6" w:rsidRPr="00790ED3">
        <w:rPr>
          <w:lang w:eastAsia="ja-JP"/>
        </w:rPr>
        <w:t xml:space="preserve"> provided at the 24</w:t>
      </w:r>
      <w:r w:rsidR="00381ADB">
        <w:rPr>
          <w:lang w:eastAsia="ja-JP"/>
        </w:rPr>
        <w:t> </w:t>
      </w:r>
      <w:r w:rsidR="00EE40C6" w:rsidRPr="00790ED3">
        <w:rPr>
          <w:lang w:eastAsia="ja-JP"/>
        </w:rPr>
        <w:t xml:space="preserve">September </w:t>
      </w:r>
      <w:r>
        <w:rPr>
          <w:lang w:eastAsia="ja-JP"/>
        </w:rPr>
        <w:t xml:space="preserve">2019 </w:t>
      </w:r>
      <w:r w:rsidR="00EE40C6" w:rsidRPr="00790ED3">
        <w:rPr>
          <w:lang w:eastAsia="ja-JP"/>
        </w:rPr>
        <w:t>data cut-off.</w:t>
      </w:r>
    </w:p>
    <w:p w14:paraId="6C290585" w14:textId="67C98FFD" w:rsidR="00687D2D" w:rsidRPr="00687D2D" w:rsidRDefault="00687D2D" w:rsidP="00687D2D">
      <w:pPr>
        <w:pStyle w:val="Heading7"/>
      </w:pPr>
      <w:r>
        <w:lastRenderedPageBreak/>
        <w:t>Duration</w:t>
      </w:r>
      <w:r w:rsidR="00EE40C6">
        <w:t xml:space="preserve"> of response (for </w:t>
      </w:r>
      <w:proofErr w:type="gramStart"/>
      <w:r w:rsidR="00EE40C6" w:rsidRPr="00687D2D">
        <w:t>high</w:t>
      </w:r>
      <w:r w:rsidR="00EE40C6">
        <w:t xml:space="preserve"> risk</w:t>
      </w:r>
      <w:proofErr w:type="gramEnd"/>
      <w:r w:rsidR="00EE40C6">
        <w:t xml:space="preserve"> </w:t>
      </w:r>
      <w:r>
        <w:rPr>
          <w:lang w:eastAsia="ja-JP"/>
        </w:rPr>
        <w:t>non-muscle invasive bladder cancer</w:t>
      </w:r>
      <w:r w:rsidR="00EE40C6">
        <w:t>)</w:t>
      </w:r>
    </w:p>
    <w:p w14:paraId="56AAFD67" w14:textId="5FD625DD" w:rsidR="00687D2D" w:rsidRDefault="00687D2D" w:rsidP="00687D2D">
      <w:pPr>
        <w:pStyle w:val="TableTitle0"/>
      </w:pPr>
      <w:r>
        <w:t xml:space="preserve">Table </w:t>
      </w:r>
      <w:r w:rsidR="00B82441">
        <w:fldChar w:fldCharType="begin"/>
      </w:r>
      <w:r w:rsidR="00B82441">
        <w:instrText xml:space="preserve"> SEQ Table \* ARABIC </w:instrText>
      </w:r>
      <w:r w:rsidR="00B82441">
        <w:fldChar w:fldCharType="separate"/>
      </w:r>
      <w:r w:rsidR="007F791A">
        <w:rPr>
          <w:noProof/>
        </w:rPr>
        <w:t>8</w:t>
      </w:r>
      <w:r w:rsidR="00B82441">
        <w:rPr>
          <w:noProof/>
        </w:rPr>
        <w:fldChar w:fldCharType="end"/>
      </w:r>
      <w:r>
        <w:t xml:space="preserve">: Keynote-057 trial; duration of </w:t>
      </w:r>
      <w:r w:rsidR="00FA70A3">
        <w:t xml:space="preserve">complete </w:t>
      </w:r>
      <w:r>
        <w:t>response</w:t>
      </w:r>
      <w:r w:rsidR="00FA70A3">
        <w:t>s</w:t>
      </w:r>
      <w:r>
        <w:t xml:space="preserve"> (for </w:t>
      </w:r>
      <w:proofErr w:type="gramStart"/>
      <w:r>
        <w:t>high risk</w:t>
      </w:r>
      <w:proofErr w:type="gramEnd"/>
      <w:r>
        <w:t xml:space="preserve"> non-muscle invasive bladder cancer) at all data cut-off points</w:t>
      </w:r>
    </w:p>
    <w:tbl>
      <w:tblPr>
        <w:tblStyle w:val="TableTGAblue"/>
        <w:tblW w:w="9080" w:type="dxa"/>
        <w:tblLook w:val="04A0" w:firstRow="1" w:lastRow="0" w:firstColumn="1" w:lastColumn="0" w:noHBand="0" w:noVBand="1"/>
      </w:tblPr>
      <w:tblGrid>
        <w:gridCol w:w="2330"/>
        <w:gridCol w:w="990"/>
        <w:gridCol w:w="1620"/>
        <w:gridCol w:w="2430"/>
        <w:gridCol w:w="1710"/>
      </w:tblGrid>
      <w:tr w:rsidR="00FA70A3" w:rsidRPr="00687D2D" w14:paraId="7379628E" w14:textId="77777777" w:rsidTr="00FA70A3">
        <w:trPr>
          <w:cnfStyle w:val="100000000000" w:firstRow="1" w:lastRow="0" w:firstColumn="0" w:lastColumn="0" w:oddVBand="0" w:evenVBand="0" w:oddHBand="0" w:evenHBand="0" w:firstRowFirstColumn="0" w:firstRowLastColumn="0" w:lastRowFirstColumn="0" w:lastRowLastColumn="0"/>
        </w:trPr>
        <w:tc>
          <w:tcPr>
            <w:tcW w:w="2330" w:type="dxa"/>
            <w:vAlign w:val="bottom"/>
          </w:tcPr>
          <w:p w14:paraId="6409EA3E" w14:textId="22B8B032" w:rsidR="00EE40C6" w:rsidRPr="00FA70A3" w:rsidRDefault="00EE40C6" w:rsidP="00FA70A3">
            <w:pPr>
              <w:ind w:left="0" w:right="0"/>
              <w:jc w:val="center"/>
              <w:rPr>
                <w:sz w:val="20"/>
              </w:rPr>
            </w:pPr>
            <w:r w:rsidRPr="00FA70A3">
              <w:rPr>
                <w:sz w:val="20"/>
              </w:rPr>
              <w:t>Cut-off</w:t>
            </w:r>
            <w:r w:rsidR="00FA70A3">
              <w:rPr>
                <w:sz w:val="20"/>
              </w:rPr>
              <w:t xml:space="preserve"> date</w:t>
            </w:r>
          </w:p>
        </w:tc>
        <w:tc>
          <w:tcPr>
            <w:tcW w:w="990" w:type="dxa"/>
            <w:vAlign w:val="bottom"/>
          </w:tcPr>
          <w:p w14:paraId="6B6C405C" w14:textId="77777777" w:rsidR="00EE40C6" w:rsidRPr="00FA70A3" w:rsidRDefault="00EE40C6" w:rsidP="00FA70A3">
            <w:pPr>
              <w:ind w:left="0" w:right="0"/>
              <w:jc w:val="center"/>
              <w:rPr>
                <w:sz w:val="20"/>
              </w:rPr>
            </w:pPr>
            <w:r w:rsidRPr="00FA70A3">
              <w:rPr>
                <w:sz w:val="20"/>
              </w:rPr>
              <w:t>N</w:t>
            </w:r>
          </w:p>
        </w:tc>
        <w:tc>
          <w:tcPr>
            <w:tcW w:w="1620" w:type="dxa"/>
            <w:vAlign w:val="bottom"/>
          </w:tcPr>
          <w:p w14:paraId="32EE0295" w14:textId="6EC539DB" w:rsidR="00EE40C6" w:rsidRPr="00FA70A3" w:rsidRDefault="00FA70A3" w:rsidP="00FA70A3">
            <w:pPr>
              <w:ind w:left="0" w:right="0"/>
              <w:jc w:val="center"/>
              <w:rPr>
                <w:sz w:val="20"/>
              </w:rPr>
            </w:pPr>
            <w:r>
              <w:rPr>
                <w:sz w:val="20"/>
              </w:rPr>
              <w:t>Complete responses</w:t>
            </w:r>
            <w:r w:rsidR="00EE40C6" w:rsidRPr="00FA70A3">
              <w:rPr>
                <w:sz w:val="20"/>
              </w:rPr>
              <w:t xml:space="preserve"> </w:t>
            </w:r>
            <w:r w:rsidR="00EE40C6" w:rsidRPr="00FA70A3">
              <w:rPr>
                <w:b w:val="0"/>
                <w:sz w:val="20"/>
              </w:rPr>
              <w:t>(n)</w:t>
            </w:r>
          </w:p>
        </w:tc>
        <w:tc>
          <w:tcPr>
            <w:tcW w:w="2430" w:type="dxa"/>
            <w:vAlign w:val="bottom"/>
          </w:tcPr>
          <w:p w14:paraId="6FE5DD07" w14:textId="43436F38" w:rsidR="00EE40C6" w:rsidRPr="00FA70A3" w:rsidRDefault="00EE40C6" w:rsidP="00FA70A3">
            <w:pPr>
              <w:ind w:left="0" w:right="0"/>
              <w:jc w:val="center"/>
              <w:rPr>
                <w:sz w:val="20"/>
              </w:rPr>
            </w:pPr>
            <w:r w:rsidRPr="00FA70A3">
              <w:rPr>
                <w:sz w:val="20"/>
              </w:rPr>
              <w:t xml:space="preserve">Median </w:t>
            </w:r>
            <w:r w:rsidR="00FA70A3">
              <w:rPr>
                <w:sz w:val="20"/>
              </w:rPr>
              <w:t>duration of response</w:t>
            </w:r>
            <w:r w:rsidRPr="00FA70A3">
              <w:rPr>
                <w:sz w:val="20"/>
              </w:rPr>
              <w:t xml:space="preserve"> </w:t>
            </w:r>
            <w:r w:rsidRPr="00FA70A3">
              <w:rPr>
                <w:b w:val="0"/>
                <w:sz w:val="20"/>
              </w:rPr>
              <w:t>(months)</w:t>
            </w:r>
          </w:p>
        </w:tc>
        <w:tc>
          <w:tcPr>
            <w:tcW w:w="1710" w:type="dxa"/>
            <w:vAlign w:val="bottom"/>
          </w:tcPr>
          <w:p w14:paraId="605D39A5" w14:textId="77777777" w:rsidR="00EE40C6" w:rsidRPr="00FA70A3" w:rsidRDefault="00EE40C6" w:rsidP="00FA70A3">
            <w:pPr>
              <w:ind w:left="0" w:right="0"/>
              <w:jc w:val="center"/>
              <w:rPr>
                <w:sz w:val="20"/>
              </w:rPr>
            </w:pPr>
            <w:r w:rsidRPr="00FA70A3">
              <w:rPr>
                <w:sz w:val="20"/>
              </w:rPr>
              <w:t>Range</w:t>
            </w:r>
          </w:p>
        </w:tc>
      </w:tr>
      <w:tr w:rsidR="00EE40C6" w:rsidRPr="00687D2D" w14:paraId="7B665B6D" w14:textId="77777777" w:rsidTr="00FA70A3">
        <w:tc>
          <w:tcPr>
            <w:tcW w:w="2330" w:type="dxa"/>
          </w:tcPr>
          <w:p w14:paraId="12C6C5D8" w14:textId="45A233C8" w:rsidR="00EE40C6" w:rsidRPr="00FA70A3" w:rsidRDefault="00EE40C6" w:rsidP="00FA70A3">
            <w:pPr>
              <w:ind w:left="0" w:right="0"/>
              <w:rPr>
                <w:sz w:val="20"/>
              </w:rPr>
            </w:pPr>
            <w:r w:rsidRPr="00FA70A3">
              <w:rPr>
                <w:sz w:val="20"/>
              </w:rPr>
              <w:t>20 Feb</w:t>
            </w:r>
            <w:r w:rsidR="00FA70A3">
              <w:rPr>
                <w:sz w:val="20"/>
              </w:rPr>
              <w:t>ruary 2019</w:t>
            </w:r>
          </w:p>
        </w:tc>
        <w:tc>
          <w:tcPr>
            <w:tcW w:w="990" w:type="dxa"/>
            <w:vAlign w:val="bottom"/>
          </w:tcPr>
          <w:p w14:paraId="6EA0A471" w14:textId="77777777" w:rsidR="00EE40C6" w:rsidRPr="00FA70A3" w:rsidRDefault="00EE40C6" w:rsidP="00FA70A3">
            <w:pPr>
              <w:ind w:left="0" w:right="0"/>
              <w:jc w:val="center"/>
              <w:rPr>
                <w:sz w:val="20"/>
              </w:rPr>
            </w:pPr>
            <w:r w:rsidRPr="00FA70A3">
              <w:rPr>
                <w:sz w:val="20"/>
              </w:rPr>
              <w:t>102</w:t>
            </w:r>
          </w:p>
        </w:tc>
        <w:tc>
          <w:tcPr>
            <w:tcW w:w="1620" w:type="dxa"/>
            <w:vAlign w:val="bottom"/>
          </w:tcPr>
          <w:p w14:paraId="23D16D00" w14:textId="77777777" w:rsidR="00EE40C6" w:rsidRPr="00FA70A3" w:rsidRDefault="00EE40C6" w:rsidP="00FA70A3">
            <w:pPr>
              <w:ind w:left="0" w:right="0"/>
              <w:jc w:val="center"/>
              <w:rPr>
                <w:sz w:val="20"/>
              </w:rPr>
            </w:pPr>
            <w:r w:rsidRPr="00FA70A3">
              <w:rPr>
                <w:sz w:val="20"/>
              </w:rPr>
              <w:t>42</w:t>
            </w:r>
          </w:p>
        </w:tc>
        <w:tc>
          <w:tcPr>
            <w:tcW w:w="2430" w:type="dxa"/>
            <w:vAlign w:val="bottom"/>
          </w:tcPr>
          <w:p w14:paraId="344F6CD9" w14:textId="77777777" w:rsidR="00EE40C6" w:rsidRPr="00FA70A3" w:rsidRDefault="00EE40C6" w:rsidP="00FA70A3">
            <w:pPr>
              <w:ind w:left="0" w:right="0"/>
              <w:jc w:val="center"/>
              <w:rPr>
                <w:sz w:val="20"/>
              </w:rPr>
            </w:pPr>
            <w:r w:rsidRPr="00FA70A3">
              <w:rPr>
                <w:sz w:val="20"/>
              </w:rPr>
              <w:t>13.5</w:t>
            </w:r>
          </w:p>
        </w:tc>
        <w:tc>
          <w:tcPr>
            <w:tcW w:w="1710" w:type="dxa"/>
            <w:vAlign w:val="bottom"/>
          </w:tcPr>
          <w:p w14:paraId="660F7E1F" w14:textId="77777777" w:rsidR="00EE40C6" w:rsidRPr="00FA70A3" w:rsidRDefault="00EE40C6" w:rsidP="00FA70A3">
            <w:pPr>
              <w:ind w:left="0" w:right="0"/>
              <w:jc w:val="center"/>
              <w:rPr>
                <w:sz w:val="20"/>
              </w:rPr>
            </w:pPr>
            <w:r w:rsidRPr="00FA70A3">
              <w:rPr>
                <w:sz w:val="20"/>
              </w:rPr>
              <w:t>0.0+ to 26.8+</w:t>
            </w:r>
          </w:p>
        </w:tc>
      </w:tr>
      <w:tr w:rsidR="00EE40C6" w:rsidRPr="00687D2D" w14:paraId="359E95D0" w14:textId="77777777" w:rsidTr="00FA70A3">
        <w:tc>
          <w:tcPr>
            <w:tcW w:w="2330" w:type="dxa"/>
          </w:tcPr>
          <w:p w14:paraId="20CE6195" w14:textId="1C1B322A" w:rsidR="00EE40C6" w:rsidRPr="00FA70A3" w:rsidRDefault="00EE40C6" w:rsidP="00FA70A3">
            <w:pPr>
              <w:ind w:left="0" w:right="0"/>
              <w:rPr>
                <w:sz w:val="20"/>
              </w:rPr>
            </w:pPr>
            <w:r w:rsidRPr="00FA70A3">
              <w:rPr>
                <w:sz w:val="20"/>
              </w:rPr>
              <w:t>24 May</w:t>
            </w:r>
            <w:r w:rsidR="00FA70A3">
              <w:rPr>
                <w:sz w:val="20"/>
              </w:rPr>
              <w:t xml:space="preserve"> 2019</w:t>
            </w:r>
          </w:p>
        </w:tc>
        <w:tc>
          <w:tcPr>
            <w:tcW w:w="990" w:type="dxa"/>
            <w:vAlign w:val="bottom"/>
          </w:tcPr>
          <w:p w14:paraId="288243B5" w14:textId="77777777" w:rsidR="00EE40C6" w:rsidRPr="00FA70A3" w:rsidRDefault="00EE40C6" w:rsidP="00FA70A3">
            <w:pPr>
              <w:ind w:left="0" w:right="0"/>
              <w:jc w:val="center"/>
              <w:rPr>
                <w:sz w:val="20"/>
              </w:rPr>
            </w:pPr>
            <w:r w:rsidRPr="00FA70A3">
              <w:rPr>
                <w:sz w:val="20"/>
              </w:rPr>
              <w:t>102</w:t>
            </w:r>
          </w:p>
        </w:tc>
        <w:tc>
          <w:tcPr>
            <w:tcW w:w="1620" w:type="dxa"/>
            <w:vAlign w:val="bottom"/>
          </w:tcPr>
          <w:p w14:paraId="286C4189" w14:textId="77777777" w:rsidR="00EE40C6" w:rsidRPr="00FA70A3" w:rsidRDefault="00EE40C6" w:rsidP="00FA70A3">
            <w:pPr>
              <w:ind w:left="0" w:right="0"/>
              <w:jc w:val="center"/>
              <w:rPr>
                <w:sz w:val="20"/>
              </w:rPr>
            </w:pPr>
            <w:r w:rsidRPr="00FA70A3">
              <w:rPr>
                <w:sz w:val="20"/>
              </w:rPr>
              <w:t>42</w:t>
            </w:r>
          </w:p>
        </w:tc>
        <w:tc>
          <w:tcPr>
            <w:tcW w:w="2430" w:type="dxa"/>
            <w:vAlign w:val="bottom"/>
          </w:tcPr>
          <w:p w14:paraId="5C1AE2E2" w14:textId="77777777" w:rsidR="00EE40C6" w:rsidRPr="00FA70A3" w:rsidRDefault="00EE40C6" w:rsidP="00FA70A3">
            <w:pPr>
              <w:ind w:left="0" w:right="0"/>
              <w:jc w:val="center"/>
              <w:rPr>
                <w:sz w:val="20"/>
              </w:rPr>
            </w:pPr>
            <w:r w:rsidRPr="00FA70A3">
              <w:rPr>
                <w:sz w:val="20"/>
              </w:rPr>
              <w:t>16.2</w:t>
            </w:r>
          </w:p>
        </w:tc>
        <w:tc>
          <w:tcPr>
            <w:tcW w:w="1710" w:type="dxa"/>
            <w:vAlign w:val="bottom"/>
          </w:tcPr>
          <w:p w14:paraId="0E7EE833" w14:textId="77777777" w:rsidR="00EE40C6" w:rsidRPr="00FA70A3" w:rsidRDefault="00EE40C6" w:rsidP="00FA70A3">
            <w:pPr>
              <w:ind w:left="0" w:right="0"/>
              <w:jc w:val="center"/>
              <w:rPr>
                <w:sz w:val="20"/>
              </w:rPr>
            </w:pPr>
            <w:r w:rsidRPr="00FA70A3">
              <w:rPr>
                <w:sz w:val="20"/>
              </w:rPr>
              <w:t>0.0+ to 26.8+</w:t>
            </w:r>
          </w:p>
        </w:tc>
      </w:tr>
      <w:tr w:rsidR="00EE40C6" w:rsidRPr="00687D2D" w14:paraId="53D34335" w14:textId="77777777" w:rsidTr="00FA70A3">
        <w:tc>
          <w:tcPr>
            <w:tcW w:w="2330" w:type="dxa"/>
          </w:tcPr>
          <w:p w14:paraId="1FE629A0" w14:textId="1E60F0BF" w:rsidR="00EE40C6" w:rsidRPr="00FA70A3" w:rsidRDefault="00EE40C6" w:rsidP="00FA70A3">
            <w:pPr>
              <w:ind w:left="0" w:right="0"/>
              <w:rPr>
                <w:sz w:val="20"/>
              </w:rPr>
            </w:pPr>
            <w:r w:rsidRPr="00FA70A3">
              <w:rPr>
                <w:sz w:val="20"/>
              </w:rPr>
              <w:t>24 Sep</w:t>
            </w:r>
            <w:r w:rsidR="00FA70A3">
              <w:rPr>
                <w:sz w:val="20"/>
              </w:rPr>
              <w:t>tember 2019</w:t>
            </w:r>
          </w:p>
        </w:tc>
        <w:tc>
          <w:tcPr>
            <w:tcW w:w="990" w:type="dxa"/>
            <w:vAlign w:val="bottom"/>
          </w:tcPr>
          <w:p w14:paraId="5BD7A987" w14:textId="77777777" w:rsidR="00EE40C6" w:rsidRPr="00FA70A3" w:rsidRDefault="00EE40C6" w:rsidP="00FA70A3">
            <w:pPr>
              <w:ind w:left="0" w:right="0"/>
              <w:jc w:val="center"/>
              <w:rPr>
                <w:sz w:val="20"/>
              </w:rPr>
            </w:pPr>
            <w:r w:rsidRPr="00FA70A3">
              <w:rPr>
                <w:sz w:val="20"/>
              </w:rPr>
              <w:t>96</w:t>
            </w:r>
          </w:p>
        </w:tc>
        <w:tc>
          <w:tcPr>
            <w:tcW w:w="1620" w:type="dxa"/>
            <w:vAlign w:val="bottom"/>
          </w:tcPr>
          <w:p w14:paraId="7B8F880A" w14:textId="77777777" w:rsidR="00EE40C6" w:rsidRPr="00FA70A3" w:rsidRDefault="00EE40C6" w:rsidP="00FA70A3">
            <w:pPr>
              <w:ind w:left="0" w:right="0"/>
              <w:jc w:val="center"/>
              <w:rPr>
                <w:sz w:val="20"/>
              </w:rPr>
            </w:pPr>
            <w:r w:rsidRPr="00FA70A3">
              <w:rPr>
                <w:sz w:val="20"/>
              </w:rPr>
              <w:t>39</w:t>
            </w:r>
          </w:p>
        </w:tc>
        <w:tc>
          <w:tcPr>
            <w:tcW w:w="2430" w:type="dxa"/>
            <w:vAlign w:val="bottom"/>
          </w:tcPr>
          <w:p w14:paraId="4C62EC55" w14:textId="77777777" w:rsidR="00EE40C6" w:rsidRPr="00FA70A3" w:rsidRDefault="00EE40C6" w:rsidP="00FA70A3">
            <w:pPr>
              <w:ind w:left="0" w:right="0"/>
              <w:jc w:val="center"/>
              <w:rPr>
                <w:sz w:val="20"/>
              </w:rPr>
            </w:pPr>
            <w:r w:rsidRPr="00FA70A3">
              <w:rPr>
                <w:sz w:val="20"/>
              </w:rPr>
              <w:t>16.2</w:t>
            </w:r>
          </w:p>
        </w:tc>
        <w:tc>
          <w:tcPr>
            <w:tcW w:w="1710" w:type="dxa"/>
            <w:vAlign w:val="bottom"/>
          </w:tcPr>
          <w:p w14:paraId="0A1146BC" w14:textId="77777777" w:rsidR="00EE40C6" w:rsidRPr="00FA70A3" w:rsidRDefault="00EE40C6" w:rsidP="00FA70A3">
            <w:pPr>
              <w:ind w:left="0" w:right="0"/>
              <w:jc w:val="center"/>
              <w:rPr>
                <w:sz w:val="20"/>
              </w:rPr>
            </w:pPr>
            <w:r w:rsidRPr="00FA70A3">
              <w:rPr>
                <w:sz w:val="20"/>
              </w:rPr>
              <w:t>0.0+ to 30.4+</w:t>
            </w:r>
          </w:p>
        </w:tc>
      </w:tr>
    </w:tbl>
    <w:p w14:paraId="6AC628D6" w14:textId="2BA8214A" w:rsidR="00EE40C6" w:rsidRPr="006C31EE" w:rsidRDefault="00FA70A3" w:rsidP="00FA70A3">
      <w:pPr>
        <w:rPr>
          <w:sz w:val="18"/>
          <w:szCs w:val="18"/>
          <w:lang w:eastAsia="ja-JP"/>
        </w:rPr>
      </w:pPr>
      <w:r>
        <w:rPr>
          <w:sz w:val="18"/>
          <w:szCs w:val="18"/>
          <w:lang w:eastAsia="ja-JP"/>
        </w:rPr>
        <w:t>Note ‘</w:t>
      </w:r>
      <w:r w:rsidR="00EE40C6" w:rsidRPr="006C31EE">
        <w:rPr>
          <w:sz w:val="18"/>
          <w:szCs w:val="18"/>
          <w:lang w:eastAsia="ja-JP"/>
        </w:rPr>
        <w:t>+</w:t>
      </w:r>
      <w:r>
        <w:rPr>
          <w:sz w:val="18"/>
          <w:szCs w:val="18"/>
          <w:lang w:eastAsia="ja-JP"/>
        </w:rPr>
        <w:t>’</w:t>
      </w:r>
      <w:r w:rsidR="00EE40C6" w:rsidRPr="006C31EE">
        <w:rPr>
          <w:sz w:val="18"/>
          <w:szCs w:val="18"/>
          <w:lang w:eastAsia="ja-JP"/>
        </w:rPr>
        <w:t xml:space="preserve"> </w:t>
      </w:r>
      <w:r>
        <w:rPr>
          <w:sz w:val="18"/>
          <w:szCs w:val="18"/>
          <w:lang w:eastAsia="ja-JP"/>
        </w:rPr>
        <w:t>signifies</w:t>
      </w:r>
      <w:r w:rsidR="00EE40C6">
        <w:rPr>
          <w:sz w:val="18"/>
          <w:szCs w:val="18"/>
          <w:lang w:eastAsia="ja-JP"/>
        </w:rPr>
        <w:t xml:space="preserve"> </w:t>
      </w:r>
      <w:r w:rsidR="00EE40C6" w:rsidRPr="006C31EE">
        <w:rPr>
          <w:sz w:val="18"/>
          <w:szCs w:val="18"/>
          <w:lang w:eastAsia="ja-JP"/>
        </w:rPr>
        <w:t>ongoing response</w:t>
      </w:r>
    </w:p>
    <w:p w14:paraId="4F1978C0" w14:textId="712A9EE4" w:rsidR="00EE40C6" w:rsidRDefault="00EE40C6" w:rsidP="00EE40C6">
      <w:pPr>
        <w:rPr>
          <w:lang w:eastAsia="ja-JP"/>
        </w:rPr>
      </w:pPr>
      <w:r>
        <w:rPr>
          <w:lang w:eastAsia="ja-JP"/>
        </w:rPr>
        <w:t xml:space="preserve">The estimated proportion of subjects who would have a </w:t>
      </w:r>
      <w:r w:rsidR="00FA70A3">
        <w:rPr>
          <w:lang w:eastAsia="ja-JP"/>
        </w:rPr>
        <w:t>duration of response</w:t>
      </w:r>
      <w:r>
        <w:rPr>
          <w:lang w:eastAsia="ja-JP"/>
        </w:rPr>
        <w:t xml:space="preserve"> of </w:t>
      </w:r>
      <w:r w:rsidR="00FA70A3">
        <w:rPr>
          <w:lang w:eastAsia="ja-JP"/>
        </w:rPr>
        <w:t>at least</w:t>
      </w:r>
      <w:r>
        <w:rPr>
          <w:lang w:eastAsia="ja-JP"/>
        </w:rPr>
        <w:t xml:space="preserve"> 12</w:t>
      </w:r>
      <w:r w:rsidR="00381ADB">
        <w:rPr>
          <w:lang w:eastAsia="ja-JP"/>
        </w:rPr>
        <w:t> </w:t>
      </w:r>
      <w:r>
        <w:rPr>
          <w:lang w:eastAsia="ja-JP"/>
        </w:rPr>
        <w:t xml:space="preserve">months was 56.8%. </w:t>
      </w:r>
      <w:r w:rsidR="00FA70A3">
        <w:rPr>
          <w:lang w:eastAsia="ja-JP"/>
        </w:rPr>
        <w:t xml:space="preserve">Complete </w:t>
      </w:r>
      <w:proofErr w:type="gramStart"/>
      <w:r w:rsidR="00FA70A3">
        <w:rPr>
          <w:lang w:eastAsia="ja-JP"/>
        </w:rPr>
        <w:t>response</w:t>
      </w:r>
      <w:proofErr w:type="gramEnd"/>
      <w:r w:rsidR="00FA70A3">
        <w:rPr>
          <w:lang w:eastAsia="ja-JP"/>
        </w:rPr>
        <w:t xml:space="preserve"> were ongoing for </w:t>
      </w:r>
      <w:r>
        <w:rPr>
          <w:lang w:eastAsia="ja-JP"/>
        </w:rPr>
        <w:t>17 of the 39 co</w:t>
      </w:r>
      <w:r w:rsidR="00FA70A3">
        <w:rPr>
          <w:lang w:eastAsia="ja-JP"/>
        </w:rPr>
        <w:t xml:space="preserve">mplete responses (43.6%) </w:t>
      </w:r>
      <w:r>
        <w:rPr>
          <w:lang w:eastAsia="ja-JP"/>
        </w:rPr>
        <w:t xml:space="preserve">at the time of data cut-off. The duration of response for any disease results were identical to those for the primary endpoint (median </w:t>
      </w:r>
      <w:r w:rsidR="00FA70A3">
        <w:rPr>
          <w:lang w:eastAsia="ja-JP"/>
        </w:rPr>
        <w:t>duration of response</w:t>
      </w:r>
      <w:r>
        <w:rPr>
          <w:lang w:eastAsia="ja-JP"/>
        </w:rPr>
        <w:t xml:space="preserve"> = 13.5 months; range 0.0+ to 26.8+</w:t>
      </w:r>
      <w:r w:rsidR="00381ADB">
        <w:rPr>
          <w:lang w:eastAsia="ja-JP"/>
        </w:rPr>
        <w:t>, with + indicating ongoing response</w:t>
      </w:r>
      <w:r>
        <w:rPr>
          <w:lang w:eastAsia="ja-JP"/>
        </w:rPr>
        <w:t>).</w:t>
      </w:r>
    </w:p>
    <w:p w14:paraId="4B759C2D" w14:textId="30E5AF1B" w:rsidR="00FA70A3" w:rsidRPr="00FA70A3" w:rsidRDefault="00EE40C6" w:rsidP="00B14E25">
      <w:pPr>
        <w:pStyle w:val="Heading7"/>
      </w:pPr>
      <w:r>
        <w:t>Other secondary endpoints</w:t>
      </w:r>
    </w:p>
    <w:p w14:paraId="1F75C40B" w14:textId="16E61565" w:rsidR="00FA70A3" w:rsidRDefault="00FA70A3" w:rsidP="00FA70A3">
      <w:pPr>
        <w:pStyle w:val="TableTitle0"/>
      </w:pPr>
      <w:r>
        <w:t xml:space="preserve">Table </w:t>
      </w:r>
      <w:r w:rsidR="00B82441">
        <w:fldChar w:fldCharType="begin"/>
      </w:r>
      <w:r w:rsidR="00B82441">
        <w:instrText xml:space="preserve"> SEQ Table \* ARABIC </w:instrText>
      </w:r>
      <w:r w:rsidR="00B82441">
        <w:fldChar w:fldCharType="separate"/>
      </w:r>
      <w:r w:rsidR="007F791A">
        <w:rPr>
          <w:noProof/>
        </w:rPr>
        <w:t>9</w:t>
      </w:r>
      <w:r w:rsidR="00B82441">
        <w:rPr>
          <w:noProof/>
        </w:rPr>
        <w:fldChar w:fldCharType="end"/>
      </w:r>
      <w:r>
        <w:t xml:space="preserve">: Keynote-057 trial; </w:t>
      </w:r>
      <w:r w:rsidR="00B14E25">
        <w:t>progression-free survival</w:t>
      </w:r>
      <w:r>
        <w:t xml:space="preserve"> </w:t>
      </w:r>
      <w:r w:rsidR="00B14E25">
        <w:t xml:space="preserve">(worsening of grade or stage, </w:t>
      </w:r>
      <w:r>
        <w:t xml:space="preserve">for </w:t>
      </w:r>
      <w:proofErr w:type="gramStart"/>
      <w:r>
        <w:t>high risk</w:t>
      </w:r>
      <w:proofErr w:type="gramEnd"/>
      <w:r>
        <w:t xml:space="preserve"> non-muscle invasive bladder cancer) at </w:t>
      </w:r>
      <w:r w:rsidR="00B14E25">
        <w:t xml:space="preserve">specified </w:t>
      </w:r>
      <w:r>
        <w:t>data cut-off points</w:t>
      </w:r>
    </w:p>
    <w:tbl>
      <w:tblPr>
        <w:tblStyle w:val="TableTGAblue"/>
        <w:tblW w:w="9209" w:type="dxa"/>
        <w:tblLook w:val="04A0" w:firstRow="1" w:lastRow="0" w:firstColumn="1" w:lastColumn="0" w:noHBand="0" w:noVBand="1"/>
      </w:tblPr>
      <w:tblGrid>
        <w:gridCol w:w="1878"/>
        <w:gridCol w:w="549"/>
        <w:gridCol w:w="1259"/>
        <w:gridCol w:w="1439"/>
        <w:gridCol w:w="1981"/>
        <w:gridCol w:w="2103"/>
      </w:tblGrid>
      <w:tr w:rsidR="00B14E25" w:rsidRPr="00B14E25" w14:paraId="5FAF8712" w14:textId="77777777" w:rsidTr="00B14E25">
        <w:trPr>
          <w:cnfStyle w:val="100000000000" w:firstRow="1" w:lastRow="0" w:firstColumn="0" w:lastColumn="0" w:oddVBand="0" w:evenVBand="0" w:oddHBand="0" w:evenHBand="0" w:firstRowFirstColumn="0" w:firstRowLastColumn="0" w:lastRowFirstColumn="0" w:lastRowLastColumn="0"/>
        </w:trPr>
        <w:tc>
          <w:tcPr>
            <w:tcW w:w="1880" w:type="dxa"/>
          </w:tcPr>
          <w:p w14:paraId="194AD852" w14:textId="61AD03AC" w:rsidR="00EE40C6" w:rsidRPr="00B14E25" w:rsidRDefault="00EE40C6" w:rsidP="00B14E25">
            <w:pPr>
              <w:ind w:left="0" w:right="0"/>
              <w:rPr>
                <w:sz w:val="20"/>
              </w:rPr>
            </w:pPr>
            <w:r w:rsidRPr="00B14E25">
              <w:rPr>
                <w:sz w:val="20"/>
              </w:rPr>
              <w:t>Cut-off</w:t>
            </w:r>
            <w:r w:rsidR="00B14E25">
              <w:rPr>
                <w:sz w:val="20"/>
              </w:rPr>
              <w:t xml:space="preserve"> date</w:t>
            </w:r>
          </w:p>
        </w:tc>
        <w:tc>
          <w:tcPr>
            <w:tcW w:w="540" w:type="dxa"/>
          </w:tcPr>
          <w:p w14:paraId="67598380" w14:textId="77777777" w:rsidR="00EE40C6" w:rsidRPr="00B14E25" w:rsidRDefault="00EE40C6" w:rsidP="00B14E25">
            <w:pPr>
              <w:ind w:left="0" w:right="0"/>
              <w:rPr>
                <w:sz w:val="20"/>
              </w:rPr>
            </w:pPr>
            <w:r w:rsidRPr="00B14E25">
              <w:rPr>
                <w:sz w:val="20"/>
              </w:rPr>
              <w:t>N</w:t>
            </w:r>
          </w:p>
        </w:tc>
        <w:tc>
          <w:tcPr>
            <w:tcW w:w="1260" w:type="dxa"/>
          </w:tcPr>
          <w:p w14:paraId="7016AACD" w14:textId="77777777" w:rsidR="00EE40C6" w:rsidRPr="00B14E25" w:rsidRDefault="00EE40C6" w:rsidP="00B14E25">
            <w:pPr>
              <w:ind w:left="0" w:right="0"/>
              <w:rPr>
                <w:sz w:val="20"/>
              </w:rPr>
            </w:pPr>
            <w:r w:rsidRPr="00B14E25">
              <w:rPr>
                <w:sz w:val="20"/>
              </w:rPr>
              <w:t>PFS events (%)</w:t>
            </w:r>
          </w:p>
        </w:tc>
        <w:tc>
          <w:tcPr>
            <w:tcW w:w="1440" w:type="dxa"/>
          </w:tcPr>
          <w:p w14:paraId="30A36A7E" w14:textId="77777777" w:rsidR="00EE40C6" w:rsidRPr="00B14E25" w:rsidRDefault="00EE40C6" w:rsidP="00B14E25">
            <w:pPr>
              <w:ind w:left="0" w:right="0"/>
              <w:rPr>
                <w:sz w:val="20"/>
              </w:rPr>
            </w:pPr>
            <w:r w:rsidRPr="00B14E25">
              <w:rPr>
                <w:sz w:val="20"/>
              </w:rPr>
              <w:t>Median PFS</w:t>
            </w:r>
          </w:p>
        </w:tc>
        <w:tc>
          <w:tcPr>
            <w:tcW w:w="1983" w:type="dxa"/>
          </w:tcPr>
          <w:p w14:paraId="08392C88" w14:textId="22CEF38C" w:rsidR="00EE40C6" w:rsidRPr="00B14E25" w:rsidRDefault="00EE40C6" w:rsidP="00B14E25">
            <w:pPr>
              <w:ind w:left="0" w:right="0"/>
              <w:rPr>
                <w:sz w:val="20"/>
              </w:rPr>
            </w:pPr>
            <w:r w:rsidRPr="00B14E25">
              <w:rPr>
                <w:sz w:val="20"/>
              </w:rPr>
              <w:t xml:space="preserve">KM estimate PFS </w:t>
            </w:r>
            <w:r w:rsidR="00B14E25">
              <w:rPr>
                <w:sz w:val="20"/>
              </w:rPr>
              <w:t>at</w:t>
            </w:r>
            <w:r w:rsidR="00B14E25">
              <w:rPr>
                <w:sz w:val="20"/>
              </w:rPr>
              <w:br/>
            </w:r>
            <w:r w:rsidRPr="00B14E25">
              <w:rPr>
                <w:sz w:val="20"/>
              </w:rPr>
              <w:t>6</w:t>
            </w:r>
            <w:r w:rsidR="00B14E25">
              <w:rPr>
                <w:sz w:val="20"/>
              </w:rPr>
              <w:t xml:space="preserve"> </w:t>
            </w:r>
            <w:r w:rsidRPr="00B14E25">
              <w:rPr>
                <w:sz w:val="20"/>
              </w:rPr>
              <w:t>m</w:t>
            </w:r>
            <w:r w:rsidR="00B14E25">
              <w:rPr>
                <w:sz w:val="20"/>
              </w:rPr>
              <w:t>onths</w:t>
            </w:r>
            <w:r w:rsidRPr="00B14E25">
              <w:rPr>
                <w:sz w:val="20"/>
              </w:rPr>
              <w:t xml:space="preserve"> (95%</w:t>
            </w:r>
            <w:r w:rsidR="00B14E25">
              <w:rPr>
                <w:sz w:val="20"/>
              </w:rPr>
              <w:t xml:space="preserve"> </w:t>
            </w:r>
            <w:r w:rsidRPr="00B14E25">
              <w:rPr>
                <w:sz w:val="20"/>
              </w:rPr>
              <w:t xml:space="preserve">CI) </w:t>
            </w:r>
          </w:p>
        </w:tc>
        <w:tc>
          <w:tcPr>
            <w:tcW w:w="2106" w:type="dxa"/>
          </w:tcPr>
          <w:p w14:paraId="146E1F32" w14:textId="5AC9DFCD" w:rsidR="00EE40C6" w:rsidRPr="00B14E25" w:rsidRDefault="00EE40C6" w:rsidP="00B14E25">
            <w:pPr>
              <w:ind w:left="0" w:right="0"/>
              <w:rPr>
                <w:sz w:val="20"/>
              </w:rPr>
            </w:pPr>
            <w:r w:rsidRPr="00B14E25">
              <w:rPr>
                <w:sz w:val="20"/>
              </w:rPr>
              <w:t xml:space="preserve">KM estimate PFS </w:t>
            </w:r>
            <w:r w:rsidR="00B14E25">
              <w:rPr>
                <w:sz w:val="20"/>
              </w:rPr>
              <w:t>at 12 months</w:t>
            </w:r>
            <w:r w:rsidRPr="00B14E25">
              <w:rPr>
                <w:sz w:val="20"/>
              </w:rPr>
              <w:t xml:space="preserve"> (95%</w:t>
            </w:r>
            <w:r w:rsidR="00B14E25">
              <w:rPr>
                <w:sz w:val="20"/>
              </w:rPr>
              <w:t xml:space="preserve"> </w:t>
            </w:r>
            <w:r w:rsidRPr="00B14E25">
              <w:rPr>
                <w:sz w:val="20"/>
              </w:rPr>
              <w:t>CI)</w:t>
            </w:r>
          </w:p>
        </w:tc>
      </w:tr>
      <w:tr w:rsidR="00B14E25" w:rsidRPr="00B14E25" w14:paraId="281CB228" w14:textId="77777777" w:rsidTr="004A7AEC">
        <w:tc>
          <w:tcPr>
            <w:tcW w:w="9209" w:type="dxa"/>
            <w:gridSpan w:val="6"/>
          </w:tcPr>
          <w:p w14:paraId="1B946CC0" w14:textId="6D3162AA" w:rsidR="00B14E25" w:rsidRPr="00B14E25" w:rsidRDefault="00B14E25" w:rsidP="00B14E25">
            <w:pPr>
              <w:rPr>
                <w:sz w:val="20"/>
              </w:rPr>
            </w:pPr>
            <w:r w:rsidRPr="00B14E25">
              <w:rPr>
                <w:sz w:val="20"/>
              </w:rPr>
              <w:t>Progression Free Survival (worsening of grade or stage)</w:t>
            </w:r>
          </w:p>
        </w:tc>
      </w:tr>
      <w:tr w:rsidR="00B14E25" w:rsidRPr="00B14E25" w14:paraId="09AF3611" w14:textId="77777777" w:rsidTr="00B14E25">
        <w:tc>
          <w:tcPr>
            <w:tcW w:w="1880" w:type="dxa"/>
          </w:tcPr>
          <w:p w14:paraId="463BB4C2" w14:textId="520A069F" w:rsidR="00EE40C6" w:rsidRPr="00B14E25" w:rsidRDefault="00EE40C6" w:rsidP="00B14E25">
            <w:pPr>
              <w:ind w:left="0" w:right="0"/>
              <w:rPr>
                <w:sz w:val="20"/>
              </w:rPr>
            </w:pPr>
            <w:r w:rsidRPr="00B14E25">
              <w:rPr>
                <w:sz w:val="20"/>
              </w:rPr>
              <w:t>20 Feb</w:t>
            </w:r>
            <w:r w:rsidR="00B14E25">
              <w:rPr>
                <w:sz w:val="20"/>
              </w:rPr>
              <w:t>ruary 2019</w:t>
            </w:r>
          </w:p>
        </w:tc>
        <w:tc>
          <w:tcPr>
            <w:tcW w:w="540" w:type="dxa"/>
          </w:tcPr>
          <w:p w14:paraId="7B92593B" w14:textId="77777777" w:rsidR="00EE40C6" w:rsidRPr="00B14E25" w:rsidRDefault="00EE40C6" w:rsidP="00B14E25">
            <w:pPr>
              <w:ind w:left="0" w:right="0"/>
              <w:rPr>
                <w:sz w:val="20"/>
              </w:rPr>
            </w:pPr>
            <w:r w:rsidRPr="00B14E25">
              <w:rPr>
                <w:sz w:val="20"/>
              </w:rPr>
              <w:t>102</w:t>
            </w:r>
          </w:p>
        </w:tc>
        <w:tc>
          <w:tcPr>
            <w:tcW w:w="1260" w:type="dxa"/>
          </w:tcPr>
          <w:p w14:paraId="387615B5" w14:textId="77777777" w:rsidR="00EE40C6" w:rsidRPr="00B14E25" w:rsidRDefault="00EE40C6" w:rsidP="00B14E25">
            <w:pPr>
              <w:ind w:left="0" w:right="0"/>
              <w:rPr>
                <w:sz w:val="20"/>
              </w:rPr>
            </w:pPr>
            <w:r w:rsidRPr="00B14E25">
              <w:rPr>
                <w:sz w:val="20"/>
              </w:rPr>
              <w:t>12 (11.8%)</w:t>
            </w:r>
          </w:p>
        </w:tc>
        <w:tc>
          <w:tcPr>
            <w:tcW w:w="1440" w:type="dxa"/>
          </w:tcPr>
          <w:p w14:paraId="252BA28A" w14:textId="151C1372" w:rsidR="00EE40C6" w:rsidRPr="00B14E25" w:rsidRDefault="00B14E25" w:rsidP="00B14E25">
            <w:pPr>
              <w:ind w:left="0" w:right="0"/>
              <w:rPr>
                <w:sz w:val="20"/>
              </w:rPr>
            </w:pPr>
            <w:r>
              <w:rPr>
                <w:sz w:val="20"/>
              </w:rPr>
              <w:t>Not reached</w:t>
            </w:r>
          </w:p>
        </w:tc>
        <w:tc>
          <w:tcPr>
            <w:tcW w:w="1983" w:type="dxa"/>
          </w:tcPr>
          <w:p w14:paraId="16073D2F" w14:textId="77777777" w:rsidR="00EE40C6" w:rsidRPr="00B14E25" w:rsidRDefault="00EE40C6" w:rsidP="00B14E25">
            <w:pPr>
              <w:ind w:left="0" w:right="0"/>
              <w:rPr>
                <w:sz w:val="20"/>
              </w:rPr>
            </w:pPr>
            <w:r w:rsidRPr="00B14E25">
              <w:rPr>
                <w:sz w:val="20"/>
              </w:rPr>
              <w:t>86.1% (75.1 to 92.4)</w:t>
            </w:r>
          </w:p>
        </w:tc>
        <w:tc>
          <w:tcPr>
            <w:tcW w:w="2106" w:type="dxa"/>
          </w:tcPr>
          <w:p w14:paraId="2EC2FEA1" w14:textId="77777777" w:rsidR="00EE40C6" w:rsidRPr="00B14E25" w:rsidRDefault="00EE40C6" w:rsidP="00B14E25">
            <w:pPr>
              <w:ind w:left="0" w:right="0"/>
              <w:rPr>
                <w:sz w:val="20"/>
              </w:rPr>
            </w:pPr>
            <w:r w:rsidRPr="00B14E25">
              <w:rPr>
                <w:sz w:val="20"/>
              </w:rPr>
              <w:t>83.4% (71.0 to 90.8)</w:t>
            </w:r>
          </w:p>
        </w:tc>
      </w:tr>
      <w:tr w:rsidR="00B14E25" w:rsidRPr="00B14E25" w14:paraId="30132609" w14:textId="77777777" w:rsidTr="00B14E25">
        <w:tc>
          <w:tcPr>
            <w:tcW w:w="1880" w:type="dxa"/>
          </w:tcPr>
          <w:p w14:paraId="21B9D9E8" w14:textId="6DA17802" w:rsidR="00EE40C6" w:rsidRPr="00B14E25" w:rsidRDefault="00EE40C6" w:rsidP="00B14E25">
            <w:pPr>
              <w:ind w:left="0" w:right="0"/>
              <w:rPr>
                <w:sz w:val="20"/>
              </w:rPr>
            </w:pPr>
            <w:r w:rsidRPr="00B14E25">
              <w:rPr>
                <w:sz w:val="20"/>
              </w:rPr>
              <w:t>24 May</w:t>
            </w:r>
            <w:r w:rsidR="00B14E25">
              <w:rPr>
                <w:sz w:val="20"/>
              </w:rPr>
              <w:t xml:space="preserve"> 2019</w:t>
            </w:r>
          </w:p>
        </w:tc>
        <w:tc>
          <w:tcPr>
            <w:tcW w:w="540" w:type="dxa"/>
          </w:tcPr>
          <w:p w14:paraId="71E967CE" w14:textId="77777777" w:rsidR="00EE40C6" w:rsidRPr="00B14E25" w:rsidRDefault="00EE40C6" w:rsidP="00B14E25">
            <w:pPr>
              <w:ind w:left="0" w:right="0"/>
              <w:rPr>
                <w:sz w:val="20"/>
              </w:rPr>
            </w:pPr>
            <w:r w:rsidRPr="00B14E25">
              <w:rPr>
                <w:sz w:val="20"/>
              </w:rPr>
              <w:t>102</w:t>
            </w:r>
          </w:p>
        </w:tc>
        <w:tc>
          <w:tcPr>
            <w:tcW w:w="1260" w:type="dxa"/>
          </w:tcPr>
          <w:p w14:paraId="22403177" w14:textId="77777777" w:rsidR="00EE40C6" w:rsidRPr="00B14E25" w:rsidRDefault="00EE40C6" w:rsidP="00B14E25">
            <w:pPr>
              <w:ind w:left="0" w:right="0"/>
              <w:rPr>
                <w:sz w:val="20"/>
              </w:rPr>
            </w:pPr>
            <w:r w:rsidRPr="00B14E25">
              <w:rPr>
                <w:sz w:val="20"/>
              </w:rPr>
              <w:t>13 (12.7%)</w:t>
            </w:r>
          </w:p>
        </w:tc>
        <w:tc>
          <w:tcPr>
            <w:tcW w:w="1440" w:type="dxa"/>
          </w:tcPr>
          <w:p w14:paraId="13B65DCD" w14:textId="057834BF" w:rsidR="00EE40C6" w:rsidRPr="00B14E25" w:rsidRDefault="00B14E25" w:rsidP="00B14E25">
            <w:pPr>
              <w:ind w:left="0" w:right="0"/>
              <w:rPr>
                <w:sz w:val="20"/>
              </w:rPr>
            </w:pPr>
            <w:r>
              <w:rPr>
                <w:sz w:val="20"/>
              </w:rPr>
              <w:t>Not reached</w:t>
            </w:r>
          </w:p>
        </w:tc>
        <w:tc>
          <w:tcPr>
            <w:tcW w:w="1983" w:type="dxa"/>
          </w:tcPr>
          <w:p w14:paraId="56394475" w14:textId="77777777" w:rsidR="00EE40C6" w:rsidRPr="00B14E25" w:rsidRDefault="00EE40C6" w:rsidP="00B14E25">
            <w:pPr>
              <w:ind w:left="0" w:right="0"/>
              <w:rPr>
                <w:sz w:val="20"/>
              </w:rPr>
            </w:pPr>
            <w:r w:rsidRPr="00B14E25">
              <w:rPr>
                <w:sz w:val="20"/>
              </w:rPr>
              <w:t>86.2% (75.3 to 92.5)</w:t>
            </w:r>
          </w:p>
        </w:tc>
        <w:tc>
          <w:tcPr>
            <w:tcW w:w="2106" w:type="dxa"/>
          </w:tcPr>
          <w:p w14:paraId="6E04252D" w14:textId="77777777" w:rsidR="00EE40C6" w:rsidRPr="00B14E25" w:rsidRDefault="00EE40C6" w:rsidP="00B14E25">
            <w:pPr>
              <w:ind w:left="0" w:right="0"/>
              <w:rPr>
                <w:sz w:val="20"/>
              </w:rPr>
            </w:pPr>
            <w:r w:rsidRPr="00B14E25">
              <w:rPr>
                <w:sz w:val="20"/>
              </w:rPr>
              <w:t>83.6% (71.4 to 90.9)</w:t>
            </w:r>
          </w:p>
        </w:tc>
      </w:tr>
      <w:tr w:rsidR="00EE40C6" w:rsidRPr="00B14E25" w14:paraId="45447377" w14:textId="77777777" w:rsidTr="00B14E25">
        <w:tc>
          <w:tcPr>
            <w:tcW w:w="9209" w:type="dxa"/>
            <w:gridSpan w:val="6"/>
          </w:tcPr>
          <w:p w14:paraId="69A6F651" w14:textId="77777777" w:rsidR="00EE40C6" w:rsidRPr="00B14E25" w:rsidRDefault="00EE40C6" w:rsidP="00B14E25">
            <w:pPr>
              <w:ind w:left="0" w:right="0"/>
              <w:rPr>
                <w:sz w:val="20"/>
              </w:rPr>
            </w:pPr>
            <w:r w:rsidRPr="00B14E25">
              <w:rPr>
                <w:sz w:val="20"/>
              </w:rPr>
              <w:t xml:space="preserve">Progression Free Survival (muscle invasive disease, </w:t>
            </w:r>
            <w:proofErr w:type="gramStart"/>
            <w:r w:rsidRPr="00B14E25">
              <w:rPr>
                <w:sz w:val="20"/>
              </w:rPr>
              <w:t>metastases</w:t>
            </w:r>
            <w:proofErr w:type="gramEnd"/>
            <w:r w:rsidRPr="00B14E25">
              <w:rPr>
                <w:sz w:val="20"/>
              </w:rPr>
              <w:t xml:space="preserve"> or death)</w:t>
            </w:r>
          </w:p>
        </w:tc>
      </w:tr>
      <w:tr w:rsidR="00B14E25" w:rsidRPr="00B14E25" w14:paraId="5B7FB404" w14:textId="77777777" w:rsidTr="00B14E25">
        <w:tc>
          <w:tcPr>
            <w:tcW w:w="1880" w:type="dxa"/>
          </w:tcPr>
          <w:p w14:paraId="6E0E879A" w14:textId="243319C9" w:rsidR="00EE40C6" w:rsidRPr="00B14E25" w:rsidRDefault="00EE40C6" w:rsidP="00B14E25">
            <w:pPr>
              <w:ind w:left="0" w:right="0"/>
              <w:rPr>
                <w:sz w:val="20"/>
              </w:rPr>
            </w:pPr>
            <w:r w:rsidRPr="00B14E25">
              <w:rPr>
                <w:sz w:val="20"/>
              </w:rPr>
              <w:t>20 Feb</w:t>
            </w:r>
            <w:r w:rsidR="00B14E25">
              <w:rPr>
                <w:sz w:val="20"/>
              </w:rPr>
              <w:t>ruary 2019</w:t>
            </w:r>
          </w:p>
        </w:tc>
        <w:tc>
          <w:tcPr>
            <w:tcW w:w="540" w:type="dxa"/>
          </w:tcPr>
          <w:p w14:paraId="3E7503F3" w14:textId="77777777" w:rsidR="00EE40C6" w:rsidRPr="00B14E25" w:rsidRDefault="00EE40C6" w:rsidP="00B14E25">
            <w:pPr>
              <w:ind w:left="0" w:right="0"/>
              <w:rPr>
                <w:sz w:val="20"/>
              </w:rPr>
            </w:pPr>
            <w:r w:rsidRPr="00B14E25">
              <w:rPr>
                <w:sz w:val="20"/>
              </w:rPr>
              <w:t>102</w:t>
            </w:r>
          </w:p>
        </w:tc>
        <w:tc>
          <w:tcPr>
            <w:tcW w:w="1260" w:type="dxa"/>
          </w:tcPr>
          <w:p w14:paraId="2A25556C" w14:textId="77777777" w:rsidR="00EE40C6" w:rsidRPr="00B14E25" w:rsidRDefault="00EE40C6" w:rsidP="00B14E25">
            <w:pPr>
              <w:ind w:left="0" w:right="0"/>
              <w:rPr>
                <w:sz w:val="20"/>
              </w:rPr>
            </w:pPr>
            <w:r w:rsidRPr="00B14E25">
              <w:rPr>
                <w:sz w:val="20"/>
              </w:rPr>
              <w:t>3 (2.9%)</w:t>
            </w:r>
          </w:p>
        </w:tc>
        <w:tc>
          <w:tcPr>
            <w:tcW w:w="1440" w:type="dxa"/>
          </w:tcPr>
          <w:p w14:paraId="754AE965" w14:textId="4F8B272B" w:rsidR="00EE40C6" w:rsidRPr="00B14E25" w:rsidRDefault="00B14E25" w:rsidP="00B14E25">
            <w:pPr>
              <w:ind w:left="0" w:right="0"/>
              <w:rPr>
                <w:sz w:val="20"/>
              </w:rPr>
            </w:pPr>
            <w:r>
              <w:rPr>
                <w:sz w:val="20"/>
              </w:rPr>
              <w:t>Not reached</w:t>
            </w:r>
          </w:p>
        </w:tc>
        <w:tc>
          <w:tcPr>
            <w:tcW w:w="1983" w:type="dxa"/>
          </w:tcPr>
          <w:p w14:paraId="55E8CDBD" w14:textId="77777777" w:rsidR="00EE40C6" w:rsidRPr="00B14E25" w:rsidRDefault="00EE40C6" w:rsidP="00B14E25">
            <w:pPr>
              <w:ind w:left="0" w:right="0"/>
              <w:rPr>
                <w:sz w:val="20"/>
              </w:rPr>
            </w:pPr>
            <w:r w:rsidRPr="00B14E25">
              <w:rPr>
                <w:sz w:val="20"/>
              </w:rPr>
              <w:t>96.6% (85.7 to 99.2)</w:t>
            </w:r>
          </w:p>
        </w:tc>
        <w:tc>
          <w:tcPr>
            <w:tcW w:w="2106" w:type="dxa"/>
          </w:tcPr>
          <w:p w14:paraId="5F29A3D9" w14:textId="77777777" w:rsidR="00EE40C6" w:rsidRPr="00B14E25" w:rsidRDefault="00EE40C6" w:rsidP="00B14E25">
            <w:pPr>
              <w:ind w:left="0" w:right="0"/>
              <w:rPr>
                <w:sz w:val="20"/>
              </w:rPr>
            </w:pPr>
            <w:r w:rsidRPr="00B14E25">
              <w:rPr>
                <w:sz w:val="20"/>
              </w:rPr>
              <w:t>96.6% (85.7 to 99.2)</w:t>
            </w:r>
          </w:p>
        </w:tc>
      </w:tr>
      <w:tr w:rsidR="00B14E25" w:rsidRPr="00B14E25" w14:paraId="5C641A5F" w14:textId="77777777" w:rsidTr="00B14E25">
        <w:tc>
          <w:tcPr>
            <w:tcW w:w="1880" w:type="dxa"/>
          </w:tcPr>
          <w:p w14:paraId="4D29E4C7" w14:textId="7DFD2AF1" w:rsidR="00EE40C6" w:rsidRPr="00B14E25" w:rsidRDefault="00EE40C6" w:rsidP="00B14E25">
            <w:pPr>
              <w:ind w:left="0" w:right="0"/>
              <w:rPr>
                <w:sz w:val="20"/>
              </w:rPr>
            </w:pPr>
            <w:r w:rsidRPr="00B14E25">
              <w:rPr>
                <w:sz w:val="20"/>
              </w:rPr>
              <w:t>24 May</w:t>
            </w:r>
            <w:r w:rsidR="00B14E25">
              <w:rPr>
                <w:sz w:val="20"/>
              </w:rPr>
              <w:t xml:space="preserve"> 2019</w:t>
            </w:r>
          </w:p>
        </w:tc>
        <w:tc>
          <w:tcPr>
            <w:tcW w:w="540" w:type="dxa"/>
          </w:tcPr>
          <w:p w14:paraId="5B3A92A3" w14:textId="77777777" w:rsidR="00EE40C6" w:rsidRPr="00B14E25" w:rsidRDefault="00EE40C6" w:rsidP="00B14E25">
            <w:pPr>
              <w:ind w:left="0" w:right="0"/>
              <w:rPr>
                <w:sz w:val="20"/>
              </w:rPr>
            </w:pPr>
            <w:r w:rsidRPr="00B14E25">
              <w:rPr>
                <w:sz w:val="20"/>
              </w:rPr>
              <w:t>102</w:t>
            </w:r>
          </w:p>
        </w:tc>
        <w:tc>
          <w:tcPr>
            <w:tcW w:w="1260" w:type="dxa"/>
          </w:tcPr>
          <w:p w14:paraId="71186A14" w14:textId="77777777" w:rsidR="00EE40C6" w:rsidRPr="00B14E25" w:rsidRDefault="00EE40C6" w:rsidP="00B14E25">
            <w:pPr>
              <w:ind w:left="0" w:right="0"/>
              <w:rPr>
                <w:sz w:val="20"/>
              </w:rPr>
            </w:pPr>
            <w:r w:rsidRPr="00B14E25">
              <w:rPr>
                <w:sz w:val="20"/>
              </w:rPr>
              <w:t>5 (4.9%)</w:t>
            </w:r>
          </w:p>
        </w:tc>
        <w:tc>
          <w:tcPr>
            <w:tcW w:w="1440" w:type="dxa"/>
          </w:tcPr>
          <w:p w14:paraId="50AA6C90" w14:textId="3246D064" w:rsidR="00EE40C6" w:rsidRPr="00B14E25" w:rsidRDefault="00B14E25" w:rsidP="00B14E25">
            <w:pPr>
              <w:ind w:left="0" w:right="0"/>
              <w:rPr>
                <w:sz w:val="20"/>
              </w:rPr>
            </w:pPr>
            <w:r>
              <w:rPr>
                <w:sz w:val="20"/>
              </w:rPr>
              <w:t>Not reached</w:t>
            </w:r>
          </w:p>
        </w:tc>
        <w:tc>
          <w:tcPr>
            <w:tcW w:w="1983" w:type="dxa"/>
          </w:tcPr>
          <w:p w14:paraId="3513AE59" w14:textId="77777777" w:rsidR="00EE40C6" w:rsidRPr="00B14E25" w:rsidRDefault="00EE40C6" w:rsidP="00B14E25">
            <w:pPr>
              <w:ind w:left="0" w:right="0"/>
              <w:rPr>
                <w:sz w:val="20"/>
              </w:rPr>
            </w:pPr>
            <w:r w:rsidRPr="00B14E25">
              <w:rPr>
                <w:sz w:val="20"/>
              </w:rPr>
              <w:t>96.7% (86.3 to 99.2)</w:t>
            </w:r>
          </w:p>
        </w:tc>
        <w:tc>
          <w:tcPr>
            <w:tcW w:w="2106" w:type="dxa"/>
          </w:tcPr>
          <w:p w14:paraId="4F146499" w14:textId="77777777" w:rsidR="00EE40C6" w:rsidRPr="00B14E25" w:rsidRDefault="00EE40C6" w:rsidP="00B14E25">
            <w:pPr>
              <w:ind w:left="0" w:right="0"/>
              <w:rPr>
                <w:sz w:val="20"/>
              </w:rPr>
            </w:pPr>
            <w:r w:rsidRPr="00B14E25">
              <w:rPr>
                <w:sz w:val="20"/>
              </w:rPr>
              <w:t>96.7% (86.3 to 99.2)</w:t>
            </w:r>
          </w:p>
        </w:tc>
      </w:tr>
    </w:tbl>
    <w:p w14:paraId="038C247A" w14:textId="6E333961" w:rsidR="00B14E25" w:rsidRDefault="00381ADB" w:rsidP="00011226">
      <w:pPr>
        <w:pStyle w:val="TableDescription0"/>
      </w:pPr>
      <w:r>
        <w:t>Abbreviations: CI = confidence interval(s); KM = Kaplan-Meier; PFS = progression-free survival.</w:t>
      </w:r>
    </w:p>
    <w:p w14:paraId="075491B8" w14:textId="00F22647" w:rsidR="00EE40C6" w:rsidRPr="00B14E25" w:rsidRDefault="00EE40C6" w:rsidP="00011226">
      <w:pPr>
        <w:spacing w:before="240"/>
      </w:pPr>
      <w:r w:rsidRPr="00B14E25">
        <w:t xml:space="preserve">Overall survival was not a key secondary endpoint and by the May 2020 the median </w:t>
      </w:r>
      <w:r w:rsidR="00B14E25">
        <w:t>overall survival</w:t>
      </w:r>
      <w:r w:rsidRPr="00B14E25">
        <w:t xml:space="preserve"> was not reached and the </w:t>
      </w:r>
      <w:proofErr w:type="gramStart"/>
      <w:r w:rsidRPr="00B14E25">
        <w:t>12 month</w:t>
      </w:r>
      <w:proofErr w:type="gramEnd"/>
      <w:r w:rsidRPr="00B14E25">
        <w:t xml:space="preserve"> </w:t>
      </w:r>
      <w:r w:rsidR="00B14E25">
        <w:t>overall survival</w:t>
      </w:r>
      <w:r w:rsidRPr="00B14E25">
        <w:t xml:space="preserve"> was 95.7% (95% CI: 90.6%, 98.0%).</w:t>
      </w:r>
    </w:p>
    <w:p w14:paraId="52670633" w14:textId="01127ED5" w:rsidR="00EE40C6" w:rsidRDefault="00EE40C6" w:rsidP="00EE40C6">
      <w:pPr>
        <w:rPr>
          <w:lang w:eastAsia="ja-JP"/>
        </w:rPr>
      </w:pPr>
      <w:r w:rsidRPr="00FB0F4A">
        <w:rPr>
          <w:lang w:eastAsia="ja-JP"/>
        </w:rPr>
        <w:t>Subsequent treatments after pembrolizumab (24 Sep</w:t>
      </w:r>
      <w:r w:rsidR="00B14E25" w:rsidRPr="00FB0F4A">
        <w:rPr>
          <w:lang w:eastAsia="ja-JP"/>
        </w:rPr>
        <w:t>tember 2019 cut-</w:t>
      </w:r>
      <w:r w:rsidRPr="00FB0F4A">
        <w:rPr>
          <w:lang w:eastAsia="ja-JP"/>
        </w:rPr>
        <w:t>off): 37.5% underwent cystectomy and 28.1% had further intravesical therapy, mostly with cytotoxic agents.</w:t>
      </w:r>
    </w:p>
    <w:p w14:paraId="3060ECF9" w14:textId="20B2AE53" w:rsidR="0004499B" w:rsidRDefault="00EE40C6" w:rsidP="0004499B">
      <w:pPr>
        <w:pStyle w:val="Heading6"/>
        <w:rPr>
          <w:lang w:eastAsia="ja-JP"/>
        </w:rPr>
      </w:pPr>
      <w:r w:rsidRPr="00353535">
        <w:rPr>
          <w:lang w:eastAsia="ja-JP"/>
        </w:rPr>
        <w:t>May 2020 data update</w:t>
      </w:r>
      <w:r w:rsidR="0004499B">
        <w:rPr>
          <w:lang w:eastAsia="ja-JP"/>
        </w:rPr>
        <w:t xml:space="preserve"> (full analysis set)</w:t>
      </w:r>
    </w:p>
    <w:p w14:paraId="6E0B1CF6" w14:textId="77777777" w:rsidR="0004499B" w:rsidRDefault="00EE40C6" w:rsidP="00EE40C6">
      <w:r w:rsidRPr="0004499B">
        <w:t xml:space="preserve">In response to </w:t>
      </w:r>
      <w:r w:rsidR="0004499B">
        <w:t xml:space="preserve">TGA </w:t>
      </w:r>
      <w:r w:rsidRPr="0004499B">
        <w:t>questions the sponsor provided an update of t</w:t>
      </w:r>
      <w:r w:rsidR="0004499B">
        <w:t>he data from a data cut-off on 25 May 2020. At that time:</w:t>
      </w:r>
    </w:p>
    <w:p w14:paraId="6183D3AE" w14:textId="2C64041A" w:rsidR="0004499B" w:rsidRPr="00407BDB" w:rsidRDefault="00EE40C6" w:rsidP="0004499B">
      <w:pPr>
        <w:pStyle w:val="ListBullet"/>
      </w:pPr>
      <w:r>
        <w:t>139 patients were enrolled in Cohort A.</w:t>
      </w:r>
      <w:r w:rsidRPr="00697984">
        <w:rPr>
          <w:lang w:eastAsia="ja-JP"/>
        </w:rPr>
        <w:t xml:space="preserve"> </w:t>
      </w:r>
      <w:r>
        <w:rPr>
          <w:lang w:eastAsia="ja-JP"/>
        </w:rPr>
        <w:t>Baseline charac</w:t>
      </w:r>
      <w:r w:rsidR="0004499B">
        <w:rPr>
          <w:lang w:eastAsia="ja-JP"/>
        </w:rPr>
        <w:t>teristics for the c</w:t>
      </w:r>
      <w:r w:rsidR="00407BDB">
        <w:rPr>
          <w:lang w:eastAsia="ja-JP"/>
        </w:rPr>
        <w:t>ohort are summarised:</w:t>
      </w:r>
    </w:p>
    <w:p w14:paraId="6E703B70" w14:textId="0B1E92AF" w:rsidR="00407BDB" w:rsidRDefault="00407BDB" w:rsidP="00407BDB">
      <w:pPr>
        <w:pStyle w:val="ListBullet2"/>
        <w:rPr>
          <w:lang w:eastAsia="ja-JP"/>
        </w:rPr>
      </w:pPr>
      <w:r>
        <w:rPr>
          <w:lang w:eastAsia="ja-JP"/>
        </w:rPr>
        <w:t xml:space="preserve">As of the cut-off date all participants in Cohort A had the opportunity to complete 12-month efficacy evaluations (that is, they were 15 months from the study start). Median duration of follow-up was 32.0 months (range 2.9 </w:t>
      </w:r>
      <w:r w:rsidR="00381ADB">
        <w:rPr>
          <w:lang w:eastAsia="ja-JP"/>
        </w:rPr>
        <w:t>to</w:t>
      </w:r>
      <w:r>
        <w:rPr>
          <w:lang w:eastAsia="ja-JP"/>
        </w:rPr>
        <w:t xml:space="preserve"> 48.5).</w:t>
      </w:r>
      <w:r w:rsidRPr="008832F7">
        <w:t xml:space="preserve"> </w:t>
      </w:r>
      <w:r w:rsidRPr="008832F7">
        <w:rPr>
          <w:lang w:eastAsia="ja-JP"/>
        </w:rPr>
        <w:t xml:space="preserve">Of the </w:t>
      </w:r>
      <w:r>
        <w:rPr>
          <w:lang w:eastAsia="ja-JP"/>
        </w:rPr>
        <w:t>139</w:t>
      </w:r>
      <w:r w:rsidRPr="008832F7">
        <w:rPr>
          <w:lang w:eastAsia="ja-JP"/>
        </w:rPr>
        <w:t xml:space="preserve"> subjects enrolled in Cohort A, </w:t>
      </w:r>
      <w:r>
        <w:rPr>
          <w:lang w:eastAsia="ja-JP"/>
        </w:rPr>
        <w:t>9</w:t>
      </w:r>
      <w:r w:rsidRPr="008832F7">
        <w:rPr>
          <w:lang w:eastAsia="ja-JP"/>
        </w:rPr>
        <w:t xml:space="preserve"> had completed a full course of pembrolizumab, </w:t>
      </w:r>
      <w:r>
        <w:rPr>
          <w:lang w:eastAsia="ja-JP"/>
        </w:rPr>
        <w:t>4</w:t>
      </w:r>
      <w:r w:rsidRPr="008832F7">
        <w:rPr>
          <w:lang w:eastAsia="ja-JP"/>
        </w:rPr>
        <w:t xml:space="preserve"> were still receiving treatment and the remainder (</w:t>
      </w:r>
      <w:r>
        <w:rPr>
          <w:lang w:eastAsia="ja-JP"/>
        </w:rPr>
        <w:t>126</w:t>
      </w:r>
      <w:r w:rsidRPr="008832F7">
        <w:rPr>
          <w:lang w:eastAsia="ja-JP"/>
        </w:rPr>
        <w:t>) had discontinued.</w:t>
      </w:r>
    </w:p>
    <w:p w14:paraId="62A5356A" w14:textId="19D37605" w:rsidR="00407BDB" w:rsidRDefault="00407BDB" w:rsidP="00407BDB">
      <w:pPr>
        <w:pStyle w:val="ListBullet2"/>
        <w:rPr>
          <w:lang w:eastAsia="ja-JP"/>
        </w:rPr>
      </w:pPr>
      <w:r>
        <w:rPr>
          <w:lang w:eastAsia="ja-JP"/>
        </w:rPr>
        <w:t xml:space="preserve">Baseline characteristics for the 139 subjects in Cohort A were </w:t>
      </w:r>
      <w:proofErr w:type="gramStart"/>
      <w:r>
        <w:rPr>
          <w:lang w:eastAsia="ja-JP"/>
        </w:rPr>
        <w:t>similar to</w:t>
      </w:r>
      <w:proofErr w:type="gramEnd"/>
      <w:r>
        <w:rPr>
          <w:lang w:eastAsia="ja-JP"/>
        </w:rPr>
        <w:t xml:space="preserve"> those presented for the first 102 subjects. 83.5% were male, with a median age of 73.0 years. All subjects had good performance status (ECOG 0 or 1).</w:t>
      </w:r>
      <w:r w:rsidRPr="00407BDB">
        <w:rPr>
          <w:vertAlign w:val="superscript"/>
          <w:lang w:eastAsia="ja-JP"/>
        </w:rPr>
        <w:fldChar w:fldCharType="begin"/>
      </w:r>
      <w:r w:rsidRPr="00407BDB">
        <w:rPr>
          <w:vertAlign w:val="superscript"/>
          <w:lang w:eastAsia="ja-JP"/>
        </w:rPr>
        <w:instrText xml:space="preserve"> NOTEREF _Ref130479757 \h </w:instrText>
      </w:r>
      <w:r>
        <w:rPr>
          <w:vertAlign w:val="superscript"/>
          <w:lang w:eastAsia="ja-JP"/>
        </w:rPr>
        <w:instrText xml:space="preserve"> \* MERGEFORMAT </w:instrText>
      </w:r>
      <w:r w:rsidRPr="00407BDB">
        <w:rPr>
          <w:vertAlign w:val="superscript"/>
          <w:lang w:eastAsia="ja-JP"/>
        </w:rPr>
      </w:r>
      <w:r w:rsidRPr="00407BDB">
        <w:rPr>
          <w:vertAlign w:val="superscript"/>
          <w:lang w:eastAsia="ja-JP"/>
        </w:rPr>
        <w:fldChar w:fldCharType="separate"/>
      </w:r>
      <w:r w:rsidR="007F791A">
        <w:rPr>
          <w:vertAlign w:val="superscript"/>
          <w:lang w:eastAsia="ja-JP"/>
        </w:rPr>
        <w:t>28</w:t>
      </w:r>
      <w:r w:rsidRPr="00407BDB">
        <w:rPr>
          <w:vertAlign w:val="superscript"/>
          <w:lang w:eastAsia="ja-JP"/>
        </w:rPr>
        <w:fldChar w:fldCharType="end"/>
      </w:r>
    </w:p>
    <w:p w14:paraId="20B46D50" w14:textId="5DD9346A" w:rsidR="00407BDB" w:rsidRDefault="00407BDB" w:rsidP="00407BDB">
      <w:pPr>
        <w:pStyle w:val="ListBullet2"/>
        <w:rPr>
          <w:lang w:eastAsia="ja-JP"/>
        </w:rPr>
      </w:pPr>
      <w:r>
        <w:rPr>
          <w:lang w:eastAsia="ja-JP"/>
        </w:rPr>
        <w:t>36.7% of subjects had PD-L1 positive disease (PD-L1 CPS ≥ 10).</w:t>
      </w:r>
      <w:r w:rsidRPr="00407BDB">
        <w:rPr>
          <w:vertAlign w:val="superscript"/>
          <w:lang w:eastAsia="ja-JP"/>
        </w:rPr>
        <w:fldChar w:fldCharType="begin"/>
      </w:r>
      <w:r w:rsidRPr="00407BDB">
        <w:rPr>
          <w:vertAlign w:val="superscript"/>
          <w:lang w:eastAsia="ja-JP"/>
        </w:rPr>
        <w:instrText xml:space="preserve"> NOTEREF _Ref130484583 \h </w:instrText>
      </w:r>
      <w:r>
        <w:rPr>
          <w:vertAlign w:val="superscript"/>
          <w:lang w:eastAsia="ja-JP"/>
        </w:rPr>
        <w:instrText xml:space="preserve"> \* MERGEFORMAT </w:instrText>
      </w:r>
      <w:r w:rsidRPr="00407BDB">
        <w:rPr>
          <w:vertAlign w:val="superscript"/>
          <w:lang w:eastAsia="ja-JP"/>
        </w:rPr>
      </w:r>
      <w:r w:rsidRPr="00407BDB">
        <w:rPr>
          <w:vertAlign w:val="superscript"/>
          <w:lang w:eastAsia="ja-JP"/>
        </w:rPr>
        <w:fldChar w:fldCharType="separate"/>
      </w:r>
      <w:r w:rsidR="007F791A">
        <w:rPr>
          <w:vertAlign w:val="superscript"/>
          <w:lang w:eastAsia="ja-JP"/>
        </w:rPr>
        <w:t>29</w:t>
      </w:r>
      <w:r w:rsidRPr="00407BDB">
        <w:rPr>
          <w:vertAlign w:val="superscript"/>
          <w:lang w:eastAsia="ja-JP"/>
        </w:rPr>
        <w:fldChar w:fldCharType="end"/>
      </w:r>
      <w:r>
        <w:rPr>
          <w:lang w:eastAsia="ja-JP"/>
        </w:rPr>
        <w:t xml:space="preserve"> 67.6% of subjects had </w:t>
      </w:r>
      <w:r w:rsidRPr="00407BDB">
        <w:rPr>
          <w:lang w:eastAsia="ja-JP"/>
        </w:rPr>
        <w:t xml:space="preserve">carcinoma in situ </w:t>
      </w:r>
      <w:r>
        <w:rPr>
          <w:lang w:eastAsia="ja-JP"/>
        </w:rPr>
        <w:t xml:space="preserve">only, 22.3% had CIS together with high grade Ta tumours and 10.1% </w:t>
      </w:r>
      <w:r>
        <w:rPr>
          <w:lang w:eastAsia="ja-JP"/>
        </w:rPr>
        <w:lastRenderedPageBreak/>
        <w:t xml:space="preserve">had </w:t>
      </w:r>
      <w:r>
        <w:t xml:space="preserve">carcinoma in situ </w:t>
      </w:r>
      <w:r>
        <w:rPr>
          <w:lang w:eastAsia="ja-JP"/>
        </w:rPr>
        <w:t>together with T1 disease. Only 4.3% of subjects were considered ineligible for cystectomy whereas 92.8% had refused the procedure. All subjects had received prior intravesical BCG therapy, with a median of 12.0 prior installations.</w:t>
      </w:r>
    </w:p>
    <w:p w14:paraId="1AEE61EF" w14:textId="2EEDEECF" w:rsidR="0004499B" w:rsidRDefault="0004499B" w:rsidP="0004499B">
      <w:pPr>
        <w:pStyle w:val="ListBullet"/>
      </w:pPr>
      <w:r>
        <w:rPr>
          <w:lang w:eastAsia="ja-JP"/>
        </w:rPr>
        <w:t>For the primary efficacy endpoint, t</w:t>
      </w:r>
      <w:r w:rsidR="00EE40C6">
        <w:rPr>
          <w:lang w:eastAsia="ja-JP"/>
        </w:rPr>
        <w:t xml:space="preserve">he </w:t>
      </w:r>
      <w:r w:rsidR="00EE40C6" w:rsidRPr="000214EE">
        <w:rPr>
          <w:lang w:eastAsia="ja-JP"/>
        </w:rPr>
        <w:t xml:space="preserve">complete response rate (absence of high risk </w:t>
      </w:r>
      <w:r w:rsidR="00012F22">
        <w:rPr>
          <w:lang w:eastAsia="ja-JP"/>
        </w:rPr>
        <w:t>non</w:t>
      </w:r>
      <w:r w:rsidR="00012F22">
        <w:rPr>
          <w:lang w:eastAsia="ja-JP"/>
        </w:rPr>
        <w:noBreakHyphen/>
        <w:t>muscle invasive bladder cancer</w:t>
      </w:r>
      <w:r w:rsidR="00EE40C6" w:rsidRPr="000214EE">
        <w:rPr>
          <w:lang w:eastAsia="ja-JP"/>
        </w:rPr>
        <w:t>) w</w:t>
      </w:r>
      <w:r w:rsidR="00EE40C6">
        <w:rPr>
          <w:lang w:eastAsia="ja-JP"/>
        </w:rPr>
        <w:t xml:space="preserve">as </w:t>
      </w:r>
      <w:r w:rsidR="00EE40C6" w:rsidRPr="00407BDB">
        <w:t>36.7%</w:t>
      </w:r>
      <w:r w:rsidR="00EE40C6" w:rsidRPr="00CA0C1D">
        <w:rPr>
          <w:b/>
          <w:lang w:eastAsia="ja-JP"/>
        </w:rPr>
        <w:t xml:space="preserve"> </w:t>
      </w:r>
      <w:r w:rsidR="00EE40C6">
        <w:rPr>
          <w:lang w:eastAsia="ja-JP"/>
        </w:rPr>
        <w:t>(95%</w:t>
      </w:r>
      <w:r>
        <w:rPr>
          <w:lang w:eastAsia="ja-JP"/>
        </w:rPr>
        <w:t xml:space="preserve"> CI: 28.7 to 45.3).</w:t>
      </w:r>
    </w:p>
    <w:p w14:paraId="03FCFF4E" w14:textId="3D9868D4" w:rsidR="00EE40C6" w:rsidRDefault="00EE40C6" w:rsidP="0004499B">
      <w:pPr>
        <w:pStyle w:val="ListBullet"/>
      </w:pPr>
      <w:r>
        <w:rPr>
          <w:lang w:eastAsia="ja-JP"/>
        </w:rPr>
        <w:t xml:space="preserve">The complete response rate for the absence of any disease was identical to the primary endpoint result </w:t>
      </w:r>
      <w:r w:rsidRPr="00621D3E">
        <w:rPr>
          <w:lang w:eastAsia="ja-JP"/>
        </w:rPr>
        <w:t>36.7% (95%</w:t>
      </w:r>
      <w:r w:rsidR="0004499B">
        <w:rPr>
          <w:lang w:eastAsia="ja-JP"/>
        </w:rPr>
        <w:t xml:space="preserve"> </w:t>
      </w:r>
      <w:r w:rsidRPr="00621D3E">
        <w:rPr>
          <w:lang w:eastAsia="ja-JP"/>
        </w:rPr>
        <w:t>CI: 28.7 to 45.3)</w:t>
      </w:r>
      <w:r>
        <w:rPr>
          <w:lang w:eastAsia="ja-JP"/>
        </w:rPr>
        <w:t>.</w:t>
      </w:r>
      <w:r>
        <w:rPr>
          <w:rStyle w:val="FootnoteReference"/>
          <w:lang w:eastAsia="ja-JP"/>
        </w:rPr>
        <w:footnoteReference w:id="32"/>
      </w:r>
    </w:p>
    <w:p w14:paraId="389F8E14" w14:textId="1AFA5061" w:rsidR="000801F3" w:rsidRDefault="000801F3" w:rsidP="000801F3">
      <w:pPr>
        <w:pStyle w:val="ListBullet"/>
      </w:pPr>
      <w:r>
        <w:t>The median duration of response (for absence of high-risk disease) was 13.5 months (range 0.0+ to 36.2 months). The estimated proportion of subjects who would have a duration of response of at least at 12 months was 57.2%. In 19 of the 51 complete responses (37.3%), complete response was ongoing.</w:t>
      </w:r>
    </w:p>
    <w:p w14:paraId="4399204E" w14:textId="2A1C8AD9" w:rsidR="000801F3" w:rsidRDefault="000801F3" w:rsidP="000801F3">
      <w:pPr>
        <w:pStyle w:val="ListBullet"/>
      </w:pPr>
      <w:r w:rsidRPr="7E598CB7">
        <w:rPr>
          <w:lang w:eastAsia="ja-JP"/>
        </w:rPr>
        <w:t xml:space="preserve">The median </w:t>
      </w:r>
      <w:r w:rsidR="00012F22">
        <w:rPr>
          <w:lang w:eastAsia="ja-JP"/>
        </w:rPr>
        <w:t>progression-free survival</w:t>
      </w:r>
      <w:r w:rsidRPr="7E598CB7">
        <w:rPr>
          <w:lang w:eastAsia="ja-JP"/>
        </w:rPr>
        <w:t xml:space="preserve"> to worsening of stage, </w:t>
      </w:r>
      <w:proofErr w:type="gramStart"/>
      <w:r w:rsidRPr="7E598CB7">
        <w:rPr>
          <w:lang w:eastAsia="ja-JP"/>
        </w:rPr>
        <w:t>grade</w:t>
      </w:r>
      <w:proofErr w:type="gramEnd"/>
      <w:r w:rsidRPr="7E598CB7">
        <w:rPr>
          <w:lang w:eastAsia="ja-JP"/>
        </w:rPr>
        <w:t xml:space="preserve"> or death and to muscle invasive or metastatic disease or death was 27.0 months (95% CI: 25.1, not available) and 39.9 months (95% CI: 25.4, 39.9), respectively.</w:t>
      </w:r>
    </w:p>
    <w:p w14:paraId="529FD432" w14:textId="3C2C33C1" w:rsidR="0004499B" w:rsidRDefault="00EE40C6" w:rsidP="00EE40C6">
      <w:pPr>
        <w:rPr>
          <w:lang w:eastAsia="ja-JP"/>
        </w:rPr>
      </w:pPr>
      <w:r>
        <w:rPr>
          <w:lang w:eastAsia="ja-JP"/>
        </w:rPr>
        <w:t xml:space="preserve">A sensitivity analysis conducted for the 134 patients who met the FDA </w:t>
      </w:r>
      <w:r w:rsidR="00407BDB">
        <w:rPr>
          <w:lang w:eastAsia="ja-JP"/>
        </w:rPr>
        <w:t xml:space="preserve">Guidance for Industry </w:t>
      </w:r>
      <w:r>
        <w:rPr>
          <w:lang w:eastAsia="ja-JP"/>
        </w:rPr>
        <w:t xml:space="preserve">criteria for BCG-unresponsive high-risk </w:t>
      </w:r>
      <w:r w:rsidR="00012F22">
        <w:rPr>
          <w:lang w:eastAsia="ja-JP"/>
        </w:rPr>
        <w:t>non</w:t>
      </w:r>
      <w:r w:rsidR="00012F22">
        <w:rPr>
          <w:lang w:eastAsia="ja-JP"/>
        </w:rPr>
        <w:noBreakHyphen/>
        <w:t>muscle invasive bladder cancer</w:t>
      </w:r>
      <w:r w:rsidR="00012F22" w:rsidRPr="000214EE">
        <w:rPr>
          <w:lang w:eastAsia="ja-JP"/>
        </w:rPr>
        <w:t xml:space="preserve">) </w:t>
      </w:r>
      <w:r w:rsidR="00407BDB">
        <w:t xml:space="preserve">(see </w:t>
      </w:r>
      <w:r w:rsidR="00407BDB">
        <w:rPr>
          <w:i/>
        </w:rPr>
        <w:fldChar w:fldCharType="begin"/>
      </w:r>
      <w:r w:rsidR="00407BDB">
        <w:rPr>
          <w:i/>
        </w:rPr>
        <w:instrText xml:space="preserve"> REF _Ref130484088 \h  \* MERGEFORMAT </w:instrText>
      </w:r>
      <w:r w:rsidR="00407BDB">
        <w:rPr>
          <w:i/>
        </w:rPr>
      </w:r>
      <w:r w:rsidR="00407BDB">
        <w:rPr>
          <w:i/>
        </w:rPr>
        <w:fldChar w:fldCharType="separate"/>
      </w:r>
      <w:r w:rsidR="007F791A" w:rsidRPr="007F791A">
        <w:rPr>
          <w:i/>
        </w:rPr>
        <w:t>Guidance and definitions</w:t>
      </w:r>
      <w:r w:rsidR="00407BDB">
        <w:rPr>
          <w:i/>
        </w:rPr>
        <w:fldChar w:fldCharType="end"/>
      </w:r>
      <w:r w:rsidR="00407BDB">
        <w:t xml:space="preserve">) </w:t>
      </w:r>
      <w:r w:rsidR="0004499B">
        <w:rPr>
          <w:lang w:eastAsia="ja-JP"/>
        </w:rPr>
        <w:t>showed:</w:t>
      </w:r>
    </w:p>
    <w:p w14:paraId="022806F0" w14:textId="77777777" w:rsidR="0004499B" w:rsidRDefault="00EE40C6" w:rsidP="0004499B">
      <w:pPr>
        <w:pStyle w:val="ListBullet"/>
        <w:rPr>
          <w:lang w:eastAsia="ja-JP"/>
        </w:rPr>
      </w:pPr>
      <w:r>
        <w:rPr>
          <w:lang w:eastAsia="ja-JP"/>
        </w:rPr>
        <w:t xml:space="preserve">a </w:t>
      </w:r>
      <w:r w:rsidR="0004499B">
        <w:rPr>
          <w:lang w:eastAsia="ja-JP"/>
        </w:rPr>
        <w:t>complete response</w:t>
      </w:r>
      <w:r>
        <w:rPr>
          <w:lang w:eastAsia="ja-JP"/>
        </w:rPr>
        <w:t xml:space="preserve"> of </w:t>
      </w:r>
      <w:r w:rsidRPr="0004499B">
        <w:rPr>
          <w:lang w:eastAsia="ja-JP"/>
        </w:rPr>
        <w:t>36.6%</w:t>
      </w:r>
      <w:r>
        <w:rPr>
          <w:lang w:eastAsia="ja-JP"/>
        </w:rPr>
        <w:t xml:space="preserve"> (95%</w:t>
      </w:r>
      <w:r w:rsidR="0004499B">
        <w:rPr>
          <w:lang w:eastAsia="ja-JP"/>
        </w:rPr>
        <w:t xml:space="preserve"> CI: 28.4 to 45.3</w:t>
      </w:r>
      <w:proofErr w:type="gramStart"/>
      <w:r w:rsidR="0004499B">
        <w:rPr>
          <w:lang w:eastAsia="ja-JP"/>
        </w:rPr>
        <w:t>);</w:t>
      </w:r>
      <w:proofErr w:type="gramEnd"/>
    </w:p>
    <w:p w14:paraId="1BDAF3A2" w14:textId="7AC1C09F" w:rsidR="00EE40C6" w:rsidRPr="00790ED3" w:rsidRDefault="00EE40C6" w:rsidP="0004499B">
      <w:pPr>
        <w:pStyle w:val="ListBullet"/>
        <w:rPr>
          <w:lang w:eastAsia="ja-JP"/>
        </w:rPr>
      </w:pPr>
      <w:r>
        <w:rPr>
          <w:lang w:eastAsia="ja-JP"/>
        </w:rPr>
        <w:t xml:space="preserve">a median </w:t>
      </w:r>
      <w:r w:rsidR="0004499B">
        <w:rPr>
          <w:lang w:eastAsia="ja-JP"/>
        </w:rPr>
        <w:t>duration of response</w:t>
      </w:r>
      <w:r>
        <w:rPr>
          <w:lang w:eastAsia="ja-JP"/>
        </w:rPr>
        <w:t xml:space="preserve"> of 16.2 months (range 0.0 </w:t>
      </w:r>
      <w:r w:rsidR="0004499B">
        <w:rPr>
          <w:lang w:eastAsia="ja-JP"/>
        </w:rPr>
        <w:t>(and ongoing)</w:t>
      </w:r>
      <w:r>
        <w:rPr>
          <w:lang w:eastAsia="ja-JP"/>
        </w:rPr>
        <w:t xml:space="preserve"> to 36.2 months) and an estimated proportion with a </w:t>
      </w:r>
      <w:r w:rsidR="0004499B">
        <w:rPr>
          <w:lang w:eastAsia="ja-JP"/>
        </w:rPr>
        <w:t xml:space="preserve">duration of response of at least </w:t>
      </w:r>
      <w:r>
        <w:rPr>
          <w:lang w:eastAsia="ja-JP"/>
        </w:rPr>
        <w:t>12 months of 57.7%.</w:t>
      </w:r>
    </w:p>
    <w:p w14:paraId="0FE6A9C2" w14:textId="0FEA637F" w:rsidR="00EE40C6" w:rsidRPr="00353535" w:rsidRDefault="004A7AEC" w:rsidP="00EE40C6">
      <w:pPr>
        <w:rPr>
          <w:lang w:eastAsia="ja-JP"/>
        </w:rPr>
      </w:pPr>
      <w:r>
        <w:rPr>
          <w:lang w:eastAsia="ja-JP"/>
        </w:rPr>
        <w:t>Of the total c</w:t>
      </w:r>
      <w:r w:rsidR="00EE40C6">
        <w:rPr>
          <w:lang w:eastAsia="ja-JP"/>
        </w:rPr>
        <w:t>ohort 25.9% (70.6% of complete responders</w:t>
      </w:r>
      <w:r>
        <w:rPr>
          <w:lang w:eastAsia="ja-JP"/>
        </w:rPr>
        <w:t>; Kaplan-Meier</w:t>
      </w:r>
      <w:r w:rsidR="00EE40C6">
        <w:rPr>
          <w:lang w:eastAsia="ja-JP"/>
        </w:rPr>
        <w:t xml:space="preserve"> estimate 77.1%) had a complete response at 6 months</w:t>
      </w:r>
      <w:r>
        <w:rPr>
          <w:lang w:eastAsia="ja-JP"/>
        </w:rPr>
        <w:t xml:space="preserve"> or more</w:t>
      </w:r>
      <w:r w:rsidR="00EE40C6">
        <w:rPr>
          <w:lang w:eastAsia="ja-JP"/>
        </w:rPr>
        <w:t>, and 18% (49%</w:t>
      </w:r>
      <w:r w:rsidR="00EE40C6" w:rsidRPr="00090B5C">
        <w:rPr>
          <w:lang w:eastAsia="ja-JP"/>
        </w:rPr>
        <w:t xml:space="preserve"> </w:t>
      </w:r>
      <w:r w:rsidR="00EE40C6">
        <w:rPr>
          <w:lang w:eastAsia="ja-JP"/>
        </w:rPr>
        <w:t xml:space="preserve">of complete responders, </w:t>
      </w:r>
      <w:r>
        <w:rPr>
          <w:lang w:eastAsia="ja-JP"/>
        </w:rPr>
        <w:t xml:space="preserve">Kaplan-Meier </w:t>
      </w:r>
      <w:r w:rsidR="00EE40C6">
        <w:rPr>
          <w:lang w:eastAsia="ja-JP"/>
        </w:rPr>
        <w:t>estimate 57.</w:t>
      </w:r>
      <w:r>
        <w:rPr>
          <w:lang w:eastAsia="ja-JP"/>
        </w:rPr>
        <w:t>2%) had a complete response at</w:t>
      </w:r>
      <w:r w:rsidR="00EE40C6">
        <w:rPr>
          <w:lang w:eastAsia="ja-JP"/>
        </w:rPr>
        <w:t xml:space="preserve"> 12 months </w:t>
      </w:r>
      <w:r>
        <w:rPr>
          <w:lang w:eastAsia="ja-JP"/>
        </w:rPr>
        <w:t xml:space="preserve">or more </w:t>
      </w:r>
      <w:r w:rsidR="00EE40C6">
        <w:rPr>
          <w:lang w:eastAsia="ja-JP"/>
        </w:rPr>
        <w:t>after the initial response.</w:t>
      </w:r>
    </w:p>
    <w:p w14:paraId="1F0B300D" w14:textId="268DDE8B" w:rsidR="00EE40C6" w:rsidRDefault="00EE40C6" w:rsidP="00EE40C6">
      <w:pPr>
        <w:rPr>
          <w:lang w:eastAsia="ja-JP"/>
        </w:rPr>
      </w:pPr>
      <w:r w:rsidRPr="7E598CB7">
        <w:rPr>
          <w:lang w:eastAsia="ja-JP"/>
        </w:rPr>
        <w:t xml:space="preserve">Of the 32 patients who had a </w:t>
      </w:r>
      <w:r w:rsidR="004A7AEC" w:rsidRPr="7E598CB7">
        <w:rPr>
          <w:lang w:eastAsia="ja-JP"/>
        </w:rPr>
        <w:t>complete response</w:t>
      </w:r>
      <w:r w:rsidRPr="7E598CB7">
        <w:rPr>
          <w:lang w:eastAsia="ja-JP"/>
        </w:rPr>
        <w:t xml:space="preserve"> but were no longer responding 43.8% underwent cystectomy (most as their next treatment) and 40.6% received subsequent therapy or underwent another procedure</w:t>
      </w:r>
      <w:r w:rsidR="004A7AEC" w:rsidRPr="7E598CB7">
        <w:rPr>
          <w:lang w:eastAsia="ja-JP"/>
        </w:rPr>
        <w:t xml:space="preserve"> (for example, </w:t>
      </w:r>
      <w:r w:rsidRPr="7E598CB7">
        <w:rPr>
          <w:lang w:eastAsia="ja-JP"/>
        </w:rPr>
        <w:t xml:space="preserve">TURBT). Of the 88 patients who never had a </w:t>
      </w:r>
      <w:r w:rsidR="004A7AEC" w:rsidRPr="7E598CB7">
        <w:rPr>
          <w:lang w:eastAsia="ja-JP"/>
        </w:rPr>
        <w:t>complete response</w:t>
      </w:r>
      <w:r w:rsidRPr="7E598CB7">
        <w:rPr>
          <w:lang w:eastAsia="ja-JP"/>
        </w:rPr>
        <w:t>, 45.5% underwent cystectomy after discontinuation (</w:t>
      </w:r>
      <w:r w:rsidRPr="00FB0F4A">
        <w:rPr>
          <w:lang w:eastAsia="ja-JP"/>
        </w:rPr>
        <w:t>72.5% as the next treatment</w:t>
      </w:r>
      <w:r w:rsidRPr="7E598CB7">
        <w:rPr>
          <w:lang w:eastAsia="ja-JP"/>
        </w:rPr>
        <w:t xml:space="preserve">) and 53.4% received subsequent therapy or another procedure. </w:t>
      </w:r>
      <w:r w:rsidRPr="00FB0F4A">
        <w:rPr>
          <w:lang w:eastAsia="ja-JP"/>
        </w:rPr>
        <w:t>The median time to the subsequent therapy or procedure treatment was similar in the responders or not responders</w:t>
      </w:r>
      <w:r w:rsidRPr="7E598CB7">
        <w:rPr>
          <w:lang w:eastAsia="ja-JP"/>
        </w:rPr>
        <w:t xml:space="preserve">. The median time to cystectomy from last dose of pembrolizumab for those who had a </w:t>
      </w:r>
      <w:r w:rsidR="004A7AEC" w:rsidRPr="7E598CB7">
        <w:rPr>
          <w:lang w:eastAsia="ja-JP"/>
        </w:rPr>
        <w:t>complete response</w:t>
      </w:r>
      <w:r w:rsidRPr="7E598CB7">
        <w:rPr>
          <w:lang w:eastAsia="ja-JP"/>
        </w:rPr>
        <w:t xml:space="preserve"> and were no longer responding was </w:t>
      </w:r>
      <w:r w:rsidR="004A7AEC" w:rsidRPr="7E598CB7">
        <w:rPr>
          <w:lang w:eastAsia="ja-JP"/>
        </w:rPr>
        <w:t>4.2 months (</w:t>
      </w:r>
      <w:r w:rsidRPr="7E598CB7">
        <w:rPr>
          <w:lang w:eastAsia="ja-JP"/>
        </w:rPr>
        <w:t>range:</w:t>
      </w:r>
      <w:r w:rsidR="004A7AEC" w:rsidRPr="7E598CB7">
        <w:rPr>
          <w:lang w:eastAsia="ja-JP"/>
        </w:rPr>
        <w:t xml:space="preserve"> 1.4 to 28.3)</w:t>
      </w:r>
      <w:r w:rsidRPr="7E598CB7">
        <w:rPr>
          <w:lang w:eastAsia="ja-JP"/>
        </w:rPr>
        <w:t xml:space="preserve"> compared with those who never had a </w:t>
      </w:r>
      <w:r w:rsidR="004A7AEC" w:rsidRPr="7E598CB7">
        <w:rPr>
          <w:lang w:eastAsia="ja-JP"/>
        </w:rPr>
        <w:t xml:space="preserve">complete </w:t>
      </w:r>
      <w:r w:rsidR="00B72B9A" w:rsidRPr="7E598CB7">
        <w:rPr>
          <w:lang w:eastAsia="ja-JP"/>
        </w:rPr>
        <w:t>response</w:t>
      </w:r>
      <w:r w:rsidR="004A7AEC" w:rsidRPr="7E598CB7">
        <w:rPr>
          <w:lang w:eastAsia="ja-JP"/>
        </w:rPr>
        <w:t xml:space="preserve"> (3.1 months (</w:t>
      </w:r>
      <w:r w:rsidRPr="7E598CB7">
        <w:rPr>
          <w:lang w:eastAsia="ja-JP"/>
        </w:rPr>
        <w:t xml:space="preserve">range: 1.4 to </w:t>
      </w:r>
      <w:r w:rsidR="004A7AEC" w:rsidRPr="7E598CB7">
        <w:rPr>
          <w:lang w:eastAsia="ja-JP"/>
        </w:rPr>
        <w:t>26.9)</w:t>
      </w:r>
      <w:r w:rsidRPr="7E598CB7">
        <w:rPr>
          <w:lang w:eastAsia="ja-JP"/>
        </w:rPr>
        <w:t>).</w:t>
      </w:r>
    </w:p>
    <w:p w14:paraId="0B3F1B86" w14:textId="165B02FC" w:rsidR="00EE40C6" w:rsidRDefault="00EE40C6" w:rsidP="00EE40C6">
      <w:pPr>
        <w:pStyle w:val="Heading4"/>
      </w:pPr>
      <w:bookmarkStart w:id="72" w:name="_Toc137117843"/>
      <w:r w:rsidRPr="00AA53F4">
        <w:t>Safety</w:t>
      </w:r>
      <w:bookmarkEnd w:id="72"/>
    </w:p>
    <w:p w14:paraId="3C8E3631" w14:textId="1183356E" w:rsidR="00FA0346" w:rsidRPr="00FA0346" w:rsidRDefault="00FA0346" w:rsidP="00FA0346">
      <w:pPr>
        <w:pStyle w:val="Heading5"/>
      </w:pPr>
      <w:bookmarkStart w:id="73" w:name="_Ref130533836"/>
      <w:r>
        <w:t>Exposure</w:t>
      </w:r>
      <w:bookmarkEnd w:id="73"/>
    </w:p>
    <w:p w14:paraId="0F0F8B05" w14:textId="6B954383" w:rsidR="00EE40C6" w:rsidRDefault="00EE40C6" w:rsidP="00EE40C6">
      <w:pPr>
        <w:rPr>
          <w:lang w:eastAsia="ja-JP"/>
        </w:rPr>
      </w:pPr>
      <w:r>
        <w:rPr>
          <w:lang w:eastAsia="ja-JP"/>
        </w:rPr>
        <w:t xml:space="preserve">The sponsor presented safety data from </w:t>
      </w:r>
      <w:r w:rsidR="004A7AEC">
        <w:rPr>
          <w:lang w:eastAsia="ja-JP"/>
        </w:rPr>
        <w:t>the Keynote-057 trial,</w:t>
      </w:r>
      <w:r>
        <w:rPr>
          <w:lang w:eastAsia="ja-JP"/>
        </w:rPr>
        <w:t xml:space="preserve"> and a comparison with other pembrolizumab safety data sets including pooled bladder</w:t>
      </w:r>
      <w:r w:rsidR="004A7AEC">
        <w:rPr>
          <w:lang w:eastAsia="ja-JP"/>
        </w:rPr>
        <w:t xml:space="preserve"> cancer</w:t>
      </w:r>
      <w:r>
        <w:rPr>
          <w:lang w:eastAsia="ja-JP"/>
        </w:rPr>
        <w:t xml:space="preserve"> studies</w:t>
      </w:r>
      <w:r w:rsidR="00407BDB" w:rsidRPr="004973E1">
        <w:rPr>
          <w:lang w:eastAsia="ja-JP"/>
        </w:rPr>
        <w:t>;</w:t>
      </w:r>
      <w:r w:rsidR="004A7AEC" w:rsidRPr="004973E1">
        <w:rPr>
          <w:lang w:eastAsia="ja-JP"/>
        </w:rPr>
        <w:t xml:space="preserve"> the Keynote</w:t>
      </w:r>
      <w:r w:rsidRPr="004973E1">
        <w:rPr>
          <w:lang w:eastAsia="ja-JP"/>
        </w:rPr>
        <w:t xml:space="preserve">-045 and </w:t>
      </w:r>
      <w:r w:rsidR="004A7AEC" w:rsidRPr="004973E1">
        <w:rPr>
          <w:lang w:eastAsia="ja-JP"/>
        </w:rPr>
        <w:t>Keynote</w:t>
      </w:r>
      <w:r w:rsidR="004A7AEC" w:rsidRPr="004973E1">
        <w:rPr>
          <w:lang w:eastAsia="ja-JP"/>
        </w:rPr>
        <w:noBreakHyphen/>
      </w:r>
      <w:r w:rsidRPr="004973E1">
        <w:rPr>
          <w:lang w:eastAsia="ja-JP"/>
        </w:rPr>
        <w:t>052</w:t>
      </w:r>
      <w:r w:rsidR="004A7AEC" w:rsidRPr="004973E1">
        <w:rPr>
          <w:lang w:eastAsia="ja-JP"/>
        </w:rPr>
        <w:t xml:space="preserve"> trials</w:t>
      </w:r>
      <w:r w:rsidR="00407BDB">
        <w:rPr>
          <w:lang w:eastAsia="ja-JP"/>
        </w:rPr>
        <w:t xml:space="preserve"> in advanced bladder cancer;</w:t>
      </w:r>
      <w:r>
        <w:rPr>
          <w:lang w:eastAsia="ja-JP"/>
        </w:rPr>
        <w:t xml:space="preserve"> a reference safety data set from studies</w:t>
      </w:r>
      <w:r w:rsidR="00407BDB">
        <w:rPr>
          <w:lang w:eastAsia="ja-JP"/>
        </w:rPr>
        <w:t>;</w:t>
      </w:r>
      <w:r w:rsidR="00407BDB">
        <w:rPr>
          <w:rStyle w:val="FootnoteReference"/>
          <w:lang w:eastAsia="ja-JP"/>
        </w:rPr>
        <w:footnoteReference w:id="33"/>
      </w:r>
      <w:r>
        <w:rPr>
          <w:lang w:eastAsia="ja-JP"/>
        </w:rPr>
        <w:t xml:space="preserve"> and a </w:t>
      </w:r>
      <w:r>
        <w:rPr>
          <w:lang w:eastAsia="ja-JP"/>
        </w:rPr>
        <w:lastRenderedPageBreak/>
        <w:t>running cumulative safety data set</w:t>
      </w:r>
      <w:r w:rsidR="004376D1">
        <w:rPr>
          <w:lang w:eastAsia="ja-JP"/>
        </w:rPr>
        <w:t>;</w:t>
      </w:r>
      <w:r w:rsidR="004376D1">
        <w:rPr>
          <w:rStyle w:val="FootnoteReference"/>
          <w:lang w:eastAsia="ja-JP"/>
        </w:rPr>
        <w:footnoteReference w:id="34"/>
      </w:r>
      <w:r>
        <w:rPr>
          <w:lang w:eastAsia="ja-JP"/>
        </w:rPr>
        <w:t xml:space="preserve"> comprising 7,599 patients fro</w:t>
      </w:r>
      <w:r w:rsidR="009B102B">
        <w:rPr>
          <w:lang w:eastAsia="ja-JP"/>
        </w:rPr>
        <w:t>m completed and ongoing studies</w:t>
      </w:r>
      <w:r>
        <w:rPr>
          <w:lang w:eastAsia="ja-JP"/>
        </w:rPr>
        <w:t xml:space="preserve"> were presented s</w:t>
      </w:r>
      <w:r w:rsidR="00FA0346">
        <w:rPr>
          <w:lang w:eastAsia="ja-JP"/>
        </w:rPr>
        <w:t>eparately.</w:t>
      </w:r>
    </w:p>
    <w:p w14:paraId="62550027" w14:textId="7D8A44F0" w:rsidR="00EE40C6" w:rsidRPr="002D00CC" w:rsidRDefault="00EE40C6" w:rsidP="00EE40C6">
      <w:pPr>
        <w:rPr>
          <w:highlight w:val="yellow"/>
          <w:lang w:eastAsia="ja-JP"/>
        </w:rPr>
      </w:pPr>
      <w:r>
        <w:rPr>
          <w:lang w:eastAsia="ja-JP"/>
        </w:rPr>
        <w:t xml:space="preserve">In the whole of </w:t>
      </w:r>
      <w:r w:rsidR="004A7AEC">
        <w:rPr>
          <w:lang w:eastAsia="ja-JP"/>
        </w:rPr>
        <w:t>Keynote-057 trial,</w:t>
      </w:r>
      <w:r>
        <w:rPr>
          <w:lang w:eastAsia="ja-JP"/>
        </w:rPr>
        <w:t xml:space="preserve"> at the May 2019 cut-off 148 patients received pembrolizu</w:t>
      </w:r>
      <w:r w:rsidR="006740BE">
        <w:rPr>
          <w:lang w:eastAsia="ja-JP"/>
        </w:rPr>
        <w:t>mab for a median of 4.3 months.</w:t>
      </w:r>
    </w:p>
    <w:p w14:paraId="01D2BECA" w14:textId="235234C0" w:rsidR="00002D98" w:rsidRDefault="00EE40C6">
      <w:pPr>
        <w:rPr>
          <w:lang w:eastAsia="ja-JP"/>
        </w:rPr>
      </w:pPr>
      <w:r w:rsidRPr="004A7AEC">
        <w:rPr>
          <w:lang w:eastAsia="ja-JP"/>
        </w:rPr>
        <w:t>At the May 2020 update,</w:t>
      </w:r>
      <w:r w:rsidRPr="003F5723">
        <w:rPr>
          <w:lang w:eastAsia="ja-JP"/>
        </w:rPr>
        <w:t xml:space="preserve"> data from a total of 254 patients of whom 139 patients were from Cohort A.</w:t>
      </w:r>
      <w:r>
        <w:rPr>
          <w:lang w:eastAsia="ja-JP"/>
        </w:rPr>
        <w:t xml:space="preserve"> At the data cut</w:t>
      </w:r>
      <w:r w:rsidR="009B102B">
        <w:rPr>
          <w:lang w:eastAsia="ja-JP"/>
        </w:rPr>
        <w:t>-off,</w:t>
      </w:r>
      <w:r>
        <w:rPr>
          <w:lang w:eastAsia="ja-JP"/>
        </w:rPr>
        <w:t xml:space="preserve"> 118 patients were continuing in the trial, but pembrolizumab had been discontinued in 126 (90.6%) and 9 had completed the study course. Persistent disease (38.8%) and progressive disease (30.9%) were the most common causes of study treatment discontinuation.</w:t>
      </w:r>
    </w:p>
    <w:p w14:paraId="10D70F47" w14:textId="54B0BF1F" w:rsidR="00FA0346" w:rsidRDefault="00FA0346" w:rsidP="00FA0346">
      <w:pPr>
        <w:pStyle w:val="Heading5"/>
        <w:rPr>
          <w:lang w:eastAsia="ja-JP"/>
        </w:rPr>
      </w:pPr>
      <w:r>
        <w:rPr>
          <w:lang w:eastAsia="ja-JP"/>
        </w:rPr>
        <w:t>Adverse events</w:t>
      </w:r>
    </w:p>
    <w:p w14:paraId="2F3FAE89" w14:textId="4F1B09EA" w:rsidR="00EE40C6" w:rsidRDefault="00EE40C6" w:rsidP="00EE40C6">
      <w:pPr>
        <w:rPr>
          <w:lang w:eastAsia="ja-JP"/>
        </w:rPr>
      </w:pPr>
      <w:r>
        <w:rPr>
          <w:lang w:eastAsia="ja-JP"/>
        </w:rPr>
        <w:t xml:space="preserve">Results for Cohort A </w:t>
      </w:r>
      <w:r w:rsidR="00002D98">
        <w:rPr>
          <w:lang w:eastAsia="ja-JP"/>
        </w:rPr>
        <w:t xml:space="preserve">of the Keynote-057 trial </w:t>
      </w:r>
      <w:r>
        <w:rPr>
          <w:lang w:eastAsia="ja-JP"/>
        </w:rPr>
        <w:t>are presented below</w:t>
      </w:r>
      <w:r w:rsidR="00012F22">
        <w:rPr>
          <w:lang w:eastAsia="ja-JP"/>
        </w:rPr>
        <w:t xml:space="preserve"> in Table 10</w:t>
      </w:r>
      <w:r>
        <w:rPr>
          <w:lang w:eastAsia="ja-JP"/>
        </w:rPr>
        <w:t>.</w:t>
      </w:r>
    </w:p>
    <w:p w14:paraId="48783ABD" w14:textId="10F367B0" w:rsidR="004A7AEC" w:rsidRDefault="004A7AEC" w:rsidP="006740BE">
      <w:pPr>
        <w:pStyle w:val="TableTitle0"/>
      </w:pPr>
      <w:r>
        <w:t xml:space="preserve">Table </w:t>
      </w:r>
      <w:r w:rsidR="00B82441">
        <w:fldChar w:fldCharType="begin"/>
      </w:r>
      <w:r w:rsidR="00B82441">
        <w:instrText xml:space="preserve"> SEQ Table \* ARABIC </w:instrText>
      </w:r>
      <w:r w:rsidR="00B82441">
        <w:fldChar w:fldCharType="separate"/>
      </w:r>
      <w:r w:rsidR="007F791A">
        <w:rPr>
          <w:noProof/>
        </w:rPr>
        <w:t>10</w:t>
      </w:r>
      <w:r w:rsidR="00B82441">
        <w:rPr>
          <w:noProof/>
        </w:rPr>
        <w:fldChar w:fldCharType="end"/>
      </w:r>
      <w:r w:rsidR="004376D1">
        <w:t>: Keynote-057 trial; summary of safety findings</w:t>
      </w:r>
    </w:p>
    <w:tbl>
      <w:tblPr>
        <w:tblStyle w:val="TableTGAblue2023"/>
        <w:tblW w:w="0" w:type="auto"/>
        <w:tblLook w:val="0620" w:firstRow="1" w:lastRow="0" w:firstColumn="0" w:lastColumn="0" w:noHBand="1" w:noVBand="1"/>
      </w:tblPr>
      <w:tblGrid>
        <w:gridCol w:w="4888"/>
        <w:gridCol w:w="1818"/>
      </w:tblGrid>
      <w:tr w:rsidR="00EE40C6" w:rsidRPr="0004499B" w14:paraId="688A1E8C" w14:textId="77777777" w:rsidTr="00011226">
        <w:trPr>
          <w:cnfStyle w:val="100000000000" w:firstRow="1" w:lastRow="0" w:firstColumn="0" w:lastColumn="0" w:oddVBand="0" w:evenVBand="0" w:oddHBand="0" w:evenHBand="0" w:firstRowFirstColumn="0" w:firstRowLastColumn="0" w:lastRowFirstColumn="0" w:lastRowLastColumn="0"/>
        </w:trPr>
        <w:tc>
          <w:tcPr>
            <w:tcW w:w="0" w:type="auto"/>
            <w:shd w:val="clear" w:color="auto" w:fill="2E74B5" w:themeFill="accent5" w:themeFillShade="BF"/>
            <w:vAlign w:val="center"/>
          </w:tcPr>
          <w:p w14:paraId="391784BA" w14:textId="6E3533BF" w:rsidR="00EE40C6" w:rsidRPr="00002D98" w:rsidRDefault="0004499B" w:rsidP="00011226">
            <w:pPr>
              <w:ind w:left="0"/>
              <w:jc w:val="center"/>
              <w:rPr>
                <w:color w:val="FFFFFF" w:themeColor="background1"/>
                <w:sz w:val="20"/>
              </w:rPr>
            </w:pPr>
            <w:r w:rsidRPr="00002D98">
              <w:rPr>
                <w:color w:val="FFFFFF" w:themeColor="background1"/>
                <w:sz w:val="20"/>
              </w:rPr>
              <w:t>Safety findings</w:t>
            </w:r>
          </w:p>
        </w:tc>
        <w:tc>
          <w:tcPr>
            <w:tcW w:w="0" w:type="dxa"/>
            <w:shd w:val="clear" w:color="auto" w:fill="2E74B5" w:themeFill="accent5" w:themeFillShade="BF"/>
          </w:tcPr>
          <w:p w14:paraId="305C85EA" w14:textId="04836791" w:rsidR="00EE40C6" w:rsidRPr="00002D98" w:rsidRDefault="00EE40C6" w:rsidP="004A7AEC">
            <w:pPr>
              <w:ind w:left="0"/>
              <w:jc w:val="center"/>
              <w:rPr>
                <w:color w:val="FFFFFF" w:themeColor="background1"/>
                <w:sz w:val="20"/>
              </w:rPr>
            </w:pPr>
            <w:r w:rsidRPr="00002D98">
              <w:rPr>
                <w:color w:val="FFFFFF" w:themeColor="background1"/>
                <w:sz w:val="20"/>
              </w:rPr>
              <w:t>n (%)</w:t>
            </w:r>
          </w:p>
        </w:tc>
      </w:tr>
      <w:tr w:rsidR="00EE40C6" w:rsidRPr="0004499B" w14:paraId="55EE6F8E" w14:textId="77777777" w:rsidTr="00002D98">
        <w:tc>
          <w:tcPr>
            <w:tcW w:w="0" w:type="auto"/>
          </w:tcPr>
          <w:p w14:paraId="15C2D813" w14:textId="4588B4D2" w:rsidR="00EE40C6" w:rsidRPr="004A7AEC" w:rsidRDefault="00002D98" w:rsidP="00002D98">
            <w:pPr>
              <w:ind w:left="0"/>
              <w:jc w:val="right"/>
              <w:rPr>
                <w:sz w:val="20"/>
              </w:rPr>
            </w:pPr>
            <w:r>
              <w:rPr>
                <w:sz w:val="20"/>
              </w:rPr>
              <w:t>Cohort A (number of subjects)</w:t>
            </w:r>
            <w:r w:rsidR="004A7AEC" w:rsidRPr="004A7AEC">
              <w:rPr>
                <w:sz w:val="20"/>
              </w:rPr>
              <w:t>:</w:t>
            </w:r>
          </w:p>
        </w:tc>
        <w:tc>
          <w:tcPr>
            <w:tcW w:w="1818" w:type="dxa"/>
          </w:tcPr>
          <w:p w14:paraId="6EE80400" w14:textId="77777777" w:rsidR="00EE40C6" w:rsidRPr="004A7AEC" w:rsidRDefault="00EE40C6" w:rsidP="004A7AEC">
            <w:pPr>
              <w:ind w:left="0"/>
              <w:jc w:val="center"/>
              <w:rPr>
                <w:sz w:val="20"/>
              </w:rPr>
            </w:pPr>
            <w:r w:rsidRPr="004A7AEC">
              <w:rPr>
                <w:sz w:val="20"/>
              </w:rPr>
              <w:t>139</w:t>
            </w:r>
          </w:p>
        </w:tc>
      </w:tr>
      <w:tr w:rsidR="00EE40C6" w:rsidRPr="0004499B" w14:paraId="46A01439" w14:textId="77777777" w:rsidTr="00002D98">
        <w:trPr>
          <w:trHeight w:val="6307"/>
        </w:trPr>
        <w:tc>
          <w:tcPr>
            <w:tcW w:w="0" w:type="auto"/>
          </w:tcPr>
          <w:p w14:paraId="27B7EFE4" w14:textId="3AFA804C" w:rsidR="00002D98" w:rsidRDefault="00002D98" w:rsidP="004A7AEC">
            <w:pPr>
              <w:spacing w:before="240"/>
              <w:ind w:left="0"/>
              <w:jc w:val="right"/>
              <w:rPr>
                <w:sz w:val="20"/>
              </w:rPr>
            </w:pPr>
            <w:r>
              <w:rPr>
                <w:sz w:val="20"/>
              </w:rPr>
              <w:t>Number (proportion) of subjects with:</w:t>
            </w:r>
          </w:p>
          <w:p w14:paraId="373A88A8" w14:textId="6BA4AE19" w:rsidR="00EE40C6" w:rsidRPr="004A7AEC" w:rsidRDefault="00EE40C6" w:rsidP="004A7AEC">
            <w:pPr>
              <w:spacing w:before="240"/>
              <w:ind w:left="0"/>
              <w:jc w:val="right"/>
              <w:rPr>
                <w:sz w:val="20"/>
              </w:rPr>
            </w:pPr>
            <w:r w:rsidRPr="004A7AEC">
              <w:rPr>
                <w:sz w:val="20"/>
              </w:rPr>
              <w:t xml:space="preserve">with one or more </w:t>
            </w:r>
            <w:r w:rsidR="004A7AEC">
              <w:rPr>
                <w:sz w:val="20"/>
              </w:rPr>
              <w:t>adverse events</w:t>
            </w:r>
          </w:p>
          <w:p w14:paraId="5B99685A" w14:textId="1BCCFF41" w:rsidR="00EE40C6" w:rsidRPr="004A7AEC" w:rsidRDefault="00EE40C6" w:rsidP="004A7AEC">
            <w:pPr>
              <w:spacing w:before="240"/>
              <w:ind w:left="0"/>
              <w:jc w:val="right"/>
              <w:rPr>
                <w:sz w:val="20"/>
              </w:rPr>
            </w:pPr>
            <w:r w:rsidRPr="004A7AEC">
              <w:rPr>
                <w:sz w:val="20"/>
              </w:rPr>
              <w:t xml:space="preserve">with no </w:t>
            </w:r>
            <w:r w:rsidR="004A7AEC">
              <w:rPr>
                <w:sz w:val="20"/>
              </w:rPr>
              <w:t>adverse events</w:t>
            </w:r>
          </w:p>
          <w:p w14:paraId="27451DF0" w14:textId="1D15ABDA" w:rsidR="00EE40C6" w:rsidRPr="004A7AEC" w:rsidRDefault="00EE40C6" w:rsidP="004A7AEC">
            <w:pPr>
              <w:spacing w:before="240"/>
              <w:ind w:left="0"/>
              <w:jc w:val="right"/>
              <w:rPr>
                <w:sz w:val="20"/>
              </w:rPr>
            </w:pPr>
            <w:r w:rsidRPr="004A7AEC">
              <w:rPr>
                <w:sz w:val="20"/>
              </w:rPr>
              <w:t xml:space="preserve">with drug-related </w:t>
            </w:r>
            <w:r w:rsidR="004A7AEC">
              <w:rPr>
                <w:sz w:val="20"/>
              </w:rPr>
              <w:t>adverse events</w:t>
            </w:r>
          </w:p>
          <w:p w14:paraId="219A407A" w14:textId="23BE64B8" w:rsidR="00EE40C6" w:rsidRPr="004A7AEC" w:rsidRDefault="00EE40C6" w:rsidP="004A7AEC">
            <w:pPr>
              <w:spacing w:before="240"/>
              <w:ind w:left="0"/>
              <w:jc w:val="right"/>
              <w:rPr>
                <w:sz w:val="20"/>
              </w:rPr>
            </w:pPr>
            <w:r w:rsidRPr="004A7AEC">
              <w:rPr>
                <w:sz w:val="20"/>
              </w:rPr>
              <w:t xml:space="preserve">with </w:t>
            </w:r>
            <w:r w:rsidR="004A7AEC">
              <w:rPr>
                <w:sz w:val="20"/>
              </w:rPr>
              <w:t>G</w:t>
            </w:r>
            <w:r w:rsidRPr="004A7AEC">
              <w:rPr>
                <w:sz w:val="20"/>
              </w:rPr>
              <w:t>rade 3</w:t>
            </w:r>
            <w:r w:rsidR="00012F22">
              <w:rPr>
                <w:sz w:val="20"/>
              </w:rPr>
              <w:t xml:space="preserve"> to </w:t>
            </w:r>
            <w:r w:rsidRPr="004A7AEC">
              <w:rPr>
                <w:sz w:val="20"/>
              </w:rPr>
              <w:t xml:space="preserve">5 </w:t>
            </w:r>
            <w:r w:rsidR="004A7AEC">
              <w:rPr>
                <w:sz w:val="20"/>
              </w:rPr>
              <w:t>adverse events</w:t>
            </w:r>
          </w:p>
          <w:p w14:paraId="35A85C51" w14:textId="5A2ABECF" w:rsidR="00EE40C6" w:rsidRPr="004A7AEC" w:rsidRDefault="004A7AEC" w:rsidP="004A7AEC">
            <w:pPr>
              <w:spacing w:before="240"/>
              <w:ind w:left="0"/>
              <w:jc w:val="right"/>
              <w:rPr>
                <w:sz w:val="20"/>
              </w:rPr>
            </w:pPr>
            <w:r>
              <w:rPr>
                <w:sz w:val="20"/>
              </w:rPr>
              <w:t>with G</w:t>
            </w:r>
            <w:r w:rsidR="00EE40C6" w:rsidRPr="004A7AEC">
              <w:rPr>
                <w:sz w:val="20"/>
              </w:rPr>
              <w:t>rade 3</w:t>
            </w:r>
            <w:r w:rsidR="00012F22">
              <w:rPr>
                <w:sz w:val="20"/>
              </w:rPr>
              <w:t xml:space="preserve"> to </w:t>
            </w:r>
            <w:r w:rsidR="00EE40C6" w:rsidRPr="004A7AEC">
              <w:rPr>
                <w:sz w:val="20"/>
              </w:rPr>
              <w:t xml:space="preserve">5 drug-related </w:t>
            </w:r>
            <w:r>
              <w:rPr>
                <w:sz w:val="20"/>
              </w:rPr>
              <w:t>adverse events</w:t>
            </w:r>
          </w:p>
          <w:p w14:paraId="16EA5AA8" w14:textId="2875F358" w:rsidR="00EE40C6" w:rsidRPr="004A7AEC" w:rsidRDefault="00EE40C6" w:rsidP="004A7AEC">
            <w:pPr>
              <w:spacing w:before="240"/>
              <w:ind w:left="0"/>
              <w:jc w:val="right"/>
              <w:rPr>
                <w:sz w:val="20"/>
              </w:rPr>
            </w:pPr>
            <w:r w:rsidRPr="004A7AEC">
              <w:rPr>
                <w:sz w:val="20"/>
              </w:rPr>
              <w:t xml:space="preserve">with </w:t>
            </w:r>
            <w:r w:rsidR="004A7AEC">
              <w:rPr>
                <w:sz w:val="20"/>
              </w:rPr>
              <w:t>serious adverse events</w:t>
            </w:r>
          </w:p>
          <w:p w14:paraId="37A4A098" w14:textId="5BA55D6D" w:rsidR="00EE40C6" w:rsidRPr="004A7AEC" w:rsidRDefault="00EE40C6" w:rsidP="004A7AEC">
            <w:pPr>
              <w:spacing w:before="240"/>
              <w:ind w:left="0"/>
              <w:jc w:val="right"/>
              <w:rPr>
                <w:sz w:val="20"/>
              </w:rPr>
            </w:pPr>
            <w:r w:rsidRPr="004A7AEC">
              <w:rPr>
                <w:sz w:val="20"/>
              </w:rPr>
              <w:t xml:space="preserve">with drug-related </w:t>
            </w:r>
            <w:r w:rsidR="004A7AEC">
              <w:rPr>
                <w:sz w:val="20"/>
              </w:rPr>
              <w:t>serious adverse events</w:t>
            </w:r>
          </w:p>
          <w:p w14:paraId="41B1BE96" w14:textId="77777777" w:rsidR="00EE40C6" w:rsidRPr="004A7AEC" w:rsidRDefault="00EE40C6" w:rsidP="004A7AEC">
            <w:pPr>
              <w:spacing w:before="240"/>
              <w:ind w:left="0"/>
              <w:jc w:val="right"/>
              <w:rPr>
                <w:sz w:val="20"/>
              </w:rPr>
            </w:pPr>
            <w:r w:rsidRPr="004A7AEC">
              <w:rPr>
                <w:sz w:val="20"/>
              </w:rPr>
              <w:t xml:space="preserve">who </w:t>
            </w:r>
            <w:proofErr w:type="gramStart"/>
            <w:r w:rsidRPr="004A7AEC">
              <w:rPr>
                <w:sz w:val="20"/>
              </w:rPr>
              <w:t>died</w:t>
            </w:r>
            <w:proofErr w:type="gramEnd"/>
          </w:p>
          <w:p w14:paraId="5AE95263" w14:textId="3EB7501C" w:rsidR="00EE40C6" w:rsidRPr="004A7AEC" w:rsidRDefault="00EE40C6" w:rsidP="004A7AEC">
            <w:pPr>
              <w:spacing w:before="240"/>
              <w:ind w:left="0"/>
              <w:jc w:val="right"/>
              <w:rPr>
                <w:sz w:val="20"/>
              </w:rPr>
            </w:pPr>
            <w:r w:rsidRPr="004A7AEC">
              <w:rPr>
                <w:sz w:val="20"/>
              </w:rPr>
              <w:t xml:space="preserve">who died due to a drug-related </w:t>
            </w:r>
            <w:r w:rsidR="004A7AEC">
              <w:rPr>
                <w:sz w:val="20"/>
              </w:rPr>
              <w:t xml:space="preserve">adverse </w:t>
            </w:r>
            <w:proofErr w:type="gramStart"/>
            <w:r w:rsidR="004A7AEC">
              <w:rPr>
                <w:sz w:val="20"/>
              </w:rPr>
              <w:t>events</w:t>
            </w:r>
            <w:proofErr w:type="gramEnd"/>
          </w:p>
          <w:p w14:paraId="440A8E42" w14:textId="30B68FEF" w:rsidR="00EE40C6" w:rsidRPr="004A7AEC" w:rsidRDefault="00EE40C6" w:rsidP="004A7AEC">
            <w:pPr>
              <w:spacing w:before="240"/>
              <w:ind w:left="0"/>
              <w:jc w:val="right"/>
              <w:rPr>
                <w:sz w:val="20"/>
              </w:rPr>
            </w:pPr>
            <w:r w:rsidRPr="004A7AEC">
              <w:rPr>
                <w:sz w:val="20"/>
              </w:rPr>
              <w:t xml:space="preserve">discontinued drug due to </w:t>
            </w:r>
            <w:r w:rsidR="004A7AEC">
              <w:rPr>
                <w:sz w:val="20"/>
              </w:rPr>
              <w:t>adverse events</w:t>
            </w:r>
          </w:p>
          <w:p w14:paraId="64006233" w14:textId="4447C404" w:rsidR="00EE40C6" w:rsidRPr="004A7AEC" w:rsidRDefault="00EE40C6" w:rsidP="004A7AEC">
            <w:pPr>
              <w:spacing w:before="240"/>
              <w:ind w:left="0"/>
              <w:jc w:val="right"/>
              <w:rPr>
                <w:sz w:val="20"/>
              </w:rPr>
            </w:pPr>
            <w:r w:rsidRPr="004A7AEC">
              <w:rPr>
                <w:sz w:val="20"/>
              </w:rPr>
              <w:t xml:space="preserve">discontinued drug due to drug-related </w:t>
            </w:r>
            <w:r w:rsidR="004A7AEC">
              <w:rPr>
                <w:sz w:val="20"/>
              </w:rPr>
              <w:t>adverse events</w:t>
            </w:r>
          </w:p>
          <w:p w14:paraId="7DC431C3" w14:textId="11EA06C9" w:rsidR="00EE40C6" w:rsidRPr="004A7AEC" w:rsidRDefault="00EE40C6" w:rsidP="004A7AEC">
            <w:pPr>
              <w:spacing w:before="240"/>
              <w:ind w:left="0"/>
              <w:jc w:val="right"/>
              <w:rPr>
                <w:sz w:val="20"/>
              </w:rPr>
            </w:pPr>
            <w:r w:rsidRPr="004A7AEC">
              <w:rPr>
                <w:sz w:val="20"/>
              </w:rPr>
              <w:t xml:space="preserve">discontinued drug due to </w:t>
            </w:r>
            <w:r w:rsidR="004A7AEC">
              <w:rPr>
                <w:sz w:val="20"/>
              </w:rPr>
              <w:t>serious adverse events</w:t>
            </w:r>
          </w:p>
          <w:p w14:paraId="6AB613FA" w14:textId="47238752" w:rsidR="00EE40C6" w:rsidRPr="004A7AEC" w:rsidRDefault="00EE40C6" w:rsidP="004A7AEC">
            <w:pPr>
              <w:spacing w:before="240"/>
              <w:ind w:left="0"/>
              <w:jc w:val="right"/>
              <w:rPr>
                <w:sz w:val="20"/>
              </w:rPr>
            </w:pPr>
            <w:r w:rsidRPr="004A7AEC">
              <w:rPr>
                <w:sz w:val="20"/>
              </w:rPr>
              <w:t xml:space="preserve">discontinued drug drug-related </w:t>
            </w:r>
            <w:r w:rsidR="004A7AEC">
              <w:rPr>
                <w:sz w:val="20"/>
              </w:rPr>
              <w:t>serious adverse events</w:t>
            </w:r>
          </w:p>
        </w:tc>
        <w:tc>
          <w:tcPr>
            <w:tcW w:w="1818" w:type="dxa"/>
          </w:tcPr>
          <w:p w14:paraId="7B1A0EDD" w14:textId="77777777" w:rsidR="00002D98" w:rsidRDefault="00002D98" w:rsidP="004A7AEC">
            <w:pPr>
              <w:spacing w:before="240"/>
              <w:ind w:left="0"/>
              <w:jc w:val="center"/>
              <w:rPr>
                <w:sz w:val="20"/>
              </w:rPr>
            </w:pPr>
          </w:p>
          <w:p w14:paraId="66294DB0" w14:textId="63923577" w:rsidR="00EE40C6" w:rsidRPr="004A7AEC" w:rsidRDefault="00EE40C6" w:rsidP="004A7AEC">
            <w:pPr>
              <w:spacing w:before="240"/>
              <w:ind w:left="0"/>
              <w:jc w:val="center"/>
              <w:rPr>
                <w:sz w:val="20"/>
              </w:rPr>
            </w:pPr>
            <w:r w:rsidRPr="004A7AEC">
              <w:rPr>
                <w:sz w:val="20"/>
              </w:rPr>
              <w:t>134 (96.4%)</w:t>
            </w:r>
          </w:p>
          <w:p w14:paraId="59963A0B" w14:textId="77777777" w:rsidR="00EE40C6" w:rsidRPr="004A7AEC" w:rsidRDefault="00EE40C6" w:rsidP="004A7AEC">
            <w:pPr>
              <w:spacing w:before="240"/>
              <w:ind w:left="0"/>
              <w:jc w:val="center"/>
              <w:rPr>
                <w:sz w:val="20"/>
              </w:rPr>
            </w:pPr>
            <w:r w:rsidRPr="004A7AEC">
              <w:rPr>
                <w:sz w:val="20"/>
              </w:rPr>
              <w:t>5 (3.6%)</w:t>
            </w:r>
          </w:p>
          <w:p w14:paraId="733DA16B" w14:textId="77777777" w:rsidR="00EE40C6" w:rsidRPr="004A7AEC" w:rsidRDefault="00EE40C6" w:rsidP="004A7AEC">
            <w:pPr>
              <w:spacing w:before="240"/>
              <w:ind w:left="0"/>
              <w:jc w:val="center"/>
              <w:rPr>
                <w:sz w:val="20"/>
              </w:rPr>
            </w:pPr>
            <w:r w:rsidRPr="004A7AEC">
              <w:rPr>
                <w:sz w:val="20"/>
              </w:rPr>
              <w:t>99 (71.2%)</w:t>
            </w:r>
          </w:p>
          <w:p w14:paraId="1E667584" w14:textId="77777777" w:rsidR="00EE40C6" w:rsidRPr="004A7AEC" w:rsidRDefault="00EE40C6" w:rsidP="004A7AEC">
            <w:pPr>
              <w:spacing w:before="240"/>
              <w:ind w:left="0"/>
              <w:jc w:val="center"/>
              <w:rPr>
                <w:sz w:val="20"/>
              </w:rPr>
            </w:pPr>
            <w:r w:rsidRPr="004A7AEC">
              <w:rPr>
                <w:sz w:val="20"/>
              </w:rPr>
              <w:t>43 (30.9%)</w:t>
            </w:r>
          </w:p>
          <w:p w14:paraId="5BB7154E" w14:textId="77777777" w:rsidR="00EE40C6" w:rsidRPr="004A7AEC" w:rsidRDefault="00EE40C6" w:rsidP="004A7AEC">
            <w:pPr>
              <w:spacing w:before="240"/>
              <w:ind w:left="0"/>
              <w:jc w:val="center"/>
              <w:rPr>
                <w:sz w:val="20"/>
              </w:rPr>
            </w:pPr>
            <w:r w:rsidRPr="004A7AEC">
              <w:rPr>
                <w:sz w:val="20"/>
              </w:rPr>
              <w:t>19 (13.7</w:t>
            </w:r>
            <w:proofErr w:type="gramStart"/>
            <w:r w:rsidRPr="004A7AEC">
              <w:rPr>
                <w:sz w:val="20"/>
              </w:rPr>
              <w:t>% )</w:t>
            </w:r>
            <w:proofErr w:type="gramEnd"/>
          </w:p>
          <w:p w14:paraId="19B92EB3" w14:textId="77777777" w:rsidR="00EE40C6" w:rsidRPr="004A7AEC" w:rsidRDefault="00EE40C6" w:rsidP="004A7AEC">
            <w:pPr>
              <w:spacing w:before="240"/>
              <w:ind w:left="0"/>
              <w:jc w:val="center"/>
              <w:rPr>
                <w:sz w:val="20"/>
              </w:rPr>
            </w:pPr>
            <w:r w:rsidRPr="004A7AEC">
              <w:rPr>
                <w:sz w:val="20"/>
              </w:rPr>
              <w:t>35 (25.2</w:t>
            </w:r>
            <w:proofErr w:type="gramStart"/>
            <w:r w:rsidRPr="004A7AEC">
              <w:rPr>
                <w:sz w:val="20"/>
              </w:rPr>
              <w:t>% )</w:t>
            </w:r>
            <w:proofErr w:type="gramEnd"/>
          </w:p>
          <w:p w14:paraId="704148F0" w14:textId="4D0ECF90" w:rsidR="00EE40C6" w:rsidRPr="004A7AEC" w:rsidRDefault="00EE40C6" w:rsidP="004A7AEC">
            <w:pPr>
              <w:spacing w:before="240"/>
              <w:ind w:left="0"/>
              <w:jc w:val="center"/>
              <w:rPr>
                <w:sz w:val="20"/>
              </w:rPr>
            </w:pPr>
            <w:r w:rsidRPr="004A7AEC">
              <w:rPr>
                <w:sz w:val="20"/>
              </w:rPr>
              <w:t>1</w:t>
            </w:r>
            <w:r w:rsidR="00CA3B17">
              <w:rPr>
                <w:sz w:val="20"/>
              </w:rPr>
              <w:t xml:space="preserve"> </w:t>
            </w:r>
            <w:r w:rsidRPr="004A7AEC">
              <w:rPr>
                <w:sz w:val="20"/>
              </w:rPr>
              <w:t>1 (7.9%)</w:t>
            </w:r>
          </w:p>
          <w:p w14:paraId="13981D12" w14:textId="77777777" w:rsidR="00EE40C6" w:rsidRPr="004A7AEC" w:rsidRDefault="00EE40C6" w:rsidP="004A7AEC">
            <w:pPr>
              <w:spacing w:before="240"/>
              <w:ind w:left="0"/>
              <w:jc w:val="center"/>
              <w:rPr>
                <w:sz w:val="20"/>
              </w:rPr>
            </w:pPr>
            <w:r w:rsidRPr="004A7AEC">
              <w:rPr>
                <w:sz w:val="20"/>
              </w:rPr>
              <w:t>6 (4.3%)</w:t>
            </w:r>
          </w:p>
          <w:p w14:paraId="4D9FF502" w14:textId="65843431" w:rsidR="00EE40C6" w:rsidRPr="004A7AEC" w:rsidRDefault="00EE40C6" w:rsidP="004A7AEC">
            <w:pPr>
              <w:spacing w:before="240"/>
              <w:ind w:left="0"/>
              <w:jc w:val="center"/>
              <w:rPr>
                <w:sz w:val="20"/>
              </w:rPr>
            </w:pPr>
            <w:r w:rsidRPr="004A7AEC">
              <w:rPr>
                <w:sz w:val="20"/>
              </w:rPr>
              <w:t>0</w:t>
            </w:r>
            <w:r w:rsidR="004A7AEC">
              <w:rPr>
                <w:sz w:val="20"/>
              </w:rPr>
              <w:t xml:space="preserve"> (0%)</w:t>
            </w:r>
          </w:p>
          <w:p w14:paraId="0C8733C8" w14:textId="77777777" w:rsidR="00EE40C6" w:rsidRPr="004A7AEC" w:rsidRDefault="00EE40C6" w:rsidP="004A7AEC">
            <w:pPr>
              <w:spacing w:before="240"/>
              <w:ind w:left="0"/>
              <w:jc w:val="center"/>
              <w:rPr>
                <w:sz w:val="20"/>
              </w:rPr>
            </w:pPr>
            <w:r w:rsidRPr="004A7AEC">
              <w:rPr>
                <w:sz w:val="20"/>
              </w:rPr>
              <w:t>14 (10.1%)</w:t>
            </w:r>
          </w:p>
          <w:p w14:paraId="39DA4245" w14:textId="6C7449CB" w:rsidR="00EE40C6" w:rsidRPr="004A7AEC" w:rsidRDefault="00002D98" w:rsidP="004A7AEC">
            <w:pPr>
              <w:spacing w:before="240"/>
              <w:ind w:left="0"/>
              <w:jc w:val="center"/>
              <w:rPr>
                <w:sz w:val="20"/>
              </w:rPr>
            </w:pPr>
            <w:r>
              <w:rPr>
                <w:sz w:val="20"/>
              </w:rPr>
              <w:t>1</w:t>
            </w:r>
            <w:r w:rsidR="00EE40C6" w:rsidRPr="004A7AEC">
              <w:rPr>
                <w:sz w:val="20"/>
              </w:rPr>
              <w:t>1 (7.9%)</w:t>
            </w:r>
          </w:p>
          <w:p w14:paraId="052D16E7" w14:textId="77777777" w:rsidR="00EE40C6" w:rsidRPr="004A7AEC" w:rsidRDefault="00EE40C6" w:rsidP="004A7AEC">
            <w:pPr>
              <w:spacing w:before="240"/>
              <w:ind w:left="0"/>
              <w:jc w:val="center"/>
              <w:rPr>
                <w:sz w:val="20"/>
              </w:rPr>
            </w:pPr>
            <w:r w:rsidRPr="004A7AEC">
              <w:rPr>
                <w:sz w:val="20"/>
              </w:rPr>
              <w:t>6 (4.3%)</w:t>
            </w:r>
          </w:p>
          <w:p w14:paraId="2DD45A7C" w14:textId="07A66729" w:rsidR="00EE40C6" w:rsidRPr="004A7AEC" w:rsidRDefault="00CA3B17" w:rsidP="004A7AEC">
            <w:pPr>
              <w:spacing w:before="240"/>
              <w:ind w:left="0"/>
              <w:jc w:val="center"/>
              <w:rPr>
                <w:sz w:val="20"/>
              </w:rPr>
            </w:pPr>
            <w:r>
              <w:rPr>
                <w:sz w:val="20"/>
              </w:rPr>
              <w:t xml:space="preserve">4 </w:t>
            </w:r>
            <w:r w:rsidR="00EE40C6" w:rsidRPr="004A7AEC">
              <w:rPr>
                <w:sz w:val="20"/>
              </w:rPr>
              <w:t>(2.9%)</w:t>
            </w:r>
          </w:p>
        </w:tc>
      </w:tr>
    </w:tbl>
    <w:p w14:paraId="43C3A33C" w14:textId="73C48369" w:rsidR="00012F22" w:rsidRDefault="00012F22" w:rsidP="00EE40C6">
      <w:pPr>
        <w:rPr>
          <w:lang w:eastAsia="ja-JP"/>
        </w:rPr>
      </w:pPr>
    </w:p>
    <w:p w14:paraId="0634ABFF" w14:textId="206CFE59" w:rsidR="00EE40C6" w:rsidRDefault="00012F22" w:rsidP="00EE40C6">
      <w:pPr>
        <w:rPr>
          <w:lang w:eastAsia="ja-JP"/>
        </w:rPr>
      </w:pPr>
      <w:r>
        <w:rPr>
          <w:lang w:eastAsia="ja-JP"/>
        </w:rPr>
        <w:br w:type="page"/>
      </w:r>
      <w:r w:rsidR="00EE40C6" w:rsidRPr="7E598CB7">
        <w:rPr>
          <w:lang w:eastAsia="ja-JP"/>
        </w:rPr>
        <w:lastRenderedPageBreak/>
        <w:t xml:space="preserve">The most common </w:t>
      </w:r>
      <w:r w:rsidR="0080617E">
        <w:t>adverse events</w:t>
      </w:r>
      <w:r w:rsidR="00EE40C6" w:rsidRPr="7E598CB7">
        <w:rPr>
          <w:lang w:eastAsia="ja-JP"/>
        </w:rPr>
        <w:t xml:space="preserve"> (</w:t>
      </w:r>
      <w:r w:rsidR="0080617E" w:rsidRPr="7E598CB7">
        <w:rPr>
          <w:lang w:eastAsia="ja-JP"/>
        </w:rPr>
        <w:t>occurring in at least</w:t>
      </w:r>
      <w:r w:rsidR="00EE40C6" w:rsidRPr="7E598CB7">
        <w:rPr>
          <w:lang w:eastAsia="ja-JP"/>
        </w:rPr>
        <w:t xml:space="preserve"> 15% patients) were pruritus (24.5%), fatigue (26.6%), diarrhoea (23.7%), haematuria (22.3%), cough (</w:t>
      </w:r>
      <w:r w:rsidR="000801F3">
        <w:rPr>
          <w:lang w:eastAsia="ja-JP"/>
        </w:rPr>
        <w:t>15.8%</w:t>
      </w:r>
      <w:r w:rsidR="00EE40C6" w:rsidRPr="7E598CB7">
        <w:rPr>
          <w:lang w:eastAsia="ja-JP"/>
        </w:rPr>
        <w:t>and nausea (15.1%). Grade 3 t</w:t>
      </w:r>
      <w:r w:rsidR="0080617E" w:rsidRPr="7E598CB7">
        <w:rPr>
          <w:lang w:eastAsia="ja-JP"/>
        </w:rPr>
        <w:t xml:space="preserve">o 5 events were most commonly (that is, in more than </w:t>
      </w:r>
      <w:r w:rsidR="00EE40C6" w:rsidRPr="7E598CB7">
        <w:rPr>
          <w:lang w:eastAsia="ja-JP"/>
        </w:rPr>
        <w:t xml:space="preserve">2%) pneumonia, hyperglycaemia and hyponatraemia. Five participants (3.6%) in Cohort </w:t>
      </w:r>
      <w:proofErr w:type="spellStart"/>
      <w:r w:rsidR="00EE40C6" w:rsidRPr="7E598CB7">
        <w:rPr>
          <w:lang w:eastAsia="ja-JP"/>
        </w:rPr>
        <w:t>A</w:t>
      </w:r>
      <w:proofErr w:type="spellEnd"/>
      <w:r w:rsidR="00EE40C6" w:rsidRPr="7E598CB7">
        <w:rPr>
          <w:lang w:eastAsia="ja-JP"/>
        </w:rPr>
        <w:t xml:space="preserve"> experienced Grade 4 events, including pneumonia, pyelonephritis, sepsis, septic shock, hyperkalaemia, hyperglycaemia, hyperuricemia, hyponatremia, and type 1 diabetes mellitus. Drug-related </w:t>
      </w:r>
      <w:r w:rsidR="0080617E">
        <w:t>adverse events</w:t>
      </w:r>
      <w:r w:rsidR="0080617E" w:rsidRPr="7E598CB7">
        <w:rPr>
          <w:lang w:eastAsia="ja-JP"/>
        </w:rPr>
        <w:t xml:space="preserve"> </w:t>
      </w:r>
      <w:r w:rsidR="00EE40C6" w:rsidRPr="7E598CB7">
        <w:rPr>
          <w:lang w:eastAsia="ja-JP"/>
        </w:rPr>
        <w:t>were most commonly pruritus (14.4%), fatigue (12.9%), diarrhoea (12.</w:t>
      </w:r>
      <w:r w:rsidR="00FA5AA7" w:rsidRPr="7E598CB7">
        <w:rPr>
          <w:lang w:eastAsia="ja-JP"/>
        </w:rPr>
        <w:t>2%), and hypothyroidism (7.2%).</w:t>
      </w:r>
    </w:p>
    <w:p w14:paraId="2DB70E95" w14:textId="31DB550C" w:rsidR="00EE40C6" w:rsidRDefault="0080617E" w:rsidP="00EE40C6">
      <w:pPr>
        <w:rPr>
          <w:lang w:eastAsia="ja-JP"/>
        </w:rPr>
      </w:pPr>
      <w:r>
        <w:t>Adverse events</w:t>
      </w:r>
      <w:r>
        <w:rPr>
          <w:lang w:eastAsia="ja-JP"/>
        </w:rPr>
        <w:t xml:space="preserve"> </w:t>
      </w:r>
      <w:r w:rsidR="00EE40C6">
        <w:rPr>
          <w:lang w:eastAsia="ja-JP"/>
        </w:rPr>
        <w:t>leading to discontinuation included a</w:t>
      </w:r>
      <w:r w:rsidR="00EE40C6">
        <w:t xml:space="preserve">utoimmune </w:t>
      </w:r>
      <w:r w:rsidR="00EE40C6" w:rsidRPr="009510C5">
        <w:t>nephritis and pneumonitis resulted in discontinuation of</w:t>
      </w:r>
      <w:r w:rsidR="00EE40C6">
        <w:t xml:space="preserve"> </w:t>
      </w:r>
      <w:r>
        <w:t>pembrolizumab in more than one</w:t>
      </w:r>
      <w:r w:rsidR="00EE40C6" w:rsidRPr="009510C5">
        <w:t xml:space="preserve"> </w:t>
      </w:r>
      <w:r w:rsidR="00EE40C6">
        <w:t>patient.</w:t>
      </w:r>
    </w:p>
    <w:p w14:paraId="62B745C4" w14:textId="5FABBEAE" w:rsidR="00EE40C6" w:rsidRDefault="00FA0346" w:rsidP="00EE40C6">
      <w:r>
        <w:rPr>
          <w:lang w:eastAsia="ja-JP"/>
        </w:rPr>
        <w:t>Adverse e</w:t>
      </w:r>
      <w:r w:rsidR="0080617E">
        <w:rPr>
          <w:lang w:eastAsia="ja-JP"/>
        </w:rPr>
        <w:t>vents</w:t>
      </w:r>
      <w:r w:rsidR="00423D72">
        <w:rPr>
          <w:lang w:eastAsia="ja-JP"/>
        </w:rPr>
        <w:t xml:space="preserve"> resulting in pembrolizumab</w:t>
      </w:r>
      <w:r w:rsidR="00EE40C6">
        <w:rPr>
          <w:lang w:eastAsia="ja-JP"/>
        </w:rPr>
        <w:t xml:space="preserve"> interruption </w:t>
      </w:r>
      <w:r>
        <w:t xml:space="preserve">occurring in </w:t>
      </w:r>
      <w:r w:rsidR="0080617E">
        <w:t>more than one</w:t>
      </w:r>
      <w:r w:rsidR="00EE40C6" w:rsidRPr="004F16AE">
        <w:t xml:space="preserve"> pa</w:t>
      </w:r>
      <w:r w:rsidR="00EE40C6">
        <w:t xml:space="preserve">tient </w:t>
      </w:r>
      <w:r w:rsidR="00EE40C6" w:rsidRPr="004F16AE">
        <w:t>resulting in interruption of</w:t>
      </w:r>
      <w:r w:rsidR="00EE40C6">
        <w:t xml:space="preserve"> </w:t>
      </w:r>
      <w:r w:rsidR="00EE40C6" w:rsidRPr="004F16AE">
        <w:t>pembrolizumab were blood creatinine increased, diarrh</w:t>
      </w:r>
      <w:r w:rsidR="00EE40C6">
        <w:t>o</w:t>
      </w:r>
      <w:r w:rsidR="00EE40C6" w:rsidRPr="004F16AE">
        <w:t>ea, arthralgia, hyponatremia, pruritus,</w:t>
      </w:r>
      <w:r w:rsidR="00EE40C6">
        <w:t xml:space="preserve"> </w:t>
      </w:r>
      <w:r w:rsidR="00EE40C6" w:rsidRPr="004F16AE">
        <w:t>rash maculopapular, urinary tract infection, hyperglyc</w:t>
      </w:r>
      <w:r w:rsidR="00EE40C6">
        <w:t>a</w:t>
      </w:r>
      <w:r w:rsidR="00EE40C6" w:rsidRPr="004F16AE">
        <w:t xml:space="preserve">emia, and </w:t>
      </w:r>
      <w:r w:rsidR="00EE40C6">
        <w:t>o</w:t>
      </w:r>
      <w:r w:rsidR="00EE40C6" w:rsidRPr="004F16AE">
        <w:t xml:space="preserve">edema peripheral. </w:t>
      </w:r>
      <w:r w:rsidR="0080617E">
        <w:t>Adverse events</w:t>
      </w:r>
      <w:r w:rsidR="0080617E" w:rsidRPr="004F16AE">
        <w:t xml:space="preserve"> </w:t>
      </w:r>
      <w:r w:rsidR="00EE40C6" w:rsidRPr="004F16AE">
        <w:t>considered</w:t>
      </w:r>
      <w:r w:rsidR="00EE40C6">
        <w:t xml:space="preserve"> </w:t>
      </w:r>
      <w:r w:rsidR="00EE40C6" w:rsidRPr="004F16AE">
        <w:t xml:space="preserve">by the investigator to be drug-related </w:t>
      </w:r>
      <w:r w:rsidR="00EE40C6">
        <w:t xml:space="preserve">in </w:t>
      </w:r>
      <w:r w:rsidR="0080617E">
        <w:t>more than one</w:t>
      </w:r>
      <w:r w:rsidR="00EE40C6" w:rsidRPr="004F16AE">
        <w:t xml:space="preserve"> pa</w:t>
      </w:r>
      <w:r w:rsidR="00EE40C6">
        <w:t>tient were</w:t>
      </w:r>
      <w:r w:rsidR="00EE40C6" w:rsidRPr="004F16AE">
        <w:t xml:space="preserve"> diarrh</w:t>
      </w:r>
      <w:r w:rsidR="00EE40C6">
        <w:t>o</w:t>
      </w:r>
      <w:r w:rsidR="00EE40C6" w:rsidRPr="004F16AE">
        <w:t>ea, arthralgia, hyponatremia, pruritus, and rash maculopapular</w:t>
      </w:r>
      <w:r w:rsidR="00EE40C6">
        <w:t>.</w:t>
      </w:r>
    </w:p>
    <w:p w14:paraId="2BFC4FAA" w14:textId="6AF6B210" w:rsidR="00EE40C6" w:rsidRDefault="00EE40C6" w:rsidP="00EE40C6">
      <w:r>
        <w:t>The six deaths included events of acute kidney injury and septic shock; aspiration pneumonitis; congestive cardiomyopathy; acute respiratory failure; congestive cardiac failure; respiratory failure in a patient with resolving immune-related hepatitis; pancreatic carcinoma in a patient with immune-related type 1 diabetes mellitus. The causes of death were considered unrelated although concomitant adverse eve</w:t>
      </w:r>
      <w:r w:rsidR="00FA5AA7">
        <w:t xml:space="preserve">nts may have been </w:t>
      </w:r>
      <w:proofErr w:type="gramStart"/>
      <w:r w:rsidR="00FA5AA7">
        <w:t>drug-related</w:t>
      </w:r>
      <w:proofErr w:type="gramEnd"/>
      <w:r w:rsidR="00FA5AA7">
        <w:t>.</w:t>
      </w:r>
    </w:p>
    <w:p w14:paraId="0988EFF9" w14:textId="7FD62473" w:rsidR="00EE40C6" w:rsidRDefault="0080617E" w:rsidP="00EE40C6">
      <w:pPr>
        <w:rPr>
          <w:lang w:eastAsia="ja-JP"/>
        </w:rPr>
      </w:pPr>
      <w:r>
        <w:t>Serious adverse events</w:t>
      </w:r>
      <w:r w:rsidR="00EE40C6">
        <w:t xml:space="preserve"> reported </w:t>
      </w:r>
      <w:r>
        <w:t>as occurring in more than one</w:t>
      </w:r>
      <w:r w:rsidR="00EE40C6">
        <w:t xml:space="preserve"> patient were pneumonia, pulmonary embolism, septic shock, urinary tract infection, congestive </w:t>
      </w:r>
      <w:r w:rsidR="00FA5AA7">
        <w:t xml:space="preserve">cardiac </w:t>
      </w:r>
      <w:proofErr w:type="gramStart"/>
      <w:r w:rsidR="00FA5AA7">
        <w:t>failure</w:t>
      </w:r>
      <w:proofErr w:type="gramEnd"/>
      <w:r w:rsidR="00FA5AA7">
        <w:t xml:space="preserve"> and cellulitis.</w:t>
      </w:r>
    </w:p>
    <w:p w14:paraId="656AD44F" w14:textId="4B425B9C" w:rsidR="00EE40C6" w:rsidRDefault="45B90781" w:rsidP="00EE40C6">
      <w:r w:rsidRPr="6D2711AB">
        <w:rPr>
          <w:lang w:eastAsia="ja-JP"/>
        </w:rPr>
        <w:t xml:space="preserve">Adverse </w:t>
      </w:r>
      <w:r w:rsidR="5E42A25F" w:rsidRPr="6D2711AB">
        <w:rPr>
          <w:lang w:eastAsia="ja-JP"/>
        </w:rPr>
        <w:t xml:space="preserve">events of special interest </w:t>
      </w:r>
      <w:r w:rsidR="00073B79">
        <w:rPr>
          <w:lang w:eastAsia="ja-JP"/>
        </w:rPr>
        <w:t xml:space="preserve">(that is, </w:t>
      </w:r>
      <w:r w:rsidR="00073B79" w:rsidRPr="00073B79">
        <w:rPr>
          <w:lang w:eastAsia="ja-JP"/>
        </w:rPr>
        <w:t>immune-mediated events and infusion-related reactions associated with pembrolizumab</w:t>
      </w:r>
      <w:r w:rsidR="00073B79">
        <w:rPr>
          <w:lang w:eastAsia="ja-JP"/>
        </w:rPr>
        <w:t>)</w:t>
      </w:r>
      <w:r w:rsidR="00073B79" w:rsidRPr="00073B79">
        <w:rPr>
          <w:lang w:eastAsia="ja-JP"/>
        </w:rPr>
        <w:t xml:space="preserve"> </w:t>
      </w:r>
      <w:r w:rsidRPr="6D2711AB">
        <w:rPr>
          <w:lang w:eastAsia="ja-JP"/>
        </w:rPr>
        <w:t xml:space="preserve">occurred in </w:t>
      </w:r>
      <w:r>
        <w:t>29 patients (20.9%). Those occurring i</w:t>
      </w:r>
      <w:r w:rsidR="5E42A25F">
        <w:t>n more than one</w:t>
      </w:r>
      <w:r>
        <w:t xml:space="preserve"> patient were hypothyroidism (7.9%), hyperthyroidism, pneumonitis, colitis, autoimmune nephritis, and </w:t>
      </w:r>
      <w:proofErr w:type="spellStart"/>
      <w:r>
        <w:t>hypophysitis</w:t>
      </w:r>
      <w:proofErr w:type="spellEnd"/>
      <w:r>
        <w:t xml:space="preserve">. Grade 3 to 5 </w:t>
      </w:r>
      <w:r w:rsidR="5E42A25F">
        <w:t>adverse events of special interest</w:t>
      </w:r>
      <w:r>
        <w:t xml:space="preserve"> occurred in 6 patients</w:t>
      </w:r>
      <w:r w:rsidR="5E42A25F">
        <w:t xml:space="preserve"> (4.3%); these included</w:t>
      </w:r>
      <w:r>
        <w:t xml:space="preserve"> type 1 diabetes mellitus (Grade 4), rash maculopapular (Grade 3), pruritus (Grade 3), </w:t>
      </w:r>
      <w:proofErr w:type="spellStart"/>
      <w:r>
        <w:t>hypophysitis</w:t>
      </w:r>
      <w:proofErr w:type="spellEnd"/>
      <w:r>
        <w:t xml:space="preserve"> </w:t>
      </w:r>
      <w:r w:rsidR="5E42A25F">
        <w:t>(Grade </w:t>
      </w:r>
      <w:r>
        <w:t xml:space="preserve">3), adrenal insufficiency (Grade 3), and hepatitis (Grade 3). </w:t>
      </w:r>
      <w:proofErr w:type="spellStart"/>
      <w:r>
        <w:t>Hypophysitis</w:t>
      </w:r>
      <w:proofErr w:type="spellEnd"/>
      <w:r>
        <w:t>, pruritus, and rash maculopapular were considered drug-related by the investigator.</w:t>
      </w:r>
    </w:p>
    <w:p w14:paraId="4E5FC506" w14:textId="506C6F74" w:rsidR="00EE40C6" w:rsidRDefault="00EE40C6" w:rsidP="00EE40C6">
      <w:pPr>
        <w:rPr>
          <w:lang w:eastAsia="ja-JP"/>
        </w:rPr>
      </w:pPr>
      <w:r>
        <w:rPr>
          <w:lang w:eastAsia="ja-JP"/>
        </w:rPr>
        <w:t xml:space="preserve">No latent systemic </w:t>
      </w:r>
      <w:r w:rsidR="0080617E">
        <w:t>adverse events</w:t>
      </w:r>
      <w:r w:rsidR="0080617E">
        <w:rPr>
          <w:lang w:eastAsia="ja-JP"/>
        </w:rPr>
        <w:t xml:space="preserve"> </w:t>
      </w:r>
      <w:r>
        <w:rPr>
          <w:lang w:eastAsia="ja-JP"/>
        </w:rPr>
        <w:t xml:space="preserve">from previous BCG treatment were found in the </w:t>
      </w:r>
      <w:r w:rsidR="0080617E">
        <w:rPr>
          <w:lang w:eastAsia="ja-JP"/>
        </w:rPr>
        <w:t>Keynote-057</w:t>
      </w:r>
      <w:r w:rsidR="00002D98">
        <w:rPr>
          <w:lang w:eastAsia="ja-JP"/>
        </w:rPr>
        <w:t xml:space="preserve"> trial</w:t>
      </w:r>
      <w:r>
        <w:rPr>
          <w:lang w:eastAsia="ja-JP"/>
        </w:rPr>
        <w:t>.</w:t>
      </w:r>
    </w:p>
    <w:p w14:paraId="430D36A3" w14:textId="7B2BFBD3" w:rsidR="00EE40C6" w:rsidRPr="00EE40C6" w:rsidRDefault="00002D98" w:rsidP="00EE40C6">
      <w:pPr>
        <w:rPr>
          <w:lang w:eastAsia="ja-JP"/>
        </w:rPr>
      </w:pPr>
      <w:r>
        <w:rPr>
          <w:lang w:eastAsia="ja-JP"/>
        </w:rPr>
        <w:t>Although not evaluated for this submission, a</w:t>
      </w:r>
      <w:r w:rsidR="00EE40C6">
        <w:rPr>
          <w:lang w:eastAsia="ja-JP"/>
        </w:rPr>
        <w:t xml:space="preserve"> similar pattern of safety e</w:t>
      </w:r>
      <w:r w:rsidR="0080617E">
        <w:rPr>
          <w:lang w:eastAsia="ja-JP"/>
        </w:rPr>
        <w:t>vents was seen in the Cohort B</w:t>
      </w:r>
      <w:r>
        <w:rPr>
          <w:lang w:eastAsia="ja-JP"/>
        </w:rPr>
        <w:t xml:space="preserve"> population (</w:t>
      </w:r>
      <w:r w:rsidRPr="00CB3713">
        <w:t xml:space="preserve">subjects without </w:t>
      </w:r>
      <w:r>
        <w:t>carcinoma in situ at B</w:t>
      </w:r>
      <w:r w:rsidRPr="00CB3713">
        <w:t xml:space="preserve">aseline </w:t>
      </w:r>
      <w:r>
        <w:t>(high-grade Ta or any grade T1))</w:t>
      </w:r>
      <w:r>
        <w:rPr>
          <w:lang w:eastAsia="ja-JP"/>
        </w:rPr>
        <w:t>.</w:t>
      </w:r>
    </w:p>
    <w:p w14:paraId="2F54408F" w14:textId="3F1C5078" w:rsidR="00C22214" w:rsidRDefault="00FA0346" w:rsidP="00FA0346">
      <w:pPr>
        <w:pStyle w:val="Heading5"/>
      </w:pPr>
      <w:bookmarkStart w:id="74" w:name="_Ref130534980"/>
      <w:bookmarkStart w:id="75" w:name="_Toc314842514"/>
      <w:r>
        <w:t>Comparison with historical datasets</w:t>
      </w:r>
      <w:bookmarkEnd w:id="74"/>
    </w:p>
    <w:p w14:paraId="3C47DD44" w14:textId="7C08E343" w:rsidR="00FA0346" w:rsidRDefault="00FA0346" w:rsidP="00FA0346">
      <w:r w:rsidRPr="00FA0346">
        <w:t>The submission included comparisons with historical safety data obtained in previous studies of pembrolizumab monotherapy in other indications</w:t>
      </w:r>
      <w:r w:rsidR="00002D98">
        <w:t xml:space="preserve"> (see </w:t>
      </w:r>
      <w:r w:rsidR="00002D98" w:rsidRPr="00002D98">
        <w:rPr>
          <w:i/>
        </w:rPr>
        <w:fldChar w:fldCharType="begin"/>
      </w:r>
      <w:r w:rsidR="00002D98" w:rsidRPr="00002D98">
        <w:rPr>
          <w:i/>
        </w:rPr>
        <w:instrText xml:space="preserve"> REF _Ref130533836 \h </w:instrText>
      </w:r>
      <w:r w:rsidR="00002D98">
        <w:rPr>
          <w:i/>
        </w:rPr>
        <w:instrText xml:space="preserve"> \* MERGEFORMAT </w:instrText>
      </w:r>
      <w:r w:rsidR="00002D98" w:rsidRPr="00002D98">
        <w:rPr>
          <w:i/>
        </w:rPr>
      </w:r>
      <w:r w:rsidR="00002D98" w:rsidRPr="00002D98">
        <w:rPr>
          <w:i/>
        </w:rPr>
        <w:fldChar w:fldCharType="separate"/>
      </w:r>
      <w:r w:rsidR="007F791A" w:rsidRPr="007F791A">
        <w:rPr>
          <w:i/>
        </w:rPr>
        <w:t>Exposure</w:t>
      </w:r>
      <w:r w:rsidR="00002D98" w:rsidRPr="00002D98">
        <w:rPr>
          <w:i/>
        </w:rPr>
        <w:fldChar w:fldCharType="end"/>
      </w:r>
      <w:r w:rsidR="00002D98">
        <w:t xml:space="preserve"> for descriptions of these data set populations)</w:t>
      </w:r>
      <w:r w:rsidRPr="00FA0346">
        <w:t xml:space="preserve">. The overall adverse event profile of pembrolizumab in </w:t>
      </w:r>
      <w:r w:rsidR="000D7E14">
        <w:t>the Keynote-057 trial</w:t>
      </w:r>
      <w:r w:rsidRPr="00FA0346">
        <w:t xml:space="preserve"> appeared to be comparable with that observed in these previous studies.</w:t>
      </w:r>
    </w:p>
    <w:p w14:paraId="22ABECB5" w14:textId="552AEA3E" w:rsidR="000D7E14" w:rsidRDefault="000D7E14" w:rsidP="000D7E14">
      <w:pPr>
        <w:rPr>
          <w:lang w:eastAsia="ja-JP"/>
        </w:rPr>
      </w:pPr>
      <w:r>
        <w:rPr>
          <w:lang w:eastAsia="ja-JP"/>
        </w:rPr>
        <w:t xml:space="preserve">The overall incidence of any </w:t>
      </w:r>
      <w:r w:rsidR="00002D98">
        <w:rPr>
          <w:lang w:eastAsia="ja-JP"/>
        </w:rPr>
        <w:t>adverse event</w:t>
      </w:r>
      <w:r>
        <w:rPr>
          <w:lang w:eastAsia="ja-JP"/>
        </w:rPr>
        <w:t xml:space="preserve"> in the Keynote-057 trial was </w:t>
      </w:r>
      <w:r w:rsidRPr="000D7E14">
        <w:rPr>
          <w:bCs/>
          <w:lang w:eastAsia="ja-JP"/>
        </w:rPr>
        <w:t>96.6%</w:t>
      </w:r>
      <w:r>
        <w:rPr>
          <w:b/>
          <w:bCs/>
          <w:lang w:eastAsia="ja-JP"/>
        </w:rPr>
        <w:t xml:space="preserve"> </w:t>
      </w:r>
      <w:r>
        <w:rPr>
          <w:lang w:eastAsia="ja-JP"/>
        </w:rPr>
        <w:t xml:space="preserve">and was comparable in the two cohorts (Cohort A, 97.1% versus Cohort B, 95.7%). Diarrhoea and fatigue were the most common individual </w:t>
      </w:r>
      <w:r w:rsidR="00002D98">
        <w:rPr>
          <w:lang w:eastAsia="ja-JP"/>
        </w:rPr>
        <w:t xml:space="preserve">adverse event </w:t>
      </w:r>
      <w:r>
        <w:rPr>
          <w:lang w:eastAsia="ja-JP"/>
        </w:rPr>
        <w:t xml:space="preserve">terms reported. The </w:t>
      </w:r>
      <w:r w:rsidRPr="000D7E14">
        <w:t xml:space="preserve">incidence of </w:t>
      </w:r>
      <w:r>
        <w:t xml:space="preserve">Grade 3 to </w:t>
      </w:r>
      <w:r w:rsidRPr="000D7E14">
        <w:t xml:space="preserve">5 </w:t>
      </w:r>
      <w:r w:rsidR="00002D98">
        <w:rPr>
          <w:lang w:eastAsia="ja-JP"/>
        </w:rPr>
        <w:t>adverse events</w:t>
      </w:r>
      <w:r w:rsidR="00002D98" w:rsidRPr="000D7E14">
        <w:t xml:space="preserve"> </w:t>
      </w:r>
      <w:r w:rsidRPr="000D7E14">
        <w:t>was</w:t>
      </w:r>
      <w:r w:rsidRPr="000D7E14">
        <w:rPr>
          <w:lang w:eastAsia="ja-JP"/>
        </w:rPr>
        <w:t xml:space="preserve"> </w:t>
      </w:r>
      <w:r w:rsidRPr="000D7E14">
        <w:rPr>
          <w:bCs/>
          <w:lang w:eastAsia="ja-JP"/>
        </w:rPr>
        <w:t>31.1%</w:t>
      </w:r>
      <w:r w:rsidR="00002D98">
        <w:rPr>
          <w:lang w:eastAsia="ja-JP"/>
        </w:rPr>
        <w:t xml:space="preserve"> (at the 24 May 2019 </w:t>
      </w:r>
      <w:r>
        <w:rPr>
          <w:lang w:eastAsia="ja-JP"/>
        </w:rPr>
        <w:t>data cut-off).</w:t>
      </w:r>
    </w:p>
    <w:p w14:paraId="4C99F450" w14:textId="2D09BF12" w:rsidR="000D7E14" w:rsidRDefault="000D7E14" w:rsidP="000D7E14">
      <w:pPr>
        <w:rPr>
          <w:lang w:eastAsia="ja-JP"/>
        </w:rPr>
      </w:pPr>
      <w:r>
        <w:rPr>
          <w:lang w:eastAsia="ja-JP"/>
        </w:rPr>
        <w:lastRenderedPageBreak/>
        <w:t xml:space="preserve">For the comparative datasets, the overall incidence of any </w:t>
      </w:r>
      <w:r w:rsidR="00002D98">
        <w:rPr>
          <w:lang w:eastAsia="ja-JP"/>
        </w:rPr>
        <w:t xml:space="preserve">adverse event </w:t>
      </w:r>
      <w:r>
        <w:rPr>
          <w:lang w:eastAsia="ja-JP"/>
        </w:rPr>
        <w:t xml:space="preserve">was consistent across the four datasets presented </w:t>
      </w:r>
      <w:r w:rsidRPr="000D7E14">
        <w:t>(</w:t>
      </w:r>
      <w:r>
        <w:t>96.1% to</w:t>
      </w:r>
      <w:r w:rsidRPr="000D7E14">
        <w:t xml:space="preserve"> 97.4%).</w:t>
      </w:r>
      <w:r w:rsidR="0012644C">
        <w:rPr>
          <w:lang w:eastAsia="ja-JP"/>
        </w:rPr>
        <w:t xml:space="preserve"> </w:t>
      </w:r>
      <w:r>
        <w:rPr>
          <w:lang w:eastAsia="ja-JP"/>
        </w:rPr>
        <w:t xml:space="preserve">The incidence of common individual </w:t>
      </w:r>
      <w:r w:rsidR="00002D98">
        <w:rPr>
          <w:lang w:eastAsia="ja-JP"/>
        </w:rPr>
        <w:t xml:space="preserve">adverse event </w:t>
      </w:r>
      <w:r>
        <w:rPr>
          <w:lang w:eastAsia="ja-JP"/>
        </w:rPr>
        <w:t xml:space="preserve">terms was reasonably comparable across the four datasets </w:t>
      </w:r>
      <w:proofErr w:type="gramStart"/>
      <w:r>
        <w:rPr>
          <w:lang w:eastAsia="ja-JP"/>
        </w:rPr>
        <w:t>with the exception of</w:t>
      </w:r>
      <w:proofErr w:type="gramEnd"/>
      <w:r>
        <w:rPr>
          <w:lang w:eastAsia="ja-JP"/>
        </w:rPr>
        <w:t xml:space="preserve"> haematuria and urinary tract infection, which were more common in the bladder cancer studies. This is likely to be due to the disease and the need</w:t>
      </w:r>
      <w:r w:rsidR="0012644C">
        <w:rPr>
          <w:lang w:eastAsia="ja-JP"/>
        </w:rPr>
        <w:t xml:space="preserve"> for cystoscopy, catheterisation and so on</w:t>
      </w:r>
      <w:r>
        <w:rPr>
          <w:lang w:eastAsia="ja-JP"/>
        </w:rPr>
        <w:t xml:space="preserve">. The only other common </w:t>
      </w:r>
      <w:r w:rsidR="00002D98">
        <w:rPr>
          <w:lang w:eastAsia="ja-JP"/>
        </w:rPr>
        <w:t xml:space="preserve">adverse events </w:t>
      </w:r>
      <w:r>
        <w:rPr>
          <w:lang w:eastAsia="ja-JP"/>
        </w:rPr>
        <w:t xml:space="preserve">which had a notably higher incidence in </w:t>
      </w:r>
      <w:r w:rsidR="00012F22">
        <w:rPr>
          <w:lang w:eastAsia="ja-JP"/>
        </w:rPr>
        <w:t xml:space="preserve">the </w:t>
      </w:r>
      <w:r w:rsidR="0012644C">
        <w:rPr>
          <w:lang w:eastAsia="ja-JP"/>
        </w:rPr>
        <w:t>Keynote</w:t>
      </w:r>
      <w:r w:rsidR="0012644C">
        <w:rPr>
          <w:lang w:eastAsia="ja-JP"/>
        </w:rPr>
        <w:noBreakHyphen/>
        <w:t>057</w:t>
      </w:r>
      <w:r>
        <w:rPr>
          <w:lang w:eastAsia="ja-JP"/>
        </w:rPr>
        <w:t xml:space="preserve"> </w:t>
      </w:r>
      <w:r w:rsidR="00012F22">
        <w:rPr>
          <w:lang w:eastAsia="ja-JP"/>
        </w:rPr>
        <w:t xml:space="preserve">trial </w:t>
      </w:r>
      <w:r>
        <w:rPr>
          <w:lang w:eastAsia="ja-JP"/>
        </w:rPr>
        <w:t xml:space="preserve">was nasopharyngitis (10.1% </w:t>
      </w:r>
      <w:r w:rsidR="0012644C">
        <w:rPr>
          <w:lang w:eastAsia="ja-JP"/>
        </w:rPr>
        <w:t xml:space="preserve">versus 3.8% to </w:t>
      </w:r>
      <w:r>
        <w:rPr>
          <w:lang w:eastAsia="ja-JP"/>
        </w:rPr>
        <w:t>6.5%).</w:t>
      </w:r>
    </w:p>
    <w:p w14:paraId="129BF4BB" w14:textId="37A751DB" w:rsidR="000D7E14" w:rsidRPr="0012644C" w:rsidRDefault="00B45428" w:rsidP="000D7E14">
      <w:r>
        <w:rPr>
          <w:lang w:eastAsia="ja-JP"/>
        </w:rPr>
        <w:t>The incidence of Grade 3 to 5 adverse events</w:t>
      </w:r>
      <w:r w:rsidR="0012644C">
        <w:rPr>
          <w:lang w:eastAsia="ja-JP"/>
        </w:rPr>
        <w:t xml:space="preserve"> </w:t>
      </w:r>
      <w:r w:rsidR="000D7E14">
        <w:rPr>
          <w:lang w:eastAsia="ja-JP"/>
        </w:rPr>
        <w:t xml:space="preserve">was lower in </w:t>
      </w:r>
      <w:r w:rsidR="0012644C">
        <w:rPr>
          <w:lang w:eastAsia="ja-JP"/>
        </w:rPr>
        <w:t xml:space="preserve">the Keynote-057 </w:t>
      </w:r>
      <w:r w:rsidR="0012644C" w:rsidRPr="0012644C">
        <w:t>trial</w:t>
      </w:r>
      <w:r>
        <w:t xml:space="preserve"> (30.4% at the 20 </w:t>
      </w:r>
      <w:r w:rsidR="000D7E14" w:rsidRPr="0012644C">
        <w:t xml:space="preserve">February </w:t>
      </w:r>
      <w:r w:rsidR="00073B79">
        <w:t xml:space="preserve">2019 </w:t>
      </w:r>
      <w:r w:rsidR="000D7E14" w:rsidRPr="0012644C">
        <w:t xml:space="preserve">cut-off) than in the </w:t>
      </w:r>
      <w:r w:rsidR="00002D98">
        <w:t>comparative</w:t>
      </w:r>
      <w:r w:rsidR="000D7E14" w:rsidRPr="0012644C">
        <w:t xml:space="preserve"> safety datasets (45.5%</w:t>
      </w:r>
      <w:r w:rsidR="0012644C">
        <w:t xml:space="preserve"> to</w:t>
      </w:r>
      <w:r w:rsidR="000D7E14" w:rsidRPr="0012644C">
        <w:t xml:space="preserve"> 58.3%).</w:t>
      </w:r>
    </w:p>
    <w:p w14:paraId="01AAF8C1" w14:textId="7AE019AE" w:rsidR="000D7E14" w:rsidRDefault="000D7E14" w:rsidP="000D7E14">
      <w:pPr>
        <w:rPr>
          <w:lang w:eastAsia="ja-JP"/>
        </w:rPr>
      </w:pPr>
      <w:r w:rsidRPr="7E598CB7">
        <w:rPr>
          <w:lang w:eastAsia="ja-JP"/>
        </w:rPr>
        <w:t xml:space="preserve">The overall incidence of drug-related </w:t>
      </w:r>
      <w:r w:rsidR="00B45428" w:rsidRPr="7E598CB7">
        <w:rPr>
          <w:lang w:eastAsia="ja-JP"/>
        </w:rPr>
        <w:t xml:space="preserve">adverse events </w:t>
      </w:r>
      <w:r w:rsidRPr="7E598CB7">
        <w:rPr>
          <w:lang w:eastAsia="ja-JP"/>
        </w:rPr>
        <w:t xml:space="preserve">was consistent across the four datasets presented (64.2% to 73.7%, and </w:t>
      </w:r>
      <w:r w:rsidR="00073B79">
        <w:rPr>
          <w:lang w:eastAsia="ja-JP"/>
        </w:rPr>
        <w:t xml:space="preserve">69.6% </w:t>
      </w:r>
      <w:r w:rsidRPr="7E598CB7">
        <w:rPr>
          <w:lang w:eastAsia="ja-JP"/>
        </w:rPr>
        <w:t xml:space="preserve">for Keynote-057 trial). The pattern of individual </w:t>
      </w:r>
      <w:r w:rsidR="00B45428" w:rsidRPr="7E598CB7">
        <w:rPr>
          <w:lang w:eastAsia="ja-JP"/>
        </w:rPr>
        <w:t xml:space="preserve">adverse event </w:t>
      </w:r>
      <w:r w:rsidRPr="7E598CB7">
        <w:rPr>
          <w:lang w:eastAsia="ja-JP"/>
        </w:rPr>
        <w:t xml:space="preserve">terms was also </w:t>
      </w:r>
      <w:proofErr w:type="gramStart"/>
      <w:r w:rsidRPr="7E598CB7">
        <w:rPr>
          <w:lang w:eastAsia="ja-JP"/>
        </w:rPr>
        <w:t>fairly consistent</w:t>
      </w:r>
      <w:proofErr w:type="gramEnd"/>
      <w:r w:rsidRPr="7E598CB7">
        <w:rPr>
          <w:lang w:eastAsia="ja-JP"/>
        </w:rPr>
        <w:t xml:space="preserve"> across datasets.</w:t>
      </w:r>
    </w:p>
    <w:p w14:paraId="4C730EA2" w14:textId="30A30880" w:rsidR="000D7E14" w:rsidRDefault="000D7E14" w:rsidP="000D7E14">
      <w:pPr>
        <w:rPr>
          <w:lang w:eastAsia="ja-JP"/>
        </w:rPr>
      </w:pPr>
      <w:r>
        <w:rPr>
          <w:lang w:eastAsia="ja-JP"/>
        </w:rPr>
        <w:t>The incide</w:t>
      </w:r>
      <w:r w:rsidR="0012644C">
        <w:rPr>
          <w:lang w:eastAsia="ja-JP"/>
        </w:rPr>
        <w:t xml:space="preserve">nce of fatal </w:t>
      </w:r>
      <w:r w:rsidR="00B45428">
        <w:rPr>
          <w:lang w:eastAsia="ja-JP"/>
        </w:rPr>
        <w:t xml:space="preserve">adverse events </w:t>
      </w:r>
      <w:r w:rsidR="0012644C">
        <w:rPr>
          <w:lang w:eastAsia="ja-JP"/>
        </w:rPr>
        <w:t xml:space="preserve">was lower in the Keynote-057 trial </w:t>
      </w:r>
      <w:r w:rsidRPr="0012644C">
        <w:t>(2.0%) compared with the other three datasets (</w:t>
      </w:r>
      <w:r w:rsidR="0012644C">
        <w:t xml:space="preserve">3.9% to </w:t>
      </w:r>
      <w:r w:rsidRPr="0012644C">
        <w:t xml:space="preserve">5.3%). This was also true for drug-related fatal </w:t>
      </w:r>
      <w:r w:rsidR="00B45428">
        <w:rPr>
          <w:lang w:eastAsia="ja-JP"/>
        </w:rPr>
        <w:t>adverse events</w:t>
      </w:r>
      <w:r w:rsidR="00B45428" w:rsidRPr="0012644C">
        <w:t xml:space="preserve"> </w:t>
      </w:r>
      <w:r w:rsidRPr="0012644C">
        <w:t>(0.0%</w:t>
      </w:r>
      <w:r w:rsidR="00B45428">
        <w:t xml:space="preserve"> in the Keynote-057 trial</w:t>
      </w:r>
      <w:r w:rsidR="0012644C">
        <w:t xml:space="preserve"> versus</w:t>
      </w:r>
      <w:r w:rsidRPr="0012644C">
        <w:t xml:space="preserve"> </w:t>
      </w:r>
      <w:r w:rsidR="0012644C">
        <w:t>0.4% to</w:t>
      </w:r>
      <w:r w:rsidRPr="0012644C">
        <w:t xml:space="preserve"> 0.8%</w:t>
      </w:r>
      <w:r w:rsidR="00B45428">
        <w:t xml:space="preserve"> for the various comparative datasets</w:t>
      </w:r>
      <w:r w:rsidRPr="0012644C">
        <w:t>).</w:t>
      </w:r>
      <w:r>
        <w:rPr>
          <w:lang w:eastAsia="ja-JP"/>
        </w:rPr>
        <w:t xml:space="preserve"> There were no notable differences between the datasets in the patterns of fatal </w:t>
      </w:r>
      <w:r w:rsidR="00B45428">
        <w:rPr>
          <w:lang w:eastAsia="ja-JP"/>
        </w:rPr>
        <w:t>adverse events</w:t>
      </w:r>
      <w:r>
        <w:rPr>
          <w:lang w:eastAsia="ja-JP"/>
        </w:rPr>
        <w:t>.</w:t>
      </w:r>
    </w:p>
    <w:p w14:paraId="3207C295" w14:textId="0771A27C" w:rsidR="000D7E14" w:rsidRDefault="000D7E14" w:rsidP="000D7E14">
      <w:pPr>
        <w:rPr>
          <w:lang w:eastAsia="ja-JP"/>
        </w:rPr>
      </w:pPr>
      <w:r>
        <w:rPr>
          <w:lang w:eastAsia="ja-JP"/>
        </w:rPr>
        <w:t xml:space="preserve">The incidence of serious </w:t>
      </w:r>
      <w:r w:rsidR="00B45428">
        <w:rPr>
          <w:lang w:eastAsia="ja-JP"/>
        </w:rPr>
        <w:t xml:space="preserve">adverse events </w:t>
      </w:r>
      <w:r>
        <w:rPr>
          <w:lang w:eastAsia="ja-JP"/>
        </w:rPr>
        <w:t xml:space="preserve">in </w:t>
      </w:r>
      <w:r w:rsidR="0012644C">
        <w:rPr>
          <w:lang w:eastAsia="ja-JP"/>
        </w:rPr>
        <w:t xml:space="preserve">the Keynote-057 trial </w:t>
      </w:r>
      <w:r>
        <w:rPr>
          <w:lang w:eastAsia="ja-JP"/>
        </w:rPr>
        <w:t>(</w:t>
      </w:r>
      <w:r w:rsidRPr="0012644C">
        <w:rPr>
          <w:bCs/>
          <w:lang w:eastAsia="ja-JP"/>
        </w:rPr>
        <w:t>26.4%</w:t>
      </w:r>
      <w:r>
        <w:rPr>
          <w:lang w:eastAsia="ja-JP"/>
        </w:rPr>
        <w:t xml:space="preserve"> as of the 20 February </w:t>
      </w:r>
      <w:r w:rsidR="00073B79">
        <w:rPr>
          <w:lang w:eastAsia="ja-JP"/>
        </w:rPr>
        <w:t xml:space="preserve">2019 </w:t>
      </w:r>
      <w:r>
        <w:rPr>
          <w:lang w:eastAsia="ja-JP"/>
        </w:rPr>
        <w:t>cut-off) was lower than that observed in the other datasets (</w:t>
      </w:r>
      <w:r w:rsidR="0012644C">
        <w:rPr>
          <w:bCs/>
          <w:lang w:eastAsia="ja-JP"/>
        </w:rPr>
        <w:t>37.2% to</w:t>
      </w:r>
      <w:r w:rsidRPr="0012644C">
        <w:rPr>
          <w:bCs/>
          <w:lang w:eastAsia="ja-JP"/>
        </w:rPr>
        <w:t xml:space="preserve"> 44.3%</w:t>
      </w:r>
      <w:r w:rsidR="0012644C">
        <w:rPr>
          <w:lang w:eastAsia="ja-JP"/>
        </w:rPr>
        <w:t>)</w:t>
      </w:r>
      <w:r>
        <w:rPr>
          <w:lang w:eastAsia="ja-JP"/>
        </w:rPr>
        <w:t>. Apart from a higher incidence of haematuria and urinary tract infection in the bladder cancer studies there were no notable differences in the incidence of individual events.</w:t>
      </w:r>
    </w:p>
    <w:p w14:paraId="384AEA82" w14:textId="0246298B" w:rsidR="000D7E14" w:rsidRDefault="000D7E14" w:rsidP="000D7E14">
      <w:pPr>
        <w:rPr>
          <w:lang w:eastAsia="ja-JP"/>
        </w:rPr>
      </w:pPr>
      <w:r>
        <w:rPr>
          <w:lang w:eastAsia="ja-JP"/>
        </w:rPr>
        <w:t xml:space="preserve">The incidence of </w:t>
      </w:r>
      <w:r w:rsidR="00B45428">
        <w:rPr>
          <w:lang w:eastAsia="ja-JP"/>
        </w:rPr>
        <w:t xml:space="preserve">adverse events </w:t>
      </w:r>
      <w:r>
        <w:rPr>
          <w:lang w:eastAsia="ja-JP"/>
        </w:rPr>
        <w:t xml:space="preserve">leading to discontinuation was comparable across the four </w:t>
      </w:r>
      <w:r w:rsidRPr="0012644C">
        <w:rPr>
          <w:lang w:eastAsia="ja-JP"/>
        </w:rPr>
        <w:t>datasets (</w:t>
      </w:r>
      <w:r w:rsidR="0012644C">
        <w:rPr>
          <w:bCs/>
          <w:lang w:eastAsia="ja-JP"/>
        </w:rPr>
        <w:t>10.8% to</w:t>
      </w:r>
      <w:r w:rsidRPr="0012644C">
        <w:rPr>
          <w:bCs/>
          <w:lang w:eastAsia="ja-JP"/>
        </w:rPr>
        <w:t xml:space="preserve"> 12.8%</w:t>
      </w:r>
      <w:r w:rsidRPr="0012644C">
        <w:rPr>
          <w:lang w:eastAsia="ja-JP"/>
        </w:rPr>
        <w:t>)</w:t>
      </w:r>
      <w:r w:rsidR="00B45428">
        <w:rPr>
          <w:lang w:eastAsia="ja-JP"/>
        </w:rPr>
        <w:t xml:space="preserve"> and was 10.</w:t>
      </w:r>
      <w:r w:rsidR="00073B79">
        <w:rPr>
          <w:lang w:eastAsia="ja-JP"/>
        </w:rPr>
        <w:t>8</w:t>
      </w:r>
      <w:r w:rsidR="00B45428">
        <w:rPr>
          <w:lang w:eastAsia="ja-JP"/>
        </w:rPr>
        <w:t>% for the Keynote-057 trial</w:t>
      </w:r>
      <w:r w:rsidR="00073B79">
        <w:rPr>
          <w:lang w:eastAsia="ja-JP"/>
        </w:rPr>
        <w:t xml:space="preserve"> (overall) and 10.1% for the Cohort A population</w:t>
      </w:r>
      <w:r w:rsidRPr="0012644C">
        <w:rPr>
          <w:lang w:eastAsia="ja-JP"/>
        </w:rPr>
        <w:t xml:space="preserve">. </w:t>
      </w:r>
      <w:r>
        <w:rPr>
          <w:lang w:eastAsia="ja-JP"/>
        </w:rPr>
        <w:t xml:space="preserve">There were no notable differences between the datasets in the types of </w:t>
      </w:r>
      <w:r w:rsidR="00B45428">
        <w:rPr>
          <w:lang w:eastAsia="ja-JP"/>
        </w:rPr>
        <w:t xml:space="preserve">adverse events </w:t>
      </w:r>
      <w:r>
        <w:rPr>
          <w:lang w:eastAsia="ja-JP"/>
        </w:rPr>
        <w:t xml:space="preserve">leading to discontinuation. The only individual </w:t>
      </w:r>
      <w:r w:rsidR="00B45428">
        <w:rPr>
          <w:lang w:eastAsia="ja-JP"/>
        </w:rPr>
        <w:t xml:space="preserve">adverse event </w:t>
      </w:r>
      <w:r>
        <w:rPr>
          <w:lang w:eastAsia="ja-JP"/>
        </w:rPr>
        <w:t xml:space="preserve">that led to discontinuation in </w:t>
      </w:r>
      <w:r>
        <w:rPr>
          <w:rFonts w:ascii="Symbol" w:eastAsia="Symbol" w:hAnsi="Symbol" w:cs="Symbol"/>
          <w:lang w:eastAsia="ja-JP"/>
        </w:rPr>
        <w:t></w:t>
      </w:r>
      <w:r>
        <w:rPr>
          <w:lang w:eastAsia="ja-JP"/>
        </w:rPr>
        <w:t xml:space="preserve"> 1% of subjects in any of the datasets was pneumonitis. The incidence of pneumonitis leading to discontinuation was comparable across datasets (</w:t>
      </w:r>
      <w:r w:rsidR="0012644C">
        <w:rPr>
          <w:bCs/>
          <w:lang w:eastAsia="ja-JP"/>
        </w:rPr>
        <w:t>1.2% to</w:t>
      </w:r>
      <w:r w:rsidRPr="0012644C">
        <w:rPr>
          <w:bCs/>
          <w:lang w:eastAsia="ja-JP"/>
        </w:rPr>
        <w:t xml:space="preserve"> 1.4%</w:t>
      </w:r>
      <w:r w:rsidRPr="0012644C">
        <w:rPr>
          <w:lang w:eastAsia="ja-JP"/>
        </w:rPr>
        <w:t>).</w:t>
      </w:r>
    </w:p>
    <w:p w14:paraId="3C055544" w14:textId="06827380" w:rsidR="0012644C" w:rsidRDefault="0012644C" w:rsidP="000D7E14">
      <w:pPr>
        <w:rPr>
          <w:u w:val="single"/>
          <w:lang w:eastAsia="ja-JP"/>
        </w:rPr>
      </w:pPr>
      <w:r>
        <w:rPr>
          <w:lang w:eastAsia="ja-JP"/>
        </w:rPr>
        <w:t>For r</w:t>
      </w:r>
      <w:r w:rsidR="000D7E14">
        <w:rPr>
          <w:lang w:eastAsia="ja-JP"/>
        </w:rPr>
        <w:t xml:space="preserve">enal and urinary </w:t>
      </w:r>
      <w:r w:rsidR="00B45428">
        <w:rPr>
          <w:lang w:eastAsia="ja-JP"/>
        </w:rPr>
        <w:t xml:space="preserve">adverse events, </w:t>
      </w:r>
      <w:r>
        <w:rPr>
          <w:lang w:eastAsia="ja-JP"/>
        </w:rPr>
        <w:t>t</w:t>
      </w:r>
      <w:r w:rsidR="000D7E14">
        <w:rPr>
          <w:lang w:eastAsia="ja-JP"/>
        </w:rPr>
        <w:t xml:space="preserve">he overall incidence of such </w:t>
      </w:r>
      <w:r w:rsidR="00B45428">
        <w:rPr>
          <w:lang w:eastAsia="ja-JP"/>
        </w:rPr>
        <w:t>adverse events</w:t>
      </w:r>
      <w:r w:rsidR="000D7E14">
        <w:rPr>
          <w:lang w:eastAsia="ja-JP"/>
        </w:rPr>
        <w:t xml:space="preserve"> was </w:t>
      </w:r>
      <w:r w:rsidR="000D7E14" w:rsidRPr="0012644C">
        <w:rPr>
          <w:bCs/>
          <w:lang w:eastAsia="ja-JP"/>
        </w:rPr>
        <w:t>3</w:t>
      </w:r>
      <w:r w:rsidR="00073B79">
        <w:rPr>
          <w:bCs/>
          <w:lang w:eastAsia="ja-JP"/>
        </w:rPr>
        <w:t>7</w:t>
      </w:r>
      <w:r w:rsidR="000D7E14" w:rsidRPr="0012644C">
        <w:rPr>
          <w:bCs/>
          <w:lang w:eastAsia="ja-JP"/>
        </w:rPr>
        <w:t>.</w:t>
      </w:r>
      <w:r w:rsidR="00073B79">
        <w:rPr>
          <w:bCs/>
          <w:lang w:eastAsia="ja-JP"/>
        </w:rPr>
        <w:t>8</w:t>
      </w:r>
      <w:r w:rsidR="000D7E14" w:rsidRPr="0012644C">
        <w:rPr>
          <w:bCs/>
          <w:lang w:eastAsia="ja-JP"/>
        </w:rPr>
        <w:t>%</w:t>
      </w:r>
      <w:r>
        <w:rPr>
          <w:bCs/>
          <w:lang w:eastAsia="ja-JP"/>
        </w:rPr>
        <w:t xml:space="preserve"> in </w:t>
      </w:r>
      <w:r>
        <w:rPr>
          <w:lang w:eastAsia="ja-JP"/>
        </w:rPr>
        <w:t>the Keynote-057 trial</w:t>
      </w:r>
      <w:r w:rsidR="000D7E14" w:rsidRPr="0012644C">
        <w:rPr>
          <w:lang w:eastAsia="ja-JP"/>
        </w:rPr>
        <w:t>,</w:t>
      </w:r>
      <w:r w:rsidR="000D7E14">
        <w:rPr>
          <w:lang w:eastAsia="ja-JP"/>
        </w:rPr>
        <w:t xml:space="preserve"> with the </w:t>
      </w:r>
      <w:proofErr w:type="gramStart"/>
      <w:r w:rsidR="000D7E14">
        <w:rPr>
          <w:lang w:eastAsia="ja-JP"/>
        </w:rPr>
        <w:t>most commonly reported</w:t>
      </w:r>
      <w:proofErr w:type="gramEnd"/>
      <w:r w:rsidR="000D7E14">
        <w:rPr>
          <w:lang w:eastAsia="ja-JP"/>
        </w:rPr>
        <w:t xml:space="preserve"> events being haematuria (18.9%), dysuria (</w:t>
      </w:r>
      <w:r w:rsidR="00012F22">
        <w:rPr>
          <w:lang w:eastAsia="ja-JP"/>
        </w:rPr>
        <w:t xml:space="preserve">painful urination; </w:t>
      </w:r>
      <w:r w:rsidR="000D7E14">
        <w:rPr>
          <w:lang w:eastAsia="ja-JP"/>
        </w:rPr>
        <w:t>8.1%) and</w:t>
      </w:r>
      <w:r>
        <w:rPr>
          <w:lang w:eastAsia="ja-JP"/>
        </w:rPr>
        <w:t xml:space="preserve"> pollakiuria </w:t>
      </w:r>
      <w:r w:rsidR="00012F22">
        <w:rPr>
          <w:lang w:eastAsia="ja-JP"/>
        </w:rPr>
        <w:t xml:space="preserve">(increased urinary frequency; </w:t>
      </w:r>
      <w:r>
        <w:rPr>
          <w:lang w:eastAsia="ja-JP"/>
        </w:rPr>
        <w:t>4.1%). There was one</w:t>
      </w:r>
      <w:r w:rsidR="000D7E14">
        <w:rPr>
          <w:lang w:eastAsia="ja-JP"/>
        </w:rPr>
        <w:t xml:space="preserve"> report of nephritis.</w:t>
      </w:r>
      <w:r w:rsidR="00DB440F" w:rsidRPr="00DB440F">
        <w:rPr>
          <w:lang w:eastAsia="ja-JP"/>
        </w:rPr>
        <w:t xml:space="preserve"> </w:t>
      </w:r>
      <w:r w:rsidR="00DB440F">
        <w:rPr>
          <w:lang w:eastAsia="ja-JP"/>
        </w:rPr>
        <w:t>Across</w:t>
      </w:r>
      <w:r w:rsidR="00B45428">
        <w:rPr>
          <w:lang w:eastAsia="ja-JP"/>
        </w:rPr>
        <w:t xml:space="preserve"> the comparative datasets, renal and urinary</w:t>
      </w:r>
      <w:r w:rsidR="00DB440F">
        <w:rPr>
          <w:lang w:eastAsia="ja-JP"/>
        </w:rPr>
        <w:t xml:space="preserve"> </w:t>
      </w:r>
      <w:r w:rsidR="00B45428">
        <w:rPr>
          <w:lang w:eastAsia="ja-JP"/>
        </w:rPr>
        <w:t xml:space="preserve">adverse events </w:t>
      </w:r>
      <w:r w:rsidR="00DB440F">
        <w:rPr>
          <w:lang w:eastAsia="ja-JP"/>
        </w:rPr>
        <w:t xml:space="preserve">were reported more commonly in the </w:t>
      </w:r>
      <w:r w:rsidR="00B45428">
        <w:rPr>
          <w:lang w:eastAsia="ja-JP"/>
        </w:rPr>
        <w:t xml:space="preserve">advanced </w:t>
      </w:r>
      <w:r w:rsidR="00DB440F">
        <w:rPr>
          <w:lang w:eastAsia="ja-JP"/>
        </w:rPr>
        <w:t>urothelial carcinoma datasets (37.8% and 32.5%)</w:t>
      </w:r>
      <w:r w:rsidR="00B45428">
        <w:rPr>
          <w:lang w:eastAsia="ja-JP"/>
        </w:rPr>
        <w:t xml:space="preserve"> from the Keynote-045 and Keynote-</w:t>
      </w:r>
      <w:r w:rsidR="00B45428" w:rsidRPr="00B45428">
        <w:rPr>
          <w:lang w:eastAsia="ja-JP"/>
        </w:rPr>
        <w:t>052 trials</w:t>
      </w:r>
      <w:r w:rsidR="00B45428">
        <w:rPr>
          <w:lang w:eastAsia="ja-JP"/>
        </w:rPr>
        <w:t xml:space="preserve"> </w:t>
      </w:r>
      <w:r w:rsidR="00DB440F">
        <w:rPr>
          <w:lang w:eastAsia="ja-JP"/>
        </w:rPr>
        <w:t>than in the other two datasets (9.7% and 11.9%), which is attributable to the disease under study. The incidence figures for renal failure, renal impairment and nephritis were comparable across the four datasets.</w:t>
      </w:r>
    </w:p>
    <w:p w14:paraId="2858B006" w14:textId="77777777" w:rsidR="00C22214" w:rsidRDefault="00C22214" w:rsidP="00C22214">
      <w:pPr>
        <w:pStyle w:val="Heading3"/>
        <w:rPr>
          <w:lang w:eastAsia="en-AU"/>
        </w:rPr>
      </w:pPr>
      <w:bookmarkStart w:id="76" w:name="_Toc103679298"/>
      <w:bookmarkStart w:id="77" w:name="_Toc137117844"/>
      <w:r>
        <w:rPr>
          <w:lang w:eastAsia="en-AU"/>
        </w:rPr>
        <w:t>Risk management plan</w:t>
      </w:r>
      <w:bookmarkEnd w:id="75"/>
      <w:bookmarkEnd w:id="76"/>
      <w:bookmarkEnd w:id="77"/>
    </w:p>
    <w:p w14:paraId="39F3CD1D" w14:textId="2E4B8A9B" w:rsidR="0072003B" w:rsidRDefault="00C22214" w:rsidP="00C22214">
      <w:bookmarkStart w:id="78" w:name="_Toc247691531"/>
      <w:bookmarkStart w:id="79" w:name="_Toc314842515"/>
      <w:r>
        <w:t>The summary of safety concerns and their associated risk monitoring and mitigation strat</w:t>
      </w:r>
      <w:r w:rsidR="004151B9">
        <w:t xml:space="preserve">egies are summarised in </w:t>
      </w:r>
      <w:r w:rsidR="004151B9">
        <w:fldChar w:fldCharType="begin"/>
      </w:r>
      <w:r w:rsidR="004151B9">
        <w:instrText xml:space="preserve"> REF _Ref97629131 \h </w:instrText>
      </w:r>
      <w:r w:rsidR="004151B9">
        <w:fldChar w:fldCharType="separate"/>
      </w:r>
      <w:r w:rsidR="007F791A">
        <w:t xml:space="preserve">Table </w:t>
      </w:r>
      <w:r w:rsidR="007F791A">
        <w:rPr>
          <w:noProof/>
        </w:rPr>
        <w:t>11</w:t>
      </w:r>
      <w:r w:rsidR="004151B9">
        <w:fldChar w:fldCharType="end"/>
      </w:r>
      <w:r w:rsidR="004151B9">
        <w:t xml:space="preserve"> (shown below)</w:t>
      </w:r>
      <w:r w:rsidR="008C49C6">
        <w:t>.</w:t>
      </w:r>
      <w:r w:rsidR="0072003B">
        <w:t xml:space="preserve"> </w:t>
      </w:r>
      <w:r w:rsidR="00B45428">
        <w:t>Note that t</w:t>
      </w:r>
      <w:r w:rsidR="0072003B">
        <w:t>he TGA</w:t>
      </w:r>
      <w:r w:rsidR="00C07551">
        <w:t xml:space="preserve"> may</w:t>
      </w:r>
      <w:r w:rsidR="0072003B">
        <w:t xml:space="preserve"> request an updated </w:t>
      </w:r>
      <w:r w:rsidR="00B45428">
        <w:t>risk management plan (</w:t>
      </w:r>
      <w:r w:rsidR="0072003B">
        <w:t>RMP</w:t>
      </w:r>
      <w:r w:rsidR="00B45428">
        <w:t>)</w:t>
      </w:r>
      <w:r w:rsidR="0072003B">
        <w:t xml:space="preserve"> at any stage of a product's </w:t>
      </w:r>
      <w:proofErr w:type="gramStart"/>
      <w:r w:rsidR="0072003B">
        <w:t>life-cycle</w:t>
      </w:r>
      <w:proofErr w:type="gramEnd"/>
      <w:r w:rsidR="0072003B">
        <w:t>, during both the pre-approval and post-approval phases.</w:t>
      </w:r>
      <w:r w:rsidR="004151B9">
        <w:rPr>
          <w:rStyle w:val="FootnoteReference"/>
        </w:rPr>
        <w:footnoteReference w:id="35"/>
      </w:r>
    </w:p>
    <w:p w14:paraId="4425CF0C" w14:textId="4F7D53B2" w:rsidR="003432E3" w:rsidRDefault="00B45428" w:rsidP="003432E3">
      <w:r>
        <w:t>At the time that this submission was evaluated t</w:t>
      </w:r>
      <w:r w:rsidR="003432E3" w:rsidRPr="003432E3">
        <w:t xml:space="preserve">he most recently evaluated EU-RMP was version 25 (dated 12 July 2019; </w:t>
      </w:r>
      <w:r w:rsidR="003432E3">
        <w:t>data lock point (</w:t>
      </w:r>
      <w:r w:rsidR="003432E3" w:rsidRPr="003432E3">
        <w:t>DLP</w:t>
      </w:r>
      <w:r w:rsidR="003432E3">
        <w:t>)</w:t>
      </w:r>
      <w:r w:rsidR="003432E3" w:rsidRPr="003432E3">
        <w:t xml:space="preserve"> 24 August 2018) and </w:t>
      </w:r>
      <w:r w:rsidR="003432E3">
        <w:t xml:space="preserve">Australia-specific annex </w:t>
      </w:r>
      <w:r w:rsidR="003432E3">
        <w:lastRenderedPageBreak/>
        <w:t>(</w:t>
      </w:r>
      <w:r w:rsidR="003432E3" w:rsidRPr="003432E3">
        <w:t>ASA</w:t>
      </w:r>
      <w:r w:rsidR="003432E3">
        <w:t>)</w:t>
      </w:r>
      <w:r w:rsidR="003432E3" w:rsidRPr="003432E3">
        <w:t xml:space="preserve"> version 20 (dated 24 February 2020). In support of the extended indications, the sponsor has submit</w:t>
      </w:r>
      <w:r w:rsidR="003432E3">
        <w:t>ted EU-RMP version 27 (dated 11 </w:t>
      </w:r>
      <w:r w:rsidR="003432E3" w:rsidRPr="003432E3">
        <w:t>October 2019; DLP 24 August 2018) and ASA versi</w:t>
      </w:r>
      <w:r w:rsidR="00AB5180">
        <w:t>on 21 (dated 27 March 2020). EU</w:t>
      </w:r>
      <w:r w:rsidR="00AB5180">
        <w:noBreakHyphen/>
      </w:r>
      <w:r w:rsidR="003432E3" w:rsidRPr="003432E3">
        <w:t xml:space="preserve">RMP version 27 has been approved by the </w:t>
      </w:r>
      <w:r w:rsidR="003432E3">
        <w:t>European Medicines Agency (</w:t>
      </w:r>
      <w:r w:rsidR="003432E3" w:rsidRPr="003432E3">
        <w:t>EMA</w:t>
      </w:r>
      <w:r w:rsidR="003432E3">
        <w:t>)</w:t>
      </w:r>
      <w:r w:rsidR="003432E3" w:rsidRPr="003432E3">
        <w:t xml:space="preserve"> but does not </w:t>
      </w:r>
      <w:r w:rsidR="003432E3">
        <w:t xml:space="preserve">include </w:t>
      </w:r>
      <w:r w:rsidR="003432E3" w:rsidRPr="003432E3">
        <w:t xml:space="preserve">information regarding </w:t>
      </w:r>
      <w:r w:rsidR="003432E3">
        <w:rPr>
          <w:lang w:eastAsia="ja-JP"/>
        </w:rPr>
        <w:t xml:space="preserve">non-muscle invasive bladder cancer </w:t>
      </w:r>
      <w:r w:rsidR="003432E3" w:rsidRPr="003432E3">
        <w:t xml:space="preserve">as the sponsor has no plans to submit the currently proposed indication. The accompanying ASA (version 21) includes the information relevant to </w:t>
      </w:r>
      <w:r w:rsidR="003432E3">
        <w:rPr>
          <w:lang w:eastAsia="ja-JP"/>
        </w:rPr>
        <w:t>non-muscle invasive bladder cancer</w:t>
      </w:r>
      <w:r w:rsidR="003432E3" w:rsidRPr="003432E3">
        <w:t>.</w:t>
      </w:r>
    </w:p>
    <w:p w14:paraId="60AA305B" w14:textId="01483205" w:rsidR="004151B9" w:rsidRPr="003432E3" w:rsidRDefault="004151B9" w:rsidP="004151B9">
      <w:pPr>
        <w:pStyle w:val="TableTitle0"/>
      </w:pPr>
      <w:bookmarkStart w:id="80" w:name="_Ref97629131"/>
      <w:r>
        <w:t xml:space="preserve">Table </w:t>
      </w:r>
      <w:r w:rsidR="00B82441">
        <w:fldChar w:fldCharType="begin"/>
      </w:r>
      <w:r w:rsidR="00B82441">
        <w:instrText xml:space="preserve"> SEQ Table \* ARABIC </w:instrText>
      </w:r>
      <w:r w:rsidR="00B82441">
        <w:fldChar w:fldCharType="separate"/>
      </w:r>
      <w:r w:rsidR="007F791A">
        <w:rPr>
          <w:noProof/>
        </w:rPr>
        <w:t>11</w:t>
      </w:r>
      <w:r w:rsidR="00B82441">
        <w:rPr>
          <w:noProof/>
        </w:rPr>
        <w:fldChar w:fldCharType="end"/>
      </w:r>
      <w:bookmarkEnd w:id="80"/>
      <w:r>
        <w:t>: Summary of safety concerns</w:t>
      </w:r>
    </w:p>
    <w:tbl>
      <w:tblPr>
        <w:tblStyle w:val="TableTGAblue"/>
        <w:tblW w:w="8900" w:type="dxa"/>
        <w:tblLayout w:type="fixed"/>
        <w:tblLook w:val="04A0" w:firstRow="1" w:lastRow="0" w:firstColumn="1" w:lastColumn="0" w:noHBand="0" w:noVBand="1"/>
      </w:tblPr>
      <w:tblGrid>
        <w:gridCol w:w="1266"/>
        <w:gridCol w:w="3119"/>
        <w:gridCol w:w="992"/>
        <w:gridCol w:w="1276"/>
        <w:gridCol w:w="992"/>
        <w:gridCol w:w="1255"/>
      </w:tblGrid>
      <w:tr w:rsidR="004151B9" w:rsidRPr="004151B9" w14:paraId="0FE6DB72" w14:textId="77777777" w:rsidTr="007D7FDD">
        <w:trPr>
          <w:cnfStyle w:val="100000000000" w:firstRow="1" w:lastRow="0" w:firstColumn="0" w:lastColumn="0" w:oddVBand="0" w:evenVBand="0" w:oddHBand="0" w:evenHBand="0" w:firstRowFirstColumn="0" w:firstRowLastColumn="0" w:lastRowFirstColumn="0" w:lastRowLastColumn="0"/>
          <w:trHeight w:val="131"/>
        </w:trPr>
        <w:tc>
          <w:tcPr>
            <w:tcW w:w="4385" w:type="dxa"/>
            <w:gridSpan w:val="2"/>
            <w:vMerge w:val="restart"/>
            <w:tcBorders>
              <w:top w:val="single" w:sz="4" w:space="0" w:color="auto"/>
              <w:left w:val="single" w:sz="4" w:space="0" w:color="auto"/>
              <w:bottom w:val="single" w:sz="4" w:space="0" w:color="auto"/>
              <w:right w:val="single" w:sz="4" w:space="0" w:color="auto"/>
            </w:tcBorders>
            <w:vAlign w:val="center"/>
          </w:tcPr>
          <w:p w14:paraId="7984E8A1" w14:textId="77777777" w:rsidR="003432E3" w:rsidRPr="004151B9" w:rsidRDefault="003432E3" w:rsidP="004151B9">
            <w:r w:rsidRPr="004151B9">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7ADD708E" w14:textId="77777777" w:rsidR="003432E3" w:rsidRPr="004151B9" w:rsidRDefault="003432E3" w:rsidP="004151B9">
            <w:pPr>
              <w:spacing w:after="120" w:line="259" w:lineRule="auto"/>
              <w:ind w:left="0" w:right="0"/>
              <w:rPr>
                <w:sz w:val="20"/>
              </w:rPr>
            </w:pPr>
            <w:r w:rsidRPr="004151B9">
              <w:rPr>
                <w:sz w:val="20"/>
              </w:rPr>
              <w:t>Pharmacovigilance</w:t>
            </w:r>
          </w:p>
        </w:tc>
        <w:tc>
          <w:tcPr>
            <w:tcW w:w="2247" w:type="dxa"/>
            <w:gridSpan w:val="2"/>
            <w:tcBorders>
              <w:top w:val="single" w:sz="4" w:space="0" w:color="auto"/>
              <w:left w:val="single" w:sz="4" w:space="0" w:color="auto"/>
              <w:bottom w:val="single" w:sz="4" w:space="0" w:color="auto"/>
              <w:right w:val="single" w:sz="4" w:space="0" w:color="auto"/>
            </w:tcBorders>
          </w:tcPr>
          <w:p w14:paraId="1C33F265" w14:textId="77777777" w:rsidR="003432E3" w:rsidRPr="004151B9" w:rsidRDefault="003432E3" w:rsidP="004151B9">
            <w:pPr>
              <w:spacing w:after="120" w:line="259" w:lineRule="auto"/>
              <w:ind w:left="0" w:right="0"/>
              <w:rPr>
                <w:sz w:val="20"/>
              </w:rPr>
            </w:pPr>
            <w:r w:rsidRPr="004151B9">
              <w:rPr>
                <w:sz w:val="20"/>
              </w:rPr>
              <w:t>Risk Minimisation</w:t>
            </w:r>
          </w:p>
        </w:tc>
      </w:tr>
      <w:tr w:rsidR="004151B9" w:rsidRPr="004151B9" w14:paraId="5156F4AB" w14:textId="77777777" w:rsidTr="007D7FDD">
        <w:trPr>
          <w:trHeight w:val="150"/>
        </w:trPr>
        <w:tc>
          <w:tcPr>
            <w:tcW w:w="4385" w:type="dxa"/>
            <w:gridSpan w:val="2"/>
            <w:vMerge/>
            <w:tcBorders>
              <w:top w:val="single" w:sz="4" w:space="0" w:color="auto"/>
              <w:left w:val="single" w:sz="4" w:space="0" w:color="auto"/>
              <w:bottom w:val="single" w:sz="4" w:space="0" w:color="auto"/>
              <w:right w:val="single" w:sz="4" w:space="0" w:color="auto"/>
            </w:tcBorders>
          </w:tcPr>
          <w:p w14:paraId="267D5438" w14:textId="77777777" w:rsidR="003432E3" w:rsidRPr="004151B9" w:rsidRDefault="003432E3" w:rsidP="004151B9">
            <w:pPr>
              <w:spacing w:after="120" w:line="259" w:lineRule="auto"/>
              <w:ind w:left="0" w:right="0"/>
              <w:rPr>
                <w:b/>
                <w:sz w:val="20"/>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3114BDD7" w14:textId="77777777" w:rsidR="003432E3" w:rsidRPr="007D7FDD" w:rsidRDefault="003432E3" w:rsidP="004151B9">
            <w:pPr>
              <w:spacing w:after="120" w:line="259" w:lineRule="auto"/>
              <w:ind w:left="0" w:right="0"/>
              <w:rPr>
                <w:b/>
                <w:bCs/>
                <w:color w:val="FFFFFF" w:themeColor="background1"/>
                <w:sz w:val="20"/>
                <w:szCs w:val="20"/>
              </w:rPr>
            </w:pPr>
            <w:r w:rsidRPr="007D7FDD">
              <w:rPr>
                <w:b/>
                <w:bCs/>
                <w:color w:val="FFFFFF" w:themeColor="background1"/>
                <w:sz w:val="20"/>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03C39E40" w14:textId="77777777" w:rsidR="003432E3" w:rsidRPr="007D7FDD" w:rsidRDefault="003432E3" w:rsidP="004151B9">
            <w:pPr>
              <w:spacing w:after="120" w:line="259" w:lineRule="auto"/>
              <w:ind w:left="0" w:right="0"/>
              <w:rPr>
                <w:b/>
                <w:bCs/>
                <w:color w:val="FFFFFF" w:themeColor="background1"/>
                <w:sz w:val="20"/>
                <w:szCs w:val="20"/>
              </w:rPr>
            </w:pPr>
            <w:r w:rsidRPr="007D7FDD">
              <w:rPr>
                <w:b/>
                <w:bCs/>
                <w:color w:val="FFFFFF" w:themeColor="background1"/>
                <w:sz w:val="20"/>
                <w:szCs w:val="20"/>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29AB91F" w14:textId="77777777" w:rsidR="003432E3" w:rsidRPr="007D7FDD" w:rsidRDefault="003432E3" w:rsidP="004151B9">
            <w:pPr>
              <w:spacing w:after="120" w:line="259" w:lineRule="auto"/>
              <w:ind w:left="0" w:right="0"/>
              <w:rPr>
                <w:b/>
                <w:bCs/>
                <w:color w:val="FFFFFF" w:themeColor="background1"/>
                <w:sz w:val="20"/>
                <w:szCs w:val="20"/>
              </w:rPr>
            </w:pPr>
            <w:r w:rsidRPr="007D7FDD">
              <w:rPr>
                <w:b/>
                <w:bCs/>
                <w:color w:val="FFFFFF" w:themeColor="background1"/>
                <w:sz w:val="20"/>
                <w:szCs w:val="20"/>
              </w:rPr>
              <w:t>Routine</w:t>
            </w:r>
          </w:p>
        </w:tc>
        <w:tc>
          <w:tcPr>
            <w:tcW w:w="1255" w:type="dxa"/>
            <w:tcBorders>
              <w:top w:val="single" w:sz="4" w:space="0" w:color="auto"/>
              <w:left w:val="single" w:sz="4" w:space="0" w:color="auto"/>
              <w:bottom w:val="single" w:sz="4" w:space="0" w:color="auto"/>
              <w:right w:val="single" w:sz="4" w:space="0" w:color="auto"/>
            </w:tcBorders>
            <w:shd w:val="clear" w:color="auto" w:fill="006DA7"/>
          </w:tcPr>
          <w:p w14:paraId="04BC92C3" w14:textId="77777777" w:rsidR="003432E3" w:rsidRPr="007D7FDD" w:rsidRDefault="003432E3" w:rsidP="004151B9">
            <w:pPr>
              <w:spacing w:after="120" w:line="259" w:lineRule="auto"/>
              <w:ind w:left="0" w:right="0"/>
              <w:rPr>
                <w:b/>
                <w:bCs/>
                <w:color w:val="FFFFFF" w:themeColor="background1"/>
                <w:sz w:val="20"/>
                <w:szCs w:val="20"/>
              </w:rPr>
            </w:pPr>
            <w:r w:rsidRPr="007D7FDD">
              <w:rPr>
                <w:b/>
                <w:bCs/>
                <w:color w:val="FFFFFF" w:themeColor="background1"/>
                <w:sz w:val="20"/>
                <w:szCs w:val="20"/>
              </w:rPr>
              <w:t>Additional</w:t>
            </w:r>
          </w:p>
        </w:tc>
      </w:tr>
      <w:tr w:rsidR="004151B9" w:rsidRPr="004151B9" w14:paraId="5998E2FF" w14:textId="77777777" w:rsidTr="007D7FDD">
        <w:trPr>
          <w:trHeight w:val="137"/>
        </w:trPr>
        <w:tc>
          <w:tcPr>
            <w:tcW w:w="1266" w:type="dxa"/>
            <w:tcBorders>
              <w:top w:val="single" w:sz="4" w:space="0" w:color="auto"/>
            </w:tcBorders>
            <w:vAlign w:val="center"/>
          </w:tcPr>
          <w:p w14:paraId="0FF52CF1" w14:textId="77777777" w:rsidR="003432E3" w:rsidRPr="004151B9" w:rsidRDefault="003432E3" w:rsidP="004151B9">
            <w:pPr>
              <w:spacing w:after="120" w:line="259" w:lineRule="auto"/>
              <w:ind w:left="0" w:right="0"/>
              <w:rPr>
                <w:b/>
                <w:sz w:val="20"/>
              </w:rPr>
            </w:pPr>
            <w:r w:rsidRPr="004151B9">
              <w:rPr>
                <w:b/>
                <w:sz w:val="20"/>
              </w:rPr>
              <w:t>Important identified risks</w:t>
            </w:r>
          </w:p>
        </w:tc>
        <w:tc>
          <w:tcPr>
            <w:tcW w:w="3119" w:type="dxa"/>
            <w:tcBorders>
              <w:top w:val="single" w:sz="4" w:space="0" w:color="auto"/>
            </w:tcBorders>
          </w:tcPr>
          <w:p w14:paraId="4BC9C229" w14:textId="77777777" w:rsidR="003432E3" w:rsidRPr="004151B9" w:rsidRDefault="003432E3" w:rsidP="004151B9">
            <w:pPr>
              <w:spacing w:after="120" w:line="259" w:lineRule="auto"/>
              <w:ind w:left="0" w:right="0"/>
              <w:rPr>
                <w:sz w:val="20"/>
              </w:rPr>
            </w:pPr>
            <w:r w:rsidRPr="004151B9">
              <w:rPr>
                <w:sz w:val="20"/>
              </w:rPr>
              <w:t>Immune-related adverse reactions (including immune related pneumonitis, colitis, hepatitis, nephritis, and endocrinopathies)</w:t>
            </w:r>
          </w:p>
        </w:tc>
        <w:tc>
          <w:tcPr>
            <w:tcW w:w="992" w:type="dxa"/>
            <w:tcBorders>
              <w:top w:val="single" w:sz="4" w:space="0" w:color="auto"/>
            </w:tcBorders>
          </w:tcPr>
          <w:p w14:paraId="162A89F8"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76" w:type="dxa"/>
            <w:tcBorders>
              <w:top w:val="single" w:sz="4" w:space="0" w:color="auto"/>
            </w:tcBorders>
          </w:tcPr>
          <w:p w14:paraId="78FBB838"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r w:rsidRPr="004151B9">
              <w:rPr>
                <w:vertAlign w:val="superscript"/>
              </w:rPr>
              <w:t>1</w:t>
            </w:r>
          </w:p>
        </w:tc>
        <w:tc>
          <w:tcPr>
            <w:tcW w:w="992" w:type="dxa"/>
            <w:tcBorders>
              <w:top w:val="single" w:sz="4" w:space="0" w:color="auto"/>
            </w:tcBorders>
          </w:tcPr>
          <w:p w14:paraId="6BD74755"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55" w:type="dxa"/>
            <w:tcBorders>
              <w:top w:val="single" w:sz="4" w:space="0" w:color="auto"/>
            </w:tcBorders>
          </w:tcPr>
          <w:p w14:paraId="3CD885FC"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r w:rsidRPr="004151B9">
              <w:rPr>
                <w:vertAlign w:val="superscript"/>
              </w:rPr>
              <w:t>3</w:t>
            </w:r>
          </w:p>
        </w:tc>
      </w:tr>
      <w:tr w:rsidR="004151B9" w:rsidRPr="004151B9" w14:paraId="603D9C37" w14:textId="77777777" w:rsidTr="007D7FDD">
        <w:trPr>
          <w:trHeight w:val="159"/>
        </w:trPr>
        <w:tc>
          <w:tcPr>
            <w:tcW w:w="1266" w:type="dxa"/>
            <w:vMerge w:val="restart"/>
            <w:vAlign w:val="center"/>
          </w:tcPr>
          <w:p w14:paraId="5949314B" w14:textId="77777777" w:rsidR="003432E3" w:rsidRPr="004151B9" w:rsidRDefault="003432E3" w:rsidP="004151B9">
            <w:pPr>
              <w:spacing w:after="120" w:line="259" w:lineRule="auto"/>
              <w:ind w:left="0" w:right="0"/>
              <w:rPr>
                <w:b/>
                <w:sz w:val="20"/>
              </w:rPr>
            </w:pPr>
            <w:r w:rsidRPr="004151B9">
              <w:rPr>
                <w:b/>
                <w:sz w:val="20"/>
              </w:rPr>
              <w:t>Important potential risks</w:t>
            </w:r>
          </w:p>
        </w:tc>
        <w:tc>
          <w:tcPr>
            <w:tcW w:w="3119" w:type="dxa"/>
          </w:tcPr>
          <w:p w14:paraId="67F4F039" w14:textId="126BEB40" w:rsidR="003432E3" w:rsidRPr="004151B9" w:rsidRDefault="003432E3" w:rsidP="004151B9">
            <w:pPr>
              <w:spacing w:after="120" w:line="259" w:lineRule="auto"/>
              <w:ind w:left="0" w:right="0"/>
              <w:rPr>
                <w:sz w:val="20"/>
              </w:rPr>
            </w:pPr>
            <w:r w:rsidRPr="004151B9">
              <w:rPr>
                <w:i/>
                <w:sz w:val="20"/>
              </w:rPr>
              <w:t>For h</w:t>
            </w:r>
            <w:r w:rsidR="004151B9" w:rsidRPr="004151B9">
              <w:rPr>
                <w:i/>
                <w:sz w:val="20"/>
              </w:rPr>
              <w:t>a</w:t>
            </w:r>
            <w:r w:rsidRPr="004151B9">
              <w:rPr>
                <w:i/>
                <w:sz w:val="20"/>
              </w:rPr>
              <w:t>ematologic malignancies</w:t>
            </w:r>
            <w:r w:rsidRPr="004151B9">
              <w:rPr>
                <w:sz w:val="20"/>
              </w:rPr>
              <w:t>: increased risk of severe complications of allogeneic stem cell transplantation (SCT) in patients who have previously received pembrolizumab</w:t>
            </w:r>
          </w:p>
        </w:tc>
        <w:tc>
          <w:tcPr>
            <w:tcW w:w="992" w:type="dxa"/>
          </w:tcPr>
          <w:p w14:paraId="3AB09CB7"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76" w:type="dxa"/>
          </w:tcPr>
          <w:p w14:paraId="2478E270"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r w:rsidRPr="004151B9">
              <w:rPr>
                <w:vertAlign w:val="superscript"/>
              </w:rPr>
              <w:t>1</w:t>
            </w:r>
          </w:p>
        </w:tc>
        <w:tc>
          <w:tcPr>
            <w:tcW w:w="992" w:type="dxa"/>
          </w:tcPr>
          <w:p w14:paraId="4C93A0E1"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55" w:type="dxa"/>
          </w:tcPr>
          <w:p w14:paraId="568FA86F"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r>
      <w:tr w:rsidR="004151B9" w:rsidRPr="004151B9" w14:paraId="286CCF2B" w14:textId="77777777" w:rsidTr="007D7FDD">
        <w:trPr>
          <w:trHeight w:val="122"/>
        </w:trPr>
        <w:tc>
          <w:tcPr>
            <w:tcW w:w="1266" w:type="dxa"/>
            <w:vMerge/>
            <w:vAlign w:val="center"/>
          </w:tcPr>
          <w:p w14:paraId="369EC76B" w14:textId="77777777" w:rsidR="003432E3" w:rsidRPr="004151B9" w:rsidRDefault="003432E3" w:rsidP="004151B9">
            <w:pPr>
              <w:spacing w:after="120" w:line="259" w:lineRule="auto"/>
              <w:ind w:left="0" w:right="0"/>
              <w:rPr>
                <w:b/>
                <w:sz w:val="20"/>
              </w:rPr>
            </w:pPr>
          </w:p>
        </w:tc>
        <w:tc>
          <w:tcPr>
            <w:tcW w:w="3119" w:type="dxa"/>
          </w:tcPr>
          <w:p w14:paraId="04551AC2" w14:textId="77777777" w:rsidR="003432E3" w:rsidRPr="004151B9" w:rsidRDefault="003432E3" w:rsidP="004151B9">
            <w:pPr>
              <w:spacing w:after="120" w:line="259" w:lineRule="auto"/>
              <w:ind w:left="0" w:right="0"/>
              <w:rPr>
                <w:sz w:val="20"/>
              </w:rPr>
            </w:pPr>
            <w:r w:rsidRPr="004151B9">
              <w:rPr>
                <w:sz w:val="20"/>
              </w:rPr>
              <w:t>Graft versus host disease (GVHD) after pembrolizumab administration in patients with a history of allogeneic stem cell transplant (SCT)</w:t>
            </w:r>
          </w:p>
        </w:tc>
        <w:tc>
          <w:tcPr>
            <w:tcW w:w="992" w:type="dxa"/>
          </w:tcPr>
          <w:p w14:paraId="4FF03182"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76" w:type="dxa"/>
          </w:tcPr>
          <w:p w14:paraId="4CA8286F"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r w:rsidRPr="004151B9">
              <w:rPr>
                <w:vertAlign w:val="superscript"/>
              </w:rPr>
              <w:t>1, 2</w:t>
            </w:r>
          </w:p>
        </w:tc>
        <w:tc>
          <w:tcPr>
            <w:tcW w:w="992" w:type="dxa"/>
          </w:tcPr>
          <w:p w14:paraId="6A240CDA"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55" w:type="dxa"/>
          </w:tcPr>
          <w:p w14:paraId="040E01EF"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r>
      <w:tr w:rsidR="004151B9" w:rsidRPr="004151B9" w14:paraId="51B4CBB3" w14:textId="77777777" w:rsidTr="007D7FDD">
        <w:trPr>
          <w:trHeight w:val="178"/>
        </w:trPr>
        <w:tc>
          <w:tcPr>
            <w:tcW w:w="1266" w:type="dxa"/>
            <w:vAlign w:val="center"/>
          </w:tcPr>
          <w:p w14:paraId="715477F0" w14:textId="77777777" w:rsidR="003432E3" w:rsidRPr="004151B9" w:rsidRDefault="003432E3" w:rsidP="004151B9">
            <w:pPr>
              <w:spacing w:after="120" w:line="259" w:lineRule="auto"/>
              <w:ind w:left="0" w:right="0"/>
              <w:rPr>
                <w:b/>
                <w:sz w:val="20"/>
              </w:rPr>
            </w:pPr>
            <w:r w:rsidRPr="004151B9">
              <w:rPr>
                <w:b/>
                <w:sz w:val="20"/>
              </w:rPr>
              <w:t>Missing information</w:t>
            </w:r>
          </w:p>
        </w:tc>
        <w:tc>
          <w:tcPr>
            <w:tcW w:w="3119" w:type="dxa"/>
          </w:tcPr>
          <w:p w14:paraId="508A31CA" w14:textId="77777777" w:rsidR="003432E3" w:rsidRPr="004151B9" w:rsidRDefault="003432E3" w:rsidP="004151B9">
            <w:pPr>
              <w:spacing w:after="120" w:line="259" w:lineRule="auto"/>
              <w:ind w:left="0" w:right="0"/>
              <w:rPr>
                <w:sz w:val="20"/>
              </w:rPr>
            </w:pPr>
            <w:r w:rsidRPr="004151B9">
              <w:rPr>
                <w:sz w:val="20"/>
              </w:rPr>
              <w:t>Long term safety</w:t>
            </w:r>
          </w:p>
        </w:tc>
        <w:tc>
          <w:tcPr>
            <w:tcW w:w="992" w:type="dxa"/>
          </w:tcPr>
          <w:p w14:paraId="60A4F91C"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p>
        </w:tc>
        <w:tc>
          <w:tcPr>
            <w:tcW w:w="1276" w:type="dxa"/>
          </w:tcPr>
          <w:p w14:paraId="33F58223" w14:textId="77777777" w:rsidR="003432E3" w:rsidRPr="004151B9" w:rsidRDefault="003432E3" w:rsidP="004151B9">
            <w:pPr>
              <w:spacing w:after="120" w:line="259" w:lineRule="auto"/>
              <w:ind w:left="0" w:right="0"/>
              <w:jc w:val="center"/>
            </w:pPr>
            <w:r w:rsidRPr="004151B9">
              <w:rPr>
                <w:rFonts w:ascii="Wingdings" w:eastAsia="Wingdings" w:hAnsi="Wingdings" w:cs="Wingdings"/>
              </w:rPr>
              <w:t></w:t>
            </w:r>
            <w:r w:rsidRPr="004151B9">
              <w:rPr>
                <w:vertAlign w:val="superscript"/>
              </w:rPr>
              <w:t>1</w:t>
            </w:r>
          </w:p>
        </w:tc>
        <w:tc>
          <w:tcPr>
            <w:tcW w:w="992" w:type="dxa"/>
          </w:tcPr>
          <w:p w14:paraId="6C8E3FD2" w14:textId="77777777" w:rsidR="003432E3" w:rsidRPr="004151B9" w:rsidRDefault="003432E3" w:rsidP="004151B9">
            <w:pPr>
              <w:spacing w:after="120" w:line="259" w:lineRule="auto"/>
              <w:ind w:left="0" w:right="0"/>
              <w:jc w:val="center"/>
            </w:pPr>
            <w:r w:rsidRPr="004151B9">
              <w:t>–</w:t>
            </w:r>
          </w:p>
        </w:tc>
        <w:tc>
          <w:tcPr>
            <w:tcW w:w="1255" w:type="dxa"/>
          </w:tcPr>
          <w:p w14:paraId="28334397" w14:textId="77777777" w:rsidR="003432E3" w:rsidRPr="004151B9" w:rsidRDefault="003432E3" w:rsidP="004151B9">
            <w:pPr>
              <w:spacing w:after="120" w:line="259" w:lineRule="auto"/>
              <w:ind w:left="0" w:right="0"/>
              <w:jc w:val="center"/>
            </w:pPr>
            <w:r w:rsidRPr="004151B9">
              <w:t>–</w:t>
            </w:r>
          </w:p>
        </w:tc>
      </w:tr>
    </w:tbl>
    <w:p w14:paraId="53B1747A" w14:textId="77777777" w:rsidR="004151B9" w:rsidRDefault="003432E3" w:rsidP="00011226">
      <w:pPr>
        <w:pStyle w:val="TableDescription0"/>
      </w:pPr>
      <w:r w:rsidRPr="004151B9">
        <w:t>1</w:t>
      </w:r>
      <w:r w:rsidR="004151B9">
        <w:t>:</w:t>
      </w:r>
      <w:r w:rsidRPr="004151B9">
        <w:t xml:space="preserve"> Clinical </w:t>
      </w:r>
      <w:proofErr w:type="gramStart"/>
      <w:r w:rsidRPr="004151B9">
        <w:t>trial</w:t>
      </w:r>
      <w:r w:rsidR="004151B9">
        <w:t>;</w:t>
      </w:r>
      <w:proofErr w:type="gramEnd"/>
    </w:p>
    <w:p w14:paraId="34DF9B3F" w14:textId="1294A252" w:rsidR="004151B9" w:rsidRDefault="003432E3" w:rsidP="00011226">
      <w:pPr>
        <w:pStyle w:val="TableDescription0"/>
      </w:pPr>
      <w:r w:rsidRPr="004151B9">
        <w:t>2</w:t>
      </w:r>
      <w:r w:rsidR="004151B9">
        <w:t>:</w:t>
      </w:r>
      <w:r w:rsidRPr="004151B9">
        <w:t xml:space="preserve"> </w:t>
      </w:r>
      <w:r w:rsidR="004151B9">
        <w:t>Cumulative review of cases</w:t>
      </w:r>
    </w:p>
    <w:p w14:paraId="05BDA825" w14:textId="19E40E92" w:rsidR="004151B9" w:rsidRDefault="003432E3" w:rsidP="00011226">
      <w:pPr>
        <w:pStyle w:val="TableDescription0"/>
      </w:pPr>
      <w:r w:rsidRPr="004151B9">
        <w:t>3</w:t>
      </w:r>
      <w:r w:rsidR="004151B9">
        <w:t>:</w:t>
      </w:r>
      <w:r w:rsidRPr="004151B9">
        <w:t xml:space="preserve"> Patient education</w:t>
      </w:r>
      <w:r w:rsidR="004151B9">
        <w:t>.</w:t>
      </w:r>
    </w:p>
    <w:p w14:paraId="424ED180" w14:textId="2C5C6B20" w:rsidR="003432E3" w:rsidRPr="003432E3" w:rsidRDefault="003432E3" w:rsidP="00011226">
      <w:pPr>
        <w:spacing w:before="240"/>
      </w:pPr>
      <w:r w:rsidRPr="003432E3">
        <w:t xml:space="preserve">The summary of safety concerns is the same as the safety summary evaluated </w:t>
      </w:r>
      <w:r w:rsidR="003E3CD8">
        <w:t>previously as part of</w:t>
      </w:r>
      <w:r w:rsidRPr="003432E3">
        <w:t xml:space="preserve"> submission PM-2019-02633-1-4.</w:t>
      </w:r>
      <w:r w:rsidR="003E3CD8">
        <w:rPr>
          <w:rStyle w:val="FootnoteReference"/>
        </w:rPr>
        <w:footnoteReference w:id="36"/>
      </w:r>
      <w:r w:rsidRPr="003432E3">
        <w:t xml:space="preserve"> The proposed extension of indications is not expected to change the summary of safety concerns from an RMP perspective. The above summary of safety concerns is acceptable.</w:t>
      </w:r>
    </w:p>
    <w:p w14:paraId="64C7E647" w14:textId="30E5967D" w:rsidR="003432E3" w:rsidRPr="003432E3" w:rsidRDefault="003432E3" w:rsidP="003432E3">
      <w:r w:rsidRPr="003432E3">
        <w:t xml:space="preserve">Routine and additional pharmacovigilance activities have been proposed as shown in </w:t>
      </w:r>
      <w:r w:rsidR="003E3CD8">
        <w:fldChar w:fldCharType="begin"/>
      </w:r>
      <w:r w:rsidR="003E3CD8">
        <w:instrText xml:space="preserve"> REF _Ref97629131 \h </w:instrText>
      </w:r>
      <w:r w:rsidR="003E3CD8">
        <w:fldChar w:fldCharType="separate"/>
      </w:r>
      <w:r w:rsidR="007F791A">
        <w:t xml:space="preserve">Table </w:t>
      </w:r>
      <w:r w:rsidR="007F791A">
        <w:rPr>
          <w:noProof/>
        </w:rPr>
        <w:t>11</w:t>
      </w:r>
      <w:r w:rsidR="003E3CD8">
        <w:fldChar w:fldCharType="end"/>
      </w:r>
      <w:r w:rsidR="003E3CD8">
        <w:t xml:space="preserve"> </w:t>
      </w:r>
      <w:r w:rsidRPr="003432E3">
        <w:t>above. The sponsor has provided a clinical study plan as required for the pro</w:t>
      </w:r>
      <w:r w:rsidR="003E3CD8">
        <w:t>visional registration. The TGA will</w:t>
      </w:r>
      <w:r w:rsidRPr="003432E3">
        <w:t xml:space="preserve"> consider the adequacy of this plan.</w:t>
      </w:r>
    </w:p>
    <w:p w14:paraId="63DA1645" w14:textId="4750AC2E" w:rsidR="003432E3" w:rsidRPr="003432E3" w:rsidRDefault="003E3CD8" w:rsidP="003432E3">
      <w:r>
        <w:t>The sponsor has</w:t>
      </w:r>
      <w:r w:rsidR="003432E3" w:rsidRPr="003432E3">
        <w:t xml:space="preserve"> proposed to discontinue </w:t>
      </w:r>
      <w:r>
        <w:t>the Healthcare Professional (HCP)</w:t>
      </w:r>
      <w:r w:rsidR="003432E3" w:rsidRPr="003432E3">
        <w:t xml:space="preserve"> education brochure in Australia. </w:t>
      </w:r>
      <w:r>
        <w:t>At the second round of RMP evaluation, the</w:t>
      </w:r>
      <w:r w:rsidR="003432E3" w:rsidRPr="003432E3">
        <w:t xml:space="preserve"> TGA has agreed to this change through a </w:t>
      </w:r>
      <w:r w:rsidR="003432E3" w:rsidRPr="003432E3">
        <w:lastRenderedPageBreak/>
        <w:t xml:space="preserve">different </w:t>
      </w:r>
      <w:r>
        <w:t xml:space="preserve">submission than </w:t>
      </w:r>
      <w:r w:rsidR="00012F22">
        <w:t xml:space="preserve">the submission </w:t>
      </w:r>
      <w:r>
        <w:t>currently under consideration</w:t>
      </w:r>
      <w:r w:rsidR="00012F22">
        <w:t xml:space="preserve"> [and discussed in this AusPAR]</w:t>
      </w:r>
      <w:r w:rsidR="003432E3" w:rsidRPr="003432E3">
        <w:t>.</w:t>
      </w:r>
      <w:r>
        <w:t xml:space="preserve"> The RMP evaluation</w:t>
      </w:r>
      <w:r w:rsidR="003432E3" w:rsidRPr="003432E3">
        <w:t xml:space="preserve"> considers</w:t>
      </w:r>
      <w:r>
        <w:t xml:space="preserve"> the</w:t>
      </w:r>
      <w:r w:rsidR="003432E3" w:rsidRPr="003432E3">
        <w:t xml:space="preserve"> routine risk minimisation measures (</w:t>
      </w:r>
      <w:r>
        <w:t>that is, the Product Information</w:t>
      </w:r>
      <w:r w:rsidR="003432E3" w:rsidRPr="003432E3">
        <w:t>) are acceptable, from an RMP perspective, to inform the HCPs about the adverse events associated with Keytruda. The patient education m</w:t>
      </w:r>
      <w:r w:rsidR="00381A6E">
        <w:t>aterials (</w:t>
      </w:r>
      <w:r w:rsidR="00012F22">
        <w:t xml:space="preserve">a </w:t>
      </w:r>
      <w:r w:rsidR="00381A6E">
        <w:t>patient brochure and Patient Alert C</w:t>
      </w:r>
      <w:r w:rsidR="003432E3" w:rsidRPr="003432E3">
        <w:t>ard) continue to be implemented. The risk minimisation plan is acceptable.</w:t>
      </w:r>
    </w:p>
    <w:p w14:paraId="2560828F" w14:textId="77777777" w:rsidR="003432E3" w:rsidRPr="00381A6E" w:rsidRDefault="003432E3" w:rsidP="00381A6E">
      <w:bookmarkStart w:id="81" w:name="_Toc63256123"/>
      <w:r w:rsidRPr="00381A6E">
        <w:t>The sponsor has committed to the following:</w:t>
      </w:r>
      <w:bookmarkEnd w:id="81"/>
    </w:p>
    <w:p w14:paraId="027D725B" w14:textId="00CD7214" w:rsidR="003432E3" w:rsidRPr="003432E3" w:rsidRDefault="00381A6E" w:rsidP="00381A6E">
      <w:pPr>
        <w:pStyle w:val="ListBullet"/>
      </w:pPr>
      <w:r>
        <w:t>To update the table</w:t>
      </w:r>
      <w:r w:rsidR="003432E3" w:rsidRPr="003432E3">
        <w:t xml:space="preserve"> in the ASA (Summary of the RMP in Australia) to correctly show the pharmacovigilance activities that are implemented for ‘GVHD </w:t>
      </w:r>
      <w:r>
        <w:t xml:space="preserve">[graft versus host disease] </w:t>
      </w:r>
      <w:r w:rsidR="003432E3" w:rsidRPr="003432E3">
        <w:t>after pembrolizumab administration in patients with a history of allogeneic SCT</w:t>
      </w:r>
      <w:r>
        <w:t xml:space="preserve"> [stem cell transplantation]</w:t>
      </w:r>
      <w:r w:rsidR="003432E3" w:rsidRPr="003432E3">
        <w:t>’ and ‘Long-term safety’, when the ASA is next updated.</w:t>
      </w:r>
    </w:p>
    <w:p w14:paraId="2198CEB3" w14:textId="4BC15FEA" w:rsidR="003432E3" w:rsidRPr="003432E3" w:rsidRDefault="003432E3" w:rsidP="00381A6E">
      <w:pPr>
        <w:pStyle w:val="ListBullet"/>
      </w:pPr>
      <w:r w:rsidRPr="003432E3">
        <w:t xml:space="preserve">To update the </w:t>
      </w:r>
      <w:r w:rsidR="00381A6E">
        <w:t>Consumers Medicines Information (</w:t>
      </w:r>
      <w:r w:rsidRPr="003432E3">
        <w:t>CMI</w:t>
      </w:r>
      <w:r w:rsidR="00381A6E">
        <w:t>)</w:t>
      </w:r>
      <w:r w:rsidRPr="003432E3">
        <w:t xml:space="preserve"> to the new format as soon as practicable and </w:t>
      </w:r>
      <w:r w:rsidRPr="003432E3">
        <w:rPr>
          <w:iCs/>
        </w:rPr>
        <w:t xml:space="preserve">revise the statement regarding provisional approval as per TGA recommended </w:t>
      </w:r>
      <w:r w:rsidR="00381A6E" w:rsidRPr="003432E3">
        <w:rPr>
          <w:iCs/>
        </w:rPr>
        <w:t>format</w:t>
      </w:r>
      <w:r w:rsidR="00381A6E">
        <w:rPr>
          <w:iCs/>
        </w:rPr>
        <w:t>ting, to include the term ‘</w:t>
      </w:r>
      <w:r w:rsidRPr="00381A6E">
        <w:rPr>
          <w:iCs/>
        </w:rPr>
        <w:t>Provisional approval</w:t>
      </w:r>
      <w:r w:rsidR="00381A6E">
        <w:rPr>
          <w:iCs/>
        </w:rPr>
        <w:t>’ in bolt text formatting</w:t>
      </w:r>
      <w:r w:rsidRPr="003432E3">
        <w:rPr>
          <w:iCs/>
        </w:rPr>
        <w:t>, during this update.</w:t>
      </w:r>
    </w:p>
    <w:p w14:paraId="7E3E60FF" w14:textId="77777777" w:rsidR="003432E3" w:rsidRPr="003432E3" w:rsidRDefault="003432E3" w:rsidP="00381A6E">
      <w:pPr>
        <w:pStyle w:val="Heading4"/>
      </w:pPr>
      <w:bookmarkStart w:id="82" w:name="_Toc63256124"/>
      <w:bookmarkStart w:id="83" w:name="_Toc137117845"/>
      <w:r w:rsidRPr="003432E3">
        <w:t>Wording for conditions of registration</w:t>
      </w:r>
      <w:bookmarkEnd w:id="82"/>
      <w:bookmarkEnd w:id="83"/>
    </w:p>
    <w:p w14:paraId="3A1C21C7" w14:textId="6B23F0D0" w:rsidR="003432E3" w:rsidRPr="003432E3" w:rsidRDefault="003432E3" w:rsidP="003432E3">
      <w:r w:rsidRPr="003432E3">
        <w:t xml:space="preserve">Any changes to which the sponsor has agreed should be included in a revised RMP and ASA. However, irrespective of </w:t>
      </w:r>
      <w:proofErr w:type="gramStart"/>
      <w:r w:rsidRPr="003432E3">
        <w:t>whether or not</w:t>
      </w:r>
      <w:proofErr w:type="gramEnd"/>
      <w:r w:rsidRPr="003432E3">
        <w:t xml:space="preserve"> they are included in the currently available version of the RMP document, the agreed changes become part of the risk management system.</w:t>
      </w:r>
    </w:p>
    <w:p w14:paraId="6448B4F8" w14:textId="5CDA5146" w:rsidR="003432E3" w:rsidRPr="003432E3" w:rsidRDefault="003432E3" w:rsidP="003432E3">
      <w:r w:rsidRPr="003432E3">
        <w:t>The suggested wording is:</w:t>
      </w:r>
    </w:p>
    <w:p w14:paraId="54537A97" w14:textId="78A3E5DC" w:rsidR="003432E3" w:rsidRPr="00381A6E" w:rsidRDefault="003432E3" w:rsidP="00381A6E">
      <w:pPr>
        <w:ind w:left="720"/>
        <w:rPr>
          <w:iCs/>
        </w:rPr>
      </w:pPr>
      <w:r w:rsidRPr="00381A6E">
        <w:rPr>
          <w:iCs/>
        </w:rPr>
        <w:t xml:space="preserve">The </w:t>
      </w:r>
      <w:r w:rsidR="00381A6E" w:rsidRPr="00381A6E">
        <w:rPr>
          <w:iCs/>
        </w:rPr>
        <w:t xml:space="preserve">Keytruda </w:t>
      </w:r>
      <w:r w:rsidRPr="00381A6E">
        <w:rPr>
          <w:iCs/>
        </w:rPr>
        <w:t>EU-Risk Management Plan (RMP) (version 27, dated 11 October 2019, data lock point 24 August 2018), with Australian Specific Annex (version 21, dated 27 March 2020), included with submission PM-2020-01294-1-4, and any subsequent revisions, as agreed with the TGA will be implemented in Australia.</w:t>
      </w:r>
    </w:p>
    <w:p w14:paraId="2192CD4C" w14:textId="3E6CD20E" w:rsidR="003432E3" w:rsidRPr="00381A6E" w:rsidRDefault="003432E3" w:rsidP="00381A6E">
      <w:pPr>
        <w:ind w:left="720"/>
        <w:rPr>
          <w:iCs/>
          <w:u w:val="single"/>
        </w:rPr>
      </w:pPr>
      <w:r w:rsidRPr="00381A6E">
        <w:rPr>
          <w:iCs/>
        </w:rPr>
        <w:t>An obligatory component of risk management plans is routine pharmacovigilance. Routine pharmacovigilance includes the submission of periodic safety update reports (PSURs).</w:t>
      </w:r>
    </w:p>
    <w:p w14:paraId="570ECCB3" w14:textId="6B1485ED" w:rsidR="003432E3" w:rsidRPr="003432E3" w:rsidRDefault="003432E3" w:rsidP="003432E3">
      <w:r w:rsidRPr="003432E3">
        <w:rPr>
          <w:iCs/>
        </w:rPr>
        <w:t xml:space="preserve">As </w:t>
      </w:r>
      <w:r w:rsidR="00381A6E" w:rsidRPr="003432E3">
        <w:rPr>
          <w:iCs/>
        </w:rPr>
        <w:t xml:space="preserve">Keytruda </w:t>
      </w:r>
      <w:r w:rsidRPr="003432E3">
        <w:rPr>
          <w:iCs/>
        </w:rPr>
        <w:t xml:space="preserve">is being considered for a provisional registration, it should be included in the Black Triangle Scheme. </w:t>
      </w:r>
      <w:r w:rsidR="00381A6E" w:rsidRPr="003432E3">
        <w:t xml:space="preserve">Keytruda </w:t>
      </w:r>
      <w:r w:rsidRPr="003432E3">
        <w:t xml:space="preserve">is currently included in the Black Triangle Scheme and should continue to be included for the entire period of provisional registration </w:t>
      </w:r>
      <w:r w:rsidRPr="003432E3">
        <w:rPr>
          <w:iCs/>
        </w:rPr>
        <w:t xml:space="preserve">as a condition of registration. </w:t>
      </w:r>
      <w:r w:rsidRPr="003432E3">
        <w:t>The following wording is recommended for the condition of registration:</w:t>
      </w:r>
    </w:p>
    <w:p w14:paraId="6DCFC4F8" w14:textId="34D139A1" w:rsidR="003432E3" w:rsidRPr="00381A6E" w:rsidRDefault="00381A6E" w:rsidP="00381A6E">
      <w:pPr>
        <w:ind w:left="720"/>
      </w:pPr>
      <w:r w:rsidRPr="00381A6E">
        <w:t xml:space="preserve">Keytruda </w:t>
      </w:r>
      <w:r w:rsidR="003432E3" w:rsidRPr="00381A6E">
        <w:t xml:space="preserve">(pembrolizumab) is to be included in the Black Triangle Scheme. The PI, CMI and additional risk minimisation materials for </w:t>
      </w:r>
      <w:r w:rsidRPr="00381A6E">
        <w:t xml:space="preserve">Keytruda </w:t>
      </w:r>
      <w:r w:rsidR="003432E3" w:rsidRPr="00381A6E">
        <w:t>must include the black triangle symbol and mandatory accompanying text for the products entire period of provisional registration.</w:t>
      </w:r>
    </w:p>
    <w:p w14:paraId="56C4450B" w14:textId="78D732CF" w:rsidR="003432E3" w:rsidRPr="003432E3" w:rsidRDefault="003432E3" w:rsidP="003432E3">
      <w:r w:rsidRPr="003432E3">
        <w:rPr>
          <w:iCs/>
        </w:rPr>
        <w:t xml:space="preserve">As </w:t>
      </w:r>
      <w:r w:rsidR="00381A6E" w:rsidRPr="003432E3">
        <w:rPr>
          <w:iCs/>
        </w:rPr>
        <w:t xml:space="preserve">Keytruda </w:t>
      </w:r>
      <w:r w:rsidRPr="003432E3">
        <w:rPr>
          <w:iCs/>
        </w:rPr>
        <w:t xml:space="preserve">is being considered for a provisional registration, the following wording regarding confirmatory trial data is recommended </w:t>
      </w:r>
      <w:r w:rsidRPr="003432E3">
        <w:t>for the condition of registration:</w:t>
      </w:r>
    </w:p>
    <w:p w14:paraId="4299A704" w14:textId="0E20C731" w:rsidR="003432E3" w:rsidRPr="00381A6E" w:rsidRDefault="003432E3" w:rsidP="00381A6E">
      <w:pPr>
        <w:ind w:left="720"/>
      </w:pPr>
      <w:r w:rsidRPr="00381A6E">
        <w:t>Confirmatory trial data (as identified in the sponsor’s plan to submit comprehensive clinical data on the safety and efficacy of the medicine before the end of the 6 years that would start on the day that registration would commence) must be provided.</w:t>
      </w:r>
    </w:p>
    <w:p w14:paraId="254B9ED6" w14:textId="6FC344F1" w:rsidR="003432E3" w:rsidRDefault="003432E3" w:rsidP="00381A6E">
      <w:pPr>
        <w:ind w:left="720"/>
      </w:pPr>
      <w:proofErr w:type="gramStart"/>
      <w:r w:rsidRPr="00381A6E">
        <w:t>Specifically</w:t>
      </w:r>
      <w:proofErr w:type="gramEnd"/>
      <w:r w:rsidRPr="00381A6E">
        <w:t xml:space="preserve"> the sponsor must conduct studies as described in the clinical study plan in version 21 (dated 27 March 2020) of the Australia-Specific Annex.</w:t>
      </w:r>
    </w:p>
    <w:p w14:paraId="74A4F87F" w14:textId="77777777" w:rsidR="00C22214" w:rsidRDefault="00C22214" w:rsidP="00C22214">
      <w:pPr>
        <w:pStyle w:val="Heading3"/>
      </w:pPr>
      <w:bookmarkStart w:id="84" w:name="_Toc103679299"/>
      <w:bookmarkStart w:id="85" w:name="_Toc137117846"/>
      <w:r>
        <w:lastRenderedPageBreak/>
        <w:t>Risk-benefit analysis</w:t>
      </w:r>
      <w:bookmarkEnd w:id="78"/>
      <w:bookmarkEnd w:id="79"/>
      <w:bookmarkEnd w:id="84"/>
      <w:bookmarkEnd w:id="85"/>
    </w:p>
    <w:p w14:paraId="77DE2655" w14:textId="3737684F" w:rsidR="00C22214" w:rsidRDefault="00C22214" w:rsidP="00C22214">
      <w:pPr>
        <w:pStyle w:val="Heading4"/>
      </w:pPr>
      <w:bookmarkStart w:id="86" w:name="_Toc98931932"/>
      <w:bookmarkStart w:id="87" w:name="_Toc137117847"/>
      <w:r>
        <w:t>Delegate’s considerations</w:t>
      </w:r>
      <w:bookmarkEnd w:id="86"/>
      <w:bookmarkEnd w:id="87"/>
    </w:p>
    <w:p w14:paraId="5FE5AF3A" w14:textId="6F4D425B" w:rsidR="00B83412" w:rsidRDefault="00B83412" w:rsidP="00B83412">
      <w:pPr>
        <w:rPr>
          <w:lang w:eastAsia="ja-JP"/>
        </w:rPr>
      </w:pPr>
      <w:r w:rsidRPr="003A3AD5">
        <w:rPr>
          <w:lang w:eastAsia="ja-JP"/>
        </w:rPr>
        <w:t xml:space="preserve">For patients with high-risk </w:t>
      </w:r>
      <w:r>
        <w:rPr>
          <w:lang w:eastAsia="ja-JP"/>
        </w:rPr>
        <w:t xml:space="preserve">non-muscle invasive bladder cancer </w:t>
      </w:r>
      <w:r w:rsidRPr="003A3AD5">
        <w:rPr>
          <w:lang w:eastAsia="ja-JP"/>
        </w:rPr>
        <w:t>who are u</w:t>
      </w:r>
      <w:r w:rsidR="00AB5180">
        <w:rPr>
          <w:lang w:eastAsia="ja-JP"/>
        </w:rPr>
        <w:t>nresponsive to intravesical BCG;</w:t>
      </w:r>
      <w:r w:rsidR="00AB5180" w:rsidRPr="00AB5180">
        <w:rPr>
          <w:vertAlign w:val="superscript"/>
          <w:lang w:eastAsia="ja-JP"/>
        </w:rPr>
        <w:fldChar w:fldCharType="begin"/>
      </w:r>
      <w:r w:rsidR="00AB5180" w:rsidRPr="00AB5180">
        <w:rPr>
          <w:vertAlign w:val="superscript"/>
          <w:lang w:eastAsia="ja-JP"/>
        </w:rPr>
        <w:instrText xml:space="preserve"> NOTEREF _Ref130534731 \h </w:instrText>
      </w:r>
      <w:r w:rsidR="00AB5180">
        <w:rPr>
          <w:vertAlign w:val="superscript"/>
          <w:lang w:eastAsia="ja-JP"/>
        </w:rPr>
        <w:instrText xml:space="preserve"> \* MERGEFORMAT </w:instrText>
      </w:r>
      <w:r w:rsidR="00AB5180" w:rsidRPr="00AB5180">
        <w:rPr>
          <w:vertAlign w:val="superscript"/>
          <w:lang w:eastAsia="ja-JP"/>
        </w:rPr>
      </w:r>
      <w:r w:rsidR="00AB5180" w:rsidRPr="00AB5180">
        <w:rPr>
          <w:vertAlign w:val="superscript"/>
          <w:lang w:eastAsia="ja-JP"/>
        </w:rPr>
        <w:fldChar w:fldCharType="separate"/>
      </w:r>
      <w:r w:rsidR="007F791A">
        <w:rPr>
          <w:vertAlign w:val="superscript"/>
          <w:lang w:eastAsia="ja-JP"/>
        </w:rPr>
        <w:t>16</w:t>
      </w:r>
      <w:r w:rsidR="00AB5180" w:rsidRPr="00AB5180">
        <w:rPr>
          <w:vertAlign w:val="superscript"/>
          <w:lang w:eastAsia="ja-JP"/>
        </w:rPr>
        <w:fldChar w:fldCharType="end"/>
      </w:r>
      <w:r w:rsidRPr="003A3AD5">
        <w:rPr>
          <w:lang w:eastAsia="ja-JP"/>
        </w:rPr>
        <w:t xml:space="preserve"> the only currently accepted treatment is radical cystectomy</w:t>
      </w:r>
      <w:r w:rsidR="00423D72">
        <w:rPr>
          <w:lang w:eastAsia="ja-JP"/>
        </w:rPr>
        <w:t>,</w:t>
      </w:r>
      <w:r w:rsidRPr="003A3AD5">
        <w:rPr>
          <w:lang w:eastAsia="ja-JP"/>
        </w:rPr>
        <w:t xml:space="preserve"> which is curative. This procedure has its own associated with significant morbidity and mortality</w:t>
      </w:r>
      <w:r>
        <w:rPr>
          <w:lang w:eastAsia="ja-JP"/>
        </w:rPr>
        <w:t xml:space="preserve"> </w:t>
      </w:r>
      <w:r w:rsidR="00423D72">
        <w:rPr>
          <w:lang w:eastAsia="ja-JP"/>
        </w:rPr>
        <w:t>that</w:t>
      </w:r>
      <w:r>
        <w:rPr>
          <w:lang w:eastAsia="ja-JP"/>
        </w:rPr>
        <w:t xml:space="preserve"> increases with increasing age</w:t>
      </w:r>
      <w:r w:rsidRPr="003A3AD5">
        <w:rPr>
          <w:lang w:eastAsia="ja-JP"/>
        </w:rPr>
        <w:t>.</w:t>
      </w:r>
      <w:r w:rsidR="00AB5180">
        <w:rPr>
          <w:lang w:eastAsia="ja-JP"/>
        </w:rPr>
        <w:t xml:space="preserve"> Non</w:t>
      </w:r>
      <w:r w:rsidR="00AB5180">
        <w:rPr>
          <w:lang w:eastAsia="ja-JP"/>
        </w:rPr>
        <w:noBreakHyphen/>
      </w:r>
      <w:r>
        <w:rPr>
          <w:lang w:eastAsia="ja-JP"/>
        </w:rPr>
        <w:t>surgical options are limited.</w:t>
      </w:r>
    </w:p>
    <w:p w14:paraId="1756A77E" w14:textId="7AFE75C6" w:rsidR="00C60E15" w:rsidRPr="00C60E15" w:rsidRDefault="00C60E15" w:rsidP="00C60E15">
      <w:pPr>
        <w:pStyle w:val="Heading5"/>
      </w:pPr>
      <w:r>
        <w:rPr>
          <w:lang w:eastAsia="ja-JP"/>
        </w:rPr>
        <w:t>Keynote-057 trial</w:t>
      </w:r>
    </w:p>
    <w:p w14:paraId="45C6C57D" w14:textId="3D7C5AA3" w:rsidR="00012F22" w:rsidRDefault="00B83412" w:rsidP="00B83412">
      <w:pPr>
        <w:rPr>
          <w:lang w:eastAsia="ja-JP"/>
        </w:rPr>
      </w:pPr>
      <w:r>
        <w:rPr>
          <w:lang w:eastAsia="ja-JP"/>
        </w:rPr>
        <w:t>In this submission</w:t>
      </w:r>
      <w:r w:rsidR="00423D72">
        <w:rPr>
          <w:lang w:eastAsia="ja-JP"/>
        </w:rPr>
        <w:t>,</w:t>
      </w:r>
      <w:r>
        <w:rPr>
          <w:lang w:eastAsia="ja-JP"/>
        </w:rPr>
        <w:t xml:space="preserve"> the </w:t>
      </w:r>
      <w:r w:rsidRPr="002D00CC">
        <w:rPr>
          <w:lang w:eastAsia="ja-JP"/>
        </w:rPr>
        <w:t>sponsor is seeking provisional registration f</w:t>
      </w:r>
      <w:r w:rsidR="00423D72">
        <w:rPr>
          <w:lang w:eastAsia="ja-JP"/>
        </w:rPr>
        <w:t>or pembrolizumab for use in BCG</w:t>
      </w:r>
      <w:r w:rsidR="00423D72">
        <w:rPr>
          <w:lang w:eastAsia="ja-JP"/>
        </w:rPr>
        <w:noBreakHyphen/>
      </w:r>
      <w:r w:rsidRPr="002D00CC">
        <w:rPr>
          <w:lang w:eastAsia="ja-JP"/>
        </w:rPr>
        <w:t xml:space="preserve">refractory </w:t>
      </w:r>
      <w:r w:rsidR="00423D72" w:rsidRPr="00423D72">
        <w:rPr>
          <w:lang w:eastAsia="ja-JP"/>
        </w:rPr>
        <w:t xml:space="preserve">non-muscle invasive bladder cancer </w:t>
      </w:r>
      <w:r w:rsidRPr="002D00CC">
        <w:rPr>
          <w:lang w:eastAsia="ja-JP"/>
        </w:rPr>
        <w:t xml:space="preserve">based on </w:t>
      </w:r>
      <w:r>
        <w:rPr>
          <w:lang w:eastAsia="ja-JP"/>
        </w:rPr>
        <w:t>the Keynote-</w:t>
      </w:r>
      <w:r w:rsidRPr="002D00CC">
        <w:rPr>
          <w:lang w:eastAsia="ja-JP"/>
        </w:rPr>
        <w:t>057</w:t>
      </w:r>
      <w:r>
        <w:rPr>
          <w:lang w:eastAsia="ja-JP"/>
        </w:rPr>
        <w:t xml:space="preserve"> trial</w:t>
      </w:r>
      <w:r w:rsidRPr="002D00CC">
        <w:rPr>
          <w:lang w:eastAsia="ja-JP"/>
        </w:rPr>
        <w:t xml:space="preserve">, </w:t>
      </w:r>
      <w:r>
        <w:rPr>
          <w:lang w:eastAsia="ja-JP"/>
        </w:rPr>
        <w:t>a single Phase II</w:t>
      </w:r>
      <w:r w:rsidRPr="002D00CC">
        <w:rPr>
          <w:lang w:eastAsia="ja-JP"/>
        </w:rPr>
        <w:t xml:space="preserve"> </w:t>
      </w:r>
      <w:r w:rsidRPr="002D00CC">
        <w:t>non-</w:t>
      </w:r>
      <w:r w:rsidRPr="008A28CD">
        <w:t>comparative trial</w:t>
      </w:r>
      <w:r w:rsidRPr="008A28CD">
        <w:rPr>
          <w:lang w:eastAsia="ja-JP"/>
        </w:rPr>
        <w:t xml:space="preserve"> study.</w:t>
      </w:r>
      <w:r w:rsidR="00423D72" w:rsidRPr="008A28CD">
        <w:rPr>
          <w:vertAlign w:val="superscript"/>
          <w:lang w:eastAsia="ja-JP"/>
        </w:rPr>
        <w:fldChar w:fldCharType="begin"/>
      </w:r>
      <w:r w:rsidR="00423D72" w:rsidRPr="008A28CD">
        <w:rPr>
          <w:vertAlign w:val="superscript"/>
          <w:lang w:eastAsia="ja-JP"/>
        </w:rPr>
        <w:instrText xml:space="preserve"> NOTEREF _Ref130382569 \h  \* MERGEFORMAT </w:instrText>
      </w:r>
      <w:r w:rsidR="00423D72" w:rsidRPr="008A28CD">
        <w:rPr>
          <w:vertAlign w:val="superscript"/>
          <w:lang w:eastAsia="ja-JP"/>
        </w:rPr>
      </w:r>
      <w:r w:rsidR="00423D72" w:rsidRPr="008A28CD">
        <w:rPr>
          <w:vertAlign w:val="superscript"/>
          <w:lang w:eastAsia="ja-JP"/>
        </w:rPr>
        <w:fldChar w:fldCharType="separate"/>
      </w:r>
      <w:r w:rsidR="007F791A">
        <w:rPr>
          <w:vertAlign w:val="superscript"/>
          <w:lang w:eastAsia="ja-JP"/>
        </w:rPr>
        <w:t>23</w:t>
      </w:r>
      <w:r w:rsidR="00423D72" w:rsidRPr="008A28CD">
        <w:rPr>
          <w:vertAlign w:val="superscript"/>
          <w:lang w:eastAsia="ja-JP"/>
        </w:rPr>
        <w:fldChar w:fldCharType="end"/>
      </w:r>
      <w:r w:rsidR="00423D72" w:rsidRPr="008A28CD">
        <w:rPr>
          <w:vertAlign w:val="superscript"/>
          <w:lang w:eastAsia="ja-JP"/>
        </w:rPr>
        <w:t>,</w:t>
      </w:r>
      <w:r w:rsidR="00423D72" w:rsidRPr="008A28CD">
        <w:rPr>
          <w:vertAlign w:val="superscript"/>
          <w:lang w:eastAsia="ja-JP"/>
        </w:rPr>
        <w:fldChar w:fldCharType="begin"/>
      </w:r>
      <w:r w:rsidR="00423D72" w:rsidRPr="008A28CD">
        <w:rPr>
          <w:vertAlign w:val="superscript"/>
          <w:lang w:eastAsia="ja-JP"/>
        </w:rPr>
        <w:instrText xml:space="preserve"> NOTEREF _Ref130382675 \h </w:instrText>
      </w:r>
      <w:r w:rsidR="008A28CD">
        <w:rPr>
          <w:vertAlign w:val="superscript"/>
          <w:lang w:eastAsia="ja-JP"/>
        </w:rPr>
        <w:instrText xml:space="preserve"> \* MERGEFORMAT </w:instrText>
      </w:r>
      <w:r w:rsidR="00423D72" w:rsidRPr="008A28CD">
        <w:rPr>
          <w:vertAlign w:val="superscript"/>
          <w:lang w:eastAsia="ja-JP"/>
        </w:rPr>
      </w:r>
      <w:r w:rsidR="00423D72" w:rsidRPr="008A28CD">
        <w:rPr>
          <w:vertAlign w:val="superscript"/>
          <w:lang w:eastAsia="ja-JP"/>
        </w:rPr>
        <w:fldChar w:fldCharType="separate"/>
      </w:r>
      <w:r w:rsidR="007F791A">
        <w:rPr>
          <w:vertAlign w:val="superscript"/>
          <w:lang w:eastAsia="ja-JP"/>
        </w:rPr>
        <w:t>24</w:t>
      </w:r>
      <w:r w:rsidR="00423D72" w:rsidRPr="008A28CD">
        <w:rPr>
          <w:vertAlign w:val="superscript"/>
          <w:lang w:eastAsia="ja-JP"/>
        </w:rPr>
        <w:fldChar w:fldCharType="end"/>
      </w:r>
    </w:p>
    <w:p w14:paraId="09803045" w14:textId="1F923FF4" w:rsidR="00B83412" w:rsidRPr="002D00CC" w:rsidRDefault="00B83412" w:rsidP="00B83412">
      <w:pPr>
        <w:rPr>
          <w:lang w:eastAsia="ja-JP"/>
        </w:rPr>
      </w:pPr>
      <w:r w:rsidRPr="008A28CD">
        <w:rPr>
          <w:lang w:eastAsia="ja-JP"/>
        </w:rPr>
        <w:t xml:space="preserve">The design of Cohort A </w:t>
      </w:r>
      <w:r w:rsidR="00F05CE7">
        <w:rPr>
          <w:lang w:eastAsia="ja-JP"/>
        </w:rPr>
        <w:t xml:space="preserve">part </w:t>
      </w:r>
      <w:r w:rsidRPr="008A28CD">
        <w:rPr>
          <w:lang w:eastAsia="ja-JP"/>
        </w:rPr>
        <w:t>of the study was consistent with the recommendations of the European Medicines Agency’s (EMA’s) g</w:t>
      </w:r>
      <w:r w:rsidRPr="008A28CD">
        <w:t>uideline on the evaluation of anticancer medicinal products</w:t>
      </w:r>
      <w:r w:rsidR="00F05CE7">
        <w:t>,</w:t>
      </w:r>
      <w:r w:rsidR="008A28CD" w:rsidRPr="008A28CD">
        <w:t xml:space="preserve"> </w:t>
      </w:r>
      <w:r w:rsidRPr="008A28CD">
        <w:t>as th</w:t>
      </w:r>
      <w:r>
        <w:t>ey relate to Phase II</w:t>
      </w:r>
      <w:r w:rsidRPr="002D00CC">
        <w:t xml:space="preserve"> studies</w:t>
      </w:r>
      <w:r w:rsidR="00F05CE7">
        <w:t>;</w:t>
      </w:r>
      <w:r w:rsidR="00F05CE7" w:rsidRPr="008A28CD">
        <w:rPr>
          <w:rStyle w:val="FootnoteReference"/>
        </w:rPr>
        <w:footnoteReference w:id="37"/>
      </w:r>
      <w:r w:rsidRPr="002D00CC">
        <w:t xml:space="preserve"> and with the recommendations of a </w:t>
      </w:r>
      <w:r w:rsidR="00C60E15">
        <w:t>US Food and Drug Administration (</w:t>
      </w:r>
      <w:r w:rsidRPr="002D00CC">
        <w:t>FDA</w:t>
      </w:r>
      <w:r w:rsidR="00C60E15">
        <w:t>)</w:t>
      </w:r>
      <w:r w:rsidRPr="002D00CC">
        <w:t xml:space="preserve"> guideline</w:t>
      </w:r>
      <w:bookmarkStart w:id="88" w:name="_Ref130383513"/>
      <w:r w:rsidR="00AB5180">
        <w:t>;</w:t>
      </w:r>
      <w:bookmarkStart w:id="89" w:name="_Ref130548384"/>
      <w:r w:rsidR="00AB5180">
        <w:rPr>
          <w:rStyle w:val="FootnoteReference"/>
        </w:rPr>
        <w:footnoteReference w:id="38"/>
      </w:r>
      <w:bookmarkEnd w:id="88"/>
      <w:bookmarkEnd w:id="89"/>
      <w:r w:rsidRPr="002D00CC">
        <w:t xml:space="preserve"> which specifically relates to BCG-unresponsive </w:t>
      </w:r>
      <w:r>
        <w:rPr>
          <w:lang w:eastAsia="ja-JP"/>
        </w:rPr>
        <w:t>non-muscle invasive bladder cancer</w:t>
      </w:r>
      <w:r w:rsidR="00AB5180">
        <w:rPr>
          <w:lang w:eastAsia="ja-JP"/>
        </w:rPr>
        <w:t xml:space="preserve"> (see also </w:t>
      </w:r>
      <w:r w:rsidR="00AB5180" w:rsidRPr="00AB5180">
        <w:rPr>
          <w:i/>
          <w:lang w:eastAsia="ja-JP"/>
        </w:rPr>
        <w:fldChar w:fldCharType="begin"/>
      </w:r>
      <w:r w:rsidR="00AB5180" w:rsidRPr="00AB5180">
        <w:rPr>
          <w:i/>
          <w:lang w:eastAsia="ja-JP"/>
        </w:rPr>
        <w:instrText xml:space="preserve"> REF _Ref130484088 \h </w:instrText>
      </w:r>
      <w:r w:rsidR="00AB5180">
        <w:rPr>
          <w:i/>
          <w:lang w:eastAsia="ja-JP"/>
        </w:rPr>
        <w:instrText xml:space="preserve"> \* MERGEFORMAT </w:instrText>
      </w:r>
      <w:r w:rsidR="00AB5180" w:rsidRPr="00AB5180">
        <w:rPr>
          <w:i/>
          <w:lang w:eastAsia="ja-JP"/>
        </w:rPr>
      </w:r>
      <w:r w:rsidR="00AB5180" w:rsidRPr="00AB5180">
        <w:rPr>
          <w:i/>
          <w:lang w:eastAsia="ja-JP"/>
        </w:rPr>
        <w:fldChar w:fldCharType="separate"/>
      </w:r>
      <w:r w:rsidR="007F791A" w:rsidRPr="007F791A">
        <w:rPr>
          <w:i/>
        </w:rPr>
        <w:t>Guidance and definitions</w:t>
      </w:r>
      <w:r w:rsidR="00AB5180" w:rsidRPr="00AB5180">
        <w:rPr>
          <w:i/>
          <w:lang w:eastAsia="ja-JP"/>
        </w:rPr>
        <w:fldChar w:fldCharType="end"/>
      </w:r>
      <w:r w:rsidR="00AB5180">
        <w:rPr>
          <w:lang w:eastAsia="ja-JP"/>
        </w:rPr>
        <w:t xml:space="preserve"> for further information on this guideline)</w:t>
      </w:r>
      <w:r w:rsidRPr="002D00CC">
        <w:t xml:space="preserve">. The </w:t>
      </w:r>
      <w:r>
        <w:t xml:space="preserve">use of the </w:t>
      </w:r>
      <w:r w:rsidRPr="00B83412">
        <w:rPr>
          <w:i/>
        </w:rPr>
        <w:t>complete response</w:t>
      </w:r>
      <w:r w:rsidRPr="002D00CC">
        <w:t xml:space="preserve"> endpoint </w:t>
      </w:r>
      <w:r>
        <w:t>is in concordance</w:t>
      </w:r>
      <w:r w:rsidRPr="002D00CC">
        <w:t xml:space="preserve"> with the 2016 recommendations of</w:t>
      </w:r>
      <w:r w:rsidRPr="002D00CC">
        <w:rPr>
          <w:lang w:eastAsia="ja-JP"/>
        </w:rPr>
        <w:t xml:space="preserve"> the </w:t>
      </w:r>
      <w:r w:rsidRPr="008A28CD">
        <w:rPr>
          <w:lang w:eastAsia="ja-JP"/>
        </w:rPr>
        <w:t>International Bladder Cancer Group (IBCG) on clinical trial designs for BCG</w:t>
      </w:r>
      <w:r w:rsidRPr="008A28CD">
        <w:rPr>
          <w:lang w:eastAsia="ja-JP"/>
        </w:rPr>
        <w:noBreakHyphen/>
        <w:t>non-responsive no</w:t>
      </w:r>
      <w:r w:rsidR="008A28CD">
        <w:rPr>
          <w:lang w:eastAsia="ja-JP"/>
        </w:rPr>
        <w:t>n-muscle invasive bladder cancer.</w:t>
      </w:r>
      <w:r w:rsidR="008A28CD">
        <w:rPr>
          <w:rStyle w:val="FootnoteReference"/>
          <w:lang w:eastAsia="ja-JP"/>
        </w:rPr>
        <w:footnoteReference w:id="39"/>
      </w:r>
    </w:p>
    <w:p w14:paraId="15C885A2" w14:textId="545F34F0" w:rsidR="00B83412" w:rsidRDefault="007D6BAA" w:rsidP="00B83412">
      <w:pPr>
        <w:rPr>
          <w:lang w:eastAsia="ja-JP"/>
        </w:rPr>
      </w:pPr>
      <w:r>
        <w:rPr>
          <w:lang w:eastAsia="ja-JP"/>
        </w:rPr>
        <w:t>At the various data cut-off points</w:t>
      </w:r>
      <w:r w:rsidR="00B83412" w:rsidRPr="002A794C">
        <w:rPr>
          <w:lang w:eastAsia="ja-JP"/>
        </w:rPr>
        <w:t xml:space="preserve"> from this study</w:t>
      </w:r>
      <w:r>
        <w:rPr>
          <w:lang w:eastAsia="ja-JP"/>
        </w:rPr>
        <w:t>, the best complete response</w:t>
      </w:r>
      <w:r w:rsidR="00B83412" w:rsidRPr="002A794C">
        <w:rPr>
          <w:lang w:eastAsia="ja-JP"/>
        </w:rPr>
        <w:t xml:space="preserve"> is </w:t>
      </w:r>
      <w:r>
        <w:rPr>
          <w:lang w:eastAsia="ja-JP"/>
        </w:rPr>
        <w:t>the</w:t>
      </w:r>
      <w:r w:rsidR="00B83412" w:rsidRPr="002A794C">
        <w:rPr>
          <w:lang w:eastAsia="ja-JP"/>
        </w:rPr>
        <w:t xml:space="preserve"> </w:t>
      </w:r>
      <w:r>
        <w:rPr>
          <w:lang w:eastAsia="ja-JP"/>
        </w:rPr>
        <w:t>complete response</w:t>
      </w:r>
      <w:r w:rsidR="00B83412" w:rsidRPr="002A794C">
        <w:rPr>
          <w:lang w:eastAsia="ja-JP"/>
        </w:rPr>
        <w:t xml:space="preserve"> (absence of high-risk disease) </w:t>
      </w:r>
      <w:r>
        <w:rPr>
          <w:lang w:eastAsia="ja-JP"/>
        </w:rPr>
        <w:t>as reported</w:t>
      </w:r>
      <w:r w:rsidR="00B83412" w:rsidRPr="002A794C">
        <w:rPr>
          <w:lang w:eastAsia="ja-JP"/>
        </w:rPr>
        <w:t xml:space="preserve"> </w:t>
      </w:r>
      <w:r w:rsidR="00B83412" w:rsidRPr="007D6BAA">
        <w:rPr>
          <w:lang w:eastAsia="ja-JP"/>
        </w:rPr>
        <w:t xml:space="preserve">in </w:t>
      </w:r>
      <w:r w:rsidR="00B83412" w:rsidRPr="007D6BAA">
        <w:rPr>
          <w:bCs/>
          <w:lang w:eastAsia="ja-JP"/>
        </w:rPr>
        <w:t>40.6%</w:t>
      </w:r>
      <w:r w:rsidR="00B83412" w:rsidRPr="002A794C">
        <w:rPr>
          <w:lang w:eastAsia="ja-JP"/>
        </w:rPr>
        <w:t xml:space="preserve"> of subjects (95%</w:t>
      </w:r>
      <w:r>
        <w:rPr>
          <w:lang w:eastAsia="ja-JP"/>
        </w:rPr>
        <w:t xml:space="preserve"> </w:t>
      </w:r>
      <w:r w:rsidR="00F05CE7">
        <w:rPr>
          <w:lang w:eastAsia="ja-JP"/>
        </w:rPr>
        <w:t>confidence intervals (</w:t>
      </w:r>
      <w:r>
        <w:rPr>
          <w:lang w:eastAsia="ja-JP"/>
        </w:rPr>
        <w:t>CI</w:t>
      </w:r>
      <w:r w:rsidR="00F05CE7">
        <w:rPr>
          <w:lang w:eastAsia="ja-JP"/>
        </w:rPr>
        <w:t>)</w:t>
      </w:r>
      <w:r>
        <w:rPr>
          <w:lang w:eastAsia="ja-JP"/>
        </w:rPr>
        <w:t>: 30.7,</w:t>
      </w:r>
      <w:r w:rsidR="00B83412" w:rsidRPr="002A794C">
        <w:rPr>
          <w:lang w:eastAsia="ja-JP"/>
        </w:rPr>
        <w:t xml:space="preserve"> 51.1) after 12 weeks of therapy. At the May 2020 data cut</w:t>
      </w:r>
      <w:r>
        <w:rPr>
          <w:lang w:eastAsia="ja-JP"/>
        </w:rPr>
        <w:t>-off,</w:t>
      </w:r>
      <w:r w:rsidR="00B83412" w:rsidRPr="002A794C">
        <w:rPr>
          <w:lang w:eastAsia="ja-JP"/>
        </w:rPr>
        <w:t xml:space="preserve"> the complete response rate (absence of </w:t>
      </w:r>
      <w:proofErr w:type="gramStart"/>
      <w:r w:rsidR="00B83412" w:rsidRPr="002A794C">
        <w:rPr>
          <w:lang w:eastAsia="ja-JP"/>
        </w:rPr>
        <w:t>high risk</w:t>
      </w:r>
      <w:proofErr w:type="gramEnd"/>
      <w:r w:rsidR="00B83412" w:rsidRPr="002A794C">
        <w:rPr>
          <w:lang w:eastAsia="ja-JP"/>
        </w:rPr>
        <w:t xml:space="preserve"> </w:t>
      </w:r>
      <w:r>
        <w:rPr>
          <w:lang w:eastAsia="ja-JP"/>
        </w:rPr>
        <w:t>non-muscle invasive bladder cancer</w:t>
      </w:r>
      <w:r w:rsidR="00B83412" w:rsidRPr="002A794C">
        <w:rPr>
          <w:lang w:eastAsia="ja-JP"/>
        </w:rPr>
        <w:t xml:space="preserve">) was </w:t>
      </w:r>
      <w:r w:rsidR="00B83412" w:rsidRPr="007D6BAA">
        <w:rPr>
          <w:lang w:eastAsia="ja-JP"/>
        </w:rPr>
        <w:t>36.7%</w:t>
      </w:r>
      <w:r w:rsidR="00B83412" w:rsidRPr="002A794C">
        <w:rPr>
          <w:b/>
          <w:lang w:eastAsia="ja-JP"/>
        </w:rPr>
        <w:t xml:space="preserve"> </w:t>
      </w:r>
      <w:r w:rsidR="00B83412" w:rsidRPr="002A794C">
        <w:rPr>
          <w:lang w:eastAsia="ja-JP"/>
        </w:rPr>
        <w:t>(95%</w:t>
      </w:r>
      <w:r>
        <w:rPr>
          <w:lang w:eastAsia="ja-JP"/>
        </w:rPr>
        <w:t xml:space="preserve"> CI: 28.7, 45.3). At each data cut-off </w:t>
      </w:r>
      <w:r w:rsidR="00B83412" w:rsidRPr="002A794C">
        <w:rPr>
          <w:lang w:eastAsia="ja-JP"/>
        </w:rPr>
        <w:t xml:space="preserve">point the </w:t>
      </w:r>
      <w:r>
        <w:rPr>
          <w:lang w:eastAsia="ja-JP"/>
        </w:rPr>
        <w:t>complete response</w:t>
      </w:r>
      <w:r w:rsidR="00B83412" w:rsidRPr="002A794C">
        <w:rPr>
          <w:lang w:eastAsia="ja-JP"/>
        </w:rPr>
        <w:t xml:space="preserve"> rate compared favourably with historical data in subjects treated with intravesical chemotherapy, where a response rate of approximately 20% was observed, but these are non-randomised, cross-trial comparisons and should be approached with caution.</w:t>
      </w:r>
      <w:r w:rsidR="00B83412">
        <w:rPr>
          <w:lang w:eastAsia="ja-JP"/>
        </w:rPr>
        <w:t xml:space="preserve"> </w:t>
      </w:r>
      <w:proofErr w:type="gramStart"/>
      <w:r w:rsidR="00B83412">
        <w:rPr>
          <w:lang w:eastAsia="ja-JP"/>
        </w:rPr>
        <w:t>On the basis of</w:t>
      </w:r>
      <w:proofErr w:type="gramEnd"/>
      <w:r w:rsidR="00B83412">
        <w:rPr>
          <w:lang w:eastAsia="ja-JP"/>
        </w:rPr>
        <w:t xml:space="preserve"> the lower bound of the 95% </w:t>
      </w:r>
      <w:r>
        <w:rPr>
          <w:lang w:eastAsia="ja-JP"/>
        </w:rPr>
        <w:t>confidence interval of greater than</w:t>
      </w:r>
      <w:r w:rsidR="00B83412">
        <w:rPr>
          <w:lang w:eastAsia="ja-JP"/>
        </w:rPr>
        <w:t xml:space="preserve"> 20%</w:t>
      </w:r>
      <w:r>
        <w:rPr>
          <w:lang w:eastAsia="ja-JP"/>
        </w:rPr>
        <w:t>, the complete response</w:t>
      </w:r>
      <w:r w:rsidR="00B83412">
        <w:rPr>
          <w:lang w:eastAsia="ja-JP"/>
        </w:rPr>
        <w:t xml:space="preserve"> results for the primary and key secondary endpoints of </w:t>
      </w:r>
      <w:r>
        <w:rPr>
          <w:lang w:eastAsia="ja-JP"/>
        </w:rPr>
        <w:t xml:space="preserve">the Keynote-057 trial </w:t>
      </w:r>
      <w:r w:rsidR="00B83412">
        <w:rPr>
          <w:lang w:eastAsia="ja-JP"/>
        </w:rPr>
        <w:t xml:space="preserve">continue to satisfy the success criterion set out for the study. A sensitivity analysis of </w:t>
      </w:r>
      <w:r>
        <w:rPr>
          <w:lang w:eastAsia="ja-JP"/>
        </w:rPr>
        <w:t>complete response</w:t>
      </w:r>
      <w:r w:rsidR="00B83412">
        <w:rPr>
          <w:lang w:eastAsia="ja-JP"/>
        </w:rPr>
        <w:t xml:space="preserve"> based on the </w:t>
      </w:r>
      <w:r>
        <w:rPr>
          <w:lang w:eastAsia="ja-JP"/>
        </w:rPr>
        <w:t xml:space="preserve">US </w:t>
      </w:r>
      <w:r w:rsidR="00C60E15">
        <w:rPr>
          <w:lang w:eastAsia="ja-JP"/>
        </w:rPr>
        <w:t>FDA</w:t>
      </w:r>
      <w:r>
        <w:rPr>
          <w:lang w:eastAsia="ja-JP"/>
        </w:rPr>
        <w:t xml:space="preserve"> BCG</w:t>
      </w:r>
      <w:r>
        <w:rPr>
          <w:lang w:eastAsia="ja-JP"/>
        </w:rPr>
        <w:noBreakHyphen/>
      </w:r>
      <w:r w:rsidR="00B83412">
        <w:rPr>
          <w:lang w:eastAsia="ja-JP"/>
        </w:rPr>
        <w:t>unresponsiveness criteria showed similar results.</w:t>
      </w:r>
      <w:r w:rsidR="00C60E15" w:rsidRPr="00C60E15">
        <w:rPr>
          <w:vertAlign w:val="superscript"/>
          <w:lang w:eastAsia="ja-JP"/>
        </w:rPr>
        <w:fldChar w:fldCharType="begin"/>
      </w:r>
      <w:r w:rsidR="00C60E15" w:rsidRPr="00C60E15">
        <w:rPr>
          <w:vertAlign w:val="superscript"/>
          <w:lang w:eastAsia="ja-JP"/>
        </w:rPr>
        <w:instrText xml:space="preserve"> NOTEREF _Ref130383502 \h </w:instrText>
      </w:r>
      <w:r w:rsidR="00C60E15">
        <w:rPr>
          <w:vertAlign w:val="superscript"/>
          <w:lang w:eastAsia="ja-JP"/>
        </w:rPr>
        <w:instrText xml:space="preserve"> \* MERGEFORMAT </w:instrText>
      </w:r>
      <w:r w:rsidR="00C60E15" w:rsidRPr="00C60E15">
        <w:rPr>
          <w:vertAlign w:val="superscript"/>
          <w:lang w:eastAsia="ja-JP"/>
        </w:rPr>
      </w:r>
      <w:r w:rsidR="00C60E15" w:rsidRPr="00C60E15">
        <w:rPr>
          <w:vertAlign w:val="superscript"/>
          <w:lang w:eastAsia="ja-JP"/>
        </w:rPr>
        <w:fldChar w:fldCharType="separate"/>
      </w:r>
      <w:r w:rsidR="007F791A">
        <w:rPr>
          <w:vertAlign w:val="superscript"/>
          <w:lang w:eastAsia="ja-JP"/>
        </w:rPr>
        <w:t>21</w:t>
      </w:r>
      <w:r w:rsidR="00C60E15" w:rsidRPr="00C60E15">
        <w:rPr>
          <w:vertAlign w:val="superscript"/>
          <w:lang w:eastAsia="ja-JP"/>
        </w:rPr>
        <w:fldChar w:fldCharType="end"/>
      </w:r>
      <w:r w:rsidR="00C60E15" w:rsidRPr="00C60E15">
        <w:rPr>
          <w:vertAlign w:val="superscript"/>
          <w:lang w:eastAsia="ja-JP"/>
        </w:rPr>
        <w:t>,</w:t>
      </w:r>
      <w:r w:rsidR="00C60E15" w:rsidRPr="00C60E15">
        <w:rPr>
          <w:vertAlign w:val="superscript"/>
          <w:lang w:eastAsia="ja-JP"/>
        </w:rPr>
        <w:fldChar w:fldCharType="begin"/>
      </w:r>
      <w:r w:rsidR="00C60E15" w:rsidRPr="00C60E15">
        <w:rPr>
          <w:vertAlign w:val="superscript"/>
          <w:lang w:eastAsia="ja-JP"/>
        </w:rPr>
        <w:instrText xml:space="preserve"> NOTEREF _Ref130383513 \h </w:instrText>
      </w:r>
      <w:r w:rsidR="00C60E15">
        <w:rPr>
          <w:vertAlign w:val="superscript"/>
          <w:lang w:eastAsia="ja-JP"/>
        </w:rPr>
        <w:instrText xml:space="preserve"> \* MERGEFORMAT </w:instrText>
      </w:r>
      <w:r w:rsidR="00C60E15" w:rsidRPr="00C60E15">
        <w:rPr>
          <w:vertAlign w:val="superscript"/>
          <w:lang w:eastAsia="ja-JP"/>
        </w:rPr>
      </w:r>
      <w:r w:rsidR="00C60E15" w:rsidRPr="00C60E15">
        <w:rPr>
          <w:vertAlign w:val="superscript"/>
          <w:lang w:eastAsia="ja-JP"/>
        </w:rPr>
        <w:fldChar w:fldCharType="separate"/>
      </w:r>
      <w:r w:rsidR="007F791A">
        <w:rPr>
          <w:vertAlign w:val="superscript"/>
          <w:lang w:eastAsia="ja-JP"/>
        </w:rPr>
        <w:t>37</w:t>
      </w:r>
      <w:r w:rsidR="00C60E15" w:rsidRPr="00C60E15">
        <w:rPr>
          <w:vertAlign w:val="superscript"/>
          <w:lang w:eastAsia="ja-JP"/>
        </w:rPr>
        <w:fldChar w:fldCharType="end"/>
      </w:r>
      <w:r w:rsidR="00B83412">
        <w:rPr>
          <w:lang w:eastAsia="ja-JP"/>
        </w:rPr>
        <w:t xml:space="preserve"> Improvement over expectations from historical data is also seen for </w:t>
      </w:r>
      <w:r>
        <w:rPr>
          <w:lang w:eastAsia="ja-JP"/>
        </w:rPr>
        <w:t xml:space="preserve">progression-free </w:t>
      </w:r>
      <w:r w:rsidR="00AB5180">
        <w:rPr>
          <w:lang w:eastAsia="ja-JP"/>
        </w:rPr>
        <w:t>survival</w:t>
      </w:r>
      <w:r w:rsidR="00B83412">
        <w:rPr>
          <w:lang w:eastAsia="ja-JP"/>
        </w:rPr>
        <w:t>. PD-L1 status does not appear to be a predictor of response and appears consistent with the all-comer treatment approach for most of the approved indications for PD-L1 inhibitors in the treatment of m</w:t>
      </w:r>
      <w:r>
        <w:rPr>
          <w:lang w:eastAsia="ja-JP"/>
        </w:rPr>
        <w:t>ore advanced urothelial cancer.</w:t>
      </w:r>
    </w:p>
    <w:p w14:paraId="48BB6507" w14:textId="41DAAD43" w:rsidR="00B83412" w:rsidRDefault="00B83412" w:rsidP="00B83412">
      <w:pPr>
        <w:rPr>
          <w:lang w:eastAsia="ja-JP"/>
        </w:rPr>
      </w:pPr>
      <w:r>
        <w:rPr>
          <w:lang w:eastAsia="ja-JP"/>
        </w:rPr>
        <w:t>Responses diminish with time, with approximate</w:t>
      </w:r>
      <w:r w:rsidR="007D6BAA">
        <w:rPr>
          <w:lang w:eastAsia="ja-JP"/>
        </w:rPr>
        <w:t>ly</w:t>
      </w:r>
      <w:r>
        <w:rPr>
          <w:lang w:eastAsia="ja-JP"/>
        </w:rPr>
        <w:t xml:space="preserve"> half the patients with a complete response sustaini</w:t>
      </w:r>
      <w:r w:rsidR="007D6BAA">
        <w:rPr>
          <w:lang w:eastAsia="ja-JP"/>
        </w:rPr>
        <w:t>ng th</w:t>
      </w:r>
      <w:r w:rsidR="00F05CE7">
        <w:rPr>
          <w:lang w:eastAsia="ja-JP"/>
        </w:rPr>
        <w:t>at</w:t>
      </w:r>
      <w:r w:rsidR="007D6BAA">
        <w:rPr>
          <w:lang w:eastAsia="ja-JP"/>
        </w:rPr>
        <w:t xml:space="preserve"> response over more than one</w:t>
      </w:r>
      <w:r>
        <w:rPr>
          <w:lang w:eastAsia="ja-JP"/>
        </w:rPr>
        <w:t xml:space="preserve"> year in the data </w:t>
      </w:r>
      <w:r w:rsidR="00F05CE7">
        <w:rPr>
          <w:lang w:eastAsia="ja-JP"/>
        </w:rPr>
        <w:t>currently available</w:t>
      </w:r>
      <w:r>
        <w:rPr>
          <w:lang w:eastAsia="ja-JP"/>
        </w:rPr>
        <w:t>. For many patients pembrolizumab may be a temporising measure prior to the consideration of the need for radical cystectomy.</w:t>
      </w:r>
    </w:p>
    <w:p w14:paraId="581F9AD4" w14:textId="7D35B0E3" w:rsidR="00B83412" w:rsidRDefault="00B83412" w:rsidP="00B83412">
      <w:pPr>
        <w:rPr>
          <w:lang w:eastAsia="ja-JP"/>
        </w:rPr>
      </w:pPr>
      <w:r>
        <w:rPr>
          <w:lang w:eastAsia="ja-JP"/>
        </w:rPr>
        <w:lastRenderedPageBreak/>
        <w:t xml:space="preserve">It is </w:t>
      </w:r>
      <w:r w:rsidR="007D6BAA">
        <w:rPr>
          <w:lang w:eastAsia="ja-JP"/>
        </w:rPr>
        <w:t>yet</w:t>
      </w:r>
      <w:r>
        <w:rPr>
          <w:lang w:eastAsia="ja-JP"/>
        </w:rPr>
        <w:t xml:space="preserve"> unknown whether a trial of pembrolizumab in this setting may in any way complicate a radical cystectomy should the patient undergo this surgical treatment option, particularly for patients on longer durations of therapy whose disease eventually progresses after some period of complete response.</w:t>
      </w:r>
    </w:p>
    <w:p w14:paraId="4F839653" w14:textId="37E73613" w:rsidR="00B83412" w:rsidRDefault="00B83412" w:rsidP="00B83412">
      <w:pPr>
        <w:rPr>
          <w:lang w:eastAsia="ja-JP"/>
        </w:rPr>
      </w:pPr>
      <w:r>
        <w:rPr>
          <w:lang w:eastAsia="ja-JP"/>
        </w:rPr>
        <w:t>Additional unc</w:t>
      </w:r>
      <w:r w:rsidR="007D6BAA">
        <w:rPr>
          <w:lang w:eastAsia="ja-JP"/>
        </w:rPr>
        <w:t>ertainty arises from the single-</w:t>
      </w:r>
      <w:r>
        <w:rPr>
          <w:lang w:eastAsia="ja-JP"/>
        </w:rPr>
        <w:t xml:space="preserve">arm, and open-label study design of </w:t>
      </w:r>
      <w:r w:rsidR="007D6BAA">
        <w:rPr>
          <w:lang w:eastAsia="ja-JP"/>
        </w:rPr>
        <w:t>the Keynote</w:t>
      </w:r>
      <w:r w:rsidR="00F05CE7">
        <w:rPr>
          <w:lang w:eastAsia="ja-JP"/>
        </w:rPr>
        <w:noBreakHyphen/>
      </w:r>
      <w:r w:rsidR="007D6BAA">
        <w:rPr>
          <w:lang w:eastAsia="ja-JP"/>
        </w:rPr>
        <w:t>057 trial</w:t>
      </w:r>
      <w:r>
        <w:rPr>
          <w:lang w:eastAsia="ja-JP"/>
        </w:rPr>
        <w:t xml:space="preserve">. As there are no controls, historical controls have been referred </w:t>
      </w:r>
      <w:r w:rsidR="007D6BAA">
        <w:rPr>
          <w:lang w:eastAsia="ja-JP"/>
        </w:rPr>
        <w:t>to;</w:t>
      </w:r>
      <w:r>
        <w:rPr>
          <w:lang w:eastAsia="ja-JP"/>
        </w:rPr>
        <w:t xml:space="preserve"> however</w:t>
      </w:r>
      <w:r w:rsidR="00C60E15">
        <w:rPr>
          <w:lang w:eastAsia="ja-JP"/>
        </w:rPr>
        <w:t>,</w:t>
      </w:r>
      <w:r>
        <w:rPr>
          <w:lang w:eastAsia="ja-JP"/>
        </w:rPr>
        <w:t xml:space="preserve"> nuanced differences in baseline characteristics and standard of care treatments can challenge and limit the robustness of this type of cross-study comparison.</w:t>
      </w:r>
    </w:p>
    <w:p w14:paraId="062AC9CB" w14:textId="2A32026A" w:rsidR="00B83412" w:rsidRDefault="00B83412" w:rsidP="00B83412">
      <w:pPr>
        <w:rPr>
          <w:lang w:eastAsia="ja-JP"/>
        </w:rPr>
      </w:pPr>
      <w:r>
        <w:rPr>
          <w:lang w:eastAsia="ja-JP"/>
        </w:rPr>
        <w:t xml:space="preserve">The safety profile of pembrolizumab in this setting is consistent with that seen for aggregate of pembrolizumab safety data and the comparison of the total pembrolizumab data with the </w:t>
      </w:r>
      <w:r w:rsidR="007D6BAA">
        <w:rPr>
          <w:lang w:eastAsia="ja-JP"/>
        </w:rPr>
        <w:t xml:space="preserve">non-muscle invasive bladder cancer </w:t>
      </w:r>
      <w:r>
        <w:rPr>
          <w:lang w:eastAsia="ja-JP"/>
        </w:rPr>
        <w:t xml:space="preserve">patient data set, explained </w:t>
      </w:r>
      <w:r w:rsidR="00AB5180">
        <w:rPr>
          <w:lang w:eastAsia="ja-JP"/>
        </w:rPr>
        <w:t xml:space="preserve">under </w:t>
      </w:r>
      <w:r w:rsidR="00AB5180" w:rsidRPr="00AB5180">
        <w:rPr>
          <w:i/>
          <w:lang w:eastAsia="ja-JP"/>
        </w:rPr>
        <w:fldChar w:fldCharType="begin"/>
      </w:r>
      <w:r w:rsidR="00AB5180" w:rsidRPr="00AB5180">
        <w:rPr>
          <w:i/>
          <w:lang w:eastAsia="ja-JP"/>
        </w:rPr>
        <w:instrText xml:space="preserve"> REF _Ref130534980 \h </w:instrText>
      </w:r>
      <w:r w:rsidR="00AB5180">
        <w:rPr>
          <w:i/>
          <w:lang w:eastAsia="ja-JP"/>
        </w:rPr>
        <w:instrText xml:space="preserve"> \* MERGEFORMAT </w:instrText>
      </w:r>
      <w:r w:rsidR="00AB5180" w:rsidRPr="00AB5180">
        <w:rPr>
          <w:i/>
          <w:lang w:eastAsia="ja-JP"/>
        </w:rPr>
      </w:r>
      <w:r w:rsidR="00AB5180" w:rsidRPr="00AB5180">
        <w:rPr>
          <w:i/>
          <w:lang w:eastAsia="ja-JP"/>
        </w:rPr>
        <w:fldChar w:fldCharType="separate"/>
      </w:r>
      <w:r w:rsidR="007F791A" w:rsidRPr="007F791A">
        <w:rPr>
          <w:i/>
        </w:rPr>
        <w:t>Comparison with historical datasets</w:t>
      </w:r>
      <w:r w:rsidR="00AB5180" w:rsidRPr="00AB5180">
        <w:rPr>
          <w:i/>
          <w:lang w:eastAsia="ja-JP"/>
        </w:rPr>
        <w:fldChar w:fldCharType="end"/>
      </w:r>
      <w:r w:rsidR="00AB5180">
        <w:rPr>
          <w:lang w:eastAsia="ja-JP"/>
        </w:rPr>
        <w:t xml:space="preserve"> (see above) </w:t>
      </w:r>
      <w:r>
        <w:rPr>
          <w:lang w:eastAsia="ja-JP"/>
        </w:rPr>
        <w:t>shows some events are less f</w:t>
      </w:r>
      <w:r w:rsidR="007D6BAA">
        <w:rPr>
          <w:lang w:eastAsia="ja-JP"/>
        </w:rPr>
        <w:t>requent in Keynote</w:t>
      </w:r>
      <w:r>
        <w:rPr>
          <w:lang w:eastAsia="ja-JP"/>
        </w:rPr>
        <w:t>-057</w:t>
      </w:r>
      <w:r w:rsidR="007D6BAA">
        <w:rPr>
          <w:lang w:eastAsia="ja-JP"/>
        </w:rPr>
        <w:t xml:space="preserve"> trial</w:t>
      </w:r>
      <w:r>
        <w:rPr>
          <w:lang w:eastAsia="ja-JP"/>
        </w:rPr>
        <w:t>. Less advanced disease and lower exposure to the toxicity of other therapies possible contributes to this observation. Nevertheless</w:t>
      </w:r>
      <w:r w:rsidR="007D6BAA">
        <w:rPr>
          <w:lang w:eastAsia="ja-JP"/>
        </w:rPr>
        <w:t>,</w:t>
      </w:r>
      <w:r>
        <w:rPr>
          <w:lang w:eastAsia="ja-JP"/>
        </w:rPr>
        <w:t xml:space="preserve"> problematic immune mediated events were also seen among </w:t>
      </w:r>
      <w:r w:rsidR="00AB5180" w:rsidRPr="00423D72">
        <w:rPr>
          <w:lang w:eastAsia="ja-JP"/>
        </w:rPr>
        <w:t xml:space="preserve">non-muscle invasive bladder cancer </w:t>
      </w:r>
      <w:r>
        <w:rPr>
          <w:lang w:eastAsia="ja-JP"/>
        </w:rPr>
        <w:t>patients.</w:t>
      </w:r>
    </w:p>
    <w:p w14:paraId="328C29D8" w14:textId="22941E85" w:rsidR="00B83412" w:rsidRPr="00785038" w:rsidRDefault="00B83412" w:rsidP="00B83412">
      <w:r w:rsidRPr="00785038">
        <w:t xml:space="preserve">Flat dosing of 200 mg </w:t>
      </w:r>
      <w:r w:rsidR="007D6BAA">
        <w:t xml:space="preserve">given intravenously once every 3 weeks </w:t>
      </w:r>
      <w:r w:rsidRPr="00785038">
        <w:t xml:space="preserve">was used in the study. This dose was evaluated in previous </w:t>
      </w:r>
      <w:proofErr w:type="gramStart"/>
      <w:r w:rsidRPr="00785038">
        <w:t>submissions, and</w:t>
      </w:r>
      <w:proofErr w:type="gramEnd"/>
      <w:r w:rsidRPr="00785038">
        <w:t xml:space="preserve"> has been ac</w:t>
      </w:r>
      <w:r w:rsidR="007D6BAA">
        <w:t>cepted on the basis of exposure</w:t>
      </w:r>
      <w:r w:rsidR="007D6BAA">
        <w:noBreakHyphen/>
      </w:r>
      <w:r w:rsidRPr="00785038">
        <w:t xml:space="preserve">response relationships, supported by data showing full target saturations in the systemic circulation and tumour at 200 mg </w:t>
      </w:r>
      <w:r w:rsidR="007D6BAA">
        <w:t>once every 3 weeks</w:t>
      </w:r>
      <w:r w:rsidRPr="00785038">
        <w:t>.</w:t>
      </w:r>
    </w:p>
    <w:p w14:paraId="462E06AE" w14:textId="2763A457" w:rsidR="00B83412" w:rsidRDefault="00B83412" w:rsidP="00B83412">
      <w:r>
        <w:t xml:space="preserve">This submission represents a shift towards systemic therapy for a local disease, albeit one at high risk of progression to systemic disease and for which curative treatment is radical cystectomy. </w:t>
      </w:r>
      <w:r w:rsidR="007D6BAA">
        <w:t>The Phase II single-</w:t>
      </w:r>
      <w:r>
        <w:t xml:space="preserve">arm study data </w:t>
      </w:r>
      <w:r w:rsidR="007D6BAA">
        <w:t>from the Keynote</w:t>
      </w:r>
      <w:r w:rsidR="007D6BAA">
        <w:noBreakHyphen/>
        <w:t xml:space="preserve">057 trial </w:t>
      </w:r>
      <w:r>
        <w:t>provide early data in support of pembrolizumab as a potential treatment option for patients not unwilling or unable to undergo radical cystectomy. The data are not yet fully mature but the durability of complete response and the impact on surgical difficulty and patient outcomes if radical cystectomy follows pembrolizumab are important areas of uncertainty potentially requiring considerable discussion between the treating physician and the patient.</w:t>
      </w:r>
    </w:p>
    <w:p w14:paraId="6EC3186D" w14:textId="756919D3" w:rsidR="00B83412" w:rsidRPr="00EF533F" w:rsidRDefault="007D6BAA" w:rsidP="00B83412">
      <w:r>
        <w:t>If</w:t>
      </w:r>
      <w:r w:rsidR="00B83412">
        <w:t xml:space="preserve"> </w:t>
      </w:r>
      <w:r>
        <w:t>(</w:t>
      </w:r>
      <w:r w:rsidR="00B83412">
        <w:t xml:space="preserve">subject to the advice of the </w:t>
      </w:r>
      <w:r>
        <w:t>Advisory Committee on Medicines</w:t>
      </w:r>
      <w:r w:rsidR="00AB5180">
        <w:t xml:space="preserve"> (see </w:t>
      </w:r>
      <w:r w:rsidR="00AB5180" w:rsidRPr="00AB5180">
        <w:rPr>
          <w:i/>
        </w:rPr>
        <w:fldChar w:fldCharType="begin"/>
      </w:r>
      <w:r w:rsidR="00AB5180" w:rsidRPr="00AB5180">
        <w:rPr>
          <w:i/>
        </w:rPr>
        <w:instrText xml:space="preserve"> REF _Ref130535068 \h </w:instrText>
      </w:r>
      <w:r w:rsidR="00AB5180">
        <w:rPr>
          <w:i/>
        </w:rPr>
        <w:instrText xml:space="preserve"> \* MERGEFORMAT </w:instrText>
      </w:r>
      <w:r w:rsidR="00AB5180" w:rsidRPr="00AB5180">
        <w:rPr>
          <w:i/>
        </w:rPr>
      </w:r>
      <w:r w:rsidR="00AB5180" w:rsidRPr="00AB5180">
        <w:rPr>
          <w:i/>
        </w:rPr>
        <w:fldChar w:fldCharType="separate"/>
      </w:r>
      <w:r w:rsidR="007F791A" w:rsidRPr="007F791A">
        <w:rPr>
          <w:i/>
        </w:rPr>
        <w:t>Advisory Committee considerations</w:t>
      </w:r>
      <w:r w:rsidR="00AB5180" w:rsidRPr="00AB5180">
        <w:rPr>
          <w:i/>
        </w:rPr>
        <w:fldChar w:fldCharType="end"/>
      </w:r>
      <w:r w:rsidR="00AB5180">
        <w:t>, below)</w:t>
      </w:r>
      <w:r>
        <w:t>)</w:t>
      </w:r>
      <w:r w:rsidR="00B83412">
        <w:t xml:space="preserve"> this submission is approved, the patient selection, initiation of treatment and ongoing management of patients on pembrolizumab should remain the remit of specialised healthcare profession</w:t>
      </w:r>
      <w:r w:rsidR="00B508FC">
        <w:t>al</w:t>
      </w:r>
      <w:r w:rsidR="00B83412">
        <w:t>s experienced in the treatment of cancer, as is currently stated in the Keytruda PI.</w:t>
      </w:r>
    </w:p>
    <w:p w14:paraId="4D8CF7EC" w14:textId="5712117B" w:rsidR="00B83412" w:rsidRPr="002D00CC" w:rsidRDefault="00B83412" w:rsidP="007D6BAA">
      <w:pPr>
        <w:pStyle w:val="Heading5"/>
        <w:rPr>
          <w:lang w:eastAsia="ja-JP"/>
        </w:rPr>
      </w:pPr>
      <w:bookmarkStart w:id="90" w:name="_Ref130381985"/>
      <w:r w:rsidRPr="002D00CC">
        <w:rPr>
          <w:lang w:eastAsia="ja-JP"/>
        </w:rPr>
        <w:t xml:space="preserve">Clinical </w:t>
      </w:r>
      <w:r w:rsidR="00423D72">
        <w:rPr>
          <w:lang w:eastAsia="ja-JP"/>
        </w:rPr>
        <w:t>s</w:t>
      </w:r>
      <w:r>
        <w:rPr>
          <w:lang w:eastAsia="ja-JP"/>
        </w:rPr>
        <w:t>tudy</w:t>
      </w:r>
      <w:r w:rsidR="00423D72">
        <w:rPr>
          <w:lang w:eastAsia="ja-JP"/>
        </w:rPr>
        <w:t xml:space="preserve"> p</w:t>
      </w:r>
      <w:r w:rsidRPr="002D00CC">
        <w:rPr>
          <w:lang w:eastAsia="ja-JP"/>
        </w:rPr>
        <w:t>lan</w:t>
      </w:r>
      <w:bookmarkEnd w:id="90"/>
    </w:p>
    <w:p w14:paraId="340FE8FC" w14:textId="247BA29B" w:rsidR="00B83412" w:rsidRPr="002D00CC" w:rsidRDefault="00B83412" w:rsidP="00B83412">
      <w:pPr>
        <w:rPr>
          <w:lang w:eastAsia="ja-JP"/>
        </w:rPr>
      </w:pPr>
      <w:r w:rsidRPr="002D00CC">
        <w:rPr>
          <w:lang w:eastAsia="ja-JP"/>
        </w:rPr>
        <w:t>An acceptable</w:t>
      </w:r>
      <w:r>
        <w:rPr>
          <w:lang w:eastAsia="ja-JP"/>
        </w:rPr>
        <w:t xml:space="preserve"> clinical study</w:t>
      </w:r>
      <w:r w:rsidRPr="002D00CC">
        <w:rPr>
          <w:lang w:eastAsia="ja-JP"/>
        </w:rPr>
        <w:t xml:space="preserve"> plan to provide comprehensive clinical data </w:t>
      </w:r>
      <w:r w:rsidRPr="002D00CC">
        <w:t xml:space="preserve">on the safety and efficacy of the medicine </w:t>
      </w:r>
      <w:r>
        <w:t>is a requirement for provisional registration. A</w:t>
      </w:r>
      <w:r w:rsidR="00AB5180">
        <w:t xml:space="preserve">t this point in the </w:t>
      </w:r>
      <w:proofErr w:type="gramStart"/>
      <w:r w:rsidR="00AB5180">
        <w:t>decision making</w:t>
      </w:r>
      <w:proofErr w:type="gramEnd"/>
      <w:r w:rsidR="00AB5180">
        <w:t xml:space="preserve"> process, a</w:t>
      </w:r>
      <w:r>
        <w:t xml:space="preserve"> clinical study plan </w:t>
      </w:r>
      <w:r w:rsidRPr="002D00CC">
        <w:t>has not yet been agreed with the TGA.</w:t>
      </w:r>
    </w:p>
    <w:p w14:paraId="63A96E0C" w14:textId="1C4A6124" w:rsidR="00B83412" w:rsidRPr="00B83412" w:rsidRDefault="00B83412" w:rsidP="00B83412">
      <w:pPr>
        <w:rPr>
          <w:lang w:eastAsia="ja-JP"/>
        </w:rPr>
      </w:pPr>
      <w:r w:rsidRPr="002D00CC">
        <w:rPr>
          <w:lang w:eastAsia="ja-JP"/>
        </w:rPr>
        <w:t xml:space="preserve">The sponsor has proposed </w:t>
      </w:r>
      <w:r w:rsidR="005E32AF">
        <w:rPr>
          <w:lang w:eastAsia="ja-JP"/>
        </w:rPr>
        <w:t xml:space="preserve">the </w:t>
      </w:r>
      <w:r w:rsidRPr="00F44C16">
        <w:rPr>
          <w:lang w:eastAsia="ja-JP"/>
        </w:rPr>
        <w:t>Keynote-676</w:t>
      </w:r>
      <w:r w:rsidR="005E32AF" w:rsidRPr="00F44C16">
        <w:rPr>
          <w:lang w:eastAsia="ja-JP"/>
        </w:rPr>
        <w:t xml:space="preserve"> trial;</w:t>
      </w:r>
      <w:r w:rsidR="00F44C16">
        <w:rPr>
          <w:rStyle w:val="FootnoteReference"/>
          <w:lang w:eastAsia="ja-JP"/>
        </w:rPr>
        <w:footnoteReference w:id="40"/>
      </w:r>
      <w:r w:rsidR="00423D72">
        <w:rPr>
          <w:vertAlign w:val="superscript"/>
          <w:lang w:eastAsia="ja-JP"/>
        </w:rPr>
        <w:t>,</w:t>
      </w:r>
      <w:r w:rsidR="00423D72">
        <w:rPr>
          <w:rStyle w:val="FootnoteReference"/>
          <w:lang w:eastAsia="ja-JP"/>
        </w:rPr>
        <w:footnoteReference w:id="41"/>
      </w:r>
      <w:r w:rsidR="005E32AF" w:rsidRPr="00F44C16">
        <w:rPr>
          <w:lang w:eastAsia="ja-JP"/>
        </w:rPr>
        <w:t xml:space="preserve"> a</w:t>
      </w:r>
      <w:r w:rsidR="005E32AF">
        <w:rPr>
          <w:lang w:eastAsia="ja-JP"/>
        </w:rPr>
        <w:t xml:space="preserve"> Phase III</w:t>
      </w:r>
      <w:r w:rsidRPr="002D00CC">
        <w:rPr>
          <w:lang w:eastAsia="ja-JP"/>
        </w:rPr>
        <w:t xml:space="preserve">, multicentre, randomised, open-label, comparator controlled, parallel group study comparing pembrolizumab and intravesical BCG with BCG alone, in patients with high-risk </w:t>
      </w:r>
      <w:r w:rsidR="005E32AF">
        <w:rPr>
          <w:lang w:eastAsia="ja-JP"/>
        </w:rPr>
        <w:t xml:space="preserve">non-muscle invasive bladder cancer </w:t>
      </w:r>
      <w:r w:rsidRPr="002D00CC">
        <w:rPr>
          <w:lang w:eastAsia="ja-JP"/>
        </w:rPr>
        <w:t xml:space="preserve">that is persistent or recurrent following adequate BCG induction. Limited detail of this study has been </w:t>
      </w:r>
      <w:r w:rsidRPr="002D00CC">
        <w:rPr>
          <w:lang w:eastAsia="ja-JP"/>
        </w:rPr>
        <w:lastRenderedPageBreak/>
        <w:t xml:space="preserve">provided in the submission so additional information about the study is sought from the </w:t>
      </w:r>
      <w:r w:rsidR="00185CC9">
        <w:rPr>
          <w:lang w:eastAsia="ja-JP"/>
        </w:rPr>
        <w:t xml:space="preserve">sponsor (see </w:t>
      </w:r>
      <w:r w:rsidR="00185CC9" w:rsidRPr="00185CC9">
        <w:rPr>
          <w:i/>
          <w:lang w:eastAsia="ja-JP"/>
        </w:rPr>
        <w:fldChar w:fldCharType="begin"/>
      </w:r>
      <w:r w:rsidR="00185CC9" w:rsidRPr="00185CC9">
        <w:rPr>
          <w:i/>
          <w:lang w:eastAsia="ja-JP"/>
        </w:rPr>
        <w:instrText xml:space="preserve"> REF _Ref130381028 \h </w:instrText>
      </w:r>
      <w:r w:rsidR="00185CC9">
        <w:rPr>
          <w:i/>
          <w:lang w:eastAsia="ja-JP"/>
        </w:rPr>
        <w:instrText xml:space="preserve"> \* MERGEFORMAT </w:instrText>
      </w:r>
      <w:r w:rsidR="00185CC9" w:rsidRPr="00185CC9">
        <w:rPr>
          <w:i/>
          <w:lang w:eastAsia="ja-JP"/>
        </w:rPr>
      </w:r>
      <w:r w:rsidR="00185CC9" w:rsidRPr="00185CC9">
        <w:rPr>
          <w:i/>
          <w:lang w:eastAsia="ja-JP"/>
        </w:rPr>
        <w:fldChar w:fldCharType="separate"/>
      </w:r>
      <w:r w:rsidR="007F791A" w:rsidRPr="007F791A">
        <w:rPr>
          <w:i/>
        </w:rPr>
        <w:t>Questions for the sponsor</w:t>
      </w:r>
      <w:r w:rsidR="00185CC9" w:rsidRPr="00185CC9">
        <w:rPr>
          <w:i/>
          <w:lang w:eastAsia="ja-JP"/>
        </w:rPr>
        <w:fldChar w:fldCharType="end"/>
      </w:r>
      <w:r w:rsidR="00185CC9">
        <w:rPr>
          <w:lang w:eastAsia="ja-JP"/>
        </w:rPr>
        <w:t>, below</w:t>
      </w:r>
      <w:r w:rsidRPr="002D00CC">
        <w:rPr>
          <w:lang w:eastAsia="ja-JP"/>
        </w:rPr>
        <w:t>).</w:t>
      </w:r>
    </w:p>
    <w:p w14:paraId="3916F296" w14:textId="54CFC6BC" w:rsidR="00C22214" w:rsidRDefault="00C22214" w:rsidP="005E32AF">
      <w:pPr>
        <w:pStyle w:val="Heading4"/>
      </w:pPr>
      <w:bookmarkStart w:id="91" w:name="_Toc98931933"/>
      <w:bookmarkStart w:id="92" w:name="_Toc137117848"/>
      <w:r w:rsidRPr="00D23139">
        <w:t>Proposed action</w:t>
      </w:r>
      <w:bookmarkEnd w:id="91"/>
      <w:bookmarkEnd w:id="92"/>
    </w:p>
    <w:p w14:paraId="7FBFFFB0" w14:textId="3619D7D2" w:rsidR="005E32AF" w:rsidRDefault="005E32AF" w:rsidP="005E32AF">
      <w:r>
        <w:t xml:space="preserve">While </w:t>
      </w:r>
      <w:r w:rsidR="00B508FC">
        <w:t xml:space="preserve">at this point in the submission evaluation </w:t>
      </w:r>
      <w:r>
        <w:t>a decision was yet to be made</w:t>
      </w:r>
      <w:r w:rsidR="00B508FC">
        <w:t xml:space="preserve">, </w:t>
      </w:r>
      <w:r>
        <w:t>the Delegate was inclined</w:t>
      </w:r>
      <w:r w:rsidR="00B508FC">
        <w:t>, at th</w:t>
      </w:r>
      <w:r w:rsidR="00F05CE7">
        <w:t>e</w:t>
      </w:r>
      <w:r w:rsidR="00B508FC">
        <w:t xml:space="preserve"> time,</w:t>
      </w:r>
      <w:r>
        <w:t xml:space="preserve"> to approve the registration of the product.</w:t>
      </w:r>
    </w:p>
    <w:p w14:paraId="03C10970" w14:textId="18796005" w:rsidR="005E32AF" w:rsidRDefault="005E32AF" w:rsidP="005E32AF">
      <w:r>
        <w:t>If registration was approved, the Delegate would propose the following additional conditions of registration:</w:t>
      </w:r>
    </w:p>
    <w:p w14:paraId="29977624" w14:textId="380E70A4" w:rsidR="005E32AF" w:rsidRDefault="005E32AF" w:rsidP="005E32AF">
      <w:pPr>
        <w:pStyle w:val="Numberbullet0"/>
      </w:pPr>
      <w:r>
        <w:t>The Keytruda EU-Risk Management Plan (RMP) (version 27, dated 11 October 2019, data lock point 24 August 2018), with Australian Specific Annex (version 21, dated 27 March 2020), included with submission PM-2020-01294-1-4, and any subsequent revisions, as agreed with the TGA will be implemented in Australia.</w:t>
      </w:r>
    </w:p>
    <w:p w14:paraId="7D632639" w14:textId="675B9E54" w:rsidR="005E32AF" w:rsidRDefault="005E32AF" w:rsidP="005E32AF">
      <w:pPr>
        <w:pStyle w:val="Numberbullet0"/>
        <w:numPr>
          <w:ilvl w:val="0"/>
          <w:numId w:val="0"/>
        </w:numPr>
        <w:ind w:left="360"/>
      </w:pPr>
      <w:r>
        <w:t>An obligatory component of risk management plans is routine pharmacovigilance. Routine pharmacovigilance includes the submission of periodic safety update reports (PSURs).</w:t>
      </w:r>
    </w:p>
    <w:p w14:paraId="74C558A2" w14:textId="6883E4C7" w:rsidR="005E32AF" w:rsidRDefault="005E32AF" w:rsidP="005E32AF">
      <w:pPr>
        <w:pStyle w:val="Numberbullet0"/>
      </w:pPr>
      <w:r>
        <w:t xml:space="preserve">Keytruda (pembrolizumab) is to be included in the Black Triangle Scheme. The PI, CMI and additional risk minimisation materials for </w:t>
      </w:r>
      <w:r w:rsidR="001B52D6">
        <w:t xml:space="preserve">Keytruda </w:t>
      </w:r>
      <w:r>
        <w:t>must include the black triangle symbol and mandatory accompanying text for the products entire period of provisional registration.</w:t>
      </w:r>
    </w:p>
    <w:p w14:paraId="4207F363" w14:textId="4CD9C364" w:rsidR="005E32AF" w:rsidRPr="005E32AF" w:rsidRDefault="005E32AF" w:rsidP="005E32AF">
      <w:r>
        <w:t xml:space="preserve">There will be a condition of registration to </w:t>
      </w:r>
      <w:r w:rsidR="00F44C16">
        <w:t xml:space="preserve">submit confirmatory trial data (see </w:t>
      </w:r>
      <w:r w:rsidR="00F44C16" w:rsidRPr="00F44C16">
        <w:rPr>
          <w:i/>
        </w:rPr>
        <w:fldChar w:fldCharType="begin"/>
      </w:r>
      <w:r w:rsidR="00F44C16" w:rsidRPr="00F44C16">
        <w:rPr>
          <w:i/>
        </w:rPr>
        <w:instrText xml:space="preserve"> REF _Ref130381985 \h </w:instrText>
      </w:r>
      <w:r w:rsidR="00F44C16">
        <w:rPr>
          <w:i/>
        </w:rPr>
        <w:instrText xml:space="preserve"> \* MERGEFORMAT </w:instrText>
      </w:r>
      <w:r w:rsidR="00F44C16" w:rsidRPr="00F44C16">
        <w:rPr>
          <w:i/>
        </w:rPr>
      </w:r>
      <w:r w:rsidR="00F44C16" w:rsidRPr="00F44C16">
        <w:rPr>
          <w:i/>
        </w:rPr>
        <w:fldChar w:fldCharType="separate"/>
      </w:r>
      <w:r w:rsidR="007F791A" w:rsidRPr="007F791A">
        <w:rPr>
          <w:i/>
          <w:lang w:eastAsia="ja-JP"/>
        </w:rPr>
        <w:t>Clinical study plan</w:t>
      </w:r>
      <w:r w:rsidR="00F44C16" w:rsidRPr="00F44C16">
        <w:rPr>
          <w:i/>
        </w:rPr>
        <w:fldChar w:fldCharType="end"/>
      </w:r>
      <w:r>
        <w:t xml:space="preserve">) as identified in the sponsor’s plan to submit comprehensive clinical data on the safety and efficacy of the medicine before the end of the 6 years that would start on the day that registration would commence. The wording will be finalised following the review of the response to questions for the sponsor below and the </w:t>
      </w:r>
      <w:r w:rsidR="000C0652">
        <w:t>receipt of the advice of the Advisory Committee on Medicines</w:t>
      </w:r>
      <w:r>
        <w:t>.</w:t>
      </w:r>
    </w:p>
    <w:p w14:paraId="07994E9B" w14:textId="77777777" w:rsidR="00C22214" w:rsidRDefault="00C22214" w:rsidP="00C22214">
      <w:pPr>
        <w:pStyle w:val="Heading4"/>
      </w:pPr>
      <w:bookmarkStart w:id="93" w:name="_Toc98931934"/>
      <w:bookmarkStart w:id="94" w:name="_Ref130381028"/>
      <w:bookmarkStart w:id="95" w:name="_Toc137117849"/>
      <w:r>
        <w:t>Questions for the sponsor</w:t>
      </w:r>
      <w:bookmarkEnd w:id="93"/>
      <w:bookmarkEnd w:id="94"/>
      <w:bookmarkEnd w:id="95"/>
    </w:p>
    <w:p w14:paraId="1F694596" w14:textId="73388DEB" w:rsidR="00C22214" w:rsidRDefault="00C22214" w:rsidP="00C22214">
      <w:r>
        <w:t>The sponsor provided the following response to questions from the Delegate.</w:t>
      </w:r>
    </w:p>
    <w:p w14:paraId="22710A38" w14:textId="101E9D45" w:rsidR="00F05CE7" w:rsidRPr="00011226" w:rsidRDefault="005E32AF" w:rsidP="00011226">
      <w:pPr>
        <w:pStyle w:val="Numberbullet0"/>
        <w:numPr>
          <w:ilvl w:val="0"/>
          <w:numId w:val="11"/>
        </w:numPr>
        <w:rPr>
          <w:b/>
          <w:i/>
        </w:rPr>
      </w:pPr>
      <w:r w:rsidRPr="00BB0DE8">
        <w:rPr>
          <w:b/>
          <w:i/>
        </w:rPr>
        <w:t>The sponsor has identified the Keynote-676 trial as the confirmatory trial to support the conversion to full registration;</w:t>
      </w:r>
      <w:r w:rsidR="00F05CE7">
        <w:rPr>
          <w:b/>
          <w:i/>
        </w:rPr>
        <w:t xml:space="preserve"> </w:t>
      </w:r>
      <w:proofErr w:type="gramStart"/>
      <w:r w:rsidR="00F05CE7">
        <w:rPr>
          <w:b/>
          <w:i/>
        </w:rPr>
        <w:t>a</w:t>
      </w:r>
      <w:r w:rsidR="00F05CE7" w:rsidRPr="00011226">
        <w:rPr>
          <w:b/>
          <w:i/>
        </w:rPr>
        <w:t xml:space="preserve"> brief summary</w:t>
      </w:r>
      <w:proofErr w:type="gramEnd"/>
      <w:r w:rsidR="00F05CE7" w:rsidRPr="00011226">
        <w:rPr>
          <w:b/>
          <w:i/>
        </w:rPr>
        <w:t xml:space="preserve"> of the study was provided in response to earlier TGA questions.</w:t>
      </w:r>
    </w:p>
    <w:p w14:paraId="571B0D74" w14:textId="5075DF23" w:rsidR="005E32AF" w:rsidRPr="00011226" w:rsidRDefault="005E32AF" w:rsidP="00011226">
      <w:pPr>
        <w:pStyle w:val="Numberbullet2"/>
        <w:rPr>
          <w:b/>
          <w:i/>
        </w:rPr>
      </w:pPr>
      <w:r w:rsidRPr="00011226">
        <w:rPr>
          <w:b/>
          <w:i/>
        </w:rPr>
        <w:t>Please provide details of the study design, estimated enrolment, and progress of recruitment.</w:t>
      </w:r>
    </w:p>
    <w:p w14:paraId="5D50239E" w14:textId="3B0B7411" w:rsidR="00BA5973" w:rsidRDefault="00FF0B17" w:rsidP="00BA5973">
      <w:r>
        <w:t>The following are d</w:t>
      </w:r>
      <w:r w:rsidR="00BA5973">
        <w:t xml:space="preserve">etails of the study design, estimated </w:t>
      </w:r>
      <w:r w:rsidR="00BB0DE8">
        <w:t>enrolment</w:t>
      </w:r>
      <w:r w:rsidR="00BA5973">
        <w:t xml:space="preserve"> and progress of recruitment:</w:t>
      </w:r>
    </w:p>
    <w:p w14:paraId="53667A2A" w14:textId="58715EF7" w:rsidR="00BA5973" w:rsidRDefault="00BA5973" w:rsidP="00BA5973">
      <w:r>
        <w:t xml:space="preserve">Keynote-676 is a Phase III, randomised, comparator-controlled clinical trial to study the efficacy </w:t>
      </w:r>
      <w:r w:rsidR="00FD16CF">
        <w:t xml:space="preserve">and safety of pembrolizumab </w:t>
      </w:r>
      <w:r>
        <w:t>in combination with Bacillus Calmette Guerin (BCG) in participants with high-risk non-muscle invasive bladder cancer (NMIBC) that is either persistent or recurrent following BCG induction or that is naïve to BCG treatment. The trial has 2 cohorts (that is, Cohort A (BCG Post-Induction) and Cohort B (BCG Naïve)) that operate in parallel and are independent of each other, with their own respective objectives and endpoints, inclusion and exclusion criteria, and timing for interim and final analyses. In addition, because the cohorts are independent, each cohort is assigned full alpha with no passing of alpha between the 2 cohorts.</w:t>
      </w:r>
    </w:p>
    <w:p w14:paraId="54FE3028" w14:textId="76963D3A" w:rsidR="00432868" w:rsidRDefault="00BA5973" w:rsidP="00BA5973">
      <w:r w:rsidRPr="0054223B">
        <w:rPr>
          <w:i/>
        </w:rPr>
        <w:t>Cohort A (BCG Post-Induction</w:t>
      </w:r>
      <w:r>
        <w:t xml:space="preserve">): For Cohort A, participants with </w:t>
      </w:r>
      <w:r w:rsidR="00D661F6">
        <w:t>high-risk</w:t>
      </w:r>
      <w:r>
        <w:t xml:space="preserve"> NMIBC that have persistent or recurrent disease after receiving adequate BCG induction are randomised in a 1:1 ratio to receive BCG + pembrolizumab (</w:t>
      </w:r>
      <w:r w:rsidR="0054223B">
        <w:t xml:space="preserve">Arm A-1) or BCG alone (Arm A-2); see </w:t>
      </w:r>
      <w:r w:rsidR="0054223B">
        <w:fldChar w:fldCharType="begin"/>
      </w:r>
      <w:r w:rsidR="0054223B">
        <w:instrText xml:space="preserve"> REF _Ref130374951 \h </w:instrText>
      </w:r>
      <w:r w:rsidR="0054223B">
        <w:fldChar w:fldCharType="separate"/>
      </w:r>
      <w:r w:rsidR="007F791A">
        <w:t xml:space="preserve">Figure </w:t>
      </w:r>
      <w:r w:rsidR="007F791A">
        <w:rPr>
          <w:noProof/>
        </w:rPr>
        <w:t>3</w:t>
      </w:r>
      <w:r w:rsidR="0054223B">
        <w:fldChar w:fldCharType="end"/>
      </w:r>
      <w:r w:rsidR="0054223B">
        <w:t>, below.</w:t>
      </w:r>
      <w:r>
        <w:t xml:space="preserve"> Participants with persistent T1 disease after induction BCG are not eligible. Prior to enrolment, participants will have undergone recent </w:t>
      </w:r>
      <w:proofErr w:type="spellStart"/>
      <w:r>
        <w:t>cystoscopic</w:t>
      </w:r>
      <w:proofErr w:type="spellEnd"/>
      <w:r>
        <w:t xml:space="preserve"> procedure(s) to remove all </w:t>
      </w:r>
      <w:proofErr w:type="spellStart"/>
      <w:r>
        <w:t>resectable</w:t>
      </w:r>
      <w:proofErr w:type="spellEnd"/>
      <w:r>
        <w:t xml:space="preserve"> </w:t>
      </w:r>
      <w:r>
        <w:lastRenderedPageBreak/>
        <w:t>disease (Ta and T1 components) and assure the absence of muscle invasive disease. Participants will undergo disease assessments with cystoscopy, urine cytology and biopsies/computed tomography urography (CTU) (as applicable) every 12 weeks for the first 2 years, then every 24</w:t>
      </w:r>
      <w:r w:rsidR="00F05CE7">
        <w:t> </w:t>
      </w:r>
      <w:r>
        <w:t>weeks for a total duration of 5 years.</w:t>
      </w:r>
    </w:p>
    <w:p w14:paraId="594CAFAD" w14:textId="4119A696" w:rsidR="00BA5973" w:rsidRDefault="00BA5973" w:rsidP="00BA5973">
      <w:r>
        <w:t>Transurethral resection of bladder tumour (TURBT)/biopsies are required on study to confirm disease persistence/ recurrence or progression in the setting of suspicious or positive cystoscopy and/or urine cytology.</w:t>
      </w:r>
    </w:p>
    <w:p w14:paraId="4684E4EF" w14:textId="676772E8" w:rsidR="00BA5973" w:rsidRDefault="00BA5973" w:rsidP="00BA5973">
      <w:r>
        <w:t>Pembrolizumab will be administered every 3 weeks for a total of 35 doses of treatment (approximately 2 years) and treatment with BCG will continue for a total of 147 weeks (approximately 3 years). Treatment will be discontinued if the participant experiences unacceptable adverse event(s), intercurrent illness that prevents further administration of treatment, the investigator’s decision to withdraw the participant, the participant withdraws consent, pregnancy of the participant, or administrative reasons.</w:t>
      </w:r>
    </w:p>
    <w:p w14:paraId="359B0836" w14:textId="438950A7" w:rsidR="00BA5973" w:rsidRDefault="00BA5973" w:rsidP="00BA5973">
      <w:r>
        <w:t>In addition, participants with pathology-confirmed high-grade Ta, T1, CIS or disease progression to T2 or worse at any time will be discontinued from the trial treatment. Participants with pathology-confirmed low-grade Ta persistence or recurrence at any time during the study will be permitted to undergo a TURBT to fully resect the low-grade Ta and are permitted to remain on trial treatment. The development of high-grade disease involving the upper tract will constitute recurrence of high-risk disease necessitating discontinuation from the study treatment.</w:t>
      </w:r>
    </w:p>
    <w:p w14:paraId="57A23271" w14:textId="7E283FDA" w:rsidR="00BA5973" w:rsidRDefault="00BA5973" w:rsidP="00BA5973">
      <w:r>
        <w:t>As of March 2021, 183 participants have been randomised in Cohort A (planned total is 550). Recruitment is projected to be complete by the fourth quarter of 2025.</w:t>
      </w:r>
    </w:p>
    <w:p w14:paraId="54988C8E" w14:textId="390B6F0B" w:rsidR="00F05CE7" w:rsidRDefault="00BA5973" w:rsidP="00BA5973">
      <w:r w:rsidRPr="00684D6C">
        <w:rPr>
          <w:i/>
        </w:rPr>
        <w:t>Cohort B (BCG Naïve):</w:t>
      </w:r>
      <w:r>
        <w:t xml:space="preserve"> For </w:t>
      </w:r>
      <w:r w:rsidR="00F05CE7">
        <w:t>C</w:t>
      </w:r>
      <w:r>
        <w:t xml:space="preserve">ohort B, participants with </w:t>
      </w:r>
      <w:r w:rsidR="00D661F6">
        <w:t>high-risk</w:t>
      </w:r>
      <w:r>
        <w:t xml:space="preserve"> </w:t>
      </w:r>
      <w:r w:rsidR="00FA5AA7">
        <w:t>n</w:t>
      </w:r>
      <w:r w:rsidR="00FA5AA7" w:rsidRPr="00D661F6">
        <w:t>on-muscle invasive bladder cancer</w:t>
      </w:r>
      <w:r w:rsidR="00FA5AA7">
        <w:t xml:space="preserve"> </w:t>
      </w:r>
      <w:r w:rsidR="00684D6C">
        <w:t xml:space="preserve">that have not been treated with </w:t>
      </w:r>
      <w:r>
        <w:t xml:space="preserve">BCG in the past 2 years for their </w:t>
      </w:r>
      <w:r w:rsidR="00FA5AA7">
        <w:t>n</w:t>
      </w:r>
      <w:r w:rsidR="00FA5AA7" w:rsidRPr="00D661F6">
        <w:t>on-muscle invasive bladder cancer</w:t>
      </w:r>
      <w:r w:rsidR="00FA5AA7">
        <w:t xml:space="preserve"> </w:t>
      </w:r>
      <w:r>
        <w:t>will be randomi</w:t>
      </w:r>
      <w:r w:rsidR="00684D6C">
        <w:t xml:space="preserve">sed in a 1:1:1 ratio to receive </w:t>
      </w:r>
      <w:r>
        <w:t>pembrolizum</w:t>
      </w:r>
      <w:r w:rsidR="00FA5AA7">
        <w:t xml:space="preserve">ab + BCG (reduced maintenance; </w:t>
      </w:r>
      <w:r>
        <w:t>Arm B-1), pemb</w:t>
      </w:r>
      <w:r w:rsidR="00684D6C">
        <w:t xml:space="preserve">rolizumab + BCG (full </w:t>
      </w:r>
      <w:r w:rsidR="00FA5AA7">
        <w:t xml:space="preserve">maintenance; </w:t>
      </w:r>
      <w:r>
        <w:t>Arm B-2) o</w:t>
      </w:r>
      <w:r w:rsidR="00FA5AA7">
        <w:t xml:space="preserve">r BCG alone (full maintenance; </w:t>
      </w:r>
      <w:r>
        <w:t>Arm B-3)</w:t>
      </w:r>
      <w:r w:rsidR="0054223B">
        <w:t xml:space="preserve">; see </w:t>
      </w:r>
      <w:r w:rsidR="0054223B">
        <w:fldChar w:fldCharType="begin"/>
      </w:r>
      <w:r w:rsidR="0054223B">
        <w:instrText xml:space="preserve"> REF _Ref130374951 \h </w:instrText>
      </w:r>
      <w:r w:rsidR="0054223B">
        <w:fldChar w:fldCharType="separate"/>
      </w:r>
      <w:r w:rsidR="007F791A">
        <w:t xml:space="preserve">Figure </w:t>
      </w:r>
      <w:r w:rsidR="007F791A">
        <w:rPr>
          <w:noProof/>
        </w:rPr>
        <w:t>3</w:t>
      </w:r>
      <w:r w:rsidR="0054223B">
        <w:fldChar w:fldCharType="end"/>
      </w:r>
      <w:r w:rsidR="0054223B">
        <w:t>, below.</w:t>
      </w:r>
    </w:p>
    <w:p w14:paraId="30E5222D" w14:textId="0E742790" w:rsidR="00BA5973" w:rsidRDefault="00684D6C" w:rsidP="00BA5973">
      <w:r>
        <w:t xml:space="preserve">Cohort B features </w:t>
      </w:r>
      <w:r w:rsidR="00BA5973">
        <w:t>2 experimental arms, including an arm with reduced BCG maint</w:t>
      </w:r>
      <w:r>
        <w:t xml:space="preserve">enance, as reducing reliance on </w:t>
      </w:r>
      <w:r w:rsidR="00BA5973">
        <w:t>BCG in this disease setting would provide a significant benefit to</w:t>
      </w:r>
      <w:r>
        <w:t xml:space="preserve"> patients. Prior to enrolment, </w:t>
      </w:r>
      <w:r w:rsidR="00BA5973">
        <w:t xml:space="preserve">participants will have undergone recent </w:t>
      </w:r>
      <w:proofErr w:type="spellStart"/>
      <w:r w:rsidR="00BA5973">
        <w:t>cystoscopic</w:t>
      </w:r>
      <w:proofErr w:type="spellEnd"/>
      <w:r w:rsidR="00BA5973">
        <w:t xml:space="preserve"> procedure(s) </w:t>
      </w:r>
      <w:r w:rsidR="00FA5AA7">
        <w:t>(within 12 </w:t>
      </w:r>
      <w:r>
        <w:t xml:space="preserve">weeks) to remove all </w:t>
      </w:r>
      <w:proofErr w:type="spellStart"/>
      <w:r w:rsidR="00BA5973">
        <w:t>resectable</w:t>
      </w:r>
      <w:proofErr w:type="spellEnd"/>
      <w:r w:rsidR="00BA5973">
        <w:t xml:space="preserve"> disease (Ta and T1 components) and assure the absence of muscle invasive disease.</w:t>
      </w:r>
    </w:p>
    <w:p w14:paraId="450075E7" w14:textId="545373E9" w:rsidR="00BA5973" w:rsidRDefault="00BA5973" w:rsidP="00BA5973">
      <w:r>
        <w:t xml:space="preserve">Participants will undergo disease assessments with cystoscopy, </w:t>
      </w:r>
      <w:r w:rsidR="00684D6C">
        <w:t xml:space="preserve">urine cytology and biopsies (as </w:t>
      </w:r>
      <w:r>
        <w:t>applicable) every 12 weeks for the first 2 years, then every 24 weeks for a total duration of 5 years.</w:t>
      </w:r>
    </w:p>
    <w:p w14:paraId="1DEE22CC" w14:textId="76DEE51B" w:rsidR="00BA5973" w:rsidRDefault="00BA5973" w:rsidP="00BA5973">
      <w:r>
        <w:t>TURBT/biopsies are required on study to confirm disease persistence/recu</w:t>
      </w:r>
      <w:r w:rsidR="00684D6C">
        <w:t xml:space="preserve">rrence or progression in </w:t>
      </w:r>
      <w:r>
        <w:t>the setting of suspicious or positive cystoscopy and/or urine cytol</w:t>
      </w:r>
      <w:r w:rsidR="00684D6C">
        <w:t>ogy. CTU assessments will occur every 72 </w:t>
      </w:r>
      <w:r>
        <w:t>weeks, or more frequently as clinically indicated.</w:t>
      </w:r>
    </w:p>
    <w:p w14:paraId="277E9F54" w14:textId="191E6E98" w:rsidR="00BA5973" w:rsidRDefault="00BA5973" w:rsidP="00BA5973">
      <w:r>
        <w:t xml:space="preserve">Pembrolizumab will be administered every 6 weeks in Arm B-1 and Arm B-2 </w:t>
      </w:r>
      <w:r w:rsidR="00684D6C">
        <w:t>for a total of 9</w:t>
      </w:r>
      <w:r w:rsidR="00F05CE7">
        <w:t> </w:t>
      </w:r>
      <w:r w:rsidR="00684D6C">
        <w:t xml:space="preserve">doses </w:t>
      </w:r>
      <w:r w:rsidR="00FA5AA7">
        <w:t>of treatment (approximate duration of one</w:t>
      </w:r>
      <w:r>
        <w:t xml:space="preserve"> year). Participants in </w:t>
      </w:r>
      <w:r w:rsidR="00FA5AA7">
        <w:t>the pembrolizumab +BCG (reduced maintenance;</w:t>
      </w:r>
      <w:r>
        <w:t xml:space="preserve"> Arm B-1) will receive up to 2 courses of BCG. Part</w:t>
      </w:r>
      <w:r w:rsidR="00684D6C">
        <w:t xml:space="preserve">icipants in the pembrolizumab + </w:t>
      </w:r>
      <w:r w:rsidR="00FA5AA7">
        <w:t>BCG (full maintenance;</w:t>
      </w:r>
      <w:r>
        <w:t xml:space="preserve"> Arm B-2) and the BCG monotherapy arm</w:t>
      </w:r>
      <w:r w:rsidR="00684D6C">
        <w:t xml:space="preserve"> (Arm B-3) will receive up to 5 </w:t>
      </w:r>
      <w:r>
        <w:t xml:space="preserve">courses of BCG. Treatment will be discontinued if the participant </w:t>
      </w:r>
      <w:r w:rsidR="00684D6C">
        <w:t xml:space="preserve">experiences unacceptable AE(s), </w:t>
      </w:r>
      <w:r>
        <w:t>intercurrent illness that prevents further administration of treatment,</w:t>
      </w:r>
      <w:r w:rsidR="00684D6C">
        <w:t xml:space="preserve"> the investigator’s decision to </w:t>
      </w:r>
      <w:r>
        <w:t>withdraw the participant, the participant withdraws consent, p</w:t>
      </w:r>
      <w:r w:rsidR="00684D6C">
        <w:t xml:space="preserve">regnancy of the participant, or </w:t>
      </w:r>
      <w:r>
        <w:t>administrative reasons.</w:t>
      </w:r>
    </w:p>
    <w:p w14:paraId="14BABF4B" w14:textId="346ECFD8" w:rsidR="001D4F95" w:rsidRDefault="00BA5973" w:rsidP="001D4F95">
      <w:r>
        <w:lastRenderedPageBreak/>
        <w:t>In addition, participants with pathology-confirmed T1or disease pr</w:t>
      </w:r>
      <w:r w:rsidR="00684D6C">
        <w:t xml:space="preserve">ogression to T2 or worse at any </w:t>
      </w:r>
      <w:r>
        <w:t>time, or high-grade Ta or CIS at the 24-week assessment or thereafte</w:t>
      </w:r>
      <w:r w:rsidR="00684D6C">
        <w:t xml:space="preserve">r will be discontinued from the </w:t>
      </w:r>
      <w:r>
        <w:t>study intervention. Participants with pathology confirmed low-grade Ta persistence or recurrence</w:t>
      </w:r>
      <w:r w:rsidR="001D4F95">
        <w:t xml:space="preserve"> at any time during the study will be permitted to undergo a TURBT to fully resect the low-grade Ta and are permitted to remain on trial treatment. The development of high-grade disease involving the upper tract will constitute recurrence of high-risk disease necessitating discontinuation from the study treatment. Participants in Cohort B are not eligible to be enrolled in Cohort A after discontinuing study intervention in Cohort B.</w:t>
      </w:r>
    </w:p>
    <w:p w14:paraId="692688A0" w14:textId="2112D517" w:rsidR="00BA5973" w:rsidRDefault="001D4F95" w:rsidP="001D4F95">
      <w:r>
        <w:t>Cohort B began enrolment in March 2021 and is projected to be complete by June 2023.</w:t>
      </w:r>
    </w:p>
    <w:p w14:paraId="2AA6AB07" w14:textId="2F7411D4" w:rsidR="0054223B" w:rsidRDefault="0054223B" w:rsidP="0054223B">
      <w:pPr>
        <w:pStyle w:val="TableTitle0"/>
      </w:pPr>
      <w:bookmarkStart w:id="96" w:name="_Ref130374951"/>
      <w:r>
        <w:t xml:space="preserve">Figure </w:t>
      </w:r>
      <w:r w:rsidR="00B82441">
        <w:fldChar w:fldCharType="begin"/>
      </w:r>
      <w:r w:rsidR="00B82441">
        <w:instrText xml:space="preserve"> SEQ Figure \* ARABIC </w:instrText>
      </w:r>
      <w:r w:rsidR="00B82441">
        <w:fldChar w:fldCharType="separate"/>
      </w:r>
      <w:r w:rsidR="007F791A">
        <w:rPr>
          <w:noProof/>
        </w:rPr>
        <w:t>3</w:t>
      </w:r>
      <w:r w:rsidR="00B82441">
        <w:rPr>
          <w:noProof/>
        </w:rPr>
        <w:fldChar w:fldCharType="end"/>
      </w:r>
      <w:bookmarkEnd w:id="96"/>
      <w:r w:rsidR="00BB0DE8">
        <w:t>: Keynote-676 trial; S</w:t>
      </w:r>
      <w:r>
        <w:t>tudy design</w:t>
      </w:r>
    </w:p>
    <w:p w14:paraId="6A85A028" w14:textId="6B7326EE" w:rsidR="001D4F95" w:rsidRDefault="001D4F95" w:rsidP="001D4F95">
      <w:r>
        <w:rPr>
          <w:noProof/>
          <w:lang w:val="en-GB" w:eastAsia="en-GB"/>
        </w:rPr>
        <w:drawing>
          <wp:inline distT="0" distB="0" distL="0" distR="0" wp14:anchorId="273124B6" wp14:editId="64329290">
            <wp:extent cx="5661329" cy="3539116"/>
            <wp:effectExtent l="0" t="0" r="0" b="4445"/>
            <wp:docPr id="2" name="Picture 2" descr="Figure 3 is a flow chart depticting the design of the Keynote-676 trial.&#10;&#10;Cohort A is based on participants with urothelial carcinoma with previous BCG treatment, The key eligibility criteria are urothelial carcinoma of the bladder; and persistent or recurrent high risk non-muscle invasive bladder cancer following adequate BCG induction.&#10;Recruitment of 550 participants is planned. Patients with be randomised in a 1:1 ratio to Arm 1 (participants given BCG treatment plus pembrolizumab) or Arm 2 (participants given BCG alone as monotherapy). The primary endpoint is the complete response rate in participants with carcinoma in situ. The Key secondary endpoint is event free survival in all participants.&#10;Cohort B is based on participants with urothelial carcinoma with who are BCG naïve (that is, with no previous BCG treatment), The key eligibility criteria are urothelial carcinoma of the bladder; and high risk non-muscle invasive bladder cancer without prior BCG treatment for at least 2 years prior to study entry.&#10;Recruitment of 975 participants is planned. Patients with be randomised in a 1:1:1 ratio to Arm 1 (participants given BCG treatment in the form of reduced BCG maintenance, plus pembrolizumab); or Arm 2 (participants given BCG treatment in the form of full BCG maintenance, plus pembrolizumab); or Arm 3 (participants given BCG alone as monotherapy). The primary endpoint is event free survival in all participants.&#10;" title="Figure 3: Keynote-676 trial,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532" t="21833" r="24605" b="6216"/>
                    <a:stretch/>
                  </pic:blipFill>
                  <pic:spPr bwMode="auto">
                    <a:xfrm>
                      <a:off x="0" y="0"/>
                      <a:ext cx="5687731" cy="3555621"/>
                    </a:xfrm>
                    <a:prstGeom prst="rect">
                      <a:avLst/>
                    </a:prstGeom>
                    <a:ln>
                      <a:noFill/>
                    </a:ln>
                    <a:extLst>
                      <a:ext uri="{53640926-AAD7-44D8-BBD7-CCE9431645EC}">
                        <a14:shadowObscured xmlns:a14="http://schemas.microsoft.com/office/drawing/2010/main"/>
                      </a:ext>
                    </a:extLst>
                  </pic:spPr>
                </pic:pic>
              </a:graphicData>
            </a:graphic>
          </wp:inline>
        </w:drawing>
      </w:r>
    </w:p>
    <w:p w14:paraId="77433B16" w14:textId="64C1C640" w:rsidR="00BA5973" w:rsidRDefault="0054223B" w:rsidP="00011226">
      <w:pPr>
        <w:pStyle w:val="TableDescription0"/>
      </w:pPr>
      <w:r w:rsidRPr="0054223B">
        <w:t>Abbreviations: BCG</w:t>
      </w:r>
      <w:r>
        <w:t xml:space="preserve"> </w:t>
      </w:r>
      <w:r w:rsidRPr="0054223B">
        <w:t>=</w:t>
      </w:r>
      <w:r>
        <w:t xml:space="preserve"> </w:t>
      </w:r>
      <w:r w:rsidRPr="0054223B">
        <w:t>Bacillus Calmette-Guerin; CIS</w:t>
      </w:r>
      <w:r>
        <w:t xml:space="preserve"> </w:t>
      </w:r>
      <w:r w:rsidRPr="0054223B">
        <w:t>=</w:t>
      </w:r>
      <w:r>
        <w:t xml:space="preserve"> </w:t>
      </w:r>
      <w:r w:rsidRPr="0054223B">
        <w:t xml:space="preserve">carcinoma in situ; EFS=event-free survival; </w:t>
      </w:r>
      <w:r w:rsidR="00BB0DE8">
        <w:t xml:space="preserve">CRR = complete response rate; </w:t>
      </w:r>
      <w:r>
        <w:t xml:space="preserve">HR = high risk; </w:t>
      </w:r>
      <w:r w:rsidRPr="0054223B">
        <w:t>NMIBC</w:t>
      </w:r>
      <w:r>
        <w:t> </w:t>
      </w:r>
      <w:r w:rsidRPr="0054223B">
        <w:t>=</w:t>
      </w:r>
      <w:r>
        <w:t> </w:t>
      </w:r>
      <w:proofErr w:type="spellStart"/>
      <w:r>
        <w:t>nonmuscle</w:t>
      </w:r>
      <w:proofErr w:type="spellEnd"/>
      <w:r>
        <w:noBreakHyphen/>
      </w:r>
      <w:r w:rsidRPr="0054223B">
        <w:t>invasive bladder cancer.</w:t>
      </w:r>
    </w:p>
    <w:p w14:paraId="45A392E0" w14:textId="5454CFB1" w:rsidR="00CE6B0A" w:rsidRDefault="00CE6B0A" w:rsidP="00011226">
      <w:pPr>
        <w:pStyle w:val="TableDescription0"/>
      </w:pPr>
      <w:r>
        <w:t>Cohort A is based on participants with urothelial carcinoma with previous BCG treatment, The key eligibility criteria are urothelial carcinoma of the bladder; and persistent or recurrent high risk non-muscle invasive bladder cancer following adequate BCG induction.</w:t>
      </w:r>
    </w:p>
    <w:p w14:paraId="4359724B" w14:textId="3900A407" w:rsidR="00CE6B0A" w:rsidRDefault="00CE6B0A" w:rsidP="00011226">
      <w:pPr>
        <w:pStyle w:val="TableDescription0"/>
      </w:pPr>
      <w:r>
        <w:t>Recruitment of 550 participants is planned. Patients with be randomised in a 1:1 ratio to Arm 1 (participants given BCG treatment plus pembrolizumab) or Arm 2 (participants given BCG alone as monotherapy). The primary endpoint is the complete response rate in participants</w:t>
      </w:r>
      <w:r w:rsidR="004A1EA6">
        <w:t xml:space="preserve"> with carcinoma in situ. The k</w:t>
      </w:r>
      <w:r>
        <w:t>ey secondary endpoint is event free survival in all participants.</w:t>
      </w:r>
    </w:p>
    <w:p w14:paraId="67E5DBBE" w14:textId="1A350C60" w:rsidR="00CE6B0A" w:rsidRDefault="00CE6B0A" w:rsidP="00CE6B0A">
      <w:pPr>
        <w:pStyle w:val="TableDescription0"/>
      </w:pPr>
      <w:r>
        <w:t xml:space="preserve">Cohort B is based on participants with urothelial carcinoma with who are BCG naïve (that is, with no previous BCG treatment), The key eligibility criteria are urothelial carcinoma of the bladder; and </w:t>
      </w:r>
      <w:proofErr w:type="gramStart"/>
      <w:r>
        <w:t>high risk</w:t>
      </w:r>
      <w:proofErr w:type="gramEnd"/>
      <w:r>
        <w:t xml:space="preserve"> non-muscle invasive bladder cancer without prior BCG treatment for at least 2 years prior to study entry.</w:t>
      </w:r>
    </w:p>
    <w:p w14:paraId="1DDF9834" w14:textId="4B59431A" w:rsidR="00CE6B0A" w:rsidRPr="00432868" w:rsidRDefault="00CE6B0A" w:rsidP="00011226">
      <w:pPr>
        <w:pStyle w:val="TableDescription0"/>
      </w:pPr>
      <w:r>
        <w:t xml:space="preserve">Recruitment of 975 participants is planned. Patients with be randomised in a 1:1:1 ratio to Arm 1 (participants given BCG treatment </w:t>
      </w:r>
      <w:r w:rsidR="004A1EA6">
        <w:t xml:space="preserve">in the form of reduced BCG maintenance, </w:t>
      </w:r>
      <w:r>
        <w:t>plus pembrolizu</w:t>
      </w:r>
      <w:r w:rsidR="004A1EA6">
        <w:t xml:space="preserve">mab); or </w:t>
      </w:r>
      <w:r>
        <w:t xml:space="preserve">Arm 2 (participants </w:t>
      </w:r>
      <w:r w:rsidR="004A1EA6">
        <w:t xml:space="preserve">given BCG treatment in the form of full BCG maintenance, plus pembrolizumab); or Arm 3 (participants </w:t>
      </w:r>
      <w:r>
        <w:t>given BCG alone as monotherapy). The primary endpoint is event free survival in all participants.</w:t>
      </w:r>
    </w:p>
    <w:p w14:paraId="43DFF774" w14:textId="25E7BA16" w:rsidR="005E32AF" w:rsidRPr="00BB0DE8" w:rsidRDefault="005E32AF" w:rsidP="00934E6A">
      <w:pPr>
        <w:pStyle w:val="Numberbullet2"/>
        <w:rPr>
          <w:b/>
          <w:i/>
        </w:rPr>
      </w:pPr>
      <w:r w:rsidRPr="00BB0DE8">
        <w:rPr>
          <w:b/>
          <w:i/>
        </w:rPr>
        <w:t xml:space="preserve">Does the sponsor still expect the study will be completed by </w:t>
      </w:r>
      <w:r w:rsidR="00934E6A" w:rsidRPr="00BB0DE8">
        <w:rPr>
          <w:b/>
          <w:i/>
        </w:rPr>
        <w:t>the second quarter of</w:t>
      </w:r>
      <w:r w:rsidRPr="00BB0DE8">
        <w:rPr>
          <w:b/>
          <w:i/>
        </w:rPr>
        <w:t xml:space="preserve"> 2026?</w:t>
      </w:r>
    </w:p>
    <w:p w14:paraId="45DAAEFD" w14:textId="2A2DB21D" w:rsidR="0054223B" w:rsidRPr="0054223B" w:rsidRDefault="0054223B" w:rsidP="0054223B">
      <w:r w:rsidRPr="0054223B">
        <w:t>Bas</w:t>
      </w:r>
      <w:r>
        <w:t>ed on current projections, the s</w:t>
      </w:r>
      <w:r w:rsidRPr="0054223B">
        <w:t>ponsor expec</w:t>
      </w:r>
      <w:r>
        <w:t>ts that data readouts from both c</w:t>
      </w:r>
      <w:r w:rsidRPr="0054223B">
        <w:t>ohorts will be</w:t>
      </w:r>
      <w:r>
        <w:t xml:space="preserve"> </w:t>
      </w:r>
      <w:r w:rsidRPr="0054223B">
        <w:t>available by June 2026.</w:t>
      </w:r>
    </w:p>
    <w:p w14:paraId="482E5D49" w14:textId="77777777" w:rsidR="00934E6A" w:rsidRPr="00BB0DE8" w:rsidRDefault="005E32AF" w:rsidP="00934E6A">
      <w:pPr>
        <w:pStyle w:val="Numberbullet2"/>
        <w:rPr>
          <w:b/>
          <w:i/>
        </w:rPr>
      </w:pPr>
      <w:r w:rsidRPr="00BB0DE8">
        <w:rPr>
          <w:b/>
          <w:i/>
        </w:rPr>
        <w:lastRenderedPageBreak/>
        <w:t>There are two cohorts eac</w:t>
      </w:r>
      <w:r w:rsidR="00934E6A" w:rsidRPr="00BB0DE8">
        <w:rPr>
          <w:b/>
          <w:i/>
        </w:rPr>
        <w:t>h with more than one study arm.</w:t>
      </w:r>
    </w:p>
    <w:p w14:paraId="0224FA0E" w14:textId="4B26B04C" w:rsidR="005E32AF" w:rsidRPr="00BB0DE8" w:rsidRDefault="005E32AF" w:rsidP="00934E6A">
      <w:pPr>
        <w:pStyle w:val="Numberbullet2"/>
        <w:numPr>
          <w:ilvl w:val="0"/>
          <w:numId w:val="0"/>
        </w:numPr>
        <w:ind w:left="850"/>
        <w:rPr>
          <w:b/>
          <w:i/>
        </w:rPr>
      </w:pPr>
      <w:r w:rsidRPr="00BB0DE8">
        <w:rPr>
          <w:b/>
          <w:i/>
        </w:rPr>
        <w:t>Will results from all cohorts form the confirmatory data? If not, which cohorts will be included?</w:t>
      </w:r>
    </w:p>
    <w:p w14:paraId="78D95749" w14:textId="1EEB1370" w:rsidR="00FD16CF" w:rsidRDefault="0054223B" w:rsidP="00FD16CF">
      <w:r>
        <w:t xml:space="preserve">When the sponsor initially proposed the Keynote-676 trial as the confirmatory trial for the Keynote-057 trial, </w:t>
      </w:r>
      <w:r w:rsidR="00FA5AA7">
        <w:t>the Keynote</w:t>
      </w:r>
      <w:r>
        <w:t xml:space="preserve">-676 </w:t>
      </w:r>
      <w:r w:rsidR="00FA5AA7">
        <w:t xml:space="preserve">trial </w:t>
      </w:r>
      <w:r>
        <w:t>only included patients who had persistent or recurrent high-risk non-muscle invasive bladder cancer post-BCG induction (Cohort A). Since the Keynote</w:t>
      </w:r>
      <w:r w:rsidR="004A1EA6">
        <w:noBreakHyphen/>
      </w:r>
      <w:r>
        <w:t xml:space="preserve">676 trial now includes two separate cohorts, the sponsor proposes to allow data from either cohort to fulfil the requirements for confirmatory data. </w:t>
      </w:r>
      <w:r w:rsidR="00FD16CF">
        <w:t>There is a significant unmet need for approved nonsurgical therapies for patients with BCG</w:t>
      </w:r>
      <w:r w:rsidR="00FD16CF">
        <w:noBreakHyphen/>
        <w:t>unresponsive NMIBC. Thus, a Phase III study evaluating pembrolizumab monotherapy in the BCG</w:t>
      </w:r>
      <w:r w:rsidR="00FD16CF">
        <w:noBreakHyphen/>
        <w:t>unresponsive NMIBC setting would be challenging due to the lack of available medical therapies that can be used as a comparator. Radical cystectomy (RC) has historically been the only standard of care in this disease setting but would not be a suitable comparator. Additionally, placebo controlled clinical trials are unethical because BCG-unresponsive high-risk NMIBC is associated with high risk of progression and mortality if left untreated. For the reasons mentioned above, the US FDA has published guidance stating that single arm trials utilising complete response rate as a primary endpoint supported by duration of response (DOR) may be appropriate for regular approval, or it may require a confirmatory trial post</w:t>
      </w:r>
      <w:r w:rsidR="00FD16CF">
        <w:noBreakHyphen/>
        <w:t xml:space="preserve">approval. </w:t>
      </w:r>
      <w:proofErr w:type="gramStart"/>
      <w:r w:rsidR="00FD16CF">
        <w:t>With regard to</w:t>
      </w:r>
      <w:proofErr w:type="gramEnd"/>
      <w:r w:rsidR="00FD16CF">
        <w:t xml:space="preserve"> the confirmatory trial, since a randomised trial in the BCG-unresponsive population is not feasible, the FDA has proposed randomised trials versus BCG in the BCG- naïve or post </w:t>
      </w:r>
      <w:r w:rsidR="00FF0098">
        <w:t>BCG-induction NMIBC setting.</w:t>
      </w:r>
      <w:r w:rsidR="00371B97" w:rsidRPr="00371B97">
        <w:rPr>
          <w:vertAlign w:val="superscript"/>
        </w:rPr>
        <w:fldChar w:fldCharType="begin"/>
      </w:r>
      <w:r w:rsidR="00371B97" w:rsidRPr="00371B97">
        <w:rPr>
          <w:vertAlign w:val="superscript"/>
        </w:rPr>
        <w:instrText xml:space="preserve"> NOTEREF _Ref130548384 \h </w:instrText>
      </w:r>
      <w:r w:rsidR="00371B97">
        <w:rPr>
          <w:vertAlign w:val="superscript"/>
        </w:rPr>
        <w:instrText xml:space="preserve"> \* MERGEFORMAT </w:instrText>
      </w:r>
      <w:r w:rsidR="00371B97" w:rsidRPr="00371B97">
        <w:rPr>
          <w:vertAlign w:val="superscript"/>
        </w:rPr>
      </w:r>
      <w:r w:rsidR="00371B97" w:rsidRPr="00371B97">
        <w:rPr>
          <w:vertAlign w:val="superscript"/>
        </w:rPr>
        <w:fldChar w:fldCharType="separate"/>
      </w:r>
      <w:r w:rsidR="007F791A">
        <w:rPr>
          <w:vertAlign w:val="superscript"/>
        </w:rPr>
        <w:t>37</w:t>
      </w:r>
      <w:r w:rsidR="00371B97" w:rsidRPr="00371B97">
        <w:rPr>
          <w:vertAlign w:val="superscript"/>
        </w:rPr>
        <w:fldChar w:fldCharType="end"/>
      </w:r>
    </w:p>
    <w:p w14:paraId="54556154" w14:textId="2A4094E7" w:rsidR="00FD16CF" w:rsidRPr="0054223B" w:rsidRDefault="00FD16CF" w:rsidP="0054223B">
      <w:r>
        <w:t xml:space="preserve">As described, </w:t>
      </w:r>
      <w:r w:rsidR="004A1EA6">
        <w:t xml:space="preserve">the </w:t>
      </w:r>
      <w:r>
        <w:t xml:space="preserve">Keynote-676 </w:t>
      </w:r>
      <w:r w:rsidR="004A1EA6">
        <w:t xml:space="preserve">trial </w:t>
      </w:r>
      <w:r>
        <w:t xml:space="preserve">will enable confirmation of pembrolizumab monotherapy efficacy demonstrated in </w:t>
      </w:r>
      <w:r w:rsidR="004A1EA6">
        <w:t xml:space="preserve">the </w:t>
      </w:r>
      <w:r>
        <w:t>Keynote-057</w:t>
      </w:r>
      <w:r w:rsidR="004A1EA6">
        <w:t xml:space="preserve"> trial</w:t>
      </w:r>
      <w:r>
        <w:t xml:space="preserve"> by combining it with standard-of-care BCG therapy in earlier stages of high</w:t>
      </w:r>
      <w:r>
        <w:noBreakHyphen/>
        <w:t xml:space="preserve">risk NMIBC, that is, in patients with persistent or recurrent disease following BCG induction (Cohort A) or BCG-naïve disease (Cohort B). The sponsor proposes that results from either cohort could serve as confirmatory for </w:t>
      </w:r>
      <w:r w:rsidR="004A1EA6">
        <w:t xml:space="preserve">the </w:t>
      </w:r>
      <w:r w:rsidR="00371B97">
        <w:t>Keynote</w:t>
      </w:r>
      <w:r>
        <w:t>-057</w:t>
      </w:r>
      <w:r w:rsidR="004A1EA6">
        <w:t xml:space="preserve"> trial</w:t>
      </w:r>
      <w:r>
        <w:t>, given that both cohorts are randomised with a robust sample size and statistical analysis plan, as well as the similarity in patient population (high-risk NMIBC).</w:t>
      </w:r>
    </w:p>
    <w:p w14:paraId="5BA9755E" w14:textId="0112EC82" w:rsidR="005E32AF" w:rsidRPr="00FF0098" w:rsidRDefault="00934E6A" w:rsidP="00934E6A">
      <w:pPr>
        <w:pStyle w:val="Numberbullet2"/>
        <w:rPr>
          <w:b/>
          <w:i/>
        </w:rPr>
      </w:pPr>
      <w:r w:rsidRPr="00FF0098">
        <w:rPr>
          <w:b/>
          <w:i/>
        </w:rPr>
        <w:t>Other than the Keynote-676 trial, a</w:t>
      </w:r>
      <w:r w:rsidR="005E32AF" w:rsidRPr="00FF0098">
        <w:rPr>
          <w:b/>
          <w:i/>
        </w:rPr>
        <w:t>re other studies planned for inclusion in the clinical study plan?</w:t>
      </w:r>
    </w:p>
    <w:p w14:paraId="24CB97D8" w14:textId="14634252" w:rsidR="00C22214" w:rsidRDefault="0054223B" w:rsidP="00FF0098">
      <w:r w:rsidRPr="0054223B">
        <w:t>At this time, no other studies are planned for inclusion in the clinical study plan.</w:t>
      </w:r>
    </w:p>
    <w:p w14:paraId="318CFABC" w14:textId="77777777" w:rsidR="00C22214" w:rsidRPr="00F73346" w:rsidRDefault="00C22214" w:rsidP="00C22214">
      <w:pPr>
        <w:pStyle w:val="Heading4"/>
      </w:pPr>
      <w:bookmarkStart w:id="97" w:name="_Toc98931936"/>
      <w:bookmarkStart w:id="98" w:name="_Ref130535068"/>
      <w:bookmarkStart w:id="99" w:name="_Toc137117850"/>
      <w:bookmarkStart w:id="100" w:name="_Toc247691532"/>
      <w:bookmarkStart w:id="101" w:name="_Toc314842516"/>
      <w:r w:rsidRPr="00F73346">
        <w:t>Advisory Committee considerations</w:t>
      </w:r>
      <w:bookmarkEnd w:id="97"/>
      <w:bookmarkEnd w:id="98"/>
      <w:bookmarkEnd w:id="99"/>
    </w:p>
    <w:p w14:paraId="087BB9CB" w14:textId="360D8340" w:rsidR="00C22214" w:rsidRDefault="00C22214" w:rsidP="00C22214">
      <w:pPr>
        <w:rPr>
          <w:bCs/>
        </w:rPr>
      </w:pPr>
      <w:r w:rsidRPr="00456765">
        <w:rPr>
          <w:bCs/>
        </w:rPr>
        <w:t xml:space="preserve">The </w:t>
      </w:r>
      <w:hyperlink r:id="rId35" w:history="1">
        <w:r w:rsidRPr="00C65E63">
          <w:rPr>
            <w:rStyle w:val="Hyperlink"/>
            <w:szCs w:val="21"/>
          </w:rPr>
          <w:t>Advisory Committee on Medicines (ACM)</w:t>
        </w:r>
      </w:hyperlink>
      <w:r w:rsidRPr="00F73346">
        <w:rPr>
          <w:color w:val="007099"/>
          <w:szCs w:val="21"/>
        </w:rPr>
        <w:t xml:space="preserve"> </w:t>
      </w:r>
      <w:r w:rsidRPr="00456765">
        <w:rPr>
          <w:bCs/>
        </w:rPr>
        <w:t>having considered the evaluations and the Delegate’s overview, as well as the sponsor’s response to these documents, advised the following</w:t>
      </w:r>
      <w:r>
        <w:rPr>
          <w:bCs/>
        </w:rPr>
        <w:t>.</w:t>
      </w:r>
    </w:p>
    <w:p w14:paraId="0D935CC4" w14:textId="33F9759E" w:rsidR="00C22214" w:rsidRDefault="00C22214" w:rsidP="00C22214">
      <w:pPr>
        <w:pStyle w:val="Heading5"/>
      </w:pPr>
      <w:r w:rsidRPr="00F73346">
        <w:t>Specific advice to the Delegate</w:t>
      </w:r>
    </w:p>
    <w:p w14:paraId="44630622" w14:textId="77777777" w:rsidR="001B52D6" w:rsidRDefault="001B52D6" w:rsidP="001B52D6">
      <w:r>
        <w:t>The ACM advised the following in response to the Delegate’s specific request for advice:</w:t>
      </w:r>
    </w:p>
    <w:p w14:paraId="25EF1E8B" w14:textId="0CA3378B" w:rsidR="001B52D6" w:rsidRPr="00E82528" w:rsidRDefault="001B52D6" w:rsidP="00E82528">
      <w:pPr>
        <w:pStyle w:val="Numberbullet0"/>
        <w:numPr>
          <w:ilvl w:val="0"/>
          <w:numId w:val="16"/>
        </w:numPr>
        <w:rPr>
          <w:b/>
          <w:i/>
        </w:rPr>
      </w:pPr>
      <w:r w:rsidRPr="00E82528">
        <w:rPr>
          <w:b/>
          <w:i/>
        </w:rPr>
        <w:t>Please advise on the strength of the evidence of benefits over harms of pembrolizumab in Bacillus</w:t>
      </w:r>
      <w:r w:rsidR="00E82528">
        <w:t> </w:t>
      </w:r>
      <w:r w:rsidRPr="00E82528">
        <w:rPr>
          <w:b/>
          <w:i/>
        </w:rPr>
        <w:t>Calmette-</w:t>
      </w:r>
      <w:proofErr w:type="spellStart"/>
      <w:r w:rsidRPr="00E82528">
        <w:rPr>
          <w:b/>
          <w:i/>
        </w:rPr>
        <w:t>Geurin</w:t>
      </w:r>
      <w:proofErr w:type="spellEnd"/>
      <w:r w:rsidRPr="00E82528">
        <w:rPr>
          <w:b/>
          <w:i/>
        </w:rPr>
        <w:t xml:space="preserve"> (BCG)-unresponsive, high-risk </w:t>
      </w:r>
      <w:r w:rsidR="00E82528" w:rsidRPr="00E82528">
        <w:rPr>
          <w:b/>
          <w:i/>
        </w:rPr>
        <w:t>non-muscle invasive bladder cancer (NMIBC)</w:t>
      </w:r>
      <w:r w:rsidR="00E82528">
        <w:rPr>
          <w:b/>
          <w:i/>
        </w:rPr>
        <w:t xml:space="preserve"> </w:t>
      </w:r>
      <w:r w:rsidRPr="00E82528">
        <w:rPr>
          <w:b/>
          <w:i/>
        </w:rPr>
        <w:t>in the setting of provisional registration.</w:t>
      </w:r>
    </w:p>
    <w:p w14:paraId="61738C51" w14:textId="2753FE39" w:rsidR="001B52D6" w:rsidRDefault="001B52D6" w:rsidP="001B52D6">
      <w:r>
        <w:t xml:space="preserve">The ACM discussed that the </w:t>
      </w:r>
      <w:r w:rsidR="00E82528">
        <w:t>Keynote</w:t>
      </w:r>
      <w:r>
        <w:t>-</w:t>
      </w:r>
      <w:r w:rsidR="00E82528">
        <w:t>057 trial provided single-</w:t>
      </w:r>
      <w:r>
        <w:t xml:space="preserve">arm data for the use of pembrolizumab in BCG-unresponsive, high-risk </w:t>
      </w:r>
      <w:r w:rsidR="00E82528">
        <w:t>non-muscle invasive bladder cancer</w:t>
      </w:r>
      <w:r>
        <w:t xml:space="preserve">, with study advice given by the </w:t>
      </w:r>
      <w:r w:rsidR="004A1EA6">
        <w:t xml:space="preserve">US </w:t>
      </w:r>
      <w:r>
        <w:t>FDA.</w:t>
      </w:r>
    </w:p>
    <w:p w14:paraId="28DAE6C1" w14:textId="1C2A1B0A" w:rsidR="001B52D6" w:rsidRDefault="00E82528" w:rsidP="001B52D6">
      <w:r>
        <w:lastRenderedPageBreak/>
        <w:t>The Keynote-</w:t>
      </w:r>
      <w:r w:rsidR="001B52D6">
        <w:t>057 trial sh</w:t>
      </w:r>
      <w:r>
        <w:t>owed a 41.5% complete response</w:t>
      </w:r>
      <w:r w:rsidR="001B52D6">
        <w:t xml:space="preserve"> rate, with a median duration of response of 16.2 months in patients with BCG failure or recurred after BCG, and the ACM considered that there was a clinically meaningful but durable response rate of 21%.</w:t>
      </w:r>
    </w:p>
    <w:p w14:paraId="70D34018" w14:textId="77777777" w:rsidR="001B52D6" w:rsidRDefault="001B52D6" w:rsidP="001B52D6">
      <w:r>
        <w:t>The ACM advised that the magnitude of benefit of pembrolizumab for the proposed indication is moderate and considered this adequate to support provisional registration.</w:t>
      </w:r>
    </w:p>
    <w:p w14:paraId="734ECB95" w14:textId="4A91A795" w:rsidR="001B52D6" w:rsidRDefault="001B52D6" w:rsidP="001B52D6">
      <w:r>
        <w:t>The ACM was of the view that t</w:t>
      </w:r>
      <w:r w:rsidR="00E82528">
        <w:t>he toxicity observed in Keynote-</w:t>
      </w:r>
      <w:r>
        <w:t>057 trial is within the bounds of use of pembrolizumab.</w:t>
      </w:r>
    </w:p>
    <w:p w14:paraId="30E4FE81" w14:textId="00CAA59A" w:rsidR="001B52D6" w:rsidRDefault="001B52D6" w:rsidP="001B52D6">
      <w:r>
        <w:t>Additionally, the ACM commented on the importance of ongoing testing and bladder investigations throughout treatment, further stating that if n</w:t>
      </w:r>
      <w:r w:rsidR="00E82528">
        <w:t>o improvement is noted at the 3</w:t>
      </w:r>
      <w:r w:rsidR="004A1EA6">
        <w:noBreakHyphen/>
      </w:r>
      <w:r>
        <w:t>month treatment mark the ongoing treatment with pembrolizumab should be reassessed.</w:t>
      </w:r>
    </w:p>
    <w:p w14:paraId="5C045994" w14:textId="58F0FF39" w:rsidR="001B52D6" w:rsidRPr="00E82528" w:rsidRDefault="001B52D6" w:rsidP="00E82528">
      <w:pPr>
        <w:pStyle w:val="Numberbullet0"/>
        <w:rPr>
          <w:b/>
          <w:i/>
        </w:rPr>
      </w:pPr>
      <w:r w:rsidRPr="00E82528">
        <w:rPr>
          <w:b/>
          <w:i/>
        </w:rPr>
        <w:t>An adequate plan to submit comprehensive clinical data on the safety and efficacy of the medicine is an important aspect of the provisional registration of a prescription medicine. Please comment on the adequacy of the clinical study plan to provide meaningful confirmatory data, noting additional detail is expected in the pre-ACM response.</w:t>
      </w:r>
    </w:p>
    <w:p w14:paraId="2DED5DE1" w14:textId="4330F7FF" w:rsidR="001B52D6" w:rsidRDefault="00E82528" w:rsidP="001B52D6">
      <w:r>
        <w:t>The ACM noted the Keynote-</w:t>
      </w:r>
      <w:r w:rsidR="001B52D6">
        <w:t>676 trial, including response, is a combination study with an uncertain control arm and noted that surgery was at times inevitable.</w:t>
      </w:r>
    </w:p>
    <w:p w14:paraId="063755C9" w14:textId="4451B423" w:rsidR="001B52D6" w:rsidRDefault="001B52D6" w:rsidP="001B52D6">
      <w:r>
        <w:t xml:space="preserve">The ACM agreed that there needs to be a cystectomy free survival outcome as per </w:t>
      </w:r>
      <w:r w:rsidR="00E82528">
        <w:t xml:space="preserve">US </w:t>
      </w:r>
      <w:r>
        <w:t>FDA advice, as the fifth secondary outcome.</w:t>
      </w:r>
    </w:p>
    <w:p w14:paraId="13E2B9B8" w14:textId="77777777" w:rsidR="001B52D6" w:rsidRDefault="001B52D6" w:rsidP="001B52D6">
      <w:r>
        <w:t>The ACM advised that Cohort A needs further information on the surgical plan pre randomisation, to determine if they are not fit or to inform their refusal. If the patient is fit for cystectomy, the ACM questioned the risk management and ethical equipoise for delaying surgery.</w:t>
      </w:r>
    </w:p>
    <w:p w14:paraId="7BFB7612" w14:textId="77777777" w:rsidR="001B52D6" w:rsidRDefault="001B52D6" w:rsidP="001B52D6">
      <w:r>
        <w:t>The ACM expressed concern that, given the use of single agent pembrolizumab for this indication, how study crossover will be managed, as only the study endpoints of complete response and event-free survival will be interpretable (that is, short term gain). The ACM questioned how this is to be balanced against a systemic treatment with its own toxicity and the need to show a change in the natural history of the disease.</w:t>
      </w:r>
    </w:p>
    <w:p w14:paraId="5291EA2A" w14:textId="69964122" w:rsidR="00C22214" w:rsidRDefault="00C22214" w:rsidP="00C22214">
      <w:pPr>
        <w:pStyle w:val="Heading5"/>
      </w:pPr>
      <w:r w:rsidRPr="00F73346">
        <w:t>Conclusion</w:t>
      </w:r>
    </w:p>
    <w:p w14:paraId="5876C660" w14:textId="77777777" w:rsidR="00E82528" w:rsidRDefault="00E82528" w:rsidP="00E82528">
      <w:r>
        <w:t>The ACM considered this product, including the proposed clinical study plan to have an overall positive benefit-risk profile for the provisional indication:</w:t>
      </w:r>
    </w:p>
    <w:p w14:paraId="444DB2A2" w14:textId="56B724D8" w:rsidR="00E82528" w:rsidRDefault="00E82528" w:rsidP="00E82528">
      <w:pPr>
        <w:ind w:left="720"/>
        <w:rPr>
          <w:i/>
        </w:rPr>
      </w:pPr>
      <w:r w:rsidRPr="00E82528">
        <w:rPr>
          <w:i/>
        </w:rPr>
        <w:t>For the treatment of patients with Bacillus Calmette-</w:t>
      </w:r>
      <w:proofErr w:type="spellStart"/>
      <w:r w:rsidRPr="00E82528">
        <w:rPr>
          <w:i/>
        </w:rPr>
        <w:t>Geurin</w:t>
      </w:r>
      <w:proofErr w:type="spellEnd"/>
      <w:r w:rsidRPr="00E82528">
        <w:rPr>
          <w:i/>
        </w:rPr>
        <w:t xml:space="preserve"> (BCG)-unresponsive, high-risk, non-muscle invasive bladder cancer (NMIBC) with carcinoma-in-situ (CIS) with or without papillary tumours who are ineligible for or have elected not to undergo cystectomy. This indication was approved via the </w:t>
      </w:r>
      <w:r w:rsidRPr="00371B97">
        <w:rPr>
          <w:b/>
          <w:i/>
        </w:rPr>
        <w:t>provisional approval</w:t>
      </w:r>
      <w:r w:rsidRPr="00E82528">
        <w:rPr>
          <w:i/>
        </w:rPr>
        <w:t xml:space="preserve"> pathway based on complete response rate and duration of response. Continued approval of this indication depends on verification and description of benefit in confirmatory trials.</w:t>
      </w:r>
    </w:p>
    <w:p w14:paraId="2377B66A" w14:textId="070DCE41" w:rsidR="004A1EA6" w:rsidRPr="004A1EA6" w:rsidRDefault="004A1EA6" w:rsidP="00011226">
      <w:r>
        <w:br w:type="page"/>
      </w:r>
    </w:p>
    <w:p w14:paraId="307F236C" w14:textId="77777777" w:rsidR="00C22214" w:rsidRPr="002E238E" w:rsidRDefault="00C22214" w:rsidP="00C22214">
      <w:pPr>
        <w:pStyle w:val="Heading2"/>
      </w:pPr>
      <w:bookmarkStart w:id="102" w:name="_Toc103679300"/>
      <w:bookmarkStart w:id="103" w:name="_Toc137117851"/>
      <w:r>
        <w:lastRenderedPageBreak/>
        <w:t>Outcome</w:t>
      </w:r>
      <w:bookmarkEnd w:id="100"/>
      <w:bookmarkEnd w:id="101"/>
      <w:bookmarkEnd w:id="102"/>
      <w:bookmarkEnd w:id="103"/>
    </w:p>
    <w:p w14:paraId="6A9E7C3C" w14:textId="20E9A21B" w:rsidR="004A1EA6" w:rsidRPr="002E2334" w:rsidRDefault="00C22214" w:rsidP="002E2334">
      <w:r w:rsidRPr="002E2334">
        <w:t>Based on a review of quality, safety, and efficacy, the TGA approved th</w:t>
      </w:r>
      <w:r w:rsidR="00FF0098" w:rsidRPr="002E2334">
        <w:t>e registration of</w:t>
      </w:r>
      <w:r w:rsidR="00FF0098" w:rsidRPr="002E2334">
        <w:br/>
        <w:t>Keytruda (pembrolizumab (</w:t>
      </w:r>
      <w:proofErr w:type="spellStart"/>
      <w:r w:rsidR="00FF0098" w:rsidRPr="002E2334">
        <w:t>rch</w:t>
      </w:r>
      <w:proofErr w:type="spellEnd"/>
      <w:r w:rsidR="00FF0098" w:rsidRPr="002E2334">
        <w:t>)) 50 mg powder for injection (vial); and Keytruda (pembrolizumab (</w:t>
      </w:r>
      <w:proofErr w:type="spellStart"/>
      <w:r w:rsidR="00FF0098" w:rsidRPr="002E2334">
        <w:t>rch</w:t>
      </w:r>
      <w:proofErr w:type="spellEnd"/>
      <w:r w:rsidR="00FF0098" w:rsidRPr="002E2334">
        <w:t>)) 100 mg/4 mL concentrated injection (vial); for the following extension of indications:</w:t>
      </w:r>
    </w:p>
    <w:p w14:paraId="687D6CF2" w14:textId="3DFC9BD5" w:rsidR="004A1EA6" w:rsidRPr="002E2334" w:rsidRDefault="00FF0098" w:rsidP="002E2334">
      <w:pPr>
        <w:ind w:left="720"/>
        <w:rPr>
          <w:i/>
          <w:iCs/>
        </w:rPr>
      </w:pPr>
      <w:r w:rsidRPr="002E2334">
        <w:rPr>
          <w:i/>
          <w:iCs/>
        </w:rPr>
        <w:t xml:space="preserve">Keytruda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sidRPr="002E2334">
        <w:rPr>
          <w:b/>
          <w:bCs/>
          <w:i/>
          <w:iCs/>
        </w:rPr>
        <w:t>provisional approval</w:t>
      </w:r>
      <w:r w:rsidRPr="002E2334">
        <w:rPr>
          <w:i/>
          <w:iCs/>
        </w:rPr>
        <w:t xml:space="preserve"> pathway based on complete response rate and duration of response. Continued approval of this indication depends on verification and description of benefit in confirmatory trials.</w:t>
      </w:r>
    </w:p>
    <w:p w14:paraId="500F60C2" w14:textId="793FBE30" w:rsidR="00C22214" w:rsidRDefault="00C22214" w:rsidP="007B093E">
      <w:r>
        <w:t xml:space="preserve">As such, the full indications </w:t>
      </w:r>
      <w:r w:rsidR="004A1EA6">
        <w:t xml:space="preserve">for Keytruda (pembrolizumab) </w:t>
      </w:r>
      <w:r>
        <w:t>at th</w:t>
      </w:r>
      <w:r w:rsidR="004A1EA6">
        <w:t>e</w:t>
      </w:r>
      <w:r>
        <w:t xml:space="preserve"> time</w:t>
      </w:r>
      <w:r w:rsidR="004A1EA6">
        <w:t xml:space="preserve"> of approval of this submission</w:t>
      </w:r>
      <w:r>
        <w:t xml:space="preserve"> were:</w:t>
      </w:r>
    </w:p>
    <w:p w14:paraId="7A73BDAA" w14:textId="40D5F9CC" w:rsidR="007B093E" w:rsidRPr="007B093E" w:rsidRDefault="007B093E" w:rsidP="007B093E">
      <w:pPr>
        <w:ind w:left="720"/>
        <w:rPr>
          <w:b/>
          <w:i/>
        </w:rPr>
      </w:pPr>
      <w:r w:rsidRPr="007B093E">
        <w:rPr>
          <w:b/>
          <w:i/>
          <w:u w:color="000000"/>
        </w:rPr>
        <w:t>Melanoma</w:t>
      </w:r>
    </w:p>
    <w:p w14:paraId="29661460" w14:textId="77777777" w:rsidR="007B093E" w:rsidRPr="007B093E" w:rsidRDefault="007B093E" w:rsidP="007B093E">
      <w:pPr>
        <w:ind w:left="720"/>
        <w:rPr>
          <w:i/>
        </w:rPr>
      </w:pPr>
      <w:r w:rsidRPr="007B093E">
        <w:rPr>
          <w:i/>
        </w:rPr>
        <w:t>Keytruda (pembrolizumab) is indicated as monotherapy for the treatment of unresectable or metastatic melanoma in adults.</w:t>
      </w:r>
    </w:p>
    <w:p w14:paraId="7CDACFCD" w14:textId="1907F50B" w:rsidR="005B1CC3" w:rsidRPr="007B093E" w:rsidRDefault="007B093E" w:rsidP="008A3EA1">
      <w:pPr>
        <w:ind w:left="720"/>
        <w:rPr>
          <w:i/>
        </w:rPr>
      </w:pPr>
      <w:r w:rsidRPr="007B093E">
        <w:rPr>
          <w:i/>
        </w:rPr>
        <w:t>Keytruda (pembrolizumab) is indicated as monotherapy for the adjuvant treatment of patients with melanoma with lymph node involvement who hav</w:t>
      </w:r>
      <w:r>
        <w:rPr>
          <w:i/>
        </w:rPr>
        <w:t>e undergone complete resection.</w:t>
      </w:r>
    </w:p>
    <w:p w14:paraId="194DFD4C" w14:textId="6BDCD58F" w:rsidR="007B093E" w:rsidRPr="007B093E" w:rsidRDefault="007B093E" w:rsidP="007B093E">
      <w:pPr>
        <w:ind w:left="720"/>
        <w:rPr>
          <w:b/>
          <w:i/>
        </w:rPr>
      </w:pPr>
      <w:r w:rsidRPr="007B093E">
        <w:rPr>
          <w:b/>
          <w:i/>
        </w:rPr>
        <w:t>Non-small cell lung cancer (NSCLC)</w:t>
      </w:r>
    </w:p>
    <w:p w14:paraId="3E7AF86B" w14:textId="32D2B370" w:rsidR="007B093E" w:rsidRPr="007B093E" w:rsidRDefault="007B093E" w:rsidP="007B093E">
      <w:pPr>
        <w:ind w:left="720"/>
        <w:rPr>
          <w:i/>
        </w:rPr>
      </w:pPr>
      <w:r w:rsidRPr="007B093E">
        <w:rPr>
          <w:i/>
        </w:rPr>
        <w:t>Keytruda (pembrolizumab), in combination with pemetrexed and platinum chemotherapy, is indicated for the first-line treatment of patients with metastatic non-squamous NSCLC, with no EGFR or ALK genomic tumour aberrations.</w:t>
      </w:r>
    </w:p>
    <w:p w14:paraId="1E21A66E" w14:textId="11F9AF9C" w:rsidR="007B093E" w:rsidRPr="007B093E" w:rsidRDefault="007B093E" w:rsidP="007B093E">
      <w:pPr>
        <w:ind w:left="720"/>
        <w:rPr>
          <w:i/>
        </w:rPr>
      </w:pPr>
      <w:r w:rsidRPr="007B093E">
        <w:rPr>
          <w:i/>
        </w:rPr>
        <w:t xml:space="preserve">Keytruda (pembrolizumab), in combination with carboplatin and either paclitaxel or </w:t>
      </w:r>
      <w:proofErr w:type="spellStart"/>
      <w:r w:rsidRPr="007B093E">
        <w:rPr>
          <w:i/>
        </w:rPr>
        <w:t>nabpaclitaxel</w:t>
      </w:r>
      <w:proofErr w:type="spellEnd"/>
      <w:r w:rsidRPr="007B093E">
        <w:rPr>
          <w:i/>
        </w:rPr>
        <w:t>, is indicated for the first-line treatment of patients with metastatic squamous NSCLC.</w:t>
      </w:r>
    </w:p>
    <w:p w14:paraId="0BFA84EF" w14:textId="583A9944" w:rsidR="007B093E" w:rsidRPr="007B093E" w:rsidRDefault="007B093E" w:rsidP="007B093E">
      <w:pPr>
        <w:ind w:left="720"/>
        <w:rPr>
          <w:i/>
        </w:rPr>
      </w:pPr>
      <w:r w:rsidRPr="007B093E">
        <w:rPr>
          <w:i/>
        </w:rPr>
        <w:t>Keytruda (pembrolizumab) is indicated as monotherapy for the first-line treatment of patients with NSCLC expressing PD-L1 [tumour proportion score (TPS) ≥1%] as determined by a validated test, with no EGFR or ALK genomic tumour aberrations, and is</w:t>
      </w:r>
    </w:p>
    <w:p w14:paraId="24CA766E" w14:textId="5B16ADC7" w:rsidR="007B093E" w:rsidRPr="007B093E" w:rsidRDefault="007B093E" w:rsidP="007B093E">
      <w:pPr>
        <w:pStyle w:val="ListBullet"/>
        <w:ind w:left="1080"/>
        <w:rPr>
          <w:i/>
        </w:rPr>
      </w:pPr>
      <w:r w:rsidRPr="007B093E">
        <w:rPr>
          <w:i/>
        </w:rPr>
        <w:t>stage III where patients are not candidates for surgical resection or definitive chemoradiation, or</w:t>
      </w:r>
    </w:p>
    <w:p w14:paraId="31308311" w14:textId="56D6ED58" w:rsidR="007B093E" w:rsidRPr="007B093E" w:rsidRDefault="007B093E" w:rsidP="007B093E">
      <w:pPr>
        <w:pStyle w:val="ListBullet"/>
        <w:ind w:left="1080"/>
        <w:rPr>
          <w:i/>
        </w:rPr>
      </w:pPr>
      <w:r w:rsidRPr="007B093E">
        <w:rPr>
          <w:i/>
        </w:rPr>
        <w:t>metastatic.</w:t>
      </w:r>
    </w:p>
    <w:p w14:paraId="635B3198" w14:textId="78C14FF0" w:rsidR="007B093E" w:rsidRPr="007B093E" w:rsidRDefault="007B093E" w:rsidP="008A3EA1">
      <w:pPr>
        <w:ind w:left="720"/>
        <w:rPr>
          <w:i/>
        </w:rPr>
      </w:pPr>
      <w:r w:rsidRPr="007B093E">
        <w:rPr>
          <w:i/>
        </w:rPr>
        <w:t>Keytruda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r w:rsidR="008A3EA1">
        <w:rPr>
          <w:i/>
        </w:rPr>
        <w:t>.</w:t>
      </w:r>
    </w:p>
    <w:p w14:paraId="489413C4" w14:textId="10159099" w:rsidR="007B093E" w:rsidRPr="007B093E" w:rsidRDefault="007B093E" w:rsidP="007B093E">
      <w:pPr>
        <w:ind w:left="720"/>
        <w:rPr>
          <w:b/>
          <w:i/>
        </w:rPr>
      </w:pPr>
      <w:r w:rsidRPr="007B093E">
        <w:rPr>
          <w:b/>
          <w:i/>
        </w:rPr>
        <w:t>Head and Neck Squamous Cell Cancer (HNSCC)</w:t>
      </w:r>
    </w:p>
    <w:p w14:paraId="3A6FA8CC" w14:textId="2659073D" w:rsidR="007B093E" w:rsidRPr="007B093E" w:rsidRDefault="007B093E" w:rsidP="007B093E">
      <w:pPr>
        <w:ind w:left="720"/>
        <w:rPr>
          <w:i/>
        </w:rPr>
      </w:pPr>
      <w:r w:rsidRPr="007B093E">
        <w:rPr>
          <w:i/>
        </w:rPr>
        <w:t>Keytruda (pembrolizumab), as monotherapy or in combination with platinum and 5fluorouracil (5-FU) chemotherapy, is indicated for the first-line treatment of patients with metastatic or unresectable recurrent HNSCC, and whose tumours express PD-L1 [Combined Positive Score (CPS) ≥1] as determined by a validated test.</w:t>
      </w:r>
    </w:p>
    <w:p w14:paraId="024EE3E1" w14:textId="02600420" w:rsidR="007B093E" w:rsidRPr="007B093E" w:rsidRDefault="007B093E" w:rsidP="008A3EA1">
      <w:pPr>
        <w:ind w:left="720"/>
        <w:rPr>
          <w:i/>
        </w:rPr>
      </w:pPr>
      <w:r w:rsidRPr="007B093E">
        <w:rPr>
          <w:i/>
        </w:rPr>
        <w:lastRenderedPageBreak/>
        <w:t xml:space="preserve">Keytruda (pembrolizumab) is indicated as monotherapy for the treatment of patients with metastatic or unresectable recurrent HNSCC with disease progression on or after </w:t>
      </w:r>
      <w:proofErr w:type="spellStart"/>
      <w:r w:rsidRPr="007B093E">
        <w:rPr>
          <w:i/>
        </w:rPr>
        <w:t>platinumcontaining</w:t>
      </w:r>
      <w:proofErr w:type="spellEnd"/>
      <w:r w:rsidRPr="007B093E">
        <w:rPr>
          <w:i/>
        </w:rPr>
        <w:t xml:space="preserve"> chemotherapy and whose tumours express PD-L1 [Combined Positive Score (CPS) ≥1] as d</w:t>
      </w:r>
      <w:r w:rsidR="008A3EA1">
        <w:rPr>
          <w:i/>
        </w:rPr>
        <w:t>etermined by a validated test.</w:t>
      </w:r>
    </w:p>
    <w:p w14:paraId="63F311A1" w14:textId="10C15041" w:rsidR="007B093E" w:rsidRPr="007B093E" w:rsidRDefault="007B093E" w:rsidP="007B093E">
      <w:pPr>
        <w:ind w:left="720"/>
        <w:rPr>
          <w:b/>
          <w:i/>
        </w:rPr>
      </w:pPr>
      <w:r w:rsidRPr="007B093E">
        <w:rPr>
          <w:b/>
          <w:i/>
        </w:rPr>
        <w:t>Classical Hodgkin Lymphoma (</w:t>
      </w:r>
      <w:proofErr w:type="spellStart"/>
      <w:r w:rsidRPr="007B093E">
        <w:rPr>
          <w:b/>
          <w:i/>
        </w:rPr>
        <w:t>cHL</w:t>
      </w:r>
      <w:proofErr w:type="spellEnd"/>
      <w:r w:rsidRPr="007B093E">
        <w:rPr>
          <w:b/>
          <w:i/>
        </w:rPr>
        <w:t>)</w:t>
      </w:r>
    </w:p>
    <w:p w14:paraId="7EF84273" w14:textId="407777D7" w:rsidR="007B093E" w:rsidRPr="007B093E" w:rsidRDefault="007B093E" w:rsidP="007B093E">
      <w:pPr>
        <w:ind w:left="720"/>
        <w:rPr>
          <w:i/>
        </w:rPr>
      </w:pPr>
      <w:r w:rsidRPr="007B093E">
        <w:rPr>
          <w:i/>
        </w:rPr>
        <w:t>Keytruda (pembrolizumab) is indicated as monotherapy for the treatment of adult patients with relapsed or refractory classical Hodgkin Lymphoma (</w:t>
      </w:r>
      <w:proofErr w:type="spellStart"/>
      <w:r w:rsidRPr="007B093E">
        <w:rPr>
          <w:i/>
        </w:rPr>
        <w:t>cHL</w:t>
      </w:r>
      <w:proofErr w:type="spellEnd"/>
      <w:r w:rsidRPr="007B093E">
        <w:rPr>
          <w:i/>
        </w:rPr>
        <w:t>):</w:t>
      </w:r>
    </w:p>
    <w:p w14:paraId="151A2460" w14:textId="14560159" w:rsidR="007B093E" w:rsidRPr="007B093E" w:rsidRDefault="007B093E" w:rsidP="007B093E">
      <w:pPr>
        <w:pStyle w:val="Numberbullet0"/>
        <w:numPr>
          <w:ilvl w:val="0"/>
          <w:numId w:val="19"/>
        </w:numPr>
        <w:ind w:left="1080"/>
        <w:rPr>
          <w:i/>
        </w:rPr>
      </w:pPr>
      <w:r w:rsidRPr="007B093E">
        <w:rPr>
          <w:i/>
        </w:rPr>
        <w:t>following autologous stem cell transplant (ASCT) or</w:t>
      </w:r>
    </w:p>
    <w:p w14:paraId="26F22E40" w14:textId="4578EF61" w:rsidR="007B093E" w:rsidRPr="007B093E" w:rsidRDefault="007B093E" w:rsidP="007B093E">
      <w:pPr>
        <w:pStyle w:val="Numberbullet0"/>
        <w:numPr>
          <w:ilvl w:val="0"/>
          <w:numId w:val="19"/>
        </w:numPr>
        <w:ind w:left="1080"/>
        <w:rPr>
          <w:i/>
        </w:rPr>
      </w:pPr>
      <w:r w:rsidRPr="007B093E">
        <w:rPr>
          <w:i/>
        </w:rPr>
        <w:t>following at least two prior therapies when ASCT or multi-agent chemotherapy is not a treatment option.</w:t>
      </w:r>
    </w:p>
    <w:p w14:paraId="12EDF2FD" w14:textId="56A0696B" w:rsidR="003114BD" w:rsidRPr="007B093E" w:rsidRDefault="007B093E" w:rsidP="008A3EA1">
      <w:pPr>
        <w:ind w:left="720"/>
        <w:rPr>
          <w:i/>
        </w:rPr>
      </w:pPr>
      <w:r w:rsidRPr="007B093E">
        <w:rPr>
          <w:i/>
        </w:rPr>
        <w:t xml:space="preserve">The approval of this indication is </w:t>
      </w:r>
      <w:proofErr w:type="gramStart"/>
      <w:r w:rsidRPr="007B093E">
        <w:rPr>
          <w:i/>
        </w:rPr>
        <w:t>on the basis of</w:t>
      </w:r>
      <w:proofErr w:type="gramEnd"/>
      <w:r w:rsidRPr="007B093E">
        <w:rPr>
          <w:i/>
        </w:rPr>
        <w:t xml:space="preserve"> objective response rate (ORR). See Section 5.1 Pharmacodynamic Properties, Clinical Trials.</w:t>
      </w:r>
    </w:p>
    <w:p w14:paraId="1BFED75D" w14:textId="5C32C9D6" w:rsidR="007B093E" w:rsidRPr="003114BD" w:rsidRDefault="007B093E" w:rsidP="003114BD">
      <w:pPr>
        <w:ind w:left="720"/>
        <w:rPr>
          <w:b/>
          <w:i/>
        </w:rPr>
      </w:pPr>
      <w:r w:rsidRPr="003114BD">
        <w:rPr>
          <w:b/>
          <w:i/>
        </w:rPr>
        <w:t>Primary medi</w:t>
      </w:r>
      <w:r w:rsidR="003114BD" w:rsidRPr="003114BD">
        <w:rPr>
          <w:b/>
          <w:i/>
        </w:rPr>
        <w:t>astinal B-Cell Lymphoma (PMBCL)</w:t>
      </w:r>
    </w:p>
    <w:p w14:paraId="6385FB57" w14:textId="34FE3366" w:rsidR="007B093E" w:rsidRPr="008A3EA1" w:rsidRDefault="007B093E" w:rsidP="008A3EA1">
      <w:pPr>
        <w:ind w:left="720"/>
        <w:rPr>
          <w:i/>
        </w:rPr>
      </w:pPr>
      <w:r w:rsidRPr="003114BD">
        <w:rPr>
          <w:i/>
        </w:rPr>
        <w:t xml:space="preserve">Keytruda (pembrolizumab) is indicated for the treatment of adult and paediatric patients with refractory primary mediastinal B-cell lymphoma (PMBCL), or who have relapsed after 2 or more prior lines of therapy. The approval of this indication is </w:t>
      </w:r>
      <w:proofErr w:type="gramStart"/>
      <w:r w:rsidRPr="003114BD">
        <w:rPr>
          <w:i/>
        </w:rPr>
        <w:t>on the basis of</w:t>
      </w:r>
      <w:proofErr w:type="gramEnd"/>
      <w:r w:rsidRPr="003114BD">
        <w:rPr>
          <w:i/>
        </w:rPr>
        <w:t xml:space="preserve"> objective response rate (ORR) and duration of response from non-randomised studies. See Section 5.1 Pharmacodynamic Properties, Clinical Trials.</w:t>
      </w:r>
    </w:p>
    <w:p w14:paraId="26082C12" w14:textId="27573DD1" w:rsidR="007B093E" w:rsidRPr="003114BD" w:rsidRDefault="007B093E" w:rsidP="003114BD">
      <w:pPr>
        <w:ind w:left="720"/>
        <w:rPr>
          <w:b/>
          <w:i/>
        </w:rPr>
      </w:pPr>
      <w:r w:rsidRPr="003114BD">
        <w:rPr>
          <w:b/>
          <w:i/>
        </w:rPr>
        <w:t>Urothelial carcinoma</w:t>
      </w:r>
    </w:p>
    <w:p w14:paraId="76E8A8FC" w14:textId="423D544A" w:rsidR="007B093E" w:rsidRPr="003114BD" w:rsidRDefault="003114BD" w:rsidP="003114BD">
      <w:pPr>
        <w:ind w:left="720"/>
        <w:rPr>
          <w:i/>
        </w:rPr>
      </w:pPr>
      <w:r w:rsidRPr="003114BD">
        <w:rPr>
          <w:i/>
        </w:rPr>
        <w:t xml:space="preserve">Keytruda </w:t>
      </w:r>
      <w:r w:rsidR="007B093E" w:rsidRPr="003114BD">
        <w:rPr>
          <w:i/>
        </w:rPr>
        <w:t xml:space="preserve">(pembrolizumab) is indicated as monotherapy for the treatment of patients with locally advanced or metastatic urothelial carcinoma who are not eligible for </w:t>
      </w:r>
      <w:proofErr w:type="spellStart"/>
      <w:r w:rsidR="007B093E" w:rsidRPr="003114BD">
        <w:rPr>
          <w:i/>
        </w:rPr>
        <w:t>cisplatincontaining</w:t>
      </w:r>
      <w:proofErr w:type="spellEnd"/>
      <w:r w:rsidR="007B093E" w:rsidRPr="003114BD">
        <w:rPr>
          <w:i/>
        </w:rPr>
        <w:t xml:space="preserve">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3845930F" w14:textId="77777777" w:rsidR="003114BD" w:rsidRDefault="003114BD" w:rsidP="003114BD">
      <w:pPr>
        <w:ind w:left="720"/>
        <w:rPr>
          <w:i/>
        </w:rPr>
      </w:pPr>
      <w:r w:rsidRPr="003114BD">
        <w:rPr>
          <w:i/>
        </w:rPr>
        <w:t xml:space="preserve">Keytruda </w:t>
      </w:r>
      <w:r w:rsidR="007B093E" w:rsidRPr="003114BD">
        <w:rPr>
          <w:i/>
        </w:rPr>
        <w:t>(pembrolizumab) is indicated as monotherapy for the treatment of patients with locally advanced or metastatic urothelial carcinoma who have received pl</w:t>
      </w:r>
      <w:r w:rsidRPr="003114BD">
        <w:rPr>
          <w:i/>
        </w:rPr>
        <w:t>atinum-containing chemotherapy.</w:t>
      </w:r>
    </w:p>
    <w:p w14:paraId="2845944B" w14:textId="79E58BE6" w:rsidR="003114BD" w:rsidRDefault="003114BD" w:rsidP="008A3EA1">
      <w:pPr>
        <w:ind w:left="720"/>
        <w:rPr>
          <w:i/>
        </w:rPr>
      </w:pPr>
      <w:r w:rsidRPr="003114BD">
        <w:rPr>
          <w:i/>
        </w:rPr>
        <w:t xml:space="preserve">Keytruda </w:t>
      </w:r>
      <w:r w:rsidR="007B093E" w:rsidRPr="003114BD">
        <w:rPr>
          <w:i/>
        </w:rPr>
        <w:t>(pembrolizumab) is indicated for the treatment of patients with Bacillus Calmette</w:t>
      </w:r>
      <w:r>
        <w:rPr>
          <w:i/>
        </w:rPr>
        <w:t xml:space="preserve"> </w:t>
      </w:r>
      <w:r w:rsidR="007B093E" w:rsidRPr="003114BD">
        <w:rPr>
          <w:i/>
        </w:rPr>
        <w:t xml:space="preserve">Guerin (BCG)-unresponsive, high-risk, non-muscle invasive bladder cancer (NMIBC) with carcinoma in-situ (CIS) with or without papillary tumours who are ineligible for or have elected not to undergo cystectomy. This indication was approved via the </w:t>
      </w:r>
      <w:r w:rsidR="007B093E" w:rsidRPr="003114BD">
        <w:rPr>
          <w:b/>
          <w:i/>
        </w:rPr>
        <w:t>provisional approval</w:t>
      </w:r>
      <w:r w:rsidR="007B093E" w:rsidRPr="003114BD">
        <w:rPr>
          <w:i/>
        </w:rPr>
        <w:t xml:space="preserve"> pathway based on complete response rate and duration of response. Continued approval of this indication depends on verification and description of </w:t>
      </w:r>
      <w:r w:rsidRPr="003114BD">
        <w:rPr>
          <w:i/>
        </w:rPr>
        <w:t>benefit in confirmatory trials.</w:t>
      </w:r>
    </w:p>
    <w:p w14:paraId="42385174" w14:textId="77777777" w:rsidR="003114BD" w:rsidRPr="005B1CC3" w:rsidRDefault="007B093E" w:rsidP="003114BD">
      <w:pPr>
        <w:ind w:left="720"/>
        <w:rPr>
          <w:b/>
          <w:i/>
        </w:rPr>
      </w:pPr>
      <w:r w:rsidRPr="005B1CC3">
        <w:rPr>
          <w:b/>
          <w:i/>
          <w:u w:color="000000"/>
        </w:rPr>
        <w:t>Microsatellite instability-high (MSI-H) or mismatch repair deficient (</w:t>
      </w:r>
      <w:proofErr w:type="spellStart"/>
      <w:r w:rsidRPr="005B1CC3">
        <w:rPr>
          <w:b/>
          <w:i/>
          <w:u w:color="000000"/>
        </w:rPr>
        <w:t>dMMR</w:t>
      </w:r>
      <w:proofErr w:type="spellEnd"/>
      <w:r w:rsidRPr="005B1CC3">
        <w:rPr>
          <w:b/>
          <w:i/>
          <w:u w:color="000000"/>
        </w:rPr>
        <w:t>) cancer</w:t>
      </w:r>
    </w:p>
    <w:p w14:paraId="620F9EF1" w14:textId="77777777" w:rsidR="003114BD" w:rsidRPr="005B1CC3" w:rsidRDefault="007B093E" w:rsidP="003114BD">
      <w:pPr>
        <w:ind w:left="720"/>
        <w:rPr>
          <w:b/>
          <w:i/>
        </w:rPr>
      </w:pPr>
      <w:r w:rsidRPr="005B1CC3">
        <w:rPr>
          <w:b/>
          <w:i/>
        </w:rPr>
        <w:t>Co</w:t>
      </w:r>
      <w:r w:rsidR="003114BD" w:rsidRPr="005B1CC3">
        <w:rPr>
          <w:b/>
          <w:i/>
        </w:rPr>
        <w:t>lorectal (previously untreated)</w:t>
      </w:r>
    </w:p>
    <w:p w14:paraId="36DF1F37" w14:textId="45D764E9" w:rsidR="003114BD" w:rsidRDefault="003114BD" w:rsidP="003114BD">
      <w:pPr>
        <w:ind w:left="720"/>
        <w:rPr>
          <w:i/>
        </w:rPr>
      </w:pPr>
      <w:r>
        <w:rPr>
          <w:rFonts w:eastAsia="Cambria" w:cs="Cambria"/>
          <w:i/>
        </w:rPr>
        <w:t xml:space="preserve">Keytruda </w:t>
      </w:r>
      <w:r w:rsidR="007B093E">
        <w:rPr>
          <w:rFonts w:eastAsia="Cambria" w:cs="Cambria"/>
          <w:i/>
        </w:rPr>
        <w:t xml:space="preserve">(pembrolizumab) is indicated for the first-line treatment of patients with unresectable or metastatic colorectal cancer (CRC) that is MSI-H or </w:t>
      </w:r>
      <w:proofErr w:type="spellStart"/>
      <w:r w:rsidR="007B093E">
        <w:rPr>
          <w:rFonts w:eastAsia="Cambria" w:cs="Cambria"/>
          <w:i/>
        </w:rPr>
        <w:t>dMMR</w:t>
      </w:r>
      <w:proofErr w:type="spellEnd"/>
      <w:r w:rsidR="007B093E">
        <w:rPr>
          <w:rFonts w:eastAsia="Cambria" w:cs="Cambria"/>
          <w:i/>
        </w:rPr>
        <w:t xml:space="preserve"> as determined by a validated test.</w:t>
      </w:r>
    </w:p>
    <w:p w14:paraId="4D925010" w14:textId="77777777" w:rsidR="003114BD" w:rsidRPr="005B1CC3" w:rsidRDefault="003114BD" w:rsidP="003114BD">
      <w:pPr>
        <w:ind w:left="720"/>
        <w:rPr>
          <w:b/>
          <w:i/>
        </w:rPr>
      </w:pPr>
      <w:r w:rsidRPr="005B1CC3">
        <w:rPr>
          <w:b/>
          <w:i/>
        </w:rPr>
        <w:t>Colorectal (previously treated)</w:t>
      </w:r>
    </w:p>
    <w:p w14:paraId="2E896A3E" w14:textId="73472A2A" w:rsidR="007B093E" w:rsidRPr="005B1CC3" w:rsidRDefault="003114BD" w:rsidP="003114BD">
      <w:pPr>
        <w:ind w:left="720"/>
        <w:rPr>
          <w:i/>
        </w:rPr>
      </w:pPr>
      <w:r w:rsidRPr="005B1CC3">
        <w:rPr>
          <w:i/>
        </w:rPr>
        <w:lastRenderedPageBreak/>
        <w:t xml:space="preserve">Keytruda </w:t>
      </w:r>
      <w:r w:rsidR="007B093E" w:rsidRPr="005B1CC3">
        <w:rPr>
          <w:i/>
        </w:rPr>
        <w:t xml:space="preserve">(pembrolizumab) is indicated in adult and paediatric patients for the treatment of unresectable or metastatic CRC that is MSI-H or </w:t>
      </w:r>
      <w:proofErr w:type="spellStart"/>
      <w:r w:rsidR="007B093E" w:rsidRPr="005B1CC3">
        <w:rPr>
          <w:i/>
        </w:rPr>
        <w:t>dMMR</w:t>
      </w:r>
      <w:proofErr w:type="spellEnd"/>
      <w:r w:rsidR="007B093E" w:rsidRPr="005B1CC3">
        <w:rPr>
          <w:i/>
        </w:rPr>
        <w:t xml:space="preserve"> as determined by a validated test, and that has progressed following treatment with a fluoropyrimidine, oxaliplatin, and irinotecan. This indication was approved via the </w:t>
      </w:r>
      <w:r w:rsidR="007B093E" w:rsidRPr="005B1CC3">
        <w:rPr>
          <w:b/>
          <w:i/>
        </w:rPr>
        <w:t>provisional approval</w:t>
      </w:r>
      <w:r w:rsidR="007B093E" w:rsidRPr="005B1CC3">
        <w:rPr>
          <w:i/>
        </w:rPr>
        <w:t xml:space="preserve"> pathway, based on objective response rate and response duration in a single-arm trial. Continued approval for this indication depends on verification and description of clinical benefit in the confirmatory trials.</w:t>
      </w:r>
    </w:p>
    <w:p w14:paraId="68BDA084" w14:textId="30E74B89" w:rsidR="007B093E" w:rsidRPr="005B1CC3" w:rsidRDefault="005B1CC3" w:rsidP="005B1CC3">
      <w:pPr>
        <w:ind w:firstLine="720"/>
        <w:rPr>
          <w:b/>
          <w:i/>
        </w:rPr>
      </w:pPr>
      <w:r w:rsidRPr="005B1CC3">
        <w:rPr>
          <w:b/>
          <w:i/>
        </w:rPr>
        <w:t>Non-colorectal</w:t>
      </w:r>
    </w:p>
    <w:p w14:paraId="72F9462A" w14:textId="536EE2F5" w:rsidR="005B1CC3" w:rsidRPr="005B1CC3" w:rsidRDefault="003114BD" w:rsidP="005B1CC3">
      <w:pPr>
        <w:ind w:left="720"/>
        <w:rPr>
          <w:i/>
        </w:rPr>
      </w:pPr>
      <w:r w:rsidRPr="005B1CC3">
        <w:rPr>
          <w:i/>
        </w:rPr>
        <w:t xml:space="preserve">Keytruda </w:t>
      </w:r>
      <w:r w:rsidR="007B093E" w:rsidRPr="005B1CC3">
        <w:rPr>
          <w:i/>
        </w:rPr>
        <w:t xml:space="preserve">(pembrolizumab) is indicated in adult and paediatric patients for the treatment of unresectable or metastatic solid tumours that are MSI-H or </w:t>
      </w:r>
      <w:proofErr w:type="spellStart"/>
      <w:r w:rsidR="007B093E" w:rsidRPr="005B1CC3">
        <w:rPr>
          <w:i/>
        </w:rPr>
        <w:t>dMMR</w:t>
      </w:r>
      <w:proofErr w:type="spellEnd"/>
      <w:r w:rsidR="007B093E" w:rsidRPr="005B1CC3">
        <w:rPr>
          <w:i/>
        </w:rPr>
        <w:t xml:space="preserve"> as determined by a validated test, that have progressed following prior treatment and when there are no satisfactory alternative treatment options. This indication was approved via the </w:t>
      </w:r>
      <w:r w:rsidR="007B093E" w:rsidRPr="005B1CC3">
        <w:rPr>
          <w:b/>
          <w:i/>
        </w:rPr>
        <w:t>provisional approval</w:t>
      </w:r>
      <w:r w:rsidR="007B093E" w:rsidRPr="005B1CC3">
        <w:rPr>
          <w:i/>
        </w:rP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007B093E" w:rsidRPr="005B1CC3">
        <w:rPr>
          <w:i/>
        </w:rPr>
        <w:t>dMMR</w:t>
      </w:r>
      <w:proofErr w:type="spellEnd"/>
      <w:r w:rsidR="007B093E" w:rsidRPr="005B1CC3">
        <w:rPr>
          <w:i/>
        </w:rPr>
        <w:t xml:space="preserve"> tests for each of the tissue types, individually. The assumption that MSI-H/</w:t>
      </w:r>
      <w:proofErr w:type="spellStart"/>
      <w:r w:rsidR="007B093E" w:rsidRPr="005B1CC3">
        <w:rPr>
          <w:i/>
        </w:rPr>
        <w:t>dMMR</w:t>
      </w:r>
      <w:proofErr w:type="spellEnd"/>
      <w:r w:rsidR="007B093E" w:rsidRPr="005B1CC3">
        <w:rPr>
          <w:i/>
        </w:rPr>
        <w:t xml:space="preserve">-status is predictive of the treatment effect of </w:t>
      </w:r>
      <w:r w:rsidR="005B1CC3" w:rsidRPr="005B1CC3">
        <w:rPr>
          <w:i/>
        </w:rPr>
        <w:t xml:space="preserve">Keytruda </w:t>
      </w:r>
      <w:r w:rsidR="007B093E" w:rsidRPr="005B1CC3">
        <w:rPr>
          <w:i/>
        </w:rPr>
        <w:t>for every tissue type has not been verified. Continued approval for this indication depends on verification and description of clinical bene</w:t>
      </w:r>
      <w:r w:rsidR="005B1CC3" w:rsidRPr="005B1CC3">
        <w:rPr>
          <w:i/>
        </w:rPr>
        <w:t>fit in the confirmatory trials.</w:t>
      </w:r>
    </w:p>
    <w:p w14:paraId="21D57D16" w14:textId="10518DA7" w:rsidR="005B1CC3" w:rsidRDefault="007B093E" w:rsidP="008A3EA1">
      <w:pPr>
        <w:ind w:left="720"/>
        <w:rPr>
          <w:i/>
        </w:rPr>
      </w:pPr>
      <w:r w:rsidRPr="005B1CC3">
        <w:rPr>
          <w:i/>
        </w:rPr>
        <w:t xml:space="preserve">The safety and effectiveness of </w:t>
      </w:r>
      <w:r w:rsidR="005B1CC3" w:rsidRPr="005B1CC3">
        <w:rPr>
          <w:i/>
        </w:rPr>
        <w:t xml:space="preserve">Keytruda </w:t>
      </w:r>
      <w:r w:rsidRPr="005B1CC3">
        <w:rPr>
          <w:i/>
        </w:rPr>
        <w:t>in paediatric patients with MSI-H/</w:t>
      </w:r>
      <w:proofErr w:type="spellStart"/>
      <w:r w:rsidRPr="005B1CC3">
        <w:rPr>
          <w:i/>
        </w:rPr>
        <w:t>dMMR</w:t>
      </w:r>
      <w:proofErr w:type="spellEnd"/>
      <w:r w:rsidRPr="005B1CC3">
        <w:rPr>
          <w:i/>
        </w:rPr>
        <w:t xml:space="preserve"> central nervous system can</w:t>
      </w:r>
      <w:r w:rsidR="005B1CC3">
        <w:rPr>
          <w:i/>
        </w:rPr>
        <w:t>cers have not been established.</w:t>
      </w:r>
    </w:p>
    <w:p w14:paraId="5C1EBB06" w14:textId="77777777" w:rsidR="005B1CC3" w:rsidRPr="005B1CC3" w:rsidRDefault="007B093E" w:rsidP="005B1CC3">
      <w:pPr>
        <w:ind w:left="720"/>
        <w:rPr>
          <w:b/>
          <w:i/>
        </w:rPr>
      </w:pPr>
      <w:r w:rsidRPr="005B1CC3">
        <w:rPr>
          <w:b/>
          <w:i/>
        </w:rPr>
        <w:t>Endometrial carcinoma</w:t>
      </w:r>
    </w:p>
    <w:p w14:paraId="6F4C5961" w14:textId="5BD30CC4" w:rsidR="005B1CC3" w:rsidRPr="005B1CC3" w:rsidRDefault="003114BD" w:rsidP="005B1CC3">
      <w:pPr>
        <w:ind w:left="720"/>
        <w:rPr>
          <w:i/>
        </w:rPr>
      </w:pPr>
      <w:r w:rsidRPr="005B1CC3">
        <w:rPr>
          <w:i/>
        </w:rPr>
        <w:t xml:space="preserve">Keytruda </w:t>
      </w:r>
      <w:r w:rsidR="007B093E" w:rsidRPr="005B1CC3">
        <w:rPr>
          <w:i/>
        </w:rPr>
        <w:t xml:space="preserve">(pembrolizumab), in combination with </w:t>
      </w:r>
      <w:proofErr w:type="spellStart"/>
      <w:r w:rsidR="007B093E" w:rsidRPr="005B1CC3">
        <w:rPr>
          <w:i/>
        </w:rPr>
        <w:t>lenvatinib</w:t>
      </w:r>
      <w:proofErr w:type="spellEnd"/>
      <w:r w:rsidR="007B093E" w:rsidRPr="005B1CC3">
        <w:rPr>
          <w:i/>
        </w:rPr>
        <w:t xml:space="preserve">, is indicated for the treatment of patients with advanced endometrial carcinoma that is not MSI-H or </w:t>
      </w:r>
      <w:proofErr w:type="spellStart"/>
      <w:r w:rsidR="007B093E" w:rsidRPr="005B1CC3">
        <w:rPr>
          <w:i/>
        </w:rPr>
        <w:t>dMMR</w:t>
      </w:r>
      <w:proofErr w:type="spellEnd"/>
      <w:r w:rsidR="007B093E" w:rsidRPr="005B1CC3">
        <w:rPr>
          <w:i/>
        </w:rPr>
        <w:t xml:space="preserve"> as determined by a validated test, who have disease progression following prior systemic therapy and are not candidates for curative surgery or radiation. This indication was approved via the </w:t>
      </w:r>
      <w:r w:rsidR="007B093E" w:rsidRPr="005B1CC3">
        <w:rPr>
          <w:b/>
          <w:i/>
        </w:rPr>
        <w:t>provisional approval</w:t>
      </w:r>
      <w:r w:rsidR="007B093E" w:rsidRPr="005B1CC3">
        <w:rPr>
          <w:i/>
        </w:rPr>
        <w:t xml:space="preserve"> pathway, based on objective response rate and duration of response in a single-arm trial. Full registration for this indication depends on verification and description of clinical </w:t>
      </w:r>
      <w:r w:rsidR="005B1CC3" w:rsidRPr="005B1CC3">
        <w:rPr>
          <w:i/>
        </w:rPr>
        <w:t>benefit in confirmatory trials.</w:t>
      </w:r>
    </w:p>
    <w:p w14:paraId="1E132FD0" w14:textId="59446461" w:rsidR="007B093E" w:rsidRPr="005B1CC3" w:rsidRDefault="007B093E" w:rsidP="005B1CC3">
      <w:pPr>
        <w:ind w:left="720"/>
        <w:rPr>
          <w:b/>
          <w:i/>
        </w:rPr>
      </w:pPr>
      <w:r w:rsidRPr="005B1CC3">
        <w:rPr>
          <w:b/>
          <w:i/>
        </w:rPr>
        <w:t>Renal Cell Carcinoma (RCC)</w:t>
      </w:r>
    </w:p>
    <w:p w14:paraId="4D426CD4" w14:textId="416C9416" w:rsidR="007B093E" w:rsidRPr="005B1CC3" w:rsidRDefault="003114BD" w:rsidP="005B1CC3">
      <w:pPr>
        <w:ind w:left="720"/>
        <w:rPr>
          <w:i/>
        </w:rPr>
      </w:pPr>
      <w:r w:rsidRPr="005B1CC3">
        <w:rPr>
          <w:i/>
        </w:rPr>
        <w:t xml:space="preserve">Keytruda </w:t>
      </w:r>
      <w:r w:rsidR="007B093E" w:rsidRPr="005B1CC3">
        <w:rPr>
          <w:i/>
        </w:rPr>
        <w:t xml:space="preserve">(pembrolizumab), in combination with </w:t>
      </w:r>
      <w:proofErr w:type="spellStart"/>
      <w:r w:rsidR="007B093E" w:rsidRPr="005B1CC3">
        <w:rPr>
          <w:i/>
        </w:rPr>
        <w:t>axitinib</w:t>
      </w:r>
      <w:proofErr w:type="spellEnd"/>
      <w:r w:rsidR="007B093E" w:rsidRPr="005B1CC3">
        <w:rPr>
          <w:i/>
        </w:rPr>
        <w:t>, is indicated for the first-line treatment of patients with advanc</w:t>
      </w:r>
      <w:r w:rsidR="005B1CC3" w:rsidRPr="005B1CC3">
        <w:rPr>
          <w:i/>
        </w:rPr>
        <w:t>ed renal cell carcinoma (RCC).</w:t>
      </w:r>
    </w:p>
    <w:p w14:paraId="07F2153D" w14:textId="16F40C59" w:rsidR="00C22214" w:rsidRPr="00D23139" w:rsidRDefault="00C22214" w:rsidP="00C22214">
      <w:r>
        <w:t xml:space="preserve">The above </w:t>
      </w:r>
      <w:r w:rsidRPr="00C105CF">
        <w:t xml:space="preserve">extension of indications </w:t>
      </w:r>
      <w:proofErr w:type="gramStart"/>
      <w:r>
        <w:t>are</w:t>
      </w:r>
      <w:proofErr w:type="gramEnd"/>
      <w:r>
        <w:t xml:space="preserve"> inclusive of the</w:t>
      </w:r>
      <w:r w:rsidR="005B1CC3">
        <w:t xml:space="preserve"> previous approved indications.</w:t>
      </w:r>
    </w:p>
    <w:p w14:paraId="6D25891E" w14:textId="0F379219" w:rsidR="00C22214" w:rsidRDefault="00C22214" w:rsidP="00C22214">
      <w:pPr>
        <w:pStyle w:val="Heading3"/>
      </w:pPr>
      <w:bookmarkStart w:id="104" w:name="_Toc103679301"/>
      <w:bookmarkStart w:id="105" w:name="_Toc137117852"/>
      <w:r w:rsidRPr="00D23139">
        <w:t>Specific conditions of registration applying to these goods</w:t>
      </w:r>
      <w:bookmarkEnd w:id="104"/>
      <w:bookmarkEnd w:id="105"/>
    </w:p>
    <w:p w14:paraId="61EC92CF" w14:textId="4AC0C75B" w:rsidR="008A3EA1" w:rsidRPr="008A3EA1" w:rsidRDefault="008A3EA1" w:rsidP="008A3EA1">
      <w:r>
        <w:t>The following specific conditions of registration apply to these goods:</w:t>
      </w:r>
    </w:p>
    <w:p w14:paraId="53DE7B5B" w14:textId="1051B6B4" w:rsidR="008A3EA1" w:rsidRDefault="008A3EA1" w:rsidP="008A3EA1">
      <w:pPr>
        <w:pStyle w:val="ListBullet"/>
      </w:pPr>
      <w:r w:rsidRPr="008A3EA1">
        <w:t>For all injectable products the Product Information must be included with the product as a package insert.</w:t>
      </w:r>
    </w:p>
    <w:p w14:paraId="5384674F" w14:textId="0C298034" w:rsidR="008A3EA1" w:rsidRDefault="008A3EA1" w:rsidP="008A3EA1">
      <w:pPr>
        <w:pStyle w:val="ListBullet"/>
      </w:pPr>
      <w:r>
        <w:t xml:space="preserve">Keytruda (pembrolizumab) is to be included in the Black Triangle Scheme. The PI, CMI and additional risk minimisation materials for </w:t>
      </w:r>
      <w:r w:rsidR="00A3128D">
        <w:t xml:space="preserve">Keytruda </w:t>
      </w:r>
      <w:r>
        <w:t>must include the black triangle symbol and mandatory accompanying text for the products entire period of provisional registration.</w:t>
      </w:r>
    </w:p>
    <w:p w14:paraId="0861B6CF" w14:textId="77777777" w:rsidR="008A3EA1" w:rsidRDefault="008A3EA1" w:rsidP="008A3EA1">
      <w:pPr>
        <w:pStyle w:val="ListBullet"/>
      </w:pPr>
      <w:r>
        <w:t>Confirmatory trial data (as identified in the sponsor’s plan to submit comprehensive clinical data on the safety and efficacy of the medicine before the end of the 6 years that would start on the day that registration would commence) must be provided.</w:t>
      </w:r>
    </w:p>
    <w:p w14:paraId="41807493" w14:textId="77777777" w:rsidR="008A3EA1" w:rsidRDefault="008A3EA1" w:rsidP="008A3EA1">
      <w:pPr>
        <w:pStyle w:val="ListBullet"/>
        <w:numPr>
          <w:ilvl w:val="0"/>
          <w:numId w:val="0"/>
        </w:numPr>
        <w:ind w:left="360"/>
      </w:pPr>
      <w:proofErr w:type="gramStart"/>
      <w:r>
        <w:lastRenderedPageBreak/>
        <w:t>Specifically</w:t>
      </w:r>
      <w:proofErr w:type="gramEnd"/>
      <w:r>
        <w:t xml:space="preserve"> the sponsor must conduct studies as described in the clinical study plan in version 21 (dated 27 March 2020) of the Australian-Specific Annex. The following study reports should be submitted to the TGA:</w:t>
      </w:r>
    </w:p>
    <w:p w14:paraId="0C518ECF" w14:textId="2F27F095" w:rsidR="008A3EA1" w:rsidRDefault="008A3EA1" w:rsidP="008A3EA1">
      <w:pPr>
        <w:pStyle w:val="ListBullet2"/>
      </w:pPr>
      <w:r>
        <w:t xml:space="preserve">The final analysis of study Keynote 057 in patients with </w:t>
      </w:r>
      <w:proofErr w:type="gramStart"/>
      <w:r>
        <w:t>high risk</w:t>
      </w:r>
      <w:proofErr w:type="gramEnd"/>
      <w:r>
        <w:t xml:space="preserve"> non-muscle invasive bladder cancer (NMIBC) unresponsive to Bacillus Calmette-Guerin (BCG) therapy</w:t>
      </w:r>
    </w:p>
    <w:p w14:paraId="7275561B" w14:textId="37D7A90A" w:rsidR="008A3EA1" w:rsidRDefault="008A3EA1" w:rsidP="008A3EA1">
      <w:pPr>
        <w:pStyle w:val="ListBullet2"/>
      </w:pPr>
      <w:r>
        <w:t xml:space="preserve">Keynote 676, a study of pembrolizumab in combination Bacillus </w:t>
      </w:r>
      <w:proofErr w:type="spellStart"/>
      <w:r>
        <w:t>CalmetteGuerin</w:t>
      </w:r>
      <w:proofErr w:type="spellEnd"/>
      <w:r>
        <w:t xml:space="preserve"> (BCG) with in patients with high-risk non-muscle invasive bladder cancer that is either persistent or recurrent following BCG induction or that is naïve to BCG treatment.</w:t>
      </w:r>
    </w:p>
    <w:p w14:paraId="4E7E6EC1" w14:textId="2A45459E" w:rsidR="008A3EA1" w:rsidRDefault="008A3EA1" w:rsidP="008A3EA1">
      <w:pPr>
        <w:pStyle w:val="ListBullet2"/>
        <w:numPr>
          <w:ilvl w:val="0"/>
          <w:numId w:val="0"/>
        </w:numPr>
        <w:ind w:left="425"/>
      </w:pPr>
      <w:r>
        <w:t>Further guidance for sponsors is available on the TGA website.</w:t>
      </w:r>
    </w:p>
    <w:p w14:paraId="4448C860" w14:textId="31B91350" w:rsidR="008A3EA1" w:rsidRDefault="008A3EA1" w:rsidP="008A3EA1">
      <w:pPr>
        <w:pStyle w:val="ListBullet"/>
      </w:pPr>
      <w:r>
        <w:t xml:space="preserve"> The Keytruda EU-Risk Management Plan (RMP) (version 27, dated 11 October 2019, data lock point 24 August 2018), with Australian Specific Annex (version 21, dated 27 March 2020), included with </w:t>
      </w:r>
      <w:r w:rsidRPr="00371B97">
        <w:t>submission PM-2020-01294-1-4</w:t>
      </w:r>
      <w:r w:rsidR="00371B97">
        <w:t>;</w:t>
      </w:r>
      <w:r>
        <w:t xml:space="preserve"> and any subsequent revisions, as agreed with the TGA will be implemented in Australia.</w:t>
      </w:r>
    </w:p>
    <w:p w14:paraId="650627D8" w14:textId="357092FA" w:rsidR="008A3EA1" w:rsidRDefault="008A3EA1" w:rsidP="008A3EA1">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451DC3FC" w14:textId="77777777" w:rsidR="00C22214" w:rsidRDefault="00C22214" w:rsidP="00C22214">
      <w:pPr>
        <w:pStyle w:val="Heading2"/>
      </w:pPr>
      <w:bookmarkStart w:id="106" w:name="_Toc103679303"/>
      <w:bookmarkStart w:id="107" w:name="_Toc137117853"/>
      <w:r>
        <w:t>Attachment 1. Product Information</w:t>
      </w:r>
      <w:bookmarkEnd w:id="106"/>
      <w:bookmarkEnd w:id="107"/>
    </w:p>
    <w:p w14:paraId="40740B65" w14:textId="3F70FE33" w:rsidR="00C22214" w:rsidRPr="008B4DA3" w:rsidRDefault="00C22214" w:rsidP="008A3EA1">
      <w:r w:rsidRPr="002B3624">
        <w:t xml:space="preserve">The </w:t>
      </w:r>
      <w:r>
        <w:t>PI</w:t>
      </w:r>
      <w:r w:rsidRPr="002B3624">
        <w:t xml:space="preserve"> for </w:t>
      </w:r>
      <w:r w:rsidR="008A3EA1">
        <w:t xml:space="preserve">Keytruda </w:t>
      </w:r>
      <w:r>
        <w:t xml:space="preserve">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36" w:history="1">
        <w:r w:rsidRPr="008A698E">
          <w:rPr>
            <w:rStyle w:val="Hyperlink"/>
          </w:rPr>
          <w:t>PI/CMI search facility.</w:t>
        </w:r>
      </w:hyperlink>
      <w:r w:rsidR="008A3EA1">
        <w:t xml:space="preserve"> </w:t>
      </w:r>
      <w:r w:rsidRPr="00C80137">
        <w:rPr>
          <w:b/>
        </w:rPr>
        <w:br w:type="page"/>
      </w:r>
    </w:p>
    <w:p w14:paraId="53357BF3" w14:textId="276457B5" w:rsidR="00C22214" w:rsidRDefault="00C22214" w:rsidP="00C22214">
      <w:pPr>
        <w:rPr>
          <w:lang w:eastAsia="ja-JP"/>
        </w:rPr>
        <w:sectPr w:rsidR="00C22214" w:rsidSect="007452E8">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B8BF701" w:rsidR="00F02AEC" w:rsidRDefault="00F02AEC">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738FCD08" w:rsidR="00F02AEC" w:rsidRPr="00215D48" w:rsidRDefault="00B82441">
            <w:pPr>
              <w:pStyle w:val="Address"/>
              <w:jc w:val="center"/>
              <w:rPr>
                <w:rStyle w:val="Hyperlink"/>
                <w:b/>
                <w:color w:val="auto"/>
                <w:sz w:val="22"/>
              </w:rPr>
            </w:pPr>
            <w:hyperlink r:id="rId4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4A012" w14:textId="77777777" w:rsidR="00A86D18" w:rsidRDefault="00A86D18" w:rsidP="00F02AEC">
      <w:pPr>
        <w:spacing w:after="0" w:line="240" w:lineRule="auto"/>
      </w:pPr>
      <w:r>
        <w:separator/>
      </w:r>
    </w:p>
  </w:endnote>
  <w:endnote w:type="continuationSeparator" w:id="0">
    <w:p w14:paraId="5FC129BC" w14:textId="77777777" w:rsidR="00A86D18" w:rsidRDefault="00A86D18" w:rsidP="00F02AEC">
      <w:pPr>
        <w:spacing w:after="0" w:line="240" w:lineRule="auto"/>
      </w:pPr>
      <w:r>
        <w:continuationSeparator/>
      </w:r>
    </w:p>
  </w:endnote>
  <w:endnote w:type="continuationNotice" w:id="1">
    <w:p w14:paraId="71F941CE" w14:textId="77777777" w:rsidR="00A86D18" w:rsidRDefault="00A86D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591A50" w:rsidRPr="00257138" w14:paraId="162D69C2" w14:textId="77777777" w:rsidTr="007452E8">
      <w:trPr>
        <w:trHeight w:val="423"/>
      </w:trPr>
      <w:tc>
        <w:tcPr>
          <w:tcW w:w="4360" w:type="dxa"/>
          <w:tcBorders>
            <w:top w:val="single" w:sz="4" w:space="0" w:color="auto"/>
          </w:tcBorders>
        </w:tcPr>
        <w:p w14:paraId="32E1B782" w14:textId="77777777" w:rsidR="00591A50" w:rsidRDefault="00591A50" w:rsidP="007452E8">
          <w:pPr>
            <w:pStyle w:val="Footer"/>
          </w:pPr>
        </w:p>
        <w:p w14:paraId="1849C07C" w14:textId="77777777" w:rsidR="00591A50" w:rsidRPr="00257138" w:rsidRDefault="00591A50"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591A50" w:rsidRDefault="00591A50" w:rsidP="007452E8">
              <w:pPr>
                <w:pStyle w:val="Footer"/>
                <w:jc w:val="right"/>
              </w:pPr>
            </w:p>
            <w:p w14:paraId="5EDE6DF6" w14:textId="77777777" w:rsidR="00591A50" w:rsidRPr="00257138" w:rsidRDefault="00591A50"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591A50" w:rsidRPr="00257138" w14:paraId="280F09C8" w14:textId="77777777" w:rsidTr="007452E8">
      <w:trPr>
        <w:trHeight w:val="263"/>
      </w:trPr>
      <w:tc>
        <w:tcPr>
          <w:tcW w:w="4360" w:type="dxa"/>
        </w:tcPr>
        <w:p w14:paraId="673F06D3" w14:textId="77777777" w:rsidR="00591A50" w:rsidRPr="00257138" w:rsidRDefault="00591A50" w:rsidP="007452E8">
          <w:pPr>
            <w:pStyle w:val="Footer"/>
          </w:pPr>
          <w:r w:rsidRPr="00257138">
            <w:t xml:space="preserve">V1.0 </w:t>
          </w:r>
          <w:r>
            <w:t>Month</w:t>
          </w:r>
          <w:r w:rsidRPr="00257138">
            <w:t xml:space="preserve"> 201</w:t>
          </w:r>
          <w:r>
            <w:t>2</w:t>
          </w:r>
        </w:p>
      </w:tc>
      <w:tc>
        <w:tcPr>
          <w:tcW w:w="4360" w:type="dxa"/>
        </w:tcPr>
        <w:p w14:paraId="77F5B433" w14:textId="77777777" w:rsidR="00591A50" w:rsidRPr="00257138" w:rsidRDefault="00591A50" w:rsidP="007452E8">
          <w:pPr>
            <w:pStyle w:val="Footer"/>
            <w:jc w:val="right"/>
          </w:pPr>
        </w:p>
      </w:tc>
    </w:tr>
  </w:tbl>
  <w:p w14:paraId="63F6FDDE" w14:textId="77777777" w:rsidR="00591A50" w:rsidRPr="00826007" w:rsidRDefault="00591A50"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591A50" w:rsidRDefault="00591A50"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591A50" w:rsidRPr="004A3084" w14:paraId="6266BC33" w14:textId="77777777" w:rsidTr="007452E8">
      <w:trPr>
        <w:trHeight w:val="423"/>
      </w:trPr>
      <w:tc>
        <w:tcPr>
          <w:tcW w:w="7338" w:type="dxa"/>
          <w:tcBorders>
            <w:top w:val="single" w:sz="4" w:space="0" w:color="auto"/>
          </w:tcBorders>
        </w:tcPr>
        <w:p w14:paraId="3C421323" w14:textId="46C0B3A9" w:rsidR="00591A50" w:rsidRPr="004A3084" w:rsidRDefault="00591A50" w:rsidP="002E04D4">
          <w:pPr>
            <w:pStyle w:val="Footer"/>
          </w:pPr>
          <w:r w:rsidRPr="00487162">
            <w:t>AusPA</w:t>
          </w:r>
          <w:r>
            <w:t>R - Keytruda -</w:t>
          </w:r>
          <w:r w:rsidRPr="00460036">
            <w:t xml:space="preserve"> </w:t>
          </w:r>
          <w:r>
            <w:t>pembrolizumab - Merck Sharp &amp; Dohme (Australia) Pty Ltd</w:t>
          </w:r>
          <w:r>
            <w:br/>
          </w:r>
          <w:r w:rsidRPr="002E04D4">
            <w:t>PM-2020-01294-1-4</w:t>
          </w:r>
          <w:r>
            <w:t xml:space="preserve"> </w:t>
          </w:r>
          <w:r>
            <w:br/>
          </w:r>
          <w:r w:rsidR="00011226">
            <w:t>Final 8 June</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35EFA577" w:rsidR="00591A50" w:rsidRPr="004A3084" w:rsidRDefault="00591A50" w:rsidP="007452E8">
              <w:pPr>
                <w:pStyle w:val="Footer"/>
                <w:jc w:val="right"/>
              </w:pPr>
              <w:r w:rsidRPr="004A3084">
                <w:t xml:space="preserve">Page </w:t>
              </w:r>
              <w:r>
                <w:fldChar w:fldCharType="begin"/>
              </w:r>
              <w:r>
                <w:instrText xml:space="preserve"> PAGE </w:instrText>
              </w:r>
              <w:r>
                <w:fldChar w:fldCharType="separate"/>
              </w:r>
              <w:r w:rsidR="004A1EA6">
                <w:rPr>
                  <w:noProof/>
                </w:rPr>
                <w:t>44</w:t>
              </w:r>
              <w:r>
                <w:rPr>
                  <w:noProof/>
                </w:rPr>
                <w:fldChar w:fldCharType="end"/>
              </w:r>
              <w:r w:rsidRPr="004A3084">
                <w:t xml:space="preserve"> of </w:t>
              </w:r>
              <w:r>
                <w:fldChar w:fldCharType="begin"/>
              </w:r>
              <w:r>
                <w:instrText>NUMPAGES</w:instrText>
              </w:r>
              <w:r>
                <w:fldChar w:fldCharType="separate"/>
              </w:r>
              <w:r w:rsidR="004A1EA6">
                <w:rPr>
                  <w:noProof/>
                </w:rPr>
                <w:t>45</w:t>
              </w:r>
              <w:r>
                <w:fldChar w:fldCharType="end"/>
              </w:r>
            </w:p>
          </w:sdtContent>
        </w:sdt>
      </w:tc>
    </w:tr>
  </w:tbl>
  <w:p w14:paraId="1A4EDE60" w14:textId="77777777" w:rsidR="00591A50" w:rsidRPr="00826007" w:rsidRDefault="00591A50"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591A50" w:rsidRPr="008E3C43" w:rsidRDefault="00591A50"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C87B5" w14:textId="77777777" w:rsidR="00A86D18" w:rsidRDefault="00A86D18" w:rsidP="00F02AEC">
      <w:pPr>
        <w:spacing w:after="0" w:line="240" w:lineRule="auto"/>
      </w:pPr>
      <w:r>
        <w:separator/>
      </w:r>
    </w:p>
  </w:footnote>
  <w:footnote w:type="continuationSeparator" w:id="0">
    <w:p w14:paraId="58124933" w14:textId="77777777" w:rsidR="00A86D18" w:rsidRDefault="00A86D18" w:rsidP="00F02AEC">
      <w:pPr>
        <w:spacing w:after="0" w:line="240" w:lineRule="auto"/>
      </w:pPr>
      <w:r>
        <w:continuationSeparator/>
      </w:r>
    </w:p>
  </w:footnote>
  <w:footnote w:type="continuationNotice" w:id="1">
    <w:p w14:paraId="18D1A6B6" w14:textId="77777777" w:rsidR="00A86D18" w:rsidRDefault="00A86D18">
      <w:pPr>
        <w:spacing w:after="0" w:line="240" w:lineRule="auto"/>
      </w:pPr>
    </w:p>
  </w:footnote>
  <w:footnote w:id="2">
    <w:p w14:paraId="68402A9B" w14:textId="60286C39" w:rsidR="00591A50" w:rsidRPr="00A93DC6" w:rsidRDefault="00591A50">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3">
    <w:p w14:paraId="2B586481" w14:textId="240616E3" w:rsidR="00591A50" w:rsidRPr="00BD05EE" w:rsidRDefault="00591A50">
      <w:pPr>
        <w:pStyle w:val="FootnoteText"/>
        <w:rPr>
          <w:lang w:val="en-GB"/>
        </w:rPr>
      </w:pPr>
      <w:r>
        <w:rPr>
          <w:rStyle w:val="FootnoteReference"/>
        </w:rPr>
        <w:footnoteRef/>
      </w:r>
      <w:r>
        <w:t xml:space="preserve"> </w:t>
      </w:r>
      <w:proofErr w:type="spellStart"/>
      <w:r w:rsidRPr="00BD05EE">
        <w:t>Saginala</w:t>
      </w:r>
      <w:proofErr w:type="spellEnd"/>
      <w:r w:rsidRPr="00BD05EE">
        <w:t xml:space="preserve"> K, </w:t>
      </w:r>
      <w:proofErr w:type="spellStart"/>
      <w:r w:rsidRPr="00BD05EE">
        <w:t>Barsouk</w:t>
      </w:r>
      <w:proofErr w:type="spellEnd"/>
      <w:r w:rsidRPr="00BD05EE">
        <w:t xml:space="preserve"> A, </w:t>
      </w:r>
      <w:proofErr w:type="spellStart"/>
      <w:r w:rsidRPr="00BD05EE">
        <w:t>Aluru</w:t>
      </w:r>
      <w:proofErr w:type="spellEnd"/>
      <w:r w:rsidRPr="00BD05EE">
        <w:t xml:space="preserve"> JS, </w:t>
      </w:r>
      <w:proofErr w:type="spellStart"/>
      <w:r w:rsidRPr="00BD05EE">
        <w:t>Rawla</w:t>
      </w:r>
      <w:proofErr w:type="spellEnd"/>
      <w:r w:rsidRPr="00BD05EE">
        <w:t xml:space="preserve"> P, </w:t>
      </w:r>
      <w:proofErr w:type="spellStart"/>
      <w:r w:rsidRPr="00BD05EE">
        <w:t>Padala</w:t>
      </w:r>
      <w:proofErr w:type="spellEnd"/>
      <w:r w:rsidRPr="00BD05EE">
        <w:t xml:space="preserve"> SA, </w:t>
      </w:r>
      <w:proofErr w:type="spellStart"/>
      <w:r w:rsidRPr="00BD05EE">
        <w:t>Barsouk</w:t>
      </w:r>
      <w:proofErr w:type="spellEnd"/>
      <w:r w:rsidRPr="00BD05EE">
        <w:t xml:space="preserve"> A. Epidemiology of Bladder Cancer. </w:t>
      </w:r>
      <w:r w:rsidRPr="00BD05EE">
        <w:rPr>
          <w:i/>
        </w:rPr>
        <w:t xml:space="preserve">Med Sci </w:t>
      </w:r>
      <w:r w:rsidRPr="00BD05EE">
        <w:t>(Basel). 2020;8(1):15.</w:t>
      </w:r>
    </w:p>
  </w:footnote>
  <w:footnote w:id="4">
    <w:p w14:paraId="14586A8D" w14:textId="2079F3AF" w:rsidR="00591A50" w:rsidRPr="00B70188" w:rsidRDefault="00591A50">
      <w:pPr>
        <w:pStyle w:val="FootnoteText"/>
        <w:rPr>
          <w:lang w:val="en-GB"/>
        </w:rPr>
      </w:pPr>
      <w:r>
        <w:rPr>
          <w:rStyle w:val="FootnoteReference"/>
        </w:rPr>
        <w:footnoteRef/>
      </w:r>
      <w:r>
        <w:t xml:space="preserve"> </w:t>
      </w:r>
      <w:proofErr w:type="spellStart"/>
      <w:r w:rsidRPr="00B70188">
        <w:t>Dahm</w:t>
      </w:r>
      <w:proofErr w:type="spellEnd"/>
      <w:r w:rsidRPr="00B70188">
        <w:t xml:space="preserve"> P, </w:t>
      </w:r>
      <w:proofErr w:type="spellStart"/>
      <w:r w:rsidRPr="00B70188">
        <w:t>Gschwend</w:t>
      </w:r>
      <w:proofErr w:type="spellEnd"/>
      <w:r w:rsidRPr="00B70188">
        <w:t xml:space="preserve"> JE. Malignant non-urothelial neoplasms of the urinary bladder: A review. </w:t>
      </w:r>
      <w:r w:rsidRPr="00B70188">
        <w:rPr>
          <w:i/>
        </w:rPr>
        <w:t>European Urology</w:t>
      </w:r>
      <w:r w:rsidRPr="00B70188">
        <w:t>. 2003;44(6):672-681.</w:t>
      </w:r>
    </w:p>
  </w:footnote>
  <w:footnote w:id="5">
    <w:p w14:paraId="40DD6B75" w14:textId="77777777" w:rsidR="00591A50" w:rsidRPr="00A64EF1" w:rsidRDefault="00591A50" w:rsidP="002571B3">
      <w:pPr>
        <w:pStyle w:val="FootnoteText"/>
        <w:rPr>
          <w:lang w:val="en-GB"/>
        </w:rPr>
      </w:pPr>
      <w:r>
        <w:rPr>
          <w:rStyle w:val="FootnoteReference"/>
        </w:rPr>
        <w:footnoteRef/>
      </w:r>
      <w:r>
        <w:t xml:space="preserve"> Data sourced from Australian Institute of Health and Welfare (AIHW) Cancer Data in Australia 2022 web report and supplementary data tables. More information about incidence rates for the most common cancers diagnosed can be found on the NCCI website available online at: </w:t>
      </w:r>
      <w:hyperlink r:id="rId1" w:history="1">
        <w:r>
          <w:rPr>
            <w:rStyle w:val="Hyperlink"/>
          </w:rPr>
          <w:t>https://ncci.canceraustralia.gov.au/diagnosis/cancer-incidence/cancer-incidence</w:t>
        </w:r>
      </w:hyperlink>
    </w:p>
  </w:footnote>
  <w:footnote w:id="6">
    <w:p w14:paraId="28F9DECB" w14:textId="46AA69D9" w:rsidR="00591A50" w:rsidRPr="004C197F" w:rsidRDefault="00591A50">
      <w:pPr>
        <w:pStyle w:val="FootnoteText"/>
        <w:rPr>
          <w:lang w:val="en-GB"/>
        </w:rPr>
      </w:pPr>
      <w:r>
        <w:rPr>
          <w:rStyle w:val="FootnoteReference"/>
        </w:rPr>
        <w:footnoteRef/>
      </w:r>
      <w:r>
        <w:t xml:space="preserve"> </w:t>
      </w:r>
      <w:proofErr w:type="spellStart"/>
      <w:r w:rsidRPr="004C197F">
        <w:t>Zeegers</w:t>
      </w:r>
      <w:proofErr w:type="spellEnd"/>
      <w:r w:rsidRPr="004C197F">
        <w:t xml:space="preserve"> MP, Tan FE, </w:t>
      </w:r>
      <w:proofErr w:type="spellStart"/>
      <w:r w:rsidRPr="004C197F">
        <w:t>Dorant</w:t>
      </w:r>
      <w:proofErr w:type="spellEnd"/>
      <w:r w:rsidRPr="004C197F">
        <w:t xml:space="preserve"> E, van Den Brandt PA (</w:t>
      </w:r>
      <w:r>
        <w:t xml:space="preserve">2000). </w:t>
      </w:r>
      <w:r w:rsidRPr="004C197F">
        <w:t>The impact of characteristics of cigarette smoking on urinary tract cancer risk: a meta-an</w:t>
      </w:r>
      <w:r>
        <w:t>alysis of epidemiologic studies</w:t>
      </w:r>
      <w:r w:rsidRPr="004C197F">
        <w:t xml:space="preserve">. </w:t>
      </w:r>
      <w:r w:rsidRPr="004C197F">
        <w:rPr>
          <w:i/>
        </w:rPr>
        <w:t>Cancer</w:t>
      </w:r>
      <w:r w:rsidRPr="004C197F">
        <w:t>. 89 (3): 630–9.</w:t>
      </w:r>
    </w:p>
  </w:footnote>
  <w:footnote w:id="7">
    <w:p w14:paraId="486FF0B9" w14:textId="58788CDA" w:rsidR="00591A50" w:rsidRPr="00F44683" w:rsidRDefault="00591A50">
      <w:pPr>
        <w:pStyle w:val="FootnoteText"/>
        <w:rPr>
          <w:lang w:val="en-GB"/>
        </w:rPr>
      </w:pPr>
      <w:r>
        <w:rPr>
          <w:rStyle w:val="FootnoteReference"/>
        </w:rPr>
        <w:footnoteRef/>
      </w:r>
      <w:r>
        <w:t xml:space="preserve"> </w:t>
      </w:r>
      <w:r w:rsidRPr="00F44683">
        <w:t xml:space="preserve">The </w:t>
      </w:r>
      <w:r w:rsidRPr="00F44683">
        <w:rPr>
          <w:b/>
        </w:rPr>
        <w:t>Tumour, Nodes and Metastasis</w:t>
      </w:r>
      <w:r>
        <w:t xml:space="preserve"> (</w:t>
      </w:r>
      <w:r w:rsidRPr="00F44683">
        <w:rPr>
          <w:b/>
        </w:rPr>
        <w:t>TNM</w:t>
      </w:r>
      <w:r>
        <w:t>)</w:t>
      </w:r>
      <w:r w:rsidRPr="00F44683">
        <w:t xml:space="preserve"> staging system describes the amount and spread of cancer in a patient's body. T describes the size of the tumour and any spread of cancer into nearby tissue; N describes spread of cancer from its original location to nearby lymph nodes; and M describes metastasis (spread of cancer to other parts of the body).</w:t>
      </w:r>
    </w:p>
  </w:footnote>
  <w:footnote w:id="8">
    <w:p w14:paraId="1325B7AB" w14:textId="7C85D6E9" w:rsidR="00591A50" w:rsidRPr="006C0B33" w:rsidRDefault="00591A50" w:rsidP="006C0B33">
      <w:pPr>
        <w:pStyle w:val="FootnoteText"/>
      </w:pPr>
      <w:r>
        <w:rPr>
          <w:rStyle w:val="FootnoteReference"/>
        </w:rPr>
        <w:footnoteRef/>
      </w:r>
      <w:r>
        <w:t xml:space="preserve"> American Joint Committee on Cancer (AJCC). AJCC Cancer Staging Manual. 8th edition. New York: </w:t>
      </w:r>
      <w:r w:rsidRPr="006C0B33">
        <w:rPr>
          <w:i/>
        </w:rPr>
        <w:t>Springer;</w:t>
      </w:r>
      <w:r>
        <w:t xml:space="preserve"> 2017.</w:t>
      </w:r>
    </w:p>
  </w:footnote>
  <w:footnote w:id="9">
    <w:p w14:paraId="479CED8B" w14:textId="69B9294B" w:rsidR="00591A50" w:rsidRPr="00381A6E" w:rsidRDefault="00591A50" w:rsidP="00AE6647">
      <w:pPr>
        <w:pStyle w:val="FootnoteText"/>
      </w:pPr>
      <w:r>
        <w:rPr>
          <w:rStyle w:val="FootnoteReference"/>
        </w:rPr>
        <w:footnoteRef/>
      </w:r>
      <w:r>
        <w:t xml:space="preserve"> </w:t>
      </w:r>
      <w:proofErr w:type="spellStart"/>
      <w:r>
        <w:t>Kamat</w:t>
      </w:r>
      <w:proofErr w:type="spellEnd"/>
      <w:r>
        <w:t xml:space="preserve"> AM, Hahn NM, </w:t>
      </w:r>
      <w:proofErr w:type="spellStart"/>
      <w:r>
        <w:t>Efstathiou</w:t>
      </w:r>
      <w:proofErr w:type="spellEnd"/>
      <w:r>
        <w:t xml:space="preserve"> JA et al. Bladder cancer. </w:t>
      </w:r>
      <w:r w:rsidRPr="00381A6E">
        <w:rPr>
          <w:i/>
        </w:rPr>
        <w:t>Lancet</w:t>
      </w:r>
      <w:r>
        <w:t>. 2016; 388 (10061): 2796-2810.</w:t>
      </w:r>
    </w:p>
  </w:footnote>
  <w:footnote w:id="10">
    <w:p w14:paraId="6A51B99F" w14:textId="77777777" w:rsidR="00591A50" w:rsidRPr="00FA54DA" w:rsidRDefault="00591A50" w:rsidP="00AE6647">
      <w:pPr>
        <w:pStyle w:val="FootnoteText"/>
      </w:pPr>
      <w:r>
        <w:rPr>
          <w:rStyle w:val="FootnoteReference"/>
        </w:rPr>
        <w:footnoteRef/>
      </w:r>
      <w:r>
        <w:t xml:space="preserve"> Nielsen ME, Smith AB, Meyer AM et al. Trends in Stage-Specific Incidence Rates for Urothelial Carcinoma of the Bladder in the United States: 1988 to 2006. </w:t>
      </w:r>
      <w:r w:rsidRPr="00FA54DA">
        <w:rPr>
          <w:i/>
        </w:rPr>
        <w:t>Cancer</w:t>
      </w:r>
      <w:r>
        <w:t>. 2014; 120: 86-95.</w:t>
      </w:r>
    </w:p>
  </w:footnote>
  <w:footnote w:id="11">
    <w:p w14:paraId="243EB7FC" w14:textId="77777777" w:rsidR="00591A50" w:rsidRDefault="00591A50" w:rsidP="00FA54DA">
      <w:pPr>
        <w:pStyle w:val="FootnoteText"/>
      </w:pPr>
      <w:r>
        <w:rPr>
          <w:rStyle w:val="FootnoteReference"/>
        </w:rPr>
        <w:footnoteRef/>
      </w:r>
      <w:r>
        <w:t xml:space="preserve"> </w:t>
      </w:r>
      <w:r w:rsidRPr="00934E6A">
        <w:t>National Comp</w:t>
      </w:r>
      <w:r>
        <w:t>rehensive Cancer Network (NCCN):</w:t>
      </w:r>
      <w:r w:rsidRPr="00934E6A">
        <w:t xml:space="preserve"> NCCN Clinical Practice Guidelines in Oncology – Bladder Cancer. Version 5.2020. May 12, 2020.</w:t>
      </w:r>
    </w:p>
    <w:p w14:paraId="1524F985" w14:textId="77777777" w:rsidR="00591A50" w:rsidRPr="00934E6A" w:rsidRDefault="00591A50" w:rsidP="00FA54DA">
      <w:pPr>
        <w:pStyle w:val="FootnoteText"/>
        <w:rPr>
          <w:lang w:val="en-GB"/>
        </w:rPr>
      </w:pPr>
      <w:r>
        <w:t xml:space="preserve">Available online at: </w:t>
      </w:r>
      <w:hyperlink r:id="rId2" w:history="1">
        <w:r w:rsidRPr="00AA7A88">
          <w:rPr>
            <w:rStyle w:val="Hyperlink"/>
          </w:rPr>
          <w:t>https://www.nccn.org/professionals/physician_gls/default.aspx</w:t>
        </w:r>
      </w:hyperlink>
    </w:p>
  </w:footnote>
  <w:footnote w:id="12">
    <w:p w14:paraId="0F6E54DA" w14:textId="3DB1C374" w:rsidR="00591A50" w:rsidRDefault="00591A50" w:rsidP="00AA7A88">
      <w:pPr>
        <w:pStyle w:val="FootnoteText"/>
      </w:pPr>
      <w:r>
        <w:rPr>
          <w:rStyle w:val="FootnoteReference"/>
        </w:rPr>
        <w:footnoteRef/>
      </w:r>
      <w:r>
        <w:t xml:space="preserve"> </w:t>
      </w:r>
      <w:proofErr w:type="spellStart"/>
      <w:r>
        <w:t>Comperat</w:t>
      </w:r>
      <w:proofErr w:type="spellEnd"/>
      <w:r>
        <w:t xml:space="preserve"> EM, Burger M, </w:t>
      </w:r>
      <w:proofErr w:type="spellStart"/>
      <w:r>
        <w:t>Gontero</w:t>
      </w:r>
      <w:proofErr w:type="spellEnd"/>
      <w:r>
        <w:t xml:space="preserve"> P et al. Grading of Urothelial Carcinoma and the New ‘World Health Organisation Classification of Tumours of the Urinary System and male Genital Organs 2016’.</w:t>
      </w:r>
    </w:p>
    <w:p w14:paraId="1FE64640" w14:textId="16B9EF69" w:rsidR="00591A50" w:rsidRPr="00AA7A88" w:rsidRDefault="00591A50" w:rsidP="00AA7A88">
      <w:pPr>
        <w:pStyle w:val="FootnoteText"/>
        <w:rPr>
          <w:lang w:val="en-GB"/>
        </w:rPr>
      </w:pPr>
      <w:proofErr w:type="spellStart"/>
      <w:r w:rsidRPr="00AA7A88">
        <w:rPr>
          <w:i/>
        </w:rPr>
        <w:t>Eur</w:t>
      </w:r>
      <w:proofErr w:type="spellEnd"/>
      <w:r w:rsidRPr="00AA7A88">
        <w:rPr>
          <w:i/>
        </w:rPr>
        <w:t xml:space="preserve"> </w:t>
      </w:r>
      <w:proofErr w:type="spellStart"/>
      <w:r w:rsidRPr="00AA7A88">
        <w:rPr>
          <w:i/>
        </w:rPr>
        <w:t>Urol</w:t>
      </w:r>
      <w:proofErr w:type="spellEnd"/>
      <w:r w:rsidRPr="00AA7A88">
        <w:rPr>
          <w:i/>
        </w:rPr>
        <w:t xml:space="preserve"> Focus.</w:t>
      </w:r>
      <w:r>
        <w:t xml:space="preserve"> 2019; 5 (3): 457-466.</w:t>
      </w:r>
    </w:p>
  </w:footnote>
  <w:footnote w:id="13">
    <w:p w14:paraId="02D40BE8" w14:textId="77777777" w:rsidR="00591A50" w:rsidRDefault="00591A50" w:rsidP="00AA7A88">
      <w:pPr>
        <w:pStyle w:val="FootnoteText"/>
      </w:pPr>
      <w:r>
        <w:rPr>
          <w:rStyle w:val="FootnoteReference"/>
        </w:rPr>
        <w:footnoteRef/>
      </w:r>
      <w:r>
        <w:t xml:space="preserve"> Chang SS, </w:t>
      </w:r>
      <w:proofErr w:type="spellStart"/>
      <w:r>
        <w:t>Boorjian</w:t>
      </w:r>
      <w:proofErr w:type="spellEnd"/>
      <w:r>
        <w:t xml:space="preserve"> SA, Chou R et al. Diagnosis and Treatment of Non-Muscle Invasive Bladder Cancer: AUA/SUO Joint Guideline (2016).</w:t>
      </w:r>
      <w:r>
        <w:tab/>
      </w:r>
    </w:p>
    <w:p w14:paraId="7E1BBC92" w14:textId="5D532301" w:rsidR="00591A50" w:rsidRPr="00AA7A88" w:rsidRDefault="00591A50" w:rsidP="00AA7A88">
      <w:pPr>
        <w:pStyle w:val="FootnoteText"/>
        <w:rPr>
          <w:lang w:val="en-GB"/>
        </w:rPr>
      </w:pPr>
      <w:r>
        <w:t xml:space="preserve">Available online at: </w:t>
      </w:r>
      <w:hyperlink r:id="rId3" w:history="1">
        <w:r w:rsidRPr="00864A49">
          <w:rPr>
            <w:rStyle w:val="Hyperlink"/>
          </w:rPr>
          <w:t>https://www.auanet.org/guidelines/bladder-cancer-non-muscle-invasive-guideline</w:t>
        </w:r>
      </w:hyperlink>
    </w:p>
  </w:footnote>
  <w:footnote w:id="14">
    <w:p w14:paraId="78D361FE" w14:textId="558F4129" w:rsidR="00591A50" w:rsidRPr="00AA7A88" w:rsidRDefault="00591A50">
      <w:pPr>
        <w:pStyle w:val="FootnoteText"/>
        <w:rPr>
          <w:lang w:val="en-GB"/>
        </w:rPr>
      </w:pPr>
      <w:r>
        <w:rPr>
          <w:rStyle w:val="FootnoteReference"/>
        </w:rPr>
        <w:footnoteRef/>
      </w:r>
      <w:r>
        <w:t xml:space="preserve"> </w:t>
      </w:r>
      <w:proofErr w:type="spellStart"/>
      <w:r w:rsidRPr="00934E6A">
        <w:t>Babjuk</w:t>
      </w:r>
      <w:proofErr w:type="spellEnd"/>
      <w:r w:rsidRPr="00934E6A">
        <w:t xml:space="preserve"> M, Burger M, </w:t>
      </w:r>
      <w:proofErr w:type="spellStart"/>
      <w:r w:rsidRPr="00934E6A">
        <w:t>Compérat</w:t>
      </w:r>
      <w:proofErr w:type="spellEnd"/>
      <w:r w:rsidRPr="00934E6A">
        <w:t xml:space="preserve"> E et al. European Association of Urology (EAU) Guidelines on Non-Muscle-Invasive Bladder Cancer. 2020.</w:t>
      </w:r>
      <w:r>
        <w:t xml:space="preserve"> Available online at: </w:t>
      </w:r>
      <w:hyperlink r:id="rId4" w:history="1">
        <w:r w:rsidRPr="00864A49">
          <w:rPr>
            <w:rStyle w:val="Hyperlink"/>
          </w:rPr>
          <w:t>https://uroweb.org/guideline/non-muscle-invasive-bladder-cancer/</w:t>
        </w:r>
      </w:hyperlink>
    </w:p>
  </w:footnote>
  <w:footnote w:id="15">
    <w:p w14:paraId="66893C1C" w14:textId="7F720659" w:rsidR="00591A50" w:rsidRPr="00934E6A" w:rsidRDefault="00591A50" w:rsidP="00AA7A88">
      <w:pPr>
        <w:pStyle w:val="FootnoteText"/>
        <w:rPr>
          <w:lang w:val="en-GB"/>
        </w:rPr>
      </w:pPr>
      <w:r>
        <w:rPr>
          <w:rStyle w:val="FootnoteReference"/>
        </w:rPr>
        <w:footnoteRef/>
      </w:r>
      <w:r>
        <w:t xml:space="preserve"> </w:t>
      </w:r>
      <w:proofErr w:type="spellStart"/>
      <w:r w:rsidRPr="00934E6A">
        <w:t>Kamat</w:t>
      </w:r>
      <w:proofErr w:type="spellEnd"/>
      <w:r w:rsidRPr="00934E6A">
        <w:t xml:space="preserve"> AM, Sylvester RJ, </w:t>
      </w:r>
      <w:proofErr w:type="spellStart"/>
      <w:r w:rsidRPr="00934E6A">
        <w:t>Böhle</w:t>
      </w:r>
      <w:proofErr w:type="spellEnd"/>
      <w:r w:rsidRPr="00934E6A">
        <w:t xml:space="preserve"> A et al. Definitions, End Points, and Clinical Trial Designs for Non-Muscle-Invasive Bladder Cancer: Recommendations </w:t>
      </w:r>
      <w:proofErr w:type="gramStart"/>
      <w:r w:rsidRPr="00934E6A">
        <w:t>From</w:t>
      </w:r>
      <w:proofErr w:type="gramEnd"/>
      <w:r w:rsidRPr="00934E6A">
        <w:t xml:space="preserve"> the International Bladder Cancer Group.</w:t>
      </w:r>
      <w:r>
        <w:t xml:space="preserve"> </w:t>
      </w:r>
      <w:r w:rsidRPr="003432E3">
        <w:rPr>
          <w:i/>
        </w:rPr>
        <w:t>J Clin Oncol.</w:t>
      </w:r>
      <w:r w:rsidRPr="003432E3">
        <w:t xml:space="preserve"> 2016 Jun 1;34(16):1935-44.</w:t>
      </w:r>
    </w:p>
  </w:footnote>
  <w:footnote w:id="16">
    <w:p w14:paraId="28C5819B" w14:textId="5972C344" w:rsidR="00591A50" w:rsidRPr="00B70188" w:rsidRDefault="00591A50">
      <w:pPr>
        <w:pStyle w:val="FootnoteText"/>
        <w:rPr>
          <w:lang w:val="en-GB"/>
        </w:rPr>
      </w:pPr>
      <w:r>
        <w:rPr>
          <w:rStyle w:val="FootnoteReference"/>
        </w:rPr>
        <w:footnoteRef/>
      </w:r>
      <w:r>
        <w:t xml:space="preserve"> Understand Surgery: TURBT from Understanding Bladder Cancer A guide for people with cancer, their </w:t>
      </w:r>
      <w:proofErr w:type="gramStart"/>
      <w:r>
        <w:t>families</w:t>
      </w:r>
      <w:proofErr w:type="gramEnd"/>
      <w:r>
        <w:t xml:space="preserve"> and friends (2022). </w:t>
      </w:r>
      <w:hyperlink r:id="rId5" w:history="1">
        <w:r w:rsidRPr="00A50915">
          <w:rPr>
            <w:rStyle w:val="Hyperlink"/>
          </w:rPr>
          <w:t>https://www.cancercouncil.com.au/bladder-cancer/non-muscle-invasive-treatment/surgery/</w:t>
        </w:r>
      </w:hyperlink>
    </w:p>
  </w:footnote>
  <w:footnote w:id="17">
    <w:p w14:paraId="54510D2A" w14:textId="07D1D910" w:rsidR="00591A50" w:rsidRPr="006A057F" w:rsidRDefault="00591A50">
      <w:pPr>
        <w:pStyle w:val="FootnoteText"/>
        <w:rPr>
          <w:lang w:val="en-GB"/>
        </w:rPr>
      </w:pPr>
      <w:r>
        <w:rPr>
          <w:rStyle w:val="FootnoteReference"/>
        </w:rPr>
        <w:footnoteRef/>
      </w:r>
      <w:r>
        <w:t xml:space="preserve"> </w:t>
      </w:r>
      <w:r w:rsidRPr="0043408C">
        <w:rPr>
          <w:b/>
        </w:rPr>
        <w:t>Bacillus Calmette–</w:t>
      </w:r>
      <w:proofErr w:type="spellStart"/>
      <w:r w:rsidRPr="0043408C">
        <w:rPr>
          <w:b/>
        </w:rPr>
        <w:t>Guérin</w:t>
      </w:r>
      <w:proofErr w:type="spellEnd"/>
      <w:r w:rsidRPr="006A057F">
        <w:t xml:space="preserve"> (</w:t>
      </w:r>
      <w:r w:rsidRPr="0043408C">
        <w:rPr>
          <w:b/>
        </w:rPr>
        <w:t>BCG</w:t>
      </w:r>
      <w:r w:rsidRPr="006A057F">
        <w:t xml:space="preserve">) </w:t>
      </w:r>
      <w:r w:rsidRPr="0043408C">
        <w:rPr>
          <w:b/>
        </w:rPr>
        <w:t>vaccine</w:t>
      </w:r>
      <w:r>
        <w:t xml:space="preserve"> was originally developed as a vaccine to prevent tuberculosis (TB) infection and is still used for this purpose. Since the late 1970’s the BCG vaccine, used differently to vaccination against TB, has been proven and used as an active immunotherapy in the </w:t>
      </w:r>
      <w:r w:rsidRPr="0043408C">
        <w:t xml:space="preserve">treatment of </w:t>
      </w:r>
      <w:proofErr w:type="spellStart"/>
      <w:r w:rsidRPr="0043408C">
        <w:t>nonmuscle</w:t>
      </w:r>
      <w:proofErr w:type="spellEnd"/>
      <w:r w:rsidRPr="0043408C">
        <w:t>-invasive bladder cance</w:t>
      </w:r>
      <w:r>
        <w:t>r. The exact mechanism is not fully characterised.</w:t>
      </w:r>
    </w:p>
  </w:footnote>
  <w:footnote w:id="18">
    <w:p w14:paraId="2A4E7106" w14:textId="22B9E2BE" w:rsidR="00591A50" w:rsidRPr="00934E6A" w:rsidRDefault="00591A50">
      <w:pPr>
        <w:pStyle w:val="FootnoteText"/>
        <w:rPr>
          <w:lang w:val="en-GB"/>
        </w:rPr>
      </w:pPr>
      <w:r>
        <w:rPr>
          <w:rStyle w:val="FootnoteReference"/>
        </w:rPr>
        <w:footnoteRef/>
      </w:r>
      <w:r>
        <w:t xml:space="preserve"> </w:t>
      </w:r>
      <w:proofErr w:type="spellStart"/>
      <w:r w:rsidRPr="00934E6A">
        <w:t>Babjuk</w:t>
      </w:r>
      <w:proofErr w:type="spellEnd"/>
      <w:r w:rsidRPr="00934E6A">
        <w:t xml:space="preserve"> M, Burger M, </w:t>
      </w:r>
      <w:proofErr w:type="spellStart"/>
      <w:r w:rsidRPr="00934E6A">
        <w:t>Compérat</w:t>
      </w:r>
      <w:proofErr w:type="spellEnd"/>
      <w:r w:rsidRPr="00934E6A">
        <w:t xml:space="preserve"> E et al. European Association of Urology (EAU) Guidelines on Non-Muscle-Invasive Bladder Cancer. 2020.</w:t>
      </w:r>
      <w:r>
        <w:br/>
        <w:t xml:space="preserve">Available online at: </w:t>
      </w:r>
      <w:hyperlink r:id="rId6" w:history="1">
        <w:r w:rsidRPr="00864A49">
          <w:rPr>
            <w:rStyle w:val="Hyperlink"/>
          </w:rPr>
          <w:t>https://uroweb.org/guideline/non-muscle-invasive-bladder-cancer/</w:t>
        </w:r>
      </w:hyperlink>
    </w:p>
  </w:footnote>
  <w:footnote w:id="19">
    <w:p w14:paraId="4EB990BE" w14:textId="77777777" w:rsidR="00591A50" w:rsidRDefault="00591A50" w:rsidP="006D7A31">
      <w:pPr>
        <w:pStyle w:val="FootnoteText"/>
      </w:pPr>
      <w:r>
        <w:rPr>
          <w:rStyle w:val="FootnoteReference"/>
        </w:rPr>
        <w:footnoteRef/>
      </w:r>
      <w:r>
        <w:t xml:space="preserve"> Cancer Institute of NSW. </w:t>
      </w:r>
      <w:proofErr w:type="spellStart"/>
      <w:r>
        <w:t>eviQ</w:t>
      </w:r>
      <w:proofErr w:type="spellEnd"/>
      <w:r>
        <w:t>. Bladder Intravesical gemcitabine. 2019.</w:t>
      </w:r>
    </w:p>
    <w:p w14:paraId="0FBDA2F1" w14:textId="503C6119" w:rsidR="00591A50" w:rsidRPr="006D7A31" w:rsidRDefault="00B82441" w:rsidP="006D7A31">
      <w:pPr>
        <w:pStyle w:val="FootnoteText"/>
        <w:rPr>
          <w:lang w:val="en-GB"/>
        </w:rPr>
      </w:pPr>
      <w:hyperlink r:id="rId7" w:history="1">
        <w:r w:rsidR="00591A50" w:rsidRPr="00864A49">
          <w:rPr>
            <w:rStyle w:val="Hyperlink"/>
          </w:rPr>
          <w:t>https://www.eviq.org.au/medical-oncology/urogenital/bladder-and-urothelial/1758-bladder-intravesical-gemcitabine#</w:t>
        </w:r>
      </w:hyperlink>
    </w:p>
  </w:footnote>
  <w:footnote w:id="20">
    <w:p w14:paraId="42A550CA" w14:textId="36593747" w:rsidR="00011518" w:rsidRDefault="00011518">
      <w:pPr>
        <w:pStyle w:val="FootnoteText"/>
      </w:pPr>
      <w:r>
        <w:rPr>
          <w:rStyle w:val="FootnoteReference"/>
        </w:rPr>
        <w:footnoteRef/>
      </w:r>
      <w:r>
        <w:t xml:space="preserve"> </w:t>
      </w:r>
      <w:r w:rsidRPr="00011518">
        <w:t xml:space="preserve">AusPAR </w:t>
      </w:r>
      <w:r>
        <w:t xml:space="preserve">for initial registration of </w:t>
      </w:r>
      <w:r w:rsidRPr="00011518">
        <w:t xml:space="preserve">Keytruda </w:t>
      </w:r>
      <w:r>
        <w:t>(pembrolizumab)</w:t>
      </w:r>
      <w:r w:rsidRPr="00011518">
        <w:t xml:space="preserve"> Merck Shar</w:t>
      </w:r>
      <w:r>
        <w:t xml:space="preserve">p &amp; Dohme (Australia) Pty Ltd, submission </w:t>
      </w:r>
      <w:r w:rsidRPr="00011518">
        <w:t>PM-2014-01928-1-4</w:t>
      </w:r>
      <w:r>
        <w:t>. Published online 18 October 2016.</w:t>
      </w:r>
    </w:p>
    <w:p w14:paraId="50BB69F5" w14:textId="3765E043" w:rsidR="00011518" w:rsidRPr="004D65E5" w:rsidRDefault="00011518">
      <w:pPr>
        <w:pStyle w:val="FootnoteText"/>
        <w:rPr>
          <w:lang w:val="en-GB"/>
        </w:rPr>
      </w:pPr>
      <w:r>
        <w:t xml:space="preserve">Available online at: </w:t>
      </w:r>
      <w:hyperlink r:id="rId8" w:history="1">
        <w:r w:rsidRPr="00A31B0E">
          <w:rPr>
            <w:rStyle w:val="Hyperlink"/>
          </w:rPr>
          <w:t>https://www.tga.gov.au/resources/auspar/auspar-pembrolizumab-rch</w:t>
        </w:r>
      </w:hyperlink>
    </w:p>
  </w:footnote>
  <w:footnote w:id="21">
    <w:p w14:paraId="3D7B5F6D" w14:textId="22A90235" w:rsidR="00591A50" w:rsidRPr="00F84CEB" w:rsidRDefault="00591A50" w:rsidP="00F84CEB">
      <w:pPr>
        <w:pStyle w:val="FootnoteText"/>
      </w:pPr>
      <w:r>
        <w:rPr>
          <w:rStyle w:val="FootnoteReference"/>
        </w:rPr>
        <w:footnoteRef/>
      </w:r>
      <w:r>
        <w:t xml:space="preserve"> Submission PM-2016-04328-1-4</w:t>
      </w:r>
      <w:r w:rsidR="00011518">
        <w:t xml:space="preserve">, an extension of indications for Keytruda (pembrolizumab) for the treatment of </w:t>
      </w:r>
      <w:r w:rsidR="00011518" w:rsidRPr="00011518">
        <w:t>locally advanced or metastatic urothelial carcinoma</w:t>
      </w:r>
      <w:r>
        <w:t xml:space="preserve">: Further information is available online via </w:t>
      </w:r>
      <w:r w:rsidRPr="0002280A">
        <w:t xml:space="preserve">the </w:t>
      </w:r>
      <w:hyperlink r:id="rId9" w:history="1">
        <w:r w:rsidRPr="0002280A">
          <w:rPr>
            <w:rStyle w:val="Hyperlink"/>
          </w:rPr>
          <w:t>AusPAR for Keytruda (pembrolizumab) submission PM-2016-04328-1-4</w:t>
        </w:r>
      </w:hyperlink>
      <w:r>
        <w:t xml:space="preserve">. Published online: </w:t>
      </w:r>
      <w:r w:rsidRPr="0002280A">
        <w:t>18 December 2018</w:t>
      </w:r>
      <w:r>
        <w:t>.</w:t>
      </w:r>
    </w:p>
  </w:footnote>
  <w:footnote w:id="22">
    <w:p w14:paraId="2CE823A6" w14:textId="5A593E8F" w:rsidR="00591A50" w:rsidRPr="00400AB0" w:rsidRDefault="00591A50" w:rsidP="00400AB0">
      <w:pPr>
        <w:pStyle w:val="FootnoteText"/>
      </w:pPr>
      <w:r>
        <w:rPr>
          <w:rStyle w:val="FootnoteReference"/>
        </w:rPr>
        <w:footnoteRef/>
      </w:r>
      <w:r>
        <w:t xml:space="preserve"> US FDA: Final Summary Minutes of the Oncologic Drugs Advisory Committee (ODAC) Meeting Dec 17, 2019; Food and Drug Administration, USA.</w:t>
      </w:r>
      <w:r>
        <w:br/>
        <w:t xml:space="preserve">Available online at: </w:t>
      </w:r>
      <w:hyperlink r:id="rId10" w:history="1">
        <w:r w:rsidRPr="0003381D">
          <w:rPr>
            <w:rStyle w:val="Hyperlink"/>
          </w:rPr>
          <w:t>https://www.fda.gov/media/134583/download</w:t>
        </w:r>
      </w:hyperlink>
    </w:p>
  </w:footnote>
  <w:footnote w:id="23">
    <w:p w14:paraId="096AAFA8" w14:textId="2CC1D415" w:rsidR="00591A50" w:rsidRPr="007F50D3" w:rsidRDefault="00591A50">
      <w:pPr>
        <w:pStyle w:val="FootnoteText"/>
        <w:rPr>
          <w:lang w:val="en-GB"/>
        </w:rPr>
      </w:pPr>
      <w:r>
        <w:rPr>
          <w:rStyle w:val="FootnoteReference"/>
        </w:rPr>
        <w:footnoteRef/>
      </w:r>
      <w:r>
        <w:t xml:space="preserve"> </w:t>
      </w:r>
      <w:r>
        <w:rPr>
          <w:lang w:val="en-GB"/>
        </w:rPr>
        <w:t xml:space="preserve">AusPAR for </w:t>
      </w:r>
      <w:r w:rsidRPr="007828F3">
        <w:rPr>
          <w:lang w:val="en-GB"/>
        </w:rPr>
        <w:t xml:space="preserve">Keytruda </w:t>
      </w:r>
      <w:r>
        <w:rPr>
          <w:lang w:val="en-GB"/>
        </w:rPr>
        <w:t>(pembrolizumab)</w:t>
      </w:r>
      <w:r w:rsidRPr="007828F3">
        <w:rPr>
          <w:lang w:val="en-GB"/>
        </w:rPr>
        <w:t xml:space="preserve"> Merck Sha</w:t>
      </w:r>
      <w:r>
        <w:rPr>
          <w:lang w:val="en-GB"/>
        </w:rPr>
        <w:t xml:space="preserve">rp &amp; Dohme (Australia) Pty </w:t>
      </w:r>
      <w:proofErr w:type="gramStart"/>
      <w:r>
        <w:rPr>
          <w:lang w:val="en-GB"/>
        </w:rPr>
        <w:t>Ltd ,</w:t>
      </w:r>
      <w:proofErr w:type="gramEnd"/>
      <w:r>
        <w:rPr>
          <w:lang w:val="en-GB"/>
        </w:rPr>
        <w:t xml:space="preserve"> submission PM</w:t>
      </w:r>
      <w:r>
        <w:rPr>
          <w:lang w:val="en-GB"/>
        </w:rPr>
        <w:noBreakHyphen/>
      </w:r>
      <w:r w:rsidRPr="007828F3">
        <w:rPr>
          <w:lang w:val="en-GB"/>
        </w:rPr>
        <w:t>2014-01928-1-4</w:t>
      </w:r>
      <w:r>
        <w:rPr>
          <w:lang w:val="en-GB"/>
        </w:rPr>
        <w:t xml:space="preserve">. Published online October 2016. Available online at: </w:t>
      </w:r>
      <w:hyperlink r:id="rId11" w:history="1">
        <w:r w:rsidRPr="00A50915">
          <w:rPr>
            <w:rStyle w:val="Hyperlink"/>
            <w:lang w:val="en-GB"/>
          </w:rPr>
          <w:t>https://www.tga.gov.au/resources/auspar/auspar-pembrolizumab-rch</w:t>
        </w:r>
      </w:hyperlink>
    </w:p>
  </w:footnote>
  <w:footnote w:id="24">
    <w:p w14:paraId="6336EE4E" w14:textId="77777777" w:rsidR="00591A50" w:rsidRDefault="00591A50" w:rsidP="00074F9D">
      <w:pPr>
        <w:pStyle w:val="FootnoteText"/>
      </w:pPr>
      <w:r>
        <w:rPr>
          <w:rStyle w:val="FootnoteReference"/>
        </w:rPr>
        <w:footnoteRef/>
      </w:r>
      <w:r>
        <w:t xml:space="preserve"> Keynote-057: </w:t>
      </w:r>
      <w:r w:rsidRPr="00CB3713">
        <w:t>A Phase II clinical trial to study the efficacy</w:t>
      </w:r>
      <w:r>
        <w:t xml:space="preserve"> and safety of pembrolizumab (MK</w:t>
      </w:r>
      <w:r w:rsidRPr="00CB3713">
        <w:t xml:space="preserve">-3475) and pembrolizumab in combination with other investigational agents in subjects with </w:t>
      </w:r>
      <w:proofErr w:type="gramStart"/>
      <w:r w:rsidRPr="00CB3713">
        <w:t>high risk</w:t>
      </w:r>
      <w:proofErr w:type="gramEnd"/>
      <w:r w:rsidRPr="00CB3713">
        <w:t xml:space="preserve"> non-muscle-invasive bladder cancer (NMIBC</w:t>
      </w:r>
      <w:r>
        <w:t>) unresponsive to Bacillus Calmette-G</w:t>
      </w:r>
      <w:r w:rsidRPr="00CB3713">
        <w:t>uerin</w:t>
      </w:r>
      <w:r>
        <w:t xml:space="preserve"> (BCG) t</w:t>
      </w:r>
      <w:r w:rsidRPr="00CB3713">
        <w:t>herapy</w:t>
      </w:r>
      <w:r>
        <w:t>.</w:t>
      </w:r>
    </w:p>
    <w:p w14:paraId="4D611E85" w14:textId="77777777" w:rsidR="00591A50" w:rsidRPr="0043408C" w:rsidRDefault="00591A50" w:rsidP="00074F9D">
      <w:pPr>
        <w:pStyle w:val="FootnoteText"/>
        <w:rPr>
          <w:lang w:val="en-GB"/>
        </w:rPr>
      </w:pPr>
      <w:r w:rsidRPr="00CB3713">
        <w:rPr>
          <w:lang w:val="en-GB"/>
        </w:rPr>
        <w:t>ClinicalTrials.gov Identifier: NCT02625961</w:t>
      </w:r>
      <w:r>
        <w:rPr>
          <w:lang w:val="en-GB"/>
        </w:rPr>
        <w:t>; EudraCT number: 2014-004026-17.</w:t>
      </w:r>
    </w:p>
  </w:footnote>
  <w:footnote w:id="25">
    <w:p w14:paraId="21DCBBA5" w14:textId="77777777" w:rsidR="00591A50" w:rsidRPr="00CB3713" w:rsidRDefault="00591A50" w:rsidP="00074F9D">
      <w:pPr>
        <w:pStyle w:val="FootnoteText"/>
        <w:rPr>
          <w:lang w:val="en-GB"/>
        </w:rPr>
      </w:pPr>
      <w:r>
        <w:rPr>
          <w:rStyle w:val="FootnoteReference"/>
        </w:rPr>
        <w:footnoteRef/>
      </w:r>
      <w:r>
        <w:t xml:space="preserve"> </w:t>
      </w:r>
      <w:proofErr w:type="spellStart"/>
      <w:r w:rsidRPr="00CB3713">
        <w:t>Balar</w:t>
      </w:r>
      <w:proofErr w:type="spellEnd"/>
      <w:r w:rsidRPr="00CB3713">
        <w:t xml:space="preserve"> AV, </w:t>
      </w:r>
      <w:proofErr w:type="spellStart"/>
      <w:r w:rsidRPr="00CB3713">
        <w:t>Kamat</w:t>
      </w:r>
      <w:proofErr w:type="spellEnd"/>
      <w:r w:rsidRPr="00CB3713">
        <w:t xml:space="preserve"> AM, Kulkarni GS, et al. Pembrolizumab monotherapy for the treatment of high-risk non-muscle-invasive bladder cancer unresponsive to BCG (KEYNOTE-057): an open-label, single-arm, multicentre, phase 2 study [published correction appears in Lancet Oncol. 2021 Aug;22(8</w:t>
      </w:r>
      <w:proofErr w:type="gramStart"/>
      <w:r w:rsidRPr="00CB3713">
        <w:t>):e</w:t>
      </w:r>
      <w:proofErr w:type="gramEnd"/>
      <w:r w:rsidRPr="00CB3713">
        <w:t xml:space="preserve">347]. </w:t>
      </w:r>
      <w:r w:rsidRPr="00CB3713">
        <w:rPr>
          <w:i/>
        </w:rPr>
        <w:t>Lancet Oncol.</w:t>
      </w:r>
      <w:r w:rsidRPr="00CB3713">
        <w:t xml:space="preserve"> 2021;22(7):919-930.</w:t>
      </w:r>
    </w:p>
  </w:footnote>
  <w:footnote w:id="26">
    <w:p w14:paraId="5B3B2922" w14:textId="546A77F2" w:rsidR="00591A50" w:rsidRPr="00867CBE" w:rsidRDefault="00591A50">
      <w:pPr>
        <w:pStyle w:val="FootnoteText"/>
        <w:rPr>
          <w:lang w:val="en-GB"/>
        </w:rPr>
      </w:pPr>
      <w:r>
        <w:rPr>
          <w:rStyle w:val="FootnoteReference"/>
        </w:rPr>
        <w:footnoteRef/>
      </w:r>
      <w:r>
        <w:t xml:space="preserve"> </w:t>
      </w:r>
      <w:r w:rsidRPr="00867CBE">
        <w:t xml:space="preserve">Oda MH, dos Santos DV, Farias AK, et al. Bladder Urothelial Carcinoma in a Child: Case Report and Review of Literature. </w:t>
      </w:r>
      <w:r w:rsidRPr="00867CBE">
        <w:rPr>
          <w:i/>
        </w:rPr>
        <w:t xml:space="preserve">Front. </w:t>
      </w:r>
      <w:proofErr w:type="spellStart"/>
      <w:r w:rsidRPr="00867CBE">
        <w:rPr>
          <w:i/>
        </w:rPr>
        <w:t>Pediatr</w:t>
      </w:r>
      <w:proofErr w:type="spellEnd"/>
      <w:r w:rsidRPr="00867CBE">
        <w:rPr>
          <w:i/>
        </w:rPr>
        <w:t>.</w:t>
      </w:r>
      <w:r w:rsidRPr="00867CBE">
        <w:t xml:space="preserve"> 2019; 7:385.</w:t>
      </w:r>
    </w:p>
  </w:footnote>
  <w:footnote w:id="27">
    <w:p w14:paraId="5E5ECD76" w14:textId="7F5DD593" w:rsidR="00591A50" w:rsidRPr="00EB4587" w:rsidRDefault="00591A50">
      <w:pPr>
        <w:pStyle w:val="FootnoteText"/>
        <w:rPr>
          <w:lang w:val="en-GB"/>
        </w:rPr>
      </w:pPr>
      <w:r>
        <w:rPr>
          <w:rStyle w:val="FootnoteReference"/>
        </w:rPr>
        <w:footnoteRef/>
      </w:r>
      <w:r>
        <w:t xml:space="preserve"> </w:t>
      </w:r>
      <w:r w:rsidRPr="00EB4587">
        <w:rPr>
          <w:b/>
          <w:lang w:val="en-GB"/>
        </w:rPr>
        <w:t>TNM staging</w:t>
      </w:r>
      <w:r>
        <w:rPr>
          <w:lang w:val="en-GB"/>
        </w:rPr>
        <w:t xml:space="preserve">: </w:t>
      </w:r>
      <w:r w:rsidRPr="00EB4587">
        <w:rPr>
          <w:b/>
          <w:lang w:val="en-GB"/>
        </w:rPr>
        <w:t>Ta</w:t>
      </w:r>
      <w:r>
        <w:rPr>
          <w:lang w:val="en-GB"/>
        </w:rPr>
        <w:t xml:space="preserve"> = n</w:t>
      </w:r>
      <w:r w:rsidRPr="00EB4587">
        <w:rPr>
          <w:lang w:val="en-GB"/>
        </w:rPr>
        <w:t>on-invasive papillary carcinoma</w:t>
      </w:r>
      <w:r>
        <w:rPr>
          <w:lang w:val="en-GB"/>
        </w:rPr>
        <w:t xml:space="preserve">; </w:t>
      </w:r>
      <w:r w:rsidRPr="00EB4587">
        <w:rPr>
          <w:b/>
          <w:lang w:val="en-GB"/>
        </w:rPr>
        <w:t>Tis</w:t>
      </w:r>
      <w:r>
        <w:rPr>
          <w:lang w:val="en-GB"/>
        </w:rPr>
        <w:t xml:space="preserve"> = c</w:t>
      </w:r>
      <w:r w:rsidRPr="00EB4587">
        <w:rPr>
          <w:lang w:val="en-GB"/>
        </w:rPr>
        <w:t>arcinoma in situ: ’flat tumour’</w:t>
      </w:r>
      <w:r>
        <w:rPr>
          <w:lang w:val="en-GB"/>
        </w:rPr>
        <w:t xml:space="preserve">; </w:t>
      </w:r>
      <w:r w:rsidRPr="00EB4587">
        <w:rPr>
          <w:b/>
          <w:lang w:val="en-GB"/>
        </w:rPr>
        <w:t>T1</w:t>
      </w:r>
      <w:r>
        <w:rPr>
          <w:lang w:val="en-GB"/>
        </w:rPr>
        <w:t> = tumour invading</w:t>
      </w:r>
      <w:r w:rsidRPr="00EB4587">
        <w:rPr>
          <w:lang w:val="en-GB"/>
        </w:rPr>
        <w:t xml:space="preserve"> subepithelial connective tissue</w:t>
      </w:r>
      <w:r>
        <w:rPr>
          <w:lang w:val="en-GB"/>
        </w:rPr>
        <w:t xml:space="preserve">; </w:t>
      </w:r>
      <w:r w:rsidRPr="00EB4587">
        <w:rPr>
          <w:b/>
          <w:lang w:val="en-GB"/>
        </w:rPr>
        <w:t>T2</w:t>
      </w:r>
      <w:r>
        <w:rPr>
          <w:lang w:val="en-GB"/>
        </w:rPr>
        <w:t xml:space="preserve"> = tumour invading</w:t>
      </w:r>
      <w:r w:rsidRPr="00EB4587">
        <w:rPr>
          <w:lang w:val="en-GB"/>
        </w:rPr>
        <w:t xml:space="preserve"> muscle</w:t>
      </w:r>
      <w:r>
        <w:rPr>
          <w:lang w:val="en-GB"/>
        </w:rPr>
        <w:t xml:space="preserve"> wall; </w:t>
      </w:r>
      <w:r w:rsidRPr="00EB4587">
        <w:rPr>
          <w:b/>
          <w:lang w:val="en-GB"/>
        </w:rPr>
        <w:t>T3</w:t>
      </w:r>
      <w:r>
        <w:rPr>
          <w:lang w:val="en-GB"/>
        </w:rPr>
        <w:t xml:space="preserve"> = </w:t>
      </w:r>
      <w:r>
        <w:rPr>
          <w:lang w:eastAsia="ja-JP"/>
        </w:rPr>
        <w:t xml:space="preserve">tumour invading </w:t>
      </w:r>
      <w:proofErr w:type="spellStart"/>
      <w:r>
        <w:rPr>
          <w:lang w:eastAsia="ja-JP"/>
        </w:rPr>
        <w:t>perivesical</w:t>
      </w:r>
      <w:proofErr w:type="spellEnd"/>
      <w:r>
        <w:rPr>
          <w:lang w:eastAsia="ja-JP"/>
        </w:rPr>
        <w:t xml:space="preserve"> tissue; </w:t>
      </w:r>
      <w:r w:rsidRPr="00EB4587">
        <w:rPr>
          <w:b/>
          <w:lang w:eastAsia="ja-JP"/>
        </w:rPr>
        <w:t>T4</w:t>
      </w:r>
      <w:r>
        <w:rPr>
          <w:lang w:eastAsia="ja-JP"/>
        </w:rPr>
        <w:t> = t</w:t>
      </w:r>
      <w:r w:rsidRPr="00EB4587">
        <w:rPr>
          <w:lang w:eastAsia="ja-JP"/>
        </w:rPr>
        <w:t>umour invades any of the following: prostate stroma, seminal vesicles, uterus, vagina, pelvic wall,</w:t>
      </w:r>
      <w:r>
        <w:rPr>
          <w:lang w:eastAsia="ja-JP"/>
        </w:rPr>
        <w:t xml:space="preserve"> or/and</w:t>
      </w:r>
      <w:r w:rsidRPr="00EB4587">
        <w:rPr>
          <w:lang w:eastAsia="ja-JP"/>
        </w:rPr>
        <w:t xml:space="preserve"> abdominal wall</w:t>
      </w:r>
      <w:r>
        <w:rPr>
          <w:lang w:eastAsia="ja-JP"/>
        </w:rPr>
        <w:t xml:space="preserve">. See </w:t>
      </w:r>
      <w:r w:rsidRPr="00EB4587">
        <w:rPr>
          <w:i/>
          <w:lang w:eastAsia="ja-JP"/>
        </w:rPr>
        <w:fldChar w:fldCharType="begin"/>
      </w:r>
      <w:r w:rsidRPr="00EB4587">
        <w:rPr>
          <w:i/>
          <w:lang w:eastAsia="ja-JP"/>
        </w:rPr>
        <w:instrText xml:space="preserve"> REF _Ref130464071 \h </w:instrText>
      </w:r>
      <w:r>
        <w:rPr>
          <w:i/>
          <w:lang w:eastAsia="ja-JP"/>
        </w:rPr>
        <w:instrText xml:space="preserve"> \* MERGEFORMAT </w:instrText>
      </w:r>
      <w:r w:rsidRPr="00EB4587">
        <w:rPr>
          <w:i/>
          <w:lang w:eastAsia="ja-JP"/>
        </w:rPr>
      </w:r>
      <w:r w:rsidRPr="00EB4587">
        <w:rPr>
          <w:i/>
          <w:lang w:eastAsia="ja-JP"/>
        </w:rPr>
        <w:fldChar w:fldCharType="separate"/>
      </w:r>
      <w:r w:rsidRPr="00EB4587">
        <w:rPr>
          <w:i/>
        </w:rPr>
        <w:t xml:space="preserve">Table </w:t>
      </w:r>
      <w:r w:rsidRPr="00EB4587">
        <w:rPr>
          <w:i/>
          <w:noProof/>
        </w:rPr>
        <w:t>1</w:t>
      </w:r>
      <w:r w:rsidRPr="00EB4587">
        <w:rPr>
          <w:i/>
          <w:lang w:eastAsia="ja-JP"/>
        </w:rPr>
        <w:fldChar w:fldCharType="end"/>
      </w:r>
      <w:r>
        <w:rPr>
          <w:lang w:eastAsia="ja-JP"/>
        </w:rPr>
        <w:t xml:space="preserve"> for further information.</w:t>
      </w:r>
    </w:p>
  </w:footnote>
  <w:footnote w:id="28">
    <w:p w14:paraId="16934E8B" w14:textId="1388633F" w:rsidR="00591A50" w:rsidRDefault="00591A50" w:rsidP="00EE40C6">
      <w:pPr>
        <w:pStyle w:val="FootnoteText"/>
      </w:pPr>
      <w:r>
        <w:rPr>
          <w:rStyle w:val="FootnoteReference"/>
        </w:rPr>
        <w:footnoteRef/>
      </w:r>
      <w:r>
        <w:t xml:space="preserve"> This requirement was amended twice in two different protocol amendments. The requirement to have two procedures was removed in 2016. In 2018 patients with high-grade Ta or any T1 with TURBT resection of all visible tumour </w:t>
      </w:r>
      <w:r w:rsidRPr="005C4F6B">
        <w:t>≤</w:t>
      </w:r>
      <w:r>
        <w:t xml:space="preserve"> 12 weeks from the first trial treatment dose were allowed. A restaging TURBT was recommended for T1 to ensure the absence of muscle invasion.</w:t>
      </w:r>
    </w:p>
  </w:footnote>
  <w:footnote w:id="29">
    <w:p w14:paraId="2CF05698" w14:textId="77777777" w:rsidR="00591A50" w:rsidRDefault="00591A50">
      <w:pPr>
        <w:pStyle w:val="FootnoteText"/>
      </w:pPr>
      <w:r>
        <w:rPr>
          <w:rStyle w:val="FootnoteReference"/>
        </w:rPr>
        <w:footnoteRef/>
      </w:r>
      <w:r>
        <w:t xml:space="preserve"> </w:t>
      </w:r>
      <w:r w:rsidRPr="009001D1">
        <w:rPr>
          <w:b/>
        </w:rPr>
        <w:t>ECOG</w:t>
      </w:r>
      <w:r w:rsidRPr="009001D1">
        <w:t xml:space="preserve"> (</w:t>
      </w:r>
      <w:r w:rsidRPr="009001D1">
        <w:rPr>
          <w:b/>
        </w:rPr>
        <w:t>Eastern Cooperative Oncology Group</w:t>
      </w:r>
      <w:r w:rsidRPr="009001D1">
        <w:t xml:space="preserve">) </w:t>
      </w:r>
      <w:r>
        <w:t>performance score:</w:t>
      </w:r>
    </w:p>
    <w:p w14:paraId="5EAABA5E" w14:textId="77777777" w:rsidR="00591A50" w:rsidRDefault="00591A50">
      <w:pPr>
        <w:pStyle w:val="FootnoteText"/>
      </w:pPr>
      <w:r w:rsidRPr="009001D1">
        <w:t>0</w:t>
      </w:r>
      <w:r>
        <w:t xml:space="preserve"> </w:t>
      </w:r>
      <w:r w:rsidRPr="009001D1">
        <w:t>=</w:t>
      </w:r>
      <w:r>
        <w:t xml:space="preserve"> </w:t>
      </w:r>
      <w:proofErr w:type="gramStart"/>
      <w:r>
        <w:t>asymptomatic;</w:t>
      </w:r>
      <w:proofErr w:type="gramEnd"/>
    </w:p>
    <w:p w14:paraId="43E468DA" w14:textId="5D1DE36D" w:rsidR="00591A50" w:rsidRDefault="00591A50">
      <w:pPr>
        <w:pStyle w:val="FootnoteText"/>
      </w:pPr>
      <w:r w:rsidRPr="009001D1">
        <w:t>1</w:t>
      </w:r>
      <w:r>
        <w:t xml:space="preserve"> </w:t>
      </w:r>
      <w:r w:rsidRPr="009001D1">
        <w:t>=</w:t>
      </w:r>
      <w:r>
        <w:t xml:space="preserve"> </w:t>
      </w:r>
      <w:r w:rsidRPr="009001D1">
        <w:t>sym</w:t>
      </w:r>
      <w:r>
        <w:t xml:space="preserve">ptoms but completely </w:t>
      </w:r>
      <w:proofErr w:type="gramStart"/>
      <w:r>
        <w:t>ambulatory;</w:t>
      </w:r>
      <w:proofErr w:type="gramEnd"/>
    </w:p>
    <w:p w14:paraId="0CFBA62D" w14:textId="77777777" w:rsidR="00591A50" w:rsidRDefault="00591A50">
      <w:pPr>
        <w:pStyle w:val="FootnoteText"/>
      </w:pPr>
      <w:r w:rsidRPr="009001D1">
        <w:t>2</w:t>
      </w:r>
      <w:r>
        <w:t xml:space="preserve"> </w:t>
      </w:r>
      <w:r w:rsidRPr="009001D1">
        <w:t>= symptoms, in bed &lt; 50% of the tim</w:t>
      </w:r>
      <w:r>
        <w:t xml:space="preserve">e can self-care but can’t </w:t>
      </w:r>
      <w:proofErr w:type="gramStart"/>
      <w:r>
        <w:t>work;</w:t>
      </w:r>
      <w:proofErr w:type="gramEnd"/>
    </w:p>
    <w:p w14:paraId="301E3EC8" w14:textId="77777777" w:rsidR="00591A50" w:rsidRDefault="00591A50">
      <w:pPr>
        <w:pStyle w:val="FootnoteText"/>
      </w:pPr>
      <w:r w:rsidRPr="009001D1">
        <w:t>3</w:t>
      </w:r>
      <w:r>
        <w:t xml:space="preserve"> </w:t>
      </w:r>
      <w:r w:rsidRPr="009001D1">
        <w:t>=</w:t>
      </w:r>
      <w:r>
        <w:t xml:space="preserve"> </w:t>
      </w:r>
      <w:r w:rsidRPr="009001D1">
        <w:t>symptoms, in bed/chair &gt;</w:t>
      </w:r>
      <w:r>
        <w:t xml:space="preserve"> 50% of day, limited </w:t>
      </w:r>
      <w:proofErr w:type="gramStart"/>
      <w:r>
        <w:t>self-care;</w:t>
      </w:r>
      <w:proofErr w:type="gramEnd"/>
    </w:p>
    <w:p w14:paraId="377AAD05" w14:textId="77777777" w:rsidR="00591A50" w:rsidRDefault="00591A50">
      <w:pPr>
        <w:pStyle w:val="FootnoteText"/>
      </w:pPr>
      <w:r w:rsidRPr="009001D1">
        <w:t>4</w:t>
      </w:r>
      <w:r>
        <w:t xml:space="preserve"> </w:t>
      </w:r>
      <w:r w:rsidRPr="009001D1">
        <w:t>=</w:t>
      </w:r>
      <w:r>
        <w:t xml:space="preserve"> </w:t>
      </w:r>
      <w:r w:rsidRPr="009001D1">
        <w:t xml:space="preserve">bedbound, completely disabled, no self-care, confined </w:t>
      </w:r>
      <w:r>
        <w:t>to bed/</w:t>
      </w:r>
      <w:proofErr w:type="gramStart"/>
      <w:r>
        <w:t>chair;</w:t>
      </w:r>
      <w:proofErr w:type="gramEnd"/>
    </w:p>
    <w:p w14:paraId="3DDC8243" w14:textId="5710F309" w:rsidR="00591A50" w:rsidRPr="009001D1" w:rsidRDefault="00591A50">
      <w:pPr>
        <w:pStyle w:val="FootnoteText"/>
        <w:rPr>
          <w:lang w:val="en-GB"/>
        </w:rPr>
      </w:pPr>
      <w:r w:rsidRPr="009001D1">
        <w:t>5</w:t>
      </w:r>
      <w:r>
        <w:t xml:space="preserve"> </w:t>
      </w:r>
      <w:r w:rsidRPr="009001D1">
        <w:t>=</w:t>
      </w:r>
      <w:r>
        <w:t xml:space="preserve"> </w:t>
      </w:r>
      <w:r w:rsidRPr="009001D1">
        <w:t>dead.</w:t>
      </w:r>
    </w:p>
  </w:footnote>
  <w:footnote w:id="30">
    <w:p w14:paraId="4BC6C9FC" w14:textId="3C9A51EA" w:rsidR="00591A50" w:rsidRPr="003157D7" w:rsidRDefault="00591A50">
      <w:pPr>
        <w:pStyle w:val="FootnoteText"/>
        <w:rPr>
          <w:lang w:val="en-GB"/>
        </w:rPr>
      </w:pPr>
      <w:r>
        <w:rPr>
          <w:rStyle w:val="FootnoteReference"/>
        </w:rPr>
        <w:footnoteRef/>
      </w:r>
      <w:r>
        <w:t xml:space="preserve"> </w:t>
      </w:r>
      <w:r w:rsidRPr="003157D7">
        <w:rPr>
          <w:b/>
        </w:rPr>
        <w:t>Combined Positive Score</w:t>
      </w:r>
      <w:r w:rsidRPr="003157D7">
        <w:t xml:space="preserve"> (</w:t>
      </w:r>
      <w:r w:rsidRPr="003157D7">
        <w:rPr>
          <w:b/>
        </w:rPr>
        <w:t>CPS</w:t>
      </w:r>
      <w:r>
        <w:t>) is</w:t>
      </w:r>
      <w:r w:rsidRPr="003157D7">
        <w:t xml:space="preserve"> used to classify tumours as PD-L1 positive or PD-L1 negative. CPS is the sum of the number of cells PD-L1–stained by immunohistochemistry assay (tumour cells, lymphocytes, macrophages), divided by the total number of viable tumour cells, and multiplie</w:t>
      </w:r>
      <w:r>
        <w:t>d by 100. PD-L1 positive = CPS ≥</w:t>
      </w:r>
      <w:r w:rsidRPr="003157D7">
        <w:t xml:space="preserve"> 10%.</w:t>
      </w:r>
    </w:p>
  </w:footnote>
  <w:footnote w:id="31">
    <w:p w14:paraId="2A5094B2" w14:textId="55FA9AE2" w:rsidR="00591A50" w:rsidRPr="00E770A6" w:rsidRDefault="00591A50">
      <w:pPr>
        <w:pStyle w:val="FootnoteText"/>
        <w:rPr>
          <w:lang w:val="en-GB"/>
        </w:rPr>
      </w:pPr>
      <w:r>
        <w:rPr>
          <w:rStyle w:val="FootnoteReference"/>
        </w:rPr>
        <w:footnoteRef/>
      </w:r>
      <w:r>
        <w:t xml:space="preserve"> </w:t>
      </w:r>
      <w:proofErr w:type="spellStart"/>
      <w:r w:rsidRPr="00E770A6">
        <w:t>Jarow</w:t>
      </w:r>
      <w:proofErr w:type="spellEnd"/>
      <w:r w:rsidRPr="00E770A6">
        <w:t xml:space="preserve"> JP, Lerner SP, </w:t>
      </w:r>
      <w:proofErr w:type="spellStart"/>
      <w:r w:rsidRPr="00E770A6">
        <w:t>Kluetz</w:t>
      </w:r>
      <w:proofErr w:type="spellEnd"/>
      <w:r w:rsidRPr="00E770A6">
        <w:t xml:space="preserve"> PG et al: Clinical trial design for the development of new therapies for </w:t>
      </w:r>
      <w:proofErr w:type="spellStart"/>
      <w:r w:rsidRPr="00E770A6">
        <w:t>nonmuscle</w:t>
      </w:r>
      <w:proofErr w:type="spellEnd"/>
      <w:r w:rsidRPr="00E770A6">
        <w:t xml:space="preserve">-invasive bladder cancer: report of a Food and Drug Administration and American Urological Association Public Workshop. </w:t>
      </w:r>
      <w:r w:rsidRPr="00E770A6">
        <w:rPr>
          <w:i/>
        </w:rPr>
        <w:t>Urology</w:t>
      </w:r>
      <w:r w:rsidRPr="00E770A6">
        <w:t xml:space="preserve"> 2014; 83:262.</w:t>
      </w:r>
    </w:p>
  </w:footnote>
  <w:footnote w:id="32">
    <w:p w14:paraId="2C38F02E" w14:textId="048CBCC1" w:rsidR="00591A50" w:rsidRDefault="00591A50" w:rsidP="00EE40C6">
      <w:pPr>
        <w:pStyle w:val="FootnoteText"/>
      </w:pPr>
      <w:r>
        <w:rPr>
          <w:rStyle w:val="FootnoteReference"/>
        </w:rPr>
        <w:footnoteRef/>
      </w:r>
      <w:r>
        <w:t xml:space="preserve"> Persistent disease occurred in 43.2%, recurrent disease in 7.2% and </w:t>
      </w:r>
      <w:r w:rsidRPr="00407BDB">
        <w:t xml:space="preserve">non-muscle-invasive bladder cancer disease </w:t>
      </w:r>
      <w:r>
        <w:t>stage progression in 8.6%, progression to T2 0.7%, extravesical disease 0.7%</w:t>
      </w:r>
    </w:p>
  </w:footnote>
  <w:footnote w:id="33">
    <w:p w14:paraId="0A207F0A" w14:textId="3BBB4F30" w:rsidR="00591A50" w:rsidRPr="00407BDB" w:rsidRDefault="00591A50">
      <w:pPr>
        <w:pStyle w:val="FootnoteText"/>
        <w:rPr>
          <w:lang w:val="en-GB"/>
        </w:rPr>
      </w:pPr>
      <w:r>
        <w:rPr>
          <w:rStyle w:val="FootnoteReference"/>
        </w:rPr>
        <w:footnoteRef/>
      </w:r>
      <w:r>
        <w:t xml:space="preserve"> The ‘reference safety d</w:t>
      </w:r>
      <w:r w:rsidRPr="00407BDB">
        <w:t>ataset’ which included 2799 pembrolizumab-treat</w:t>
      </w:r>
      <w:r>
        <w:t>ed subjects, consisting of 1567 </w:t>
      </w:r>
      <w:r w:rsidRPr="00407BDB">
        <w:t xml:space="preserve">subjects with advanced melanoma from </w:t>
      </w:r>
      <w:r>
        <w:t xml:space="preserve">the Keynote-001, -002, and -006 </w:t>
      </w:r>
      <w:r w:rsidRPr="00407BDB">
        <w:t xml:space="preserve">trials, and 1232 subjects with non-small cell lung cancer (NSCLC) from </w:t>
      </w:r>
      <w:r>
        <w:t>the Keynote-001 and -010 trials</w:t>
      </w:r>
      <w:r w:rsidRPr="00407BDB">
        <w:t>. According to the spons</w:t>
      </w:r>
      <w:r>
        <w:t xml:space="preserve">or this dataset represents the </w:t>
      </w:r>
      <w:r w:rsidRPr="004376D1">
        <w:rPr>
          <w:i/>
        </w:rPr>
        <w:t>established</w:t>
      </w:r>
      <w:r w:rsidRPr="00407BDB">
        <w:t xml:space="preserve"> safety profile for </w:t>
      </w:r>
      <w:proofErr w:type="gramStart"/>
      <w:r w:rsidRPr="00407BDB">
        <w:t>pembrolizumab;</w:t>
      </w:r>
      <w:proofErr w:type="gramEnd"/>
    </w:p>
  </w:footnote>
  <w:footnote w:id="34">
    <w:p w14:paraId="584BED7A" w14:textId="529C7449" w:rsidR="00591A50" w:rsidRPr="004376D1" w:rsidRDefault="00591A50">
      <w:pPr>
        <w:pStyle w:val="FootnoteText"/>
        <w:rPr>
          <w:lang w:val="en-GB"/>
        </w:rPr>
      </w:pPr>
      <w:r>
        <w:rPr>
          <w:rStyle w:val="FootnoteReference"/>
        </w:rPr>
        <w:footnoteRef/>
      </w:r>
      <w:r>
        <w:t xml:space="preserve"> </w:t>
      </w:r>
      <w:r w:rsidRPr="004376D1">
        <w:t>A ‘cumulative running safety dataset’ (7598</w:t>
      </w:r>
      <w:r>
        <w:t xml:space="preserve"> pembrolizumab-treated subjects</w:t>
      </w:r>
      <w:r w:rsidRPr="004376D1">
        <w:t xml:space="preserve">) which included data from all monotherapy studies that had been presented to a regulatory authority. This dataset included data from the urothelial carcinoma studies, the reference safety </w:t>
      </w:r>
      <w:proofErr w:type="gramStart"/>
      <w:r w:rsidRPr="004376D1">
        <w:t>dataset</w:t>
      </w:r>
      <w:proofErr w:type="gramEnd"/>
      <w:r w:rsidRPr="004376D1">
        <w:t xml:space="preserve"> and data from multiple other trials in various indications.</w:t>
      </w:r>
    </w:p>
  </w:footnote>
  <w:footnote w:id="35">
    <w:p w14:paraId="15093026" w14:textId="6E49D7F5" w:rsidR="00591A50" w:rsidRPr="004151B9" w:rsidRDefault="00591A50">
      <w:pPr>
        <w:pStyle w:val="FootnoteText"/>
      </w:pPr>
      <w:r>
        <w:rPr>
          <w:rStyle w:val="FootnoteReference"/>
        </w:rPr>
        <w:footnoteRef/>
      </w:r>
      <w:r>
        <w:t xml:space="preserve"> </w:t>
      </w:r>
      <w:r w:rsidRPr="004151B9">
        <w:t xml:space="preserve">The TGA may request an updated RMP at any stage of a product's </w:t>
      </w:r>
      <w:proofErr w:type="gramStart"/>
      <w:r w:rsidRPr="004151B9">
        <w:t>life-cycle</w:t>
      </w:r>
      <w:proofErr w:type="gramEnd"/>
      <w:r w:rsidRPr="004151B9">
        <w:t xml:space="preserve">, during both the pre-approval and post-approval phases. Further information regarding the TGA’s risk management approach can be found in </w:t>
      </w:r>
      <w:hyperlink r:id="rId12" w:history="1">
        <w:r w:rsidRPr="004151B9">
          <w:rPr>
            <w:rStyle w:val="Hyperlink"/>
          </w:rPr>
          <w:t>risk management plans for medicines and biologicals</w:t>
        </w:r>
      </w:hyperlink>
      <w:r w:rsidRPr="004151B9">
        <w:t xml:space="preserve"> and </w:t>
      </w:r>
      <w:hyperlink r:id="rId13" w:history="1">
        <w:r w:rsidRPr="004151B9">
          <w:rPr>
            <w:rStyle w:val="Hyperlink"/>
          </w:rPr>
          <w:t>the TGA's risk management approach</w:t>
        </w:r>
      </w:hyperlink>
      <w:r w:rsidRPr="004151B9">
        <w:t xml:space="preserve">. Information on the </w:t>
      </w:r>
      <w:hyperlink r:id="rId14" w:history="1">
        <w:r w:rsidRPr="004151B9">
          <w:rPr>
            <w:rStyle w:val="Hyperlink"/>
          </w:rPr>
          <w:t>Australia specific annex</w:t>
        </w:r>
      </w:hyperlink>
      <w:r w:rsidRPr="004151B9">
        <w:t xml:space="preserve"> (</w:t>
      </w:r>
      <w:hyperlink r:id="rId15" w:history="1">
        <w:r w:rsidRPr="004151B9">
          <w:rPr>
            <w:rStyle w:val="Hyperlink"/>
          </w:rPr>
          <w:t>ASA</w:t>
        </w:r>
      </w:hyperlink>
      <w:r w:rsidRPr="004151B9">
        <w:t>) ca</w:t>
      </w:r>
      <w:r>
        <w:t>n be found on the TGA website.</w:t>
      </w:r>
    </w:p>
  </w:footnote>
  <w:footnote w:id="36">
    <w:p w14:paraId="70868596" w14:textId="36B4FEE9" w:rsidR="00591A50" w:rsidRDefault="00591A50">
      <w:pPr>
        <w:pStyle w:val="FootnoteText"/>
      </w:pPr>
      <w:r>
        <w:rPr>
          <w:rStyle w:val="FootnoteReference"/>
        </w:rPr>
        <w:footnoteRef/>
      </w:r>
      <w:r>
        <w:t xml:space="preserve"> Submission PM-2019-02633-1-4 was a related submission to extend the indications of </w:t>
      </w:r>
      <w:r w:rsidRPr="003E3CD8">
        <w:rPr>
          <w:lang w:val="en-GB"/>
        </w:rPr>
        <w:t xml:space="preserve">Keytruda </w:t>
      </w:r>
      <w:r>
        <w:rPr>
          <w:lang w:val="en-GB"/>
        </w:rPr>
        <w:t>(pembrolizumab) to include the treatment of renal cell carcinoma. The following extension of indications were registered on the ARTG for Keytruda (pembrolizumab) on 12 June 2020:</w:t>
      </w:r>
    </w:p>
    <w:p w14:paraId="453302BA" w14:textId="3938814C" w:rsidR="00591A50" w:rsidRPr="003E3CD8" w:rsidRDefault="00591A50" w:rsidP="003E3CD8">
      <w:pPr>
        <w:pStyle w:val="FootnoteText"/>
        <w:rPr>
          <w:i/>
          <w:lang w:val="en-GB"/>
        </w:rPr>
      </w:pPr>
      <w:r w:rsidRPr="003E3CD8">
        <w:rPr>
          <w:i/>
          <w:lang w:val="en-GB"/>
        </w:rPr>
        <w:t xml:space="preserve">Renal Cell Carcinoma: Keytruda (pembrolizumab), in combination with </w:t>
      </w:r>
      <w:proofErr w:type="spellStart"/>
      <w:r w:rsidRPr="003E3CD8">
        <w:rPr>
          <w:i/>
          <w:lang w:val="en-GB"/>
        </w:rPr>
        <w:t>axitinib</w:t>
      </w:r>
      <w:proofErr w:type="spellEnd"/>
      <w:r w:rsidRPr="003E3CD8">
        <w:rPr>
          <w:i/>
          <w:lang w:val="en-GB"/>
        </w:rPr>
        <w:t>, is indicated for the first-line treatment of patients with advanced renal cell carcinoma (RCC).</w:t>
      </w:r>
    </w:p>
  </w:footnote>
  <w:footnote w:id="37">
    <w:p w14:paraId="7BBA3C89" w14:textId="77777777" w:rsidR="00F05CE7" w:rsidRPr="004D65E5" w:rsidRDefault="00F05CE7" w:rsidP="004D65E5">
      <w:pPr>
        <w:pStyle w:val="ListBullet"/>
        <w:numPr>
          <w:ilvl w:val="0"/>
          <w:numId w:val="0"/>
        </w:numPr>
        <w:spacing w:after="0"/>
        <w:rPr>
          <w:rStyle w:val="FootnoteTextChar"/>
        </w:rPr>
      </w:pPr>
      <w:r>
        <w:rPr>
          <w:rStyle w:val="FootnoteReference"/>
        </w:rPr>
        <w:footnoteRef/>
      </w:r>
      <w:r>
        <w:t xml:space="preserve"> </w:t>
      </w:r>
      <w:r w:rsidRPr="004D65E5">
        <w:rPr>
          <w:rStyle w:val="FootnoteTextChar"/>
        </w:rPr>
        <w:t xml:space="preserve">European Medicines Agency (EMA): </w:t>
      </w:r>
      <w:hyperlink r:id="rId16" w:history="1">
        <w:r w:rsidRPr="004D65E5">
          <w:rPr>
            <w:rStyle w:val="FootnoteTextChar"/>
          </w:rPr>
          <w:t>Guideline on the evaluation of anticancer medicinal products in man</w:t>
        </w:r>
      </w:hyperlink>
      <w:r w:rsidRPr="004D65E5">
        <w:rPr>
          <w:rStyle w:val="FootnoteTextChar"/>
        </w:rPr>
        <w:t>. EMA/CHMP/205/95/Rev.4; (2012); effective date: 1 April 2014</w:t>
      </w:r>
    </w:p>
  </w:footnote>
  <w:footnote w:id="38">
    <w:p w14:paraId="50CC059A" w14:textId="49446194" w:rsidR="00591A50" w:rsidRPr="004D65E5" w:rsidRDefault="00591A50" w:rsidP="00AB5180">
      <w:pPr>
        <w:pStyle w:val="FootnoteText"/>
      </w:pPr>
      <w:r>
        <w:rPr>
          <w:rStyle w:val="FootnoteReference"/>
        </w:rPr>
        <w:footnoteRef/>
      </w:r>
      <w:r>
        <w:t xml:space="preserve"> </w:t>
      </w:r>
      <w:r w:rsidRPr="00F05CE7">
        <w:t xml:space="preserve">United States Food and Drug Administration (US FDA): BCG-Unresponsive </w:t>
      </w:r>
      <w:proofErr w:type="spellStart"/>
      <w:r w:rsidRPr="00F05CE7">
        <w:t>Nonmuscle</w:t>
      </w:r>
      <w:proofErr w:type="spellEnd"/>
      <w:r w:rsidRPr="00F05CE7">
        <w:t xml:space="preserve"> Invasive Bladder Cancer: Developing Drugs and Biologics for Treatment Guidance for Industry; (2018). FDA, USA.</w:t>
      </w:r>
      <w:r w:rsidRPr="00F05CE7">
        <w:br/>
        <w:t xml:space="preserve">Available online at: </w:t>
      </w:r>
      <w:hyperlink r:id="rId17" w:history="1">
        <w:r w:rsidRPr="004D65E5">
          <w:t>https://www.fda.gov/media/101468/download</w:t>
        </w:r>
      </w:hyperlink>
    </w:p>
  </w:footnote>
  <w:footnote w:id="39">
    <w:p w14:paraId="2D500125" w14:textId="5F60419B" w:rsidR="00591A50" w:rsidRDefault="00591A50" w:rsidP="008A28CD">
      <w:pPr>
        <w:pStyle w:val="FootnoteText"/>
      </w:pPr>
      <w:r>
        <w:rPr>
          <w:rStyle w:val="FootnoteReference"/>
        </w:rPr>
        <w:footnoteRef/>
      </w:r>
      <w:r>
        <w:t xml:space="preserve"> </w:t>
      </w:r>
      <w:proofErr w:type="spellStart"/>
      <w:r>
        <w:t>Kamat</w:t>
      </w:r>
      <w:proofErr w:type="spellEnd"/>
      <w:r>
        <w:t xml:space="preserve"> AM, Sylvester RJ, </w:t>
      </w:r>
      <w:proofErr w:type="spellStart"/>
      <w:r>
        <w:t>Böhle</w:t>
      </w:r>
      <w:proofErr w:type="spellEnd"/>
      <w:r>
        <w:t xml:space="preserve"> A et al. Definitions, End Points, and Clinical Trial Designs for Non-Muscle-Invasive Bladder Cancer: Recommendations </w:t>
      </w:r>
      <w:proofErr w:type="gramStart"/>
      <w:r>
        <w:t>From</w:t>
      </w:r>
      <w:proofErr w:type="gramEnd"/>
      <w:r>
        <w:t xml:space="preserve"> the International Bladder Cancer Group.</w:t>
      </w:r>
    </w:p>
    <w:p w14:paraId="47A74231" w14:textId="7148AD99" w:rsidR="00591A50" w:rsidRPr="008A28CD" w:rsidRDefault="00591A50" w:rsidP="008A28CD">
      <w:pPr>
        <w:pStyle w:val="FootnoteText"/>
        <w:rPr>
          <w:lang w:val="en-GB"/>
        </w:rPr>
      </w:pPr>
      <w:r w:rsidRPr="008A28CD">
        <w:rPr>
          <w:i/>
        </w:rPr>
        <w:t>J Clin Oncol.</w:t>
      </w:r>
      <w:r>
        <w:t xml:space="preserve"> 2016; 34 (16): 1935-44.</w:t>
      </w:r>
    </w:p>
  </w:footnote>
  <w:footnote w:id="40">
    <w:p w14:paraId="04FB7CFC" w14:textId="05C69E6A" w:rsidR="00591A50" w:rsidRPr="00423D72" w:rsidRDefault="00591A50" w:rsidP="00423D72">
      <w:pPr>
        <w:pStyle w:val="FootnoteText"/>
      </w:pPr>
      <w:r>
        <w:rPr>
          <w:rStyle w:val="FootnoteReference"/>
        </w:rPr>
        <w:footnoteRef/>
      </w:r>
      <w:r>
        <w:t xml:space="preserve"> Keynote-676 trial: A Phase III, randomis</w:t>
      </w:r>
      <w:r w:rsidRPr="00F44C16">
        <w:t>ed, comparator-controlled clinical trial to study the efficacy and safety of pembrolizumab (mk-3475) in combination with Bacillus Calmette-Guerin (BCG) in participants with high-risk non-</w:t>
      </w:r>
      <w:r>
        <w:t xml:space="preserve">muscle invasive bladder cancer that </w:t>
      </w:r>
      <w:r w:rsidRPr="00F44C16">
        <w:t>is either persistent or recurrent following BCG induction or</w:t>
      </w:r>
      <w:r>
        <w:t xml:space="preserve"> that is naïve to BCG treatment.</w:t>
      </w:r>
      <w:r>
        <w:br/>
        <w:t>ClinicalTrials.gov Identifier: NCT03711032. EudraCT number: 2018-001967-22.</w:t>
      </w:r>
    </w:p>
  </w:footnote>
  <w:footnote w:id="41">
    <w:p w14:paraId="1EB1D161" w14:textId="58BC7AFA" w:rsidR="00591A50" w:rsidRPr="00423D72" w:rsidRDefault="00591A50">
      <w:pPr>
        <w:pStyle w:val="FootnoteText"/>
        <w:rPr>
          <w:lang w:val="en-GB"/>
        </w:rPr>
      </w:pPr>
      <w:r>
        <w:rPr>
          <w:rStyle w:val="FootnoteReference"/>
        </w:rPr>
        <w:footnoteRef/>
      </w:r>
      <w:r>
        <w:t xml:space="preserve"> </w:t>
      </w:r>
      <w:proofErr w:type="spellStart"/>
      <w:r w:rsidRPr="00423D72">
        <w:t>Kamat</w:t>
      </w:r>
      <w:proofErr w:type="spellEnd"/>
      <w:r w:rsidRPr="00423D72">
        <w:t xml:space="preserve"> AM, Shore N, Hahn N, et al. KEYNOTE-676: Phase III study of BCG and pembrolizumab for persistent/recurrent high-risk NMIBC. </w:t>
      </w:r>
      <w:r w:rsidRPr="00423D72">
        <w:rPr>
          <w:i/>
        </w:rPr>
        <w:t>Future Oncol.</w:t>
      </w:r>
      <w:r w:rsidRPr="00423D72">
        <w:t xml:space="preserve"> 2020;16(10):507-516.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13C45CB" w:rsidR="00591A50" w:rsidRPr="00CB0550" w:rsidRDefault="00591A50" w:rsidP="00CB0550">
    <w:pPr>
      <w:pStyle w:val="Header"/>
      <w:jc w:val="left"/>
    </w:pPr>
    <w:r>
      <w:rPr>
        <w:noProof/>
        <w:lang w:val="en-GB" w:eastAsia="en-GB"/>
      </w:rPr>
      <mc:AlternateContent>
        <mc:Choice Requires="wps">
          <w:drawing>
            <wp:anchor distT="0" distB="0" distL="114300" distR="114300" simplePos="0" relativeHeight="251659268" behindDoc="0" locked="0" layoutInCell="0" allowOverlap="1" wp14:anchorId="304E83B1" wp14:editId="38580FCA">
              <wp:simplePos x="0" y="0"/>
              <wp:positionH relativeFrom="page">
                <wp:posOffset>0</wp:posOffset>
              </wp:positionH>
              <wp:positionV relativeFrom="page">
                <wp:posOffset>190500</wp:posOffset>
              </wp:positionV>
              <wp:extent cx="7560310" cy="273050"/>
              <wp:effectExtent l="0" t="0" r="0" b="12700"/>
              <wp:wrapNone/>
              <wp:docPr id="7" name="MSIPCM43a041429d4d40a7e9927abf" descr="{&quot;HashCode&quot;:14684423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7207D" w14:textId="3167D7F5" w:rsidR="00591A50" w:rsidRPr="00BC2210" w:rsidRDefault="00591A50" w:rsidP="00BC2210">
                          <w:pPr>
                            <w:spacing w:after="0"/>
                            <w:rPr>
                              <w:rFonts w:ascii="Calibri" w:hAnsi="Calibri" w:cs="Calibri"/>
                              <w:color w:val="00B294"/>
                              <w:sz w:val="24"/>
                            </w:rPr>
                          </w:pPr>
                          <w:r w:rsidRPr="00BC2210">
                            <w:rPr>
                              <w:rFonts w:ascii="Calibri" w:hAnsi="Calibri" w:cs="Calibri"/>
                              <w:color w:val="00B294"/>
                              <w:sz w:val="24"/>
                            </w:rPr>
                            <w:t>Proprietary</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04E83B1" id="_x0000_t202" coordsize="21600,21600" o:spt="202" path="m,l,21600r21600,l21600,xe">
              <v:stroke joinstyle="miter"/>
              <v:path gradientshapeok="t" o:connecttype="rect"/>
            </v:shapetype>
            <v:shape id="MSIPCM43a041429d4d40a7e9927abf" o:spid="_x0000_s1026" type="#_x0000_t202" alt="{&quot;HashCode&quot;:1468442394,&quot;Height&quot;:841.0,&quot;Width&quot;:595.0,&quot;Placement&quot;:&quot;Header&quot;,&quot;Index&quot;:&quot;Primary&quot;,&quot;Section&quot;:1,&quot;Top&quot;:0.0,&quot;Left&quot;:0.0}" style="position:absolute;margin-left:0;margin-top:15pt;width:595.3pt;height:21.5pt;z-index:2516592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10B7207D" w14:textId="3167D7F5" w:rsidR="00591A50" w:rsidRPr="00BC2210" w:rsidRDefault="00591A50" w:rsidP="00BC2210">
                    <w:pPr>
                      <w:spacing w:after="0"/>
                      <w:rPr>
                        <w:rFonts w:ascii="Calibri" w:hAnsi="Calibri" w:cs="Calibri"/>
                        <w:color w:val="00B294"/>
                        <w:sz w:val="24"/>
                      </w:rPr>
                    </w:pPr>
                    <w:r w:rsidRPr="00BC2210">
                      <w:rPr>
                        <w:rFonts w:ascii="Calibri" w:hAnsi="Calibri" w:cs="Calibri"/>
                        <w:color w:val="00B294"/>
                        <w:sz w:val="24"/>
                      </w:rPr>
                      <w:t>Proprietary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1" behindDoc="0" locked="0" layoutInCell="0" allowOverlap="1" wp14:anchorId="2DC75DB4" wp14:editId="0EC93F80">
              <wp:simplePos x="0" y="0"/>
              <wp:positionH relativeFrom="page">
                <wp:posOffset>0</wp:posOffset>
              </wp:positionH>
              <wp:positionV relativeFrom="page">
                <wp:posOffset>190500</wp:posOffset>
              </wp:positionV>
              <wp:extent cx="7560310" cy="273050"/>
              <wp:effectExtent l="0" t="0" r="0" b="12700"/>
              <wp:wrapNone/>
              <wp:docPr id="1" name="Text Box 1" descr="{&quot;HashCode&quot;:14684423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5D2330" w14:textId="6FECAA79" w:rsidR="00591A50" w:rsidRPr="00BE36F5" w:rsidRDefault="00591A50" w:rsidP="00BE36F5">
                          <w:pPr>
                            <w:spacing w:after="0"/>
                            <w:rPr>
                              <w:rFonts w:ascii="Calibri" w:hAnsi="Calibri" w:cs="Calibri"/>
                              <w:color w:val="00B294"/>
                              <w:sz w:val="24"/>
                            </w:rPr>
                          </w:pPr>
                          <w:r w:rsidRPr="00BE36F5">
                            <w:rPr>
                              <w:rFonts w:ascii="Calibri" w:hAnsi="Calibri" w:cs="Calibri"/>
                              <w:color w:val="00B294"/>
                              <w:sz w:val="24"/>
                            </w:rPr>
                            <w:t>Proprietary</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2DC75DB4" id="Text Box 1" o:spid="_x0000_s1027" type="#_x0000_t202" alt="{&quot;HashCode&quot;:1468442394,&quot;Height&quot;:841.0,&quot;Width&quot;:595.0,&quot;Placement&quot;:&quot;Header&quot;,&quot;Index&quot;:&quot;Primary&quot;,&quot;Section&quot;:1,&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7e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" o:allowincell="f" filled="f" stroked="f" strokeweight=".5pt">
              <v:textbox inset="20pt,0,,0">
                <w:txbxContent>
                  <w:p w14:paraId="365D2330" w14:textId="6FECAA79" w:rsidR="00591A50" w:rsidRPr="00BE36F5" w:rsidRDefault="00591A50" w:rsidP="00BE36F5">
                    <w:pPr>
                      <w:spacing w:after="0"/>
                      <w:rPr>
                        <w:rFonts w:ascii="Calibri" w:hAnsi="Calibri" w:cs="Calibri"/>
                        <w:color w:val="00B294"/>
                        <w:sz w:val="24"/>
                      </w:rPr>
                    </w:pPr>
                    <w:r w:rsidRPr="00BE36F5">
                      <w:rPr>
                        <w:rFonts w:ascii="Calibri" w:hAnsi="Calibri" w:cs="Calibri"/>
                        <w:color w:val="00B294"/>
                        <w:sz w:val="24"/>
                      </w:rPr>
                      <w:t>Proprietary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591A50" w:rsidRPr="002B29B2" w14:paraId="3E15C3BC" w14:textId="77777777" w:rsidTr="007452E8">
      <w:trPr>
        <w:trHeight w:hRule="exact" w:val="8845"/>
      </w:trPr>
      <w:tc>
        <w:tcPr>
          <w:tcW w:w="11964" w:type="dxa"/>
          <w:vAlign w:val="center"/>
        </w:tcPr>
        <w:p w14:paraId="6FDE4BFB" w14:textId="4CCBA0E6" w:rsidR="00591A50" w:rsidRPr="002B29B2" w:rsidRDefault="00B82441" w:rsidP="007452E8">
          <w:pPr>
            <w:ind w:left="-57"/>
            <w:rPr>
              <w:noProof/>
            </w:rPr>
          </w:pPr>
          <w:sdt>
            <w:sdtPr>
              <w:rPr>
                <w:noProof/>
              </w:rPr>
              <w:id w:val="1926993388"/>
              <w:showingPlcHdr/>
              <w:picture/>
            </w:sdtPr>
            <w:sdtEndPr/>
            <w:sdtContent>
              <w:r w:rsidR="00591A50" w:rsidRPr="00F71E1E">
                <w:rPr>
                  <w:noProof/>
                  <w:lang w:val="en-GB" w:eastAsia="en-GB"/>
                </w:rPr>
                <w:drawing>
                  <wp:inline distT="0" distB="0" distL="0" distR="0" wp14:anchorId="5C7F8AC9" wp14:editId="23FC1BBE">
                    <wp:extent cx="7631430" cy="5523865"/>
                    <wp:effectExtent l="0" t="0" r="762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591A50" w:rsidRDefault="00591A50" w:rsidP="007452E8">
    <w:pPr>
      <w:rPr>
        <w:noProof/>
      </w:rPr>
    </w:pPr>
    <w:r>
      <w:rPr>
        <w:noProof/>
        <w:lang w:val="en-GB" w:eastAsia="en-GB"/>
      </w:rPr>
      <w:drawing>
        <wp:anchor distT="0" distB="0" distL="114300" distR="114300" simplePos="0" relativeHeight="251658244"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220FFDB3" w:rsidR="00591A50" w:rsidRDefault="00591A50"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591A50" w:rsidRPr="00FE501F" w:rsidRDefault="00591A50"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5E9"/>
    <w:multiLevelType w:val="hybridMultilevel"/>
    <w:tmpl w:val="6DF8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9F90C50"/>
    <w:multiLevelType w:val="multilevel"/>
    <w:tmpl w:val="0E0C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F320F"/>
    <w:multiLevelType w:val="hybridMultilevel"/>
    <w:tmpl w:val="6D3AEA8A"/>
    <w:lvl w:ilvl="0" w:tplc="2D488FFA">
      <w:start w:val="1"/>
      <w:numFmt w:val="decimal"/>
      <w:lvlText w:val="%1."/>
      <w:lvlJc w:val="left"/>
      <w:pPr>
        <w:ind w:left="137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0DAE50C2">
      <w:start w:val="1"/>
      <w:numFmt w:val="lowerLetter"/>
      <w:lvlText w:val="%2"/>
      <w:lvlJc w:val="left"/>
      <w:pPr>
        <w:ind w:left="180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8F6CB154">
      <w:start w:val="1"/>
      <w:numFmt w:val="lowerRoman"/>
      <w:lvlText w:val="%3"/>
      <w:lvlJc w:val="left"/>
      <w:pPr>
        <w:ind w:left="252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796A5248">
      <w:start w:val="1"/>
      <w:numFmt w:val="decimal"/>
      <w:lvlText w:val="%4"/>
      <w:lvlJc w:val="left"/>
      <w:pPr>
        <w:ind w:left="324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06BE16EC">
      <w:start w:val="1"/>
      <w:numFmt w:val="lowerLetter"/>
      <w:lvlText w:val="%5"/>
      <w:lvlJc w:val="left"/>
      <w:pPr>
        <w:ind w:left="396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A776D9D6">
      <w:start w:val="1"/>
      <w:numFmt w:val="lowerRoman"/>
      <w:lvlText w:val="%6"/>
      <w:lvlJc w:val="left"/>
      <w:pPr>
        <w:ind w:left="468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A4B64B58">
      <w:start w:val="1"/>
      <w:numFmt w:val="decimal"/>
      <w:lvlText w:val="%7"/>
      <w:lvlJc w:val="left"/>
      <w:pPr>
        <w:ind w:left="540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D4ECF42E">
      <w:start w:val="1"/>
      <w:numFmt w:val="lowerLetter"/>
      <w:lvlText w:val="%8"/>
      <w:lvlJc w:val="left"/>
      <w:pPr>
        <w:ind w:left="612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2D382298">
      <w:start w:val="1"/>
      <w:numFmt w:val="lowerRoman"/>
      <w:lvlText w:val="%9"/>
      <w:lvlJc w:val="left"/>
      <w:pPr>
        <w:ind w:left="6841"/>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5155CA"/>
    <w:multiLevelType w:val="hybridMultilevel"/>
    <w:tmpl w:val="D6203966"/>
    <w:lvl w:ilvl="0" w:tplc="F7F070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5985FD2"/>
    <w:multiLevelType w:val="hybridMultilevel"/>
    <w:tmpl w:val="2E060FD2"/>
    <w:lvl w:ilvl="0" w:tplc="D21ADB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3D7A66"/>
    <w:multiLevelType w:val="hybridMultilevel"/>
    <w:tmpl w:val="DECA819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D9D3BCB"/>
    <w:multiLevelType w:val="multilevel"/>
    <w:tmpl w:val="2FA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A42233"/>
    <w:multiLevelType w:val="hybridMultilevel"/>
    <w:tmpl w:val="490004E4"/>
    <w:lvl w:ilvl="0" w:tplc="13D658CE">
      <w:start w:val="1"/>
      <w:numFmt w:val="bullet"/>
      <w:lvlText w:val="•"/>
      <w:lvlJc w:val="left"/>
      <w:pPr>
        <w:ind w:left="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D0AC1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5816A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D24DF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6497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1C1B90">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30C53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4BD9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ACA79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8D71C2"/>
    <w:multiLevelType w:val="hybridMultilevel"/>
    <w:tmpl w:val="DF683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D54F08"/>
    <w:multiLevelType w:val="hybridMultilevel"/>
    <w:tmpl w:val="78420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FB2ACB"/>
    <w:multiLevelType w:val="multilevel"/>
    <w:tmpl w:val="C5AE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93F09"/>
    <w:multiLevelType w:val="hybridMultilevel"/>
    <w:tmpl w:val="937EF738"/>
    <w:lvl w:ilvl="0" w:tplc="8DCC35D4">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517A29"/>
    <w:multiLevelType w:val="hybridMultilevel"/>
    <w:tmpl w:val="8F10D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13"/>
  </w:num>
  <w:num w:numId="5">
    <w:abstractNumId w:val="7"/>
  </w:num>
  <w:num w:numId="6">
    <w:abstractNumId w:val="12"/>
  </w:num>
  <w:num w:numId="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8"/>
  </w:num>
  <w:num w:numId="9">
    <w:abstractNumId w:val="9"/>
  </w:num>
  <w:num w:numId="10">
    <w:abstractNumId w:val="1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
  </w:num>
  <w:num w:numId="14">
    <w:abstractNumId w:val="16"/>
  </w:num>
  <w:num w:numId="15">
    <w:abstractNumId w:val="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5"/>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2D98"/>
    <w:rsid w:val="00011226"/>
    <w:rsid w:val="00011518"/>
    <w:rsid w:val="00012F22"/>
    <w:rsid w:val="00021230"/>
    <w:rsid w:val="0002280A"/>
    <w:rsid w:val="0004499B"/>
    <w:rsid w:val="00045CA7"/>
    <w:rsid w:val="000530FC"/>
    <w:rsid w:val="00053D2F"/>
    <w:rsid w:val="00072038"/>
    <w:rsid w:val="00073B79"/>
    <w:rsid w:val="00074F9D"/>
    <w:rsid w:val="00077844"/>
    <w:rsid w:val="000801F3"/>
    <w:rsid w:val="000850C2"/>
    <w:rsid w:val="00094B81"/>
    <w:rsid w:val="000975AA"/>
    <w:rsid w:val="000C0652"/>
    <w:rsid w:val="000D12F7"/>
    <w:rsid w:val="000D260D"/>
    <w:rsid w:val="000D5A16"/>
    <w:rsid w:val="000D7934"/>
    <w:rsid w:val="000D7E14"/>
    <w:rsid w:val="000D7E1E"/>
    <w:rsid w:val="000E5C07"/>
    <w:rsid w:val="00101FB1"/>
    <w:rsid w:val="001038B9"/>
    <w:rsid w:val="00104E08"/>
    <w:rsid w:val="0011152D"/>
    <w:rsid w:val="0011475C"/>
    <w:rsid w:val="0012473C"/>
    <w:rsid w:val="0012644C"/>
    <w:rsid w:val="0013528C"/>
    <w:rsid w:val="001423E6"/>
    <w:rsid w:val="00161296"/>
    <w:rsid w:val="00164E0A"/>
    <w:rsid w:val="00165D28"/>
    <w:rsid w:val="00175CD8"/>
    <w:rsid w:val="00185CC9"/>
    <w:rsid w:val="00192FD1"/>
    <w:rsid w:val="001960F4"/>
    <w:rsid w:val="001A554A"/>
    <w:rsid w:val="001B52D6"/>
    <w:rsid w:val="001C1C2E"/>
    <w:rsid w:val="001D4F95"/>
    <w:rsid w:val="001F2149"/>
    <w:rsid w:val="001F3B19"/>
    <w:rsid w:val="001F74D4"/>
    <w:rsid w:val="0020369B"/>
    <w:rsid w:val="002147A6"/>
    <w:rsid w:val="00224E30"/>
    <w:rsid w:val="00226571"/>
    <w:rsid w:val="00226F39"/>
    <w:rsid w:val="00241B60"/>
    <w:rsid w:val="002442B8"/>
    <w:rsid w:val="00245813"/>
    <w:rsid w:val="002571B3"/>
    <w:rsid w:val="002635C2"/>
    <w:rsid w:val="00277801"/>
    <w:rsid w:val="00296CA9"/>
    <w:rsid w:val="002B7D53"/>
    <w:rsid w:val="002C5E29"/>
    <w:rsid w:val="002D1E76"/>
    <w:rsid w:val="002D7127"/>
    <w:rsid w:val="002E04D4"/>
    <w:rsid w:val="002E2334"/>
    <w:rsid w:val="002E5346"/>
    <w:rsid w:val="003008D8"/>
    <w:rsid w:val="00303959"/>
    <w:rsid w:val="003103C0"/>
    <w:rsid w:val="003114BD"/>
    <w:rsid w:val="00314430"/>
    <w:rsid w:val="00314CAC"/>
    <w:rsid w:val="003157D7"/>
    <w:rsid w:val="00322E4E"/>
    <w:rsid w:val="00324B33"/>
    <w:rsid w:val="00327856"/>
    <w:rsid w:val="003324EE"/>
    <w:rsid w:val="0034051F"/>
    <w:rsid w:val="00340D07"/>
    <w:rsid w:val="003432E3"/>
    <w:rsid w:val="00346EC2"/>
    <w:rsid w:val="003503D1"/>
    <w:rsid w:val="0035444D"/>
    <w:rsid w:val="00361314"/>
    <w:rsid w:val="00371A2C"/>
    <w:rsid w:val="00371B97"/>
    <w:rsid w:val="003752EF"/>
    <w:rsid w:val="00380E6E"/>
    <w:rsid w:val="00381A6E"/>
    <w:rsid w:val="00381ADB"/>
    <w:rsid w:val="00384E98"/>
    <w:rsid w:val="00395140"/>
    <w:rsid w:val="003C0C56"/>
    <w:rsid w:val="003C7AE3"/>
    <w:rsid w:val="003D71A1"/>
    <w:rsid w:val="003E2254"/>
    <w:rsid w:val="003E3CD8"/>
    <w:rsid w:val="003F5B77"/>
    <w:rsid w:val="00400AB0"/>
    <w:rsid w:val="00407BDB"/>
    <w:rsid w:val="004113D5"/>
    <w:rsid w:val="004151B9"/>
    <w:rsid w:val="0041688F"/>
    <w:rsid w:val="0042376F"/>
    <w:rsid w:val="00423D72"/>
    <w:rsid w:val="004246B8"/>
    <w:rsid w:val="00432868"/>
    <w:rsid w:val="00433318"/>
    <w:rsid w:val="0043408C"/>
    <w:rsid w:val="004361B6"/>
    <w:rsid w:val="004376D1"/>
    <w:rsid w:val="00454230"/>
    <w:rsid w:val="00473398"/>
    <w:rsid w:val="00477C4E"/>
    <w:rsid w:val="00484452"/>
    <w:rsid w:val="00491A55"/>
    <w:rsid w:val="004973E1"/>
    <w:rsid w:val="004A1EA6"/>
    <w:rsid w:val="004A7AEC"/>
    <w:rsid w:val="004B3081"/>
    <w:rsid w:val="004C197F"/>
    <w:rsid w:val="004D65E5"/>
    <w:rsid w:val="004D6D16"/>
    <w:rsid w:val="004E1762"/>
    <w:rsid w:val="00504064"/>
    <w:rsid w:val="00531A5B"/>
    <w:rsid w:val="00535DFE"/>
    <w:rsid w:val="00541AC5"/>
    <w:rsid w:val="0054223B"/>
    <w:rsid w:val="00562F42"/>
    <w:rsid w:val="0056766D"/>
    <w:rsid w:val="005772F6"/>
    <w:rsid w:val="005825C5"/>
    <w:rsid w:val="0058575E"/>
    <w:rsid w:val="0058783C"/>
    <w:rsid w:val="005911AE"/>
    <w:rsid w:val="00591A50"/>
    <w:rsid w:val="0059313A"/>
    <w:rsid w:val="005A24A3"/>
    <w:rsid w:val="005A6E00"/>
    <w:rsid w:val="005A7815"/>
    <w:rsid w:val="005B023F"/>
    <w:rsid w:val="005B1CC3"/>
    <w:rsid w:val="005C78AD"/>
    <w:rsid w:val="005D2089"/>
    <w:rsid w:val="005D58D7"/>
    <w:rsid w:val="005D7514"/>
    <w:rsid w:val="005E1A7B"/>
    <w:rsid w:val="005E32AF"/>
    <w:rsid w:val="005E4111"/>
    <w:rsid w:val="005E7095"/>
    <w:rsid w:val="005F6EFA"/>
    <w:rsid w:val="00616D00"/>
    <w:rsid w:val="006277A1"/>
    <w:rsid w:val="006351D9"/>
    <w:rsid w:val="00636B78"/>
    <w:rsid w:val="00637130"/>
    <w:rsid w:val="00637F0E"/>
    <w:rsid w:val="00641CB0"/>
    <w:rsid w:val="006423F2"/>
    <w:rsid w:val="006465D6"/>
    <w:rsid w:val="00661270"/>
    <w:rsid w:val="006719F1"/>
    <w:rsid w:val="006740BE"/>
    <w:rsid w:val="0068442B"/>
    <w:rsid w:val="00684D6C"/>
    <w:rsid w:val="00687D2D"/>
    <w:rsid w:val="00692CCD"/>
    <w:rsid w:val="006A057F"/>
    <w:rsid w:val="006A1F0B"/>
    <w:rsid w:val="006A277A"/>
    <w:rsid w:val="006C046B"/>
    <w:rsid w:val="006C0B33"/>
    <w:rsid w:val="006D6B44"/>
    <w:rsid w:val="006D7A31"/>
    <w:rsid w:val="007072A1"/>
    <w:rsid w:val="00710BC5"/>
    <w:rsid w:val="007139C8"/>
    <w:rsid w:val="00717CD2"/>
    <w:rsid w:val="0072003B"/>
    <w:rsid w:val="00720785"/>
    <w:rsid w:val="00727901"/>
    <w:rsid w:val="007357B9"/>
    <w:rsid w:val="00735A9E"/>
    <w:rsid w:val="00741F25"/>
    <w:rsid w:val="007452E8"/>
    <w:rsid w:val="00746990"/>
    <w:rsid w:val="00750D70"/>
    <w:rsid w:val="00761BD3"/>
    <w:rsid w:val="00774744"/>
    <w:rsid w:val="007828F3"/>
    <w:rsid w:val="00790F17"/>
    <w:rsid w:val="00793272"/>
    <w:rsid w:val="007A296B"/>
    <w:rsid w:val="007A419A"/>
    <w:rsid w:val="007B04DE"/>
    <w:rsid w:val="007B093E"/>
    <w:rsid w:val="007B2580"/>
    <w:rsid w:val="007B2869"/>
    <w:rsid w:val="007C57BC"/>
    <w:rsid w:val="007C6291"/>
    <w:rsid w:val="007D146D"/>
    <w:rsid w:val="007D4138"/>
    <w:rsid w:val="007D6BAA"/>
    <w:rsid w:val="007D7FDD"/>
    <w:rsid w:val="007F04B3"/>
    <w:rsid w:val="007F0A77"/>
    <w:rsid w:val="007F13AC"/>
    <w:rsid w:val="007F50D3"/>
    <w:rsid w:val="007F791A"/>
    <w:rsid w:val="0080617E"/>
    <w:rsid w:val="00807BB3"/>
    <w:rsid w:val="00820AEC"/>
    <w:rsid w:val="008329DB"/>
    <w:rsid w:val="008361C5"/>
    <w:rsid w:val="0083628F"/>
    <w:rsid w:val="00837AB9"/>
    <w:rsid w:val="00850043"/>
    <w:rsid w:val="00850637"/>
    <w:rsid w:val="00860B29"/>
    <w:rsid w:val="00860C8C"/>
    <w:rsid w:val="00861F61"/>
    <w:rsid w:val="00867CBE"/>
    <w:rsid w:val="00877A67"/>
    <w:rsid w:val="008804CF"/>
    <w:rsid w:val="008964B3"/>
    <w:rsid w:val="00896866"/>
    <w:rsid w:val="008A28CD"/>
    <w:rsid w:val="008A329F"/>
    <w:rsid w:val="008A3EA1"/>
    <w:rsid w:val="008C49C6"/>
    <w:rsid w:val="008D6A54"/>
    <w:rsid w:val="008D6D3D"/>
    <w:rsid w:val="009001D1"/>
    <w:rsid w:val="00900498"/>
    <w:rsid w:val="009053F7"/>
    <w:rsid w:val="0090605E"/>
    <w:rsid w:val="009072C6"/>
    <w:rsid w:val="009108CE"/>
    <w:rsid w:val="0092091E"/>
    <w:rsid w:val="00930D58"/>
    <w:rsid w:val="00933EAC"/>
    <w:rsid w:val="00934E6A"/>
    <w:rsid w:val="00937DB4"/>
    <w:rsid w:val="00946B8A"/>
    <w:rsid w:val="00966EF1"/>
    <w:rsid w:val="00967D29"/>
    <w:rsid w:val="00974AD8"/>
    <w:rsid w:val="00980F26"/>
    <w:rsid w:val="009815C4"/>
    <w:rsid w:val="00982C84"/>
    <w:rsid w:val="00996FA5"/>
    <w:rsid w:val="009B102B"/>
    <w:rsid w:val="009D017B"/>
    <w:rsid w:val="009D66B9"/>
    <w:rsid w:val="009E634A"/>
    <w:rsid w:val="009E6F8C"/>
    <w:rsid w:val="009F55F2"/>
    <w:rsid w:val="00A01C56"/>
    <w:rsid w:val="00A13060"/>
    <w:rsid w:val="00A268A0"/>
    <w:rsid w:val="00A3128D"/>
    <w:rsid w:val="00A3516E"/>
    <w:rsid w:val="00A358E7"/>
    <w:rsid w:val="00A43D11"/>
    <w:rsid w:val="00A44488"/>
    <w:rsid w:val="00A51A2D"/>
    <w:rsid w:val="00A52183"/>
    <w:rsid w:val="00A63D9B"/>
    <w:rsid w:val="00A64EF1"/>
    <w:rsid w:val="00A75FB3"/>
    <w:rsid w:val="00A86D18"/>
    <w:rsid w:val="00A87FC7"/>
    <w:rsid w:val="00A93DC6"/>
    <w:rsid w:val="00A94227"/>
    <w:rsid w:val="00AA7A88"/>
    <w:rsid w:val="00AB5180"/>
    <w:rsid w:val="00AB7CBF"/>
    <w:rsid w:val="00AC4733"/>
    <w:rsid w:val="00AC6E6C"/>
    <w:rsid w:val="00AD4356"/>
    <w:rsid w:val="00AD730B"/>
    <w:rsid w:val="00AE1947"/>
    <w:rsid w:val="00AE6647"/>
    <w:rsid w:val="00B0508E"/>
    <w:rsid w:val="00B14AB3"/>
    <w:rsid w:val="00B14E25"/>
    <w:rsid w:val="00B272CF"/>
    <w:rsid w:val="00B45428"/>
    <w:rsid w:val="00B46BC0"/>
    <w:rsid w:val="00B508FC"/>
    <w:rsid w:val="00B55681"/>
    <w:rsid w:val="00B6209F"/>
    <w:rsid w:val="00B65B2A"/>
    <w:rsid w:val="00B70188"/>
    <w:rsid w:val="00B72B9A"/>
    <w:rsid w:val="00B82441"/>
    <w:rsid w:val="00B83412"/>
    <w:rsid w:val="00B9633B"/>
    <w:rsid w:val="00B967FF"/>
    <w:rsid w:val="00BA5973"/>
    <w:rsid w:val="00BA7F7D"/>
    <w:rsid w:val="00BB0DE8"/>
    <w:rsid w:val="00BB5796"/>
    <w:rsid w:val="00BC2210"/>
    <w:rsid w:val="00BC5033"/>
    <w:rsid w:val="00BD05EE"/>
    <w:rsid w:val="00BD07DF"/>
    <w:rsid w:val="00BE36F5"/>
    <w:rsid w:val="00BE6F96"/>
    <w:rsid w:val="00BF4638"/>
    <w:rsid w:val="00C04CCE"/>
    <w:rsid w:val="00C04EE0"/>
    <w:rsid w:val="00C07551"/>
    <w:rsid w:val="00C11D77"/>
    <w:rsid w:val="00C22214"/>
    <w:rsid w:val="00C407AB"/>
    <w:rsid w:val="00C46109"/>
    <w:rsid w:val="00C570FF"/>
    <w:rsid w:val="00C57955"/>
    <w:rsid w:val="00C60E15"/>
    <w:rsid w:val="00C6574E"/>
    <w:rsid w:val="00C94495"/>
    <w:rsid w:val="00CA3B17"/>
    <w:rsid w:val="00CB0550"/>
    <w:rsid w:val="00CB3713"/>
    <w:rsid w:val="00CD3B3E"/>
    <w:rsid w:val="00CE6B0A"/>
    <w:rsid w:val="00D078BE"/>
    <w:rsid w:val="00D100AD"/>
    <w:rsid w:val="00D13F8A"/>
    <w:rsid w:val="00D246E4"/>
    <w:rsid w:val="00D43AF2"/>
    <w:rsid w:val="00D62877"/>
    <w:rsid w:val="00D63760"/>
    <w:rsid w:val="00D64642"/>
    <w:rsid w:val="00D661F6"/>
    <w:rsid w:val="00D66EBF"/>
    <w:rsid w:val="00D85125"/>
    <w:rsid w:val="00D86CF8"/>
    <w:rsid w:val="00D918D5"/>
    <w:rsid w:val="00D9359E"/>
    <w:rsid w:val="00D94C8E"/>
    <w:rsid w:val="00D96526"/>
    <w:rsid w:val="00D96F21"/>
    <w:rsid w:val="00DA5BEF"/>
    <w:rsid w:val="00DB1CF3"/>
    <w:rsid w:val="00DB440F"/>
    <w:rsid w:val="00DF5BFE"/>
    <w:rsid w:val="00E401AC"/>
    <w:rsid w:val="00E47E0C"/>
    <w:rsid w:val="00E51813"/>
    <w:rsid w:val="00E53D3F"/>
    <w:rsid w:val="00E54D03"/>
    <w:rsid w:val="00E76ECD"/>
    <w:rsid w:val="00E770A6"/>
    <w:rsid w:val="00E80AB3"/>
    <w:rsid w:val="00E81A91"/>
    <w:rsid w:val="00E82528"/>
    <w:rsid w:val="00E8372B"/>
    <w:rsid w:val="00E84548"/>
    <w:rsid w:val="00EB4587"/>
    <w:rsid w:val="00EE40C6"/>
    <w:rsid w:val="00EF5017"/>
    <w:rsid w:val="00F02AEC"/>
    <w:rsid w:val="00F05CE7"/>
    <w:rsid w:val="00F06997"/>
    <w:rsid w:val="00F157FC"/>
    <w:rsid w:val="00F30AF3"/>
    <w:rsid w:val="00F44683"/>
    <w:rsid w:val="00F44C16"/>
    <w:rsid w:val="00F6144D"/>
    <w:rsid w:val="00F6439C"/>
    <w:rsid w:val="00F657B4"/>
    <w:rsid w:val="00F736EF"/>
    <w:rsid w:val="00F84CEB"/>
    <w:rsid w:val="00F865A7"/>
    <w:rsid w:val="00F87FC1"/>
    <w:rsid w:val="00FA0346"/>
    <w:rsid w:val="00FA0754"/>
    <w:rsid w:val="00FA16F5"/>
    <w:rsid w:val="00FA1BC9"/>
    <w:rsid w:val="00FA2A28"/>
    <w:rsid w:val="00FA49C3"/>
    <w:rsid w:val="00FA54DA"/>
    <w:rsid w:val="00FA5AA7"/>
    <w:rsid w:val="00FA70A3"/>
    <w:rsid w:val="00FB0F4A"/>
    <w:rsid w:val="00FB155D"/>
    <w:rsid w:val="00FB236E"/>
    <w:rsid w:val="00FC4465"/>
    <w:rsid w:val="00FD16CF"/>
    <w:rsid w:val="00FD632A"/>
    <w:rsid w:val="00FD77A5"/>
    <w:rsid w:val="00FE592F"/>
    <w:rsid w:val="00FF0098"/>
    <w:rsid w:val="00FF0B17"/>
    <w:rsid w:val="0C934152"/>
    <w:rsid w:val="0E466BC1"/>
    <w:rsid w:val="107FD6B0"/>
    <w:rsid w:val="1BE89C8E"/>
    <w:rsid w:val="45B90781"/>
    <w:rsid w:val="49930525"/>
    <w:rsid w:val="4A611F29"/>
    <w:rsid w:val="4BDDF29C"/>
    <w:rsid w:val="56B3A900"/>
    <w:rsid w:val="5E42A25F"/>
    <w:rsid w:val="61BF03AE"/>
    <w:rsid w:val="6B662EB7"/>
    <w:rsid w:val="6D2711AB"/>
    <w:rsid w:val="6EDC6693"/>
    <w:rsid w:val="710ABDAE"/>
    <w:rsid w:val="7DDD3A8D"/>
    <w:rsid w:val="7E598C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C240CFA8-E9C8-4020-9A04-18351633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50"/>
    <w:rPr>
      <w:rFonts w:ascii="Cambria" w:hAnsi="Cambria"/>
      <w:sz w:val="22"/>
    </w:rPr>
  </w:style>
  <w:style w:type="paragraph" w:styleId="Heading1">
    <w:name w:val="heading 1"/>
    <w:basedOn w:val="Normal"/>
    <w:next w:val="Normal"/>
    <w:link w:val="Heading1Char"/>
    <w:uiPriority w:val="9"/>
    <w:qFormat/>
    <w:rsid w:val="00641C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E40C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56766D"/>
    <w:pPr>
      <w:numPr>
        <w:numId w:val="1"/>
      </w:numPr>
      <w:spacing w:before="120" w:after="180" w:line="240" w:lineRule="atLeast"/>
    </w:pPr>
    <w:rPr>
      <w:rFonts w:eastAsia="Cambria" w:cs="Times New Roman"/>
      <w:color w:val="333F48"/>
    </w:rPr>
  </w:style>
  <w:style w:type="paragraph" w:styleId="ListBullet2">
    <w:name w:val="List Bullet 2"/>
    <w:basedOn w:val="Normal"/>
    <w:uiPriority w:val="99"/>
    <w:qFormat/>
    <w:rsid w:val="0056766D"/>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99"/>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277801"/>
    <w:pPr>
      <w:keepLines/>
      <w:spacing w:after="0" w:line="240" w:lineRule="atLeast"/>
    </w:pPr>
    <w:rPr>
      <w:rFonts w:eastAsia="Cambria" w:cs="Times New Roman"/>
      <w:color w:val="333F48"/>
      <w:sz w:val="19"/>
    </w:rPr>
  </w:style>
  <w:style w:type="character" w:customStyle="1" w:styleId="FootnoteTextChar">
    <w:name w:val="Footnote Text Char"/>
    <w:basedOn w:val="DefaultParagraphFont"/>
    <w:link w:val="FootnoteText"/>
    <w:uiPriority w:val="99"/>
    <w:rsid w:val="00277801"/>
    <w:rPr>
      <w:rFonts w:ascii="Cambria" w:eastAsia="Cambria" w:hAnsi="Cambria" w:cs="Times New Roman"/>
      <w:color w:val="333F48"/>
      <w:sz w:val="19"/>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56766D"/>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0">
    <w:name w:val="Table Title"/>
    <w:basedOn w:val="Normal"/>
    <w:rsid w:val="00324B33"/>
    <w:pPr>
      <w:keepNext/>
      <w:spacing w:before="120" w:line="240" w:lineRule="atLeast"/>
    </w:pPr>
    <w:rPr>
      <w:rFonts w:eastAsia="Cambria" w:cs="Times New Roman"/>
      <w:b/>
      <w:szCs w:val="22"/>
    </w:rPr>
  </w:style>
  <w:style w:type="paragraph" w:customStyle="1" w:styleId="TableDescription0">
    <w:name w:val="Table Description"/>
    <w:basedOn w:val="Normal"/>
    <w:rsid w:val="0056766D"/>
    <w:pPr>
      <w:spacing w:before="120" w:after="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character" w:styleId="EndnoteReference">
    <w:name w:val="endnote reference"/>
    <w:basedOn w:val="DefaultParagraphFont"/>
    <w:unhideWhenUsed/>
    <w:rsid w:val="00641CB0"/>
    <w:rPr>
      <w:vertAlign w:val="superscript"/>
    </w:rPr>
  </w:style>
  <w:style w:type="character" w:customStyle="1" w:styleId="Heading1Char">
    <w:name w:val="Heading 1 Char"/>
    <w:basedOn w:val="DefaultParagraphFont"/>
    <w:link w:val="Heading1"/>
    <w:uiPriority w:val="9"/>
    <w:rsid w:val="00641CB0"/>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EE40C6"/>
    <w:rPr>
      <w:rFonts w:asciiTheme="majorHAnsi" w:eastAsiaTheme="majorEastAsia" w:hAnsiTheme="majorHAnsi" w:cstheme="majorBidi"/>
      <w:i/>
      <w:iCs/>
      <w:color w:val="1F3763" w:themeColor="accent1" w:themeShade="7F"/>
    </w:rPr>
  </w:style>
  <w:style w:type="paragraph" w:styleId="Caption">
    <w:name w:val="caption"/>
    <w:basedOn w:val="Normal"/>
    <w:next w:val="Normal"/>
    <w:uiPriority w:val="35"/>
    <w:rsid w:val="00EE40C6"/>
    <w:pPr>
      <w:spacing w:line="240" w:lineRule="atLeast"/>
    </w:pPr>
    <w:rPr>
      <w:rFonts w:eastAsia="Cambria" w:cs="Times New Roman"/>
      <w:sz w:val="19"/>
      <w:szCs w:val="18"/>
    </w:rPr>
  </w:style>
  <w:style w:type="paragraph" w:styleId="ListParagraph">
    <w:name w:val="List Paragraph"/>
    <w:basedOn w:val="Normal"/>
    <w:uiPriority w:val="34"/>
    <w:qFormat/>
    <w:rsid w:val="00EE40C6"/>
    <w:pPr>
      <w:adjustRightInd w:val="0"/>
      <w:snapToGrid w:val="0"/>
      <w:spacing w:before="180" w:after="180" w:line="240" w:lineRule="atLeast"/>
      <w:ind w:left="720"/>
      <w:contextualSpacing/>
    </w:pPr>
    <w:rPr>
      <w:rFonts w:eastAsia="MS Mincho" w:cs="Times New Roman"/>
      <w:lang w:eastAsia="ja-JP"/>
    </w:rPr>
  </w:style>
  <w:style w:type="table" w:styleId="LightList-Accent3">
    <w:name w:val="Light List Accent 3"/>
    <w:basedOn w:val="TableNormal"/>
    <w:uiPriority w:val="61"/>
    <w:rsid w:val="00EE40C6"/>
    <w:pPr>
      <w:spacing w:after="0" w:line="240" w:lineRule="auto"/>
    </w:pPr>
    <w:rPr>
      <w:rFonts w:eastAsiaTheme="minorEastAsia"/>
      <w:sz w:val="22"/>
      <w:szCs w:val="22"/>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Light">
    <w:name w:val="Grid Table Light"/>
    <w:basedOn w:val="TableNormal"/>
    <w:uiPriority w:val="40"/>
    <w:rsid w:val="006A05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F736EF"/>
    <w:pPr>
      <w:spacing w:after="0" w:line="240" w:lineRule="auto"/>
    </w:pPr>
    <w:rPr>
      <w:rFonts w:eastAsia="Cambria" w:cs="Times New Roman"/>
    </w:rPr>
  </w:style>
  <w:style w:type="character" w:customStyle="1" w:styleId="EndnoteTextChar">
    <w:name w:val="Endnote Text Char"/>
    <w:basedOn w:val="DefaultParagraphFont"/>
    <w:link w:val="EndnoteText"/>
    <w:uiPriority w:val="99"/>
    <w:rsid w:val="00F736EF"/>
    <w:rPr>
      <w:rFonts w:ascii="Cambria" w:eastAsia="Cambria" w:hAnsi="Cambria" w:cs="Times New Roman"/>
    </w:rPr>
  </w:style>
  <w:style w:type="paragraph" w:styleId="NormalWeb">
    <w:name w:val="Normal (Web)"/>
    <w:basedOn w:val="Normal"/>
    <w:uiPriority w:val="99"/>
    <w:semiHidden/>
    <w:unhideWhenUsed/>
    <w:rsid w:val="00F4468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44683"/>
    <w:rPr>
      <w:b/>
      <w:bCs/>
    </w:rPr>
  </w:style>
  <w:style w:type="paragraph" w:customStyle="1" w:styleId="Default">
    <w:name w:val="Default"/>
    <w:rsid w:val="00F0699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UnresolvedMention2">
    <w:name w:val="Unresolved Mention2"/>
    <w:basedOn w:val="DefaultParagraphFont"/>
    <w:uiPriority w:val="99"/>
    <w:semiHidden/>
    <w:unhideWhenUsed/>
    <w:rsid w:val="00F87FC1"/>
    <w:rPr>
      <w:color w:val="605E5C"/>
      <w:shd w:val="clear" w:color="auto" w:fill="E1DFDD"/>
    </w:rPr>
  </w:style>
  <w:style w:type="character" w:customStyle="1" w:styleId="Mention1">
    <w:name w:val="Mention1"/>
    <w:basedOn w:val="DefaultParagraphFont"/>
    <w:uiPriority w:val="99"/>
    <w:unhideWhenUsed/>
    <w:rsid w:val="00F87F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16">
      <w:bodyDiv w:val="1"/>
      <w:marLeft w:val="0"/>
      <w:marRight w:val="0"/>
      <w:marTop w:val="0"/>
      <w:marBottom w:val="0"/>
      <w:divBdr>
        <w:top w:val="none" w:sz="0" w:space="0" w:color="auto"/>
        <w:left w:val="none" w:sz="0" w:space="0" w:color="auto"/>
        <w:bottom w:val="none" w:sz="0" w:space="0" w:color="auto"/>
        <w:right w:val="none" w:sz="0" w:space="0" w:color="auto"/>
      </w:divBdr>
    </w:div>
    <w:div w:id="114182639">
      <w:bodyDiv w:val="1"/>
      <w:marLeft w:val="0"/>
      <w:marRight w:val="0"/>
      <w:marTop w:val="0"/>
      <w:marBottom w:val="0"/>
      <w:divBdr>
        <w:top w:val="none" w:sz="0" w:space="0" w:color="auto"/>
        <w:left w:val="none" w:sz="0" w:space="0" w:color="auto"/>
        <w:bottom w:val="none" w:sz="0" w:space="0" w:color="auto"/>
        <w:right w:val="none" w:sz="0" w:space="0" w:color="auto"/>
      </w:divBdr>
    </w:div>
    <w:div w:id="326134262">
      <w:bodyDiv w:val="1"/>
      <w:marLeft w:val="0"/>
      <w:marRight w:val="0"/>
      <w:marTop w:val="0"/>
      <w:marBottom w:val="0"/>
      <w:divBdr>
        <w:top w:val="none" w:sz="0" w:space="0" w:color="auto"/>
        <w:left w:val="none" w:sz="0" w:space="0" w:color="auto"/>
        <w:bottom w:val="none" w:sz="0" w:space="0" w:color="auto"/>
        <w:right w:val="none" w:sz="0" w:space="0" w:color="auto"/>
      </w:divBdr>
    </w:div>
    <w:div w:id="418790525">
      <w:bodyDiv w:val="1"/>
      <w:marLeft w:val="0"/>
      <w:marRight w:val="0"/>
      <w:marTop w:val="0"/>
      <w:marBottom w:val="0"/>
      <w:divBdr>
        <w:top w:val="none" w:sz="0" w:space="0" w:color="auto"/>
        <w:left w:val="none" w:sz="0" w:space="0" w:color="auto"/>
        <w:bottom w:val="none" w:sz="0" w:space="0" w:color="auto"/>
        <w:right w:val="none" w:sz="0" w:space="0" w:color="auto"/>
      </w:divBdr>
    </w:div>
    <w:div w:id="590165632">
      <w:bodyDiv w:val="1"/>
      <w:marLeft w:val="0"/>
      <w:marRight w:val="0"/>
      <w:marTop w:val="0"/>
      <w:marBottom w:val="0"/>
      <w:divBdr>
        <w:top w:val="none" w:sz="0" w:space="0" w:color="auto"/>
        <w:left w:val="none" w:sz="0" w:space="0" w:color="auto"/>
        <w:bottom w:val="none" w:sz="0" w:space="0" w:color="auto"/>
        <w:right w:val="none" w:sz="0" w:space="0" w:color="auto"/>
      </w:divBdr>
      <w:divsChild>
        <w:div w:id="1292513297">
          <w:marLeft w:val="0"/>
          <w:marRight w:val="0"/>
          <w:marTop w:val="0"/>
          <w:marBottom w:val="0"/>
          <w:divBdr>
            <w:top w:val="none" w:sz="0" w:space="0" w:color="auto"/>
            <w:left w:val="none" w:sz="0" w:space="0" w:color="auto"/>
            <w:bottom w:val="none" w:sz="0" w:space="0" w:color="auto"/>
            <w:right w:val="none" w:sz="0" w:space="0" w:color="auto"/>
          </w:divBdr>
        </w:div>
        <w:div w:id="1995405606">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95876190">
      <w:bodyDiv w:val="1"/>
      <w:marLeft w:val="0"/>
      <w:marRight w:val="0"/>
      <w:marTop w:val="0"/>
      <w:marBottom w:val="0"/>
      <w:divBdr>
        <w:top w:val="none" w:sz="0" w:space="0" w:color="auto"/>
        <w:left w:val="none" w:sz="0" w:space="0" w:color="auto"/>
        <w:bottom w:val="none" w:sz="0" w:space="0" w:color="auto"/>
        <w:right w:val="none" w:sz="0" w:space="0" w:color="auto"/>
      </w:divBdr>
    </w:div>
    <w:div w:id="802698578">
      <w:bodyDiv w:val="1"/>
      <w:marLeft w:val="0"/>
      <w:marRight w:val="0"/>
      <w:marTop w:val="0"/>
      <w:marBottom w:val="0"/>
      <w:divBdr>
        <w:top w:val="none" w:sz="0" w:space="0" w:color="auto"/>
        <w:left w:val="none" w:sz="0" w:space="0" w:color="auto"/>
        <w:bottom w:val="none" w:sz="0" w:space="0" w:color="auto"/>
        <w:right w:val="none" w:sz="0" w:space="0" w:color="auto"/>
      </w:divBdr>
    </w:div>
    <w:div w:id="956301765">
      <w:bodyDiv w:val="1"/>
      <w:marLeft w:val="0"/>
      <w:marRight w:val="0"/>
      <w:marTop w:val="0"/>
      <w:marBottom w:val="0"/>
      <w:divBdr>
        <w:top w:val="none" w:sz="0" w:space="0" w:color="auto"/>
        <w:left w:val="none" w:sz="0" w:space="0" w:color="auto"/>
        <w:bottom w:val="none" w:sz="0" w:space="0" w:color="auto"/>
        <w:right w:val="none" w:sz="0" w:space="0" w:color="auto"/>
      </w:divBdr>
    </w:div>
    <w:div w:id="1120489428">
      <w:bodyDiv w:val="1"/>
      <w:marLeft w:val="0"/>
      <w:marRight w:val="0"/>
      <w:marTop w:val="0"/>
      <w:marBottom w:val="0"/>
      <w:divBdr>
        <w:top w:val="none" w:sz="0" w:space="0" w:color="auto"/>
        <w:left w:val="none" w:sz="0" w:space="0" w:color="auto"/>
        <w:bottom w:val="none" w:sz="0" w:space="0" w:color="auto"/>
        <w:right w:val="none" w:sz="0" w:space="0" w:color="auto"/>
      </w:divBdr>
    </w:div>
    <w:div w:id="1129779764">
      <w:bodyDiv w:val="1"/>
      <w:marLeft w:val="0"/>
      <w:marRight w:val="0"/>
      <w:marTop w:val="0"/>
      <w:marBottom w:val="0"/>
      <w:divBdr>
        <w:top w:val="none" w:sz="0" w:space="0" w:color="auto"/>
        <w:left w:val="none" w:sz="0" w:space="0" w:color="auto"/>
        <w:bottom w:val="none" w:sz="0" w:space="0" w:color="auto"/>
        <w:right w:val="none" w:sz="0" w:space="0" w:color="auto"/>
      </w:divBdr>
    </w:div>
    <w:div w:id="1158956083">
      <w:bodyDiv w:val="1"/>
      <w:marLeft w:val="0"/>
      <w:marRight w:val="0"/>
      <w:marTop w:val="0"/>
      <w:marBottom w:val="0"/>
      <w:divBdr>
        <w:top w:val="none" w:sz="0" w:space="0" w:color="auto"/>
        <w:left w:val="none" w:sz="0" w:space="0" w:color="auto"/>
        <w:bottom w:val="none" w:sz="0" w:space="0" w:color="auto"/>
        <w:right w:val="none" w:sz="0" w:space="0" w:color="auto"/>
      </w:divBdr>
    </w:div>
    <w:div w:id="1213268679">
      <w:bodyDiv w:val="1"/>
      <w:marLeft w:val="0"/>
      <w:marRight w:val="0"/>
      <w:marTop w:val="0"/>
      <w:marBottom w:val="0"/>
      <w:divBdr>
        <w:top w:val="none" w:sz="0" w:space="0" w:color="auto"/>
        <w:left w:val="none" w:sz="0" w:space="0" w:color="auto"/>
        <w:bottom w:val="none" w:sz="0" w:space="0" w:color="auto"/>
        <w:right w:val="none" w:sz="0" w:space="0" w:color="auto"/>
      </w:divBdr>
    </w:div>
    <w:div w:id="1223061593">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50932508">
      <w:bodyDiv w:val="1"/>
      <w:marLeft w:val="0"/>
      <w:marRight w:val="0"/>
      <w:marTop w:val="0"/>
      <w:marBottom w:val="0"/>
      <w:divBdr>
        <w:top w:val="none" w:sz="0" w:space="0" w:color="auto"/>
        <w:left w:val="none" w:sz="0" w:space="0" w:color="auto"/>
        <w:bottom w:val="none" w:sz="0" w:space="0" w:color="auto"/>
        <w:right w:val="none" w:sz="0" w:space="0" w:color="auto"/>
      </w:divBdr>
    </w:div>
    <w:div w:id="1480418855">
      <w:bodyDiv w:val="1"/>
      <w:marLeft w:val="0"/>
      <w:marRight w:val="0"/>
      <w:marTop w:val="0"/>
      <w:marBottom w:val="0"/>
      <w:divBdr>
        <w:top w:val="none" w:sz="0" w:space="0" w:color="auto"/>
        <w:left w:val="none" w:sz="0" w:space="0" w:color="auto"/>
        <w:bottom w:val="none" w:sz="0" w:space="0" w:color="auto"/>
        <w:right w:val="none" w:sz="0" w:space="0" w:color="auto"/>
      </w:divBdr>
    </w:div>
    <w:div w:id="1511869666">
      <w:bodyDiv w:val="1"/>
      <w:marLeft w:val="0"/>
      <w:marRight w:val="0"/>
      <w:marTop w:val="0"/>
      <w:marBottom w:val="0"/>
      <w:divBdr>
        <w:top w:val="none" w:sz="0" w:space="0" w:color="auto"/>
        <w:left w:val="none" w:sz="0" w:space="0" w:color="auto"/>
        <w:bottom w:val="none" w:sz="0" w:space="0" w:color="auto"/>
        <w:right w:val="none" w:sz="0" w:space="0" w:color="auto"/>
      </w:divBdr>
    </w:div>
    <w:div w:id="1554803705">
      <w:bodyDiv w:val="1"/>
      <w:marLeft w:val="0"/>
      <w:marRight w:val="0"/>
      <w:marTop w:val="0"/>
      <w:marBottom w:val="0"/>
      <w:divBdr>
        <w:top w:val="none" w:sz="0" w:space="0" w:color="auto"/>
        <w:left w:val="none" w:sz="0" w:space="0" w:color="auto"/>
        <w:bottom w:val="none" w:sz="0" w:space="0" w:color="auto"/>
        <w:right w:val="none" w:sz="0" w:space="0" w:color="auto"/>
      </w:divBdr>
    </w:div>
    <w:div w:id="1564174872">
      <w:bodyDiv w:val="1"/>
      <w:marLeft w:val="0"/>
      <w:marRight w:val="0"/>
      <w:marTop w:val="0"/>
      <w:marBottom w:val="0"/>
      <w:divBdr>
        <w:top w:val="none" w:sz="0" w:space="0" w:color="auto"/>
        <w:left w:val="none" w:sz="0" w:space="0" w:color="auto"/>
        <w:bottom w:val="none" w:sz="0" w:space="0" w:color="auto"/>
        <w:right w:val="none" w:sz="0" w:space="0" w:color="auto"/>
      </w:divBdr>
    </w:div>
    <w:div w:id="1606961675">
      <w:bodyDiv w:val="1"/>
      <w:marLeft w:val="0"/>
      <w:marRight w:val="0"/>
      <w:marTop w:val="0"/>
      <w:marBottom w:val="0"/>
      <w:divBdr>
        <w:top w:val="none" w:sz="0" w:space="0" w:color="auto"/>
        <w:left w:val="none" w:sz="0" w:space="0" w:color="auto"/>
        <w:bottom w:val="none" w:sz="0" w:space="0" w:color="auto"/>
        <w:right w:val="none" w:sz="0" w:space="0" w:color="auto"/>
      </w:divBdr>
    </w:div>
    <w:div w:id="1644963762">
      <w:bodyDiv w:val="1"/>
      <w:marLeft w:val="0"/>
      <w:marRight w:val="0"/>
      <w:marTop w:val="0"/>
      <w:marBottom w:val="0"/>
      <w:divBdr>
        <w:top w:val="none" w:sz="0" w:space="0" w:color="auto"/>
        <w:left w:val="none" w:sz="0" w:space="0" w:color="auto"/>
        <w:bottom w:val="none" w:sz="0" w:space="0" w:color="auto"/>
        <w:right w:val="none" w:sz="0" w:space="0" w:color="auto"/>
      </w:divBdr>
    </w:div>
    <w:div w:id="1850487639">
      <w:bodyDiv w:val="1"/>
      <w:marLeft w:val="0"/>
      <w:marRight w:val="0"/>
      <w:marTop w:val="0"/>
      <w:marBottom w:val="0"/>
      <w:divBdr>
        <w:top w:val="none" w:sz="0" w:space="0" w:color="auto"/>
        <w:left w:val="none" w:sz="0" w:space="0" w:color="auto"/>
        <w:bottom w:val="none" w:sz="0" w:space="0" w:color="auto"/>
        <w:right w:val="none" w:sz="0" w:space="0" w:color="auto"/>
      </w:divBdr>
    </w:div>
    <w:div w:id="1885479410">
      <w:bodyDiv w:val="1"/>
      <w:marLeft w:val="0"/>
      <w:marRight w:val="0"/>
      <w:marTop w:val="0"/>
      <w:marBottom w:val="0"/>
      <w:divBdr>
        <w:top w:val="none" w:sz="0" w:space="0" w:color="auto"/>
        <w:left w:val="none" w:sz="0" w:space="0" w:color="auto"/>
        <w:bottom w:val="none" w:sz="0" w:space="0" w:color="auto"/>
        <w:right w:val="none" w:sz="0" w:space="0" w:color="auto"/>
      </w:divBdr>
    </w:div>
    <w:div w:id="1926064696">
      <w:bodyDiv w:val="1"/>
      <w:marLeft w:val="0"/>
      <w:marRight w:val="0"/>
      <w:marTop w:val="0"/>
      <w:marBottom w:val="0"/>
      <w:divBdr>
        <w:top w:val="none" w:sz="0" w:space="0" w:color="auto"/>
        <w:left w:val="none" w:sz="0" w:space="0" w:color="auto"/>
        <w:bottom w:val="none" w:sz="0" w:space="0" w:color="auto"/>
        <w:right w:val="none" w:sz="0" w:space="0" w:color="auto"/>
      </w:divBdr>
    </w:div>
    <w:div w:id="2018271169">
      <w:bodyDiv w:val="1"/>
      <w:marLeft w:val="0"/>
      <w:marRight w:val="0"/>
      <w:marTop w:val="0"/>
      <w:marBottom w:val="0"/>
      <w:divBdr>
        <w:top w:val="none" w:sz="0" w:space="0" w:color="auto"/>
        <w:left w:val="none" w:sz="0" w:space="0" w:color="auto"/>
        <w:bottom w:val="none" w:sz="0" w:space="0" w:color="auto"/>
        <w:right w:val="none" w:sz="0" w:space="0" w:color="auto"/>
      </w:divBdr>
    </w:div>
    <w:div w:id="2022661297">
      <w:bodyDiv w:val="1"/>
      <w:marLeft w:val="0"/>
      <w:marRight w:val="0"/>
      <w:marTop w:val="0"/>
      <w:marBottom w:val="0"/>
      <w:divBdr>
        <w:top w:val="none" w:sz="0" w:space="0" w:color="auto"/>
        <w:left w:val="none" w:sz="0" w:space="0" w:color="auto"/>
        <w:bottom w:val="none" w:sz="0" w:space="0" w:color="auto"/>
        <w:right w:val="none" w:sz="0" w:space="0" w:color="auto"/>
      </w:divBdr>
    </w:div>
    <w:div w:id="2080125713">
      <w:bodyDiv w:val="1"/>
      <w:marLeft w:val="0"/>
      <w:marRight w:val="0"/>
      <w:marTop w:val="0"/>
      <w:marBottom w:val="0"/>
      <w:divBdr>
        <w:top w:val="none" w:sz="0" w:space="0" w:color="auto"/>
        <w:left w:val="none" w:sz="0" w:space="0" w:color="auto"/>
        <w:bottom w:val="none" w:sz="0" w:space="0" w:color="auto"/>
        <w:right w:val="none" w:sz="0" w:space="0" w:color="auto"/>
      </w:divBdr>
    </w:div>
    <w:div w:id="2086368400">
      <w:bodyDiv w:val="1"/>
      <w:marLeft w:val="0"/>
      <w:marRight w:val="0"/>
      <w:marTop w:val="0"/>
      <w:marBottom w:val="0"/>
      <w:divBdr>
        <w:top w:val="none" w:sz="0" w:space="0" w:color="auto"/>
        <w:left w:val="none" w:sz="0" w:space="0" w:color="auto"/>
        <w:bottom w:val="none" w:sz="0" w:space="0" w:color="auto"/>
        <w:right w:val="none" w:sz="0" w:space="0" w:color="auto"/>
      </w:divBdr>
      <w:divsChild>
        <w:div w:id="371731430">
          <w:marLeft w:val="0"/>
          <w:marRight w:val="0"/>
          <w:marTop w:val="0"/>
          <w:marBottom w:val="0"/>
          <w:divBdr>
            <w:top w:val="none" w:sz="0" w:space="0" w:color="auto"/>
            <w:left w:val="none" w:sz="0" w:space="0" w:color="auto"/>
            <w:bottom w:val="none" w:sz="0" w:space="0" w:color="auto"/>
            <w:right w:val="none" w:sz="0" w:space="0" w:color="auto"/>
          </w:divBdr>
        </w:div>
        <w:div w:id="680814719">
          <w:marLeft w:val="0"/>
          <w:marRight w:val="0"/>
          <w:marTop w:val="0"/>
          <w:marBottom w:val="0"/>
          <w:divBdr>
            <w:top w:val="none" w:sz="0" w:space="0" w:color="auto"/>
            <w:left w:val="none" w:sz="0" w:space="0" w:color="auto"/>
            <w:bottom w:val="none" w:sz="0" w:space="0" w:color="auto"/>
            <w:right w:val="none" w:sz="0" w:space="0" w:color="auto"/>
          </w:divBdr>
        </w:div>
      </w:divsChild>
    </w:div>
    <w:div w:id="2087914268">
      <w:bodyDiv w:val="1"/>
      <w:marLeft w:val="0"/>
      <w:marRight w:val="0"/>
      <w:marTop w:val="0"/>
      <w:marBottom w:val="0"/>
      <w:divBdr>
        <w:top w:val="none" w:sz="0" w:space="0" w:color="auto"/>
        <w:left w:val="none" w:sz="0" w:space="0" w:color="auto"/>
        <w:bottom w:val="none" w:sz="0" w:space="0" w:color="auto"/>
        <w:right w:val="none" w:sz="0" w:space="0" w:color="auto"/>
      </w:divBdr>
    </w:div>
    <w:div w:id="20974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products/australian-register-therapeutic-goods-artg/consumer-medicines-information-cmi" TargetMode="External"/><Relationship Id="rId39"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hyperlink" Target="https://creativecommons.org/licenses/by-sa/4.0" TargetMode="External"/><Relationship Id="rId34" Type="http://schemas.openxmlformats.org/officeDocument/2006/relationships/image" Target="media/image6.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products/australian-register-therapeutic-goods-artg/product-information-one" TargetMode="External"/><Relationship Id="rId33" Type="http://schemas.microsoft.com/office/2007/relationships/hdphoto" Target="media/hdphoto1.wdp"/><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commons.wikimedia.org/wiki/File:Diagram_showing_early_stage_bladder_cancer_CRUK_442.svg" TargetMode="External"/><Relationship Id="rId29" Type="http://schemas.openxmlformats.org/officeDocument/2006/relationships/hyperlink" Target="https://www.tga.gov.au/resources/resource/guidance/provisional-determination"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australian-register-therapeutic-goods-artg/product-information-one" TargetMode="External"/><Relationship Id="rId32" Type="http://schemas.openxmlformats.org/officeDocument/2006/relationships/image" Target="media/image5.png"/><Relationship Id="rId37" Type="http://schemas.openxmlformats.org/officeDocument/2006/relationships/header" Target="header3.xml"/><Relationship Id="rId40"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 TargetMode="External"/><Relationship Id="rId28" Type="http://schemas.openxmlformats.org/officeDocument/2006/relationships/hyperlink" Target="https://www.tga.gov.au/provisional-approval-pathway-prescription-medicines" TargetMode="External"/><Relationship Id="rId36" Type="http://schemas.openxmlformats.org/officeDocument/2006/relationships/hyperlink" Target="https://www.tga.gov.au/picmi-search-facility"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fda.gov/media/101468/downloa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 TargetMode="External"/><Relationship Id="rId27" Type="http://schemas.openxmlformats.org/officeDocument/2006/relationships/hyperlink" Target="https://www.tga.gov.au/picmi-search-facility" TargetMode="External"/><Relationship Id="rId30" Type="http://schemas.openxmlformats.org/officeDocument/2006/relationships/hyperlink" Target="https://www.tga.gov.au/resources/resource/international-scientific-guidelines/international-scientific-guideline-guideline-evaluation-anticancer-medicinal-products-man" TargetMode="External"/><Relationship Id="rId35" Type="http://schemas.openxmlformats.org/officeDocument/2006/relationships/hyperlink" Target="https://www.tga.gov.au/committee/advisory-committee-medicines-acm"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uspar/auspar-pembrolizumab-rch" TargetMode="External"/><Relationship Id="rId13" Type="http://schemas.openxmlformats.org/officeDocument/2006/relationships/hyperlink" Target="https://www.tga.gov.au/tgas-risk-management-approach" TargetMode="External"/><Relationship Id="rId3" Type="http://schemas.openxmlformats.org/officeDocument/2006/relationships/hyperlink" Target="https://www.auanet.org/guidelines/bladder-cancer-non-muscle-invasive-guideline" TargetMode="External"/><Relationship Id="rId7" Type="http://schemas.openxmlformats.org/officeDocument/2006/relationships/hyperlink" Target="https://www.eviq.org.au/medical-oncology/urogenital/bladder-and-urothelial/1758-bladder-intravesical-gemcitabine" TargetMode="External"/><Relationship Id="rId12" Type="http://schemas.openxmlformats.org/officeDocument/2006/relationships/hyperlink" Target="https://www.tga.gov.au/publication/risk-management-plans-medicines-and-biologicals" TargetMode="External"/><Relationship Id="rId17" Type="http://schemas.openxmlformats.org/officeDocument/2006/relationships/hyperlink" Target="https://www.fda.gov/media/101468/download" TargetMode="External"/><Relationship Id="rId2" Type="http://schemas.openxmlformats.org/officeDocument/2006/relationships/hyperlink" Target="https://www.nccn.org/professionals/physician_gls/default.aspx" TargetMode="External"/><Relationship Id="rId16" Type="http://schemas.openxmlformats.org/officeDocument/2006/relationships/hyperlink" Target="https://www.tga.gov.au/resources/resource/international-scientific-guidelines/international-scientific-guideline-guideline-evaluation-anticancer-medicinal-products-man" TargetMode="External"/><Relationship Id="rId1" Type="http://schemas.openxmlformats.org/officeDocument/2006/relationships/hyperlink" Target="https://ncci.canceraustralia.gov.au/diagnosis/cancer-incidence/cancer-incidence" TargetMode="External"/><Relationship Id="rId6" Type="http://schemas.openxmlformats.org/officeDocument/2006/relationships/hyperlink" Target="https://uroweb.org/guideline/non-muscle-invasive-bladder-cancer/" TargetMode="External"/><Relationship Id="rId11" Type="http://schemas.openxmlformats.org/officeDocument/2006/relationships/hyperlink" Target="https://www.tga.gov.au/resources/auspar/auspar-pembrolizumab-rch" TargetMode="External"/><Relationship Id="rId5" Type="http://schemas.openxmlformats.org/officeDocument/2006/relationships/hyperlink" Target="https://www.cancercouncil.com.au/bladder-cancer/non-muscle-invasive-treatment/surgery/" TargetMode="External"/><Relationship Id="rId15" Type="http://schemas.openxmlformats.org/officeDocument/2006/relationships/hyperlink" Target="https://www.tga.gov.au/resources/resource/guidance/risk-management-plans-medicines-and-biologicals/australia-specific-annex-eu-rmp" TargetMode="External"/><Relationship Id="rId10" Type="http://schemas.openxmlformats.org/officeDocument/2006/relationships/hyperlink" Target="https://www.fda.gov/media/134583/download" TargetMode="External"/><Relationship Id="rId4" Type="http://schemas.openxmlformats.org/officeDocument/2006/relationships/hyperlink" Target="https://uroweb.org/guideline/non-muscle-invasive-bladder-cancer/" TargetMode="External"/><Relationship Id="rId9" Type="http://schemas.openxmlformats.org/officeDocument/2006/relationships/hyperlink" Target="https://www.tga.gov.au/resources/auspar/auspar-pembrolizumab-0" TargetMode="External"/><Relationship Id="rId14" Type="http://schemas.openxmlformats.org/officeDocument/2006/relationships/hyperlink" Target="https://www.tga.gov.au/resources/resource/guidance/risk-management-plans-medicines-and-biologicals/australia-specific-annex-eu-rmp"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CFD7A4CB65E147B1602BA2C65E1EB4" ma:contentTypeVersion="9" ma:contentTypeDescription="Create a new document." ma:contentTypeScope="" ma:versionID="5c7029e32a4e13e0895d60fe3f4579b5">
  <xsd:schema xmlns:xsd="http://www.w3.org/2001/XMLSchema" xmlns:xs="http://www.w3.org/2001/XMLSchema" xmlns:p="http://schemas.microsoft.com/office/2006/metadata/properties" xmlns:ns2="6fcd03b3-5e6e-4072-b7a2-66d1e5aa8521" xmlns:ns3="2339e4e9-aca0-4c32-8d7a-4021147d07b7" targetNamespace="http://schemas.microsoft.com/office/2006/metadata/properties" ma:root="true" ma:fieldsID="514c986033cdeaaa4acf6aa06848439b" ns2:_="" ns3:_="">
    <xsd:import namespace="6fcd03b3-5e6e-4072-b7a2-66d1e5aa8521"/>
    <xsd:import namespace="2339e4e9-aca0-4c32-8d7a-4021147d0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d03b3-5e6e-4072-b7a2-66d1e5aa8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39e4e9-aca0-4c32-8d7a-4021147d07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2A970-FA23-4CFC-9D60-5A284D47A5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F35751-739C-4B01-93FA-5B52235A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d03b3-5e6e-4072-b7a2-66d1e5aa8521"/>
    <ds:schemaRef ds:uri="2339e4e9-aca0-4c32-8d7a-4021147d0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4042D-AA7B-4DE6-948B-CB88BA170E6B}">
  <ds:schemaRefs>
    <ds:schemaRef ds:uri="http://schemas.microsoft.com/sharepoint/v3/contenttype/forms"/>
  </ds:schemaRefs>
</ds:datastoreItem>
</file>

<file path=customXml/itemProps4.xml><?xml version="1.0" encoding="utf-8"?>
<ds:datastoreItem xmlns:ds="http://schemas.openxmlformats.org/officeDocument/2006/customXml" ds:itemID="{104F0055-CF4D-44FE-888D-CAD9CB68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16404</Words>
  <Characters>95967</Characters>
  <Application>Microsoft Office Word</Application>
  <DocSecurity>0</DocSecurity>
  <Lines>2399</Lines>
  <Paragraphs>1582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Keytruda</dc:title>
  <dc:subject>Prescription medicines</dc:subject>
  <dc:creator>Therapeutic Goods Administration</dc:creator>
  <cp:keywords/>
  <dc:description/>
  <cp:lastModifiedBy>LACK, Janet</cp:lastModifiedBy>
  <cp:revision>3</cp:revision>
  <dcterms:created xsi:type="dcterms:W3CDTF">2023-06-15T01:44:00Z</dcterms:created>
  <dcterms:modified xsi:type="dcterms:W3CDTF">2023-06-15T01:46:00Z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927fd646-07cb-4c4e-a107-4e4d6b30ba1b_Enabled">
    <vt:lpwstr>true</vt:lpwstr>
  </property>
  <property fmtid="{D5CDD505-2E9C-101B-9397-08002B2CF9AE}" pid="4" name="MSIP_Label_927fd646-07cb-4c4e-a107-4e4d6b30ba1b_SetDate">
    <vt:lpwstr>2023-04-03T11:52:43Z</vt:lpwstr>
  </property>
  <property fmtid="{D5CDD505-2E9C-101B-9397-08002B2CF9AE}" pid="5" name="MSIP_Label_927fd646-07cb-4c4e-a107-4e4d6b30ba1b_Method">
    <vt:lpwstr>Privileged</vt:lpwstr>
  </property>
  <property fmtid="{D5CDD505-2E9C-101B-9397-08002B2CF9AE}" pid="6" name="MSIP_Label_927fd646-07cb-4c4e-a107-4e4d6b30ba1b_Name">
    <vt:lpwstr>927fd646-07cb-4c4e-a107-4e4d6b30ba1b</vt:lpwstr>
  </property>
  <property fmtid="{D5CDD505-2E9C-101B-9397-08002B2CF9AE}" pid="7" name="MSIP_Label_927fd646-07cb-4c4e-a107-4e4d6b30ba1b_SiteId">
    <vt:lpwstr>a00de4ec-48a8-43a6-be74-e31274e2060d</vt:lpwstr>
  </property>
  <property fmtid="{D5CDD505-2E9C-101B-9397-08002B2CF9AE}" pid="8" name="MSIP_Label_927fd646-07cb-4c4e-a107-4e4d6b30ba1b_ActionId">
    <vt:lpwstr>d03e4219-5165-4385-85dc-da22369109f0</vt:lpwstr>
  </property>
  <property fmtid="{D5CDD505-2E9C-101B-9397-08002B2CF9AE}" pid="9" name="MSIP_Label_927fd646-07cb-4c4e-a107-4e4d6b30ba1b_ContentBits">
    <vt:lpwstr>1</vt:lpwstr>
  </property>
  <property fmtid="{D5CDD505-2E9C-101B-9397-08002B2CF9AE}" pid="10" name="MerckAIPLabel">
    <vt:lpwstr>Proprietary</vt:lpwstr>
  </property>
  <property fmtid="{D5CDD505-2E9C-101B-9397-08002B2CF9AE}" pid="11" name="MerckAIPDataExchange">
    <vt:lpwstr>!MRKMIP@Proprietary</vt:lpwstr>
  </property>
  <property fmtid="{D5CDD505-2E9C-101B-9397-08002B2CF9AE}" pid="12" name="ContentTypeId">
    <vt:lpwstr>0x010100FBCFD7A4CB65E147B1602BA2C65E1EB4</vt:lpwstr>
  </property>
</Properties>
</file>