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6CCA5147" w:rsidR="00F02AEC" w:rsidRPr="00215D48" w:rsidRDefault="00346EC2" w:rsidP="007452E8">
            <w:pPr>
              <w:pStyle w:val="Title"/>
            </w:pPr>
            <w:r w:rsidRPr="00346EC2">
              <w:t xml:space="preserve">Australian Public Assessment Report for </w:t>
            </w:r>
            <w:r w:rsidR="00275C75">
              <w:t>Opdivo</w:t>
            </w:r>
          </w:p>
        </w:tc>
      </w:tr>
      <w:tr w:rsidR="00F02AEC" w:rsidRPr="00215D48" w14:paraId="318A40A3" w14:textId="77777777" w:rsidTr="00346EC2">
        <w:trPr>
          <w:trHeight w:val="995"/>
        </w:trPr>
        <w:tc>
          <w:tcPr>
            <w:tcW w:w="8720" w:type="dxa"/>
          </w:tcPr>
          <w:p w14:paraId="1AA7C701" w14:textId="5D64372C" w:rsidR="00F02AEC" w:rsidRPr="00215D48" w:rsidRDefault="00346EC2" w:rsidP="007452E8">
            <w:pPr>
              <w:pStyle w:val="Subtitle"/>
              <w:ind w:left="0"/>
            </w:pPr>
            <w:r w:rsidRPr="00346EC2">
              <w:t>Active ingredient:</w:t>
            </w:r>
            <w:r w:rsidR="00275C75">
              <w:t xml:space="preserve"> Nivolumab</w:t>
            </w:r>
          </w:p>
        </w:tc>
      </w:tr>
      <w:tr w:rsidR="00346EC2" w:rsidRPr="00215D48" w14:paraId="362CCAE4" w14:textId="77777777" w:rsidTr="007452E8">
        <w:trPr>
          <w:trHeight w:val="1916"/>
        </w:trPr>
        <w:tc>
          <w:tcPr>
            <w:tcW w:w="8720" w:type="dxa"/>
          </w:tcPr>
          <w:p w14:paraId="709C45C0" w14:textId="69D4DDEE" w:rsidR="00346EC2" w:rsidRPr="00215D48" w:rsidRDefault="00346EC2" w:rsidP="007452E8">
            <w:pPr>
              <w:pStyle w:val="Subtitle"/>
              <w:ind w:left="0"/>
            </w:pPr>
            <w:r w:rsidRPr="00346EC2">
              <w:t>Sponsor:</w:t>
            </w:r>
            <w:r w:rsidR="00275C75">
              <w:t xml:space="preserve"> Bristol-Myers Squibb Australia Pty Ltd</w:t>
            </w:r>
          </w:p>
        </w:tc>
      </w:tr>
      <w:tr w:rsidR="00F02AEC" w:rsidRPr="00215D48" w14:paraId="37F2AA1F" w14:textId="77777777" w:rsidTr="007452E8">
        <w:tc>
          <w:tcPr>
            <w:tcW w:w="8720" w:type="dxa"/>
          </w:tcPr>
          <w:p w14:paraId="1FDE8DCD" w14:textId="22E8ECA0" w:rsidR="00F02AEC" w:rsidRPr="00215D48" w:rsidRDefault="00A214D2" w:rsidP="007452E8">
            <w:pPr>
              <w:pStyle w:val="Date"/>
            </w:pPr>
            <w:r>
              <w:t>June</w:t>
            </w:r>
            <w:r w:rsidR="004B0889">
              <w:t xml:space="preserve"> </w:t>
            </w:r>
            <w:r w:rsidR="00275C75">
              <w:t>2023</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682D608"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5" w:history="1">
        <w:r w:rsidRPr="000F15B4">
          <w:rPr>
            <w:rStyle w:val="Hyperlink"/>
          </w:rPr>
          <w:t>TGA website</w:t>
        </w:r>
      </w:hyperlink>
      <w:r w:rsidRPr="003C6D1F">
        <w:t>.</w:t>
      </w:r>
    </w:p>
    <w:p w14:paraId="737B7A99" w14:textId="77777777" w:rsidR="00346EC2" w:rsidRDefault="00346EC2" w:rsidP="00346EC2">
      <w:pPr>
        <w:pStyle w:val="NonTOCHeading20"/>
      </w:pPr>
      <w:r>
        <w:t xml:space="preserve">About </w:t>
      </w:r>
      <w:proofErr w:type="spellStart"/>
      <w:r>
        <w:t>AusPARs</w:t>
      </w:r>
      <w:proofErr w:type="spellEnd"/>
    </w:p>
    <w:p w14:paraId="631B2209" w14:textId="3459A475"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6"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proofErr w:type="spellStart"/>
      <w:r w:rsidRPr="003C6D1F">
        <w:t>AusPARs</w:t>
      </w:r>
      <w:proofErr w:type="spellEnd"/>
      <w:r w:rsidRPr="003C6D1F">
        <w:t xml:space="preserve"> are prepared and published by the TGA.</w:t>
      </w:r>
    </w:p>
    <w:p w14:paraId="451B8FD7" w14:textId="77777777" w:rsidR="00346EC2" w:rsidRPr="003C6D1F" w:rsidRDefault="00346EC2" w:rsidP="00346EC2">
      <w:pPr>
        <w:pStyle w:val="ListBullet"/>
      </w:pPr>
      <w:proofErr w:type="spellStart"/>
      <w:r w:rsidRPr="003C6D1F">
        <w:t>AusPAR</w:t>
      </w:r>
      <w:r>
        <w:t>s</w:t>
      </w:r>
      <w:proofErr w:type="spellEnd"/>
      <w:r>
        <w:t xml:space="preserve">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7054D4">
      <w:pPr>
        <w:pStyle w:val="LegalSubheading"/>
        <w:spacing w:before="3000"/>
      </w:pPr>
      <w:r w:rsidRPr="00BA0DFC">
        <w:t>Copyright</w:t>
      </w:r>
    </w:p>
    <w:p w14:paraId="170A8A5D" w14:textId="6E06F524" w:rsidR="00175CD8" w:rsidRPr="00346EC2" w:rsidRDefault="00F02AEC" w:rsidP="00346EC2">
      <w:pPr>
        <w:pStyle w:val="LegalCopy"/>
        <w:rPr>
          <w:rFonts w:cs="Arial"/>
        </w:rPr>
      </w:pPr>
      <w:r w:rsidRPr="00215D48">
        <w:rPr>
          <w:rFonts w:cs="Arial"/>
        </w:rPr>
        <w:t>© Commonwealth of Australia 20</w:t>
      </w:r>
      <w:r>
        <w:rPr>
          <w:rFonts w:cs="Arial"/>
        </w:rPr>
        <w:t>2</w:t>
      </w:r>
      <w:r w:rsidR="00E47E0C">
        <w:rPr>
          <w:rFonts w:cs="Arial"/>
        </w:rPr>
        <w:t>3</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685DC033" w14:textId="2D8DDC1F" w:rsidR="00260F57" w:rsidRDefault="00F02AEC">
          <w:pPr>
            <w:pStyle w:val="TOC1"/>
            <w:rPr>
              <w:rFonts w:asciiTheme="minorHAnsi" w:eastAsiaTheme="minorEastAsia" w:hAnsiTheme="minorHAnsi" w:cstheme="minorBidi"/>
              <w:b w:val="0"/>
              <w:noProof/>
              <w:color w:val="auto"/>
              <w:sz w:val="22"/>
              <w:szCs w:val="22"/>
              <w:lang w:eastAsia="en-AU"/>
            </w:rPr>
          </w:pPr>
          <w:r w:rsidRPr="00215D48">
            <w:fldChar w:fldCharType="begin"/>
          </w:r>
          <w:r w:rsidRPr="00215D48">
            <w:instrText xml:space="preserve"> TOC \h \z \u \t "Heading 2,1,Heading 3,2,Heading 4,3" </w:instrText>
          </w:r>
          <w:r w:rsidRPr="00215D48">
            <w:fldChar w:fldCharType="separate"/>
          </w:r>
          <w:hyperlink w:anchor="_Toc136880542" w:history="1">
            <w:r w:rsidR="00260F57" w:rsidRPr="000E2C96">
              <w:rPr>
                <w:rStyle w:val="Hyperlink"/>
                <w:noProof/>
              </w:rPr>
              <w:t>List of abbreviations</w:t>
            </w:r>
            <w:r w:rsidR="00260F57">
              <w:rPr>
                <w:noProof/>
                <w:webHidden/>
              </w:rPr>
              <w:tab/>
            </w:r>
            <w:r w:rsidR="00260F57">
              <w:rPr>
                <w:noProof/>
                <w:webHidden/>
              </w:rPr>
              <w:fldChar w:fldCharType="begin"/>
            </w:r>
            <w:r w:rsidR="00260F57">
              <w:rPr>
                <w:noProof/>
                <w:webHidden/>
              </w:rPr>
              <w:instrText xml:space="preserve"> PAGEREF _Toc136880542 \h </w:instrText>
            </w:r>
            <w:r w:rsidR="00260F57">
              <w:rPr>
                <w:noProof/>
                <w:webHidden/>
              </w:rPr>
            </w:r>
            <w:r w:rsidR="00260F57">
              <w:rPr>
                <w:noProof/>
                <w:webHidden/>
              </w:rPr>
              <w:fldChar w:fldCharType="separate"/>
            </w:r>
            <w:r w:rsidR="007007E8">
              <w:rPr>
                <w:noProof/>
                <w:webHidden/>
              </w:rPr>
              <w:t>4</w:t>
            </w:r>
            <w:r w:rsidR="00260F57">
              <w:rPr>
                <w:noProof/>
                <w:webHidden/>
              </w:rPr>
              <w:fldChar w:fldCharType="end"/>
            </w:r>
          </w:hyperlink>
        </w:p>
        <w:p w14:paraId="6FA34F99" w14:textId="32CE8ABB" w:rsidR="00260F57" w:rsidRDefault="007007E8">
          <w:pPr>
            <w:pStyle w:val="TOC1"/>
            <w:rPr>
              <w:rFonts w:asciiTheme="minorHAnsi" w:eastAsiaTheme="minorEastAsia" w:hAnsiTheme="minorHAnsi" w:cstheme="minorBidi"/>
              <w:b w:val="0"/>
              <w:noProof/>
              <w:color w:val="auto"/>
              <w:sz w:val="22"/>
              <w:szCs w:val="22"/>
              <w:lang w:eastAsia="en-AU"/>
            </w:rPr>
          </w:pPr>
          <w:hyperlink w:anchor="_Toc136880543" w:history="1">
            <w:r w:rsidR="00260F57" w:rsidRPr="000E2C96">
              <w:rPr>
                <w:rStyle w:val="Hyperlink"/>
                <w:noProof/>
              </w:rPr>
              <w:t>Product submission</w:t>
            </w:r>
            <w:r w:rsidR="00260F57">
              <w:rPr>
                <w:noProof/>
                <w:webHidden/>
              </w:rPr>
              <w:tab/>
            </w:r>
            <w:r w:rsidR="00260F57">
              <w:rPr>
                <w:noProof/>
                <w:webHidden/>
              </w:rPr>
              <w:fldChar w:fldCharType="begin"/>
            </w:r>
            <w:r w:rsidR="00260F57">
              <w:rPr>
                <w:noProof/>
                <w:webHidden/>
              </w:rPr>
              <w:instrText xml:space="preserve"> PAGEREF _Toc136880543 \h </w:instrText>
            </w:r>
            <w:r w:rsidR="00260F57">
              <w:rPr>
                <w:noProof/>
                <w:webHidden/>
              </w:rPr>
            </w:r>
            <w:r w:rsidR="00260F57">
              <w:rPr>
                <w:noProof/>
                <w:webHidden/>
              </w:rPr>
              <w:fldChar w:fldCharType="separate"/>
            </w:r>
            <w:r>
              <w:rPr>
                <w:noProof/>
                <w:webHidden/>
              </w:rPr>
              <w:t>5</w:t>
            </w:r>
            <w:r w:rsidR="00260F57">
              <w:rPr>
                <w:noProof/>
                <w:webHidden/>
              </w:rPr>
              <w:fldChar w:fldCharType="end"/>
            </w:r>
          </w:hyperlink>
        </w:p>
        <w:p w14:paraId="67319013" w14:textId="2F57E08C"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44" w:history="1">
            <w:r w:rsidR="00260F57" w:rsidRPr="000E2C96">
              <w:rPr>
                <w:rStyle w:val="Hyperlink"/>
                <w:noProof/>
                <w:lang w:eastAsia="en-AU"/>
              </w:rPr>
              <w:t>Submission details</w:t>
            </w:r>
            <w:r w:rsidR="00260F57">
              <w:rPr>
                <w:noProof/>
                <w:webHidden/>
              </w:rPr>
              <w:tab/>
            </w:r>
            <w:r w:rsidR="00260F57">
              <w:rPr>
                <w:noProof/>
                <w:webHidden/>
              </w:rPr>
              <w:fldChar w:fldCharType="begin"/>
            </w:r>
            <w:r w:rsidR="00260F57">
              <w:rPr>
                <w:noProof/>
                <w:webHidden/>
              </w:rPr>
              <w:instrText xml:space="preserve"> PAGEREF _Toc136880544 \h </w:instrText>
            </w:r>
            <w:r w:rsidR="00260F57">
              <w:rPr>
                <w:noProof/>
                <w:webHidden/>
              </w:rPr>
            </w:r>
            <w:r w:rsidR="00260F57">
              <w:rPr>
                <w:noProof/>
                <w:webHidden/>
              </w:rPr>
              <w:fldChar w:fldCharType="separate"/>
            </w:r>
            <w:r>
              <w:rPr>
                <w:noProof/>
                <w:webHidden/>
              </w:rPr>
              <w:t>5</w:t>
            </w:r>
            <w:r w:rsidR="00260F57">
              <w:rPr>
                <w:noProof/>
                <w:webHidden/>
              </w:rPr>
              <w:fldChar w:fldCharType="end"/>
            </w:r>
          </w:hyperlink>
        </w:p>
        <w:p w14:paraId="73710D87" w14:textId="7FE94D75"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45" w:history="1">
            <w:r w:rsidR="00260F57" w:rsidRPr="000E2C96">
              <w:rPr>
                <w:rStyle w:val="Hyperlink"/>
                <w:noProof/>
              </w:rPr>
              <w:t>Product background</w:t>
            </w:r>
            <w:r w:rsidR="00260F57">
              <w:rPr>
                <w:noProof/>
                <w:webHidden/>
              </w:rPr>
              <w:tab/>
            </w:r>
            <w:r w:rsidR="00260F57">
              <w:rPr>
                <w:noProof/>
                <w:webHidden/>
              </w:rPr>
              <w:fldChar w:fldCharType="begin"/>
            </w:r>
            <w:r w:rsidR="00260F57">
              <w:rPr>
                <w:noProof/>
                <w:webHidden/>
              </w:rPr>
              <w:instrText xml:space="preserve"> PAGEREF _Toc136880545 \h </w:instrText>
            </w:r>
            <w:r w:rsidR="00260F57">
              <w:rPr>
                <w:noProof/>
                <w:webHidden/>
              </w:rPr>
            </w:r>
            <w:r w:rsidR="00260F57">
              <w:rPr>
                <w:noProof/>
                <w:webHidden/>
              </w:rPr>
              <w:fldChar w:fldCharType="separate"/>
            </w:r>
            <w:r>
              <w:rPr>
                <w:noProof/>
                <w:webHidden/>
              </w:rPr>
              <w:t>6</w:t>
            </w:r>
            <w:r w:rsidR="00260F57">
              <w:rPr>
                <w:noProof/>
                <w:webHidden/>
              </w:rPr>
              <w:fldChar w:fldCharType="end"/>
            </w:r>
          </w:hyperlink>
        </w:p>
        <w:p w14:paraId="5320F212" w14:textId="2DCAAD0B" w:rsidR="00260F57" w:rsidRDefault="007007E8">
          <w:pPr>
            <w:pStyle w:val="TOC3"/>
            <w:rPr>
              <w:rFonts w:asciiTheme="minorHAnsi" w:eastAsiaTheme="minorEastAsia" w:hAnsiTheme="minorHAnsi" w:cstheme="minorBidi"/>
              <w:b w:val="0"/>
              <w:noProof/>
              <w:color w:val="auto"/>
              <w:szCs w:val="22"/>
              <w:lang w:eastAsia="en-AU"/>
            </w:rPr>
          </w:pPr>
          <w:hyperlink w:anchor="_Toc136880546" w:history="1">
            <w:r w:rsidR="00260F57" w:rsidRPr="000E2C96">
              <w:rPr>
                <w:rStyle w:val="Hyperlink"/>
                <w:noProof/>
              </w:rPr>
              <w:t>Current treatment options</w:t>
            </w:r>
            <w:r w:rsidR="00260F57">
              <w:rPr>
                <w:noProof/>
                <w:webHidden/>
              </w:rPr>
              <w:tab/>
            </w:r>
            <w:r w:rsidR="00260F57">
              <w:rPr>
                <w:noProof/>
                <w:webHidden/>
              </w:rPr>
              <w:fldChar w:fldCharType="begin"/>
            </w:r>
            <w:r w:rsidR="00260F57">
              <w:rPr>
                <w:noProof/>
                <w:webHidden/>
              </w:rPr>
              <w:instrText xml:space="preserve"> PAGEREF _Toc136880546 \h </w:instrText>
            </w:r>
            <w:r w:rsidR="00260F57">
              <w:rPr>
                <w:noProof/>
                <w:webHidden/>
              </w:rPr>
            </w:r>
            <w:r w:rsidR="00260F57">
              <w:rPr>
                <w:noProof/>
                <w:webHidden/>
              </w:rPr>
              <w:fldChar w:fldCharType="separate"/>
            </w:r>
            <w:r>
              <w:rPr>
                <w:noProof/>
                <w:webHidden/>
              </w:rPr>
              <w:t>7</w:t>
            </w:r>
            <w:r w:rsidR="00260F57">
              <w:rPr>
                <w:noProof/>
                <w:webHidden/>
              </w:rPr>
              <w:fldChar w:fldCharType="end"/>
            </w:r>
          </w:hyperlink>
        </w:p>
        <w:p w14:paraId="31F38A76" w14:textId="7DE61EC9"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47" w:history="1">
            <w:r w:rsidR="00260F57" w:rsidRPr="000E2C96">
              <w:rPr>
                <w:rStyle w:val="Hyperlink"/>
                <w:noProof/>
              </w:rPr>
              <w:t>Regulatory status</w:t>
            </w:r>
            <w:r w:rsidR="00260F57">
              <w:rPr>
                <w:noProof/>
                <w:webHidden/>
              </w:rPr>
              <w:tab/>
            </w:r>
            <w:r w:rsidR="00260F57">
              <w:rPr>
                <w:noProof/>
                <w:webHidden/>
              </w:rPr>
              <w:fldChar w:fldCharType="begin"/>
            </w:r>
            <w:r w:rsidR="00260F57">
              <w:rPr>
                <w:noProof/>
                <w:webHidden/>
              </w:rPr>
              <w:instrText xml:space="preserve"> PAGEREF _Toc136880547 \h </w:instrText>
            </w:r>
            <w:r w:rsidR="00260F57">
              <w:rPr>
                <w:noProof/>
                <w:webHidden/>
              </w:rPr>
            </w:r>
            <w:r w:rsidR="00260F57">
              <w:rPr>
                <w:noProof/>
                <w:webHidden/>
              </w:rPr>
              <w:fldChar w:fldCharType="separate"/>
            </w:r>
            <w:r>
              <w:rPr>
                <w:noProof/>
                <w:webHidden/>
              </w:rPr>
              <w:t>8</w:t>
            </w:r>
            <w:r w:rsidR="00260F57">
              <w:rPr>
                <w:noProof/>
                <w:webHidden/>
              </w:rPr>
              <w:fldChar w:fldCharType="end"/>
            </w:r>
          </w:hyperlink>
        </w:p>
        <w:p w14:paraId="67139640" w14:textId="7087A1D7"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48" w:history="1">
            <w:r w:rsidR="00260F57" w:rsidRPr="000E2C96">
              <w:rPr>
                <w:rStyle w:val="Hyperlink"/>
                <w:noProof/>
              </w:rPr>
              <w:t>Product Information</w:t>
            </w:r>
            <w:r w:rsidR="00260F57">
              <w:rPr>
                <w:noProof/>
                <w:webHidden/>
              </w:rPr>
              <w:tab/>
            </w:r>
            <w:r w:rsidR="00260F57">
              <w:rPr>
                <w:noProof/>
                <w:webHidden/>
              </w:rPr>
              <w:fldChar w:fldCharType="begin"/>
            </w:r>
            <w:r w:rsidR="00260F57">
              <w:rPr>
                <w:noProof/>
                <w:webHidden/>
              </w:rPr>
              <w:instrText xml:space="preserve"> PAGEREF _Toc136880548 \h </w:instrText>
            </w:r>
            <w:r w:rsidR="00260F57">
              <w:rPr>
                <w:noProof/>
                <w:webHidden/>
              </w:rPr>
            </w:r>
            <w:r w:rsidR="00260F57">
              <w:rPr>
                <w:noProof/>
                <w:webHidden/>
              </w:rPr>
              <w:fldChar w:fldCharType="separate"/>
            </w:r>
            <w:r>
              <w:rPr>
                <w:noProof/>
                <w:webHidden/>
              </w:rPr>
              <w:t>11</w:t>
            </w:r>
            <w:r w:rsidR="00260F57">
              <w:rPr>
                <w:noProof/>
                <w:webHidden/>
              </w:rPr>
              <w:fldChar w:fldCharType="end"/>
            </w:r>
          </w:hyperlink>
        </w:p>
        <w:p w14:paraId="7577F6BB" w14:textId="7E3D012C" w:rsidR="00260F57" w:rsidRDefault="007007E8">
          <w:pPr>
            <w:pStyle w:val="TOC1"/>
            <w:rPr>
              <w:rFonts w:asciiTheme="minorHAnsi" w:eastAsiaTheme="minorEastAsia" w:hAnsiTheme="minorHAnsi" w:cstheme="minorBidi"/>
              <w:b w:val="0"/>
              <w:noProof/>
              <w:color w:val="auto"/>
              <w:sz w:val="22"/>
              <w:szCs w:val="22"/>
              <w:lang w:eastAsia="en-AU"/>
            </w:rPr>
          </w:pPr>
          <w:hyperlink w:anchor="_Toc136880549" w:history="1">
            <w:r w:rsidR="00260F57" w:rsidRPr="000E2C96">
              <w:rPr>
                <w:rStyle w:val="Hyperlink"/>
                <w:noProof/>
              </w:rPr>
              <w:t>Registration timeline</w:t>
            </w:r>
            <w:r w:rsidR="00260F57">
              <w:rPr>
                <w:noProof/>
                <w:webHidden/>
              </w:rPr>
              <w:tab/>
            </w:r>
            <w:r w:rsidR="00260F57">
              <w:rPr>
                <w:noProof/>
                <w:webHidden/>
              </w:rPr>
              <w:fldChar w:fldCharType="begin"/>
            </w:r>
            <w:r w:rsidR="00260F57">
              <w:rPr>
                <w:noProof/>
                <w:webHidden/>
              </w:rPr>
              <w:instrText xml:space="preserve"> PAGEREF _Toc136880549 \h </w:instrText>
            </w:r>
            <w:r w:rsidR="00260F57">
              <w:rPr>
                <w:noProof/>
                <w:webHidden/>
              </w:rPr>
            </w:r>
            <w:r w:rsidR="00260F57">
              <w:rPr>
                <w:noProof/>
                <w:webHidden/>
              </w:rPr>
              <w:fldChar w:fldCharType="separate"/>
            </w:r>
            <w:r>
              <w:rPr>
                <w:noProof/>
                <w:webHidden/>
              </w:rPr>
              <w:t>11</w:t>
            </w:r>
            <w:r w:rsidR="00260F57">
              <w:rPr>
                <w:noProof/>
                <w:webHidden/>
              </w:rPr>
              <w:fldChar w:fldCharType="end"/>
            </w:r>
          </w:hyperlink>
        </w:p>
        <w:p w14:paraId="164149D7" w14:textId="332DCA71" w:rsidR="00260F57" w:rsidRDefault="007007E8">
          <w:pPr>
            <w:pStyle w:val="TOC1"/>
            <w:rPr>
              <w:rFonts w:asciiTheme="minorHAnsi" w:eastAsiaTheme="minorEastAsia" w:hAnsiTheme="minorHAnsi" w:cstheme="minorBidi"/>
              <w:b w:val="0"/>
              <w:noProof/>
              <w:color w:val="auto"/>
              <w:sz w:val="22"/>
              <w:szCs w:val="22"/>
              <w:lang w:eastAsia="en-AU"/>
            </w:rPr>
          </w:pPr>
          <w:hyperlink w:anchor="_Toc136880550" w:history="1">
            <w:r w:rsidR="00260F57" w:rsidRPr="000E2C96">
              <w:rPr>
                <w:rStyle w:val="Hyperlink"/>
                <w:noProof/>
              </w:rPr>
              <w:t>Submission overview and risk/benefit assessment</w:t>
            </w:r>
            <w:r w:rsidR="00260F57">
              <w:rPr>
                <w:noProof/>
                <w:webHidden/>
              </w:rPr>
              <w:tab/>
            </w:r>
            <w:r w:rsidR="00260F57">
              <w:rPr>
                <w:noProof/>
                <w:webHidden/>
              </w:rPr>
              <w:fldChar w:fldCharType="begin"/>
            </w:r>
            <w:r w:rsidR="00260F57">
              <w:rPr>
                <w:noProof/>
                <w:webHidden/>
              </w:rPr>
              <w:instrText xml:space="preserve"> PAGEREF _Toc136880550 \h </w:instrText>
            </w:r>
            <w:r w:rsidR="00260F57">
              <w:rPr>
                <w:noProof/>
                <w:webHidden/>
              </w:rPr>
            </w:r>
            <w:r w:rsidR="00260F57">
              <w:rPr>
                <w:noProof/>
                <w:webHidden/>
              </w:rPr>
              <w:fldChar w:fldCharType="separate"/>
            </w:r>
            <w:r>
              <w:rPr>
                <w:noProof/>
                <w:webHidden/>
              </w:rPr>
              <w:t>12</w:t>
            </w:r>
            <w:r w:rsidR="00260F57">
              <w:rPr>
                <w:noProof/>
                <w:webHidden/>
              </w:rPr>
              <w:fldChar w:fldCharType="end"/>
            </w:r>
          </w:hyperlink>
        </w:p>
        <w:p w14:paraId="61BA71C7" w14:textId="2FFB37D9"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51" w:history="1">
            <w:r w:rsidR="00260F57" w:rsidRPr="000E2C96">
              <w:rPr>
                <w:rStyle w:val="Hyperlink"/>
                <w:noProof/>
              </w:rPr>
              <w:t>Quality</w:t>
            </w:r>
            <w:r w:rsidR="00260F57">
              <w:rPr>
                <w:noProof/>
                <w:webHidden/>
              </w:rPr>
              <w:tab/>
            </w:r>
            <w:r w:rsidR="00260F57">
              <w:rPr>
                <w:noProof/>
                <w:webHidden/>
              </w:rPr>
              <w:fldChar w:fldCharType="begin"/>
            </w:r>
            <w:r w:rsidR="00260F57">
              <w:rPr>
                <w:noProof/>
                <w:webHidden/>
              </w:rPr>
              <w:instrText xml:space="preserve"> PAGEREF _Toc136880551 \h </w:instrText>
            </w:r>
            <w:r w:rsidR="00260F57">
              <w:rPr>
                <w:noProof/>
                <w:webHidden/>
              </w:rPr>
            </w:r>
            <w:r w:rsidR="00260F57">
              <w:rPr>
                <w:noProof/>
                <w:webHidden/>
              </w:rPr>
              <w:fldChar w:fldCharType="separate"/>
            </w:r>
            <w:r>
              <w:rPr>
                <w:noProof/>
                <w:webHidden/>
              </w:rPr>
              <w:t>12</w:t>
            </w:r>
            <w:r w:rsidR="00260F57">
              <w:rPr>
                <w:noProof/>
                <w:webHidden/>
              </w:rPr>
              <w:fldChar w:fldCharType="end"/>
            </w:r>
          </w:hyperlink>
        </w:p>
        <w:p w14:paraId="48ABD3BB" w14:textId="6E937DB7"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52" w:history="1">
            <w:r w:rsidR="00260F57" w:rsidRPr="000E2C96">
              <w:rPr>
                <w:rStyle w:val="Hyperlink"/>
                <w:noProof/>
              </w:rPr>
              <w:t>Nonclinical</w:t>
            </w:r>
            <w:r w:rsidR="00260F57">
              <w:rPr>
                <w:noProof/>
                <w:webHidden/>
              </w:rPr>
              <w:tab/>
            </w:r>
            <w:r w:rsidR="00260F57">
              <w:rPr>
                <w:noProof/>
                <w:webHidden/>
              </w:rPr>
              <w:fldChar w:fldCharType="begin"/>
            </w:r>
            <w:r w:rsidR="00260F57">
              <w:rPr>
                <w:noProof/>
                <w:webHidden/>
              </w:rPr>
              <w:instrText xml:space="preserve"> PAGEREF _Toc136880552 \h </w:instrText>
            </w:r>
            <w:r w:rsidR="00260F57">
              <w:rPr>
                <w:noProof/>
                <w:webHidden/>
              </w:rPr>
            </w:r>
            <w:r w:rsidR="00260F57">
              <w:rPr>
                <w:noProof/>
                <w:webHidden/>
              </w:rPr>
              <w:fldChar w:fldCharType="separate"/>
            </w:r>
            <w:r>
              <w:rPr>
                <w:noProof/>
                <w:webHidden/>
              </w:rPr>
              <w:t>12</w:t>
            </w:r>
            <w:r w:rsidR="00260F57">
              <w:rPr>
                <w:noProof/>
                <w:webHidden/>
              </w:rPr>
              <w:fldChar w:fldCharType="end"/>
            </w:r>
          </w:hyperlink>
        </w:p>
        <w:p w14:paraId="02E6911E" w14:textId="586B0914"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53" w:history="1">
            <w:r w:rsidR="00260F57" w:rsidRPr="000E2C96">
              <w:rPr>
                <w:rStyle w:val="Hyperlink"/>
                <w:noProof/>
              </w:rPr>
              <w:t>Clinical</w:t>
            </w:r>
            <w:r w:rsidR="00260F57">
              <w:rPr>
                <w:noProof/>
                <w:webHidden/>
              </w:rPr>
              <w:tab/>
            </w:r>
            <w:r w:rsidR="00260F57">
              <w:rPr>
                <w:noProof/>
                <w:webHidden/>
              </w:rPr>
              <w:fldChar w:fldCharType="begin"/>
            </w:r>
            <w:r w:rsidR="00260F57">
              <w:rPr>
                <w:noProof/>
                <w:webHidden/>
              </w:rPr>
              <w:instrText xml:space="preserve"> PAGEREF _Toc136880553 \h </w:instrText>
            </w:r>
            <w:r w:rsidR="00260F57">
              <w:rPr>
                <w:noProof/>
                <w:webHidden/>
              </w:rPr>
            </w:r>
            <w:r w:rsidR="00260F57">
              <w:rPr>
                <w:noProof/>
                <w:webHidden/>
              </w:rPr>
              <w:fldChar w:fldCharType="separate"/>
            </w:r>
            <w:r>
              <w:rPr>
                <w:noProof/>
                <w:webHidden/>
              </w:rPr>
              <w:t>12</w:t>
            </w:r>
            <w:r w:rsidR="00260F57">
              <w:rPr>
                <w:noProof/>
                <w:webHidden/>
              </w:rPr>
              <w:fldChar w:fldCharType="end"/>
            </w:r>
          </w:hyperlink>
        </w:p>
        <w:p w14:paraId="6259D9C1" w14:textId="2DBDD486" w:rsidR="00260F57" w:rsidRDefault="007007E8">
          <w:pPr>
            <w:pStyle w:val="TOC3"/>
            <w:rPr>
              <w:rFonts w:asciiTheme="minorHAnsi" w:eastAsiaTheme="minorEastAsia" w:hAnsiTheme="minorHAnsi" w:cstheme="minorBidi"/>
              <w:b w:val="0"/>
              <w:noProof/>
              <w:color w:val="auto"/>
              <w:szCs w:val="22"/>
              <w:lang w:eastAsia="en-AU"/>
            </w:rPr>
          </w:pPr>
          <w:hyperlink w:anchor="_Toc136880554" w:history="1">
            <w:r w:rsidR="00260F57" w:rsidRPr="000E2C96">
              <w:rPr>
                <w:rStyle w:val="Hyperlink"/>
                <w:noProof/>
              </w:rPr>
              <w:t>Summary of clinical studies</w:t>
            </w:r>
            <w:r w:rsidR="00260F57">
              <w:rPr>
                <w:noProof/>
                <w:webHidden/>
              </w:rPr>
              <w:tab/>
            </w:r>
            <w:r w:rsidR="00260F57">
              <w:rPr>
                <w:noProof/>
                <w:webHidden/>
              </w:rPr>
              <w:fldChar w:fldCharType="begin"/>
            </w:r>
            <w:r w:rsidR="00260F57">
              <w:rPr>
                <w:noProof/>
                <w:webHidden/>
              </w:rPr>
              <w:instrText xml:space="preserve"> PAGEREF _Toc136880554 \h </w:instrText>
            </w:r>
            <w:r w:rsidR="00260F57">
              <w:rPr>
                <w:noProof/>
                <w:webHidden/>
              </w:rPr>
            </w:r>
            <w:r w:rsidR="00260F57">
              <w:rPr>
                <w:noProof/>
                <w:webHidden/>
              </w:rPr>
              <w:fldChar w:fldCharType="separate"/>
            </w:r>
            <w:r>
              <w:rPr>
                <w:noProof/>
                <w:webHidden/>
              </w:rPr>
              <w:t>12</w:t>
            </w:r>
            <w:r w:rsidR="00260F57">
              <w:rPr>
                <w:noProof/>
                <w:webHidden/>
              </w:rPr>
              <w:fldChar w:fldCharType="end"/>
            </w:r>
          </w:hyperlink>
        </w:p>
        <w:p w14:paraId="2C03A140" w14:textId="0D16A855" w:rsidR="00260F57" w:rsidRDefault="007007E8">
          <w:pPr>
            <w:pStyle w:val="TOC3"/>
            <w:rPr>
              <w:rFonts w:asciiTheme="minorHAnsi" w:eastAsiaTheme="minorEastAsia" w:hAnsiTheme="minorHAnsi" w:cstheme="minorBidi"/>
              <w:b w:val="0"/>
              <w:noProof/>
              <w:color w:val="auto"/>
              <w:szCs w:val="22"/>
              <w:lang w:eastAsia="en-AU"/>
            </w:rPr>
          </w:pPr>
          <w:hyperlink w:anchor="_Toc136880555" w:history="1">
            <w:r w:rsidR="00260F57" w:rsidRPr="000E2C96">
              <w:rPr>
                <w:rStyle w:val="Hyperlink"/>
                <w:noProof/>
              </w:rPr>
              <w:t>Study CA209274 (the CheckMate 274 trial)</w:t>
            </w:r>
            <w:r w:rsidR="00260F57">
              <w:rPr>
                <w:noProof/>
                <w:webHidden/>
              </w:rPr>
              <w:tab/>
            </w:r>
            <w:r w:rsidR="00260F57">
              <w:rPr>
                <w:noProof/>
                <w:webHidden/>
              </w:rPr>
              <w:fldChar w:fldCharType="begin"/>
            </w:r>
            <w:r w:rsidR="00260F57">
              <w:rPr>
                <w:noProof/>
                <w:webHidden/>
              </w:rPr>
              <w:instrText xml:space="preserve"> PAGEREF _Toc136880555 \h </w:instrText>
            </w:r>
            <w:r w:rsidR="00260F57">
              <w:rPr>
                <w:noProof/>
                <w:webHidden/>
              </w:rPr>
            </w:r>
            <w:r w:rsidR="00260F57">
              <w:rPr>
                <w:noProof/>
                <w:webHidden/>
              </w:rPr>
              <w:fldChar w:fldCharType="separate"/>
            </w:r>
            <w:r>
              <w:rPr>
                <w:noProof/>
                <w:webHidden/>
              </w:rPr>
              <w:t>13</w:t>
            </w:r>
            <w:r w:rsidR="00260F57">
              <w:rPr>
                <w:noProof/>
                <w:webHidden/>
              </w:rPr>
              <w:fldChar w:fldCharType="end"/>
            </w:r>
          </w:hyperlink>
        </w:p>
        <w:p w14:paraId="224DE074" w14:textId="4941666D" w:rsidR="00260F57" w:rsidRDefault="007007E8">
          <w:pPr>
            <w:pStyle w:val="TOC3"/>
            <w:rPr>
              <w:rFonts w:asciiTheme="minorHAnsi" w:eastAsiaTheme="minorEastAsia" w:hAnsiTheme="minorHAnsi" w:cstheme="minorBidi"/>
              <w:b w:val="0"/>
              <w:noProof/>
              <w:color w:val="auto"/>
              <w:szCs w:val="22"/>
              <w:lang w:eastAsia="en-AU"/>
            </w:rPr>
          </w:pPr>
          <w:hyperlink w:anchor="_Toc136880556" w:history="1">
            <w:r w:rsidR="00260F57" w:rsidRPr="000E2C96">
              <w:rPr>
                <w:rStyle w:val="Hyperlink"/>
                <w:noProof/>
              </w:rPr>
              <w:t>Safety</w:t>
            </w:r>
            <w:r w:rsidR="00260F57">
              <w:rPr>
                <w:noProof/>
                <w:webHidden/>
              </w:rPr>
              <w:tab/>
            </w:r>
            <w:r w:rsidR="00260F57">
              <w:rPr>
                <w:noProof/>
                <w:webHidden/>
              </w:rPr>
              <w:fldChar w:fldCharType="begin"/>
            </w:r>
            <w:r w:rsidR="00260F57">
              <w:rPr>
                <w:noProof/>
                <w:webHidden/>
              </w:rPr>
              <w:instrText xml:space="preserve"> PAGEREF _Toc136880556 \h </w:instrText>
            </w:r>
            <w:r w:rsidR="00260F57">
              <w:rPr>
                <w:noProof/>
                <w:webHidden/>
              </w:rPr>
            </w:r>
            <w:r w:rsidR="00260F57">
              <w:rPr>
                <w:noProof/>
                <w:webHidden/>
              </w:rPr>
              <w:fldChar w:fldCharType="separate"/>
            </w:r>
            <w:r>
              <w:rPr>
                <w:noProof/>
                <w:webHidden/>
              </w:rPr>
              <w:t>18</w:t>
            </w:r>
            <w:r w:rsidR="00260F57">
              <w:rPr>
                <w:noProof/>
                <w:webHidden/>
              </w:rPr>
              <w:fldChar w:fldCharType="end"/>
            </w:r>
          </w:hyperlink>
        </w:p>
        <w:p w14:paraId="20A89191" w14:textId="7DE3C474" w:rsidR="00260F57" w:rsidRDefault="007007E8">
          <w:pPr>
            <w:pStyle w:val="TOC3"/>
            <w:rPr>
              <w:rFonts w:asciiTheme="minorHAnsi" w:eastAsiaTheme="minorEastAsia" w:hAnsiTheme="minorHAnsi" w:cstheme="minorBidi"/>
              <w:b w:val="0"/>
              <w:noProof/>
              <w:color w:val="auto"/>
              <w:szCs w:val="22"/>
              <w:lang w:eastAsia="en-AU"/>
            </w:rPr>
          </w:pPr>
          <w:hyperlink w:anchor="_Toc136880557" w:history="1">
            <w:r w:rsidR="00260F57" w:rsidRPr="000E2C96">
              <w:rPr>
                <w:rStyle w:val="Hyperlink"/>
                <w:noProof/>
              </w:rPr>
              <w:t>Other aspects</w:t>
            </w:r>
            <w:r w:rsidR="00260F57">
              <w:rPr>
                <w:noProof/>
                <w:webHidden/>
              </w:rPr>
              <w:tab/>
            </w:r>
            <w:r w:rsidR="00260F57">
              <w:rPr>
                <w:noProof/>
                <w:webHidden/>
              </w:rPr>
              <w:fldChar w:fldCharType="begin"/>
            </w:r>
            <w:r w:rsidR="00260F57">
              <w:rPr>
                <w:noProof/>
                <w:webHidden/>
              </w:rPr>
              <w:instrText xml:space="preserve"> PAGEREF _Toc136880557 \h </w:instrText>
            </w:r>
            <w:r w:rsidR="00260F57">
              <w:rPr>
                <w:noProof/>
                <w:webHidden/>
              </w:rPr>
            </w:r>
            <w:r w:rsidR="00260F57">
              <w:rPr>
                <w:noProof/>
                <w:webHidden/>
              </w:rPr>
              <w:fldChar w:fldCharType="separate"/>
            </w:r>
            <w:r>
              <w:rPr>
                <w:noProof/>
                <w:webHidden/>
              </w:rPr>
              <w:t>19</w:t>
            </w:r>
            <w:r w:rsidR="00260F57">
              <w:rPr>
                <w:noProof/>
                <w:webHidden/>
              </w:rPr>
              <w:fldChar w:fldCharType="end"/>
            </w:r>
          </w:hyperlink>
        </w:p>
        <w:p w14:paraId="7DE52FD4" w14:textId="3CDF5ED2"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58" w:history="1">
            <w:r w:rsidR="00260F57" w:rsidRPr="000E2C96">
              <w:rPr>
                <w:rStyle w:val="Hyperlink"/>
                <w:noProof/>
                <w:lang w:eastAsia="en-AU"/>
              </w:rPr>
              <w:t>Risk management plan</w:t>
            </w:r>
            <w:r w:rsidR="00260F57">
              <w:rPr>
                <w:noProof/>
                <w:webHidden/>
              </w:rPr>
              <w:tab/>
            </w:r>
            <w:r w:rsidR="00260F57">
              <w:rPr>
                <w:noProof/>
                <w:webHidden/>
              </w:rPr>
              <w:fldChar w:fldCharType="begin"/>
            </w:r>
            <w:r w:rsidR="00260F57">
              <w:rPr>
                <w:noProof/>
                <w:webHidden/>
              </w:rPr>
              <w:instrText xml:space="preserve"> PAGEREF _Toc136880558 \h </w:instrText>
            </w:r>
            <w:r w:rsidR="00260F57">
              <w:rPr>
                <w:noProof/>
                <w:webHidden/>
              </w:rPr>
            </w:r>
            <w:r w:rsidR="00260F57">
              <w:rPr>
                <w:noProof/>
                <w:webHidden/>
              </w:rPr>
              <w:fldChar w:fldCharType="separate"/>
            </w:r>
            <w:r>
              <w:rPr>
                <w:noProof/>
                <w:webHidden/>
              </w:rPr>
              <w:t>19</w:t>
            </w:r>
            <w:r w:rsidR="00260F57">
              <w:rPr>
                <w:noProof/>
                <w:webHidden/>
              </w:rPr>
              <w:fldChar w:fldCharType="end"/>
            </w:r>
          </w:hyperlink>
        </w:p>
        <w:p w14:paraId="5C68D525" w14:textId="056FEA52"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59" w:history="1">
            <w:r w:rsidR="00260F57" w:rsidRPr="000E2C96">
              <w:rPr>
                <w:rStyle w:val="Hyperlink"/>
                <w:noProof/>
              </w:rPr>
              <w:t>Risk-benefit analysis</w:t>
            </w:r>
            <w:r w:rsidR="00260F57">
              <w:rPr>
                <w:noProof/>
                <w:webHidden/>
              </w:rPr>
              <w:tab/>
            </w:r>
            <w:r w:rsidR="00260F57">
              <w:rPr>
                <w:noProof/>
                <w:webHidden/>
              </w:rPr>
              <w:fldChar w:fldCharType="begin"/>
            </w:r>
            <w:r w:rsidR="00260F57">
              <w:rPr>
                <w:noProof/>
                <w:webHidden/>
              </w:rPr>
              <w:instrText xml:space="preserve"> PAGEREF _Toc136880559 \h </w:instrText>
            </w:r>
            <w:r w:rsidR="00260F57">
              <w:rPr>
                <w:noProof/>
                <w:webHidden/>
              </w:rPr>
            </w:r>
            <w:r w:rsidR="00260F57">
              <w:rPr>
                <w:noProof/>
                <w:webHidden/>
              </w:rPr>
              <w:fldChar w:fldCharType="separate"/>
            </w:r>
            <w:r>
              <w:rPr>
                <w:noProof/>
                <w:webHidden/>
              </w:rPr>
              <w:t>19</w:t>
            </w:r>
            <w:r w:rsidR="00260F57">
              <w:rPr>
                <w:noProof/>
                <w:webHidden/>
              </w:rPr>
              <w:fldChar w:fldCharType="end"/>
            </w:r>
          </w:hyperlink>
        </w:p>
        <w:p w14:paraId="3CC5D378" w14:textId="2D4B78E1" w:rsidR="00260F57" w:rsidRDefault="007007E8">
          <w:pPr>
            <w:pStyle w:val="TOC3"/>
            <w:rPr>
              <w:rFonts w:asciiTheme="minorHAnsi" w:eastAsiaTheme="minorEastAsia" w:hAnsiTheme="minorHAnsi" w:cstheme="minorBidi"/>
              <w:b w:val="0"/>
              <w:noProof/>
              <w:color w:val="auto"/>
              <w:szCs w:val="22"/>
              <w:lang w:eastAsia="en-AU"/>
            </w:rPr>
          </w:pPr>
          <w:hyperlink w:anchor="_Toc136880560" w:history="1">
            <w:r w:rsidR="00260F57" w:rsidRPr="000E2C96">
              <w:rPr>
                <w:rStyle w:val="Hyperlink"/>
                <w:noProof/>
              </w:rPr>
              <w:t>Delegate’s considerations</w:t>
            </w:r>
            <w:r w:rsidR="00260F57">
              <w:rPr>
                <w:noProof/>
                <w:webHidden/>
              </w:rPr>
              <w:tab/>
            </w:r>
            <w:r w:rsidR="00260F57">
              <w:rPr>
                <w:noProof/>
                <w:webHidden/>
              </w:rPr>
              <w:fldChar w:fldCharType="begin"/>
            </w:r>
            <w:r w:rsidR="00260F57">
              <w:rPr>
                <w:noProof/>
                <w:webHidden/>
              </w:rPr>
              <w:instrText xml:space="preserve"> PAGEREF _Toc136880560 \h </w:instrText>
            </w:r>
            <w:r w:rsidR="00260F57">
              <w:rPr>
                <w:noProof/>
                <w:webHidden/>
              </w:rPr>
            </w:r>
            <w:r w:rsidR="00260F57">
              <w:rPr>
                <w:noProof/>
                <w:webHidden/>
              </w:rPr>
              <w:fldChar w:fldCharType="separate"/>
            </w:r>
            <w:r>
              <w:rPr>
                <w:noProof/>
                <w:webHidden/>
              </w:rPr>
              <w:t>19</w:t>
            </w:r>
            <w:r w:rsidR="00260F57">
              <w:rPr>
                <w:noProof/>
                <w:webHidden/>
              </w:rPr>
              <w:fldChar w:fldCharType="end"/>
            </w:r>
          </w:hyperlink>
        </w:p>
        <w:p w14:paraId="0C4E7312" w14:textId="1BB50B12" w:rsidR="00260F57" w:rsidRDefault="007007E8">
          <w:pPr>
            <w:pStyle w:val="TOC3"/>
            <w:rPr>
              <w:rFonts w:asciiTheme="minorHAnsi" w:eastAsiaTheme="minorEastAsia" w:hAnsiTheme="minorHAnsi" w:cstheme="minorBidi"/>
              <w:b w:val="0"/>
              <w:noProof/>
              <w:color w:val="auto"/>
              <w:szCs w:val="22"/>
              <w:lang w:eastAsia="en-AU"/>
            </w:rPr>
          </w:pPr>
          <w:hyperlink w:anchor="_Toc136880561" w:history="1">
            <w:r w:rsidR="00260F57" w:rsidRPr="000E2C96">
              <w:rPr>
                <w:rStyle w:val="Hyperlink"/>
                <w:noProof/>
              </w:rPr>
              <w:t>Proposed action</w:t>
            </w:r>
            <w:r w:rsidR="00260F57">
              <w:rPr>
                <w:noProof/>
                <w:webHidden/>
              </w:rPr>
              <w:tab/>
            </w:r>
            <w:r w:rsidR="00260F57">
              <w:rPr>
                <w:noProof/>
                <w:webHidden/>
              </w:rPr>
              <w:fldChar w:fldCharType="begin"/>
            </w:r>
            <w:r w:rsidR="00260F57">
              <w:rPr>
                <w:noProof/>
                <w:webHidden/>
              </w:rPr>
              <w:instrText xml:space="preserve"> PAGEREF _Toc136880561 \h </w:instrText>
            </w:r>
            <w:r w:rsidR="00260F57">
              <w:rPr>
                <w:noProof/>
                <w:webHidden/>
              </w:rPr>
            </w:r>
            <w:r w:rsidR="00260F57">
              <w:rPr>
                <w:noProof/>
                <w:webHidden/>
              </w:rPr>
              <w:fldChar w:fldCharType="separate"/>
            </w:r>
            <w:r>
              <w:rPr>
                <w:noProof/>
                <w:webHidden/>
              </w:rPr>
              <w:t>21</w:t>
            </w:r>
            <w:r w:rsidR="00260F57">
              <w:rPr>
                <w:noProof/>
                <w:webHidden/>
              </w:rPr>
              <w:fldChar w:fldCharType="end"/>
            </w:r>
          </w:hyperlink>
        </w:p>
        <w:p w14:paraId="38A1302A" w14:textId="0A25F4FD" w:rsidR="00260F57" w:rsidRDefault="007007E8">
          <w:pPr>
            <w:pStyle w:val="TOC3"/>
            <w:rPr>
              <w:rFonts w:asciiTheme="minorHAnsi" w:eastAsiaTheme="minorEastAsia" w:hAnsiTheme="minorHAnsi" w:cstheme="minorBidi"/>
              <w:b w:val="0"/>
              <w:noProof/>
              <w:color w:val="auto"/>
              <w:szCs w:val="22"/>
              <w:lang w:eastAsia="en-AU"/>
            </w:rPr>
          </w:pPr>
          <w:hyperlink w:anchor="_Toc136880562" w:history="1">
            <w:r w:rsidR="00260F57" w:rsidRPr="000E2C96">
              <w:rPr>
                <w:rStyle w:val="Hyperlink"/>
                <w:noProof/>
              </w:rPr>
              <w:t>Advisory Committee considerations</w:t>
            </w:r>
            <w:r w:rsidR="00260F57">
              <w:rPr>
                <w:noProof/>
                <w:webHidden/>
              </w:rPr>
              <w:tab/>
            </w:r>
            <w:r w:rsidR="00260F57">
              <w:rPr>
                <w:noProof/>
                <w:webHidden/>
              </w:rPr>
              <w:fldChar w:fldCharType="begin"/>
            </w:r>
            <w:r w:rsidR="00260F57">
              <w:rPr>
                <w:noProof/>
                <w:webHidden/>
              </w:rPr>
              <w:instrText xml:space="preserve"> PAGEREF _Toc136880562 \h </w:instrText>
            </w:r>
            <w:r w:rsidR="00260F57">
              <w:rPr>
                <w:noProof/>
                <w:webHidden/>
              </w:rPr>
            </w:r>
            <w:r w:rsidR="00260F57">
              <w:rPr>
                <w:noProof/>
                <w:webHidden/>
              </w:rPr>
              <w:fldChar w:fldCharType="separate"/>
            </w:r>
            <w:r>
              <w:rPr>
                <w:noProof/>
                <w:webHidden/>
              </w:rPr>
              <w:t>21</w:t>
            </w:r>
            <w:r w:rsidR="00260F57">
              <w:rPr>
                <w:noProof/>
                <w:webHidden/>
              </w:rPr>
              <w:fldChar w:fldCharType="end"/>
            </w:r>
          </w:hyperlink>
        </w:p>
        <w:p w14:paraId="1AC17EB2" w14:textId="290A7152" w:rsidR="00260F57" w:rsidRDefault="007007E8">
          <w:pPr>
            <w:pStyle w:val="TOC1"/>
            <w:rPr>
              <w:rFonts w:asciiTheme="minorHAnsi" w:eastAsiaTheme="minorEastAsia" w:hAnsiTheme="minorHAnsi" w:cstheme="minorBidi"/>
              <w:b w:val="0"/>
              <w:noProof/>
              <w:color w:val="auto"/>
              <w:sz w:val="22"/>
              <w:szCs w:val="22"/>
              <w:lang w:eastAsia="en-AU"/>
            </w:rPr>
          </w:pPr>
          <w:hyperlink w:anchor="_Toc136880563" w:history="1">
            <w:r w:rsidR="00260F57" w:rsidRPr="000E2C96">
              <w:rPr>
                <w:rStyle w:val="Hyperlink"/>
                <w:noProof/>
              </w:rPr>
              <w:t>Outcome</w:t>
            </w:r>
            <w:r w:rsidR="00260F57">
              <w:rPr>
                <w:noProof/>
                <w:webHidden/>
              </w:rPr>
              <w:tab/>
            </w:r>
            <w:r w:rsidR="00260F57">
              <w:rPr>
                <w:noProof/>
                <w:webHidden/>
              </w:rPr>
              <w:fldChar w:fldCharType="begin"/>
            </w:r>
            <w:r w:rsidR="00260F57">
              <w:rPr>
                <w:noProof/>
                <w:webHidden/>
              </w:rPr>
              <w:instrText xml:space="preserve"> PAGEREF _Toc136880563 \h </w:instrText>
            </w:r>
            <w:r w:rsidR="00260F57">
              <w:rPr>
                <w:noProof/>
                <w:webHidden/>
              </w:rPr>
            </w:r>
            <w:r w:rsidR="00260F57">
              <w:rPr>
                <w:noProof/>
                <w:webHidden/>
              </w:rPr>
              <w:fldChar w:fldCharType="separate"/>
            </w:r>
            <w:r>
              <w:rPr>
                <w:noProof/>
                <w:webHidden/>
              </w:rPr>
              <w:t>23</w:t>
            </w:r>
            <w:r w:rsidR="00260F57">
              <w:rPr>
                <w:noProof/>
                <w:webHidden/>
              </w:rPr>
              <w:fldChar w:fldCharType="end"/>
            </w:r>
          </w:hyperlink>
        </w:p>
        <w:p w14:paraId="0C26386D" w14:textId="33E594D4" w:rsidR="00260F57" w:rsidRDefault="007007E8">
          <w:pPr>
            <w:pStyle w:val="TOC2"/>
            <w:rPr>
              <w:rFonts w:asciiTheme="minorHAnsi" w:eastAsiaTheme="minorEastAsia" w:hAnsiTheme="minorHAnsi" w:cstheme="minorBidi"/>
              <w:b w:val="0"/>
              <w:noProof/>
              <w:color w:val="auto"/>
              <w:sz w:val="22"/>
              <w:szCs w:val="22"/>
              <w:lang w:eastAsia="en-AU"/>
            </w:rPr>
          </w:pPr>
          <w:hyperlink w:anchor="_Toc136880564" w:history="1">
            <w:r w:rsidR="00260F57" w:rsidRPr="000E2C96">
              <w:rPr>
                <w:rStyle w:val="Hyperlink"/>
                <w:noProof/>
              </w:rPr>
              <w:t>Specific conditions of registration applying to these goods</w:t>
            </w:r>
            <w:r w:rsidR="00260F57">
              <w:rPr>
                <w:noProof/>
                <w:webHidden/>
              </w:rPr>
              <w:tab/>
            </w:r>
            <w:r w:rsidR="00260F57">
              <w:rPr>
                <w:noProof/>
                <w:webHidden/>
              </w:rPr>
              <w:fldChar w:fldCharType="begin"/>
            </w:r>
            <w:r w:rsidR="00260F57">
              <w:rPr>
                <w:noProof/>
                <w:webHidden/>
              </w:rPr>
              <w:instrText xml:space="preserve"> PAGEREF _Toc136880564 \h </w:instrText>
            </w:r>
            <w:r w:rsidR="00260F57">
              <w:rPr>
                <w:noProof/>
                <w:webHidden/>
              </w:rPr>
            </w:r>
            <w:r w:rsidR="00260F57">
              <w:rPr>
                <w:noProof/>
                <w:webHidden/>
              </w:rPr>
              <w:fldChar w:fldCharType="separate"/>
            </w:r>
            <w:r>
              <w:rPr>
                <w:noProof/>
                <w:webHidden/>
              </w:rPr>
              <w:t>23</w:t>
            </w:r>
            <w:r w:rsidR="00260F57">
              <w:rPr>
                <w:noProof/>
                <w:webHidden/>
              </w:rPr>
              <w:fldChar w:fldCharType="end"/>
            </w:r>
          </w:hyperlink>
        </w:p>
        <w:p w14:paraId="314F6532" w14:textId="17EE7380" w:rsidR="00260F57" w:rsidRDefault="007007E8">
          <w:pPr>
            <w:pStyle w:val="TOC1"/>
            <w:rPr>
              <w:rFonts w:asciiTheme="minorHAnsi" w:eastAsiaTheme="minorEastAsia" w:hAnsiTheme="minorHAnsi" w:cstheme="minorBidi"/>
              <w:b w:val="0"/>
              <w:noProof/>
              <w:color w:val="auto"/>
              <w:sz w:val="22"/>
              <w:szCs w:val="22"/>
              <w:lang w:eastAsia="en-AU"/>
            </w:rPr>
          </w:pPr>
          <w:hyperlink w:anchor="_Toc136880565" w:history="1">
            <w:r w:rsidR="00260F57" w:rsidRPr="000E2C96">
              <w:rPr>
                <w:rStyle w:val="Hyperlink"/>
                <w:noProof/>
              </w:rPr>
              <w:t>Attachment 1. Product Information</w:t>
            </w:r>
            <w:r w:rsidR="00260F57">
              <w:rPr>
                <w:noProof/>
                <w:webHidden/>
              </w:rPr>
              <w:tab/>
            </w:r>
            <w:r w:rsidR="00260F57">
              <w:rPr>
                <w:noProof/>
                <w:webHidden/>
              </w:rPr>
              <w:fldChar w:fldCharType="begin"/>
            </w:r>
            <w:r w:rsidR="00260F57">
              <w:rPr>
                <w:noProof/>
                <w:webHidden/>
              </w:rPr>
              <w:instrText xml:space="preserve"> PAGEREF _Toc136880565 \h </w:instrText>
            </w:r>
            <w:r w:rsidR="00260F57">
              <w:rPr>
                <w:noProof/>
                <w:webHidden/>
              </w:rPr>
            </w:r>
            <w:r w:rsidR="00260F57">
              <w:rPr>
                <w:noProof/>
                <w:webHidden/>
              </w:rPr>
              <w:fldChar w:fldCharType="separate"/>
            </w:r>
            <w:r>
              <w:rPr>
                <w:noProof/>
                <w:webHidden/>
              </w:rPr>
              <w:t>23</w:t>
            </w:r>
            <w:r w:rsidR="00260F57">
              <w:rPr>
                <w:noProof/>
                <w:webHidden/>
              </w:rPr>
              <w:fldChar w:fldCharType="end"/>
            </w:r>
          </w:hyperlink>
        </w:p>
        <w:p w14:paraId="77659F2D" w14:textId="5C95FD1E"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36880542"/>
      <w:bookmarkStart w:id="3" w:name="_Toc323739589"/>
      <w:bookmarkStart w:id="4" w:name="_Toc356305216"/>
      <w:r>
        <w:lastRenderedPageBreak/>
        <w:t>List of abbreviations</w:t>
      </w:r>
      <w:bookmarkEnd w:id="0"/>
      <w:bookmarkEnd w:id="1"/>
      <w:bookmarkEnd w:id="2"/>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324B33">
            <w:pPr>
              <w:rPr>
                <w:szCs w:val="22"/>
              </w:rPr>
            </w:pPr>
            <w:r w:rsidRPr="00D01DDB">
              <w:rPr>
                <w:szCs w:val="22"/>
              </w:rPr>
              <w:t>Abbreviation</w:t>
            </w:r>
          </w:p>
        </w:tc>
        <w:tc>
          <w:tcPr>
            <w:tcW w:w="3800" w:type="pct"/>
          </w:tcPr>
          <w:p w14:paraId="4CF6D0CD" w14:textId="2974FA0B"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324B33" w:rsidRPr="00D01DDB" w14:paraId="16C5C8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DE09A4" w14:textId="07A94E9E" w:rsidR="00324B33" w:rsidRPr="00D01DDB" w:rsidRDefault="00324B33" w:rsidP="00324B33">
            <w:pPr>
              <w:rPr>
                <w:szCs w:val="22"/>
              </w:rPr>
            </w:pPr>
            <w:r w:rsidRPr="00D01DDB">
              <w:rPr>
                <w:szCs w:val="22"/>
              </w:rPr>
              <w:t>ACM</w:t>
            </w:r>
          </w:p>
        </w:tc>
        <w:tc>
          <w:tcPr>
            <w:tcW w:w="3800" w:type="pct"/>
          </w:tcPr>
          <w:p w14:paraId="4F24A873" w14:textId="0539B5FB"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Medicines</w:t>
            </w:r>
          </w:p>
        </w:tc>
      </w:tr>
      <w:tr w:rsidR="00324B33" w:rsidRPr="00D01DDB"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01DDB" w:rsidRDefault="00324B33" w:rsidP="00324B33">
            <w:pPr>
              <w:rPr>
                <w:szCs w:val="22"/>
              </w:rPr>
            </w:pPr>
            <w:r w:rsidRPr="00D01DDB">
              <w:rPr>
                <w:szCs w:val="22"/>
              </w:rPr>
              <w:t>ARTG</w:t>
            </w:r>
          </w:p>
        </w:tc>
        <w:tc>
          <w:tcPr>
            <w:tcW w:w="3800" w:type="pct"/>
          </w:tcPr>
          <w:p w14:paraId="228A203A" w14:textId="47EBCFA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324B33" w:rsidRPr="00D01DDB" w14:paraId="0536676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0516A80" w14:textId="1329E9D5" w:rsidR="00324B33" w:rsidRPr="00D01DDB" w:rsidRDefault="00324B33" w:rsidP="00324B33">
            <w:pPr>
              <w:rPr>
                <w:szCs w:val="22"/>
              </w:rPr>
            </w:pPr>
            <w:r w:rsidRPr="00D01DDB">
              <w:rPr>
                <w:szCs w:val="22"/>
              </w:rPr>
              <w:t>ASA</w:t>
            </w:r>
          </w:p>
        </w:tc>
        <w:tc>
          <w:tcPr>
            <w:tcW w:w="3800" w:type="pct"/>
          </w:tcPr>
          <w:p w14:paraId="4E6F5284" w14:textId="49FC5D2E"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 specific annex</w:t>
            </w:r>
          </w:p>
        </w:tc>
      </w:tr>
      <w:tr w:rsidR="00AF25E3" w:rsidRPr="00D01DDB" w14:paraId="2B9EF81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27B1D1E" w14:textId="2A5D2272" w:rsidR="00AF25E3" w:rsidRPr="00D01DDB" w:rsidRDefault="00AF25E3" w:rsidP="00324B33">
            <w:pPr>
              <w:rPr>
                <w:szCs w:val="22"/>
              </w:rPr>
            </w:pPr>
            <w:r>
              <w:rPr>
                <w:szCs w:val="22"/>
              </w:rPr>
              <w:t>BICR</w:t>
            </w:r>
          </w:p>
        </w:tc>
        <w:tc>
          <w:tcPr>
            <w:tcW w:w="3800" w:type="pct"/>
          </w:tcPr>
          <w:p w14:paraId="3818D48D" w14:textId="7908E3A6" w:rsidR="00AF25E3" w:rsidRPr="00D01DDB" w:rsidRDefault="00AF25E3"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Blinded independent central review</w:t>
            </w:r>
          </w:p>
        </w:tc>
      </w:tr>
      <w:tr w:rsidR="00395140" w:rsidRPr="00D01DDB"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395140" w:rsidRPr="00D01DDB" w:rsidRDefault="00395140" w:rsidP="00324B33">
            <w:pPr>
              <w:rPr>
                <w:szCs w:val="22"/>
              </w:rPr>
            </w:pPr>
            <w:r w:rsidRPr="00D01DDB">
              <w:rPr>
                <w:szCs w:val="22"/>
              </w:rPr>
              <w:t>CMI</w:t>
            </w:r>
          </w:p>
        </w:tc>
        <w:tc>
          <w:tcPr>
            <w:tcW w:w="3800" w:type="pct"/>
          </w:tcPr>
          <w:p w14:paraId="5D8C9DF5" w14:textId="60C23379"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611700" w:rsidRPr="00D01DDB" w14:paraId="09EA072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D0B380F" w14:textId="52CAB9C0" w:rsidR="00611700" w:rsidRPr="00D01DDB" w:rsidRDefault="00611700" w:rsidP="00324B33">
            <w:pPr>
              <w:rPr>
                <w:szCs w:val="22"/>
              </w:rPr>
            </w:pPr>
            <w:r w:rsidRPr="00611700">
              <w:rPr>
                <w:szCs w:val="22"/>
              </w:rPr>
              <w:t>C</w:t>
            </w:r>
            <w:r w:rsidRPr="00611700">
              <w:rPr>
                <w:szCs w:val="22"/>
                <w:vertAlign w:val="subscript"/>
              </w:rPr>
              <w:t>max</w:t>
            </w:r>
            <w:r w:rsidR="00A214D2">
              <w:rPr>
                <w:szCs w:val="22"/>
                <w:vertAlign w:val="subscript"/>
              </w:rPr>
              <w:t>.Dose</w:t>
            </w:r>
            <w:r w:rsidRPr="00611700">
              <w:rPr>
                <w:szCs w:val="22"/>
                <w:vertAlign w:val="subscript"/>
              </w:rPr>
              <w:t>1</w:t>
            </w:r>
          </w:p>
        </w:tc>
        <w:tc>
          <w:tcPr>
            <w:tcW w:w="3800" w:type="pct"/>
          </w:tcPr>
          <w:p w14:paraId="52726719" w14:textId="5CFCE236" w:rsidR="00611700" w:rsidRPr="00D01DDB" w:rsidRDefault="00611700" w:rsidP="00717AA0">
            <w:pPr>
              <w:cnfStyle w:val="000000000000" w:firstRow="0" w:lastRow="0" w:firstColumn="0" w:lastColumn="0" w:oddVBand="0" w:evenVBand="0" w:oddHBand="0" w:evenHBand="0" w:firstRowFirstColumn="0" w:firstRowLastColumn="0" w:lastRowFirstColumn="0" w:lastRowLastColumn="0"/>
              <w:rPr>
                <w:szCs w:val="22"/>
              </w:rPr>
            </w:pPr>
            <w:r>
              <w:rPr>
                <w:szCs w:val="22"/>
              </w:rPr>
              <w:t>P</w:t>
            </w:r>
            <w:r w:rsidRPr="00611700">
              <w:rPr>
                <w:szCs w:val="22"/>
              </w:rPr>
              <w:t>ost</w:t>
            </w:r>
            <w:r w:rsidR="00A214D2">
              <w:rPr>
                <w:szCs w:val="22"/>
              </w:rPr>
              <w:t>-</w:t>
            </w:r>
            <w:r>
              <w:rPr>
                <w:szCs w:val="22"/>
              </w:rPr>
              <w:t>D</w:t>
            </w:r>
            <w:r w:rsidRPr="00611700">
              <w:rPr>
                <w:szCs w:val="22"/>
              </w:rPr>
              <w:t xml:space="preserve">ose 1 </w:t>
            </w:r>
            <w:r w:rsidR="00A214D2">
              <w:rPr>
                <w:szCs w:val="22"/>
              </w:rPr>
              <w:t>maximum</w:t>
            </w:r>
            <w:r w:rsidRPr="00611700">
              <w:rPr>
                <w:szCs w:val="22"/>
              </w:rPr>
              <w:t xml:space="preserve"> concentration</w:t>
            </w:r>
          </w:p>
        </w:tc>
      </w:tr>
      <w:tr w:rsidR="00611700" w:rsidRPr="00D01DDB" w14:paraId="30ACE15B"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E4C2231" w14:textId="6C7F0BAE" w:rsidR="00611700" w:rsidRPr="00D01DDB" w:rsidRDefault="00611700" w:rsidP="00324B33">
            <w:pPr>
              <w:rPr>
                <w:szCs w:val="22"/>
              </w:rPr>
            </w:pPr>
            <w:r w:rsidRPr="00611700">
              <w:rPr>
                <w:szCs w:val="22"/>
              </w:rPr>
              <w:t>C</w:t>
            </w:r>
            <w:r w:rsidRPr="00611700">
              <w:rPr>
                <w:szCs w:val="22"/>
                <w:vertAlign w:val="subscript"/>
              </w:rPr>
              <w:t>min</w:t>
            </w:r>
            <w:r w:rsidR="00A214D2">
              <w:rPr>
                <w:szCs w:val="22"/>
                <w:vertAlign w:val="subscript"/>
              </w:rPr>
              <w:t>.D</w:t>
            </w:r>
            <w:r w:rsidRPr="00611700">
              <w:rPr>
                <w:szCs w:val="22"/>
                <w:vertAlign w:val="subscript"/>
              </w:rPr>
              <w:t>28</w:t>
            </w:r>
          </w:p>
        </w:tc>
        <w:tc>
          <w:tcPr>
            <w:tcW w:w="3800" w:type="pct"/>
          </w:tcPr>
          <w:p w14:paraId="49C89FF2" w14:textId="69B84E8E" w:rsidR="00611700" w:rsidRPr="00D01DDB" w:rsidRDefault="00611700"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Trough concentration at Day 28</w:t>
            </w:r>
          </w:p>
        </w:tc>
      </w:tr>
      <w:tr w:rsidR="00506817" w:rsidRPr="00D01DDB" w14:paraId="234A9F3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0A4B1C7" w14:textId="1F2F5242" w:rsidR="00506817" w:rsidRPr="00611700" w:rsidRDefault="00506817" w:rsidP="00324B33">
            <w:pPr>
              <w:rPr>
                <w:szCs w:val="22"/>
              </w:rPr>
            </w:pPr>
            <w:r>
              <w:rPr>
                <w:szCs w:val="22"/>
              </w:rPr>
              <w:t>CSR</w:t>
            </w:r>
          </w:p>
        </w:tc>
        <w:tc>
          <w:tcPr>
            <w:tcW w:w="3800" w:type="pct"/>
          </w:tcPr>
          <w:p w14:paraId="3944E67A" w14:textId="5A4AF5CE" w:rsidR="00506817" w:rsidRDefault="005068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Clinical Study Report</w:t>
            </w:r>
          </w:p>
        </w:tc>
      </w:tr>
      <w:tr w:rsidR="00611700" w:rsidRPr="00D01DDB" w14:paraId="6DA8C41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B4DD65E" w14:textId="75D88121" w:rsidR="00611700" w:rsidRPr="00D01DDB" w:rsidRDefault="00611700" w:rsidP="00324B33">
            <w:pPr>
              <w:rPr>
                <w:szCs w:val="22"/>
              </w:rPr>
            </w:pPr>
            <w:r>
              <w:rPr>
                <w:szCs w:val="22"/>
              </w:rPr>
              <w:t>DFS</w:t>
            </w:r>
          </w:p>
        </w:tc>
        <w:tc>
          <w:tcPr>
            <w:tcW w:w="3800" w:type="pct"/>
          </w:tcPr>
          <w:p w14:paraId="44257FE8" w14:textId="381B65A1" w:rsidR="00611700" w:rsidRPr="00D01DDB" w:rsidRDefault="00611700"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Disease free survival</w:t>
            </w:r>
          </w:p>
        </w:tc>
      </w:tr>
      <w:tr w:rsidR="00324B33" w:rsidRPr="00D01DDB" w14:paraId="7B87377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E05B04" w14:textId="0D6731AA" w:rsidR="00324B33" w:rsidRPr="00D01DDB" w:rsidRDefault="00324B33" w:rsidP="00324B33">
            <w:pPr>
              <w:rPr>
                <w:szCs w:val="22"/>
              </w:rPr>
            </w:pPr>
            <w:r w:rsidRPr="00D01DDB">
              <w:rPr>
                <w:szCs w:val="22"/>
              </w:rPr>
              <w:t>DLP</w:t>
            </w:r>
          </w:p>
        </w:tc>
        <w:tc>
          <w:tcPr>
            <w:tcW w:w="3800" w:type="pct"/>
          </w:tcPr>
          <w:p w14:paraId="26109D0B" w14:textId="4AE8F60A"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Data lock point</w:t>
            </w:r>
          </w:p>
        </w:tc>
      </w:tr>
      <w:tr w:rsidR="00611700" w:rsidRPr="00D01DDB" w14:paraId="3E5C2A0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709162D" w14:textId="2F1916C5" w:rsidR="00611700" w:rsidRPr="00D01DDB" w:rsidRDefault="00611700" w:rsidP="00324B33">
            <w:pPr>
              <w:rPr>
                <w:szCs w:val="22"/>
              </w:rPr>
            </w:pPr>
            <w:r>
              <w:rPr>
                <w:szCs w:val="22"/>
              </w:rPr>
              <w:t>HR</w:t>
            </w:r>
          </w:p>
        </w:tc>
        <w:tc>
          <w:tcPr>
            <w:tcW w:w="3800" w:type="pct"/>
          </w:tcPr>
          <w:p w14:paraId="42A49104" w14:textId="701BDDB9" w:rsidR="00611700" w:rsidRPr="00D01DDB" w:rsidRDefault="00611700"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Hazard ratio</w:t>
            </w:r>
          </w:p>
        </w:tc>
      </w:tr>
      <w:tr w:rsidR="007C0921" w:rsidRPr="00D01DDB" w14:paraId="3B0D1B4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D4EE6DA" w14:textId="3CCCF86E" w:rsidR="007C0921" w:rsidRPr="00D01DDB" w:rsidRDefault="007C0921" w:rsidP="00324B33">
            <w:pPr>
              <w:rPr>
                <w:szCs w:val="22"/>
              </w:rPr>
            </w:pPr>
            <w:r>
              <w:rPr>
                <w:szCs w:val="22"/>
              </w:rPr>
              <w:t>MIBC</w:t>
            </w:r>
          </w:p>
        </w:tc>
        <w:tc>
          <w:tcPr>
            <w:tcW w:w="3800" w:type="pct"/>
          </w:tcPr>
          <w:p w14:paraId="16FB2026" w14:textId="34274B70" w:rsidR="007C0921" w:rsidRPr="00D01DDB" w:rsidRDefault="007C0921"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M</w:t>
            </w:r>
            <w:r w:rsidRPr="007C0921">
              <w:rPr>
                <w:szCs w:val="22"/>
              </w:rPr>
              <w:t>uscle invasive bladder cancer</w:t>
            </w:r>
          </w:p>
        </w:tc>
      </w:tr>
      <w:tr w:rsidR="007C0921" w:rsidRPr="00D01DDB" w14:paraId="2D651BD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29FF084" w14:textId="15B08F6F" w:rsidR="007C0921" w:rsidRDefault="007C0921" w:rsidP="00324B33">
            <w:pPr>
              <w:rPr>
                <w:szCs w:val="22"/>
              </w:rPr>
            </w:pPr>
            <w:r w:rsidRPr="007C0921">
              <w:rPr>
                <w:szCs w:val="22"/>
              </w:rPr>
              <w:t>MIUC</w:t>
            </w:r>
          </w:p>
        </w:tc>
        <w:tc>
          <w:tcPr>
            <w:tcW w:w="3800" w:type="pct"/>
          </w:tcPr>
          <w:p w14:paraId="3CDAB52C" w14:textId="784A0C1B" w:rsidR="007C0921" w:rsidRDefault="007C0921"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M</w:t>
            </w:r>
            <w:r w:rsidRPr="007C0921">
              <w:rPr>
                <w:szCs w:val="22"/>
              </w:rPr>
              <w:t>uscle invasive urothelial carcinoma</w:t>
            </w:r>
          </w:p>
        </w:tc>
      </w:tr>
      <w:tr w:rsidR="00506817" w:rsidRPr="00D01DDB" w14:paraId="069AE786"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85A3121" w14:textId="5E0EE754" w:rsidR="00506817" w:rsidRPr="007C0921" w:rsidRDefault="00506817" w:rsidP="00324B33">
            <w:pPr>
              <w:rPr>
                <w:szCs w:val="22"/>
              </w:rPr>
            </w:pPr>
            <w:r>
              <w:rPr>
                <w:szCs w:val="22"/>
              </w:rPr>
              <w:t>OS</w:t>
            </w:r>
          </w:p>
        </w:tc>
        <w:tc>
          <w:tcPr>
            <w:tcW w:w="3800" w:type="pct"/>
          </w:tcPr>
          <w:p w14:paraId="471B8A71" w14:textId="2C991EAE" w:rsidR="00506817" w:rsidRDefault="00506817"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Overall survival</w:t>
            </w:r>
          </w:p>
        </w:tc>
      </w:tr>
      <w:tr w:rsidR="00FD15DB" w:rsidRPr="00D01DDB" w14:paraId="27908FC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CDF2564" w14:textId="6AE5ED54" w:rsidR="00FD15DB" w:rsidRPr="00D01DDB" w:rsidRDefault="00FD15DB" w:rsidP="00324B33">
            <w:pPr>
              <w:rPr>
                <w:szCs w:val="22"/>
              </w:rPr>
            </w:pPr>
            <w:r>
              <w:rPr>
                <w:szCs w:val="22"/>
              </w:rPr>
              <w:t>PD-L1</w:t>
            </w:r>
          </w:p>
        </w:tc>
        <w:tc>
          <w:tcPr>
            <w:tcW w:w="3800" w:type="pct"/>
          </w:tcPr>
          <w:p w14:paraId="07AA33C4" w14:textId="3F2F4D94" w:rsidR="00FD15DB" w:rsidRPr="00D01DDB" w:rsidRDefault="00FD15DB"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Programmed death-ligand 1</w:t>
            </w:r>
          </w:p>
        </w:tc>
      </w:tr>
      <w:tr w:rsidR="00395140" w:rsidRPr="00D01DDB"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395140" w:rsidRPr="00D01DDB" w:rsidRDefault="00395140" w:rsidP="00324B33">
            <w:pPr>
              <w:rPr>
                <w:szCs w:val="22"/>
              </w:rPr>
            </w:pPr>
            <w:r w:rsidRPr="00D01DDB">
              <w:rPr>
                <w:szCs w:val="22"/>
              </w:rPr>
              <w:t>PI</w:t>
            </w:r>
          </w:p>
        </w:tc>
        <w:tc>
          <w:tcPr>
            <w:tcW w:w="3800" w:type="pct"/>
          </w:tcPr>
          <w:p w14:paraId="354B5DB5" w14:textId="3DAE38C1"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324B33" w:rsidRPr="00D01DDB"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324B33" w:rsidRPr="00D01DDB" w:rsidRDefault="00324B33" w:rsidP="00324B33">
            <w:pPr>
              <w:rPr>
                <w:szCs w:val="22"/>
              </w:rPr>
            </w:pPr>
            <w:r w:rsidRPr="00D01DDB">
              <w:rPr>
                <w:szCs w:val="22"/>
              </w:rPr>
              <w:t>RMP</w:t>
            </w:r>
          </w:p>
        </w:tc>
        <w:tc>
          <w:tcPr>
            <w:tcW w:w="3800" w:type="pct"/>
          </w:tcPr>
          <w:p w14:paraId="2C862F75" w14:textId="2355E842"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324B33" w:rsidRPr="00D01DDB"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324B33" w:rsidRPr="00D01DDB" w:rsidRDefault="00324B33" w:rsidP="00324B33">
            <w:pPr>
              <w:rPr>
                <w:szCs w:val="22"/>
              </w:rPr>
            </w:pPr>
            <w:r w:rsidRPr="00D01DDB">
              <w:rPr>
                <w:szCs w:val="22"/>
              </w:rPr>
              <w:t>TGA</w:t>
            </w:r>
          </w:p>
        </w:tc>
        <w:tc>
          <w:tcPr>
            <w:tcW w:w="3800" w:type="pct"/>
          </w:tcPr>
          <w:p w14:paraId="29EA6BA3" w14:textId="6F99059F"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r w:rsidR="00583F08" w:rsidRPr="00D01DDB" w14:paraId="798A8B64"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746548F" w14:textId="05735518" w:rsidR="00583F08" w:rsidRPr="00D01DDB" w:rsidRDefault="00583F08" w:rsidP="00324B33">
            <w:pPr>
              <w:rPr>
                <w:szCs w:val="22"/>
              </w:rPr>
            </w:pPr>
            <w:r>
              <w:rPr>
                <w:szCs w:val="22"/>
              </w:rPr>
              <w:t>UC</w:t>
            </w:r>
          </w:p>
        </w:tc>
        <w:tc>
          <w:tcPr>
            <w:tcW w:w="3800" w:type="pct"/>
          </w:tcPr>
          <w:p w14:paraId="5026BF6D" w14:textId="1A4A39F5" w:rsidR="00583F08" w:rsidRPr="00D01DDB" w:rsidRDefault="00583F08"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Urothelial carcinoma</w:t>
            </w:r>
          </w:p>
        </w:tc>
      </w:tr>
      <w:tr w:rsidR="00324B33" w:rsidRPr="00D01DDB" w14:paraId="5344D0B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820B8C7" w14:textId="63C412F3" w:rsidR="00324B33" w:rsidRPr="00D01DDB" w:rsidRDefault="00D63760" w:rsidP="00324B33">
            <w:pPr>
              <w:rPr>
                <w:szCs w:val="22"/>
              </w:rPr>
            </w:pPr>
            <w:r w:rsidRPr="00D01DDB">
              <w:rPr>
                <w:szCs w:val="22"/>
              </w:rPr>
              <w:t>PSUR</w:t>
            </w:r>
          </w:p>
        </w:tc>
        <w:tc>
          <w:tcPr>
            <w:tcW w:w="3800" w:type="pct"/>
          </w:tcPr>
          <w:p w14:paraId="1A5D9E36" w14:textId="2D49E367" w:rsidR="00324B33" w:rsidRPr="00D01DDB" w:rsidRDefault="00D6376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Periodic safety update report</w:t>
            </w:r>
          </w:p>
        </w:tc>
      </w:tr>
      <w:tr w:rsidR="00AF25E3" w:rsidRPr="00D01DDB" w14:paraId="34270C47"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5BBD160" w14:textId="4CE61D50" w:rsidR="00AF25E3" w:rsidRPr="00D01DDB" w:rsidRDefault="00AF25E3" w:rsidP="00324B33">
            <w:pPr>
              <w:rPr>
                <w:szCs w:val="22"/>
              </w:rPr>
            </w:pPr>
            <w:r>
              <w:rPr>
                <w:szCs w:val="22"/>
              </w:rPr>
              <w:t>US FDA</w:t>
            </w:r>
          </w:p>
        </w:tc>
        <w:tc>
          <w:tcPr>
            <w:tcW w:w="3800" w:type="pct"/>
          </w:tcPr>
          <w:p w14:paraId="315C11E3" w14:textId="1A826207" w:rsidR="00AF25E3" w:rsidRPr="00D01DDB" w:rsidRDefault="00AF25E3"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United States Food and Drug Administration</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36880543"/>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36880544"/>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77777777" w:rsidR="00324B33" w:rsidRPr="00BD5DBD" w:rsidRDefault="00324B33" w:rsidP="007452E8">
            <w:pPr>
              <w:rPr>
                <w:i/>
                <w:szCs w:val="22"/>
              </w:rPr>
            </w:pPr>
            <w:r w:rsidRPr="00BD5DBD">
              <w:rPr>
                <w:i/>
                <w:szCs w:val="22"/>
              </w:rPr>
              <w:t>Type of submission:</w:t>
            </w:r>
          </w:p>
        </w:tc>
        <w:tc>
          <w:tcPr>
            <w:tcW w:w="3423" w:type="pct"/>
          </w:tcPr>
          <w:p w14:paraId="4F07C303" w14:textId="7F8D7FA3" w:rsidR="00324B33" w:rsidRPr="00BD5DBD" w:rsidRDefault="00275C75" w:rsidP="007452E8">
            <w:pPr>
              <w:rPr>
                <w:szCs w:val="22"/>
              </w:rPr>
            </w:pPr>
            <w:r>
              <w:rPr>
                <w:szCs w:val="22"/>
              </w:rPr>
              <w:t>Extension of indication</w:t>
            </w:r>
          </w:p>
        </w:tc>
      </w:tr>
      <w:tr w:rsidR="00324B33" w:rsidRPr="00BD5DBD" w14:paraId="13482B61" w14:textId="77777777" w:rsidTr="00F865A7">
        <w:tc>
          <w:tcPr>
            <w:tcW w:w="1577" w:type="pct"/>
          </w:tcPr>
          <w:p w14:paraId="2C427FCF" w14:textId="3E422AAA" w:rsidR="00324B33" w:rsidRPr="00BD5DBD" w:rsidRDefault="00324B33" w:rsidP="007452E8">
            <w:pPr>
              <w:rPr>
                <w:i/>
                <w:szCs w:val="22"/>
              </w:rPr>
            </w:pPr>
            <w:r w:rsidRPr="00BD5DBD">
              <w:rPr>
                <w:i/>
                <w:szCs w:val="22"/>
              </w:rPr>
              <w:t>Product name:</w:t>
            </w:r>
          </w:p>
        </w:tc>
        <w:tc>
          <w:tcPr>
            <w:tcW w:w="3423" w:type="pct"/>
          </w:tcPr>
          <w:p w14:paraId="0E2DEF76" w14:textId="046829D0" w:rsidR="00324B33" w:rsidRPr="00BD5DBD" w:rsidRDefault="00275C75" w:rsidP="007452E8">
            <w:pPr>
              <w:rPr>
                <w:szCs w:val="22"/>
              </w:rPr>
            </w:pPr>
            <w:r>
              <w:rPr>
                <w:szCs w:val="22"/>
              </w:rPr>
              <w:t>Opdivo</w:t>
            </w:r>
          </w:p>
        </w:tc>
      </w:tr>
      <w:tr w:rsidR="00324B33" w:rsidRPr="00BD5DBD" w14:paraId="01255B5B" w14:textId="77777777" w:rsidTr="00F865A7">
        <w:tc>
          <w:tcPr>
            <w:tcW w:w="1577" w:type="pct"/>
          </w:tcPr>
          <w:p w14:paraId="52B4F3D7" w14:textId="476205D4" w:rsidR="00324B33" w:rsidRPr="00BD5DBD" w:rsidRDefault="00324B33" w:rsidP="007452E8">
            <w:pPr>
              <w:rPr>
                <w:i/>
                <w:szCs w:val="22"/>
              </w:rPr>
            </w:pPr>
            <w:r w:rsidRPr="00BD5DBD">
              <w:rPr>
                <w:i/>
                <w:szCs w:val="22"/>
              </w:rPr>
              <w:t>Active ingredient:</w:t>
            </w:r>
          </w:p>
        </w:tc>
        <w:tc>
          <w:tcPr>
            <w:tcW w:w="3423" w:type="pct"/>
          </w:tcPr>
          <w:p w14:paraId="02FB6383" w14:textId="71AFB6DC" w:rsidR="00324B33" w:rsidRPr="00BD5DBD" w:rsidRDefault="00275C75" w:rsidP="007452E8">
            <w:pPr>
              <w:rPr>
                <w:szCs w:val="22"/>
              </w:rPr>
            </w:pPr>
            <w:r>
              <w:rPr>
                <w:szCs w:val="22"/>
              </w:rPr>
              <w:t>Nivolumab</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1008E811" w:rsidR="00324B33" w:rsidRPr="00BD5DBD" w:rsidRDefault="00324B33" w:rsidP="007452E8">
            <w:pPr>
              <w:rPr>
                <w:szCs w:val="22"/>
              </w:rPr>
            </w:pPr>
            <w:r w:rsidRPr="00BD5DBD">
              <w:rPr>
                <w:szCs w:val="22"/>
              </w:rPr>
              <w:t xml:space="preserve">Approved </w:t>
            </w:r>
          </w:p>
        </w:tc>
      </w:tr>
      <w:tr w:rsidR="00AE1947" w:rsidRPr="00BD5DBD" w14:paraId="32B72632" w14:textId="77777777" w:rsidTr="00F865A7">
        <w:tc>
          <w:tcPr>
            <w:tcW w:w="1577" w:type="pct"/>
          </w:tcPr>
          <w:p w14:paraId="332A5CD5" w14:textId="49B2B26F" w:rsidR="00AE1947" w:rsidRPr="00275C75" w:rsidRDefault="00AE1947" w:rsidP="00275C75">
            <w:pPr>
              <w:rPr>
                <w:i/>
                <w:szCs w:val="22"/>
              </w:rPr>
            </w:pPr>
            <w:r w:rsidRPr="00BD5DBD">
              <w:rPr>
                <w:i/>
                <w:szCs w:val="22"/>
              </w:rPr>
              <w:t>Date of decision:</w:t>
            </w:r>
          </w:p>
        </w:tc>
        <w:tc>
          <w:tcPr>
            <w:tcW w:w="3423" w:type="pct"/>
          </w:tcPr>
          <w:p w14:paraId="7B381CD6" w14:textId="4D2C0A83" w:rsidR="00AE1947" w:rsidRPr="00BD5DBD" w:rsidRDefault="00275C75">
            <w:pPr>
              <w:rPr>
                <w:szCs w:val="22"/>
              </w:rPr>
            </w:pPr>
            <w:r>
              <w:rPr>
                <w:szCs w:val="22"/>
              </w:rPr>
              <w:t>14 July 2022</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77777777" w:rsidR="00324B33" w:rsidRPr="00BD5DBD" w:rsidRDefault="00324B33" w:rsidP="007452E8">
            <w:pPr>
              <w:rPr>
                <w:szCs w:val="22"/>
              </w:rPr>
            </w:pPr>
            <w:r w:rsidRPr="00BD5DBD">
              <w:rPr>
                <w:szCs w:val="22"/>
              </w:rPr>
              <w:t xml:space="preserve">Date of entry onto ARTG </w:t>
            </w:r>
          </w:p>
        </w:tc>
      </w:tr>
      <w:tr w:rsidR="00324B33" w:rsidRPr="00BD5DBD" w14:paraId="547E08D7" w14:textId="77777777" w:rsidTr="00F865A7">
        <w:tc>
          <w:tcPr>
            <w:tcW w:w="1577" w:type="pct"/>
          </w:tcPr>
          <w:p w14:paraId="5030EF30" w14:textId="7F73AFAB" w:rsidR="00324B33" w:rsidRPr="00BD5DBD" w:rsidRDefault="00324B33" w:rsidP="007452E8">
            <w:pPr>
              <w:rPr>
                <w:i/>
                <w:szCs w:val="22"/>
              </w:rPr>
            </w:pPr>
            <w:r w:rsidRPr="00BD5DBD">
              <w:rPr>
                <w:i/>
                <w:szCs w:val="22"/>
              </w:rPr>
              <w:t>ARTG number:</w:t>
            </w:r>
          </w:p>
        </w:tc>
        <w:tc>
          <w:tcPr>
            <w:tcW w:w="3423" w:type="pct"/>
          </w:tcPr>
          <w:p w14:paraId="0054E912" w14:textId="7D75E816" w:rsidR="00324B33" w:rsidRPr="00BD5DBD" w:rsidRDefault="00275C75" w:rsidP="007452E8">
            <w:pPr>
              <w:rPr>
                <w:szCs w:val="22"/>
              </w:rPr>
            </w:pPr>
            <w:r>
              <w:rPr>
                <w:szCs w:val="22"/>
              </w:rPr>
              <w:t>231867, 231868, 318057</w:t>
            </w:r>
          </w:p>
        </w:tc>
      </w:tr>
      <w:tr w:rsidR="00324B33" w:rsidRPr="00BD5DBD" w14:paraId="7618393F" w14:textId="77777777" w:rsidTr="00F865A7">
        <w:tc>
          <w:tcPr>
            <w:tcW w:w="1577" w:type="pct"/>
          </w:tcPr>
          <w:p w14:paraId="02260DE2" w14:textId="32B38A63" w:rsidR="00324B33" w:rsidRPr="00275C75" w:rsidRDefault="00324B33" w:rsidP="007452E8">
            <w:pPr>
              <w:rPr>
                <w:i/>
                <w:color w:val="0000FF"/>
                <w:szCs w:val="22"/>
                <w:u w:val="single"/>
              </w:rPr>
            </w:pPr>
            <w:r w:rsidRPr="00BD5DBD">
              <w:rPr>
                <w:rFonts w:ascii="Wingdings 3" w:hAnsi="Wingdings 3"/>
                <w:szCs w:val="22"/>
                <w:lang w:eastAsia="en-AU"/>
              </w:rPr>
              <w:t></w:t>
            </w:r>
            <w:hyperlink r:id="rId18" w:history="1">
              <w:r w:rsidRPr="00BD5DBD">
                <w:rPr>
                  <w:rStyle w:val="Hyperlink"/>
                  <w:i/>
                  <w:szCs w:val="22"/>
                </w:rPr>
                <w:t>Black Triangle Scheme</w:t>
              </w:r>
            </w:hyperlink>
          </w:p>
        </w:tc>
        <w:tc>
          <w:tcPr>
            <w:tcW w:w="3423" w:type="pct"/>
          </w:tcPr>
          <w:p w14:paraId="6FF3C6A2" w14:textId="504FC3AB" w:rsidR="00324B33" w:rsidRPr="00BD5DBD" w:rsidRDefault="00275C75" w:rsidP="00275C75">
            <w:pPr>
              <w:rPr>
                <w:szCs w:val="22"/>
              </w:rPr>
            </w:pPr>
            <w:r>
              <w:rPr>
                <w:szCs w:val="22"/>
              </w:rPr>
              <w:t>No</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15344CF9" w14:textId="77777777" w:rsidR="00275C75" w:rsidRPr="00275C75" w:rsidRDefault="00275C75" w:rsidP="00275C75">
            <w:pPr>
              <w:rPr>
                <w:szCs w:val="22"/>
              </w:rPr>
            </w:pPr>
            <w:r w:rsidRPr="00275C75">
              <w:rPr>
                <w:szCs w:val="22"/>
              </w:rPr>
              <w:t>Bristol-Myers Squibb Australia Pty Ltd</w:t>
            </w:r>
          </w:p>
          <w:p w14:paraId="618BD63E" w14:textId="77777777" w:rsidR="00275C75" w:rsidRDefault="00275C75" w:rsidP="00275C75">
            <w:pPr>
              <w:rPr>
                <w:szCs w:val="22"/>
              </w:rPr>
            </w:pPr>
            <w:r w:rsidRPr="00275C75">
              <w:rPr>
                <w:szCs w:val="22"/>
              </w:rPr>
              <w:t xml:space="preserve">Level 2, 4 Nexus Court </w:t>
            </w:r>
          </w:p>
          <w:p w14:paraId="68DD94B0" w14:textId="661C2A33" w:rsidR="00324B33" w:rsidRPr="00BD5DBD" w:rsidRDefault="00275C75" w:rsidP="00275C75">
            <w:pPr>
              <w:rPr>
                <w:szCs w:val="22"/>
              </w:rPr>
            </w:pPr>
            <w:r w:rsidRPr="00275C75">
              <w:rPr>
                <w:szCs w:val="22"/>
              </w:rPr>
              <w:t>Mulgrave VIC 3170</w:t>
            </w:r>
          </w:p>
        </w:tc>
      </w:tr>
      <w:tr w:rsidR="00324B33" w:rsidRPr="00BD5DBD" w14:paraId="5322B989" w14:textId="77777777" w:rsidTr="00F865A7">
        <w:tc>
          <w:tcPr>
            <w:tcW w:w="1577" w:type="pct"/>
          </w:tcPr>
          <w:p w14:paraId="24F217E3" w14:textId="24B6E8A5" w:rsidR="00324B33" w:rsidRPr="00BD5DBD" w:rsidRDefault="00324B33" w:rsidP="007452E8">
            <w:pPr>
              <w:rPr>
                <w:i/>
                <w:szCs w:val="22"/>
              </w:rPr>
            </w:pPr>
            <w:r w:rsidRPr="00BD5DBD">
              <w:rPr>
                <w:i/>
                <w:szCs w:val="22"/>
              </w:rPr>
              <w:t>Dose form:</w:t>
            </w:r>
          </w:p>
        </w:tc>
        <w:tc>
          <w:tcPr>
            <w:tcW w:w="3423" w:type="pct"/>
          </w:tcPr>
          <w:p w14:paraId="768B254C" w14:textId="60EFF8C9" w:rsidR="00324B33" w:rsidRPr="00BD5DBD" w:rsidRDefault="00275C75" w:rsidP="00717AA0">
            <w:pPr>
              <w:rPr>
                <w:szCs w:val="22"/>
              </w:rPr>
            </w:pPr>
            <w:r>
              <w:rPr>
                <w:szCs w:val="22"/>
              </w:rPr>
              <w:t>Concentrated solution for infusion</w:t>
            </w:r>
          </w:p>
        </w:tc>
      </w:tr>
      <w:tr w:rsidR="00324B33" w:rsidRPr="00BD5DBD" w14:paraId="115243E6" w14:textId="77777777" w:rsidTr="00F865A7">
        <w:tc>
          <w:tcPr>
            <w:tcW w:w="1577" w:type="pct"/>
          </w:tcPr>
          <w:p w14:paraId="7634B062" w14:textId="5003D15B" w:rsidR="00324B33" w:rsidRPr="00BD5DBD" w:rsidRDefault="00324B33" w:rsidP="007452E8">
            <w:pPr>
              <w:rPr>
                <w:i/>
                <w:szCs w:val="22"/>
              </w:rPr>
            </w:pPr>
            <w:r w:rsidRPr="00BD5DBD">
              <w:rPr>
                <w:i/>
                <w:szCs w:val="22"/>
              </w:rPr>
              <w:t>Strength</w:t>
            </w:r>
            <w:r w:rsidR="00275C75">
              <w:rPr>
                <w:i/>
                <w:szCs w:val="22"/>
              </w:rPr>
              <w:t>s</w:t>
            </w:r>
            <w:r w:rsidRPr="00BD5DBD">
              <w:rPr>
                <w:i/>
                <w:szCs w:val="22"/>
              </w:rPr>
              <w:t>:</w:t>
            </w:r>
          </w:p>
        </w:tc>
        <w:tc>
          <w:tcPr>
            <w:tcW w:w="3423" w:type="pct"/>
          </w:tcPr>
          <w:p w14:paraId="10F999D1" w14:textId="77777777" w:rsidR="00A214D2" w:rsidRDefault="00275C75" w:rsidP="007452E8">
            <w:pPr>
              <w:rPr>
                <w:szCs w:val="22"/>
              </w:rPr>
            </w:pPr>
            <w:r>
              <w:rPr>
                <w:szCs w:val="22"/>
              </w:rPr>
              <w:t>40</w:t>
            </w:r>
            <w:r w:rsidR="00143411">
              <w:rPr>
                <w:szCs w:val="22"/>
              </w:rPr>
              <w:t xml:space="preserve"> in </w:t>
            </w:r>
            <w:r>
              <w:rPr>
                <w:szCs w:val="22"/>
              </w:rPr>
              <w:t>4 mL</w:t>
            </w:r>
            <w:r w:rsidR="00143411">
              <w:rPr>
                <w:szCs w:val="22"/>
              </w:rPr>
              <w:t xml:space="preserve"> (10 mg/1 mL)</w:t>
            </w:r>
          </w:p>
          <w:p w14:paraId="3696B83D" w14:textId="71282A7B" w:rsidR="00A214D2" w:rsidRDefault="00275C75" w:rsidP="007452E8">
            <w:pPr>
              <w:rPr>
                <w:szCs w:val="22"/>
              </w:rPr>
            </w:pPr>
            <w:r>
              <w:rPr>
                <w:szCs w:val="22"/>
              </w:rPr>
              <w:t>100 mg</w:t>
            </w:r>
            <w:r w:rsidR="00143411">
              <w:rPr>
                <w:szCs w:val="22"/>
              </w:rPr>
              <w:t xml:space="preserve"> in </w:t>
            </w:r>
            <w:r>
              <w:rPr>
                <w:szCs w:val="22"/>
              </w:rPr>
              <w:t>10 mL</w:t>
            </w:r>
            <w:r w:rsidR="00143411">
              <w:rPr>
                <w:szCs w:val="22"/>
              </w:rPr>
              <w:t xml:space="preserve"> </w:t>
            </w:r>
            <w:r w:rsidR="00143411" w:rsidRPr="00143411">
              <w:rPr>
                <w:szCs w:val="22"/>
              </w:rPr>
              <w:t>(10 mg/1 mL</w:t>
            </w:r>
            <w:r w:rsidR="00143411">
              <w:rPr>
                <w:szCs w:val="22"/>
              </w:rPr>
              <w:t>)</w:t>
            </w:r>
          </w:p>
          <w:p w14:paraId="5E5F83DB" w14:textId="2CF2AD5E" w:rsidR="00324B33" w:rsidRPr="00BD5DBD" w:rsidRDefault="00275C75" w:rsidP="007452E8">
            <w:pPr>
              <w:rPr>
                <w:szCs w:val="22"/>
              </w:rPr>
            </w:pPr>
            <w:r>
              <w:rPr>
                <w:szCs w:val="22"/>
              </w:rPr>
              <w:t>240</w:t>
            </w:r>
            <w:r w:rsidR="00143411">
              <w:rPr>
                <w:szCs w:val="22"/>
              </w:rPr>
              <w:t> </w:t>
            </w:r>
            <w:r>
              <w:rPr>
                <w:szCs w:val="22"/>
              </w:rPr>
              <w:t>mg</w:t>
            </w:r>
            <w:r w:rsidR="00143411">
              <w:rPr>
                <w:szCs w:val="22"/>
              </w:rPr>
              <w:t xml:space="preserve"> in </w:t>
            </w:r>
            <w:r>
              <w:rPr>
                <w:szCs w:val="22"/>
              </w:rPr>
              <w:t>24 mL</w:t>
            </w:r>
            <w:r w:rsidR="00143411">
              <w:rPr>
                <w:szCs w:val="22"/>
              </w:rPr>
              <w:t xml:space="preserve"> </w:t>
            </w:r>
            <w:r w:rsidR="00143411" w:rsidRPr="00143411">
              <w:rPr>
                <w:szCs w:val="22"/>
              </w:rPr>
              <w:t>(10 mg/1 mL</w:t>
            </w:r>
            <w:r w:rsidR="00143411">
              <w:rPr>
                <w:szCs w:val="22"/>
              </w:rPr>
              <w:t>)</w:t>
            </w:r>
          </w:p>
        </w:tc>
      </w:tr>
      <w:tr w:rsidR="00324B33" w:rsidRPr="00BD5DBD" w14:paraId="34B07BA6" w14:textId="77777777" w:rsidTr="00F865A7">
        <w:tc>
          <w:tcPr>
            <w:tcW w:w="1577" w:type="pct"/>
          </w:tcPr>
          <w:p w14:paraId="1C039224" w14:textId="5D9D4F03" w:rsidR="00324B33" w:rsidRPr="00BD5DBD" w:rsidRDefault="00324B33" w:rsidP="007452E8">
            <w:pPr>
              <w:rPr>
                <w:i/>
                <w:szCs w:val="22"/>
              </w:rPr>
            </w:pPr>
            <w:r w:rsidRPr="00BD5DBD">
              <w:rPr>
                <w:i/>
                <w:szCs w:val="22"/>
              </w:rPr>
              <w:t>Container:</w:t>
            </w:r>
          </w:p>
        </w:tc>
        <w:tc>
          <w:tcPr>
            <w:tcW w:w="3423" w:type="pct"/>
          </w:tcPr>
          <w:p w14:paraId="500A42C6" w14:textId="6A36F475" w:rsidR="00324B33" w:rsidRPr="00BD5DBD" w:rsidRDefault="00275C75" w:rsidP="007452E8">
            <w:pPr>
              <w:rPr>
                <w:szCs w:val="22"/>
              </w:rPr>
            </w:pPr>
            <w:r>
              <w:rPr>
                <w:szCs w:val="22"/>
              </w:rPr>
              <w:t>Vial</w:t>
            </w:r>
          </w:p>
        </w:tc>
      </w:tr>
      <w:tr w:rsidR="00324B33" w:rsidRPr="00BD5DBD" w14:paraId="176B6773" w14:textId="77777777" w:rsidTr="00F865A7">
        <w:tc>
          <w:tcPr>
            <w:tcW w:w="1577" w:type="pct"/>
          </w:tcPr>
          <w:p w14:paraId="71846159" w14:textId="1C6DE855" w:rsidR="00324B33" w:rsidRPr="00BD5DBD" w:rsidRDefault="00324B33" w:rsidP="007452E8">
            <w:pPr>
              <w:rPr>
                <w:i/>
                <w:szCs w:val="22"/>
              </w:rPr>
            </w:pPr>
            <w:r w:rsidRPr="00BD5DBD">
              <w:rPr>
                <w:i/>
                <w:szCs w:val="22"/>
              </w:rPr>
              <w:t>Pack size:</w:t>
            </w:r>
          </w:p>
        </w:tc>
        <w:tc>
          <w:tcPr>
            <w:tcW w:w="3423" w:type="pct"/>
          </w:tcPr>
          <w:p w14:paraId="7E978F8F" w14:textId="78121C67" w:rsidR="00324B33" w:rsidRPr="00BD5DBD" w:rsidRDefault="00275C75" w:rsidP="007452E8">
            <w:pPr>
              <w:rPr>
                <w:szCs w:val="22"/>
              </w:rPr>
            </w:pPr>
            <w:r>
              <w:rPr>
                <w:szCs w:val="22"/>
              </w:rPr>
              <w:t>Single vial packs</w:t>
            </w:r>
          </w:p>
        </w:tc>
      </w:tr>
      <w:tr w:rsidR="00324B33" w:rsidRPr="00BD5DBD" w14:paraId="19A2544A" w14:textId="77777777" w:rsidTr="00F865A7">
        <w:tc>
          <w:tcPr>
            <w:tcW w:w="1577" w:type="pct"/>
          </w:tcPr>
          <w:p w14:paraId="0E6C5C0E" w14:textId="7DB3FC66" w:rsidR="00324B33" w:rsidRPr="00BD5DBD" w:rsidRDefault="00324B33" w:rsidP="007452E8">
            <w:pPr>
              <w:rPr>
                <w:i/>
                <w:szCs w:val="22"/>
              </w:rPr>
            </w:pPr>
            <w:r w:rsidRPr="00BD5DBD">
              <w:rPr>
                <w:i/>
                <w:szCs w:val="22"/>
              </w:rPr>
              <w:t>Approved therapeutic use</w:t>
            </w:r>
            <w:r w:rsidR="00E47E0C" w:rsidRPr="00BD5DBD">
              <w:rPr>
                <w:i/>
                <w:szCs w:val="22"/>
              </w:rPr>
              <w:t xml:space="preserve"> </w:t>
            </w:r>
            <w:r w:rsidR="007B04DE" w:rsidRPr="00BD5DBD">
              <w:rPr>
                <w:i/>
                <w:szCs w:val="22"/>
              </w:rPr>
              <w:t>for the current</w:t>
            </w:r>
            <w:r w:rsidR="00E47E0C" w:rsidRPr="00BD5DBD">
              <w:rPr>
                <w:i/>
                <w:szCs w:val="22"/>
              </w:rPr>
              <w:t xml:space="preserve"> submission</w:t>
            </w:r>
            <w:r w:rsidRPr="00BD5DBD">
              <w:rPr>
                <w:i/>
                <w:szCs w:val="22"/>
              </w:rPr>
              <w:t>:</w:t>
            </w:r>
          </w:p>
        </w:tc>
        <w:tc>
          <w:tcPr>
            <w:tcW w:w="3423" w:type="pct"/>
          </w:tcPr>
          <w:p w14:paraId="6E143E2E" w14:textId="58228B2D" w:rsidR="00324B33" w:rsidRPr="00275C75" w:rsidRDefault="00275C75" w:rsidP="007452E8">
            <w:pPr>
              <w:rPr>
                <w:i/>
                <w:iCs/>
                <w:szCs w:val="22"/>
              </w:rPr>
            </w:pPr>
            <w:r w:rsidRPr="00275C75">
              <w:rPr>
                <w:i/>
                <w:iCs/>
                <w:szCs w:val="22"/>
              </w:rPr>
              <w:t>O</w:t>
            </w:r>
            <w:r>
              <w:rPr>
                <w:i/>
                <w:iCs/>
                <w:szCs w:val="22"/>
              </w:rPr>
              <w:t>pdivo,</w:t>
            </w:r>
            <w:r w:rsidRPr="00275C75">
              <w:rPr>
                <w:i/>
                <w:iCs/>
                <w:szCs w:val="22"/>
              </w:rPr>
              <w:t xml:space="preserve"> as monotherapy, is indicated for the adjuvant treatment of patients with muscle invasive urothelial carcinoma (MIUC) who are at high risk of recurrence after undergoing radical resection of MIUC.</w:t>
            </w:r>
          </w:p>
        </w:tc>
      </w:tr>
      <w:tr w:rsidR="00324B33" w:rsidRPr="00BD5DBD" w14:paraId="5AFDEED3" w14:textId="77777777" w:rsidTr="00F865A7">
        <w:tc>
          <w:tcPr>
            <w:tcW w:w="1577" w:type="pct"/>
          </w:tcPr>
          <w:p w14:paraId="03884BD1" w14:textId="0809F24C" w:rsidR="00324B33" w:rsidRPr="00BD5DBD" w:rsidRDefault="00324B33" w:rsidP="007452E8">
            <w:pPr>
              <w:rPr>
                <w:i/>
                <w:szCs w:val="22"/>
              </w:rPr>
            </w:pPr>
            <w:r w:rsidRPr="00BD5DBD">
              <w:rPr>
                <w:i/>
                <w:szCs w:val="22"/>
              </w:rPr>
              <w:t>Route of administration:</w:t>
            </w:r>
          </w:p>
        </w:tc>
        <w:tc>
          <w:tcPr>
            <w:tcW w:w="3423" w:type="pct"/>
          </w:tcPr>
          <w:p w14:paraId="1ED1357E" w14:textId="46CB82DB" w:rsidR="00324B33" w:rsidRPr="00BD5DBD" w:rsidRDefault="00275C75" w:rsidP="007452E8">
            <w:pPr>
              <w:rPr>
                <w:szCs w:val="22"/>
              </w:rPr>
            </w:pPr>
            <w:r>
              <w:rPr>
                <w:szCs w:val="22"/>
              </w:rPr>
              <w:t>Intravenous infusion</w:t>
            </w:r>
          </w:p>
        </w:tc>
      </w:tr>
      <w:tr w:rsidR="00324B33" w:rsidRPr="00BD5DBD" w14:paraId="70D7E9FA" w14:textId="77777777" w:rsidTr="00F865A7">
        <w:tc>
          <w:tcPr>
            <w:tcW w:w="1577" w:type="pct"/>
          </w:tcPr>
          <w:p w14:paraId="5ABFFC80" w14:textId="77777777" w:rsidR="00324B33" w:rsidRPr="00BD5DBD" w:rsidRDefault="00324B33" w:rsidP="007452E8">
            <w:pPr>
              <w:rPr>
                <w:i/>
                <w:szCs w:val="22"/>
              </w:rPr>
            </w:pPr>
            <w:r w:rsidRPr="00BD5DBD">
              <w:rPr>
                <w:i/>
                <w:szCs w:val="22"/>
              </w:rPr>
              <w:t>Dosage:</w:t>
            </w:r>
          </w:p>
        </w:tc>
        <w:tc>
          <w:tcPr>
            <w:tcW w:w="3423" w:type="pct"/>
          </w:tcPr>
          <w:p w14:paraId="1DF90127" w14:textId="74AE00C5" w:rsidR="00275C75" w:rsidRDefault="00275C75" w:rsidP="007452E8">
            <w:pPr>
              <w:rPr>
                <w:szCs w:val="22"/>
              </w:rPr>
            </w:pPr>
            <w:r>
              <w:rPr>
                <w:szCs w:val="22"/>
              </w:rPr>
              <w:t xml:space="preserve">Treatment must be initiated and supervised by specialist physicians experienced in the treatment of cancer. </w:t>
            </w:r>
          </w:p>
          <w:p w14:paraId="526069F8" w14:textId="7BB846EA" w:rsidR="00275C75" w:rsidRDefault="00275C75" w:rsidP="007452E8">
            <w:pPr>
              <w:rPr>
                <w:szCs w:val="22"/>
              </w:rPr>
            </w:pPr>
            <w:r>
              <w:rPr>
                <w:szCs w:val="22"/>
              </w:rPr>
              <w:t>Opdivo infusion must not be administered as an intravenous push or bolus injection.</w:t>
            </w:r>
          </w:p>
          <w:p w14:paraId="6020E59D" w14:textId="36B108FE" w:rsidR="00275C75" w:rsidRPr="00275C75" w:rsidRDefault="00275C75" w:rsidP="00260F57">
            <w:pPr>
              <w:keepNext/>
              <w:rPr>
                <w:i/>
                <w:iCs/>
                <w:szCs w:val="22"/>
              </w:rPr>
            </w:pPr>
            <w:r w:rsidRPr="00275C75">
              <w:rPr>
                <w:i/>
                <w:iCs/>
                <w:szCs w:val="22"/>
              </w:rPr>
              <w:lastRenderedPageBreak/>
              <w:t>Adjuvant Treatment of Muscle Invasive Urothelial Carcinoma</w:t>
            </w:r>
          </w:p>
          <w:p w14:paraId="24D3497B" w14:textId="1E166B4B" w:rsidR="00A214D2" w:rsidRDefault="00143411" w:rsidP="00260F57">
            <w:pPr>
              <w:keepNext/>
              <w:rPr>
                <w:szCs w:val="22"/>
              </w:rPr>
            </w:pPr>
            <w:r>
              <w:rPr>
                <w:szCs w:val="22"/>
              </w:rPr>
              <w:t>The recommended dose is</w:t>
            </w:r>
            <w:r w:rsidR="00A214D2">
              <w:rPr>
                <w:szCs w:val="22"/>
              </w:rPr>
              <w:t xml:space="preserve"> either:</w:t>
            </w:r>
          </w:p>
          <w:p w14:paraId="09D2A0FC" w14:textId="7668953D" w:rsidR="00A214D2" w:rsidRDefault="00275C75" w:rsidP="00CC6B3F">
            <w:pPr>
              <w:pStyle w:val="ListBullet"/>
            </w:pPr>
            <w:r w:rsidRPr="00CC6B3F">
              <w:t>240 mg every 2 weeks (30</w:t>
            </w:r>
            <w:r w:rsidR="00143411" w:rsidRPr="00CC6B3F">
              <w:t xml:space="preserve"> m</w:t>
            </w:r>
            <w:r w:rsidRPr="00CC6B3F">
              <w:t>inute intravenous infusion</w:t>
            </w:r>
            <w:r w:rsidR="00A214D2" w:rsidRPr="00CC6B3F">
              <w:t xml:space="preserve"> duration</w:t>
            </w:r>
            <w:r w:rsidRPr="00CC6B3F">
              <w:t>)</w:t>
            </w:r>
            <w:r w:rsidR="00A214D2">
              <w:t xml:space="preserve">; </w:t>
            </w:r>
            <w:r w:rsidRPr="00CC6B3F">
              <w:t>or</w:t>
            </w:r>
          </w:p>
          <w:p w14:paraId="22FFF934" w14:textId="25324EA8" w:rsidR="00275C75" w:rsidRPr="00717AA0" w:rsidRDefault="00275C75" w:rsidP="00CC6B3F">
            <w:pPr>
              <w:pStyle w:val="ListBullet"/>
            </w:pPr>
            <w:r w:rsidRPr="00CC6B3F">
              <w:t>480 mg every 4 weeks</w:t>
            </w:r>
            <w:r w:rsidR="00143411" w:rsidRPr="00CC6B3F">
              <w:t xml:space="preserve"> </w:t>
            </w:r>
            <w:r w:rsidRPr="00CC6B3F">
              <w:t>(30</w:t>
            </w:r>
            <w:r w:rsidR="00143411" w:rsidRPr="00CC6B3F">
              <w:t xml:space="preserve"> </w:t>
            </w:r>
            <w:r w:rsidRPr="00CC6B3F">
              <w:t>minute intravenous infusion</w:t>
            </w:r>
            <w:r w:rsidR="00A214D2">
              <w:t xml:space="preserve"> duration</w:t>
            </w:r>
            <w:r w:rsidRPr="00717AA0">
              <w:t>)</w:t>
            </w:r>
            <w:r w:rsidR="00A214D2">
              <w:t>.</w:t>
            </w:r>
            <w:r w:rsidRPr="00717AA0">
              <w:t xml:space="preserve"> </w:t>
            </w:r>
          </w:p>
          <w:p w14:paraId="40B2D5EF" w14:textId="2BF97DA5" w:rsidR="00275C75" w:rsidRPr="00275C75" w:rsidRDefault="00275C75" w:rsidP="00275C75">
            <w:pPr>
              <w:rPr>
                <w:i/>
                <w:iCs/>
                <w:szCs w:val="22"/>
              </w:rPr>
            </w:pPr>
            <w:r w:rsidRPr="00275C75">
              <w:rPr>
                <w:szCs w:val="22"/>
              </w:rPr>
              <w:t xml:space="preserve">Treatment should be continued </w:t>
            </w:r>
            <w:proofErr w:type="gramStart"/>
            <w:r w:rsidRPr="00275C75">
              <w:rPr>
                <w:szCs w:val="22"/>
              </w:rPr>
              <w:t>as long as</w:t>
            </w:r>
            <w:proofErr w:type="gramEnd"/>
            <w:r w:rsidRPr="00275C75">
              <w:rPr>
                <w:szCs w:val="22"/>
              </w:rPr>
              <w:t xml:space="preserve"> clinical benefit is observed or until treatment is no longer</w:t>
            </w:r>
            <w:r w:rsidR="00143411">
              <w:rPr>
                <w:szCs w:val="22"/>
              </w:rPr>
              <w:t xml:space="preserve"> </w:t>
            </w:r>
            <w:r w:rsidRPr="00275C75">
              <w:rPr>
                <w:szCs w:val="22"/>
              </w:rPr>
              <w:t xml:space="preserve">tolerated to maximum duration of 12 months. </w:t>
            </w:r>
          </w:p>
          <w:p w14:paraId="3D0B2D5C" w14:textId="06FC73F4" w:rsidR="00324B33" w:rsidRPr="00BD5DBD" w:rsidRDefault="00324B33" w:rsidP="007452E8">
            <w:pPr>
              <w:rPr>
                <w:szCs w:val="22"/>
              </w:rPr>
            </w:pPr>
            <w:r w:rsidRPr="00BD5DBD">
              <w:rPr>
                <w:szCs w:val="22"/>
              </w:rPr>
              <w:t>For further information regarding dosage, refer to the Product Information.</w:t>
            </w:r>
          </w:p>
        </w:tc>
      </w:tr>
      <w:tr w:rsidR="00324B33" w:rsidRPr="00BD5DBD" w14:paraId="24DC408E" w14:textId="77777777" w:rsidTr="00F865A7">
        <w:tc>
          <w:tcPr>
            <w:tcW w:w="1577" w:type="pct"/>
          </w:tcPr>
          <w:p w14:paraId="26380792" w14:textId="77777777" w:rsidR="00324B33" w:rsidRPr="00BD5DBD" w:rsidRDefault="00324B33" w:rsidP="007452E8">
            <w:pPr>
              <w:rPr>
                <w:i/>
                <w:szCs w:val="22"/>
              </w:rPr>
            </w:pPr>
            <w:r w:rsidRPr="00BD5DBD">
              <w:rPr>
                <w:i/>
                <w:szCs w:val="22"/>
              </w:rPr>
              <w:lastRenderedPageBreak/>
              <w:t>Pregnancy category:</w:t>
            </w:r>
          </w:p>
        </w:tc>
        <w:tc>
          <w:tcPr>
            <w:tcW w:w="3423" w:type="pct"/>
          </w:tcPr>
          <w:p w14:paraId="15DDA83F" w14:textId="738C39FF" w:rsidR="00143411" w:rsidRDefault="00143411" w:rsidP="007452E8">
            <w:pPr>
              <w:rPr>
                <w:szCs w:val="22"/>
              </w:rPr>
            </w:pPr>
            <w:r>
              <w:rPr>
                <w:szCs w:val="22"/>
              </w:rPr>
              <w:t>D</w:t>
            </w:r>
          </w:p>
          <w:p w14:paraId="5C51A771" w14:textId="77777777" w:rsidR="00143411" w:rsidRDefault="00143411" w:rsidP="007452E8">
            <w:pPr>
              <w:rPr>
                <w:szCs w:val="22"/>
              </w:rPr>
            </w:pPr>
            <w:r w:rsidRPr="00143411">
              <w:rPr>
                <w:szCs w:val="22"/>
              </w:rPr>
              <w:t xml:space="preserve">Drugs which have caused, are suspected to have caused or may be expected to cause, an increased incidence of human fetal malformations or irreversible damage. These drugs may also have adverse pharmacological effects. Accompanying texts should be consulted for further details. </w:t>
            </w:r>
          </w:p>
          <w:p w14:paraId="5E2AA3D6" w14:textId="42BDCDF6" w:rsidR="00324B33" w:rsidRPr="00BD5DBD" w:rsidRDefault="00324B33" w:rsidP="007452E8">
            <w:pPr>
              <w:rPr>
                <w:szCs w:val="22"/>
              </w:rPr>
            </w:pPr>
            <w:r w:rsidRPr="00BD5DBD">
              <w:rPr>
                <w:szCs w:val="22"/>
              </w:rP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51F2479F" w14:textId="77777777" w:rsidR="00324B33" w:rsidRDefault="00324B33" w:rsidP="00324B33">
      <w:pPr>
        <w:pStyle w:val="Heading3"/>
      </w:pPr>
      <w:bookmarkStart w:id="11" w:name="_Toc247691503"/>
      <w:bookmarkStart w:id="12" w:name="_Toc314842484"/>
      <w:bookmarkStart w:id="13" w:name="_Toc103679290"/>
      <w:bookmarkStart w:id="14" w:name="_Toc136880545"/>
      <w:r>
        <w:t>Product background</w:t>
      </w:r>
      <w:bookmarkEnd w:id="11"/>
      <w:bookmarkEnd w:id="12"/>
      <w:bookmarkEnd w:id="13"/>
      <w:bookmarkEnd w:id="14"/>
    </w:p>
    <w:p w14:paraId="56B27CF2" w14:textId="3D1BE92F" w:rsidR="00324B33" w:rsidRDefault="00324B33" w:rsidP="00324B33">
      <w:pPr>
        <w:rPr>
          <w:szCs w:val="22"/>
        </w:rPr>
      </w:pPr>
      <w:r w:rsidRPr="00BD5DBD">
        <w:rPr>
          <w:szCs w:val="22"/>
        </w:rPr>
        <w:t xml:space="preserve">This AusPAR describes the submission by </w:t>
      </w:r>
      <w:r w:rsidR="00143411" w:rsidRPr="00143411">
        <w:rPr>
          <w:szCs w:val="22"/>
        </w:rPr>
        <w:t xml:space="preserve">Bristol-Myers Squibb Australia Pty Ltd </w:t>
      </w:r>
      <w:r w:rsidRPr="00BD5DBD">
        <w:rPr>
          <w:szCs w:val="22"/>
        </w:rPr>
        <w:t>(the sponsor) to register</w:t>
      </w:r>
      <w:r w:rsidR="00143411">
        <w:rPr>
          <w:szCs w:val="22"/>
        </w:rPr>
        <w:t xml:space="preserve"> </w:t>
      </w:r>
      <w:r w:rsidR="001D3DAE">
        <w:rPr>
          <w:szCs w:val="22"/>
        </w:rPr>
        <w:t>Opdivo</w:t>
      </w:r>
      <w:r w:rsidR="00143411" w:rsidRPr="00143411">
        <w:rPr>
          <w:szCs w:val="22"/>
        </w:rPr>
        <w:t xml:space="preserve"> </w:t>
      </w:r>
      <w:r w:rsidR="00143411">
        <w:rPr>
          <w:szCs w:val="22"/>
        </w:rPr>
        <w:t>(n</w:t>
      </w:r>
      <w:r w:rsidR="00143411" w:rsidRPr="00143411">
        <w:rPr>
          <w:szCs w:val="22"/>
        </w:rPr>
        <w:t>ivolumab</w:t>
      </w:r>
      <w:r w:rsidR="00143411">
        <w:rPr>
          <w:szCs w:val="22"/>
        </w:rPr>
        <w:t xml:space="preserve">) </w:t>
      </w:r>
      <w:r w:rsidR="00143411" w:rsidRPr="00143411">
        <w:rPr>
          <w:szCs w:val="22"/>
        </w:rPr>
        <w:t>40</w:t>
      </w:r>
      <w:r w:rsidR="00143411">
        <w:rPr>
          <w:szCs w:val="22"/>
        </w:rPr>
        <w:t xml:space="preserve"> in </w:t>
      </w:r>
      <w:r w:rsidR="00143411" w:rsidRPr="00143411">
        <w:rPr>
          <w:szCs w:val="22"/>
        </w:rPr>
        <w:t>4 mL</w:t>
      </w:r>
      <w:r w:rsidR="00583F08">
        <w:rPr>
          <w:szCs w:val="22"/>
        </w:rPr>
        <w:t xml:space="preserve"> </w:t>
      </w:r>
      <w:r w:rsidR="00583F08" w:rsidRPr="00583F08">
        <w:rPr>
          <w:szCs w:val="22"/>
        </w:rPr>
        <w:t>(10 mg/mL)</w:t>
      </w:r>
      <w:r w:rsidR="00143411" w:rsidRPr="00143411">
        <w:rPr>
          <w:szCs w:val="22"/>
        </w:rPr>
        <w:t>, 100 mg</w:t>
      </w:r>
      <w:r w:rsidR="00143411">
        <w:rPr>
          <w:szCs w:val="22"/>
        </w:rPr>
        <w:t xml:space="preserve"> in 1</w:t>
      </w:r>
      <w:r w:rsidR="00143411" w:rsidRPr="00143411">
        <w:rPr>
          <w:szCs w:val="22"/>
        </w:rPr>
        <w:t>0 mL</w:t>
      </w:r>
      <w:r w:rsidR="00583F08">
        <w:rPr>
          <w:szCs w:val="22"/>
        </w:rPr>
        <w:t xml:space="preserve"> </w:t>
      </w:r>
      <w:r w:rsidR="00583F08" w:rsidRPr="00583F08">
        <w:rPr>
          <w:szCs w:val="22"/>
        </w:rPr>
        <w:t>(10 mg/mL)</w:t>
      </w:r>
      <w:r w:rsidR="00143411" w:rsidRPr="00143411">
        <w:rPr>
          <w:szCs w:val="22"/>
        </w:rPr>
        <w:t>, 240 mg</w:t>
      </w:r>
      <w:r w:rsidR="00143411">
        <w:rPr>
          <w:szCs w:val="22"/>
        </w:rPr>
        <w:t xml:space="preserve"> in </w:t>
      </w:r>
      <w:r w:rsidR="00143411" w:rsidRPr="00143411">
        <w:rPr>
          <w:szCs w:val="22"/>
        </w:rPr>
        <w:t>24 mL</w:t>
      </w:r>
      <w:r w:rsidR="00143411">
        <w:rPr>
          <w:szCs w:val="22"/>
        </w:rPr>
        <w:t xml:space="preserve"> (10 mg/mL) concentrated solution for infusion </w:t>
      </w:r>
      <w:r w:rsidR="00963920">
        <w:rPr>
          <w:szCs w:val="22"/>
        </w:rPr>
        <w:t>(</w:t>
      </w:r>
      <w:r w:rsidR="00143411">
        <w:rPr>
          <w:szCs w:val="22"/>
        </w:rPr>
        <w:t>vials</w:t>
      </w:r>
      <w:r w:rsidR="00963920">
        <w:rPr>
          <w:szCs w:val="22"/>
        </w:rPr>
        <w:t>)</w:t>
      </w:r>
      <w:r w:rsidR="00143411">
        <w:rPr>
          <w:szCs w:val="22"/>
        </w:rPr>
        <w:t xml:space="preserve"> f</w:t>
      </w:r>
      <w:r w:rsidRPr="00BD5DBD">
        <w:rPr>
          <w:szCs w:val="22"/>
        </w:rPr>
        <w:t>or the following proposed indication/extension of indications/change in dose regime:</w:t>
      </w:r>
      <w:r w:rsidR="00D63760" w:rsidRPr="00BD5DBD">
        <w:rPr>
          <w:rStyle w:val="FootnoteReference"/>
          <w:szCs w:val="22"/>
        </w:rPr>
        <w:footnoteReference w:id="2"/>
      </w:r>
    </w:p>
    <w:p w14:paraId="64ACA028" w14:textId="6A3F1E8A" w:rsidR="00143411" w:rsidRDefault="00143411" w:rsidP="00143411">
      <w:pPr>
        <w:ind w:left="720"/>
        <w:rPr>
          <w:i/>
          <w:iCs/>
          <w:szCs w:val="22"/>
        </w:rPr>
      </w:pPr>
      <w:r w:rsidRPr="00143411">
        <w:rPr>
          <w:i/>
          <w:iCs/>
          <w:szCs w:val="22"/>
        </w:rPr>
        <w:t>O</w:t>
      </w:r>
      <w:r>
        <w:rPr>
          <w:i/>
          <w:iCs/>
          <w:szCs w:val="22"/>
        </w:rPr>
        <w:t>pdivo</w:t>
      </w:r>
      <w:r w:rsidRPr="00143411">
        <w:rPr>
          <w:i/>
          <w:iCs/>
          <w:szCs w:val="22"/>
        </w:rPr>
        <w:t>, as monotherapy, is indicated for the adjuvant treatment of patients with muscle invasive urothelial carcinoma (MIUC) who are at high risk of recurrence after undergoing radical resection of MIUC.</w:t>
      </w:r>
    </w:p>
    <w:p w14:paraId="3C01F640" w14:textId="653D8173" w:rsidR="00143411" w:rsidRDefault="00143411" w:rsidP="00143411">
      <w:bookmarkStart w:id="15" w:name="_Toc314842485"/>
      <w:bookmarkStart w:id="16" w:name="_Toc247691504"/>
      <w:r>
        <w:t xml:space="preserve">Urothelial carcinoma (UC) of the bladder is among the </w:t>
      </w:r>
      <w:r w:rsidR="00583F08">
        <w:t>ten</w:t>
      </w:r>
      <w:r>
        <w:t xml:space="preserve"> most common cancers in the world. </w:t>
      </w:r>
      <w:r w:rsidR="007C0921" w:rsidRPr="007C0921">
        <w:t>Urothelial carcinoma</w:t>
      </w:r>
      <w:r>
        <w:t xml:space="preserve"> originates in the urothelial cells (also called transitional cells) that line the bladder, ureter, and renal pelvis. The majority (90%) of </w:t>
      </w:r>
      <w:r w:rsidR="007C0921">
        <w:t>u</w:t>
      </w:r>
      <w:r w:rsidR="007C0921" w:rsidRPr="007C0921">
        <w:t>rothelial carcinoma</w:t>
      </w:r>
      <w:r w:rsidR="007C0921">
        <w:t>s</w:t>
      </w:r>
      <w:r>
        <w:t xml:space="preserve"> originate in the urinary bladder, 8% originate in the renal pelvis and the remaining 2% in the ureter and </w:t>
      </w:r>
      <w:r>
        <w:lastRenderedPageBreak/>
        <w:t>urethra.</w:t>
      </w:r>
      <w:bookmarkStart w:id="17" w:name="_Ref130899515"/>
      <w:r w:rsidR="00583F08">
        <w:rPr>
          <w:rStyle w:val="FootnoteReference"/>
        </w:rPr>
        <w:footnoteReference w:id="3"/>
      </w:r>
      <w:bookmarkEnd w:id="17"/>
      <w:r>
        <w:t xml:space="preserve"> Upper tract urothelial carcinoma is less common, </w:t>
      </w:r>
      <w:r w:rsidR="00963920">
        <w:t xml:space="preserve">with an estimated annual incidence in developed countries of </w:t>
      </w:r>
      <w:r>
        <w:t xml:space="preserve">approximately </w:t>
      </w:r>
      <w:r w:rsidR="007C0921">
        <w:t>two</w:t>
      </w:r>
      <w:r>
        <w:t xml:space="preserve"> </w:t>
      </w:r>
      <w:r w:rsidR="00963920">
        <w:t xml:space="preserve">cases </w:t>
      </w:r>
      <w:r>
        <w:t>per 100,000</w:t>
      </w:r>
      <w:r w:rsidR="00963920">
        <w:t xml:space="preserve"> people</w:t>
      </w:r>
      <w:r>
        <w:t>.</w:t>
      </w:r>
      <w:r w:rsidR="00963920">
        <w:rPr>
          <w:rStyle w:val="FootnoteReference"/>
        </w:rPr>
        <w:footnoteReference w:id="4"/>
      </w:r>
    </w:p>
    <w:p w14:paraId="5B828623" w14:textId="6570E170" w:rsidR="00143411" w:rsidRDefault="00143411" w:rsidP="00143411">
      <w:r>
        <w:t xml:space="preserve">Although </w:t>
      </w:r>
      <w:proofErr w:type="gramStart"/>
      <w:r>
        <w:t>the majority of</w:t>
      </w:r>
      <w:proofErr w:type="gramEnd"/>
      <w:r>
        <w:t xml:space="preserve"> patients present with non-invasive disease, 15% to 25% of </w:t>
      </w:r>
      <w:r w:rsidR="007C0921">
        <w:t>u</w:t>
      </w:r>
      <w:r w:rsidR="007C0921" w:rsidRPr="007C0921">
        <w:t>rothelial carcinoma</w:t>
      </w:r>
      <w:r w:rsidR="007C0921">
        <w:t>s</w:t>
      </w:r>
      <w:r w:rsidR="007C0921" w:rsidRPr="007C0921">
        <w:t xml:space="preserve"> </w:t>
      </w:r>
      <w:r>
        <w:t>either present with or eventually progress to muscle invasive or metastatic disease.</w:t>
      </w:r>
      <w:r w:rsidR="007865B9">
        <w:rPr>
          <w:rStyle w:val="FootnoteReference"/>
        </w:rPr>
        <w:footnoteReference w:id="5"/>
      </w:r>
      <w:r>
        <w:t xml:space="preserve"> Once invasive into the muscularis propria, </w:t>
      </w:r>
      <w:r w:rsidR="007865B9">
        <w:t xml:space="preserve">urothelial carcinoma </w:t>
      </w:r>
      <w:r>
        <w:t>of the bladder, commonly referred to as muscle invasive bladder cancer (MIBC), is an aggressive disease that requires multimodal treatment, which includes radical surgery or radiation therapy with or without chemotherapy. Despite multimodal treatment, more than 50% of patients with MIBC will eventually develop metastases.</w:t>
      </w:r>
      <w:r w:rsidR="00CB4059">
        <w:rPr>
          <w:rStyle w:val="FootnoteReference"/>
        </w:rPr>
        <w:footnoteReference w:id="6"/>
      </w:r>
    </w:p>
    <w:p w14:paraId="688DA66F" w14:textId="77777777" w:rsidR="00143411" w:rsidRDefault="00143411" w:rsidP="007C0921">
      <w:pPr>
        <w:pStyle w:val="Heading4"/>
      </w:pPr>
      <w:bookmarkStart w:id="18" w:name="_Toc136880546"/>
      <w:r>
        <w:t>Current treatment options</w:t>
      </w:r>
      <w:bookmarkEnd w:id="18"/>
    </w:p>
    <w:p w14:paraId="1D36D422" w14:textId="5DC0516C" w:rsidR="00143411" w:rsidRDefault="00143411" w:rsidP="00143411">
      <w:r>
        <w:t>Radical cystectomy is the standard of care for patients with MIBC.</w:t>
      </w:r>
      <w:r w:rsidR="00CB4059">
        <w:rPr>
          <w:rStyle w:val="FootnoteReference"/>
        </w:rPr>
        <w:footnoteReference w:id="7"/>
      </w:r>
      <w:r w:rsidR="004F35A7">
        <w:rPr>
          <w:vertAlign w:val="superscript"/>
        </w:rPr>
        <w:t>,</w:t>
      </w:r>
      <w:bookmarkStart w:id="19" w:name="_Ref136512549"/>
      <w:r w:rsidR="004F35A7">
        <w:rPr>
          <w:rStyle w:val="FootnoteReference"/>
        </w:rPr>
        <w:footnoteReference w:id="8"/>
      </w:r>
      <w:bookmarkEnd w:id="19"/>
      <w:r>
        <w:t xml:space="preserve"> That procedure involves complete removal of the bladder, surrounding tissues and regional lymph nodes is a potentially curative treatment for MIBC, however more than half of patients undergoing </w:t>
      </w:r>
      <w:r w:rsidR="007C0921">
        <w:t>r</w:t>
      </w:r>
      <w:r w:rsidR="007C0921" w:rsidRPr="007C0921">
        <w:t>adical cystectomy</w:t>
      </w:r>
      <w:r>
        <w:t xml:space="preserve"> will eventually relapse.</w:t>
      </w:r>
      <w:r w:rsidR="004F35A7" w:rsidRPr="00CC6B3F">
        <w:rPr>
          <w:vertAlign w:val="superscript"/>
        </w:rPr>
        <w:fldChar w:fldCharType="begin"/>
      </w:r>
      <w:r w:rsidR="004F35A7" w:rsidRPr="00CC6B3F">
        <w:rPr>
          <w:vertAlign w:val="superscript"/>
        </w:rPr>
        <w:instrText xml:space="preserve"> NOTEREF _Ref136512549 \h </w:instrText>
      </w:r>
      <w:r w:rsidR="004F35A7">
        <w:rPr>
          <w:vertAlign w:val="superscript"/>
        </w:rPr>
        <w:instrText xml:space="preserve"> \* MERGEFORMAT </w:instrText>
      </w:r>
      <w:r w:rsidR="004F35A7" w:rsidRPr="00CC6B3F">
        <w:rPr>
          <w:vertAlign w:val="superscript"/>
        </w:rPr>
      </w:r>
      <w:r w:rsidR="004F35A7" w:rsidRPr="00CC6B3F">
        <w:rPr>
          <w:vertAlign w:val="superscript"/>
        </w:rPr>
        <w:fldChar w:fldCharType="separate"/>
      </w:r>
      <w:r w:rsidR="004F35A7" w:rsidRPr="00CC6B3F">
        <w:rPr>
          <w:vertAlign w:val="superscript"/>
        </w:rPr>
        <w:t>7</w:t>
      </w:r>
      <w:r w:rsidR="004F35A7" w:rsidRPr="00CC6B3F">
        <w:rPr>
          <w:vertAlign w:val="superscript"/>
        </w:rPr>
        <w:fldChar w:fldCharType="end"/>
      </w:r>
    </w:p>
    <w:p w14:paraId="5B74CDBA" w14:textId="44416D1F" w:rsidR="00143411" w:rsidRDefault="00143411" w:rsidP="00143411">
      <w:r>
        <w:t xml:space="preserve">Platinum based neoadjuvant therapy offers a clear benefit in MIBC and a potential benefit in muscle invasive </w:t>
      </w:r>
      <w:r w:rsidR="00583F08">
        <w:t>u</w:t>
      </w:r>
      <w:r w:rsidR="00583F08" w:rsidRPr="00583F08">
        <w:t>pper tract urothelial carcinoma</w:t>
      </w:r>
      <w:r>
        <w:t>. The role of adjuvant therapy in this setting is less clear. Adjuvant cisplatin-based chemotherapy is recommended for patients who have not received neoadjuvant chemotherapy and are cisplatin eligible.</w:t>
      </w:r>
      <w:r w:rsidR="007C0921">
        <w:rPr>
          <w:rStyle w:val="FootnoteReference"/>
        </w:rPr>
        <w:footnoteReference w:id="9"/>
      </w:r>
      <w:r>
        <w:t xml:space="preserve"> However, due to the low level of evidence this did not become a widely used strategy.</w:t>
      </w:r>
      <w:r w:rsidR="007C0921">
        <w:fldChar w:fldCharType="begin"/>
      </w:r>
      <w:r w:rsidR="007C0921">
        <w:instrText xml:space="preserve"> NOTEREF _Ref130899515 \f \h </w:instrText>
      </w:r>
      <w:r w:rsidR="007C0921">
        <w:fldChar w:fldCharType="separate"/>
      </w:r>
      <w:r w:rsidR="007054D4" w:rsidRPr="007054D4">
        <w:rPr>
          <w:rStyle w:val="FootnoteReference"/>
        </w:rPr>
        <w:t>2</w:t>
      </w:r>
      <w:r w:rsidR="007C0921">
        <w:fldChar w:fldCharType="end"/>
      </w:r>
    </w:p>
    <w:p w14:paraId="2B054D4F" w14:textId="77777777" w:rsidR="00143411" w:rsidRDefault="00143411" w:rsidP="00143411">
      <w:r>
        <w:t>Adjuvant cisplatin-based chemotherapy in patients who received neoadjuvant chemotherapy is currently not recommended.</w:t>
      </w:r>
    </w:p>
    <w:p w14:paraId="55820FA6" w14:textId="5AA7C2B6" w:rsidR="00143411" w:rsidRDefault="00143411" w:rsidP="00143411">
      <w:r>
        <w:t xml:space="preserve">Pembrolizumab, atezolizumab and avelumab are checkpoint inhibitors approved for treatment of </w:t>
      </w:r>
      <w:proofErr w:type="gramStart"/>
      <w:r>
        <w:t>MIBC</w:t>
      </w:r>
      <w:proofErr w:type="gramEnd"/>
      <w:r>
        <w:t xml:space="preserve"> but none have an indication for adjuvant treatment of patients with muscle invasive urothelial carcinoma (MIUC) who are at high risk of recurrence after undergoing radical resection of MIUC. The following checkpoint inhibitor indications are relevant to patients with MIUC:</w:t>
      </w:r>
    </w:p>
    <w:p w14:paraId="33923AB4" w14:textId="0F50A8C3" w:rsidR="00143411" w:rsidRDefault="00143411" w:rsidP="00143411">
      <w:r>
        <w:t>Pembrolizumab</w:t>
      </w:r>
      <w:r w:rsidR="007C0921">
        <w:t>:</w:t>
      </w:r>
    </w:p>
    <w:p w14:paraId="0BE2D2CD" w14:textId="38A84D72" w:rsidR="00143411" w:rsidRPr="00FD15DB" w:rsidRDefault="00143411" w:rsidP="00143411">
      <w:pPr>
        <w:pStyle w:val="ListBullet"/>
        <w:rPr>
          <w:color w:val="auto"/>
        </w:rPr>
      </w:pPr>
      <w:r w:rsidRPr="00FD15DB">
        <w:rPr>
          <w:color w:val="auto"/>
        </w:rPr>
        <w:t xml:space="preserve">Monotherapy treatment of patients with locally advanced or metastatic urothelial carcinoma who are not eligible for cisplatin-containing therapy and whose tumours express </w:t>
      </w:r>
      <w:r w:rsidR="00FD15DB" w:rsidRPr="00FD15DB">
        <w:rPr>
          <w:color w:val="auto"/>
        </w:rPr>
        <w:t>programmed death-ligand 1 (</w:t>
      </w:r>
      <w:r w:rsidRPr="00FD15DB">
        <w:rPr>
          <w:color w:val="auto"/>
        </w:rPr>
        <w:t>PD-L1</w:t>
      </w:r>
      <w:r w:rsidR="00FD15DB" w:rsidRPr="00FD15DB">
        <w:rPr>
          <w:color w:val="auto"/>
        </w:rPr>
        <w:t>)</w:t>
      </w:r>
      <w:r w:rsidRPr="00FD15DB">
        <w:rPr>
          <w:color w:val="auto"/>
        </w:rPr>
        <w:t xml:space="preserve"> </w:t>
      </w:r>
      <w:r w:rsidR="004F35A7">
        <w:rPr>
          <w:color w:val="auto"/>
        </w:rPr>
        <w:t>(</w:t>
      </w:r>
      <w:r w:rsidRPr="00FD15DB">
        <w:rPr>
          <w:color w:val="auto"/>
        </w:rPr>
        <w:t>Combined Positive Score ≥</w:t>
      </w:r>
      <w:r w:rsidR="007C0921" w:rsidRPr="00FD15DB">
        <w:rPr>
          <w:color w:val="auto"/>
        </w:rPr>
        <w:t xml:space="preserve"> </w:t>
      </w:r>
      <w:r w:rsidRPr="00FD15DB">
        <w:rPr>
          <w:color w:val="auto"/>
        </w:rPr>
        <w:t>10</w:t>
      </w:r>
      <w:r w:rsidR="004F35A7">
        <w:rPr>
          <w:color w:val="auto"/>
        </w:rPr>
        <w:t>)</w:t>
      </w:r>
      <w:r w:rsidRPr="00FD15DB">
        <w:rPr>
          <w:color w:val="auto"/>
        </w:rPr>
        <w:t xml:space="preserve"> as determined by a </w:t>
      </w:r>
      <w:r w:rsidRPr="00FD15DB">
        <w:rPr>
          <w:color w:val="auto"/>
        </w:rPr>
        <w:lastRenderedPageBreak/>
        <w:t xml:space="preserve">validated test, or in patients who are not eligible for any platinum-containing chemotherapy regardless of PD-L1 status. </w:t>
      </w:r>
    </w:p>
    <w:p w14:paraId="17BDB9EC" w14:textId="77777777" w:rsidR="00143411" w:rsidRPr="00FD15DB" w:rsidRDefault="00143411" w:rsidP="00143411">
      <w:pPr>
        <w:pStyle w:val="ListBullet"/>
        <w:rPr>
          <w:color w:val="auto"/>
        </w:rPr>
      </w:pPr>
      <w:r w:rsidRPr="00FD15DB">
        <w:rPr>
          <w:color w:val="auto"/>
        </w:rPr>
        <w:t>Monotherapy treatment of patients with locally advanced or metastatic urothelial carcinoma who have received platinum-containing chemotherapy.</w:t>
      </w:r>
    </w:p>
    <w:p w14:paraId="64925618" w14:textId="464F5436" w:rsidR="00143411" w:rsidRPr="00FD15DB" w:rsidRDefault="00143411" w:rsidP="00143411">
      <w:pPr>
        <w:pStyle w:val="ListBullet"/>
        <w:rPr>
          <w:color w:val="auto"/>
        </w:rPr>
      </w:pPr>
      <w:r w:rsidRPr="00FD15DB">
        <w:rPr>
          <w:color w:val="auto"/>
        </w:rPr>
        <w:t>Treatment of patients with Bacillus Calmette-Guerin</w:t>
      </w:r>
      <w:r w:rsidR="00FD15DB" w:rsidRPr="00FD15DB">
        <w:rPr>
          <w:color w:val="auto"/>
        </w:rPr>
        <w:t xml:space="preserve"> </w:t>
      </w:r>
      <w:r w:rsidRPr="00FD15DB">
        <w:rPr>
          <w:color w:val="auto"/>
        </w:rPr>
        <w:t xml:space="preserve">unresponsive, high-risk, non-muscle invasive bladder cancer with carcinoma </w:t>
      </w:r>
      <w:r w:rsidRPr="00FD15DB">
        <w:rPr>
          <w:i/>
          <w:iCs/>
          <w:color w:val="auto"/>
        </w:rPr>
        <w:t>in-situ</w:t>
      </w:r>
      <w:r w:rsidRPr="00FD15DB">
        <w:rPr>
          <w:color w:val="auto"/>
        </w:rPr>
        <w:t xml:space="preserve"> with or without papillary tumours who are ineligible for or have elected not to undergo cystectomy (provisional approval).</w:t>
      </w:r>
    </w:p>
    <w:p w14:paraId="6F47E1DB" w14:textId="50285FCF" w:rsidR="00143411" w:rsidRDefault="00143411" w:rsidP="00075F7C">
      <w:r>
        <w:t xml:space="preserve">Atezolizumab is approved for </w:t>
      </w:r>
      <w:r w:rsidRPr="00DB6CD6">
        <w:t xml:space="preserve">cisplatin ineligible </w:t>
      </w:r>
      <w:r>
        <w:t xml:space="preserve">patients with locally advanced or metastatic </w:t>
      </w:r>
      <w:r w:rsidR="00FD15DB" w:rsidRPr="00FD15DB">
        <w:t xml:space="preserve">urothelial carcinoma </w:t>
      </w:r>
      <w:r>
        <w:t xml:space="preserve">whose tumours express PD-L1 (PD-L1 stained tumour-infiltrating immune cells covering 5% </w:t>
      </w:r>
      <w:r w:rsidR="00FD15DB">
        <w:t xml:space="preserve">or more </w:t>
      </w:r>
      <w:r>
        <w:t>of the tumour area), as determined by a validated test, or who are ineligible for any other platinum-containing chemotherapy regardless of the level of tumour PD</w:t>
      </w:r>
      <w:r w:rsidR="00FD15DB">
        <w:noBreakHyphen/>
      </w:r>
      <w:r>
        <w:t>L1 expression.</w:t>
      </w:r>
      <w:r w:rsidR="009D7AB0">
        <w:rPr>
          <w:rStyle w:val="FootnoteReference"/>
        </w:rPr>
        <w:footnoteReference w:id="10"/>
      </w:r>
      <w:r w:rsidR="00CC6B3F" w:rsidRPr="00CC6B3F">
        <w:rPr>
          <w:vertAlign w:val="superscript"/>
        </w:rPr>
        <w:t>,</w:t>
      </w:r>
      <w:r w:rsidR="009D7AB0">
        <w:rPr>
          <w:rStyle w:val="FootnoteReference"/>
        </w:rPr>
        <w:footnoteReference w:id="11"/>
      </w:r>
    </w:p>
    <w:p w14:paraId="33B074D6" w14:textId="5A170B67" w:rsidR="00143411" w:rsidRPr="00CC6B3F" w:rsidRDefault="00143411" w:rsidP="00075F7C">
      <w:pPr>
        <w:rPr>
          <w:vertAlign w:val="superscript"/>
        </w:rPr>
      </w:pPr>
      <w:r>
        <w:t xml:space="preserve">Avelumab is approved for </w:t>
      </w:r>
      <w:r w:rsidR="001D3DAE">
        <w:t>first line</w:t>
      </w:r>
      <w:r w:rsidRPr="00165CFC">
        <w:t xml:space="preserve"> maintenance treatment of patients with locally advanced or metastatic urothelial carcinoma whose disease has not progressed with first-line platinum-based induction chemotherapy.</w:t>
      </w:r>
      <w:r w:rsidR="004F35A7">
        <w:rPr>
          <w:rStyle w:val="FootnoteReference"/>
        </w:rPr>
        <w:footnoteReference w:id="12"/>
      </w:r>
      <w:r w:rsidR="004F35A7">
        <w:rPr>
          <w:vertAlign w:val="superscript"/>
        </w:rPr>
        <w:t>,</w:t>
      </w:r>
      <w:r w:rsidR="004F35A7">
        <w:rPr>
          <w:rStyle w:val="FootnoteReference"/>
        </w:rPr>
        <w:footnoteReference w:id="13"/>
      </w:r>
    </w:p>
    <w:p w14:paraId="0D615854" w14:textId="77777777" w:rsidR="00324B33" w:rsidRPr="003F31A2" w:rsidRDefault="00324B33" w:rsidP="00324B33">
      <w:pPr>
        <w:pStyle w:val="Heading3"/>
      </w:pPr>
      <w:bookmarkStart w:id="20" w:name="_Toc103679291"/>
      <w:bookmarkStart w:id="21" w:name="_Toc136880547"/>
      <w:r>
        <w:t>Regulatory status</w:t>
      </w:r>
      <w:bookmarkEnd w:id="15"/>
      <w:bookmarkEnd w:id="16"/>
      <w:bookmarkEnd w:id="20"/>
      <w:bookmarkEnd w:id="21"/>
    </w:p>
    <w:p w14:paraId="0BB9DF36" w14:textId="5A24C887" w:rsidR="001D3DAE" w:rsidRDefault="00324B33" w:rsidP="00324B33">
      <w:pPr>
        <w:rPr>
          <w:szCs w:val="22"/>
        </w:rPr>
      </w:pPr>
      <w:r w:rsidRPr="00BD5DBD">
        <w:rPr>
          <w:szCs w:val="22"/>
        </w:rPr>
        <w:t xml:space="preserve">The product received initial registration on the </w:t>
      </w:r>
      <w:hyperlink r:id="rId19" w:history="1">
        <w:r w:rsidRPr="00BD5DBD">
          <w:rPr>
            <w:rStyle w:val="Hyperlink"/>
            <w:szCs w:val="22"/>
          </w:rPr>
          <w:t>Australian Register of Therapeutic Goods</w:t>
        </w:r>
      </w:hyperlink>
      <w:r w:rsidRPr="00BD5DBD">
        <w:rPr>
          <w:szCs w:val="22"/>
        </w:rPr>
        <w:t xml:space="preserve"> (</w:t>
      </w:r>
      <w:hyperlink r:id="rId20" w:history="1">
        <w:r w:rsidRPr="00BD5DBD">
          <w:rPr>
            <w:rStyle w:val="Hyperlink"/>
            <w:szCs w:val="22"/>
          </w:rPr>
          <w:t>ARTG</w:t>
        </w:r>
      </w:hyperlink>
      <w:r w:rsidRPr="00BD5DBD">
        <w:rPr>
          <w:szCs w:val="22"/>
        </w:rPr>
        <w:t>) o</w:t>
      </w:r>
      <w:r w:rsidR="001D3DAE">
        <w:rPr>
          <w:szCs w:val="22"/>
        </w:rPr>
        <w:t>n January 2016.</w:t>
      </w:r>
      <w:bookmarkStart w:id="22" w:name="_Ref136514009"/>
      <w:r w:rsidR="00726139">
        <w:rPr>
          <w:rStyle w:val="FootnoteReference"/>
          <w:szCs w:val="22"/>
        </w:rPr>
        <w:footnoteReference w:id="14"/>
      </w:r>
      <w:bookmarkEnd w:id="22"/>
      <w:r w:rsidR="00E51813" w:rsidRPr="00BD5DBD">
        <w:rPr>
          <w:szCs w:val="22"/>
        </w:rPr>
        <w:t xml:space="preserve"> </w:t>
      </w:r>
      <w:r w:rsidR="00750D70" w:rsidRPr="00BD5DBD">
        <w:rPr>
          <w:szCs w:val="22"/>
        </w:rPr>
        <w:t xml:space="preserve">At the time that </w:t>
      </w:r>
      <w:r w:rsidR="00726139">
        <w:rPr>
          <w:szCs w:val="22"/>
        </w:rPr>
        <w:t xml:space="preserve">the submission described in this AusPAR to extend the indications of Opdivo (nivolumab) </w:t>
      </w:r>
      <w:r w:rsidR="00FD64F4">
        <w:rPr>
          <w:szCs w:val="22"/>
        </w:rPr>
        <w:t>w</w:t>
      </w:r>
      <w:r w:rsidR="00750D70" w:rsidRPr="00BD5DBD">
        <w:rPr>
          <w:szCs w:val="22"/>
        </w:rPr>
        <w:t>as considered</w:t>
      </w:r>
      <w:r w:rsidR="00FD64F4">
        <w:rPr>
          <w:szCs w:val="22"/>
        </w:rPr>
        <w:t>, Opdivo</w:t>
      </w:r>
      <w:r w:rsidR="00750D70" w:rsidRPr="00BD5DBD">
        <w:rPr>
          <w:szCs w:val="22"/>
        </w:rPr>
        <w:t xml:space="preserve"> was approved for </w:t>
      </w:r>
      <w:r w:rsidR="001D3DAE">
        <w:rPr>
          <w:szCs w:val="22"/>
        </w:rPr>
        <w:t>the treatment of u</w:t>
      </w:r>
      <w:r w:rsidR="001D3DAE" w:rsidRPr="001D3DAE">
        <w:rPr>
          <w:szCs w:val="22"/>
        </w:rPr>
        <w:t>rothelial carcinoma</w:t>
      </w:r>
      <w:r w:rsidR="001D3DAE">
        <w:rPr>
          <w:szCs w:val="22"/>
        </w:rPr>
        <w:t xml:space="preserve"> with the following indication:</w:t>
      </w:r>
    </w:p>
    <w:p w14:paraId="056FA82E" w14:textId="77777777" w:rsidR="001D3DAE" w:rsidRPr="001D3DAE" w:rsidRDefault="001D3DAE" w:rsidP="001D3DAE">
      <w:pPr>
        <w:ind w:left="720"/>
        <w:rPr>
          <w:b/>
          <w:bCs/>
          <w:i/>
          <w:iCs/>
          <w:szCs w:val="22"/>
        </w:rPr>
      </w:pPr>
      <w:r w:rsidRPr="001D3DAE">
        <w:rPr>
          <w:b/>
          <w:bCs/>
          <w:i/>
          <w:iCs/>
          <w:szCs w:val="22"/>
        </w:rPr>
        <w:t>Urothelial Carcinoma (UC)</w:t>
      </w:r>
    </w:p>
    <w:p w14:paraId="4C20CF86" w14:textId="2793A283" w:rsidR="001D3DAE" w:rsidRPr="001D3DAE" w:rsidRDefault="001D3DAE" w:rsidP="001D3DAE">
      <w:pPr>
        <w:ind w:left="720"/>
        <w:rPr>
          <w:i/>
          <w:iCs/>
          <w:szCs w:val="22"/>
        </w:rPr>
      </w:pPr>
      <w:r w:rsidRPr="001D3DAE">
        <w:rPr>
          <w:i/>
          <w:iCs/>
          <w:szCs w:val="22"/>
        </w:rPr>
        <w:t>Opdivo, as monotherapy, is indicated for the treatment of patients with locally advanced unresectable or metastatic urothelial carcinoma after prior platinum-containing therapy. The approval of this indication is based on objective response rate and duration of response in a single arm study.</w:t>
      </w:r>
    </w:p>
    <w:p w14:paraId="5CF635B4" w14:textId="0858EA51" w:rsidR="001D3DAE" w:rsidRDefault="001D3DAE" w:rsidP="00324B33">
      <w:pPr>
        <w:rPr>
          <w:szCs w:val="22"/>
        </w:rPr>
      </w:pPr>
      <w:r>
        <w:rPr>
          <w:szCs w:val="22"/>
        </w:rPr>
        <w:t>It was</w:t>
      </w:r>
      <w:r w:rsidR="00FD64F4">
        <w:rPr>
          <w:szCs w:val="22"/>
        </w:rPr>
        <w:t xml:space="preserve"> also approved for:</w:t>
      </w:r>
    </w:p>
    <w:p w14:paraId="512E3122" w14:textId="77777777" w:rsidR="001D3DAE" w:rsidRPr="001D3DAE" w:rsidRDefault="001D3DAE" w:rsidP="001D3DAE">
      <w:pPr>
        <w:ind w:left="720"/>
        <w:rPr>
          <w:b/>
          <w:bCs/>
          <w:i/>
          <w:iCs/>
          <w:szCs w:val="22"/>
        </w:rPr>
      </w:pPr>
      <w:r w:rsidRPr="001D3DAE">
        <w:rPr>
          <w:b/>
          <w:bCs/>
          <w:i/>
          <w:iCs/>
          <w:szCs w:val="22"/>
        </w:rPr>
        <w:t>Melanoma</w:t>
      </w:r>
    </w:p>
    <w:p w14:paraId="741FC302" w14:textId="02BE0A9F" w:rsidR="001D3DAE" w:rsidRPr="001D3DAE" w:rsidRDefault="001D3DAE" w:rsidP="001D3DAE">
      <w:pPr>
        <w:ind w:left="720"/>
        <w:rPr>
          <w:i/>
          <w:iCs/>
          <w:szCs w:val="22"/>
        </w:rPr>
      </w:pPr>
      <w:r w:rsidRPr="001D3DAE">
        <w:rPr>
          <w:i/>
          <w:iCs/>
          <w:szCs w:val="22"/>
        </w:rPr>
        <w:t>Opdivo, as monotherapy, is indicated for the adjuvant treatment of patients with melanoma with involvement of lymph nodes or metastatic disease who have undergone complete resection.</w:t>
      </w:r>
    </w:p>
    <w:p w14:paraId="018925E2" w14:textId="4DB7DDF0" w:rsidR="001D3DAE" w:rsidRPr="001D3DAE" w:rsidRDefault="001D3DAE" w:rsidP="001D3DAE">
      <w:pPr>
        <w:ind w:left="720"/>
        <w:rPr>
          <w:i/>
          <w:iCs/>
          <w:szCs w:val="22"/>
        </w:rPr>
      </w:pPr>
      <w:r w:rsidRPr="001D3DAE">
        <w:rPr>
          <w:i/>
          <w:iCs/>
          <w:szCs w:val="22"/>
        </w:rPr>
        <w:t>Opdivo, as monotherapy, is indicated for the treatment of patients with unresectable or metastatic melanoma.</w:t>
      </w:r>
    </w:p>
    <w:p w14:paraId="4BDB0DD9" w14:textId="6249A538" w:rsidR="001D3DAE" w:rsidRPr="001D3DAE" w:rsidRDefault="001D3DAE" w:rsidP="001D3DAE">
      <w:pPr>
        <w:ind w:left="720"/>
        <w:rPr>
          <w:i/>
          <w:iCs/>
          <w:szCs w:val="22"/>
        </w:rPr>
      </w:pPr>
      <w:r w:rsidRPr="001D3DAE">
        <w:rPr>
          <w:i/>
          <w:iCs/>
          <w:szCs w:val="22"/>
        </w:rPr>
        <w:lastRenderedPageBreak/>
        <w:t>Opdivo, in combination with ipilimumab, is indicated for the treatment of patients with unresectable or metastatic melanoma. The approval of this indication is based on a pre-specified comparison to ipilimumab monotherapy. All analyses comparing nivolumab monotherapy with the nivolumab/ipilimumab combination are descriptive.</w:t>
      </w:r>
    </w:p>
    <w:p w14:paraId="34129FD0" w14:textId="77777777" w:rsidR="001D3DAE" w:rsidRPr="001D3DAE" w:rsidRDefault="001D3DAE" w:rsidP="001D3DAE">
      <w:pPr>
        <w:ind w:left="720"/>
        <w:rPr>
          <w:b/>
          <w:bCs/>
          <w:i/>
          <w:iCs/>
          <w:szCs w:val="22"/>
        </w:rPr>
      </w:pPr>
      <w:r w:rsidRPr="001D3DAE">
        <w:rPr>
          <w:b/>
          <w:bCs/>
          <w:i/>
          <w:iCs/>
          <w:szCs w:val="22"/>
        </w:rPr>
        <w:t>Non-Small Cell Lung Cancer (NSCLC)</w:t>
      </w:r>
    </w:p>
    <w:p w14:paraId="4989BA8A" w14:textId="4390D6F9" w:rsidR="001D3DAE" w:rsidRPr="001D3DAE" w:rsidRDefault="001D3DAE" w:rsidP="001D3DAE">
      <w:pPr>
        <w:ind w:left="720"/>
        <w:rPr>
          <w:i/>
          <w:iCs/>
          <w:szCs w:val="22"/>
        </w:rPr>
      </w:pPr>
      <w:r w:rsidRPr="001D3DAE">
        <w:rPr>
          <w:i/>
          <w:iCs/>
          <w:szCs w:val="22"/>
        </w:rPr>
        <w:t>Opdivo, in combination with ipilimumab and 2 cycles of platinum-doublet chemotherapy, is indicated for the first-line treatment of patients with metastatic or recurrent non-small cell lung cancer (NSCLC) with no EGFR or ALK genomic tumour aberrations.</w:t>
      </w:r>
    </w:p>
    <w:p w14:paraId="43C62104" w14:textId="12496889" w:rsidR="001D3DAE" w:rsidRPr="001D3DAE" w:rsidRDefault="001D3DAE" w:rsidP="001D3DAE">
      <w:pPr>
        <w:ind w:left="720"/>
        <w:rPr>
          <w:i/>
          <w:iCs/>
          <w:szCs w:val="22"/>
        </w:rPr>
      </w:pPr>
      <w:r w:rsidRPr="001D3DAE">
        <w:rPr>
          <w:i/>
          <w:iCs/>
          <w:szCs w:val="22"/>
        </w:rPr>
        <w:t>Opdivo, as monotherapy, is indicated for the treatment of locally advanced or metastatic squamous non-small cell lung cancer (NSCLC) with progression on or after prior chemotherapy.</w:t>
      </w:r>
    </w:p>
    <w:p w14:paraId="22ED6AF9" w14:textId="47C91681" w:rsidR="001D3DAE" w:rsidRPr="001D3DAE" w:rsidRDefault="001D3DAE" w:rsidP="001D3DAE">
      <w:pPr>
        <w:ind w:left="720"/>
        <w:rPr>
          <w:i/>
          <w:iCs/>
          <w:szCs w:val="22"/>
        </w:rPr>
      </w:pPr>
      <w:r w:rsidRPr="001D3DAE">
        <w:rPr>
          <w:i/>
          <w:iCs/>
          <w:szCs w:val="22"/>
        </w:rPr>
        <w:t>Opdivo, as monotherapy, is indicated for the treatment of locally advanced or metastatic non-squamous non-small cell lung cancer (NSCLC) with progression on or after prior chemotherapy. In patients with tumour EGFR or ALK genomic aberrations, Opdivo should be used after progression on or after targeted therapy.</w:t>
      </w:r>
    </w:p>
    <w:p w14:paraId="092DA81B" w14:textId="77777777" w:rsidR="001D3DAE" w:rsidRPr="001D3DAE" w:rsidRDefault="001D3DAE" w:rsidP="001D3DAE">
      <w:pPr>
        <w:ind w:left="720"/>
        <w:rPr>
          <w:b/>
          <w:bCs/>
          <w:i/>
          <w:iCs/>
          <w:szCs w:val="22"/>
        </w:rPr>
      </w:pPr>
      <w:r w:rsidRPr="001D3DAE">
        <w:rPr>
          <w:b/>
          <w:bCs/>
          <w:i/>
          <w:iCs/>
          <w:szCs w:val="22"/>
        </w:rPr>
        <w:t>Malignant Pleural Mesothelioma (MPM)</w:t>
      </w:r>
    </w:p>
    <w:p w14:paraId="3796B886" w14:textId="786DEB54" w:rsidR="001D3DAE" w:rsidRPr="001D3DAE" w:rsidRDefault="001D3DAE" w:rsidP="001D3DAE">
      <w:pPr>
        <w:ind w:left="720"/>
        <w:rPr>
          <w:i/>
          <w:iCs/>
          <w:szCs w:val="22"/>
        </w:rPr>
      </w:pPr>
      <w:r w:rsidRPr="001D3DAE">
        <w:rPr>
          <w:i/>
          <w:iCs/>
          <w:szCs w:val="22"/>
        </w:rPr>
        <w:t>Opdivo, in combination with ipilimumab, is indicated for the first-line treatment of patients with unresectable malignant pleural mesothelioma.</w:t>
      </w:r>
    </w:p>
    <w:p w14:paraId="2C31C6AC" w14:textId="77777777" w:rsidR="001D3DAE" w:rsidRPr="001D3DAE" w:rsidRDefault="001D3DAE" w:rsidP="001D3DAE">
      <w:pPr>
        <w:ind w:left="720"/>
        <w:rPr>
          <w:b/>
          <w:bCs/>
          <w:i/>
          <w:iCs/>
          <w:szCs w:val="22"/>
        </w:rPr>
      </w:pPr>
      <w:r w:rsidRPr="001D3DAE">
        <w:rPr>
          <w:b/>
          <w:bCs/>
          <w:i/>
          <w:iCs/>
          <w:szCs w:val="22"/>
        </w:rPr>
        <w:t>Renal Cell Carcinoma (RCC)</w:t>
      </w:r>
    </w:p>
    <w:p w14:paraId="0C9F6DBC" w14:textId="46D5646D" w:rsidR="001D3DAE" w:rsidRPr="001D3DAE" w:rsidRDefault="001D3DAE" w:rsidP="001D3DAE">
      <w:pPr>
        <w:ind w:left="720"/>
        <w:rPr>
          <w:i/>
          <w:iCs/>
          <w:szCs w:val="22"/>
        </w:rPr>
      </w:pPr>
      <w:r w:rsidRPr="001D3DAE">
        <w:rPr>
          <w:i/>
          <w:iCs/>
          <w:szCs w:val="22"/>
        </w:rPr>
        <w:t>Opdivo, in combination with ipilimumab, is indicated for the treatment of patients with intermediate/poor-risk, previously untreated advanced renal cell carcinoma.</w:t>
      </w:r>
    </w:p>
    <w:p w14:paraId="5B417014" w14:textId="0C1FE7BC" w:rsidR="001D3DAE" w:rsidRPr="001D3DAE" w:rsidRDefault="001D3DAE" w:rsidP="001D3DAE">
      <w:pPr>
        <w:ind w:left="720"/>
        <w:rPr>
          <w:i/>
          <w:iCs/>
          <w:szCs w:val="22"/>
        </w:rPr>
      </w:pPr>
      <w:r w:rsidRPr="001D3DAE">
        <w:rPr>
          <w:i/>
          <w:iCs/>
          <w:szCs w:val="22"/>
        </w:rPr>
        <w:t xml:space="preserve">Opdivo, in combination with </w:t>
      </w:r>
      <w:proofErr w:type="spellStart"/>
      <w:r w:rsidRPr="001D3DAE">
        <w:rPr>
          <w:i/>
          <w:iCs/>
          <w:szCs w:val="22"/>
        </w:rPr>
        <w:t>cabozantinib</w:t>
      </w:r>
      <w:proofErr w:type="spellEnd"/>
      <w:r w:rsidRPr="001D3DAE">
        <w:rPr>
          <w:i/>
          <w:iCs/>
          <w:szCs w:val="22"/>
        </w:rPr>
        <w:t>, is indicated for the first-line treatment of patients with advanced renal cell carcinoma.</w:t>
      </w:r>
    </w:p>
    <w:p w14:paraId="7875A49A" w14:textId="78FF19B5" w:rsidR="001D3DAE" w:rsidRPr="001D3DAE" w:rsidRDefault="001D3DAE" w:rsidP="001D3DAE">
      <w:pPr>
        <w:ind w:left="720"/>
        <w:rPr>
          <w:i/>
          <w:iCs/>
          <w:szCs w:val="22"/>
        </w:rPr>
      </w:pPr>
      <w:r w:rsidRPr="001D3DAE">
        <w:rPr>
          <w:i/>
          <w:iCs/>
          <w:szCs w:val="22"/>
        </w:rPr>
        <w:t>Opdivo, as monotherapy, is indicated for the treatment of patients with advanced clear cell renal cell carcinoma after prior anti-angiogenic therapy.</w:t>
      </w:r>
    </w:p>
    <w:p w14:paraId="54389304" w14:textId="77777777" w:rsidR="001D3DAE" w:rsidRPr="001D3DAE" w:rsidRDefault="001D3DAE" w:rsidP="001D3DAE">
      <w:pPr>
        <w:ind w:left="720"/>
        <w:rPr>
          <w:b/>
          <w:bCs/>
          <w:i/>
          <w:iCs/>
          <w:szCs w:val="22"/>
        </w:rPr>
      </w:pPr>
      <w:r w:rsidRPr="001D3DAE">
        <w:rPr>
          <w:b/>
          <w:bCs/>
          <w:i/>
          <w:iCs/>
          <w:szCs w:val="22"/>
        </w:rPr>
        <w:t>Classical Hodgkin Lymphoma (</w:t>
      </w:r>
      <w:proofErr w:type="spellStart"/>
      <w:r w:rsidRPr="001D3DAE">
        <w:rPr>
          <w:b/>
          <w:bCs/>
          <w:i/>
          <w:iCs/>
          <w:szCs w:val="22"/>
        </w:rPr>
        <w:t>cHL</w:t>
      </w:r>
      <w:proofErr w:type="spellEnd"/>
      <w:r w:rsidRPr="001D3DAE">
        <w:rPr>
          <w:b/>
          <w:bCs/>
          <w:i/>
          <w:iCs/>
          <w:szCs w:val="22"/>
        </w:rPr>
        <w:t>)</w:t>
      </w:r>
    </w:p>
    <w:p w14:paraId="196CF006" w14:textId="6752AD07" w:rsidR="001D3DAE" w:rsidRPr="001D3DAE" w:rsidRDefault="001D3DAE" w:rsidP="001D3DAE">
      <w:pPr>
        <w:ind w:left="720"/>
        <w:rPr>
          <w:i/>
          <w:iCs/>
          <w:szCs w:val="22"/>
        </w:rPr>
      </w:pPr>
      <w:r w:rsidRPr="001D3DAE">
        <w:rPr>
          <w:i/>
          <w:iCs/>
          <w:szCs w:val="22"/>
        </w:rPr>
        <w:t>Opdivo, as monotherapy, is indicated for the treatment of patients with relapsed or refractory classical Hodgkin lymphoma (</w:t>
      </w:r>
      <w:proofErr w:type="spellStart"/>
      <w:r w:rsidRPr="001D3DAE">
        <w:rPr>
          <w:i/>
          <w:iCs/>
          <w:szCs w:val="22"/>
        </w:rPr>
        <w:t>cHL</w:t>
      </w:r>
      <w:proofErr w:type="spellEnd"/>
      <w:r w:rsidRPr="001D3DAE">
        <w:rPr>
          <w:i/>
          <w:iCs/>
          <w:szCs w:val="22"/>
        </w:rPr>
        <w:t>) after autologous stem cell transplant and treatment with brentuximab vedotin. The approval of this indication is based on objective response rate in a single arm study.</w:t>
      </w:r>
    </w:p>
    <w:p w14:paraId="0340DB6B" w14:textId="77777777" w:rsidR="001D3DAE" w:rsidRPr="001D3DAE" w:rsidRDefault="001D3DAE" w:rsidP="001D3DAE">
      <w:pPr>
        <w:ind w:left="720"/>
        <w:rPr>
          <w:b/>
          <w:bCs/>
          <w:i/>
          <w:iCs/>
          <w:szCs w:val="22"/>
        </w:rPr>
      </w:pPr>
      <w:r w:rsidRPr="001D3DAE">
        <w:rPr>
          <w:b/>
          <w:bCs/>
          <w:i/>
          <w:iCs/>
          <w:szCs w:val="22"/>
        </w:rPr>
        <w:t>Squamous Cell Carcinoma of the Head and Neck (SCCHN)</w:t>
      </w:r>
    </w:p>
    <w:p w14:paraId="0B1D79E9" w14:textId="3C845D8D" w:rsidR="001D3DAE" w:rsidRPr="001D3DAE" w:rsidRDefault="001D3DAE" w:rsidP="001D3DAE">
      <w:pPr>
        <w:ind w:left="720"/>
        <w:rPr>
          <w:i/>
          <w:iCs/>
          <w:szCs w:val="22"/>
        </w:rPr>
      </w:pPr>
      <w:r w:rsidRPr="001D3DAE">
        <w:rPr>
          <w:i/>
          <w:iCs/>
          <w:szCs w:val="22"/>
        </w:rPr>
        <w:t>Opdivo, as monotherapy, is indicated for the treatment of recurrent or metastatic squamous cell cancer of the head and neck in patients progressing on or after platinum based therapy.</w:t>
      </w:r>
    </w:p>
    <w:p w14:paraId="6F7482E8" w14:textId="77777777" w:rsidR="001D3DAE" w:rsidRPr="001D3DAE" w:rsidRDefault="001D3DAE" w:rsidP="001D3DAE">
      <w:pPr>
        <w:ind w:left="720"/>
        <w:rPr>
          <w:b/>
          <w:bCs/>
          <w:i/>
          <w:iCs/>
          <w:szCs w:val="22"/>
        </w:rPr>
      </w:pPr>
      <w:r w:rsidRPr="001D3DAE">
        <w:rPr>
          <w:b/>
          <w:bCs/>
          <w:i/>
          <w:iCs/>
          <w:szCs w:val="22"/>
        </w:rPr>
        <w:t>Hepatocellular Carcinoma (HCC)</w:t>
      </w:r>
    </w:p>
    <w:p w14:paraId="63CEFD82" w14:textId="706EB1DD" w:rsidR="001D3DAE" w:rsidRPr="001D3DAE" w:rsidRDefault="001D3DAE" w:rsidP="001D3DAE">
      <w:pPr>
        <w:ind w:left="720"/>
        <w:rPr>
          <w:i/>
          <w:iCs/>
          <w:szCs w:val="22"/>
        </w:rPr>
      </w:pPr>
      <w:r w:rsidRPr="001D3DAE">
        <w:rPr>
          <w:i/>
          <w:iCs/>
          <w:szCs w:val="22"/>
        </w:rPr>
        <w:t>Opdivo, as monotherapy, is indicated for the treatment of patients with hepatocellular carcinoma after prior sorafenib therapy. This indication is approved based on objective response rate and duration of response in a single arm study. An improvement in survival or disease-related symptoms has not been established.</w:t>
      </w:r>
    </w:p>
    <w:p w14:paraId="16E04E8D" w14:textId="77777777" w:rsidR="001D3DAE" w:rsidRPr="001D3DAE" w:rsidRDefault="001D3DAE" w:rsidP="001D3DAE">
      <w:pPr>
        <w:ind w:left="720"/>
        <w:rPr>
          <w:b/>
          <w:bCs/>
          <w:i/>
          <w:iCs/>
          <w:szCs w:val="22"/>
        </w:rPr>
      </w:pPr>
      <w:r w:rsidRPr="001D3DAE">
        <w:rPr>
          <w:b/>
          <w:bCs/>
          <w:i/>
          <w:iCs/>
          <w:szCs w:val="22"/>
        </w:rPr>
        <w:t>Oesophageal Squamous Cell Carcinoma (OSCC)</w:t>
      </w:r>
    </w:p>
    <w:p w14:paraId="36324766" w14:textId="60523E85" w:rsidR="001D3DAE" w:rsidRPr="001D3DAE" w:rsidRDefault="001D3DAE" w:rsidP="001D3DAE">
      <w:pPr>
        <w:ind w:left="720"/>
        <w:rPr>
          <w:i/>
          <w:iCs/>
          <w:szCs w:val="22"/>
        </w:rPr>
      </w:pPr>
      <w:r w:rsidRPr="001D3DAE">
        <w:rPr>
          <w:i/>
          <w:iCs/>
          <w:szCs w:val="22"/>
        </w:rPr>
        <w:t xml:space="preserve">Opdivo, as monotherapy, is indicated for the treatment of patients with unresectable advanced, recurrent or metastatic oesophageal squamous cell carcinoma after prior fluoropyrimidine and </w:t>
      </w:r>
      <w:proofErr w:type="gramStart"/>
      <w:r w:rsidRPr="001D3DAE">
        <w:rPr>
          <w:i/>
          <w:iCs/>
          <w:szCs w:val="22"/>
        </w:rPr>
        <w:t>platinum based</w:t>
      </w:r>
      <w:proofErr w:type="gramEnd"/>
      <w:r w:rsidRPr="001D3DAE">
        <w:rPr>
          <w:i/>
          <w:iCs/>
          <w:szCs w:val="22"/>
        </w:rPr>
        <w:t xml:space="preserve"> chemotherapy.</w:t>
      </w:r>
    </w:p>
    <w:p w14:paraId="41E9D52B" w14:textId="77777777" w:rsidR="001D3DAE" w:rsidRPr="001D3DAE" w:rsidRDefault="001D3DAE" w:rsidP="001D3DAE">
      <w:pPr>
        <w:ind w:left="720"/>
        <w:rPr>
          <w:b/>
          <w:bCs/>
          <w:i/>
          <w:iCs/>
          <w:szCs w:val="22"/>
        </w:rPr>
      </w:pPr>
      <w:r w:rsidRPr="001D3DAE">
        <w:rPr>
          <w:b/>
          <w:bCs/>
          <w:i/>
          <w:iCs/>
          <w:szCs w:val="22"/>
        </w:rPr>
        <w:lastRenderedPageBreak/>
        <w:t>Adjuvant Oesophageal Cancer (OC) or Gastro-Oesophageal Junction Cancer (GOJC)</w:t>
      </w:r>
    </w:p>
    <w:p w14:paraId="42A3A68A" w14:textId="7073EA23" w:rsidR="001D3DAE" w:rsidRPr="001D3DAE" w:rsidRDefault="001D3DAE" w:rsidP="001D3DAE">
      <w:pPr>
        <w:ind w:left="720"/>
        <w:rPr>
          <w:i/>
          <w:iCs/>
          <w:szCs w:val="22"/>
        </w:rPr>
      </w:pPr>
      <w:r w:rsidRPr="001D3DAE">
        <w:rPr>
          <w:i/>
          <w:iCs/>
          <w:szCs w:val="22"/>
        </w:rPr>
        <w:t>Opdivo, as monotherapy, is indicated for the adjuvant treatment of resected oesophageal or gastro-oesophageal junction cancer in patients who have received neoadjuvant chemoradiotherapy.</w:t>
      </w:r>
    </w:p>
    <w:p w14:paraId="1B38E6C2" w14:textId="77777777" w:rsidR="001D3DAE" w:rsidRPr="001D3DAE" w:rsidRDefault="001D3DAE" w:rsidP="001D3DAE">
      <w:pPr>
        <w:ind w:left="720"/>
        <w:rPr>
          <w:b/>
          <w:bCs/>
          <w:i/>
          <w:iCs/>
          <w:szCs w:val="22"/>
        </w:rPr>
      </w:pPr>
      <w:r w:rsidRPr="001D3DAE">
        <w:rPr>
          <w:b/>
          <w:bCs/>
          <w:i/>
          <w:iCs/>
          <w:szCs w:val="22"/>
        </w:rPr>
        <w:t>Gastric Cancer (GC), Gastro-oesophageal Junction Cancer (GOJC), or Oesophageal Adenocarcinoma (OAC)</w:t>
      </w:r>
    </w:p>
    <w:p w14:paraId="4A83183B" w14:textId="30751EF6" w:rsidR="001D3DAE" w:rsidRPr="001D3DAE" w:rsidRDefault="001D3DAE" w:rsidP="001D3DAE">
      <w:pPr>
        <w:ind w:left="720"/>
        <w:rPr>
          <w:i/>
          <w:iCs/>
          <w:szCs w:val="22"/>
        </w:rPr>
      </w:pPr>
      <w:r w:rsidRPr="001D3DAE">
        <w:rPr>
          <w:i/>
          <w:iCs/>
          <w:szCs w:val="22"/>
        </w:rPr>
        <w:t>Opdivo, in combination with fluoropyrimidine- and platinum-based combination chemotherapy, is indicated for the first-line treatment of patients with HER2 negative advanced or metastatic gastric or gastro-oesophageal junction or oesophageal adenocarcinoma.</w:t>
      </w:r>
    </w:p>
    <w:p w14:paraId="188DB5E6" w14:textId="44CF4593" w:rsidR="00143411" w:rsidRPr="00143411" w:rsidRDefault="00324B33" w:rsidP="00FD64F4">
      <w:r w:rsidRPr="00BD5DBD">
        <w:rPr>
          <w:szCs w:val="22"/>
        </w:rPr>
        <w:t>At the time the TGA considered this submission, similar submission</w:t>
      </w:r>
      <w:r w:rsidR="00FD64F4">
        <w:rPr>
          <w:szCs w:val="22"/>
        </w:rPr>
        <w:t>s</w:t>
      </w:r>
      <w:r w:rsidRPr="00BD5DBD">
        <w:rPr>
          <w:szCs w:val="22"/>
        </w:rPr>
        <w:t xml:space="preserve"> had been approved </w:t>
      </w:r>
      <w:r w:rsidR="00FD64F4">
        <w:rPr>
          <w:szCs w:val="22"/>
        </w:rPr>
        <w:t xml:space="preserve">in the United States of America on 19 August 2021, Switzerland on 28 February 2022, </w:t>
      </w:r>
      <w:r w:rsidR="00726139">
        <w:rPr>
          <w:szCs w:val="22"/>
        </w:rPr>
        <w:t xml:space="preserve">in the </w:t>
      </w:r>
      <w:r w:rsidR="00FD64F4">
        <w:rPr>
          <w:szCs w:val="22"/>
        </w:rPr>
        <w:t>Europe</w:t>
      </w:r>
      <w:r w:rsidR="00726139">
        <w:rPr>
          <w:szCs w:val="22"/>
        </w:rPr>
        <w:t>an</w:t>
      </w:r>
      <w:r w:rsidR="00FD64F4">
        <w:rPr>
          <w:szCs w:val="22"/>
        </w:rPr>
        <w:t xml:space="preserve"> Union on 1 April 2022 and several other countries. It was under consideration by </w:t>
      </w:r>
      <w:r w:rsidR="00726139">
        <w:rPr>
          <w:szCs w:val="22"/>
        </w:rPr>
        <w:t>other countries, including Canada.</w:t>
      </w:r>
    </w:p>
    <w:p w14:paraId="1B9AB90D" w14:textId="6D43D32B" w:rsidR="00324B33" w:rsidRPr="00BD5DBD" w:rsidRDefault="00324B33" w:rsidP="00324B33">
      <w:pPr>
        <w:rPr>
          <w:szCs w:val="22"/>
        </w:rPr>
      </w:pPr>
      <w:r w:rsidRPr="00BD5DBD">
        <w:rPr>
          <w:szCs w:val="22"/>
        </w:rPr>
        <w:t xml:space="preserve">The following table summarises </w:t>
      </w:r>
      <w:r w:rsidR="00FD64F4">
        <w:rPr>
          <w:szCs w:val="22"/>
        </w:rPr>
        <w:t>some of these</w:t>
      </w:r>
      <w:r w:rsidRPr="00BD5DBD">
        <w:rPr>
          <w:szCs w:val="22"/>
        </w:rPr>
        <w:t xml:space="preserve"> submissions and provides the indications where approved.</w:t>
      </w:r>
    </w:p>
    <w:p w14:paraId="19B9E0AC" w14:textId="489EE021" w:rsidR="00324B33" w:rsidRDefault="00324B33" w:rsidP="00324B33">
      <w:pPr>
        <w:pStyle w:val="TableTitle"/>
      </w:pPr>
      <w:bookmarkStart w:id="23" w:name="_Ref99705479"/>
      <w:r>
        <w:t xml:space="preserve">Table </w:t>
      </w:r>
      <w:fldSimple w:instr=" SEQ Table \* ARABIC ">
        <w:r w:rsidR="007054D4">
          <w:rPr>
            <w:noProof/>
          </w:rPr>
          <w:t>1</w:t>
        </w:r>
      </w:fldSimple>
      <w:bookmarkEnd w:id="23"/>
      <w:r>
        <w:t>: International regulatory status</w:t>
      </w:r>
    </w:p>
    <w:tbl>
      <w:tblPr>
        <w:tblStyle w:val="TableTGAblue2023"/>
        <w:tblW w:w="5000" w:type="pct"/>
        <w:tblLook w:val="04A0" w:firstRow="1" w:lastRow="0" w:firstColumn="1" w:lastColumn="0" w:noHBand="0" w:noVBand="1"/>
      </w:tblPr>
      <w:tblGrid>
        <w:gridCol w:w="1555"/>
        <w:gridCol w:w="1701"/>
        <w:gridCol w:w="2127"/>
        <w:gridCol w:w="3677"/>
      </w:tblGrid>
      <w:tr w:rsidR="007926B6" w:rsidRPr="00D01DDB" w14:paraId="405E5D78" w14:textId="16839333" w:rsidTr="00792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185B099B" w14:textId="7A4C0E6C" w:rsidR="00324B33" w:rsidRPr="00D01DDB" w:rsidRDefault="00324B33" w:rsidP="00324B33">
            <w:pPr>
              <w:rPr>
                <w:szCs w:val="22"/>
              </w:rPr>
            </w:pPr>
            <w:r w:rsidRPr="00D01DDB">
              <w:rPr>
                <w:szCs w:val="22"/>
              </w:rPr>
              <w:t>Region</w:t>
            </w:r>
          </w:p>
        </w:tc>
        <w:tc>
          <w:tcPr>
            <w:tcW w:w="939" w:type="pct"/>
          </w:tcPr>
          <w:p w14:paraId="778C35C7" w14:textId="52D23C8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Submission date</w:t>
            </w:r>
          </w:p>
        </w:tc>
        <w:tc>
          <w:tcPr>
            <w:tcW w:w="1174" w:type="pct"/>
          </w:tcPr>
          <w:p w14:paraId="58F81584" w14:textId="66689ABF"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Status</w:t>
            </w:r>
          </w:p>
        </w:tc>
        <w:tc>
          <w:tcPr>
            <w:tcW w:w="2029" w:type="pct"/>
          </w:tcPr>
          <w:p w14:paraId="50B2D435" w14:textId="560588D2"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Approved indications</w:t>
            </w:r>
          </w:p>
        </w:tc>
      </w:tr>
      <w:tr w:rsidR="007926B6" w:rsidRPr="00D01DDB" w14:paraId="38D24E86" w14:textId="77777777" w:rsidTr="007926B6">
        <w:tc>
          <w:tcPr>
            <w:cnfStyle w:val="001000000000" w:firstRow="0" w:lastRow="0" w:firstColumn="1" w:lastColumn="0" w:oddVBand="0" w:evenVBand="0" w:oddHBand="0" w:evenHBand="0" w:firstRowFirstColumn="0" w:firstRowLastColumn="0" w:lastRowFirstColumn="0" w:lastRowLastColumn="0"/>
            <w:tcW w:w="858" w:type="pct"/>
          </w:tcPr>
          <w:p w14:paraId="4C540DE5" w14:textId="6F113875" w:rsidR="00324B33" w:rsidRPr="00D01DDB" w:rsidRDefault="00FD64F4" w:rsidP="00324B33">
            <w:pPr>
              <w:rPr>
                <w:szCs w:val="22"/>
              </w:rPr>
            </w:pPr>
            <w:r w:rsidRPr="00FD64F4">
              <w:rPr>
                <w:szCs w:val="22"/>
              </w:rPr>
              <w:t>United States</w:t>
            </w:r>
            <w:r w:rsidR="00726139">
              <w:rPr>
                <w:szCs w:val="22"/>
              </w:rPr>
              <w:t xml:space="preserve"> of America</w:t>
            </w:r>
          </w:p>
        </w:tc>
        <w:tc>
          <w:tcPr>
            <w:tcW w:w="939" w:type="pct"/>
          </w:tcPr>
          <w:p w14:paraId="4FA5DDA9" w14:textId="15EAFEF6" w:rsidR="00324B33" w:rsidRPr="00D01DDB" w:rsidRDefault="00FD64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 March 2021</w:t>
            </w:r>
          </w:p>
        </w:tc>
        <w:tc>
          <w:tcPr>
            <w:tcW w:w="1174" w:type="pct"/>
          </w:tcPr>
          <w:p w14:paraId="29358393" w14:textId="36146CBD"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 xml:space="preserve">Approved on </w:t>
            </w:r>
            <w:r w:rsidR="00FD64F4">
              <w:rPr>
                <w:szCs w:val="22"/>
              </w:rPr>
              <w:t>19 August 2021</w:t>
            </w:r>
          </w:p>
        </w:tc>
        <w:tc>
          <w:tcPr>
            <w:tcW w:w="2029" w:type="pct"/>
          </w:tcPr>
          <w:p w14:paraId="05055674" w14:textId="4A32D0C0" w:rsidR="00324B33" w:rsidRPr="00506817" w:rsidRDefault="00FD64F4" w:rsidP="00FD64F4">
            <w:pPr>
              <w:cnfStyle w:val="000000000000" w:firstRow="0" w:lastRow="0" w:firstColumn="0" w:lastColumn="0" w:oddVBand="0" w:evenVBand="0" w:oddHBand="0" w:evenHBand="0" w:firstRowFirstColumn="0" w:firstRowLastColumn="0" w:lastRowFirstColumn="0" w:lastRowLastColumn="0"/>
              <w:rPr>
                <w:i/>
                <w:iCs/>
                <w:szCs w:val="22"/>
              </w:rPr>
            </w:pPr>
            <w:r w:rsidRPr="00506817">
              <w:rPr>
                <w:i/>
                <w:iCs/>
                <w:szCs w:val="22"/>
              </w:rPr>
              <w:t>Adjuvant treatment of patients with urothelial carcinoma (UC) who are at high risk of recurrence after undergoing radical resection of UC.</w:t>
            </w:r>
          </w:p>
        </w:tc>
      </w:tr>
      <w:tr w:rsidR="007926B6" w:rsidRPr="00D01DDB" w14:paraId="18B6E2AA" w14:textId="7783D66F" w:rsidTr="007926B6">
        <w:tc>
          <w:tcPr>
            <w:cnfStyle w:val="001000000000" w:firstRow="0" w:lastRow="0" w:firstColumn="1" w:lastColumn="0" w:oddVBand="0" w:evenVBand="0" w:oddHBand="0" w:evenHBand="0" w:firstRowFirstColumn="0" w:firstRowLastColumn="0" w:lastRowFirstColumn="0" w:lastRowLastColumn="0"/>
            <w:tcW w:w="858" w:type="pct"/>
          </w:tcPr>
          <w:p w14:paraId="7F348960" w14:textId="4E34D764" w:rsidR="00324B33" w:rsidRPr="00D01DDB" w:rsidRDefault="00FD64F4" w:rsidP="00324B33">
            <w:pPr>
              <w:rPr>
                <w:szCs w:val="22"/>
              </w:rPr>
            </w:pPr>
            <w:r w:rsidRPr="00FD64F4">
              <w:rPr>
                <w:szCs w:val="22"/>
              </w:rPr>
              <w:t>Switzerland</w:t>
            </w:r>
          </w:p>
        </w:tc>
        <w:tc>
          <w:tcPr>
            <w:tcW w:w="939" w:type="pct"/>
          </w:tcPr>
          <w:p w14:paraId="1D871E57" w14:textId="01BCB5C5" w:rsidR="00324B33" w:rsidRPr="00D01DDB" w:rsidRDefault="00FD64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14 June 2021</w:t>
            </w:r>
          </w:p>
        </w:tc>
        <w:tc>
          <w:tcPr>
            <w:tcW w:w="1174" w:type="pct"/>
          </w:tcPr>
          <w:p w14:paraId="63A3A9D3" w14:textId="1003F3FA" w:rsidR="00324B33" w:rsidRPr="00D01DDB" w:rsidRDefault="00FD64F4" w:rsidP="00324B33">
            <w:pPr>
              <w:cnfStyle w:val="000000000000" w:firstRow="0" w:lastRow="0" w:firstColumn="0" w:lastColumn="0" w:oddVBand="0" w:evenVBand="0" w:oddHBand="0" w:evenHBand="0" w:firstRowFirstColumn="0" w:firstRowLastColumn="0" w:lastRowFirstColumn="0" w:lastRowLastColumn="0"/>
              <w:rPr>
                <w:szCs w:val="22"/>
              </w:rPr>
            </w:pPr>
            <w:r w:rsidRPr="00FD64F4">
              <w:rPr>
                <w:szCs w:val="22"/>
              </w:rPr>
              <w:t xml:space="preserve">Approved on </w:t>
            </w:r>
            <w:r w:rsidRPr="007926B6">
              <w:t>28</w:t>
            </w:r>
            <w:r w:rsidR="007926B6">
              <w:t> </w:t>
            </w:r>
            <w:r w:rsidRPr="007926B6">
              <w:t>February</w:t>
            </w:r>
            <w:r>
              <w:rPr>
                <w:szCs w:val="22"/>
              </w:rPr>
              <w:t xml:space="preserve"> </w:t>
            </w:r>
            <w:r w:rsidRPr="00FD64F4">
              <w:rPr>
                <w:szCs w:val="22"/>
              </w:rPr>
              <w:t>202</w:t>
            </w:r>
            <w:r>
              <w:rPr>
                <w:szCs w:val="22"/>
              </w:rPr>
              <w:t>2</w:t>
            </w:r>
          </w:p>
        </w:tc>
        <w:tc>
          <w:tcPr>
            <w:tcW w:w="2029" w:type="pct"/>
          </w:tcPr>
          <w:p w14:paraId="06C002DF" w14:textId="7682C28B" w:rsidR="00FD64F4" w:rsidRPr="00506817" w:rsidRDefault="00726139" w:rsidP="00FD64F4">
            <w:pPr>
              <w:cnfStyle w:val="000000000000" w:firstRow="0" w:lastRow="0" w:firstColumn="0" w:lastColumn="0" w:oddVBand="0" w:evenVBand="0" w:oddHBand="0" w:evenHBand="0" w:firstRowFirstColumn="0" w:firstRowLastColumn="0" w:lastRowFirstColumn="0" w:lastRowLastColumn="0"/>
              <w:rPr>
                <w:i/>
                <w:iCs/>
                <w:szCs w:val="22"/>
              </w:rPr>
            </w:pPr>
            <w:r w:rsidRPr="00506817">
              <w:rPr>
                <w:i/>
                <w:iCs/>
                <w:szCs w:val="22"/>
              </w:rPr>
              <w:t xml:space="preserve">Opdivo </w:t>
            </w:r>
            <w:r w:rsidR="00FD64F4" w:rsidRPr="00506817">
              <w:rPr>
                <w:i/>
                <w:iCs/>
                <w:szCs w:val="22"/>
              </w:rPr>
              <w:t xml:space="preserve">is indicated for the adjuvant treatment of adult patients with muscle invasive urothelial carcinoma (MIUC) with PD-L1 expression ≥1 %, who are at high risk of recurrence based on pathologic evidence (see “Properties/Effects”) after undergoing complete (R0) radical resection of MIUC and who </w:t>
            </w:r>
          </w:p>
          <w:p w14:paraId="23548CF9" w14:textId="77777777" w:rsidR="00FD64F4" w:rsidRPr="00506817" w:rsidRDefault="00FD64F4" w:rsidP="00FD64F4">
            <w:pPr>
              <w:pStyle w:val="ListBullet"/>
              <w:cnfStyle w:val="000000000000" w:firstRow="0" w:lastRow="0" w:firstColumn="0" w:lastColumn="0" w:oddVBand="0" w:evenVBand="0" w:oddHBand="0" w:evenHBand="0" w:firstRowFirstColumn="0" w:firstRowLastColumn="0" w:lastRowFirstColumn="0" w:lastRowLastColumn="0"/>
              <w:rPr>
                <w:i/>
                <w:iCs/>
              </w:rPr>
            </w:pPr>
            <w:r w:rsidRPr="00506817">
              <w:rPr>
                <w:i/>
                <w:iCs/>
              </w:rPr>
              <w:t xml:space="preserve">received neo-adjuvant cisplatin chemotherapy or </w:t>
            </w:r>
          </w:p>
          <w:p w14:paraId="17C650B8" w14:textId="074091D8" w:rsidR="00324B33" w:rsidRPr="00506817" w:rsidRDefault="00FD64F4" w:rsidP="00FD64F4">
            <w:pPr>
              <w:pStyle w:val="ListBullet"/>
              <w:cnfStyle w:val="000000000000" w:firstRow="0" w:lastRow="0" w:firstColumn="0" w:lastColumn="0" w:oddVBand="0" w:evenVBand="0" w:oddHBand="0" w:evenHBand="0" w:firstRowFirstColumn="0" w:firstRowLastColumn="0" w:lastRowFirstColumn="0" w:lastRowLastColumn="0"/>
              <w:rPr>
                <w:i/>
                <w:iCs/>
              </w:rPr>
            </w:pPr>
            <w:r w:rsidRPr="00506817">
              <w:rPr>
                <w:i/>
                <w:iCs/>
              </w:rPr>
              <w:t>have not received neoadjuvant cisplatin chemotherapy and are not eligible for or refused adjuvant cisplatin</w:t>
            </w:r>
          </w:p>
        </w:tc>
      </w:tr>
      <w:tr w:rsidR="00FD64F4" w:rsidRPr="00D01DDB" w14:paraId="3960850A" w14:textId="77777777" w:rsidTr="007926B6">
        <w:tc>
          <w:tcPr>
            <w:cnfStyle w:val="001000000000" w:firstRow="0" w:lastRow="0" w:firstColumn="1" w:lastColumn="0" w:oddVBand="0" w:evenVBand="0" w:oddHBand="0" w:evenHBand="0" w:firstRowFirstColumn="0" w:firstRowLastColumn="0" w:lastRowFirstColumn="0" w:lastRowLastColumn="0"/>
            <w:tcW w:w="858" w:type="pct"/>
          </w:tcPr>
          <w:p w14:paraId="6FA2334F" w14:textId="26F98CF7" w:rsidR="00FD64F4" w:rsidRPr="00FD64F4" w:rsidRDefault="00FD64F4" w:rsidP="00324B33">
            <w:pPr>
              <w:rPr>
                <w:szCs w:val="22"/>
              </w:rPr>
            </w:pPr>
            <w:r>
              <w:rPr>
                <w:szCs w:val="22"/>
              </w:rPr>
              <w:lastRenderedPageBreak/>
              <w:t>European Union</w:t>
            </w:r>
          </w:p>
        </w:tc>
        <w:tc>
          <w:tcPr>
            <w:tcW w:w="939" w:type="pct"/>
          </w:tcPr>
          <w:p w14:paraId="3C97567C" w14:textId="5678CBBD" w:rsidR="00FD64F4" w:rsidRDefault="007926B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8 March 2021</w:t>
            </w:r>
          </w:p>
        </w:tc>
        <w:tc>
          <w:tcPr>
            <w:tcW w:w="1174" w:type="pct"/>
          </w:tcPr>
          <w:p w14:paraId="14DDA565" w14:textId="590C6799" w:rsidR="00FD64F4" w:rsidRPr="00FD64F4" w:rsidRDefault="007926B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Approved 1 April 2022</w:t>
            </w:r>
          </w:p>
        </w:tc>
        <w:tc>
          <w:tcPr>
            <w:tcW w:w="2029" w:type="pct"/>
          </w:tcPr>
          <w:p w14:paraId="161EDF12" w14:textId="29E2BBBE" w:rsidR="00FD64F4" w:rsidRPr="00506817" w:rsidRDefault="007926B6" w:rsidP="007926B6">
            <w:pPr>
              <w:cnfStyle w:val="000000000000" w:firstRow="0" w:lastRow="0" w:firstColumn="0" w:lastColumn="0" w:oddVBand="0" w:evenVBand="0" w:oddHBand="0" w:evenHBand="0" w:firstRowFirstColumn="0" w:firstRowLastColumn="0" w:lastRowFirstColumn="0" w:lastRowLastColumn="0"/>
              <w:rPr>
                <w:i/>
                <w:iCs/>
                <w:szCs w:val="22"/>
              </w:rPr>
            </w:pPr>
            <w:r w:rsidRPr="00506817">
              <w:rPr>
                <w:i/>
                <w:iCs/>
                <w:szCs w:val="22"/>
              </w:rPr>
              <w:t>Opdivo as monotherapy is indicated for the adjuvant treatment of adults with muscle invasive urothelial carcinoma (MIUC) with tumour cell PD-L1 expression ≥ 1%, who are at high risk of recurrence after undergoing radical resection of MIUC (see section 5.1).</w:t>
            </w:r>
          </w:p>
        </w:tc>
      </w:tr>
    </w:tbl>
    <w:p w14:paraId="064CCADF" w14:textId="77777777" w:rsidR="00324B33" w:rsidRDefault="00324B33" w:rsidP="00324B33">
      <w:pPr>
        <w:pStyle w:val="Heading3"/>
      </w:pPr>
      <w:bookmarkStart w:id="24" w:name="_Toc103679292"/>
      <w:bookmarkStart w:id="25" w:name="_Toc136880548"/>
      <w:r>
        <w:t>Product Information</w:t>
      </w:r>
      <w:bookmarkEnd w:id="24"/>
      <w:bookmarkEnd w:id="25"/>
    </w:p>
    <w:p w14:paraId="4B0F7D57" w14:textId="6A14871C" w:rsidR="00324B33" w:rsidRPr="00BD5DBD" w:rsidRDefault="00324B33" w:rsidP="00324B33">
      <w:pPr>
        <w:rPr>
          <w:szCs w:val="22"/>
        </w:rPr>
      </w:pPr>
      <w:bookmarkStart w:id="26" w:name="_Toc504480011"/>
      <w:r w:rsidRPr="00BD5DBD">
        <w:rPr>
          <w:szCs w:val="22"/>
        </w:rPr>
        <w:t xml:space="preserve">The </w:t>
      </w:r>
      <w:hyperlink r:id="rId21" w:history="1">
        <w:r w:rsidRPr="00BD5DBD">
          <w:rPr>
            <w:rStyle w:val="Hyperlink"/>
            <w:szCs w:val="22"/>
          </w:rPr>
          <w:t>Product Information</w:t>
        </w:r>
      </w:hyperlink>
      <w:r w:rsidRPr="00BD5DBD">
        <w:rPr>
          <w:szCs w:val="22"/>
        </w:rPr>
        <w:t xml:space="preserve"> (</w:t>
      </w:r>
      <w:hyperlink r:id="rId22" w:history="1">
        <w:r w:rsidRPr="00BD5DBD">
          <w:rPr>
            <w:rStyle w:val="Hyperlink"/>
            <w:szCs w:val="22"/>
          </w:rPr>
          <w:t>PI</w:t>
        </w:r>
      </w:hyperlink>
      <w:r w:rsidRPr="00BD5DBD">
        <w:rPr>
          <w:szCs w:val="22"/>
        </w:rPr>
        <w:t>) approved with the submission which is described in this AusPAR can be found as Attachment 1. For the most recent PI</w:t>
      </w:r>
      <w:r w:rsidR="00A93DC6" w:rsidRPr="00BD5DBD">
        <w:rPr>
          <w:szCs w:val="22"/>
        </w:rPr>
        <w:t xml:space="preserve"> and </w:t>
      </w:r>
      <w:hyperlink r:id="rId23" w:history="1">
        <w:r w:rsidR="00A93DC6" w:rsidRPr="00BD5DBD">
          <w:rPr>
            <w:rStyle w:val="Hyperlink"/>
            <w:szCs w:val="22"/>
          </w:rPr>
          <w:t>Consumer Medicines Information</w:t>
        </w:r>
      </w:hyperlink>
      <w:r w:rsidR="00A93DC6" w:rsidRPr="00BD5DBD">
        <w:rPr>
          <w:szCs w:val="22"/>
        </w:rPr>
        <w:t xml:space="preserve"> (CMI)</w:t>
      </w:r>
      <w:r w:rsidRPr="00BD5DBD">
        <w:rPr>
          <w:szCs w:val="22"/>
        </w:rPr>
        <w:t xml:space="preserve">, please refer to the TGA </w:t>
      </w:r>
      <w:hyperlink r:id="rId24" w:history="1">
        <w:r w:rsidRPr="00BD5DBD">
          <w:rPr>
            <w:rStyle w:val="Hyperlink"/>
            <w:szCs w:val="22"/>
          </w:rPr>
          <w:t>PI/CMI search facility.</w:t>
        </w:r>
      </w:hyperlink>
    </w:p>
    <w:p w14:paraId="6D92589C" w14:textId="77777777" w:rsidR="00324B33" w:rsidRDefault="00324B33" w:rsidP="00324B33">
      <w:pPr>
        <w:pStyle w:val="Heading2"/>
      </w:pPr>
      <w:bookmarkStart w:id="27" w:name="_Toc103679293"/>
      <w:bookmarkStart w:id="28" w:name="_Toc136880549"/>
      <w:r>
        <w:t>Registration timeline</w:t>
      </w:r>
      <w:bookmarkEnd w:id="26"/>
      <w:bookmarkEnd w:id="27"/>
      <w:bookmarkEnd w:id="28"/>
    </w:p>
    <w:p w14:paraId="225E3D87" w14:textId="1F3070CE" w:rsidR="00324B33" w:rsidRPr="00BD5DBD" w:rsidRDefault="00324B33" w:rsidP="00324B33">
      <w:pPr>
        <w:rPr>
          <w:szCs w:val="22"/>
        </w:rPr>
      </w:pPr>
      <w:r w:rsidRPr="00BD5DBD">
        <w:rPr>
          <w:szCs w:val="22"/>
        </w:rPr>
        <w:t>The following table captures the key steps and dates for this submission.</w:t>
      </w:r>
    </w:p>
    <w:p w14:paraId="6BB76942" w14:textId="30902819" w:rsidR="00477C4E" w:rsidRPr="00BD5DBD" w:rsidRDefault="00477C4E" w:rsidP="00324B33">
      <w:pPr>
        <w:rPr>
          <w:szCs w:val="22"/>
        </w:rPr>
      </w:pPr>
      <w:r w:rsidRPr="00BD5DBD">
        <w:rPr>
          <w:szCs w:val="22"/>
        </w:rPr>
        <w:t xml:space="preserve">This submission was evaluated under the </w:t>
      </w:r>
      <w:hyperlink r:id="rId25" w:history="1">
        <w:r w:rsidRPr="00BD5DBD">
          <w:rPr>
            <w:rStyle w:val="Hyperlink"/>
            <w:szCs w:val="22"/>
          </w:rPr>
          <w:t>standard prescription medicines registration process</w:t>
        </w:r>
      </w:hyperlink>
      <w:r w:rsidRPr="00BD5DBD">
        <w:rPr>
          <w:szCs w:val="22"/>
        </w:rPr>
        <w:t>.</w:t>
      </w:r>
    </w:p>
    <w:p w14:paraId="44628C5F" w14:textId="7B727FA9" w:rsidR="00324B33" w:rsidRDefault="00324B33" w:rsidP="0013528C">
      <w:pPr>
        <w:pStyle w:val="TableTitle"/>
      </w:pPr>
      <w:r w:rsidRPr="00A34A63">
        <w:t xml:space="preserve">Table </w:t>
      </w:r>
      <w:fldSimple w:instr=" SEQ Table \* ARABIC ">
        <w:r w:rsidR="007054D4">
          <w:rPr>
            <w:noProof/>
          </w:rPr>
          <w:t>2</w:t>
        </w:r>
      </w:fldSimple>
      <w:r w:rsidRPr="00A34A63">
        <w:t>: Timeline</w:t>
      </w:r>
      <w:r w:rsidRPr="006A58A8">
        <w:t xml:space="preserve"> for Submission </w:t>
      </w:r>
      <w:r w:rsidR="00143411" w:rsidRPr="00143411">
        <w:t>PM-2021-02518-1-4</w:t>
      </w:r>
    </w:p>
    <w:tbl>
      <w:tblPr>
        <w:tblStyle w:val="TableTGAblue2023"/>
        <w:tblW w:w="8642" w:type="dxa"/>
        <w:tblLook w:val="04A0" w:firstRow="1" w:lastRow="0" w:firstColumn="1" w:lastColumn="0" w:noHBand="0" w:noVBand="1"/>
      </w:tblPr>
      <w:tblGrid>
        <w:gridCol w:w="5807"/>
        <w:gridCol w:w="2835"/>
      </w:tblGrid>
      <w:tr w:rsidR="00324B33" w:rsidRPr="00D01DDB" w14:paraId="6C59BE9C" w14:textId="77777777" w:rsidTr="00A23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6D80E78" w14:textId="3EC0CCAF" w:rsidR="00324B33" w:rsidRPr="00D01DDB" w:rsidRDefault="00324B33" w:rsidP="00324B33">
            <w:pPr>
              <w:rPr>
                <w:szCs w:val="22"/>
              </w:rPr>
            </w:pPr>
            <w:r w:rsidRPr="00D01DDB">
              <w:rPr>
                <w:szCs w:val="22"/>
              </w:rPr>
              <w:t>Description</w:t>
            </w:r>
          </w:p>
        </w:tc>
        <w:tc>
          <w:tcPr>
            <w:tcW w:w="2835"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759D2A12" w14:textId="0D705F83" w:rsidR="00324B33" w:rsidRPr="00D01DDB" w:rsidRDefault="00324B33" w:rsidP="00324B33">
            <w:pPr>
              <w:rPr>
                <w:szCs w:val="22"/>
              </w:rPr>
            </w:pPr>
            <w:r w:rsidRPr="00D01DDB">
              <w:rPr>
                <w:szCs w:val="22"/>
              </w:rPr>
              <w:t>Submission dossier accepted and first round evaluation commenced</w:t>
            </w:r>
          </w:p>
        </w:tc>
        <w:tc>
          <w:tcPr>
            <w:tcW w:w="2835" w:type="dxa"/>
          </w:tcPr>
          <w:p w14:paraId="2963D9D8" w14:textId="32F86149"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August 2021</w:t>
            </w:r>
          </w:p>
        </w:tc>
      </w:tr>
      <w:tr w:rsidR="00324B33" w:rsidRPr="00D01DDB" w14:paraId="53437815"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4C037D4E" w14:textId="7C8566AB" w:rsidR="007926B6" w:rsidRPr="007926B6" w:rsidRDefault="00324B33" w:rsidP="00A34A63">
            <w:pPr>
              <w:rPr>
                <w:szCs w:val="22"/>
              </w:rPr>
            </w:pPr>
            <w:r w:rsidRPr="00D01DDB">
              <w:rPr>
                <w:szCs w:val="22"/>
              </w:rPr>
              <w:t>First round evaluation completed</w:t>
            </w:r>
            <w:r w:rsidR="007926B6">
              <w:rPr>
                <w:szCs w:val="22"/>
              </w:rPr>
              <w:tab/>
            </w:r>
          </w:p>
        </w:tc>
        <w:tc>
          <w:tcPr>
            <w:tcW w:w="2835" w:type="dxa"/>
          </w:tcPr>
          <w:p w14:paraId="3CEAFAAB" w14:textId="686A275C"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24 December 2021</w:t>
            </w:r>
          </w:p>
        </w:tc>
      </w:tr>
      <w:tr w:rsidR="00324B33" w:rsidRPr="00D01DDB" w14:paraId="60DA57CC"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02EA1147" w14:textId="2853A422" w:rsidR="00324B33" w:rsidRPr="00D01DDB" w:rsidRDefault="00324B33" w:rsidP="00324B33">
            <w:pPr>
              <w:rPr>
                <w:szCs w:val="22"/>
              </w:rPr>
            </w:pPr>
            <w:r w:rsidRPr="00D01DDB">
              <w:rPr>
                <w:szCs w:val="22"/>
              </w:rPr>
              <w:t>Sponsor provides responses on questions raised in first round evaluation</w:t>
            </w:r>
          </w:p>
        </w:tc>
        <w:tc>
          <w:tcPr>
            <w:tcW w:w="2835" w:type="dxa"/>
          </w:tcPr>
          <w:p w14:paraId="68A577C1" w14:textId="6C3D1082" w:rsidR="00324B33" w:rsidRPr="00D01DDB" w:rsidRDefault="00F938B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28</w:t>
            </w:r>
            <w:r w:rsidR="00886084">
              <w:rPr>
                <w:szCs w:val="22"/>
              </w:rPr>
              <w:t xml:space="preserve"> </w:t>
            </w:r>
            <w:r w:rsidR="005447BE">
              <w:rPr>
                <w:szCs w:val="22"/>
              </w:rPr>
              <w:t>February 2022</w:t>
            </w:r>
          </w:p>
        </w:tc>
      </w:tr>
      <w:tr w:rsidR="00324B33" w:rsidRPr="00D01DDB" w14:paraId="767E33A4"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4AFC5B50" w14:textId="2BCC6A3E" w:rsidR="00324B33" w:rsidRPr="00D01DDB" w:rsidRDefault="00324B33" w:rsidP="00324B33">
            <w:pPr>
              <w:rPr>
                <w:szCs w:val="22"/>
              </w:rPr>
            </w:pPr>
            <w:r w:rsidRPr="00D01DDB">
              <w:rPr>
                <w:szCs w:val="22"/>
              </w:rPr>
              <w:t>Second round evaluation completed</w:t>
            </w:r>
          </w:p>
        </w:tc>
        <w:tc>
          <w:tcPr>
            <w:tcW w:w="2835" w:type="dxa"/>
          </w:tcPr>
          <w:p w14:paraId="4E47DF62" w14:textId="17ABA2AE"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30 March 2022</w:t>
            </w:r>
          </w:p>
        </w:tc>
      </w:tr>
      <w:tr w:rsidR="00324B33" w:rsidRPr="00D01DDB" w14:paraId="302FCB45"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716E9DC1" w14:textId="57840447" w:rsidR="00324B33" w:rsidRPr="00D01DDB" w:rsidRDefault="00324B33" w:rsidP="00324B33">
            <w:pPr>
              <w:rPr>
                <w:szCs w:val="22"/>
              </w:rPr>
            </w:pPr>
            <w:r w:rsidRPr="00D01DDB">
              <w:rPr>
                <w:szCs w:val="22"/>
              </w:rPr>
              <w:t xml:space="preserve">Delegate’s Overall benefit-risk assessment </w:t>
            </w:r>
            <w:r w:rsidRPr="005447BE">
              <w:rPr>
                <w:szCs w:val="22"/>
              </w:rPr>
              <w:t>and request for Advisory Committee advice</w:t>
            </w:r>
            <w:r w:rsidRPr="00D01DDB">
              <w:rPr>
                <w:color w:val="007099"/>
                <w:szCs w:val="22"/>
              </w:rPr>
              <w:t xml:space="preserve"> </w:t>
            </w:r>
          </w:p>
        </w:tc>
        <w:tc>
          <w:tcPr>
            <w:tcW w:w="2835" w:type="dxa"/>
          </w:tcPr>
          <w:p w14:paraId="3BA6EF79" w14:textId="2C36B637" w:rsidR="00324B33" w:rsidRPr="00D01DDB" w:rsidRDefault="00F938BF"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6</w:t>
            </w:r>
            <w:r w:rsidR="00AE5306">
              <w:rPr>
                <w:szCs w:val="22"/>
              </w:rPr>
              <w:t xml:space="preserve"> April </w:t>
            </w:r>
            <w:r w:rsidR="005447BE">
              <w:rPr>
                <w:szCs w:val="22"/>
              </w:rPr>
              <w:t>2022</w:t>
            </w:r>
          </w:p>
        </w:tc>
      </w:tr>
      <w:tr w:rsidR="00324B33" w:rsidRPr="00D01DDB" w14:paraId="5832EBC8"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720592DE" w14:textId="1F72CD22" w:rsidR="00324B33" w:rsidRPr="00D01DDB" w:rsidRDefault="00324B33" w:rsidP="00324B33">
            <w:pPr>
              <w:rPr>
                <w:szCs w:val="22"/>
              </w:rPr>
            </w:pPr>
            <w:r w:rsidRPr="00D01DDB">
              <w:rPr>
                <w:szCs w:val="22"/>
              </w:rPr>
              <w:t>Sponsor’s pre-Advisory Committee response</w:t>
            </w:r>
          </w:p>
        </w:tc>
        <w:tc>
          <w:tcPr>
            <w:tcW w:w="2835" w:type="dxa"/>
          </w:tcPr>
          <w:p w14:paraId="5AE04841" w14:textId="3C66BB97" w:rsidR="00324B33" w:rsidRPr="00D01DDB" w:rsidRDefault="00655B6C"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w:t>
            </w:r>
            <w:r w:rsidR="00056805">
              <w:rPr>
                <w:szCs w:val="22"/>
              </w:rPr>
              <w:t>7</w:t>
            </w:r>
            <w:r>
              <w:rPr>
                <w:szCs w:val="22"/>
              </w:rPr>
              <w:t xml:space="preserve"> </w:t>
            </w:r>
            <w:r w:rsidR="005447BE">
              <w:rPr>
                <w:szCs w:val="22"/>
              </w:rPr>
              <w:t>May 2022</w:t>
            </w:r>
          </w:p>
        </w:tc>
      </w:tr>
      <w:tr w:rsidR="00324B33" w:rsidRPr="00D01DDB" w14:paraId="5754F7AC"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789DE187" w14:textId="123446EE" w:rsidR="00324B33" w:rsidRPr="00D01DDB" w:rsidRDefault="00324B33" w:rsidP="00324B33">
            <w:pPr>
              <w:rPr>
                <w:szCs w:val="22"/>
              </w:rPr>
            </w:pPr>
            <w:r w:rsidRPr="00D01DDB">
              <w:rPr>
                <w:szCs w:val="22"/>
              </w:rPr>
              <w:t>Advisory Committee meeting</w:t>
            </w:r>
          </w:p>
        </w:tc>
        <w:tc>
          <w:tcPr>
            <w:tcW w:w="2835" w:type="dxa"/>
          </w:tcPr>
          <w:p w14:paraId="5BE1EDE7" w14:textId="037FD1BB"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June 2022</w:t>
            </w:r>
          </w:p>
        </w:tc>
      </w:tr>
      <w:tr w:rsidR="00324B33" w:rsidRPr="00D01DDB" w14:paraId="6E5D32FE"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4E95C44C" w14:textId="7A91C710" w:rsidR="00324B33" w:rsidRPr="00D01DDB" w:rsidRDefault="00324B33" w:rsidP="00324B33">
            <w:pPr>
              <w:rPr>
                <w:szCs w:val="22"/>
              </w:rPr>
            </w:pPr>
            <w:r w:rsidRPr="00D01DDB">
              <w:rPr>
                <w:szCs w:val="22"/>
              </w:rPr>
              <w:t>Registration decision (Outcome)</w:t>
            </w:r>
          </w:p>
        </w:tc>
        <w:tc>
          <w:tcPr>
            <w:tcW w:w="2835" w:type="dxa"/>
          </w:tcPr>
          <w:p w14:paraId="62987ABD" w14:textId="0777DDAD"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14 July 2022</w:t>
            </w:r>
          </w:p>
        </w:tc>
      </w:tr>
      <w:tr w:rsidR="00324B33" w:rsidRPr="00D01DDB" w14:paraId="6DDCDDA4"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192FD19D" w14:textId="458EB044" w:rsidR="00324B33" w:rsidRPr="00D01DDB" w:rsidRDefault="00324B33" w:rsidP="00324B33">
            <w:pPr>
              <w:rPr>
                <w:szCs w:val="22"/>
              </w:rPr>
            </w:pPr>
            <w:r w:rsidRPr="00D01DDB">
              <w:rPr>
                <w:szCs w:val="22"/>
              </w:rPr>
              <w:t>Completion of administrative activities and registration on the ARTG</w:t>
            </w:r>
          </w:p>
        </w:tc>
        <w:tc>
          <w:tcPr>
            <w:tcW w:w="2835" w:type="dxa"/>
          </w:tcPr>
          <w:p w14:paraId="5A8923FD" w14:textId="5D67298D"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18 July 2022</w:t>
            </w:r>
          </w:p>
        </w:tc>
      </w:tr>
      <w:tr w:rsidR="00324B33" w:rsidRPr="00D01DDB" w14:paraId="56D922E2" w14:textId="77777777" w:rsidTr="00A231CE">
        <w:tc>
          <w:tcPr>
            <w:cnfStyle w:val="001000000000" w:firstRow="0" w:lastRow="0" w:firstColumn="1" w:lastColumn="0" w:oddVBand="0" w:evenVBand="0" w:oddHBand="0" w:evenHBand="0" w:firstRowFirstColumn="0" w:firstRowLastColumn="0" w:lastRowFirstColumn="0" w:lastRowLastColumn="0"/>
            <w:tcW w:w="5807" w:type="dxa"/>
          </w:tcPr>
          <w:p w14:paraId="787FD8DD" w14:textId="0E0CF97F" w:rsidR="00324B33" w:rsidRPr="00D01DDB" w:rsidRDefault="00324B33" w:rsidP="00324B33">
            <w:pPr>
              <w:rPr>
                <w:szCs w:val="22"/>
              </w:rPr>
            </w:pPr>
            <w:r w:rsidRPr="00D01DDB">
              <w:rPr>
                <w:szCs w:val="22"/>
              </w:rPr>
              <w:t>Number of working days from submission dossier acceptance to registration decision*</w:t>
            </w:r>
          </w:p>
        </w:tc>
        <w:tc>
          <w:tcPr>
            <w:tcW w:w="2835" w:type="dxa"/>
          </w:tcPr>
          <w:p w14:paraId="5BAF9FA1" w14:textId="46060BC4" w:rsidR="00324B33" w:rsidRPr="00D01DDB" w:rsidRDefault="005447B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197</w:t>
            </w:r>
          </w:p>
        </w:tc>
      </w:tr>
    </w:tbl>
    <w:p w14:paraId="7B02554C" w14:textId="77777777" w:rsidR="00433318" w:rsidRDefault="00433318" w:rsidP="00433318">
      <w:pPr>
        <w:pStyle w:val="TableDescription"/>
      </w:pPr>
      <w:r>
        <w:t>*</w:t>
      </w:r>
      <w:r w:rsidRPr="00BF3774">
        <w:t xml:space="preserve">Statutory </w:t>
      </w:r>
      <w:r>
        <w:t>timeframe for standard submissions is 255 working days</w:t>
      </w:r>
    </w:p>
    <w:p w14:paraId="220925F1" w14:textId="77777777" w:rsidR="00C22214" w:rsidRPr="00792A32" w:rsidRDefault="00C22214" w:rsidP="00C22214">
      <w:pPr>
        <w:pStyle w:val="Heading2"/>
      </w:pPr>
      <w:bookmarkStart w:id="29" w:name="_Toc196046504"/>
      <w:bookmarkStart w:id="30" w:name="_Toc247691527"/>
      <w:bookmarkStart w:id="31" w:name="_Toc314842510"/>
      <w:bookmarkStart w:id="32" w:name="_Toc103679294"/>
      <w:bookmarkStart w:id="33" w:name="_Toc136880550"/>
      <w:r w:rsidRPr="00006FAB">
        <w:lastRenderedPageBreak/>
        <w:t xml:space="preserve">Submission overview </w:t>
      </w:r>
      <w:r w:rsidRPr="00792A32">
        <w:t xml:space="preserve">and </w:t>
      </w:r>
      <w:r>
        <w:t>r</w:t>
      </w:r>
      <w:r w:rsidRPr="00792A32">
        <w:t>isk/</w:t>
      </w:r>
      <w:r>
        <w:t>b</w:t>
      </w:r>
      <w:r w:rsidRPr="00792A32">
        <w:t xml:space="preserve">enefit </w:t>
      </w:r>
      <w:r>
        <w:t>a</w:t>
      </w:r>
      <w:r w:rsidRPr="00792A32">
        <w:t>ssessment</w:t>
      </w:r>
      <w:bookmarkEnd w:id="29"/>
      <w:bookmarkEnd w:id="30"/>
      <w:bookmarkEnd w:id="31"/>
      <w:bookmarkEnd w:id="32"/>
      <w:bookmarkEnd w:id="33"/>
    </w:p>
    <w:p w14:paraId="540151FC" w14:textId="77777777" w:rsidR="00C22214" w:rsidRPr="00BD5DBD" w:rsidRDefault="00C22214" w:rsidP="00BD5DBD">
      <w:pPr>
        <w:rPr>
          <w:szCs w:val="22"/>
        </w:rPr>
      </w:pPr>
      <w:bookmarkStart w:id="34" w:name="_Toc247691528"/>
      <w:bookmarkStart w:id="35" w:name="_Toc314842511"/>
      <w:r w:rsidRPr="00BD5DBD">
        <w:rPr>
          <w:szCs w:val="22"/>
        </w:rPr>
        <w:t>A summary of the TGA’s assessment for this submission is provided below.</w:t>
      </w:r>
    </w:p>
    <w:p w14:paraId="37F5A1C0" w14:textId="77777777" w:rsidR="00C22214" w:rsidRDefault="00C22214" w:rsidP="00C22214">
      <w:pPr>
        <w:pStyle w:val="Heading3"/>
      </w:pPr>
      <w:bookmarkStart w:id="36" w:name="_Toc103679295"/>
      <w:bookmarkStart w:id="37" w:name="_Toc136880551"/>
      <w:r>
        <w:t>Quality</w:t>
      </w:r>
      <w:bookmarkEnd w:id="34"/>
      <w:bookmarkEnd w:id="35"/>
      <w:bookmarkEnd w:id="36"/>
      <w:bookmarkEnd w:id="37"/>
    </w:p>
    <w:p w14:paraId="29A3BB75" w14:textId="5EACE0C8" w:rsidR="00A01C56" w:rsidRPr="00BD5DBD" w:rsidRDefault="00637F0E" w:rsidP="00A34A63">
      <w:r w:rsidRPr="00BD5DBD">
        <w:t>Quality evaluation is not required for this submission as there are no proposed changes to the quality of the currently approved product in Australia.</w:t>
      </w:r>
      <w:r w:rsidR="00C816C6" w:rsidRPr="00BD5DBD">
        <w:t xml:space="preserve"> The quality of the currently approved product is suitable for the proposed changes in this submission.</w:t>
      </w:r>
      <w:r w:rsidRPr="00BD5DBD">
        <w:t xml:space="preserve"> A full quality evaluation was conducted at the time this product received initial registration</w:t>
      </w:r>
      <w:r w:rsidR="005447BE">
        <w:t>.</w:t>
      </w:r>
      <w:r w:rsidR="00726139" w:rsidRPr="00CC6B3F">
        <w:rPr>
          <w:vertAlign w:val="superscript"/>
        </w:rPr>
        <w:fldChar w:fldCharType="begin"/>
      </w:r>
      <w:r w:rsidR="00726139" w:rsidRPr="00CC6B3F">
        <w:rPr>
          <w:vertAlign w:val="superscript"/>
        </w:rPr>
        <w:instrText xml:space="preserve"> NOTEREF _Ref136514009 \h </w:instrText>
      </w:r>
      <w:r w:rsidR="00726139">
        <w:rPr>
          <w:vertAlign w:val="superscript"/>
        </w:rPr>
        <w:instrText xml:space="preserve"> \* MERGEFORMAT </w:instrText>
      </w:r>
      <w:r w:rsidR="00726139" w:rsidRPr="00CC6B3F">
        <w:rPr>
          <w:vertAlign w:val="superscript"/>
        </w:rPr>
      </w:r>
      <w:r w:rsidR="00726139" w:rsidRPr="00CC6B3F">
        <w:rPr>
          <w:vertAlign w:val="superscript"/>
        </w:rPr>
        <w:fldChar w:fldCharType="separate"/>
      </w:r>
      <w:r w:rsidR="00726139" w:rsidRPr="00CC6B3F">
        <w:rPr>
          <w:vertAlign w:val="superscript"/>
        </w:rPr>
        <w:t>13</w:t>
      </w:r>
      <w:r w:rsidR="00726139" w:rsidRPr="00CC6B3F">
        <w:rPr>
          <w:vertAlign w:val="superscript"/>
        </w:rPr>
        <w:fldChar w:fldCharType="end"/>
      </w:r>
    </w:p>
    <w:p w14:paraId="2BE90AAE" w14:textId="77777777" w:rsidR="00C22214" w:rsidRDefault="00C22214" w:rsidP="00C22214">
      <w:pPr>
        <w:pStyle w:val="Heading3"/>
      </w:pPr>
      <w:bookmarkStart w:id="38" w:name="_Toc314842512"/>
      <w:bookmarkStart w:id="39" w:name="_Toc103679296"/>
      <w:bookmarkStart w:id="40" w:name="_Toc136880552"/>
      <w:r>
        <w:t>Nonclinical</w:t>
      </w:r>
      <w:bookmarkEnd w:id="38"/>
      <w:bookmarkEnd w:id="39"/>
      <w:bookmarkEnd w:id="40"/>
    </w:p>
    <w:p w14:paraId="15C51A23" w14:textId="0153F15D" w:rsidR="008804CF" w:rsidRPr="00BD5DBD" w:rsidRDefault="008804CF" w:rsidP="008804CF">
      <w:pPr>
        <w:rPr>
          <w:b/>
          <w:bCs/>
          <w:szCs w:val="22"/>
        </w:rPr>
      </w:pPr>
      <w:bookmarkStart w:id="41" w:name="_Toc247691530"/>
      <w:bookmarkStart w:id="42" w:name="_Toc314842513"/>
      <w:bookmarkStart w:id="43" w:name="_Toc103679297"/>
      <w:r w:rsidRPr="00BD5DBD">
        <w:rPr>
          <w:szCs w:val="22"/>
        </w:rPr>
        <w:t>No new nonclinical data or further nonclinical evaluation were required for this submission.</w:t>
      </w:r>
      <w:r w:rsidR="008C754C" w:rsidRPr="00BD5DBD">
        <w:rPr>
          <w:szCs w:val="22"/>
        </w:rPr>
        <w:t xml:space="preserve"> </w:t>
      </w:r>
      <w:r w:rsidRPr="00BD5DBD">
        <w:rPr>
          <w:szCs w:val="22"/>
        </w:rPr>
        <w:t>The TGA considers that previously submitted and evaluated data satisfactorily address nonclinical aspects of safety/efficacy relating to this submission</w:t>
      </w:r>
      <w:r w:rsidR="00F865A7" w:rsidRPr="00BD5DBD">
        <w:rPr>
          <w:szCs w:val="22"/>
        </w:rPr>
        <w:t>.</w:t>
      </w:r>
    </w:p>
    <w:p w14:paraId="35B580A5" w14:textId="69B9BE44" w:rsidR="00C22214" w:rsidRDefault="00C22214" w:rsidP="008804CF">
      <w:pPr>
        <w:pStyle w:val="Heading3"/>
      </w:pPr>
      <w:bookmarkStart w:id="44" w:name="_Toc136880553"/>
      <w:r>
        <w:t>Clinical</w:t>
      </w:r>
      <w:bookmarkEnd w:id="41"/>
      <w:bookmarkEnd w:id="42"/>
      <w:bookmarkEnd w:id="43"/>
      <w:bookmarkEnd w:id="44"/>
    </w:p>
    <w:p w14:paraId="32B0DEDA" w14:textId="40840E62" w:rsidR="00C22214" w:rsidRPr="00433318" w:rsidRDefault="00C22214" w:rsidP="00433318">
      <w:pPr>
        <w:pStyle w:val="Heading4"/>
      </w:pPr>
      <w:bookmarkStart w:id="45" w:name="_Toc98931928"/>
      <w:bookmarkStart w:id="46" w:name="_Toc136880554"/>
      <w:r>
        <w:t>Summary of clinical studies</w:t>
      </w:r>
      <w:bookmarkEnd w:id="45"/>
      <w:bookmarkEnd w:id="46"/>
    </w:p>
    <w:p w14:paraId="46622364" w14:textId="677DBB3A" w:rsidR="00C22214" w:rsidRPr="00BD5DBD" w:rsidRDefault="00C22214" w:rsidP="00C22214">
      <w:pPr>
        <w:rPr>
          <w:szCs w:val="22"/>
        </w:rPr>
      </w:pPr>
      <w:r w:rsidRPr="00BD5DBD">
        <w:rPr>
          <w:szCs w:val="22"/>
        </w:rPr>
        <w:t>The clinical dossier consisted of</w:t>
      </w:r>
      <w:r w:rsidR="007357B9" w:rsidRPr="00BD5DBD">
        <w:rPr>
          <w:szCs w:val="22"/>
        </w:rPr>
        <w:t>:</w:t>
      </w:r>
      <w:r w:rsidRPr="00BD5DBD">
        <w:rPr>
          <w:szCs w:val="22"/>
        </w:rPr>
        <w:t xml:space="preserve"> </w:t>
      </w:r>
    </w:p>
    <w:p w14:paraId="4CD0458E" w14:textId="308F9E7B" w:rsidR="00726139" w:rsidRPr="00717AA0" w:rsidRDefault="00A34A63">
      <w:pPr>
        <w:pStyle w:val="ListBullet"/>
      </w:pPr>
      <w:r>
        <w:t>Study CA209274</w:t>
      </w:r>
      <w:r w:rsidR="00D85050">
        <w:t xml:space="preserve"> (</w:t>
      </w:r>
      <w:r w:rsidR="00726139">
        <w:t xml:space="preserve">the </w:t>
      </w:r>
      <w:proofErr w:type="spellStart"/>
      <w:r w:rsidR="00D85050">
        <w:t>CheckMate</w:t>
      </w:r>
      <w:proofErr w:type="spellEnd"/>
      <w:r w:rsidR="00D85050">
        <w:t xml:space="preserve"> 274 trial)</w:t>
      </w:r>
      <w:r w:rsidR="00726139">
        <w:t>,</w:t>
      </w:r>
      <w:r>
        <w:t xml:space="preserve"> a pivotal efficacy and safety</w:t>
      </w:r>
      <w:r w:rsidR="00256907">
        <w:t xml:space="preserve">, </w:t>
      </w:r>
      <w:r w:rsidR="00D85050" w:rsidRPr="00256907">
        <w:rPr>
          <w:szCs w:val="22"/>
        </w:rPr>
        <w:t xml:space="preserve">Phase </w:t>
      </w:r>
      <w:r w:rsidR="00256907" w:rsidRPr="00256907">
        <w:rPr>
          <w:szCs w:val="22"/>
        </w:rPr>
        <w:t>III</w:t>
      </w:r>
      <w:r w:rsidR="00D85050" w:rsidRPr="00256907">
        <w:rPr>
          <w:szCs w:val="22"/>
        </w:rPr>
        <w:t xml:space="preserve"> </w:t>
      </w:r>
      <w:r w:rsidR="00726139">
        <w:rPr>
          <w:szCs w:val="22"/>
        </w:rPr>
        <w:t>r</w:t>
      </w:r>
      <w:r w:rsidR="00D85050" w:rsidRPr="00256907">
        <w:rPr>
          <w:szCs w:val="22"/>
        </w:rPr>
        <w:t>andomi</w:t>
      </w:r>
      <w:r w:rsidR="00726139">
        <w:rPr>
          <w:szCs w:val="22"/>
        </w:rPr>
        <w:t>s</w:t>
      </w:r>
      <w:r w:rsidR="00D85050" w:rsidRPr="00256907">
        <w:rPr>
          <w:szCs w:val="22"/>
        </w:rPr>
        <w:t xml:space="preserve">ed, </w:t>
      </w:r>
      <w:r w:rsidR="00256907" w:rsidRPr="00256907">
        <w:rPr>
          <w:szCs w:val="22"/>
        </w:rPr>
        <w:t>d</w:t>
      </w:r>
      <w:r w:rsidR="00D85050" w:rsidRPr="00256907">
        <w:rPr>
          <w:szCs w:val="22"/>
        </w:rPr>
        <w:t xml:space="preserve">ouble-blind, </w:t>
      </w:r>
      <w:r w:rsidR="00256907" w:rsidRPr="00256907">
        <w:rPr>
          <w:szCs w:val="22"/>
        </w:rPr>
        <w:t>m</w:t>
      </w:r>
      <w:r w:rsidR="00D85050" w:rsidRPr="00256907">
        <w:rPr>
          <w:szCs w:val="22"/>
        </w:rPr>
        <w:t>ulti</w:t>
      </w:r>
      <w:r w:rsidR="00726139" w:rsidRPr="00256907">
        <w:rPr>
          <w:szCs w:val="22"/>
        </w:rPr>
        <w:t>centre</w:t>
      </w:r>
      <w:r w:rsidR="00D85050" w:rsidRPr="00256907">
        <w:rPr>
          <w:szCs w:val="22"/>
        </w:rPr>
        <w:t xml:space="preserve"> </w:t>
      </w:r>
      <w:r w:rsidR="00256907" w:rsidRPr="00256907">
        <w:rPr>
          <w:szCs w:val="22"/>
        </w:rPr>
        <w:t>s</w:t>
      </w:r>
      <w:r w:rsidR="00D85050" w:rsidRPr="00256907">
        <w:rPr>
          <w:szCs w:val="22"/>
        </w:rPr>
        <w:t xml:space="preserve">tudy of </w:t>
      </w:r>
      <w:r w:rsidR="00256907" w:rsidRPr="00256907">
        <w:rPr>
          <w:szCs w:val="22"/>
        </w:rPr>
        <w:t>a</w:t>
      </w:r>
      <w:r w:rsidR="00D85050" w:rsidRPr="00256907">
        <w:rPr>
          <w:szCs w:val="22"/>
        </w:rPr>
        <w:t>djuvant</w:t>
      </w:r>
      <w:r w:rsidR="00256907" w:rsidRPr="00256907">
        <w:rPr>
          <w:szCs w:val="22"/>
        </w:rPr>
        <w:t xml:space="preserve"> n</w:t>
      </w:r>
      <w:r w:rsidR="00D85050" w:rsidRPr="00256907">
        <w:rPr>
          <w:szCs w:val="22"/>
        </w:rPr>
        <w:t xml:space="preserve">ivolumab versus </w:t>
      </w:r>
      <w:r w:rsidR="00256907" w:rsidRPr="00256907">
        <w:rPr>
          <w:szCs w:val="22"/>
        </w:rPr>
        <w:t>p</w:t>
      </w:r>
      <w:r w:rsidR="00D85050" w:rsidRPr="00256907">
        <w:rPr>
          <w:szCs w:val="22"/>
        </w:rPr>
        <w:t xml:space="preserve">lacebo in </w:t>
      </w:r>
      <w:r w:rsidR="00256907" w:rsidRPr="00256907">
        <w:rPr>
          <w:szCs w:val="22"/>
        </w:rPr>
        <w:t>s</w:t>
      </w:r>
      <w:r w:rsidR="00D85050" w:rsidRPr="00256907">
        <w:rPr>
          <w:szCs w:val="22"/>
        </w:rPr>
        <w:t>ubjects with</w:t>
      </w:r>
      <w:r w:rsidR="00256907" w:rsidRPr="00256907">
        <w:rPr>
          <w:szCs w:val="22"/>
        </w:rPr>
        <w:t xml:space="preserve"> high</w:t>
      </w:r>
      <w:r w:rsidR="00371038">
        <w:rPr>
          <w:szCs w:val="22"/>
        </w:rPr>
        <w:t>-</w:t>
      </w:r>
      <w:r w:rsidR="00256907" w:rsidRPr="00256907">
        <w:rPr>
          <w:szCs w:val="22"/>
        </w:rPr>
        <w:t>risk invasive urothelial carcinoma.</w:t>
      </w:r>
    </w:p>
    <w:p w14:paraId="36214E65" w14:textId="29384454" w:rsidR="00256907" w:rsidRPr="00256907" w:rsidRDefault="00256907" w:rsidP="00CC6B3F">
      <w:pPr>
        <w:pStyle w:val="ListBullet"/>
        <w:numPr>
          <w:ilvl w:val="0"/>
          <w:numId w:val="0"/>
        </w:numPr>
        <w:ind w:left="360"/>
      </w:pPr>
      <w:r w:rsidRPr="00256907">
        <w:rPr>
          <w:szCs w:val="22"/>
        </w:rPr>
        <w:t>The study information was provided in four parts:</w:t>
      </w:r>
    </w:p>
    <w:p w14:paraId="3FD72781" w14:textId="3865425F" w:rsidR="00A34A63" w:rsidRDefault="00A34A63" w:rsidP="00256907">
      <w:pPr>
        <w:pStyle w:val="ListBullet2"/>
      </w:pPr>
      <w:r>
        <w:t xml:space="preserve">Primary </w:t>
      </w:r>
      <w:r w:rsidR="00256907">
        <w:t>c</w:t>
      </w:r>
      <w:r>
        <w:t xml:space="preserve">linical </w:t>
      </w:r>
      <w:r w:rsidR="00256907">
        <w:t>s</w:t>
      </w:r>
      <w:r>
        <w:t xml:space="preserve">tudy </w:t>
      </w:r>
      <w:r w:rsidR="00256907">
        <w:t>r</w:t>
      </w:r>
      <w:r>
        <w:t>eport</w:t>
      </w:r>
    </w:p>
    <w:p w14:paraId="030DB346" w14:textId="06294CA3" w:rsidR="00A34A63" w:rsidRDefault="00A34A63" w:rsidP="00A34A63">
      <w:pPr>
        <w:pStyle w:val="ListBullet2"/>
      </w:pPr>
      <w:r>
        <w:t xml:space="preserve">Erratum to </w:t>
      </w:r>
      <w:r w:rsidR="00256907">
        <w:t>p</w:t>
      </w:r>
      <w:r>
        <w:t xml:space="preserve">rimary </w:t>
      </w:r>
      <w:r w:rsidR="00256907">
        <w:t>c</w:t>
      </w:r>
      <w:r>
        <w:t xml:space="preserve">linical </w:t>
      </w:r>
      <w:r w:rsidR="00256907">
        <w:t>s</w:t>
      </w:r>
      <w:r>
        <w:t xml:space="preserve">tudy </w:t>
      </w:r>
      <w:r w:rsidR="00256907">
        <w:t>r</w:t>
      </w:r>
      <w:r>
        <w:t>eport</w:t>
      </w:r>
    </w:p>
    <w:p w14:paraId="14AFCC16" w14:textId="2A070241" w:rsidR="00A34A63" w:rsidRDefault="00256907" w:rsidP="00A34A63">
      <w:pPr>
        <w:pStyle w:val="ListBullet2"/>
      </w:pPr>
      <w:r>
        <w:t>Blinded independent central review</w:t>
      </w:r>
      <w:r w:rsidR="00A34A63">
        <w:t xml:space="preserve"> report</w:t>
      </w:r>
    </w:p>
    <w:p w14:paraId="4D5E6FC1" w14:textId="41EB440E" w:rsidR="00A34A63" w:rsidRPr="001F7176" w:rsidRDefault="00A34A63">
      <w:pPr>
        <w:pStyle w:val="ListBullet2"/>
        <w:rPr>
          <w:color w:val="auto"/>
          <w:szCs w:val="22"/>
        </w:rPr>
      </w:pPr>
      <w:r w:rsidRPr="001F7176">
        <w:rPr>
          <w:color w:val="auto"/>
        </w:rPr>
        <w:t>Interim overall survival report</w:t>
      </w:r>
    </w:p>
    <w:p w14:paraId="6B56CB17" w14:textId="799E92D7" w:rsidR="00C22214" w:rsidRDefault="00D85050" w:rsidP="00A34A63">
      <w:pPr>
        <w:pStyle w:val="ListBullet"/>
      </w:pPr>
      <w:r>
        <w:t>Exposure/response report</w:t>
      </w:r>
      <w:r w:rsidR="00726139">
        <w:t xml:space="preserve">, </w:t>
      </w:r>
      <w:r w:rsidR="00A34A63">
        <w:t>providing pharmacokinetic/pharmacodynamic and safety pharmacology data</w:t>
      </w:r>
    </w:p>
    <w:p w14:paraId="79BA95D2" w14:textId="18B5BC95" w:rsidR="00A34A63" w:rsidRDefault="00A34A63" w:rsidP="00A34A63">
      <w:pPr>
        <w:pStyle w:val="ListBullet"/>
      </w:pPr>
      <w:r>
        <w:t>Population pharmacokinetic analysis</w:t>
      </w:r>
      <w:r w:rsidR="00D85050">
        <w:t xml:space="preserve"> report</w:t>
      </w:r>
    </w:p>
    <w:p w14:paraId="27BBD63A" w14:textId="12A8DD6B" w:rsidR="00A34A63" w:rsidRPr="00A34A63" w:rsidRDefault="00A34A63" w:rsidP="00A34A63">
      <w:pPr>
        <w:pStyle w:val="ListBullet"/>
      </w:pPr>
      <w:r>
        <w:t>Literature references</w:t>
      </w:r>
    </w:p>
    <w:p w14:paraId="71D5A1F8" w14:textId="4BDEAF66" w:rsidR="00611700" w:rsidRDefault="00A34A63" w:rsidP="005447BE">
      <w:r>
        <w:t>The e</w:t>
      </w:r>
      <w:r w:rsidR="005447BE" w:rsidRPr="005447BE">
        <w:t xml:space="preserve">xposure response and </w:t>
      </w:r>
      <w:r w:rsidR="00D85050">
        <w:t>population pharmacokinetic</w:t>
      </w:r>
      <w:r w:rsidR="005447BE" w:rsidRPr="005447BE">
        <w:t xml:space="preserve"> analyses were performed with data from </w:t>
      </w:r>
      <w:r w:rsidR="00D85050">
        <w:t>Study CA209274</w:t>
      </w:r>
      <w:r w:rsidR="005447BE" w:rsidRPr="005447BE">
        <w:t xml:space="preserve"> and from previously submitted studies</w:t>
      </w:r>
      <w:r w:rsidR="005447BE">
        <w:t>.</w:t>
      </w:r>
    </w:p>
    <w:p w14:paraId="38FBA9D5" w14:textId="20F07762" w:rsidR="00DB75B9" w:rsidRDefault="00DB75B9" w:rsidP="00CC6B3F">
      <w:pPr>
        <w:pStyle w:val="Heading4"/>
      </w:pPr>
      <w:bookmarkStart w:id="47" w:name="_Toc136880555"/>
      <w:r>
        <w:lastRenderedPageBreak/>
        <w:t xml:space="preserve">Study CA209274 (the </w:t>
      </w:r>
      <w:proofErr w:type="spellStart"/>
      <w:r>
        <w:t>CheckMate</w:t>
      </w:r>
      <w:proofErr w:type="spellEnd"/>
      <w:r>
        <w:t xml:space="preserve"> 274 trial)</w:t>
      </w:r>
      <w:bookmarkEnd w:id="47"/>
    </w:p>
    <w:p w14:paraId="6EE03F4B" w14:textId="06DA98A3" w:rsidR="007926B6" w:rsidRDefault="007926B6" w:rsidP="00CC6B3F">
      <w:pPr>
        <w:pStyle w:val="Heading5"/>
      </w:pPr>
      <w:r>
        <w:t>Pharmacology</w:t>
      </w:r>
    </w:p>
    <w:p w14:paraId="13FA740F" w14:textId="55731FE5" w:rsidR="005447BE" w:rsidRPr="00CC6B3F" w:rsidRDefault="005447BE" w:rsidP="00CC6B3F">
      <w:pPr>
        <w:pStyle w:val="Heading6"/>
        <w:rPr>
          <w:b/>
        </w:rPr>
      </w:pPr>
      <w:r w:rsidRPr="00717AA0">
        <w:t xml:space="preserve">Population </w:t>
      </w:r>
      <w:r w:rsidR="00611700" w:rsidRPr="00CC6B3F">
        <w:t>pharmacokinetics</w:t>
      </w:r>
    </w:p>
    <w:p w14:paraId="005AF5E4" w14:textId="4DEC94A4" w:rsidR="005447BE" w:rsidRDefault="005447BE" w:rsidP="005447BE">
      <w:r>
        <w:t xml:space="preserve">The </w:t>
      </w:r>
      <w:r w:rsidR="007926B6">
        <w:t>population pharmacokinetic</w:t>
      </w:r>
      <w:r>
        <w:t xml:space="preserve"> report was submitted to support the dose regimen of 240 mg </w:t>
      </w:r>
      <w:r w:rsidR="007926B6">
        <w:t>once every two weeks</w:t>
      </w:r>
      <w:r>
        <w:t xml:space="preserve"> or 480 mg </w:t>
      </w:r>
      <w:r w:rsidR="007926B6">
        <w:t>once every four weeks</w:t>
      </w:r>
      <w:r>
        <w:t xml:space="preserve"> for the new indication of adjuvant treatment for patients who have undergone radical resection of </w:t>
      </w:r>
      <w:r w:rsidR="000640F6">
        <w:t>muscle invasive urothelial carcinoma (</w:t>
      </w:r>
      <w:r>
        <w:t>MIUC</w:t>
      </w:r>
      <w:r w:rsidR="000640F6">
        <w:t>)</w:t>
      </w:r>
      <w:r>
        <w:t xml:space="preserve">. The 240 mg </w:t>
      </w:r>
      <w:r w:rsidR="007926B6">
        <w:t>once every two week</w:t>
      </w:r>
      <w:r w:rsidR="00371038">
        <w:t>s</w:t>
      </w:r>
      <w:r>
        <w:t xml:space="preserve"> regimen was used in the pivotal clinical </w:t>
      </w:r>
      <w:r w:rsidR="00611700">
        <w:t>S</w:t>
      </w:r>
      <w:r>
        <w:t>tudy CA209274</w:t>
      </w:r>
      <w:r w:rsidR="000640F6">
        <w:t xml:space="preserve"> (the </w:t>
      </w:r>
      <w:proofErr w:type="spellStart"/>
      <w:r w:rsidR="000640F6">
        <w:t>CheckMate</w:t>
      </w:r>
      <w:proofErr w:type="spellEnd"/>
      <w:r w:rsidR="000640F6">
        <w:t xml:space="preserve"> 274 trial)</w:t>
      </w:r>
      <w:r>
        <w:t xml:space="preserve">. This regimen was confirmed from the re-estimated </w:t>
      </w:r>
      <w:r w:rsidR="00611700">
        <w:t>population pharmacokinetics</w:t>
      </w:r>
      <w:r>
        <w:t xml:space="preserve"> model incorporating the data from the </w:t>
      </w:r>
      <w:r w:rsidRPr="00611700">
        <w:t>pivotal study.</w:t>
      </w:r>
      <w:r>
        <w:t xml:space="preserve"> The 480 mg</w:t>
      </w:r>
      <w:r w:rsidR="00611700">
        <w:t xml:space="preserve"> once every four weeks</w:t>
      </w:r>
      <w:r>
        <w:t xml:space="preserve"> regimen was based on modelling and simulations using the </w:t>
      </w:r>
      <w:r w:rsidR="00611700">
        <w:t>pharmacokinetic</w:t>
      </w:r>
      <w:r>
        <w:t xml:space="preserve"> data from the pivotal study. These alternative dose regimens are consistent with the dose regimens approved for other monotherapy indications for nivolumab.  The weight-based dose regimen of 3 mg/kg </w:t>
      </w:r>
      <w:r w:rsidR="00611700">
        <w:t>once every two weeks</w:t>
      </w:r>
      <w:r>
        <w:t xml:space="preserve"> approved for adjuvant treatment of melanoma has not been proposed for adjuvant treatment of MIUC.</w:t>
      </w:r>
    </w:p>
    <w:p w14:paraId="5410B5B6" w14:textId="25CD2C8C" w:rsidR="00164A75" w:rsidRDefault="00164A75" w:rsidP="00CC6B3F">
      <w:pPr>
        <w:pStyle w:val="Heading6"/>
        <w:rPr>
          <w:color w:val="7295D2" w:themeColor="accent1" w:themeTint="BF"/>
        </w:rPr>
      </w:pPr>
      <w:r w:rsidRPr="00AA53F4">
        <w:t xml:space="preserve">Pharmacodynamics </w:t>
      </w:r>
    </w:p>
    <w:p w14:paraId="2017E395" w14:textId="77F7A5F6" w:rsidR="00164A75" w:rsidRDefault="00164A75" w:rsidP="00164A75">
      <w:r>
        <w:t>The effect of nivolumab exposure</w:t>
      </w:r>
      <w:r w:rsidR="000640F6">
        <w:t>, shown via</w:t>
      </w:r>
      <w:r w:rsidR="00611700">
        <w:t xml:space="preserve"> t</w:t>
      </w:r>
      <w:r w:rsidR="00611700" w:rsidRPr="00611700">
        <w:t xml:space="preserve">rough concentration at Day 28 </w:t>
      </w:r>
      <w:r w:rsidRPr="00611700">
        <w:t>(C</w:t>
      </w:r>
      <w:r w:rsidRPr="00611700">
        <w:rPr>
          <w:vertAlign w:val="subscript"/>
        </w:rPr>
        <w:t>min</w:t>
      </w:r>
      <w:r w:rsidR="000640F6">
        <w:rPr>
          <w:vertAlign w:val="subscript"/>
        </w:rPr>
        <w:t>.D</w:t>
      </w:r>
      <w:r w:rsidRPr="00611700">
        <w:rPr>
          <w:vertAlign w:val="subscript"/>
        </w:rPr>
        <w:t>28</w:t>
      </w:r>
      <w:r w:rsidRPr="00611700">
        <w:t>)</w:t>
      </w:r>
      <w:r w:rsidR="00611700">
        <w:t>,</w:t>
      </w:r>
      <w:r w:rsidRPr="00611700">
        <w:t xml:space="preserve"> on</w:t>
      </w:r>
      <w:r>
        <w:t xml:space="preserve"> disease free survival (DFS) was dependent on whether patients with adjuvant MIUC</w:t>
      </w:r>
      <w:r w:rsidR="000640F6">
        <w:t xml:space="preserve"> treatment</w:t>
      </w:r>
      <w:r>
        <w:t xml:space="preserve"> received prior neo</w:t>
      </w:r>
      <w:r w:rsidR="00611700">
        <w:noBreakHyphen/>
      </w:r>
      <w:r>
        <w:t>adjuvant cisplatin. In patients who received nivolumab treatment, but did not receive prior neo-adjuvant cisplatin treatment, nivolumab exposures were not significantly associated with risk of disease recurrence or death. In patients who received nivolumab treatment and prior neo-adjuvant cisplatin treatment, higher nivolumab exposures (C</w:t>
      </w:r>
      <w:r w:rsidRPr="00341BEE">
        <w:rPr>
          <w:vertAlign w:val="subscript"/>
        </w:rPr>
        <w:t>min</w:t>
      </w:r>
      <w:r w:rsidR="000640F6">
        <w:rPr>
          <w:vertAlign w:val="subscript"/>
        </w:rPr>
        <w:t>.D</w:t>
      </w:r>
      <w:r w:rsidRPr="00341BEE">
        <w:rPr>
          <w:vertAlign w:val="subscript"/>
        </w:rPr>
        <w:t>28</w:t>
      </w:r>
      <w:r>
        <w:t>) were associated with significantly lower risk of disease recurrence or death than in patients with lower nivolumab exposures (</w:t>
      </w:r>
      <w:r w:rsidR="00506817">
        <w:t>hazard ratio (</w:t>
      </w:r>
      <w:r>
        <w:t>HR</w:t>
      </w:r>
      <w:r w:rsidR="00506817">
        <w:t>)</w:t>
      </w:r>
      <w:r>
        <w:t xml:space="preserve"> = 0.30 at the 95th percentile of nivolumab 55 </w:t>
      </w:r>
      <w:proofErr w:type="spellStart"/>
      <w:r>
        <w:t>μg</w:t>
      </w:r>
      <w:proofErr w:type="spellEnd"/>
      <w:r>
        <w:t>/mL and</w:t>
      </w:r>
      <w:r w:rsidR="00611700">
        <w:t xml:space="preserve"> </w:t>
      </w:r>
      <w:r>
        <w:t>HR</w:t>
      </w:r>
      <w:r w:rsidR="00611700">
        <w:t> </w:t>
      </w:r>
      <w:r>
        <w:t>=</w:t>
      </w:r>
      <w:r w:rsidR="00611700">
        <w:t> </w:t>
      </w:r>
      <w:r>
        <w:t xml:space="preserve">0.59 at the 5th percentile of nivolumab 24 </w:t>
      </w:r>
      <w:proofErr w:type="spellStart"/>
      <w:r>
        <w:t>μg</w:t>
      </w:r>
      <w:proofErr w:type="spellEnd"/>
      <w:r>
        <w:t>/mL in reference to placebo).</w:t>
      </w:r>
    </w:p>
    <w:p w14:paraId="4F828426" w14:textId="60C09B28" w:rsidR="00164A75" w:rsidRPr="00341BEE" w:rsidRDefault="00164A75" w:rsidP="00164A75">
      <w:r>
        <w:t>Higher</w:t>
      </w:r>
      <w:r w:rsidR="00611700">
        <w:t xml:space="preserve"> p</w:t>
      </w:r>
      <w:r w:rsidR="00611700" w:rsidRPr="00611700">
        <w:t>ost</w:t>
      </w:r>
      <w:r w:rsidR="000640F6">
        <w:t>-</w:t>
      </w:r>
      <w:r w:rsidR="00611700" w:rsidRPr="00611700">
        <w:t xml:space="preserve">Dose 1 </w:t>
      </w:r>
      <w:r w:rsidR="000640F6">
        <w:t>maximum</w:t>
      </w:r>
      <w:r w:rsidR="000640F6" w:rsidRPr="00611700">
        <w:t xml:space="preserve"> </w:t>
      </w:r>
      <w:r w:rsidR="00611700" w:rsidRPr="00611700">
        <w:t>concentration</w:t>
      </w:r>
      <w:r w:rsidR="00611700">
        <w:t xml:space="preserve"> (</w:t>
      </w:r>
      <w:r>
        <w:t>C</w:t>
      </w:r>
      <w:r w:rsidRPr="00341BEE">
        <w:rPr>
          <w:vertAlign w:val="subscript"/>
        </w:rPr>
        <w:t>max</w:t>
      </w:r>
      <w:r w:rsidR="000640F6">
        <w:rPr>
          <w:vertAlign w:val="subscript"/>
        </w:rPr>
        <w:t>.Dose</w:t>
      </w:r>
      <w:r w:rsidRPr="00341BEE">
        <w:rPr>
          <w:vertAlign w:val="subscript"/>
        </w:rPr>
        <w:t>1</w:t>
      </w:r>
      <w:r w:rsidR="00611700">
        <w:t xml:space="preserve">) </w:t>
      </w:r>
      <w:r w:rsidR="000640F6">
        <w:t xml:space="preserve">in serum </w:t>
      </w:r>
      <w:r>
        <w:t xml:space="preserve">was associated with a significantly higher incidence of </w:t>
      </w:r>
      <w:r w:rsidRPr="00506817">
        <w:t>Gr</w:t>
      </w:r>
      <w:r w:rsidR="000640F6">
        <w:t xml:space="preserve">ade </w:t>
      </w:r>
      <w:r w:rsidRPr="00506817">
        <w:t>2</w:t>
      </w:r>
      <w:r w:rsidR="000640F6">
        <w:t xml:space="preserve"> or higher severity</w:t>
      </w:r>
      <w:r>
        <w:t xml:space="preserve"> </w:t>
      </w:r>
      <w:r w:rsidR="00506817">
        <w:t>i</w:t>
      </w:r>
      <w:r w:rsidRPr="00341BEE">
        <w:t xml:space="preserve">mmune-mediated adverse events </w:t>
      </w:r>
      <w:r>
        <w:t xml:space="preserve">(HR = 1.35 </w:t>
      </w:r>
      <w:r w:rsidR="000640F6">
        <w:t>(</w:t>
      </w:r>
      <w:r>
        <w:t xml:space="preserve">95% </w:t>
      </w:r>
      <w:r w:rsidR="000640F6">
        <w:t>confidence intervals:</w:t>
      </w:r>
      <w:r>
        <w:t xml:space="preserve"> 1.09, 1.66</w:t>
      </w:r>
      <w:r w:rsidR="000640F6">
        <w:t>)</w:t>
      </w:r>
      <w:r>
        <w:t xml:space="preserve"> at the 95th percentile of 145 </w:t>
      </w:r>
      <w:proofErr w:type="spellStart"/>
      <w:r>
        <w:t>μg</w:t>
      </w:r>
      <w:proofErr w:type="spellEnd"/>
      <w:r>
        <w:t xml:space="preserve">/mL compared with the median of 60 </w:t>
      </w:r>
      <w:proofErr w:type="spellStart"/>
      <w:r>
        <w:t>μg</w:t>
      </w:r>
      <w:proofErr w:type="spellEnd"/>
      <w:r>
        <w:t xml:space="preserve">/mL) across the nivolumab dose range of 0.3 mg/kg to 10 mg/kg. The finding that </w:t>
      </w:r>
      <w:r w:rsidR="000640F6">
        <w:t>Grade 2 or higher severity</w:t>
      </w:r>
      <w:r>
        <w:t xml:space="preserve"> </w:t>
      </w:r>
      <w:r w:rsidR="00506817">
        <w:t>i</w:t>
      </w:r>
      <w:r w:rsidR="00506817" w:rsidRPr="00506817">
        <w:t>mmune-mediated adverse events</w:t>
      </w:r>
      <w:r>
        <w:t xml:space="preserve"> incidence is a more sensitive endpoint for the effect of nivolumab exposure on safety is consistent with the mechanism of action of nivolumab and previous analyses, as </w:t>
      </w:r>
      <w:r w:rsidR="00506817" w:rsidRPr="00506817">
        <w:t>immune-mediated adverse events</w:t>
      </w:r>
      <w:r>
        <w:t xml:space="preserve"> are more likely to be related to nivolumab exposure than other adverse reactions.</w:t>
      </w:r>
    </w:p>
    <w:p w14:paraId="0E21049E" w14:textId="77777777" w:rsidR="00164A75" w:rsidRDefault="00164A75" w:rsidP="00CC6B3F">
      <w:pPr>
        <w:pStyle w:val="Heading5"/>
      </w:pPr>
      <w:r w:rsidRPr="00AA53F4">
        <w:t>Efficacy</w:t>
      </w:r>
    </w:p>
    <w:p w14:paraId="23BAC9A3" w14:textId="580D4770" w:rsidR="00164A75" w:rsidRDefault="00164A75" w:rsidP="00164A75">
      <w:r w:rsidRPr="00506817">
        <w:t>Study CA209274</w:t>
      </w:r>
      <w:r w:rsidR="00506817" w:rsidRPr="00CC6B3F">
        <w:t xml:space="preserve"> </w:t>
      </w:r>
      <w:r w:rsidR="000640F6" w:rsidRPr="00CC6B3F">
        <w:t>(</w:t>
      </w:r>
      <w:r w:rsidR="000640F6">
        <w:t xml:space="preserve">the </w:t>
      </w:r>
      <w:proofErr w:type="spellStart"/>
      <w:r w:rsidR="000640F6">
        <w:t>CheckMate</w:t>
      </w:r>
      <w:proofErr w:type="spellEnd"/>
      <w:r w:rsidR="000640F6">
        <w:t xml:space="preserve"> 274 trial), </w:t>
      </w:r>
      <w:r>
        <w:t xml:space="preserve">was a </w:t>
      </w:r>
      <w:r w:rsidRPr="00227983">
        <w:t xml:space="preserve">Phase </w:t>
      </w:r>
      <w:r w:rsidR="00506817">
        <w:t>III</w:t>
      </w:r>
      <w:r w:rsidRPr="00227983">
        <w:t>, randomised, double</w:t>
      </w:r>
      <w:r>
        <w:t>-</w:t>
      </w:r>
      <w:r w:rsidRPr="00227983">
        <w:t>blind, placebo</w:t>
      </w:r>
      <w:r>
        <w:t>-</w:t>
      </w:r>
      <w:r w:rsidRPr="00227983">
        <w:t xml:space="preserve">controlled study </w:t>
      </w:r>
      <w:r>
        <w:t xml:space="preserve">of adjuvant nivolumab in patients who were within 120 days of radical resection of urothelial carcinoma of the bladder or upper urinary tract (renal pelvis or ureter) at high risk of recurrence. This study was </w:t>
      </w:r>
      <w:r w:rsidRPr="00227983">
        <w:t>conducted in 170 sites in 30 countries including Australia.</w:t>
      </w:r>
      <w:r>
        <w:t xml:space="preserve"> It commenced in March 2016 and the submission contained the primary </w:t>
      </w:r>
      <w:r w:rsidR="00371038">
        <w:t>c</w:t>
      </w:r>
      <w:r w:rsidR="00506817">
        <w:t xml:space="preserve">linical </w:t>
      </w:r>
      <w:r w:rsidR="00371038">
        <w:t>s</w:t>
      </w:r>
      <w:r w:rsidR="00506817">
        <w:t xml:space="preserve">tudy </w:t>
      </w:r>
      <w:r w:rsidR="00371038">
        <w:t>r</w:t>
      </w:r>
      <w:r w:rsidR="00506817">
        <w:t>eport</w:t>
      </w:r>
      <w:r>
        <w:t>. The study is ongoing.</w:t>
      </w:r>
    </w:p>
    <w:p w14:paraId="4FD63A72" w14:textId="77777777" w:rsidR="00164A75" w:rsidRDefault="00164A75" w:rsidP="00CC6B3F">
      <w:pPr>
        <w:pStyle w:val="Heading6"/>
      </w:pPr>
      <w:r>
        <w:t>Design</w:t>
      </w:r>
    </w:p>
    <w:p w14:paraId="688D0526" w14:textId="3D8A7591" w:rsidR="00164A75" w:rsidRDefault="00164A75" w:rsidP="00164A75">
      <w:r>
        <w:t>The co-primary objectives were t</w:t>
      </w:r>
      <w:r w:rsidRPr="00252DFF">
        <w:t xml:space="preserve">o compare the </w:t>
      </w:r>
      <w:r w:rsidR="00506817">
        <w:t>disease-free</w:t>
      </w:r>
      <w:r>
        <w:t xml:space="preserve"> </w:t>
      </w:r>
      <w:r w:rsidR="00506817">
        <w:t>s</w:t>
      </w:r>
      <w:r>
        <w:t>urvival (</w:t>
      </w:r>
      <w:r w:rsidRPr="00252DFF">
        <w:t>DFS</w:t>
      </w:r>
      <w:r>
        <w:t>)</w:t>
      </w:r>
      <w:r w:rsidRPr="00252DFF">
        <w:t xml:space="preserve"> for nivolumab </w:t>
      </w:r>
      <w:r w:rsidR="00506817">
        <w:t>versus</w:t>
      </w:r>
      <w:r w:rsidRPr="00252DFF">
        <w:t xml:space="preserve"> placebo in </w:t>
      </w:r>
      <w:r>
        <w:t>patients</w:t>
      </w:r>
      <w:r w:rsidRPr="00252DFF">
        <w:t xml:space="preserve"> with tumours expressing PD-L1 (≥</w:t>
      </w:r>
      <w:r w:rsidR="00506817">
        <w:t xml:space="preserve"> </w:t>
      </w:r>
      <w:r w:rsidRPr="00252DFF">
        <w:t xml:space="preserve">1%) membranous staining in tumour cells) and all randomised </w:t>
      </w:r>
      <w:r>
        <w:t>patients</w:t>
      </w:r>
      <w:r w:rsidRPr="00252DFF">
        <w:t>.</w:t>
      </w:r>
    </w:p>
    <w:p w14:paraId="050B6590" w14:textId="77777777" w:rsidR="00164A75" w:rsidRDefault="00164A75" w:rsidP="00164A75">
      <w:r>
        <w:lastRenderedPageBreak/>
        <w:t>Secondary objectives were:</w:t>
      </w:r>
    </w:p>
    <w:p w14:paraId="2144083A" w14:textId="107A81D6" w:rsidR="00164A75" w:rsidRDefault="00164A75" w:rsidP="00EE14BE">
      <w:pPr>
        <w:pStyle w:val="ListBullet"/>
      </w:pPr>
      <w:r>
        <w:t xml:space="preserve">To compare the </w:t>
      </w:r>
      <w:r w:rsidR="00506817">
        <w:t>o</w:t>
      </w:r>
      <w:r>
        <w:t xml:space="preserve">verall </w:t>
      </w:r>
      <w:r w:rsidR="00506817">
        <w:t>s</w:t>
      </w:r>
      <w:r>
        <w:t>urvival for nivolumab versus placebo in patients with tumours expressing PD-L1 (≥</w:t>
      </w:r>
      <w:r w:rsidR="00506817">
        <w:t xml:space="preserve"> </w:t>
      </w:r>
      <w:r>
        <w:t>1% membranous staining in tumour cells) and all-randomised patients</w:t>
      </w:r>
      <w:r w:rsidR="00506817">
        <w:t>.</w:t>
      </w:r>
    </w:p>
    <w:p w14:paraId="49FC546A" w14:textId="6A367AD2" w:rsidR="00164A75" w:rsidRDefault="00164A75" w:rsidP="00EE14BE">
      <w:pPr>
        <w:pStyle w:val="ListBullet"/>
      </w:pPr>
      <w:r>
        <w:t xml:space="preserve">To evaluate </w:t>
      </w:r>
      <w:r w:rsidR="00506817">
        <w:t>n</w:t>
      </w:r>
      <w:r>
        <w:t>on-</w:t>
      </w:r>
      <w:r w:rsidR="00506817">
        <w:t>u</w:t>
      </w:r>
      <w:r>
        <w:t xml:space="preserve">rothelial </w:t>
      </w:r>
      <w:r w:rsidR="00506817">
        <w:t>t</w:t>
      </w:r>
      <w:r>
        <w:t xml:space="preserve">ract </w:t>
      </w:r>
      <w:r w:rsidR="00506817">
        <w:t>r</w:t>
      </w:r>
      <w:r>
        <w:t xml:space="preserve">ecurrence </w:t>
      </w:r>
      <w:r w:rsidR="00506817">
        <w:t>f</w:t>
      </w:r>
      <w:r>
        <w:t xml:space="preserve">ree </w:t>
      </w:r>
      <w:r w:rsidR="00506817">
        <w:t>s</w:t>
      </w:r>
      <w:r>
        <w:t>urvival in each randomised treatment arm (nivolumab versus placebo) in patients all-randomised patients with tumours expressing PD-L1 (≥</w:t>
      </w:r>
      <w:r w:rsidR="00506817">
        <w:t xml:space="preserve"> </w:t>
      </w:r>
      <w:r>
        <w:t>1% membranous staining in tumour cells) and all-randomised patients</w:t>
      </w:r>
      <w:r w:rsidR="00506817">
        <w:t>.</w:t>
      </w:r>
    </w:p>
    <w:p w14:paraId="703F3AF3" w14:textId="6630BE2F" w:rsidR="00164A75" w:rsidRDefault="00164A75" w:rsidP="00EE14BE">
      <w:pPr>
        <w:pStyle w:val="ListBullet"/>
      </w:pPr>
      <w:r>
        <w:t xml:space="preserve">To evaluate the </w:t>
      </w:r>
      <w:r w:rsidR="000640F6">
        <w:t>d</w:t>
      </w:r>
      <w:r>
        <w:t>isease</w:t>
      </w:r>
      <w:r w:rsidR="000640F6">
        <w:t>-s</w:t>
      </w:r>
      <w:r>
        <w:t xml:space="preserve">pecific </w:t>
      </w:r>
      <w:r w:rsidR="000640F6">
        <w:t>s</w:t>
      </w:r>
      <w:r>
        <w:t>urvival (DSS) for nivolumab and placebo in patients with tumours expressing PD-L1 (≥ 1% membranous staining in tumour cells) and all randomised patients</w:t>
      </w:r>
      <w:r w:rsidR="00506817">
        <w:t>.</w:t>
      </w:r>
    </w:p>
    <w:p w14:paraId="61B16A8D" w14:textId="7C71CBC4" w:rsidR="00EE14BE" w:rsidRDefault="00EE14BE" w:rsidP="00EE14BE">
      <w:r w:rsidRPr="00AE1869">
        <w:t xml:space="preserve">Patients </w:t>
      </w:r>
      <w:r>
        <w:t>had undergone radical resection of muscle invasive urothelial carcinoma (MIUC) originating in the bladder or upper urinary tract (renal pelvis or ureter) and are at high risk of recurrence</w:t>
      </w:r>
      <w:r w:rsidR="00506817">
        <w:t>. They</w:t>
      </w:r>
      <w:r>
        <w:t xml:space="preserve"> </w:t>
      </w:r>
      <w:r w:rsidRPr="00AE1869">
        <w:t xml:space="preserve">were randomised 1:1 to nivolumab 240 mg or placebo by intravenous infusion </w:t>
      </w:r>
      <w:r w:rsidR="00506817">
        <w:t>once every two weeks</w:t>
      </w:r>
      <w:r>
        <w:t>, stratified by the following factors:</w:t>
      </w:r>
    </w:p>
    <w:p w14:paraId="6E518E38" w14:textId="76FD07E8" w:rsidR="00EE14BE" w:rsidRDefault="00EE14BE" w:rsidP="00EE14BE">
      <w:pPr>
        <w:pStyle w:val="ListBullet"/>
      </w:pPr>
      <w:r>
        <w:t xml:space="preserve">PD-L1 expression level (≥ 1% </w:t>
      </w:r>
      <w:r w:rsidR="00506817">
        <w:t>versus</w:t>
      </w:r>
      <w:r>
        <w:t xml:space="preserve"> &lt; 1%</w:t>
      </w:r>
      <w:r w:rsidR="000640F6">
        <w:t xml:space="preserve">, or </w:t>
      </w:r>
      <w:r>
        <w:t>indeterminate)</w:t>
      </w:r>
      <w:r w:rsidR="00547F10">
        <w:t>.</w:t>
      </w:r>
    </w:p>
    <w:p w14:paraId="49C9E2DE" w14:textId="06DFD45E" w:rsidR="00EE14BE" w:rsidRDefault="00EE14BE" w:rsidP="00EE14BE">
      <w:pPr>
        <w:pStyle w:val="ListBullet"/>
      </w:pPr>
      <w:r>
        <w:t xml:space="preserve">Receipt of neo-adjuvant cisplatin based chemotherapy for </w:t>
      </w:r>
      <w:r w:rsidR="00506817" w:rsidRPr="00506817">
        <w:t>invasive urothelial carcinoma</w:t>
      </w:r>
      <w:r>
        <w:t xml:space="preserve"> (</w:t>
      </w:r>
      <w:r w:rsidR="000640F6">
        <w:t>y</w:t>
      </w:r>
      <w:r>
        <w:t>es</w:t>
      </w:r>
      <w:r w:rsidR="000640F6">
        <w:t> versus n</w:t>
      </w:r>
      <w:r>
        <w:t>o)</w:t>
      </w:r>
      <w:r w:rsidR="00547F10">
        <w:t>.</w:t>
      </w:r>
    </w:p>
    <w:p w14:paraId="61114779" w14:textId="4CF4BCA2" w:rsidR="00EE14BE" w:rsidRPr="00547F10" w:rsidRDefault="00EE14BE" w:rsidP="00EE14BE">
      <w:pPr>
        <w:pStyle w:val="ListBullet"/>
      </w:pPr>
      <w:r w:rsidRPr="00547F10">
        <w:t>Pathologic status of disease in lymph nodes (</w:t>
      </w:r>
      <w:r w:rsidR="00EE0A95">
        <w:t>node positive (N+)</w:t>
      </w:r>
      <w:r w:rsidRPr="00547F10">
        <w:t xml:space="preserve"> </w:t>
      </w:r>
      <w:r w:rsidR="00506817" w:rsidRPr="00547F10">
        <w:t>versus</w:t>
      </w:r>
      <w:r w:rsidRPr="00547F10">
        <w:t xml:space="preserve"> N0</w:t>
      </w:r>
      <w:r w:rsidR="00EE0A95">
        <w:t xml:space="preserve"> or NX</w:t>
      </w:r>
      <w:r w:rsidRPr="00547F10">
        <w:t xml:space="preserve"> with </w:t>
      </w:r>
      <w:r w:rsidR="00371038">
        <w:t>less than</w:t>
      </w:r>
      <w:r w:rsidRPr="00547F10">
        <w:t xml:space="preserve"> 10 nodes removed </w:t>
      </w:r>
      <w:r w:rsidR="00506817" w:rsidRPr="00547F10">
        <w:t>versus</w:t>
      </w:r>
      <w:r w:rsidRPr="00547F10">
        <w:t xml:space="preserve"> N0 with 10 </w:t>
      </w:r>
      <w:r w:rsidR="00371038">
        <w:t xml:space="preserve">or more </w:t>
      </w:r>
      <w:r w:rsidRPr="00547F10">
        <w:t>nodes removed)</w:t>
      </w:r>
      <w:r w:rsidR="00547F10" w:rsidRPr="00547F10">
        <w:t>.</w:t>
      </w:r>
      <w:bookmarkStart w:id="48" w:name="_Ref131068103"/>
      <w:r w:rsidR="00371038">
        <w:rPr>
          <w:rStyle w:val="FootnoteReference"/>
        </w:rPr>
        <w:footnoteReference w:id="15"/>
      </w:r>
      <w:bookmarkEnd w:id="48"/>
    </w:p>
    <w:p w14:paraId="7EE2C073" w14:textId="10BFA2B0" w:rsidR="00EE14BE" w:rsidRDefault="00EE14BE" w:rsidP="00EE14BE">
      <w:bookmarkStart w:id="49" w:name="_Hlk98931353"/>
      <w:r w:rsidRPr="00547F10">
        <w:t xml:space="preserve">High risk of recurrence was defined as either 1) ypT2-ypT4a or </w:t>
      </w:r>
      <w:proofErr w:type="spellStart"/>
      <w:r w:rsidRPr="00547F10">
        <w:t>ypN</w:t>
      </w:r>
      <w:proofErr w:type="spellEnd"/>
      <w:r w:rsidRPr="00547F10">
        <w:t>+</w:t>
      </w:r>
      <w:r w:rsidR="00DB75B9">
        <w:t>;</w:t>
      </w:r>
      <w:bookmarkStart w:id="50" w:name="_Ref136516390"/>
      <w:r w:rsidR="00DB75B9">
        <w:rPr>
          <w:rStyle w:val="FootnoteReference"/>
        </w:rPr>
        <w:footnoteReference w:id="16"/>
      </w:r>
      <w:bookmarkEnd w:id="50"/>
      <w:r w:rsidRPr="00547F10">
        <w:t xml:space="preserve"> for patients who received neoadjuvant cisplatin</w:t>
      </w:r>
      <w:r w:rsidR="003441D8">
        <w:t>;</w:t>
      </w:r>
      <w:r w:rsidRPr="00547F10">
        <w:t xml:space="preserve"> or 2) pT3-pT4a or </w:t>
      </w:r>
      <w:proofErr w:type="spellStart"/>
      <w:r w:rsidRPr="00547F10">
        <w:t>pN</w:t>
      </w:r>
      <w:proofErr w:type="spellEnd"/>
      <w:r w:rsidRPr="00547F10">
        <w:t>+</w:t>
      </w:r>
      <w:r w:rsidR="003441D8">
        <w:t>;</w:t>
      </w:r>
      <w:bookmarkStart w:id="51" w:name="_Ref136516393"/>
      <w:r w:rsidR="003441D8">
        <w:rPr>
          <w:rStyle w:val="FootnoteReference"/>
        </w:rPr>
        <w:footnoteReference w:id="17"/>
      </w:r>
      <w:bookmarkEnd w:id="51"/>
      <w:r w:rsidRPr="00547F10">
        <w:t xml:space="preserve"> for patients who did not receive neoadjuvant cisplatin and who also either were ineligible for or refused adjuvant cisplatin. </w:t>
      </w:r>
      <w:bookmarkEnd w:id="49"/>
      <w:r w:rsidRPr="00547F10">
        <w:t>Patients were stratified by pathologic nodal status (</w:t>
      </w:r>
      <w:r w:rsidR="00EE0A95">
        <w:t>node positive (</w:t>
      </w:r>
      <w:r w:rsidRPr="00547F10">
        <w:t>N+</w:t>
      </w:r>
      <w:r w:rsidR="00EE0A95">
        <w:t>)</w:t>
      </w:r>
      <w:r w:rsidRPr="00547F10">
        <w:t xml:space="preserve"> </w:t>
      </w:r>
      <w:r w:rsidR="00506817" w:rsidRPr="00547F10">
        <w:t>versus</w:t>
      </w:r>
      <w:r w:rsidRPr="00547F10">
        <w:t xml:space="preserve"> N0</w:t>
      </w:r>
      <w:r w:rsidR="00EE0A95">
        <w:t xml:space="preserve"> or NX</w:t>
      </w:r>
      <w:r w:rsidRPr="00547F10">
        <w:t xml:space="preserve"> with </w:t>
      </w:r>
      <w:r w:rsidR="00371038">
        <w:t>less than</w:t>
      </w:r>
      <w:r w:rsidR="00547F10" w:rsidRPr="00547F10">
        <w:t xml:space="preserve"> </w:t>
      </w:r>
      <w:r w:rsidRPr="00547F10">
        <w:t xml:space="preserve">10 nodes removed </w:t>
      </w:r>
      <w:r w:rsidR="00506817" w:rsidRPr="00547F10">
        <w:t>versus</w:t>
      </w:r>
      <w:r w:rsidRPr="00547F10">
        <w:t xml:space="preserve"> N0 with</w:t>
      </w:r>
      <w:r w:rsidR="00547F10" w:rsidRPr="00547F10">
        <w:t xml:space="preserve"> </w:t>
      </w:r>
      <w:r w:rsidR="00371038">
        <w:t>10 or more</w:t>
      </w:r>
      <w:r w:rsidRPr="00547F10">
        <w:t xml:space="preserve"> nodes removed), tumour cells expressing PD-L1 (≥</w:t>
      </w:r>
      <w:r w:rsidR="00AF25E3" w:rsidRPr="00547F10">
        <w:t xml:space="preserve"> </w:t>
      </w:r>
      <w:r w:rsidRPr="00547F10">
        <w:t xml:space="preserve">1% </w:t>
      </w:r>
      <w:r w:rsidR="00506817" w:rsidRPr="00547F10">
        <w:t>versus</w:t>
      </w:r>
      <w:r w:rsidRPr="00547F10">
        <w:t xml:space="preserve"> &lt;</w:t>
      </w:r>
      <w:r w:rsidR="00AF25E3" w:rsidRPr="00547F10">
        <w:t xml:space="preserve"> </w:t>
      </w:r>
      <w:r w:rsidRPr="00547F10">
        <w:t>1%</w:t>
      </w:r>
      <w:r w:rsidR="00DB75B9">
        <w:t xml:space="preserve"> or </w:t>
      </w:r>
      <w:r w:rsidRPr="00547F10">
        <w:t xml:space="preserve">indeterminate as determined by the central lab using the PD-L1 IHC 28-8 </w:t>
      </w:r>
      <w:proofErr w:type="spellStart"/>
      <w:r w:rsidRPr="00547F10">
        <w:t>pharmDx</w:t>
      </w:r>
      <w:proofErr w:type="spellEnd"/>
      <w:r w:rsidRPr="00547F10">
        <w:t xml:space="preserve"> assay), and use of neoadjuvant cisplatin (yes </w:t>
      </w:r>
      <w:r w:rsidR="00506817" w:rsidRPr="00547F10">
        <w:t>versus</w:t>
      </w:r>
      <w:r w:rsidRPr="00547F10">
        <w:t xml:space="preserve"> no).</w:t>
      </w:r>
    </w:p>
    <w:p w14:paraId="5BFE044C" w14:textId="2F3592C3" w:rsidR="00EE14BE" w:rsidRDefault="00EE14BE" w:rsidP="00EE14BE">
      <w:r>
        <w:lastRenderedPageBreak/>
        <w:t>Treatment was to continue</w:t>
      </w:r>
      <w:r w:rsidRPr="006E1285">
        <w:t xml:space="preserve"> until recurrence or until unacceptable toxicity for a maximum treatment duration of </w:t>
      </w:r>
      <w:r w:rsidR="00AF25E3">
        <w:t>one</w:t>
      </w:r>
      <w:r w:rsidRPr="006E1285">
        <w:t xml:space="preserve"> year.</w:t>
      </w:r>
    </w:p>
    <w:p w14:paraId="3AF7C694" w14:textId="32CCDF74" w:rsidR="00EE14BE" w:rsidRDefault="00EE14BE" w:rsidP="00EE14BE">
      <w:r w:rsidRPr="00252DFF">
        <w:t xml:space="preserve">The primary efficacy endpoint was </w:t>
      </w:r>
      <w:r w:rsidR="00AF25E3">
        <w:t>disease free survival</w:t>
      </w:r>
      <w:r>
        <w:t xml:space="preserve">, assessed by the </w:t>
      </w:r>
      <w:r w:rsidR="00AF25E3">
        <w:t>i</w:t>
      </w:r>
      <w:r>
        <w:t xml:space="preserve">nvestigator </w:t>
      </w:r>
      <w:r w:rsidRPr="00252DFF">
        <w:t xml:space="preserve">for nivolumab </w:t>
      </w:r>
      <w:r w:rsidR="00506817">
        <w:t>versus</w:t>
      </w:r>
      <w:r w:rsidRPr="00252DFF">
        <w:t xml:space="preserve"> placebo. This was evaluated in </w:t>
      </w:r>
      <w:r w:rsidR="00AF25E3">
        <w:t>two</w:t>
      </w:r>
      <w:r w:rsidRPr="00252DFF">
        <w:t xml:space="preserve"> populations: all-randomised </w:t>
      </w:r>
      <w:r>
        <w:t>patients</w:t>
      </w:r>
      <w:r w:rsidRPr="00252DFF">
        <w:t xml:space="preserve"> and all-randomised </w:t>
      </w:r>
      <w:r>
        <w:t>patients</w:t>
      </w:r>
      <w:r w:rsidRPr="00252DFF">
        <w:t xml:space="preserve"> with tumour cell PD-L1 expression level ≥</w:t>
      </w:r>
      <w:r w:rsidR="00AF25E3">
        <w:t xml:space="preserve"> </w:t>
      </w:r>
      <w:r w:rsidRPr="00252DFF">
        <w:t>1%.</w:t>
      </w:r>
      <w:r>
        <w:t xml:space="preserve"> </w:t>
      </w:r>
      <w:r w:rsidR="00AF25E3">
        <w:t>Disease free survival</w:t>
      </w:r>
      <w:r>
        <w:t xml:space="preserve"> was programmatically determined based on the disease recurrence date provided by the investigator and was defined as the time between the date of randomisation and the date of the first documented recurrence (local urothelial tract, local non-urothelial tract or distant), or death (from any cause), whichever occurred first. Disease recurrence of the local urothelial tract was defined as any high and intermediate risk of n</w:t>
      </w:r>
      <w:r w:rsidRPr="00EB5974">
        <w:t xml:space="preserve">on-muscle invasive bladder </w:t>
      </w:r>
      <w:r>
        <w:t>cancer</w:t>
      </w:r>
      <w:r w:rsidRPr="00EB5974">
        <w:t xml:space="preserve"> </w:t>
      </w:r>
      <w:r>
        <w:t xml:space="preserve">(NMIBC) and any new invasive urothelial carcinoma in the lower or upper urothelial tract (defined as T2 or greater), including lesions thought to be a second primary urothelial carcinoma. </w:t>
      </w:r>
    </w:p>
    <w:p w14:paraId="4E89F5FB" w14:textId="0CF5A589" w:rsidR="00EE14BE" w:rsidRDefault="00EE14BE" w:rsidP="00EE14BE">
      <w:r>
        <w:t>D</w:t>
      </w:r>
      <w:r w:rsidR="00AF25E3">
        <w:t>isease free survival</w:t>
      </w:r>
      <w:r>
        <w:t xml:space="preserve"> was calculated using </w:t>
      </w:r>
      <w:r w:rsidR="00AF25E3">
        <w:t>two</w:t>
      </w:r>
      <w:r>
        <w:t xml:space="preserve"> definitions.  The primary definition of DFS accounted for subsequent anticancer therapy and new non-urothelial carcinoma primary cancer by censoring at the last evaluable disease assessment on or prior to the date of subsequent therapy/new non-urothelial carcinoma primary cancer and was used for this analysis.</w:t>
      </w:r>
    </w:p>
    <w:p w14:paraId="0CAB47B2" w14:textId="46DC366F" w:rsidR="00EE14BE" w:rsidRDefault="00EE14BE" w:rsidP="00EE14BE">
      <w:pPr>
        <w:pStyle w:val="ListBullet"/>
      </w:pPr>
      <w:r>
        <w:t>A subject with presence of disease at baseline was considered as having a DFS event on the randomisation date</w:t>
      </w:r>
      <w:r w:rsidR="00AF25E3">
        <w:t>.</w:t>
      </w:r>
    </w:p>
    <w:p w14:paraId="21EA2F90" w14:textId="09212CF9" w:rsidR="00EE14BE" w:rsidRDefault="00EE14BE" w:rsidP="00EE14BE">
      <w:pPr>
        <w:pStyle w:val="ListBullet"/>
      </w:pPr>
      <w:r>
        <w:t>A subject with no baseline disease assessment or no on-study disease assessment and no death was censored on the randomisation date</w:t>
      </w:r>
      <w:r w:rsidR="00AF25E3">
        <w:t>.</w:t>
      </w:r>
    </w:p>
    <w:p w14:paraId="302F6E1F" w14:textId="58C70E78" w:rsidR="00EE14BE" w:rsidRDefault="00EE14BE" w:rsidP="00EE14BE">
      <w:pPr>
        <w:pStyle w:val="ListBullet"/>
      </w:pPr>
      <w:r>
        <w:t>A subject who died without reported recurrence and no new anticancer therapy started nor new non-urothelial carcinoma primary cancer was considered to have disease recurrence on the date of death</w:t>
      </w:r>
      <w:r w:rsidR="00AF25E3">
        <w:t>.</w:t>
      </w:r>
    </w:p>
    <w:p w14:paraId="26A067B1" w14:textId="6782EC68" w:rsidR="00EE14BE" w:rsidRDefault="00EE14BE" w:rsidP="00EE14BE">
      <w:pPr>
        <w:pStyle w:val="ListBullet"/>
      </w:pPr>
      <w:r>
        <w:t>For patients who remained alive and whose disease had not recurred, and no new anticancer therapy started nor new non-urothelial carcinoma primary cancer, DFS was censored on the date of last evaluable disease assessment</w:t>
      </w:r>
      <w:r w:rsidR="00AF25E3">
        <w:t>.</w:t>
      </w:r>
    </w:p>
    <w:p w14:paraId="72B6AF44" w14:textId="24B43151" w:rsidR="00EE14BE" w:rsidRDefault="00EE14BE" w:rsidP="00EE14BE">
      <w:pPr>
        <w:pStyle w:val="ListBullet"/>
      </w:pPr>
      <w:r>
        <w:t>For patients who received new anticancer therapy without recurrence reported prior to or on the same day, DFS was censored at the date of last evaluable disease assessment prior to or on the date of initiation of subsequent therapy</w:t>
      </w:r>
      <w:r w:rsidR="00AF25E3">
        <w:t>.</w:t>
      </w:r>
    </w:p>
    <w:p w14:paraId="656EA5DB" w14:textId="13EBB781" w:rsidR="00EE14BE" w:rsidRDefault="00EE14BE" w:rsidP="00EE14BE">
      <w:pPr>
        <w:pStyle w:val="ListBullet"/>
      </w:pPr>
      <w:r>
        <w:t>For patients who had new non-urothelial carcinoma primary cancer without urothelial carcinoma recurrence reported prior to or on the same day, DFS was censored on the day of last evaluable disease assessment prior to or on the same date of diagnosis of new non-urothelial carcinoma primary cancer.</w:t>
      </w:r>
    </w:p>
    <w:p w14:paraId="32E6F3F4" w14:textId="77777777" w:rsidR="00EE14BE" w:rsidRDefault="00EE14BE" w:rsidP="00EE14BE">
      <w:r>
        <w:t>The secondary definition of DFS accounted for disease assessments occurring on or after initiation of subsequent anticancer therapy. The censoring scheme was the same as for the primary DFS definition except that new anticancer therapy censoring was ignored in this sensitivity analysis. The secondary definition of DFS accounted for new non-urothelial carcinoma primary cancer by censoring at the last evaluable disease assessment on or prior to the date of new non-urothelial carcinoma primary cancer.</w:t>
      </w:r>
    </w:p>
    <w:p w14:paraId="6129ACFB" w14:textId="22D0F0CA" w:rsidR="00EE14BE" w:rsidRDefault="00EE14BE" w:rsidP="00EE14BE">
      <w:r w:rsidRPr="009968C4">
        <w:t>The US FDA requested a blinded independent central review (BICR) for a random subset of 50% of all randomised patients. This BICR was set up retrospectively with an imaging vendor and the US FDA provided the 50% random subset. The BICR-assessed DFS used a last-patient-last-visit of 17</w:t>
      </w:r>
      <w:r w:rsidR="00AF25E3">
        <w:t xml:space="preserve"> </w:t>
      </w:r>
      <w:r w:rsidRPr="009968C4">
        <w:t>July</w:t>
      </w:r>
      <w:r w:rsidR="00AF25E3">
        <w:t xml:space="preserve"> </w:t>
      </w:r>
      <w:r w:rsidRPr="009968C4">
        <w:t>2020, and only scans and procedures that were in the database on that date were included in the analysis. The database lock occurred on 11</w:t>
      </w:r>
      <w:r w:rsidR="00AF25E3">
        <w:t> </w:t>
      </w:r>
      <w:r w:rsidRPr="009968C4">
        <w:t>Jun</w:t>
      </w:r>
      <w:r w:rsidR="00AF25E3">
        <w:t>e </w:t>
      </w:r>
      <w:r w:rsidRPr="009968C4">
        <w:t>2021.</w:t>
      </w:r>
    </w:p>
    <w:p w14:paraId="18E01936" w14:textId="77777777" w:rsidR="00EE14BE" w:rsidRDefault="00EE14BE" w:rsidP="00CC6B3F">
      <w:pPr>
        <w:pStyle w:val="Heading6"/>
      </w:pPr>
      <w:r>
        <w:lastRenderedPageBreak/>
        <w:t>Results</w:t>
      </w:r>
    </w:p>
    <w:p w14:paraId="348DC83D" w14:textId="44B2275C" w:rsidR="00DB75B9" w:rsidRDefault="00EE14BE" w:rsidP="00EE14BE">
      <w:r>
        <w:t>A total of 709 patients were randomised and 699 were treated, of these 282 (40.3%) had tumours with PD-L1 ≥</w:t>
      </w:r>
      <w:r w:rsidR="00AF25E3">
        <w:t xml:space="preserve"> </w:t>
      </w:r>
      <w:r>
        <w:t xml:space="preserve">1%. </w:t>
      </w:r>
      <w:r w:rsidRPr="005703D1">
        <w:t xml:space="preserve">The median age was 67.0 years (range: 30 </w:t>
      </w:r>
      <w:r w:rsidR="00DB75B9">
        <w:t>to</w:t>
      </w:r>
      <w:r w:rsidRPr="005703D1">
        <w:t xml:space="preserve"> 92 years)</w:t>
      </w:r>
      <w:r>
        <w:t>,</w:t>
      </w:r>
      <w:r w:rsidRPr="005703D1">
        <w:t xml:space="preserve"> </w:t>
      </w:r>
      <w:r>
        <w:t>patients</w:t>
      </w:r>
      <w:r w:rsidRPr="005703D1">
        <w:t xml:space="preserve"> had a baseline </w:t>
      </w:r>
      <w:r w:rsidR="00AF25E3" w:rsidRPr="00AF25E3">
        <w:t>Eastern Cooperative Oncology Group</w:t>
      </w:r>
      <w:r w:rsidR="00AF25E3" w:rsidRPr="005703D1">
        <w:t xml:space="preserve"> </w:t>
      </w:r>
      <w:r w:rsidR="00AF25E3">
        <w:t>(</w:t>
      </w:r>
      <w:r w:rsidRPr="005703D1">
        <w:t>ECOG</w:t>
      </w:r>
      <w:r w:rsidR="00AF25E3">
        <w:t>)</w:t>
      </w:r>
      <w:r w:rsidRPr="005703D1">
        <w:t xml:space="preserve"> P</w:t>
      </w:r>
      <w:r w:rsidR="00B13169">
        <w:t>erformance Status</w:t>
      </w:r>
      <w:r w:rsidRPr="005703D1">
        <w:t xml:space="preserve"> of 0 (62.8%), 1</w:t>
      </w:r>
      <w:r w:rsidR="00B13169">
        <w:t> </w:t>
      </w:r>
      <w:r w:rsidRPr="005703D1">
        <w:t>(34.8%), or 2 (2.3%).</w:t>
      </w:r>
      <w:r w:rsidR="00AF25E3">
        <w:rPr>
          <w:rStyle w:val="FootnoteReference"/>
        </w:rPr>
        <w:footnoteReference w:id="18"/>
      </w:r>
      <w:r w:rsidRPr="005703D1">
        <w:t xml:space="preserve"> The majority of </w:t>
      </w:r>
      <w:r>
        <w:t>patients</w:t>
      </w:r>
      <w:r w:rsidRPr="005703D1">
        <w:t xml:space="preserve"> were White (75.6%) and </w:t>
      </w:r>
      <w:r w:rsidR="00AF25E3">
        <w:t>m</w:t>
      </w:r>
      <w:r w:rsidRPr="005703D1">
        <w:t xml:space="preserve">ale (76.2%). The predominant tumour type was urinary bladder (79.0% of </w:t>
      </w:r>
      <w:r>
        <w:t>patients</w:t>
      </w:r>
      <w:r w:rsidRPr="005703D1">
        <w:t>).</w:t>
      </w:r>
    </w:p>
    <w:p w14:paraId="1D82CB79" w14:textId="7884C7CB" w:rsidR="00DB75B9" w:rsidRDefault="00EE14BE" w:rsidP="00EE14BE">
      <w:r w:rsidRPr="005703D1">
        <w:t xml:space="preserve">At study entry, 17.9%, 57.8%, and 16.8% of all randomised </w:t>
      </w:r>
      <w:r>
        <w:t>patients</w:t>
      </w:r>
      <w:r w:rsidRPr="005703D1">
        <w:t xml:space="preserve"> had Stage pT2, Stage pT3, and Stage pT4A disease (tumour stage)</w:t>
      </w:r>
      <w:r w:rsidR="00B13169">
        <w:fldChar w:fldCharType="begin"/>
      </w:r>
      <w:r w:rsidR="00B13169">
        <w:instrText xml:space="preserve"> NOTEREF _Ref131068103 \f \h </w:instrText>
      </w:r>
      <w:r w:rsidR="00B13169">
        <w:fldChar w:fldCharType="separate"/>
      </w:r>
      <w:r w:rsidR="00DB75B9" w:rsidRPr="00CC6B3F">
        <w:rPr>
          <w:rStyle w:val="FootnoteReference"/>
        </w:rPr>
        <w:t>16</w:t>
      </w:r>
      <w:r w:rsidR="00B13169">
        <w:fldChar w:fldCharType="end"/>
      </w:r>
      <w:r w:rsidR="00DB75B9">
        <w:rPr>
          <w:vertAlign w:val="superscript"/>
        </w:rPr>
        <w:t>,</w:t>
      </w:r>
      <w:r w:rsidR="00DB75B9">
        <w:rPr>
          <w:vertAlign w:val="superscript"/>
        </w:rPr>
        <w:fldChar w:fldCharType="begin"/>
      </w:r>
      <w:r w:rsidR="00DB75B9">
        <w:rPr>
          <w:vertAlign w:val="superscript"/>
        </w:rPr>
        <w:instrText xml:space="preserve"> NOTEREF _Ref136516390 \h </w:instrText>
      </w:r>
      <w:r w:rsidR="00DB75B9">
        <w:rPr>
          <w:vertAlign w:val="superscript"/>
        </w:rPr>
      </w:r>
      <w:r w:rsidR="00DB75B9">
        <w:rPr>
          <w:vertAlign w:val="superscript"/>
        </w:rPr>
        <w:fldChar w:fldCharType="separate"/>
      </w:r>
      <w:r w:rsidR="00DB75B9">
        <w:rPr>
          <w:vertAlign w:val="superscript"/>
        </w:rPr>
        <w:t>17</w:t>
      </w:r>
      <w:r w:rsidR="00DB75B9">
        <w:rPr>
          <w:vertAlign w:val="superscript"/>
        </w:rPr>
        <w:fldChar w:fldCharType="end"/>
      </w:r>
      <w:r w:rsidR="00DB75B9">
        <w:rPr>
          <w:vertAlign w:val="superscript"/>
        </w:rPr>
        <w:t>,</w:t>
      </w:r>
      <w:r w:rsidR="00DB75B9">
        <w:rPr>
          <w:vertAlign w:val="superscript"/>
        </w:rPr>
        <w:fldChar w:fldCharType="begin"/>
      </w:r>
      <w:r w:rsidR="00DB75B9">
        <w:rPr>
          <w:vertAlign w:val="superscript"/>
        </w:rPr>
        <w:instrText xml:space="preserve"> NOTEREF _Ref136516393 \h </w:instrText>
      </w:r>
      <w:r w:rsidR="00DB75B9">
        <w:rPr>
          <w:vertAlign w:val="superscript"/>
        </w:rPr>
      </w:r>
      <w:r w:rsidR="00DB75B9">
        <w:rPr>
          <w:vertAlign w:val="superscript"/>
        </w:rPr>
        <w:fldChar w:fldCharType="separate"/>
      </w:r>
      <w:r w:rsidR="00DB75B9">
        <w:rPr>
          <w:vertAlign w:val="superscript"/>
        </w:rPr>
        <w:t>18</w:t>
      </w:r>
      <w:r w:rsidR="00DB75B9">
        <w:rPr>
          <w:vertAlign w:val="superscript"/>
        </w:rPr>
        <w:fldChar w:fldCharType="end"/>
      </w:r>
      <w:r w:rsidRPr="005703D1">
        <w:t xml:space="preserve"> at the time of resection, respectively and 59.1% and 39.5% of </w:t>
      </w:r>
      <w:r>
        <w:t>patients</w:t>
      </w:r>
      <w:r w:rsidRPr="005703D1">
        <w:t xml:space="preserve"> had tumour cell PD-L1 expression &lt;</w:t>
      </w:r>
      <w:r w:rsidR="00AF25E3">
        <w:t xml:space="preserve"> </w:t>
      </w:r>
      <w:r w:rsidRPr="005703D1">
        <w:t>1% and ≥</w:t>
      </w:r>
      <w:r w:rsidR="00AF25E3">
        <w:t xml:space="preserve"> </w:t>
      </w:r>
      <w:r w:rsidRPr="005703D1">
        <w:t xml:space="preserve">1%, respectively and 0.3% of the </w:t>
      </w:r>
      <w:r>
        <w:t>patients</w:t>
      </w:r>
      <w:r w:rsidRPr="005703D1">
        <w:t xml:space="preserve"> were indeterminate.</w:t>
      </w:r>
    </w:p>
    <w:p w14:paraId="2DCFDCE3" w14:textId="77777777" w:rsidR="00DB75B9" w:rsidRDefault="00DB75B9" w:rsidP="00EE14BE">
      <w:r>
        <w:t>Stratification factors based on information at Baseline were:</w:t>
      </w:r>
    </w:p>
    <w:p w14:paraId="0DA79D35" w14:textId="628BB1A7" w:rsidR="00DB75B9" w:rsidRDefault="00DB75B9" w:rsidP="00CC6B3F">
      <w:pPr>
        <w:pStyle w:val="ListBullet"/>
      </w:pPr>
      <w:r>
        <w:t>t</w:t>
      </w:r>
      <w:r w:rsidR="00EE14BE" w:rsidRPr="005703D1">
        <w:t xml:space="preserve">umour cell PD-L1 expression status at </w:t>
      </w:r>
      <w:r w:rsidR="00AF25E3">
        <w:t>B</w:t>
      </w:r>
      <w:r w:rsidR="00EE14BE" w:rsidRPr="005703D1">
        <w:t>aseline (≥</w:t>
      </w:r>
      <w:r w:rsidR="00AF25E3">
        <w:t xml:space="preserve"> </w:t>
      </w:r>
      <w:r w:rsidR="00EE14BE" w:rsidRPr="005703D1">
        <w:t xml:space="preserve">1% </w:t>
      </w:r>
      <w:r>
        <w:t>(</w:t>
      </w:r>
      <w:r w:rsidR="00EE14BE" w:rsidRPr="005703D1">
        <w:t xml:space="preserve">39.8% of </w:t>
      </w:r>
      <w:r w:rsidR="00EE14BE">
        <w:t>patients</w:t>
      </w:r>
      <w:r>
        <w:t>)</w:t>
      </w:r>
      <w:r w:rsidR="00EE14BE" w:rsidRPr="005703D1">
        <w:t xml:space="preserve"> </w:t>
      </w:r>
      <w:r w:rsidR="00506817">
        <w:t>versus</w:t>
      </w:r>
      <w:r w:rsidR="00EE14BE" w:rsidRPr="005703D1">
        <w:t xml:space="preserve"> &lt;1</w:t>
      </w:r>
      <w:r w:rsidR="00AF25E3">
        <w:t xml:space="preserve"> </w:t>
      </w:r>
      <w:r w:rsidR="00EE14BE" w:rsidRPr="005703D1">
        <w:t xml:space="preserve">% </w:t>
      </w:r>
      <w:r>
        <w:t>(</w:t>
      </w:r>
      <w:r w:rsidR="00EE14BE" w:rsidRPr="005703D1">
        <w:t xml:space="preserve">60.2% of </w:t>
      </w:r>
      <w:r w:rsidR="00EE14BE">
        <w:t>patients</w:t>
      </w:r>
      <w:r>
        <w:t>)</w:t>
      </w:r>
      <w:proofErr w:type="gramStart"/>
      <w:r w:rsidR="00EE14BE" w:rsidRPr="005703D1">
        <w:t>)</w:t>
      </w:r>
      <w:r>
        <w:t>;</w:t>
      </w:r>
      <w:proofErr w:type="gramEnd"/>
    </w:p>
    <w:p w14:paraId="2809F5EA" w14:textId="0AB7C877" w:rsidR="00DB75B9" w:rsidRDefault="00EE14BE" w:rsidP="00CC6B3F">
      <w:pPr>
        <w:pStyle w:val="ListBullet"/>
      </w:pPr>
      <w:r w:rsidRPr="005703D1">
        <w:t xml:space="preserve">receipt of neo-adjuvant cisplatin based chemotherapy for MIUC (Yes </w:t>
      </w:r>
      <w:r w:rsidR="00DB75B9">
        <w:t>(</w:t>
      </w:r>
      <w:r w:rsidRPr="005703D1">
        <w:t xml:space="preserve">42.9% of </w:t>
      </w:r>
      <w:r>
        <w:t>patients</w:t>
      </w:r>
      <w:r w:rsidR="00DB75B9">
        <w:t>)</w:t>
      </w:r>
      <w:r w:rsidRPr="005703D1">
        <w:t xml:space="preserve"> of </w:t>
      </w:r>
      <w:r>
        <w:t>patients</w:t>
      </w:r>
      <w:r w:rsidRPr="005703D1">
        <w:t xml:space="preserve">]/No </w:t>
      </w:r>
      <w:r w:rsidR="00DB75B9">
        <w:t>(</w:t>
      </w:r>
      <w:r w:rsidRPr="005703D1">
        <w:t xml:space="preserve">57.1% of </w:t>
      </w:r>
      <w:r>
        <w:t>patients</w:t>
      </w:r>
      <w:r w:rsidR="00DB75B9">
        <w:t>)</w:t>
      </w:r>
      <w:r w:rsidRPr="005703D1">
        <w:t>)</w:t>
      </w:r>
      <w:r w:rsidR="00DB75B9">
        <w:t xml:space="preserve">; </w:t>
      </w:r>
      <w:r w:rsidRPr="005703D1">
        <w:t>and</w:t>
      </w:r>
    </w:p>
    <w:p w14:paraId="6833FAEA" w14:textId="532D5089" w:rsidR="00EE14BE" w:rsidRDefault="00EE14BE" w:rsidP="00CC6B3F">
      <w:pPr>
        <w:pStyle w:val="ListBullet"/>
      </w:pPr>
      <w:r w:rsidRPr="005703D1">
        <w:t xml:space="preserve">pathologic status of disease in lymph nodes (N+ </w:t>
      </w:r>
      <w:r w:rsidR="00DB75B9">
        <w:t>(</w:t>
      </w:r>
      <w:r w:rsidRPr="005703D1">
        <w:t xml:space="preserve">42.5% of </w:t>
      </w:r>
      <w:r>
        <w:t>patients</w:t>
      </w:r>
      <w:r w:rsidR="00DB75B9">
        <w:t>)</w:t>
      </w:r>
      <w:r w:rsidRPr="005703D1">
        <w:t>, N0</w:t>
      </w:r>
      <w:r w:rsidR="00DB75B9">
        <w:t xml:space="preserve"> or NX</w:t>
      </w:r>
      <w:r w:rsidRPr="005703D1">
        <w:t xml:space="preserve"> with </w:t>
      </w:r>
      <w:r w:rsidR="00AF25E3">
        <w:t xml:space="preserve">less than </w:t>
      </w:r>
      <w:r w:rsidRPr="005703D1">
        <w:t xml:space="preserve">10 nodes removed </w:t>
      </w:r>
      <w:r w:rsidR="00DB75B9">
        <w:t>(</w:t>
      </w:r>
      <w:r w:rsidRPr="005703D1">
        <w:t xml:space="preserve">31.6% of </w:t>
      </w:r>
      <w:r>
        <w:t>patients</w:t>
      </w:r>
      <w:r w:rsidR="00DB75B9">
        <w:t>)</w:t>
      </w:r>
      <w:r w:rsidRPr="005703D1">
        <w:t xml:space="preserve">, N0 with 10 </w:t>
      </w:r>
      <w:r w:rsidR="00AF25E3">
        <w:t xml:space="preserve">or more </w:t>
      </w:r>
      <w:r w:rsidRPr="005703D1">
        <w:t xml:space="preserve">nodes removed </w:t>
      </w:r>
      <w:r w:rsidR="00DB75B9">
        <w:t>(</w:t>
      </w:r>
      <w:r w:rsidRPr="005703D1">
        <w:t xml:space="preserve">26.0% of </w:t>
      </w:r>
      <w:r>
        <w:t>patients</w:t>
      </w:r>
      <w:r w:rsidR="00DB75B9">
        <w:t>)</w:t>
      </w:r>
      <w:r w:rsidRPr="005703D1">
        <w:t>).</w:t>
      </w:r>
    </w:p>
    <w:p w14:paraId="2D2DDC18" w14:textId="0C7783E5" w:rsidR="00EE14BE" w:rsidRDefault="00EE14BE" w:rsidP="00EE14BE">
      <w:r>
        <w:t xml:space="preserve">The primary </w:t>
      </w:r>
      <w:r w:rsidR="00DB75B9" w:rsidRPr="00AF25E3">
        <w:t xml:space="preserve">clinical study report </w:t>
      </w:r>
      <w:r>
        <w:t xml:space="preserve">was </w:t>
      </w:r>
      <w:r w:rsidR="00DB75B9">
        <w:t xml:space="preserve">created </w:t>
      </w:r>
      <w:r>
        <w:t xml:space="preserve">when it was estimated that </w:t>
      </w:r>
      <w:r w:rsidR="00256907">
        <w:t xml:space="preserve">approximately </w:t>
      </w:r>
      <w:r>
        <w:t xml:space="preserve">85% of the planned DFS events would have occurred.  During the evaluation an additional analysis became available which provided approximately </w:t>
      </w:r>
      <w:r w:rsidR="00256907">
        <w:t>five</w:t>
      </w:r>
      <w:r>
        <w:t xml:space="preserve"> months of additional efficacy data.  </w:t>
      </w:r>
      <w:r w:rsidRPr="005A1422">
        <w:t>As of the 27</w:t>
      </w:r>
      <w:r w:rsidR="00AF25E3">
        <w:t xml:space="preserve"> </w:t>
      </w:r>
      <w:r w:rsidRPr="005A1422">
        <w:t>Aug</w:t>
      </w:r>
      <w:r w:rsidR="00AF25E3">
        <w:t xml:space="preserve">ust </w:t>
      </w:r>
      <w:r w:rsidRPr="005A1422">
        <w:t xml:space="preserve">2020 </w:t>
      </w:r>
      <w:r>
        <w:t>d</w:t>
      </w:r>
      <w:r w:rsidRPr="005A1422">
        <w:t>atabase lock,</w:t>
      </w:r>
      <w:r>
        <w:t xml:space="preserve"> (primary analysis)</w:t>
      </w:r>
      <w:r w:rsidRPr="005A1422">
        <w:t xml:space="preserve"> the median follow-up time was 20.90</w:t>
      </w:r>
      <w:r w:rsidR="00256907">
        <w:t> </w:t>
      </w:r>
      <w:r w:rsidRPr="005A1422">
        <w:t xml:space="preserve">months and 19.48 months for all randomised </w:t>
      </w:r>
      <w:r>
        <w:t>patients</w:t>
      </w:r>
      <w:r w:rsidRPr="005A1422">
        <w:t xml:space="preserve"> in the nivolumab and placebo arms, respectively. In all randomised </w:t>
      </w:r>
      <w:r>
        <w:t>patients</w:t>
      </w:r>
      <w:r w:rsidRPr="005A1422">
        <w:t xml:space="preserve"> with tumour cell PD-L1 expression ≥</w:t>
      </w:r>
      <w:r w:rsidR="00AF25E3">
        <w:t xml:space="preserve"> </w:t>
      </w:r>
      <w:r>
        <w:t>1</w:t>
      </w:r>
      <w:r w:rsidRPr="005A1422">
        <w:t>%, the median follow-up was 22.</w:t>
      </w:r>
      <w:r w:rsidR="00AF25E3">
        <w:t>11 </w:t>
      </w:r>
      <w:r w:rsidRPr="005A1422">
        <w:t>months for the nivolumab arm and 18.69 months for the placebo arm.</w:t>
      </w:r>
    </w:p>
    <w:p w14:paraId="53614C93" w14:textId="231AF5EC" w:rsidR="00EE14BE" w:rsidRDefault="00EE14BE" w:rsidP="00EE14BE">
      <w:r>
        <w:t>The primary efficacy results stratified by PD-L1 status are shown below and show superiority of nivolumab over placebo for DFS using either definition for all randomised patients and for patients with tumour PD-L1 expression ≥</w:t>
      </w:r>
      <w:r w:rsidR="00AF25E3">
        <w:t xml:space="preserve"> </w:t>
      </w:r>
      <w:r>
        <w:t>1%.</w:t>
      </w:r>
    </w:p>
    <w:p w14:paraId="4EF092FD" w14:textId="3632E38B" w:rsidR="00164A75" w:rsidRDefault="00AF25E3" w:rsidP="00AF25E3">
      <w:pPr>
        <w:pStyle w:val="TableTitle"/>
      </w:pPr>
      <w:r>
        <w:lastRenderedPageBreak/>
        <w:t xml:space="preserve">Table </w:t>
      </w:r>
      <w:fldSimple w:instr=" SEQ Table \* ARABIC ">
        <w:r w:rsidR="007054D4">
          <w:rPr>
            <w:noProof/>
          </w:rPr>
          <w:t>3</w:t>
        </w:r>
      </w:fldSimple>
      <w:r w:rsidR="00DB75B9">
        <w:rPr>
          <w:noProof/>
        </w:rPr>
        <w:t xml:space="preserve">: </w:t>
      </w:r>
      <w:r w:rsidR="00DB75B9">
        <w:t xml:space="preserve">Study CA209274 (the </w:t>
      </w:r>
      <w:proofErr w:type="spellStart"/>
      <w:r w:rsidR="00DB75B9">
        <w:t>CheckMate</w:t>
      </w:r>
      <w:proofErr w:type="spellEnd"/>
      <w:r w:rsidR="00DB75B9">
        <w:t xml:space="preserve"> 274 trial)</w:t>
      </w:r>
      <w:r>
        <w:t xml:space="preserve"> </w:t>
      </w:r>
      <w:r w:rsidR="00EE14BE" w:rsidRPr="00EE14BE">
        <w:t xml:space="preserve">Disease </w:t>
      </w:r>
      <w:r w:rsidR="00B13169">
        <w:t>f</w:t>
      </w:r>
      <w:r w:rsidR="00EE14BE" w:rsidRPr="00EE14BE">
        <w:t xml:space="preserve">ree </w:t>
      </w:r>
      <w:r w:rsidR="00B13169">
        <w:t>s</w:t>
      </w:r>
      <w:r w:rsidR="00EE14BE" w:rsidRPr="00EE14BE">
        <w:t xml:space="preserve">urvival </w:t>
      </w:r>
      <w:r w:rsidR="00B13169">
        <w:t>(a</w:t>
      </w:r>
      <w:r w:rsidR="00EE14BE" w:rsidRPr="00EE14BE">
        <w:t xml:space="preserve">ll </w:t>
      </w:r>
      <w:r w:rsidR="00B13169">
        <w:t>r</w:t>
      </w:r>
      <w:r w:rsidR="00EE14BE" w:rsidRPr="00EE14BE">
        <w:t xml:space="preserve">andomised and </w:t>
      </w:r>
      <w:r w:rsidR="00B13169">
        <w:t>a</w:t>
      </w:r>
      <w:r w:rsidR="00EE14BE" w:rsidRPr="00EE14BE">
        <w:t xml:space="preserve">ll </w:t>
      </w:r>
      <w:r w:rsidR="00B13169">
        <w:t>r</w:t>
      </w:r>
      <w:r w:rsidR="00EE14BE" w:rsidRPr="00EE14BE">
        <w:t>andomised PD-L1</w:t>
      </w:r>
      <w:r w:rsidR="00B13169">
        <w:t xml:space="preserve"> </w:t>
      </w:r>
      <w:r w:rsidR="00EE14BE" w:rsidRPr="00EE14BE">
        <w:t>≥</w:t>
      </w:r>
      <w:r w:rsidR="00B13169">
        <w:t xml:space="preserve"> </w:t>
      </w:r>
      <w:r w:rsidR="00EE14BE" w:rsidRPr="00EE14BE">
        <w:t>1%)</w:t>
      </w:r>
    </w:p>
    <w:p w14:paraId="100CD8A6" w14:textId="5E284852" w:rsidR="00EE14BE" w:rsidRDefault="00EE14BE" w:rsidP="005447BE">
      <w:r w:rsidRPr="00294421">
        <w:rPr>
          <w:noProof/>
          <w:lang w:val="en-GB" w:eastAsia="en-GB"/>
        </w:rPr>
        <w:drawing>
          <wp:inline distT="0" distB="0" distL="0" distR="0" wp14:anchorId="4D699FDF" wp14:editId="585BE1F8">
            <wp:extent cx="5730466" cy="4995512"/>
            <wp:effectExtent l="0" t="0" r="3810" b="0"/>
            <wp:docPr id="1" name="Picture 1" descr="This table shows disease free survival (all randomised and all randomised PD-L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table shows disease free survival (all randomised and all randomised PD-L1 ≥ 1%)"/>
                    <pic:cNvPicPr/>
                  </pic:nvPicPr>
                  <pic:blipFill>
                    <a:blip r:embed="rId26">
                      <a:extLst>
                        <a:ext uri="{BEBA8EAE-BF5A-486C-A8C5-ECC9F3942E4B}">
                          <a14:imgProps xmlns:a14="http://schemas.microsoft.com/office/drawing/2010/main">
                            <a14:imgLayer r:embed="rId27">
                              <a14:imgEffect>
                                <a14:saturation sat="0"/>
                              </a14:imgEffect>
                            </a14:imgLayer>
                          </a14:imgProps>
                        </a:ext>
                      </a:extLst>
                    </a:blip>
                    <a:stretch>
                      <a:fillRect/>
                    </a:stretch>
                  </pic:blipFill>
                  <pic:spPr>
                    <a:xfrm>
                      <a:off x="0" y="0"/>
                      <a:ext cx="5744903" cy="5008098"/>
                    </a:xfrm>
                    <a:prstGeom prst="rect">
                      <a:avLst/>
                    </a:prstGeom>
                  </pic:spPr>
                </pic:pic>
              </a:graphicData>
            </a:graphic>
          </wp:inline>
        </w:drawing>
      </w:r>
    </w:p>
    <w:p w14:paraId="35F9A503" w14:textId="7D2F2571" w:rsidR="00EE14BE" w:rsidRDefault="00EE14BE" w:rsidP="00EE14BE">
      <w:r>
        <w:t xml:space="preserve">Exploratory sensitivity analyses of DFS by various subgroups </w:t>
      </w:r>
      <w:r w:rsidR="00C2106A">
        <w:t>were conducted</w:t>
      </w:r>
      <w:r>
        <w:t>. Of note is the lack of any trend towards benefit of nivolumab for patients with tumours above the bladder (kidney pelvis and ureter). These patients comprised</w:t>
      </w:r>
      <w:r w:rsidR="00AF25E3">
        <w:t xml:space="preserve"> of approximately </w:t>
      </w:r>
      <w:r>
        <w:t>20% of the study population. There was a small trend towards DFS favouring placebo for these patients, though this analysis was exploratory and the differences wer</w:t>
      </w:r>
      <w:r w:rsidR="00AF25E3">
        <w:t>e</w:t>
      </w:r>
      <w:r>
        <w:t xml:space="preserve"> not statistically significant. Exploratory sensitivity analyses also identified the subgroup of patients with tumour PD-L1 expression &lt;</w:t>
      </w:r>
      <w:r w:rsidR="00AF25E3">
        <w:t xml:space="preserve"> </w:t>
      </w:r>
      <w:r>
        <w:t>1% as having a trend towards higher median DFS rate in the nivolumab treatment group (HR 0.82; 95%</w:t>
      </w:r>
      <w:r w:rsidR="00256907">
        <w:t xml:space="preserve"> </w:t>
      </w:r>
      <w:r>
        <w:t>CI 0.63 – 1.06), suggesting that nivolumab is effective as adjuvant therapy in this subgroup, though with less efficacy than in patients with tumour PD</w:t>
      </w:r>
      <w:r w:rsidR="00C2106A">
        <w:noBreakHyphen/>
      </w:r>
      <w:r>
        <w:t>L1 ≥</w:t>
      </w:r>
      <w:r w:rsidR="00C2106A">
        <w:t xml:space="preserve"> </w:t>
      </w:r>
      <w:r>
        <w:t>1%. This group comprised the majority of patients in the study.</w:t>
      </w:r>
      <w:r w:rsidR="00036D66">
        <w:t xml:space="preserve"> </w:t>
      </w:r>
    </w:p>
    <w:p w14:paraId="6D71CEB9" w14:textId="2AECCA23" w:rsidR="00B10515" w:rsidRDefault="00B10515" w:rsidP="00EE14BE">
      <w:r w:rsidRPr="00B10515">
        <w:t xml:space="preserve">At the time of the 1 February 2021 cut-off date overall survival data were not mature </w:t>
      </w:r>
      <w:r w:rsidR="00717AA0">
        <w:t>(</w:t>
      </w:r>
      <w:r w:rsidRPr="00B10515">
        <w:t>57.4% of the planned 404 overall survival events were observed for all randomised subjects and 84 (50.6%) of the planned 166 overall survival events were observed for all randomised subjects with tumour cell PD-L1 expression level ≥ 1%) and did not meet the pre-specified boundary for declaring the statistical significance.</w:t>
      </w:r>
    </w:p>
    <w:p w14:paraId="457B44E6" w14:textId="77777777" w:rsidR="00EE14BE" w:rsidRDefault="00EE14BE" w:rsidP="00C2106A">
      <w:pPr>
        <w:pStyle w:val="Heading5"/>
      </w:pPr>
      <w:r>
        <w:lastRenderedPageBreak/>
        <w:t>Additional requested analyses</w:t>
      </w:r>
    </w:p>
    <w:p w14:paraId="250EF5A9" w14:textId="35B7DBDF" w:rsidR="00EE14BE" w:rsidRDefault="00EE14BE" w:rsidP="00EE14BE">
      <w:r>
        <w:t>Due to concern that efficacy was predominantly accruing to patients with tumours expressing PD-L1 ≥</w:t>
      </w:r>
      <w:r w:rsidR="00C2106A">
        <w:t xml:space="preserve"> </w:t>
      </w:r>
      <w:r>
        <w:t>1% the exploratory subgroup analysis of patients with PD-L1 &lt;</w:t>
      </w:r>
      <w:r w:rsidR="00C2106A">
        <w:t xml:space="preserve"> </w:t>
      </w:r>
      <w:r>
        <w:t xml:space="preserve">1% was requested. The following was provided by the sponsor, with a longer duration of assessment than the primary analysis.   A benefit in DFS was seen in the PD-L1 &lt; 1% patient population with a HR of 0.80 (95% CI: 0.62, 1.03), and median DFS of 17.68 months (95% CI: 14.06, 22.37) for nivolumab </w:t>
      </w:r>
      <w:r w:rsidR="00506817">
        <w:t>versus</w:t>
      </w:r>
      <w:r>
        <w:t xml:space="preserve"> 11.07 months (95% CI: 8.31, 16.89) for placebo.</w:t>
      </w:r>
    </w:p>
    <w:p w14:paraId="1FFD3D29" w14:textId="3AFB5CB2" w:rsidR="00EE14BE" w:rsidRDefault="00C2106A" w:rsidP="00C2106A">
      <w:pPr>
        <w:pStyle w:val="TableTitle"/>
      </w:pPr>
      <w:r>
        <w:t xml:space="preserve">Table </w:t>
      </w:r>
      <w:fldSimple w:instr=" SEQ Table \* ARABIC ">
        <w:r w:rsidR="007054D4">
          <w:rPr>
            <w:noProof/>
          </w:rPr>
          <w:t>4</w:t>
        </w:r>
      </w:fldSimple>
      <w:r w:rsidR="00717AA0">
        <w:rPr>
          <w:noProof/>
        </w:rPr>
        <w:t xml:space="preserve">: </w:t>
      </w:r>
      <w:r w:rsidR="00717AA0">
        <w:t xml:space="preserve">Study CA209274 (the </w:t>
      </w:r>
      <w:proofErr w:type="spellStart"/>
      <w:r w:rsidR="00717AA0">
        <w:t>CheckMate</w:t>
      </w:r>
      <w:proofErr w:type="spellEnd"/>
      <w:r w:rsidR="00717AA0">
        <w:t xml:space="preserve"> 274 trial)</w:t>
      </w:r>
      <w:r w:rsidR="00EE14BE" w:rsidRPr="00EE14BE">
        <w:t xml:space="preserve"> Primary and </w:t>
      </w:r>
      <w:r w:rsidR="006D6821">
        <w:t>s</w:t>
      </w:r>
      <w:r w:rsidR="00EE14BE" w:rsidRPr="00EE14BE">
        <w:t xml:space="preserve">econdary </w:t>
      </w:r>
      <w:r w:rsidR="006D6821">
        <w:t>e</w:t>
      </w:r>
      <w:r w:rsidR="00EE14BE" w:rsidRPr="00EE14BE">
        <w:t xml:space="preserve">fficacy </w:t>
      </w:r>
      <w:r w:rsidR="006D6821">
        <w:t>e</w:t>
      </w:r>
      <w:r w:rsidR="00EE14BE" w:rsidRPr="00EE14BE">
        <w:t xml:space="preserve">ndpoints </w:t>
      </w:r>
      <w:r w:rsidR="006D6821">
        <w:t>for a</w:t>
      </w:r>
      <w:r w:rsidR="00EE14BE" w:rsidRPr="00EE14BE">
        <w:t>ll-</w:t>
      </w:r>
      <w:r w:rsidR="006D6821">
        <w:t>r</w:t>
      </w:r>
      <w:r w:rsidR="00EE14BE" w:rsidRPr="00EE14BE">
        <w:t xml:space="preserve">andomised </w:t>
      </w:r>
      <w:r w:rsidR="006D6821">
        <w:t>s</w:t>
      </w:r>
      <w:r w:rsidR="00EE14BE" w:rsidRPr="00EE14BE">
        <w:t xml:space="preserve">ubjects with </w:t>
      </w:r>
      <w:r w:rsidR="006D6821">
        <w:t>t</w:t>
      </w:r>
      <w:r w:rsidR="00EE14BE" w:rsidRPr="00EE14BE">
        <w:t xml:space="preserve">umour </w:t>
      </w:r>
      <w:r w:rsidR="006D6821">
        <w:t>c</w:t>
      </w:r>
      <w:r w:rsidR="00EE14BE" w:rsidRPr="00EE14BE">
        <w:t>ell PD</w:t>
      </w:r>
      <w:r w:rsidR="00717AA0">
        <w:t>-</w:t>
      </w:r>
      <w:r w:rsidR="00EE14BE" w:rsidRPr="00EE14BE">
        <w:t>L1 &lt;</w:t>
      </w:r>
      <w:r w:rsidR="006D6821">
        <w:t xml:space="preserve"> </w:t>
      </w:r>
      <w:r w:rsidR="00EE14BE" w:rsidRPr="00EE14BE">
        <w:t xml:space="preserve">1% </w:t>
      </w:r>
      <w:r w:rsidR="00717AA0">
        <w:t>(</w:t>
      </w:r>
      <w:r w:rsidR="00EE14BE" w:rsidRPr="00EE14BE">
        <w:t>from 19</w:t>
      </w:r>
      <w:r w:rsidR="006D6821">
        <w:t xml:space="preserve"> </w:t>
      </w:r>
      <w:r w:rsidR="00EE14BE" w:rsidRPr="00EE14BE">
        <w:t>May</w:t>
      </w:r>
      <w:r w:rsidR="00717AA0">
        <w:t xml:space="preserve"> </w:t>
      </w:r>
      <w:r w:rsidR="00EE14BE" w:rsidRPr="00EE14BE">
        <w:t xml:space="preserve">2021 </w:t>
      </w:r>
      <w:r w:rsidR="00B13169">
        <w:t>database lock</w:t>
      </w:r>
      <w:r w:rsidR="00EE14BE" w:rsidRPr="00EE14BE">
        <w:t xml:space="preserve"> with data cut</w:t>
      </w:r>
      <w:r w:rsidR="00717AA0">
        <w:t>-off date</w:t>
      </w:r>
      <w:r w:rsidR="00EE14BE" w:rsidRPr="00EE14BE">
        <w:t xml:space="preserve"> o</w:t>
      </w:r>
      <w:r w:rsidR="00717AA0">
        <w:t>f</w:t>
      </w:r>
      <w:r w:rsidR="00EE14BE" w:rsidRPr="00EE14BE">
        <w:t xml:space="preserve"> </w:t>
      </w:r>
      <w:r w:rsidR="006D6821">
        <w:t xml:space="preserve">1 </w:t>
      </w:r>
      <w:r w:rsidR="00EE14BE" w:rsidRPr="00EE14BE">
        <w:t>Feb</w:t>
      </w:r>
      <w:r w:rsidR="006D6821">
        <w:t>ruary</w:t>
      </w:r>
      <w:r w:rsidR="00B13169">
        <w:t> </w:t>
      </w:r>
      <w:r w:rsidR="00EE14BE" w:rsidRPr="00EE14BE">
        <w:t>2021</w:t>
      </w:r>
      <w:r w:rsidR="00717AA0">
        <w:t>)</w:t>
      </w:r>
    </w:p>
    <w:p w14:paraId="581FE637" w14:textId="6BA12FBD" w:rsidR="00260F57" w:rsidRDefault="00260F57" w:rsidP="00075F7C">
      <w:r>
        <w:rPr>
          <w:noProof/>
        </w:rPr>
        <w:drawing>
          <wp:inline distT="0" distB="0" distL="0" distR="0" wp14:anchorId="21B14AF7" wp14:editId="77974DEE">
            <wp:extent cx="5759450" cy="3098800"/>
            <wp:effectExtent l="0" t="0" r="0" b="6350"/>
            <wp:docPr id="3" name="Picture 3" descr="Table 4: Study CA209274 (the CheckMate 274 trial) Primary and secondary efficacy endpoints for all-randomised subjects with tumour cell PD-L1 &lt; 1% (from 19 May 2021 database lock with data cut-off date of 1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4: Study CA209274 (the CheckMate 274 trial) Primary and secondary efficacy endpoints for all-randomised subjects with tumour cell PD-L1 &lt; 1% (from 19 May 2021 database lock with data cut-off date of 1 February 2021)"/>
                    <pic:cNvPicPr/>
                  </pic:nvPicPr>
                  <pic:blipFill>
                    <a:blip r:embed="rId28"/>
                    <a:stretch>
                      <a:fillRect/>
                    </a:stretch>
                  </pic:blipFill>
                  <pic:spPr>
                    <a:xfrm>
                      <a:off x="0" y="0"/>
                      <a:ext cx="5759450" cy="3098800"/>
                    </a:xfrm>
                    <a:prstGeom prst="rect">
                      <a:avLst/>
                    </a:prstGeom>
                  </pic:spPr>
                </pic:pic>
              </a:graphicData>
            </a:graphic>
          </wp:inline>
        </w:drawing>
      </w:r>
    </w:p>
    <w:p w14:paraId="20E20A60" w14:textId="2AB2CEA1" w:rsidR="006D6821" w:rsidRDefault="006D6821">
      <w:pPr>
        <w:pStyle w:val="TableDescription"/>
      </w:pPr>
      <w:r>
        <w:t xml:space="preserve">Abbreviations: DFS = disease free survival, HR = hazard ratio, NUTRFS = </w:t>
      </w:r>
      <w:r w:rsidRPr="006D6821">
        <w:t>non-urothelial tract recurrence free survival</w:t>
      </w:r>
    </w:p>
    <w:p w14:paraId="71516819" w14:textId="46736900" w:rsidR="006D6821" w:rsidRDefault="00B13169">
      <w:pPr>
        <w:pStyle w:val="TableDescription"/>
      </w:pPr>
      <w:r w:rsidRPr="00B13169">
        <w:rPr>
          <w:vertAlign w:val="superscript"/>
        </w:rPr>
        <w:t>a</w:t>
      </w:r>
      <w:r>
        <w:rPr>
          <w:vertAlign w:val="superscript"/>
        </w:rPr>
        <w:t xml:space="preserve"> </w:t>
      </w:r>
      <w:r>
        <w:t>Based on Kaplan-Meier Estimates</w:t>
      </w:r>
    </w:p>
    <w:p w14:paraId="2052113D" w14:textId="05346781" w:rsidR="00B13169" w:rsidRDefault="00B13169">
      <w:pPr>
        <w:pStyle w:val="TableDescription"/>
      </w:pPr>
      <w:r w:rsidRPr="00B13169">
        <w:rPr>
          <w:vertAlign w:val="superscript"/>
        </w:rPr>
        <w:t>b</w:t>
      </w:r>
      <w:r>
        <w:rPr>
          <w:vertAlign w:val="superscript"/>
        </w:rPr>
        <w:t xml:space="preserve"> </w:t>
      </w:r>
      <w:r>
        <w:t>Stratified Cox proportional hazard model.  Hazard ratio is nivolumab over placebo</w:t>
      </w:r>
    </w:p>
    <w:p w14:paraId="797F30C0" w14:textId="77777777" w:rsidR="00EE14BE" w:rsidRDefault="00EE14BE" w:rsidP="00EE14BE">
      <w:pPr>
        <w:pStyle w:val="Heading4"/>
      </w:pPr>
      <w:bookmarkStart w:id="52" w:name="_Toc136880556"/>
      <w:r w:rsidRPr="00AA53F4">
        <w:t>Safety</w:t>
      </w:r>
      <w:bookmarkEnd w:id="52"/>
    </w:p>
    <w:p w14:paraId="1F7E2732" w14:textId="60758F47" w:rsidR="00EE14BE" w:rsidRDefault="00EE14BE" w:rsidP="00EE14BE">
      <w:r>
        <w:t>Nivolumab is most commonly associated with immune-related adverse reactions. Most of these, including severe reactions, have resolved following initiation of appropriate medical therapy or withdrawal of nivolumab.</w:t>
      </w:r>
    </w:p>
    <w:p w14:paraId="45B25CF1" w14:textId="5027E517" w:rsidR="00EE14BE" w:rsidRDefault="00EE14BE" w:rsidP="00EE14BE">
      <w:r>
        <w:t>The overall safety profile of nivolumab as monotherapy has been previously assessed from a pooled dataset (n</w:t>
      </w:r>
      <w:r w:rsidR="00C2106A">
        <w:t xml:space="preserve"> </w:t>
      </w:r>
      <w:r>
        <w:t>=</w:t>
      </w:r>
      <w:r w:rsidR="00C2106A">
        <w:t xml:space="preserve"> </w:t>
      </w:r>
      <w:r>
        <w:t>3319).  The most frequent adverse reactions in the pooled dataset (≥ 10%) were fatigue (28%), rash (17%), pruritus (13%), diarrhoea (13%) and nausea (11%). The</w:t>
      </w:r>
      <w:r w:rsidR="00C2106A">
        <w:t xml:space="preserve"> </w:t>
      </w:r>
      <w:r>
        <w:t xml:space="preserve">majority of adverse reactions were mild to moderate </w:t>
      </w:r>
      <w:r w:rsidR="00717AA0">
        <w:t xml:space="preserve">in severity </w:t>
      </w:r>
      <w:r>
        <w:t>(Grade 1 or 2).</w:t>
      </w:r>
    </w:p>
    <w:p w14:paraId="66A450BB" w14:textId="0E45E670" w:rsidR="00EE14BE" w:rsidRDefault="00EE14BE" w:rsidP="00EE14BE">
      <w:r>
        <w:t xml:space="preserve">The safety profile of nivolumab in patients treated with adjuvant nivolumab for muscle invasive urothelial carcinoma was based on 351 patients treated with nivolumab 240 mg </w:t>
      </w:r>
      <w:r w:rsidR="00C2106A">
        <w:t>once every two weeks</w:t>
      </w:r>
      <w:r>
        <w:t xml:space="preserve"> from one study submitted compared with 348 patients treated with placebo. The median duration of treatment was 8.77 months for the nivolumab arm and 8.21 months for the placebo arm.</w:t>
      </w:r>
    </w:p>
    <w:p w14:paraId="48BA0534" w14:textId="77777777" w:rsidR="00EE14BE" w:rsidRDefault="00EE14BE" w:rsidP="00EE14BE">
      <w:r>
        <w:lastRenderedPageBreak/>
        <w:t>The results for the nivolumab treated patients was also compared to the database of pooled nivolumab monotherapy from all previous nivolumab clinical studies (2,590 patients).</w:t>
      </w:r>
    </w:p>
    <w:p w14:paraId="23666B9E" w14:textId="3DE6AA2E" w:rsidR="00EE14BE" w:rsidRDefault="00EE14BE" w:rsidP="00EE14BE">
      <w:r>
        <w:t>A</w:t>
      </w:r>
      <w:r w:rsidRPr="0082714E">
        <w:t>dverse reactions</w:t>
      </w:r>
      <w:r>
        <w:t xml:space="preserve"> were reported in almost all patients in both treatment arms (98.9% in nivolumab arm, 95.4% in placebo arm). The most common </w:t>
      </w:r>
      <w:r w:rsidRPr="0082714E">
        <w:t>adverse reactions</w:t>
      </w:r>
      <w:r>
        <w:t xml:space="preserve"> reported in </w:t>
      </w:r>
      <w:r w:rsidRPr="00C2106A">
        <w:t>Study</w:t>
      </w:r>
      <w:r w:rsidR="00C2106A">
        <w:t> </w:t>
      </w:r>
      <w:r w:rsidRPr="00C2106A">
        <w:t>CA209274</w:t>
      </w:r>
      <w:r>
        <w:t xml:space="preserve"> were pruritus (30.2%), diarrhoea (29.1%) and fatigue (27.4%).</w:t>
      </w:r>
    </w:p>
    <w:p w14:paraId="2B3B4A11" w14:textId="77777777" w:rsidR="00EE14BE" w:rsidRDefault="00EE14BE" w:rsidP="00EE14BE">
      <w:r>
        <w:t>The number of deaths was similar in both treatment arms and the most common cause of death was progression of disease. Two deaths were considered drug related: immune related pneumonitis and pneumonitis.</w:t>
      </w:r>
    </w:p>
    <w:p w14:paraId="1C953476" w14:textId="272DE2AB" w:rsidR="00EE14BE" w:rsidRDefault="00EE14BE" w:rsidP="00EE14BE">
      <w:r>
        <w:t xml:space="preserve">The most common </w:t>
      </w:r>
      <w:r w:rsidR="00C2106A">
        <w:t>serious adverse event</w:t>
      </w:r>
      <w:r>
        <w:t>s were urinary tract infection (2.6%), malignant neoplasm progression (2.3%), intestinal obstruction (1.4%), acute kidney injury (1.4%) and sepsis (1.1%).</w:t>
      </w:r>
    </w:p>
    <w:p w14:paraId="230A54E2" w14:textId="0B5E25B6" w:rsidR="00EE14BE" w:rsidRDefault="00EE14BE" w:rsidP="00EE14BE">
      <w:r>
        <w:t xml:space="preserve">Overall, no new safety issues were </w:t>
      </w:r>
      <w:proofErr w:type="gramStart"/>
      <w:r>
        <w:t>identified</w:t>
      </w:r>
      <w:proofErr w:type="gramEnd"/>
      <w:r>
        <w:t xml:space="preserve"> and the safety profile was consistent with the previously documented safety profile of nivolumab monotherapy.</w:t>
      </w:r>
    </w:p>
    <w:p w14:paraId="703FE1DF" w14:textId="7A04933C" w:rsidR="00EE14BE" w:rsidRDefault="00EE14BE" w:rsidP="00CC6B3F">
      <w:pPr>
        <w:pStyle w:val="Heading4"/>
      </w:pPr>
      <w:bookmarkStart w:id="53" w:name="_Toc136880557"/>
      <w:r>
        <w:t>Other</w:t>
      </w:r>
      <w:r w:rsidR="00717AA0">
        <w:t xml:space="preserve"> aspects</w:t>
      </w:r>
      <w:bookmarkEnd w:id="53"/>
    </w:p>
    <w:p w14:paraId="35D9668C" w14:textId="190689E3" w:rsidR="00EE14BE" w:rsidRPr="00523257" w:rsidRDefault="00EE14BE" w:rsidP="00EE14BE">
      <w:r>
        <w:t>It is not clear at this stage whether patients will require testing of tumour samples for PD-L1 expression prior to adjuvant treatment of high risk MIUC.</w:t>
      </w:r>
    </w:p>
    <w:p w14:paraId="2858B006" w14:textId="77777777" w:rsidR="00C22214" w:rsidRDefault="00C22214" w:rsidP="00C22214">
      <w:pPr>
        <w:pStyle w:val="Heading3"/>
        <w:rPr>
          <w:lang w:eastAsia="en-AU"/>
        </w:rPr>
      </w:pPr>
      <w:bookmarkStart w:id="54" w:name="_Toc314842514"/>
      <w:bookmarkStart w:id="55" w:name="_Toc103679298"/>
      <w:bookmarkStart w:id="56" w:name="_Toc136880558"/>
      <w:r>
        <w:rPr>
          <w:lang w:eastAsia="en-AU"/>
        </w:rPr>
        <w:t>Risk management plan</w:t>
      </w:r>
      <w:bookmarkEnd w:id="54"/>
      <w:bookmarkEnd w:id="55"/>
      <w:bookmarkEnd w:id="56"/>
    </w:p>
    <w:p w14:paraId="0908AE06" w14:textId="77777777" w:rsidR="00FA1BC9" w:rsidRPr="00BD5DBD" w:rsidRDefault="00FA1BC9" w:rsidP="00FA1BC9">
      <w:pPr>
        <w:rPr>
          <w:szCs w:val="22"/>
        </w:rPr>
      </w:pPr>
      <w:bookmarkStart w:id="57" w:name="_Toc247691531"/>
      <w:bookmarkStart w:id="58" w:name="_Toc314842515"/>
      <w:bookmarkStart w:id="59" w:name="_Toc103679299"/>
      <w:r w:rsidRPr="00BD5DBD">
        <w:rPr>
          <w:szCs w:val="22"/>
        </w:rPr>
        <w:t>The sponsor is required to comply with product vigilance and risk minimisation requirements.</w:t>
      </w:r>
    </w:p>
    <w:p w14:paraId="2D08CB50" w14:textId="29D183CB" w:rsidR="00FA1BC9" w:rsidRPr="00BD5DBD" w:rsidRDefault="00FA1BC9" w:rsidP="00FA1BC9">
      <w:pPr>
        <w:rPr>
          <w:szCs w:val="22"/>
        </w:rPr>
      </w:pPr>
      <w:r w:rsidRPr="00BD5DBD">
        <w:rPr>
          <w:szCs w:val="22"/>
        </w:rPr>
        <w:t>The TGA de</w:t>
      </w:r>
      <w:r w:rsidRPr="00567EAA">
        <w:rPr>
          <w:szCs w:val="22"/>
        </w:rPr>
        <w:t xml:space="preserve">cided a </w:t>
      </w:r>
      <w:r w:rsidR="00717AA0">
        <w:rPr>
          <w:szCs w:val="22"/>
        </w:rPr>
        <w:t>new risk management plan (</w:t>
      </w:r>
      <w:r w:rsidRPr="00567EAA">
        <w:rPr>
          <w:szCs w:val="22"/>
        </w:rPr>
        <w:t>RMP</w:t>
      </w:r>
      <w:r w:rsidR="00717AA0">
        <w:rPr>
          <w:szCs w:val="22"/>
        </w:rPr>
        <w:t>)</w:t>
      </w:r>
      <w:r w:rsidRPr="00567EAA">
        <w:rPr>
          <w:szCs w:val="22"/>
        </w:rPr>
        <w:t xml:space="preserve"> was not required (see </w:t>
      </w:r>
      <w:hyperlink r:id="rId29" w:history="1">
        <w:r w:rsidRPr="00567EAA">
          <w:t>TGA’s guidance</w:t>
        </w:r>
      </w:hyperlink>
      <w:r w:rsidRPr="00567EAA">
        <w:rPr>
          <w:szCs w:val="22"/>
        </w:rPr>
        <w:t xml:space="preserve"> on ‘</w:t>
      </w:r>
      <w:hyperlink r:id="rId30" w:history="1">
        <w:r w:rsidRPr="00717AA0">
          <w:rPr>
            <w:rStyle w:val="Hyperlink"/>
            <w:szCs w:val="22"/>
          </w:rPr>
          <w:t>when an RMP is required’</w:t>
        </w:r>
      </w:hyperlink>
      <w:r w:rsidRPr="00567EAA">
        <w:rPr>
          <w:szCs w:val="22"/>
        </w:rPr>
        <w:t>)</w:t>
      </w:r>
      <w:r w:rsidR="00C2106A" w:rsidRPr="00567EAA">
        <w:rPr>
          <w:szCs w:val="22"/>
        </w:rPr>
        <w:t xml:space="preserve"> for this submission</w:t>
      </w:r>
      <w:r w:rsidR="00567EAA">
        <w:rPr>
          <w:szCs w:val="22"/>
        </w:rPr>
        <w:t xml:space="preserve"> </w:t>
      </w:r>
      <w:r w:rsidR="00567EAA" w:rsidRPr="00567EAA">
        <w:rPr>
          <w:szCs w:val="22"/>
        </w:rPr>
        <w:t>as the population group is not considered significantly different to current treatment populations.</w:t>
      </w:r>
    </w:p>
    <w:p w14:paraId="456C7934" w14:textId="5B8F92E3" w:rsidR="00FA1BC9" w:rsidRPr="00BD5DBD" w:rsidRDefault="00FA1BC9" w:rsidP="00FA1BC9">
      <w:pPr>
        <w:rPr>
          <w:szCs w:val="22"/>
        </w:rPr>
      </w:pPr>
      <w:r w:rsidRPr="00BD5DBD">
        <w:rPr>
          <w:szCs w:val="22"/>
        </w:rPr>
        <w:t xml:space="preserve">The TGA may request an updated RMP at any stage of a product's life-cycle, during both the pre-approval and post-approval phases. Further information regarding the TGA’s risk management approach can be found in </w:t>
      </w:r>
      <w:hyperlink r:id="rId31" w:history="1">
        <w:r w:rsidRPr="00BD5DBD">
          <w:rPr>
            <w:rStyle w:val="Hyperlink"/>
            <w:szCs w:val="22"/>
          </w:rPr>
          <w:t>risk management plans for medicines and biologicals</w:t>
        </w:r>
      </w:hyperlink>
      <w:r w:rsidRPr="00BD5DBD">
        <w:rPr>
          <w:szCs w:val="22"/>
        </w:rPr>
        <w:t xml:space="preserve"> and </w:t>
      </w:r>
      <w:hyperlink r:id="rId32" w:history="1">
        <w:r w:rsidRPr="00BD5DBD">
          <w:rPr>
            <w:rStyle w:val="Hyperlink"/>
            <w:szCs w:val="22"/>
          </w:rPr>
          <w:t>the TGA's risk management approach</w:t>
        </w:r>
      </w:hyperlink>
      <w:r w:rsidRPr="00BD5DBD">
        <w:rPr>
          <w:szCs w:val="22"/>
        </w:rPr>
        <w:t xml:space="preserve">. Information on the </w:t>
      </w:r>
      <w:hyperlink r:id="rId33" w:history="1">
        <w:r w:rsidRPr="00BD5DBD">
          <w:rPr>
            <w:rStyle w:val="Hyperlink"/>
            <w:szCs w:val="22"/>
          </w:rPr>
          <w:t>Australia specific annex</w:t>
        </w:r>
      </w:hyperlink>
      <w:r w:rsidRPr="00BD5DBD">
        <w:rPr>
          <w:szCs w:val="22"/>
        </w:rPr>
        <w:t xml:space="preserve"> (</w:t>
      </w:r>
      <w:hyperlink r:id="rId34" w:history="1">
        <w:r w:rsidRPr="00BD5DBD">
          <w:rPr>
            <w:rStyle w:val="Hyperlink"/>
            <w:szCs w:val="22"/>
          </w:rPr>
          <w:t>ASA</w:t>
        </w:r>
      </w:hyperlink>
      <w:r w:rsidRPr="00BD5DBD">
        <w:rPr>
          <w:szCs w:val="22"/>
        </w:rPr>
        <w:t>) can be found on the TGA website.</w:t>
      </w:r>
    </w:p>
    <w:p w14:paraId="74A4F87F" w14:textId="77777777" w:rsidR="00C22214" w:rsidRDefault="00C22214" w:rsidP="00C22214">
      <w:pPr>
        <w:pStyle w:val="Heading3"/>
      </w:pPr>
      <w:bookmarkStart w:id="60" w:name="_Toc136880559"/>
      <w:r>
        <w:t>Risk-benefit analysis</w:t>
      </w:r>
      <w:bookmarkEnd w:id="57"/>
      <w:bookmarkEnd w:id="58"/>
      <w:bookmarkEnd w:id="59"/>
      <w:bookmarkEnd w:id="60"/>
    </w:p>
    <w:p w14:paraId="77DE2655" w14:textId="77777777" w:rsidR="00C22214" w:rsidRDefault="00C22214" w:rsidP="00C22214">
      <w:pPr>
        <w:pStyle w:val="Heading4"/>
      </w:pPr>
      <w:bookmarkStart w:id="61" w:name="_Toc98931932"/>
      <w:bookmarkStart w:id="62" w:name="_Toc136880560"/>
      <w:r>
        <w:t>Delegate’s considerations</w:t>
      </w:r>
      <w:bookmarkEnd w:id="61"/>
      <w:bookmarkEnd w:id="62"/>
    </w:p>
    <w:p w14:paraId="372F5B43" w14:textId="2593C3A5" w:rsidR="00EE14BE" w:rsidRDefault="00EE14BE" w:rsidP="00EE14BE">
      <w:bookmarkStart w:id="63" w:name="_Toc98931933"/>
      <w:r>
        <w:t xml:space="preserve">The proposed extension to the indications for </w:t>
      </w:r>
      <w:r w:rsidR="001D3DAE">
        <w:t>Opdivo</w:t>
      </w:r>
      <w:r>
        <w:t xml:space="preserve"> is as follows:</w:t>
      </w:r>
    </w:p>
    <w:p w14:paraId="2ECCF1C2" w14:textId="1CE3F744" w:rsidR="00EE14BE" w:rsidRPr="00F10D15" w:rsidRDefault="001D3DAE" w:rsidP="00C2106A">
      <w:pPr>
        <w:ind w:left="720"/>
        <w:rPr>
          <w:i/>
          <w:iCs/>
        </w:rPr>
      </w:pPr>
      <w:bookmarkStart w:id="64" w:name="_Hlk98937416"/>
      <w:r>
        <w:rPr>
          <w:i/>
          <w:iCs/>
        </w:rPr>
        <w:t>Opdivo</w:t>
      </w:r>
      <w:r w:rsidR="00EE14BE" w:rsidRPr="00F10D15">
        <w:rPr>
          <w:i/>
          <w:iCs/>
        </w:rPr>
        <w:t>, as monotherapy, is indicated for the adjuvant treatment of patients with muscle invasive urothelial carcinoma (MIUC) who are at high risk of recurrence after undergoing radical resection of MIUC.</w:t>
      </w:r>
    </w:p>
    <w:bookmarkEnd w:id="64"/>
    <w:p w14:paraId="00801DD3" w14:textId="77777777" w:rsidR="00717AA0" w:rsidRDefault="00EE14BE" w:rsidP="00EE14BE">
      <w:r>
        <w:t xml:space="preserve">While efficacy, assessed as improvement in the </w:t>
      </w:r>
      <w:r w:rsidR="00C2106A">
        <w:t>disease free survival</w:t>
      </w:r>
      <w:r>
        <w:t xml:space="preserve"> </w:t>
      </w:r>
      <w:r w:rsidR="00547F10">
        <w:t xml:space="preserve">(DFS) </w:t>
      </w:r>
      <w:r>
        <w:t>rate compared with placebo, has been demonstrated for patients with MIUC at high risk of recurrence after radical resection of MIUC, the major issues with the proposed extension to the indications are</w:t>
      </w:r>
      <w:r w:rsidR="00717AA0">
        <w:t xml:space="preserve"> discussed below.</w:t>
      </w:r>
    </w:p>
    <w:p w14:paraId="07635FD8" w14:textId="59DC1CF6" w:rsidR="00EE14BE" w:rsidRDefault="00717AA0" w:rsidP="00CC6B3F">
      <w:pPr>
        <w:pStyle w:val="Heading5"/>
      </w:pPr>
      <w:r>
        <w:lastRenderedPageBreak/>
        <w:t xml:space="preserve">Identification of high risk of recurrence of urothelial carcinoma </w:t>
      </w:r>
    </w:p>
    <w:p w14:paraId="004BE083" w14:textId="0339E06F" w:rsidR="00547F10" w:rsidRDefault="00DD08AA" w:rsidP="00547F10">
      <w:r>
        <w:t>The Delegate</w:t>
      </w:r>
      <w:r w:rsidR="00EE14BE">
        <w:t xml:space="preserve"> consider</w:t>
      </w:r>
      <w:r>
        <w:t>s</w:t>
      </w:r>
      <w:r w:rsidR="00EE14BE">
        <w:t xml:space="preserve"> that the population eligible for nivolumab should be consistent with the population assessed for efficacy in the clinical study where higher risk was </w:t>
      </w:r>
      <w:r w:rsidR="00EE14BE" w:rsidRPr="00F10D15">
        <w:t>defined as either 1)</w:t>
      </w:r>
      <w:r w:rsidR="007A5F12">
        <w:t> </w:t>
      </w:r>
      <w:r w:rsidR="00EE14BE" w:rsidRPr="00F10D15">
        <w:t xml:space="preserve">ypT2-ypT4a or </w:t>
      </w:r>
      <w:proofErr w:type="spellStart"/>
      <w:r w:rsidR="00EE14BE" w:rsidRPr="00F10D15">
        <w:t>ypN</w:t>
      </w:r>
      <w:proofErr w:type="spellEnd"/>
      <w:r w:rsidR="00EE14BE" w:rsidRPr="00F10D15">
        <w:t>+</w:t>
      </w:r>
      <w:r w:rsidR="007A5F12">
        <w:t>;</w:t>
      </w:r>
      <w:r w:rsidR="007A5F12" w:rsidRPr="00CC6B3F">
        <w:rPr>
          <w:vertAlign w:val="superscript"/>
        </w:rPr>
        <w:fldChar w:fldCharType="begin"/>
      </w:r>
      <w:r w:rsidR="007A5F12" w:rsidRPr="00CC6B3F">
        <w:rPr>
          <w:vertAlign w:val="superscript"/>
        </w:rPr>
        <w:instrText xml:space="preserve"> NOTEREF _Ref131068103 \h </w:instrText>
      </w:r>
      <w:r w:rsidR="007A5F12">
        <w:rPr>
          <w:vertAlign w:val="superscript"/>
        </w:rPr>
        <w:instrText xml:space="preserve"> \* MERGEFORMAT </w:instrText>
      </w:r>
      <w:r w:rsidR="007A5F12" w:rsidRPr="00CC6B3F">
        <w:rPr>
          <w:vertAlign w:val="superscript"/>
        </w:rPr>
      </w:r>
      <w:r w:rsidR="007A5F12" w:rsidRPr="00CC6B3F">
        <w:rPr>
          <w:vertAlign w:val="superscript"/>
        </w:rPr>
        <w:fldChar w:fldCharType="separate"/>
      </w:r>
      <w:r w:rsidR="007A5F12" w:rsidRPr="00CC6B3F">
        <w:rPr>
          <w:vertAlign w:val="superscript"/>
        </w:rPr>
        <w:t>16</w:t>
      </w:r>
      <w:r w:rsidR="007A5F12" w:rsidRPr="00CC6B3F">
        <w:rPr>
          <w:vertAlign w:val="superscript"/>
        </w:rPr>
        <w:fldChar w:fldCharType="end"/>
      </w:r>
      <w:r w:rsidR="007A5F12" w:rsidRPr="00CC6B3F">
        <w:rPr>
          <w:vertAlign w:val="superscript"/>
        </w:rPr>
        <w:t>,</w:t>
      </w:r>
      <w:r w:rsidR="007A5F12" w:rsidRPr="00CC6B3F">
        <w:rPr>
          <w:vertAlign w:val="superscript"/>
        </w:rPr>
        <w:fldChar w:fldCharType="begin"/>
      </w:r>
      <w:r w:rsidR="007A5F12" w:rsidRPr="00CC6B3F">
        <w:rPr>
          <w:vertAlign w:val="superscript"/>
        </w:rPr>
        <w:instrText xml:space="preserve"> NOTEREF _Ref136516390 \h </w:instrText>
      </w:r>
      <w:r w:rsidR="007A5F12">
        <w:rPr>
          <w:vertAlign w:val="superscript"/>
        </w:rPr>
        <w:instrText xml:space="preserve"> \* MERGEFORMAT </w:instrText>
      </w:r>
      <w:r w:rsidR="007A5F12" w:rsidRPr="00CC6B3F">
        <w:rPr>
          <w:vertAlign w:val="superscript"/>
        </w:rPr>
      </w:r>
      <w:r w:rsidR="007A5F12" w:rsidRPr="00CC6B3F">
        <w:rPr>
          <w:vertAlign w:val="superscript"/>
        </w:rPr>
        <w:fldChar w:fldCharType="separate"/>
      </w:r>
      <w:r w:rsidR="007A5F12" w:rsidRPr="00CC6B3F">
        <w:rPr>
          <w:vertAlign w:val="superscript"/>
        </w:rPr>
        <w:t>17</w:t>
      </w:r>
      <w:r w:rsidR="007A5F12" w:rsidRPr="00CC6B3F">
        <w:rPr>
          <w:vertAlign w:val="superscript"/>
        </w:rPr>
        <w:fldChar w:fldCharType="end"/>
      </w:r>
      <w:r w:rsidR="007A5F12" w:rsidRPr="00CC6B3F">
        <w:rPr>
          <w:vertAlign w:val="superscript"/>
        </w:rPr>
        <w:t>,</w:t>
      </w:r>
      <w:r w:rsidR="007A5F12" w:rsidRPr="00CC6B3F">
        <w:rPr>
          <w:vertAlign w:val="superscript"/>
        </w:rPr>
        <w:fldChar w:fldCharType="begin"/>
      </w:r>
      <w:r w:rsidR="007A5F12" w:rsidRPr="00CC6B3F">
        <w:rPr>
          <w:vertAlign w:val="superscript"/>
        </w:rPr>
        <w:instrText xml:space="preserve"> NOTEREF _Ref136516393 \h </w:instrText>
      </w:r>
      <w:r w:rsidR="007A5F12">
        <w:rPr>
          <w:vertAlign w:val="superscript"/>
        </w:rPr>
        <w:instrText xml:space="preserve"> \* MERGEFORMAT </w:instrText>
      </w:r>
      <w:r w:rsidR="007A5F12" w:rsidRPr="00CC6B3F">
        <w:rPr>
          <w:vertAlign w:val="superscript"/>
        </w:rPr>
      </w:r>
      <w:r w:rsidR="007A5F12" w:rsidRPr="00CC6B3F">
        <w:rPr>
          <w:vertAlign w:val="superscript"/>
        </w:rPr>
        <w:fldChar w:fldCharType="separate"/>
      </w:r>
      <w:r w:rsidR="007A5F12" w:rsidRPr="00CC6B3F">
        <w:rPr>
          <w:vertAlign w:val="superscript"/>
        </w:rPr>
        <w:t>18</w:t>
      </w:r>
      <w:r w:rsidR="007A5F12" w:rsidRPr="00CC6B3F">
        <w:rPr>
          <w:vertAlign w:val="superscript"/>
        </w:rPr>
        <w:fldChar w:fldCharType="end"/>
      </w:r>
      <w:r w:rsidR="00EE14BE" w:rsidRPr="00F10D15">
        <w:t xml:space="preserve"> for patients who received neoadjuvant cisplatin</w:t>
      </w:r>
      <w:r w:rsidR="007A5F12">
        <w:t>;</w:t>
      </w:r>
      <w:r w:rsidR="00EE14BE" w:rsidRPr="00F10D15">
        <w:t xml:space="preserve"> or</w:t>
      </w:r>
      <w:r w:rsidR="007A5F12">
        <w:br/>
      </w:r>
      <w:r w:rsidR="00EE14BE" w:rsidRPr="00F10D15">
        <w:t xml:space="preserve">2) pT3-pT4a or </w:t>
      </w:r>
      <w:proofErr w:type="spellStart"/>
      <w:r w:rsidR="00EE14BE" w:rsidRPr="00F10D15">
        <w:t>pN</w:t>
      </w:r>
      <w:proofErr w:type="spellEnd"/>
      <w:r w:rsidR="00EE14BE" w:rsidRPr="00F10D15">
        <w:t>+</w:t>
      </w:r>
      <w:r w:rsidR="007A5F12">
        <w:t>;</w:t>
      </w:r>
      <w:r w:rsidR="007A5F12" w:rsidRPr="00DB5716">
        <w:rPr>
          <w:vertAlign w:val="superscript"/>
        </w:rPr>
        <w:fldChar w:fldCharType="begin"/>
      </w:r>
      <w:r w:rsidR="007A5F12" w:rsidRPr="00DB5716">
        <w:rPr>
          <w:vertAlign w:val="superscript"/>
        </w:rPr>
        <w:instrText xml:space="preserve"> NOTEREF _Ref131068103 \h </w:instrText>
      </w:r>
      <w:r w:rsidR="007A5F12">
        <w:rPr>
          <w:vertAlign w:val="superscript"/>
        </w:rPr>
        <w:instrText xml:space="preserve"> \* MERGEFORMAT </w:instrText>
      </w:r>
      <w:r w:rsidR="007A5F12" w:rsidRPr="00DB5716">
        <w:rPr>
          <w:vertAlign w:val="superscript"/>
        </w:rPr>
      </w:r>
      <w:r w:rsidR="007A5F12" w:rsidRPr="00DB5716">
        <w:rPr>
          <w:vertAlign w:val="superscript"/>
        </w:rPr>
        <w:fldChar w:fldCharType="separate"/>
      </w:r>
      <w:r w:rsidR="007A5F12" w:rsidRPr="00DB5716">
        <w:rPr>
          <w:vertAlign w:val="superscript"/>
        </w:rPr>
        <w:t>16</w:t>
      </w:r>
      <w:r w:rsidR="007A5F12" w:rsidRPr="00DB5716">
        <w:rPr>
          <w:vertAlign w:val="superscript"/>
        </w:rPr>
        <w:fldChar w:fldCharType="end"/>
      </w:r>
      <w:r w:rsidR="007A5F12" w:rsidRPr="00DB5716">
        <w:rPr>
          <w:vertAlign w:val="superscript"/>
        </w:rPr>
        <w:t>,</w:t>
      </w:r>
      <w:r w:rsidR="007A5F12" w:rsidRPr="00DB5716">
        <w:rPr>
          <w:vertAlign w:val="superscript"/>
        </w:rPr>
        <w:fldChar w:fldCharType="begin"/>
      </w:r>
      <w:r w:rsidR="007A5F12" w:rsidRPr="00DB5716">
        <w:rPr>
          <w:vertAlign w:val="superscript"/>
        </w:rPr>
        <w:instrText xml:space="preserve"> NOTEREF _Ref136516390 \h </w:instrText>
      </w:r>
      <w:r w:rsidR="007A5F12">
        <w:rPr>
          <w:vertAlign w:val="superscript"/>
        </w:rPr>
        <w:instrText xml:space="preserve"> \* MERGEFORMAT </w:instrText>
      </w:r>
      <w:r w:rsidR="007A5F12" w:rsidRPr="00DB5716">
        <w:rPr>
          <w:vertAlign w:val="superscript"/>
        </w:rPr>
      </w:r>
      <w:r w:rsidR="007A5F12" w:rsidRPr="00DB5716">
        <w:rPr>
          <w:vertAlign w:val="superscript"/>
        </w:rPr>
        <w:fldChar w:fldCharType="separate"/>
      </w:r>
      <w:r w:rsidR="007A5F12" w:rsidRPr="00DB5716">
        <w:rPr>
          <w:vertAlign w:val="superscript"/>
        </w:rPr>
        <w:t>17</w:t>
      </w:r>
      <w:r w:rsidR="007A5F12" w:rsidRPr="00DB5716">
        <w:rPr>
          <w:vertAlign w:val="superscript"/>
        </w:rPr>
        <w:fldChar w:fldCharType="end"/>
      </w:r>
      <w:r w:rsidR="007A5F12" w:rsidRPr="00DB5716">
        <w:rPr>
          <w:vertAlign w:val="superscript"/>
        </w:rPr>
        <w:t>,</w:t>
      </w:r>
      <w:r w:rsidR="007A5F12" w:rsidRPr="00DB5716">
        <w:rPr>
          <w:vertAlign w:val="superscript"/>
        </w:rPr>
        <w:fldChar w:fldCharType="begin"/>
      </w:r>
      <w:r w:rsidR="007A5F12" w:rsidRPr="00DB5716">
        <w:rPr>
          <w:vertAlign w:val="superscript"/>
        </w:rPr>
        <w:instrText xml:space="preserve"> NOTEREF _Ref136516393 \h </w:instrText>
      </w:r>
      <w:r w:rsidR="007A5F12">
        <w:rPr>
          <w:vertAlign w:val="superscript"/>
        </w:rPr>
        <w:instrText xml:space="preserve"> \* MERGEFORMAT </w:instrText>
      </w:r>
      <w:r w:rsidR="007A5F12" w:rsidRPr="00DB5716">
        <w:rPr>
          <w:vertAlign w:val="superscript"/>
        </w:rPr>
      </w:r>
      <w:r w:rsidR="007A5F12" w:rsidRPr="00DB5716">
        <w:rPr>
          <w:vertAlign w:val="superscript"/>
        </w:rPr>
        <w:fldChar w:fldCharType="separate"/>
      </w:r>
      <w:r w:rsidR="007A5F12" w:rsidRPr="00DB5716">
        <w:rPr>
          <w:vertAlign w:val="superscript"/>
        </w:rPr>
        <w:t>18</w:t>
      </w:r>
      <w:r w:rsidR="007A5F12" w:rsidRPr="00DB5716">
        <w:rPr>
          <w:vertAlign w:val="superscript"/>
        </w:rPr>
        <w:fldChar w:fldCharType="end"/>
      </w:r>
      <w:r w:rsidR="00EE14BE" w:rsidRPr="00F10D15">
        <w:t xml:space="preserve"> for patients who did not receive neoadjuvant cisplatin and who also either were ineligible for or refused adjuvant cisplatin.</w:t>
      </w:r>
    </w:p>
    <w:p w14:paraId="068AE359" w14:textId="2F12D396" w:rsidR="00EE14BE" w:rsidRDefault="00DD08AA" w:rsidP="00547F10">
      <w:r>
        <w:t>The Delegate</w:t>
      </w:r>
      <w:r w:rsidR="00EE14BE" w:rsidRPr="00DC6E71">
        <w:t xml:space="preserve"> request</w:t>
      </w:r>
      <w:r>
        <w:t>s</w:t>
      </w:r>
      <w:r w:rsidR="00EE14BE" w:rsidRPr="00DC6E71">
        <w:t xml:space="preserve"> the Committee’s consideration as to whether the specific definition of high risk should be included in the indication or identified only in the clinical trial description in the </w:t>
      </w:r>
      <w:r>
        <w:t>Product Information</w:t>
      </w:r>
      <w:r w:rsidR="00EE14BE" w:rsidRPr="00DC6E71">
        <w:t>.</w:t>
      </w:r>
    </w:p>
    <w:p w14:paraId="18377633" w14:textId="6C9FB107" w:rsidR="00EE14BE" w:rsidRDefault="00EE14BE" w:rsidP="00CC6B3F">
      <w:pPr>
        <w:pStyle w:val="Heading5"/>
      </w:pPr>
      <w:r w:rsidRPr="00EE14BE">
        <w:t xml:space="preserve">Identification of exploratory subgroups likely to have less benefit from treatment with </w:t>
      </w:r>
      <w:r w:rsidRPr="007054D4">
        <w:t>nivolumab</w:t>
      </w:r>
    </w:p>
    <w:p w14:paraId="50E51B8B" w14:textId="74E2F44E" w:rsidR="00EE14BE" w:rsidRDefault="00EE14BE" w:rsidP="00547F10">
      <w:r>
        <w:t>Many subgroups were assessed for DFS as sensitivity/exploratory analyses of the whole study population and for the stratification subgroup of tumour PD-L1</w:t>
      </w:r>
      <w:r w:rsidR="00DD08AA">
        <w:t xml:space="preserve"> </w:t>
      </w:r>
      <w:r>
        <w:t>≥</w:t>
      </w:r>
      <w:r w:rsidR="00DD08AA">
        <w:t xml:space="preserve"> </w:t>
      </w:r>
      <w:r>
        <w:t xml:space="preserve">1%. These analyses showed a </w:t>
      </w:r>
      <w:r w:rsidR="00DD08AA">
        <w:t>hazard ratio</w:t>
      </w:r>
      <w:r>
        <w:t xml:space="preserve"> </w:t>
      </w:r>
      <w:r w:rsidR="00547F10">
        <w:t>less than one</w:t>
      </w:r>
      <w:r>
        <w:t xml:space="preserve"> for all subgroups except for patients with upper urothelial tract cancer (kidney pelvis and ureter)</w:t>
      </w:r>
      <w:r w:rsidR="00DD08AA">
        <w:t>.</w:t>
      </w:r>
      <w:r>
        <w:t xml:space="preserve"> The initial (primary analysis) suggested that patients who did not receive prior cisplatin (as neoadjuvant therapy) because they were unwilling to receive it also did not benefit in terms of an increased median DFS rate compared to placebo, however the subsequent analysis showed the </w:t>
      </w:r>
      <w:r w:rsidR="00547F10">
        <w:t>hazard ratio</w:t>
      </w:r>
      <w:r>
        <w:t xml:space="preserve"> for median DFS for that subgroup had become </w:t>
      </w:r>
      <w:r w:rsidR="00547F10">
        <w:t>less than one</w:t>
      </w:r>
      <w:r>
        <w:t>, indicating a higher median DFS in the nivolumab treated population.</w:t>
      </w:r>
    </w:p>
    <w:p w14:paraId="054F30FE" w14:textId="7DA76BEA" w:rsidR="00EE14BE" w:rsidRDefault="00EE14BE" w:rsidP="00547F10">
      <w:r>
        <w:t xml:space="preserve">While the sensitivity analyses of DFS were exploratory those with kidney pelvic and ureter tumour locations were the only group to not show a trend towards a higher median DFS with nivolumab compared to placebo. It is not usual to describe exploratory analyses of subgroups however given the disparity in DFS between those with upper </w:t>
      </w:r>
      <w:r w:rsidR="00506817">
        <w:t>versus</w:t>
      </w:r>
      <w:r>
        <w:t xml:space="preserve"> lower urinary tract tumours the Committee is requested to consider whether the clinical trial description should refer to the absence of a trend towards benefit in those with upper urothelial tract carcinoma.</w:t>
      </w:r>
    </w:p>
    <w:p w14:paraId="4A174030" w14:textId="325C29E9" w:rsidR="00EE14BE" w:rsidRDefault="00EE14BE" w:rsidP="00547F10">
      <w:r>
        <w:t>Similarly while a benefit in terms of higher median DFS was seen in those with tumour PD</w:t>
      </w:r>
      <w:r w:rsidR="007A5F12">
        <w:noBreakHyphen/>
      </w:r>
      <w:r>
        <w:t>L1</w:t>
      </w:r>
      <w:r w:rsidR="007A5F12">
        <w:t> </w:t>
      </w:r>
      <w:r>
        <w:t>&lt;</w:t>
      </w:r>
      <w:r w:rsidR="00547F10">
        <w:t> </w:t>
      </w:r>
      <w:r>
        <w:t>1% it was a considerably smaller benefit than was apparent for those with tumour PD</w:t>
      </w:r>
      <w:r w:rsidR="007A5F12">
        <w:noBreakHyphen/>
      </w:r>
      <w:r>
        <w:t>L1 ≥</w:t>
      </w:r>
      <w:r w:rsidR="00DD08AA">
        <w:t xml:space="preserve"> </w:t>
      </w:r>
      <w:r>
        <w:t>1%. While a c</w:t>
      </w:r>
      <w:r w:rsidRPr="00461B1E">
        <w:t>linically significant additional duration of DFS</w:t>
      </w:r>
      <w:r>
        <w:t xml:space="preserve"> was demonstrated overall and for both PD-L1 subgroups the </w:t>
      </w:r>
      <w:r w:rsidR="00DD08AA">
        <w:t>overall survival</w:t>
      </w:r>
      <w:r w:rsidRPr="00461B1E">
        <w:t xml:space="preserve"> data is immature, and the study is ongoing.</w:t>
      </w:r>
    </w:p>
    <w:p w14:paraId="0129987A" w14:textId="2BB9DF3F" w:rsidR="00EE14BE" w:rsidRDefault="00EE14BE" w:rsidP="00547F10">
      <w:r>
        <w:t xml:space="preserve">The </w:t>
      </w:r>
      <w:r w:rsidR="00D77C8D">
        <w:t>c</w:t>
      </w:r>
      <w:r>
        <w:t xml:space="preserve">ommittee is requested to consider whether the exploratory DFS </w:t>
      </w:r>
      <w:r w:rsidRPr="00CB77AF">
        <w:t xml:space="preserve">and </w:t>
      </w:r>
      <w:r w:rsidR="00DD08AA" w:rsidRPr="00CB77AF">
        <w:t>overall survival</w:t>
      </w:r>
      <w:r w:rsidRPr="00CB77AF">
        <w:t xml:space="preserve"> </w:t>
      </w:r>
      <w:r w:rsidRPr="00103BF5">
        <w:t>results</w:t>
      </w:r>
      <w:r>
        <w:t xml:space="preserve"> for these exploratory subgroups (comprising </w:t>
      </w:r>
      <w:r w:rsidR="00DD08AA">
        <w:t xml:space="preserve">approximate </w:t>
      </w:r>
      <w:r>
        <w:t>59% of the study population with PD-L1</w:t>
      </w:r>
      <w:r w:rsidR="00DD08AA">
        <w:t xml:space="preserve"> </w:t>
      </w:r>
      <w:r>
        <w:t>&lt;</w:t>
      </w:r>
      <w:r w:rsidR="00DD08AA">
        <w:t xml:space="preserve"> </w:t>
      </w:r>
      <w:r>
        <w:t>1% and 21% of the study population with upper urothelial tract cancer) should be mentioned in the clinical trial description.</w:t>
      </w:r>
    </w:p>
    <w:p w14:paraId="0D549C69" w14:textId="5B1642A6" w:rsidR="00EE14BE" w:rsidRDefault="00547F10" w:rsidP="00EE14BE">
      <w:pPr>
        <w:pStyle w:val="Numberbullet0"/>
      </w:pPr>
      <w:r>
        <w:t>P</w:t>
      </w:r>
      <w:r w:rsidR="00EE14BE" w:rsidRPr="00EE14BE">
        <w:t>ropos</w:t>
      </w:r>
      <w:r>
        <w:t>ition</w:t>
      </w:r>
      <w:r w:rsidR="00EE14BE" w:rsidRPr="00EE14BE">
        <w:t xml:space="preserve"> to include the test used to determine tumour PD-L1 percentage in the clinical trial description</w:t>
      </w:r>
      <w:r>
        <w:t>.</w:t>
      </w:r>
    </w:p>
    <w:p w14:paraId="57F938BE" w14:textId="5AF4354A" w:rsidR="00EE14BE" w:rsidRDefault="00547F10" w:rsidP="00547F10">
      <w:r>
        <w:t>The Delegate</w:t>
      </w:r>
      <w:r w:rsidR="00EE14BE">
        <w:t xml:space="preserve"> request</w:t>
      </w:r>
      <w:r>
        <w:t>s</w:t>
      </w:r>
      <w:r w:rsidR="00EE14BE">
        <w:t xml:space="preserve"> the Committee comment on the availability of tumour PD-L1 testing being conducted in Australia, including the specific test applied in the clinical trial supporting the proposed indication.   </w:t>
      </w:r>
    </w:p>
    <w:p w14:paraId="2B185A70" w14:textId="47EFF1A6" w:rsidR="00EE14BE" w:rsidRDefault="00EE14BE" w:rsidP="00EE14BE">
      <w:pPr>
        <w:pStyle w:val="Numberbullet0"/>
      </w:pPr>
      <w:r w:rsidRPr="00EE14BE">
        <w:t>Depiction of adverse reactions associated with nivolumab in the P</w:t>
      </w:r>
      <w:r w:rsidR="00547F10">
        <w:t>roduct Information.</w:t>
      </w:r>
    </w:p>
    <w:p w14:paraId="595D9527" w14:textId="77777777" w:rsidR="00EE14BE" w:rsidRDefault="00EE14BE" w:rsidP="00547F10">
      <w:r w:rsidRPr="00EE14BE">
        <w:t xml:space="preserve">Nivolumab has current indications as monotherapy for adjuvant treatment in melanoma and oesophageal or gastro-oesophageal junction cancer as well as indications as monotherapy for melanoma, non-small cell lung cancer, clear cell renal cell carcinoma, classical Hodgkin’s lymphoma, squamous cell cancer of the head and neck, hepatocellular </w:t>
      </w:r>
      <w:proofErr w:type="gramStart"/>
      <w:r w:rsidRPr="00EE14BE">
        <w:t>carcinoma</w:t>
      </w:r>
      <w:proofErr w:type="gramEnd"/>
      <w:r w:rsidRPr="00EE14BE">
        <w:t xml:space="preserve"> and oesophageal squamous cell carcinoma.  Given the multiple indications for nivolumab the presentation of adverse reactions associated with monotherapy nivolumab has been combined </w:t>
      </w:r>
      <w:r w:rsidRPr="00EE14BE">
        <w:lastRenderedPageBreak/>
        <w:t>in a single table with no comparators and the incidence of only the most frequent adverse reactions is stated from the pooled studies with a range for incidence of individual adverse reactions of lower frequency.  It is proposed that this presentation be amended to include the</w:t>
      </w:r>
      <w:r>
        <w:t xml:space="preserve"> </w:t>
      </w:r>
      <w:r w:rsidRPr="0082714E">
        <w:t>adverse reactions</w:t>
      </w:r>
      <w:r>
        <w:t xml:space="preserve"> from monotherapy adjuvant MIUC.  No new safety issues for nivolumab were identified in the study supporting the proposed extension of indications to MIUC.</w:t>
      </w:r>
    </w:p>
    <w:p w14:paraId="762FF206" w14:textId="76DEEBA6" w:rsidR="00EE14BE" w:rsidRDefault="00EE14BE" w:rsidP="00547F10">
      <w:r>
        <w:t xml:space="preserve">With the combination of all </w:t>
      </w:r>
      <w:r w:rsidRPr="0082714E">
        <w:t>adverse reactions</w:t>
      </w:r>
      <w:r>
        <w:t xml:space="preserve"> from monotherapy nivolumab studies into a single table there is now no separate presentation of </w:t>
      </w:r>
      <w:r w:rsidRPr="0082714E">
        <w:t>adverse reactions</w:t>
      </w:r>
      <w:r>
        <w:t xml:space="preserve"> associated with nivolumab monotherapy given as adjuvant therapy as distinguished from monotherapy for advanced disease indications.</w:t>
      </w:r>
    </w:p>
    <w:p w14:paraId="2864CFDC" w14:textId="066D83E1" w:rsidR="00EE14BE" w:rsidRDefault="00EE14BE" w:rsidP="00547F10">
      <w:r>
        <w:t xml:space="preserve">The Committee is requested to comment on the proposed presentation of </w:t>
      </w:r>
      <w:r w:rsidRPr="0082714E">
        <w:t>adverse reactions</w:t>
      </w:r>
      <w:r>
        <w:t xml:space="preserve"> for monotherapy nivolumab including whether there should be separate presentations for the adjuvant monotherapy indications in the PI.</w:t>
      </w:r>
    </w:p>
    <w:p w14:paraId="3916F296" w14:textId="77777777" w:rsidR="00C22214" w:rsidRDefault="00C22214" w:rsidP="00C22214">
      <w:pPr>
        <w:pStyle w:val="Heading4"/>
      </w:pPr>
      <w:bookmarkStart w:id="65" w:name="_Toc136880561"/>
      <w:r w:rsidRPr="00D23139">
        <w:t>Proposed action</w:t>
      </w:r>
      <w:bookmarkEnd w:id="63"/>
      <w:bookmarkEnd w:id="65"/>
    </w:p>
    <w:p w14:paraId="57C5AD33" w14:textId="700CC13A" w:rsidR="00EE14BE" w:rsidRDefault="00DD08AA" w:rsidP="00EE14BE">
      <w:bookmarkStart w:id="66" w:name="_Toc98931934"/>
      <w:r>
        <w:t>The Delegate is</w:t>
      </w:r>
      <w:r w:rsidR="00EE14BE">
        <w:t xml:space="preserve"> inclined to approve the proposed extension of indications for </w:t>
      </w:r>
      <w:r w:rsidR="001D3DAE">
        <w:t>Opdivo</w:t>
      </w:r>
      <w:r w:rsidR="00EE14BE">
        <w:t xml:space="preserve"> to include</w:t>
      </w:r>
      <w:r>
        <w:t>:</w:t>
      </w:r>
    </w:p>
    <w:p w14:paraId="559259FD" w14:textId="1DBC2853" w:rsidR="00EE14BE" w:rsidRDefault="001D3DAE" w:rsidP="00EE14BE">
      <w:pPr>
        <w:ind w:left="720"/>
        <w:rPr>
          <w:i/>
          <w:iCs/>
        </w:rPr>
      </w:pPr>
      <w:r>
        <w:rPr>
          <w:i/>
          <w:iCs/>
        </w:rPr>
        <w:t>Opdivo</w:t>
      </w:r>
      <w:r w:rsidR="00EE14BE" w:rsidRPr="00366405">
        <w:rPr>
          <w:i/>
          <w:iCs/>
        </w:rPr>
        <w:t>, as monotherapy, is indicated for the adjuvant treatment of patients with muscle invasive urothelial carcinoma (MIUC) who are at high risk of recurrence after undergoing radical resection of MIUC.</w:t>
      </w:r>
    </w:p>
    <w:p w14:paraId="6A931E4B" w14:textId="7F8FD746" w:rsidR="00EE14BE" w:rsidRPr="00366405" w:rsidRDefault="00EE14BE" w:rsidP="00EE14BE">
      <w:r>
        <w:t xml:space="preserve">The approval is conditional on the satisfactory negotiation of the </w:t>
      </w:r>
      <w:r w:rsidR="00DD08AA">
        <w:t>Product Information</w:t>
      </w:r>
      <w:r>
        <w:t>, including the indication.</w:t>
      </w:r>
    </w:p>
    <w:p w14:paraId="318CFABC" w14:textId="77777777" w:rsidR="00C22214" w:rsidRPr="00F73346" w:rsidRDefault="00C22214" w:rsidP="00C22214">
      <w:pPr>
        <w:pStyle w:val="Heading4"/>
      </w:pPr>
      <w:bookmarkStart w:id="67" w:name="_Toc98931936"/>
      <w:bookmarkStart w:id="68" w:name="_Toc136880562"/>
      <w:bookmarkStart w:id="69" w:name="_Toc247691532"/>
      <w:bookmarkStart w:id="70" w:name="_Toc314842516"/>
      <w:bookmarkEnd w:id="66"/>
      <w:r w:rsidRPr="00F73346">
        <w:t>Advisory Committee considerations</w:t>
      </w:r>
      <w:bookmarkEnd w:id="67"/>
      <w:bookmarkEnd w:id="68"/>
    </w:p>
    <w:p w14:paraId="087BB9CB" w14:textId="2E02F604" w:rsidR="00C22214" w:rsidRPr="00BD5DBD" w:rsidRDefault="00C22214" w:rsidP="00C22214">
      <w:pPr>
        <w:rPr>
          <w:bCs/>
          <w:szCs w:val="22"/>
        </w:rPr>
      </w:pPr>
      <w:r w:rsidRPr="00BD5DBD">
        <w:rPr>
          <w:bCs/>
          <w:szCs w:val="22"/>
        </w:rPr>
        <w:t xml:space="preserve">The </w:t>
      </w:r>
      <w:hyperlink r:id="rId35" w:history="1">
        <w:r w:rsidRPr="00BD5DBD">
          <w:rPr>
            <w:rStyle w:val="Hyperlink"/>
            <w:szCs w:val="22"/>
          </w:rPr>
          <w:t>Advisory Committee on Medicines (ACM)</w:t>
        </w:r>
      </w:hyperlink>
      <w:r w:rsidRPr="00BD5DBD">
        <w:rPr>
          <w:color w:val="007099"/>
          <w:szCs w:val="22"/>
        </w:rPr>
        <w:t xml:space="preserve"> </w:t>
      </w:r>
      <w:r w:rsidRPr="00BD5DBD">
        <w:rPr>
          <w:bCs/>
          <w:szCs w:val="22"/>
        </w:rPr>
        <w:t>having considered the evaluations and the Delegate’s overview, as well as the sponsor’s response to these documents, advised the following.</w:t>
      </w:r>
    </w:p>
    <w:p w14:paraId="0D935CC4" w14:textId="77777777" w:rsidR="00C22214" w:rsidRPr="00F73346" w:rsidRDefault="00C22214" w:rsidP="00C22214">
      <w:pPr>
        <w:pStyle w:val="Heading5"/>
      </w:pPr>
      <w:r w:rsidRPr="00F73346">
        <w:t>Specific advice to the Delegate</w:t>
      </w:r>
    </w:p>
    <w:p w14:paraId="476EDC9E" w14:textId="1EE4AD60" w:rsidR="00B84D17" w:rsidRPr="00524265" w:rsidRDefault="00B84D17" w:rsidP="00524265">
      <w:pPr>
        <w:pStyle w:val="Numberbullet0"/>
        <w:numPr>
          <w:ilvl w:val="0"/>
          <w:numId w:val="13"/>
        </w:numPr>
        <w:rPr>
          <w:b/>
          <w:bCs/>
          <w:i/>
          <w:iCs/>
        </w:rPr>
      </w:pPr>
      <w:r w:rsidRPr="00524265">
        <w:rPr>
          <w:b/>
          <w:bCs/>
          <w:i/>
          <w:iCs/>
        </w:rPr>
        <w:t>Identification of those considered to be at high risk of recurrence of urothelial carcinoma.</w:t>
      </w:r>
    </w:p>
    <w:p w14:paraId="031286F3" w14:textId="3B390DFE" w:rsidR="00B84D17" w:rsidRPr="00524265" w:rsidRDefault="007A5F12" w:rsidP="00524265">
      <w:pPr>
        <w:pStyle w:val="Numberbullet0"/>
        <w:numPr>
          <w:ilvl w:val="0"/>
          <w:numId w:val="0"/>
        </w:numPr>
        <w:ind w:left="360"/>
        <w:rPr>
          <w:b/>
          <w:bCs/>
          <w:i/>
          <w:iCs/>
        </w:rPr>
      </w:pPr>
      <w:r>
        <w:rPr>
          <w:b/>
          <w:bCs/>
          <w:i/>
          <w:iCs/>
        </w:rPr>
        <w:t xml:space="preserve">The Delegate </w:t>
      </w:r>
      <w:r w:rsidR="00B84D17" w:rsidRPr="00524265">
        <w:rPr>
          <w:b/>
          <w:bCs/>
          <w:i/>
          <w:iCs/>
        </w:rPr>
        <w:t>request</w:t>
      </w:r>
      <w:r>
        <w:rPr>
          <w:b/>
          <w:bCs/>
          <w:i/>
          <w:iCs/>
        </w:rPr>
        <w:t>s</w:t>
      </w:r>
      <w:r w:rsidR="00B84D17" w:rsidRPr="00524265">
        <w:rPr>
          <w:b/>
          <w:bCs/>
          <w:i/>
          <w:iCs/>
        </w:rPr>
        <w:t xml:space="preserve"> the ACM’s consideration as to whether the specific definition of high risk should be included in the indication or identified only in the clinical trial description in the </w:t>
      </w:r>
      <w:r>
        <w:rPr>
          <w:b/>
          <w:bCs/>
          <w:i/>
          <w:iCs/>
        </w:rPr>
        <w:t>Product Information</w:t>
      </w:r>
      <w:r w:rsidR="00B84D17" w:rsidRPr="00524265">
        <w:rPr>
          <w:b/>
          <w:bCs/>
          <w:i/>
          <w:iCs/>
        </w:rPr>
        <w:t>.</w:t>
      </w:r>
    </w:p>
    <w:p w14:paraId="78CFBAD1" w14:textId="16DA8E36" w:rsidR="00B84D17" w:rsidRDefault="00B84D17" w:rsidP="00B84D17">
      <w:r>
        <w:t xml:space="preserve">The ACM was of the view that the population eligible for nivolumab should be consistent with the population assessed for efficacy in the clinical study where higher risk was defined as either 1) ypT2-ypT4a or </w:t>
      </w:r>
      <w:proofErr w:type="spellStart"/>
      <w:r>
        <w:t>ypN</w:t>
      </w:r>
      <w:proofErr w:type="spellEnd"/>
      <w:r>
        <w:t>+</w:t>
      </w:r>
      <w:r w:rsidR="007A5F12">
        <w:t>;</w:t>
      </w:r>
      <w:r w:rsidR="007A5F12">
        <w:rPr>
          <w:vertAlign w:val="superscript"/>
        </w:rPr>
        <w:fldChar w:fldCharType="begin"/>
      </w:r>
      <w:r w:rsidR="007A5F12">
        <w:rPr>
          <w:vertAlign w:val="superscript"/>
        </w:rPr>
        <w:instrText xml:space="preserve"> NOTEREF _Ref131068103 \h  \* MERGEFORMAT </w:instrText>
      </w:r>
      <w:r w:rsidR="007A5F12">
        <w:rPr>
          <w:vertAlign w:val="superscript"/>
        </w:rPr>
      </w:r>
      <w:r w:rsidR="007A5F12">
        <w:rPr>
          <w:vertAlign w:val="superscript"/>
        </w:rPr>
        <w:fldChar w:fldCharType="separate"/>
      </w:r>
      <w:r w:rsidR="007A5F12">
        <w:rPr>
          <w:vertAlign w:val="superscript"/>
        </w:rPr>
        <w:t>16</w:t>
      </w:r>
      <w:r w:rsidR="007A5F12">
        <w:rPr>
          <w:vertAlign w:val="superscript"/>
        </w:rPr>
        <w:fldChar w:fldCharType="end"/>
      </w:r>
      <w:r w:rsidR="007A5F12">
        <w:rPr>
          <w:vertAlign w:val="superscript"/>
        </w:rPr>
        <w:t>,</w:t>
      </w:r>
      <w:r w:rsidR="007A5F12">
        <w:rPr>
          <w:vertAlign w:val="superscript"/>
        </w:rPr>
        <w:fldChar w:fldCharType="begin"/>
      </w:r>
      <w:r w:rsidR="007A5F12">
        <w:rPr>
          <w:vertAlign w:val="superscript"/>
        </w:rPr>
        <w:instrText xml:space="preserve"> NOTEREF _Ref136516390 \h  \* MERGEFORMAT </w:instrText>
      </w:r>
      <w:r w:rsidR="007A5F12">
        <w:rPr>
          <w:vertAlign w:val="superscript"/>
        </w:rPr>
      </w:r>
      <w:r w:rsidR="007A5F12">
        <w:rPr>
          <w:vertAlign w:val="superscript"/>
        </w:rPr>
        <w:fldChar w:fldCharType="separate"/>
      </w:r>
      <w:r w:rsidR="007A5F12">
        <w:rPr>
          <w:vertAlign w:val="superscript"/>
        </w:rPr>
        <w:t>17</w:t>
      </w:r>
      <w:r w:rsidR="007A5F12">
        <w:rPr>
          <w:vertAlign w:val="superscript"/>
        </w:rPr>
        <w:fldChar w:fldCharType="end"/>
      </w:r>
      <w:r w:rsidR="007A5F12">
        <w:rPr>
          <w:vertAlign w:val="superscript"/>
        </w:rPr>
        <w:t>,</w:t>
      </w:r>
      <w:r w:rsidR="007A5F12">
        <w:rPr>
          <w:vertAlign w:val="superscript"/>
        </w:rPr>
        <w:fldChar w:fldCharType="begin"/>
      </w:r>
      <w:r w:rsidR="007A5F12">
        <w:rPr>
          <w:vertAlign w:val="superscript"/>
        </w:rPr>
        <w:instrText xml:space="preserve"> NOTEREF _Ref136516393 \h  \* MERGEFORMAT </w:instrText>
      </w:r>
      <w:r w:rsidR="007A5F12">
        <w:rPr>
          <w:vertAlign w:val="superscript"/>
        </w:rPr>
      </w:r>
      <w:r w:rsidR="007A5F12">
        <w:rPr>
          <w:vertAlign w:val="superscript"/>
        </w:rPr>
        <w:fldChar w:fldCharType="separate"/>
      </w:r>
      <w:r w:rsidR="007A5F12">
        <w:rPr>
          <w:vertAlign w:val="superscript"/>
        </w:rPr>
        <w:t>18</w:t>
      </w:r>
      <w:r w:rsidR="007A5F12">
        <w:rPr>
          <w:vertAlign w:val="superscript"/>
        </w:rPr>
        <w:fldChar w:fldCharType="end"/>
      </w:r>
      <w:r>
        <w:t xml:space="preserve"> for patients who received neoadjuvant cisplatin</w:t>
      </w:r>
      <w:r w:rsidR="007A5F12">
        <w:t>;</w:t>
      </w:r>
      <w:r>
        <w:t xml:space="preserve"> or</w:t>
      </w:r>
      <w:r w:rsidR="007A5F12">
        <w:br/>
      </w:r>
      <w:r>
        <w:t xml:space="preserve">2) pT3-pT4a or </w:t>
      </w:r>
      <w:proofErr w:type="spellStart"/>
      <w:r>
        <w:t>pN</w:t>
      </w:r>
      <w:proofErr w:type="spellEnd"/>
      <w:r>
        <w:t>+</w:t>
      </w:r>
      <w:r w:rsidR="007A5F12">
        <w:t>;</w:t>
      </w:r>
      <w:r w:rsidR="007A5F12">
        <w:rPr>
          <w:vertAlign w:val="superscript"/>
        </w:rPr>
        <w:fldChar w:fldCharType="begin"/>
      </w:r>
      <w:r w:rsidR="007A5F12">
        <w:rPr>
          <w:vertAlign w:val="superscript"/>
        </w:rPr>
        <w:instrText xml:space="preserve"> NOTEREF _Ref131068103 \h  \* MERGEFORMAT </w:instrText>
      </w:r>
      <w:r w:rsidR="007A5F12">
        <w:rPr>
          <w:vertAlign w:val="superscript"/>
        </w:rPr>
      </w:r>
      <w:r w:rsidR="007A5F12">
        <w:rPr>
          <w:vertAlign w:val="superscript"/>
        </w:rPr>
        <w:fldChar w:fldCharType="separate"/>
      </w:r>
      <w:r w:rsidR="007A5F12">
        <w:rPr>
          <w:vertAlign w:val="superscript"/>
        </w:rPr>
        <w:t>16</w:t>
      </w:r>
      <w:r w:rsidR="007A5F12">
        <w:rPr>
          <w:vertAlign w:val="superscript"/>
        </w:rPr>
        <w:fldChar w:fldCharType="end"/>
      </w:r>
      <w:r w:rsidR="007A5F12">
        <w:rPr>
          <w:vertAlign w:val="superscript"/>
        </w:rPr>
        <w:t>,</w:t>
      </w:r>
      <w:r w:rsidR="007A5F12">
        <w:rPr>
          <w:vertAlign w:val="superscript"/>
        </w:rPr>
        <w:fldChar w:fldCharType="begin"/>
      </w:r>
      <w:r w:rsidR="007A5F12">
        <w:rPr>
          <w:vertAlign w:val="superscript"/>
        </w:rPr>
        <w:instrText xml:space="preserve"> NOTEREF _Ref136516390 \h  \* MERGEFORMAT </w:instrText>
      </w:r>
      <w:r w:rsidR="007A5F12">
        <w:rPr>
          <w:vertAlign w:val="superscript"/>
        </w:rPr>
      </w:r>
      <w:r w:rsidR="007A5F12">
        <w:rPr>
          <w:vertAlign w:val="superscript"/>
        </w:rPr>
        <w:fldChar w:fldCharType="separate"/>
      </w:r>
      <w:r w:rsidR="007A5F12">
        <w:rPr>
          <w:vertAlign w:val="superscript"/>
        </w:rPr>
        <w:t>17</w:t>
      </w:r>
      <w:r w:rsidR="007A5F12">
        <w:rPr>
          <w:vertAlign w:val="superscript"/>
        </w:rPr>
        <w:fldChar w:fldCharType="end"/>
      </w:r>
      <w:r w:rsidR="007A5F12">
        <w:rPr>
          <w:vertAlign w:val="superscript"/>
        </w:rPr>
        <w:t>,</w:t>
      </w:r>
      <w:r w:rsidR="007A5F12">
        <w:rPr>
          <w:vertAlign w:val="superscript"/>
        </w:rPr>
        <w:fldChar w:fldCharType="begin"/>
      </w:r>
      <w:r w:rsidR="007A5F12">
        <w:rPr>
          <w:vertAlign w:val="superscript"/>
        </w:rPr>
        <w:instrText xml:space="preserve"> NOTEREF _Ref136516393 \h  \* MERGEFORMAT </w:instrText>
      </w:r>
      <w:r w:rsidR="007A5F12">
        <w:rPr>
          <w:vertAlign w:val="superscript"/>
        </w:rPr>
      </w:r>
      <w:r w:rsidR="007A5F12">
        <w:rPr>
          <w:vertAlign w:val="superscript"/>
        </w:rPr>
        <w:fldChar w:fldCharType="separate"/>
      </w:r>
      <w:r w:rsidR="007A5F12">
        <w:rPr>
          <w:vertAlign w:val="superscript"/>
        </w:rPr>
        <w:t>18</w:t>
      </w:r>
      <w:r w:rsidR="007A5F12">
        <w:rPr>
          <w:vertAlign w:val="superscript"/>
        </w:rPr>
        <w:fldChar w:fldCharType="end"/>
      </w:r>
      <w:r>
        <w:t xml:space="preserve"> for patients who did not receive neoadjuvant cisplatin and who also either were ineligible for or refused adjuvant cisplatin.</w:t>
      </w:r>
    </w:p>
    <w:p w14:paraId="543EDA04" w14:textId="5591DA67" w:rsidR="00B84D17" w:rsidRDefault="00B84D17" w:rsidP="00B84D17">
      <w:r>
        <w:t xml:space="preserve">The ACM advised that it would be appropriate to define high risk by staging criteria in the </w:t>
      </w:r>
      <w:r w:rsidR="00547F10">
        <w:t>P</w:t>
      </w:r>
      <w:r>
        <w:t xml:space="preserve">roduct </w:t>
      </w:r>
      <w:r w:rsidR="00547F10">
        <w:t>I</w:t>
      </w:r>
      <w:r>
        <w:t>nformation (PI) and that this should be guided by the clinical trial entry criteria.</w:t>
      </w:r>
    </w:p>
    <w:p w14:paraId="0A3EA033" w14:textId="7BADAD59" w:rsidR="00B84D17" w:rsidRDefault="00B84D17" w:rsidP="00B84D17">
      <w:r>
        <w:t>The ACM noted that this would be useful for prescribers as they will be aware of the stage of the disease.</w:t>
      </w:r>
    </w:p>
    <w:p w14:paraId="1F9488B7" w14:textId="42281AFC" w:rsidR="00B84D17" w:rsidRDefault="00B84D17" w:rsidP="00B84D17">
      <w:r w:rsidRPr="00CB77AF">
        <w:t xml:space="preserve">The ACM discussed the overall survival rates noting that this data is immature. The ACM agreed that for adjuvant treatment </w:t>
      </w:r>
      <w:r w:rsidR="007A5F12" w:rsidRPr="00CB77AF">
        <w:t xml:space="preserve">overall survival </w:t>
      </w:r>
      <w:r w:rsidRPr="00CB77AF">
        <w:t xml:space="preserve">data is critical, as within this setting the clinician’s aim is often to increase </w:t>
      </w:r>
      <w:r w:rsidR="007A5F12" w:rsidRPr="00CB77AF">
        <w:t>overall survival</w:t>
      </w:r>
      <w:r w:rsidRPr="00CB77AF">
        <w:t>. Noting the</w:t>
      </w:r>
      <w:r>
        <w:t xml:space="preserve"> importance of the </w:t>
      </w:r>
      <w:r w:rsidR="007A5F12" w:rsidRPr="00CB77AF">
        <w:t xml:space="preserve">overall survival </w:t>
      </w:r>
      <w:r>
        <w:t xml:space="preserve">endpoint, </w:t>
      </w:r>
      <w:r>
        <w:lastRenderedPageBreak/>
        <w:t xml:space="preserve">the ACM was supportive of the mature </w:t>
      </w:r>
      <w:r w:rsidR="007A5F12" w:rsidRPr="00CB77AF">
        <w:t xml:space="preserve">overall survival </w:t>
      </w:r>
      <w:r>
        <w:t>data being provided to the TGA once available and agreed with having this as a condition of registration.</w:t>
      </w:r>
    </w:p>
    <w:p w14:paraId="204D9333" w14:textId="77777777" w:rsidR="00B84D17" w:rsidRDefault="00B84D17" w:rsidP="00B84D17">
      <w:r>
        <w:t>The ACM also noted that there is not yet strong data in support of the use of nivolumab within upper urothelial tract cancers (renal pelvis and ureter) and agreed that this should be noted within the PI.</w:t>
      </w:r>
    </w:p>
    <w:p w14:paraId="5B14C047" w14:textId="77777777" w:rsidR="00B84D17" w:rsidRDefault="00B84D17" w:rsidP="00B84D17">
      <w:r>
        <w:t>Overall, noting that much of the submitted data for this submission is early data, the ACM was of the view that the indication should remain as proposed and additional details be included within the PI at this time.</w:t>
      </w:r>
    </w:p>
    <w:p w14:paraId="462138D6" w14:textId="7EB6FA0A" w:rsidR="00B84D17" w:rsidRPr="00524265" w:rsidRDefault="00B84D17" w:rsidP="00524265">
      <w:pPr>
        <w:pStyle w:val="Numberbullet0"/>
        <w:rPr>
          <w:b/>
          <w:bCs/>
          <w:i/>
          <w:iCs/>
        </w:rPr>
      </w:pPr>
      <w:r w:rsidRPr="00524265">
        <w:rPr>
          <w:b/>
          <w:bCs/>
          <w:i/>
          <w:iCs/>
        </w:rPr>
        <w:t>Identification of exploratory subgroups likely to have less benefit from treatment with nivolumab.</w:t>
      </w:r>
    </w:p>
    <w:p w14:paraId="038E49CE" w14:textId="2066B818" w:rsidR="00B84D17" w:rsidRPr="00524265" w:rsidRDefault="00B84D17" w:rsidP="00524265">
      <w:pPr>
        <w:pStyle w:val="Numberbullet0"/>
        <w:numPr>
          <w:ilvl w:val="0"/>
          <w:numId w:val="0"/>
        </w:numPr>
        <w:ind w:left="360"/>
        <w:rPr>
          <w:b/>
          <w:bCs/>
          <w:i/>
          <w:iCs/>
        </w:rPr>
      </w:pPr>
      <w:r w:rsidRPr="00524265">
        <w:rPr>
          <w:b/>
          <w:bCs/>
          <w:i/>
          <w:iCs/>
        </w:rPr>
        <w:t xml:space="preserve">The ACM is requested to consider whether the exploratory </w:t>
      </w:r>
      <w:r w:rsidR="007A5F12">
        <w:rPr>
          <w:b/>
          <w:bCs/>
          <w:i/>
          <w:iCs/>
        </w:rPr>
        <w:t>disease-free survival</w:t>
      </w:r>
      <w:r w:rsidR="007A5F12" w:rsidRPr="00524265">
        <w:rPr>
          <w:b/>
          <w:bCs/>
          <w:i/>
          <w:iCs/>
        </w:rPr>
        <w:t xml:space="preserve"> </w:t>
      </w:r>
      <w:r w:rsidRPr="00CB77AF">
        <w:rPr>
          <w:b/>
          <w:bCs/>
          <w:i/>
          <w:iCs/>
        </w:rPr>
        <w:t xml:space="preserve">and </w:t>
      </w:r>
      <w:r w:rsidR="007A5F12" w:rsidRPr="007A5F12">
        <w:rPr>
          <w:b/>
          <w:bCs/>
          <w:i/>
          <w:iCs/>
        </w:rPr>
        <w:t xml:space="preserve">overall survival </w:t>
      </w:r>
      <w:r w:rsidRPr="00CB77AF">
        <w:rPr>
          <w:b/>
          <w:bCs/>
          <w:i/>
          <w:iCs/>
        </w:rPr>
        <w:t>results</w:t>
      </w:r>
      <w:r w:rsidRPr="00524265">
        <w:rPr>
          <w:b/>
          <w:bCs/>
          <w:i/>
          <w:iCs/>
        </w:rPr>
        <w:t xml:space="preserve"> for these exploratory subgroups (comprising </w:t>
      </w:r>
      <w:r w:rsidR="007A5F12">
        <w:rPr>
          <w:b/>
          <w:bCs/>
          <w:i/>
          <w:iCs/>
        </w:rPr>
        <w:t xml:space="preserve">around </w:t>
      </w:r>
      <w:r w:rsidRPr="00524265">
        <w:rPr>
          <w:b/>
          <w:bCs/>
          <w:i/>
          <w:iCs/>
        </w:rPr>
        <w:t xml:space="preserve">59% of the </w:t>
      </w:r>
      <w:r w:rsidR="007A5F12" w:rsidRPr="007A5F12">
        <w:rPr>
          <w:b/>
          <w:bCs/>
          <w:i/>
          <w:iCs/>
        </w:rPr>
        <w:t>Study CA209274 (</w:t>
      </w:r>
      <w:proofErr w:type="spellStart"/>
      <w:r w:rsidR="007A5F12" w:rsidRPr="007A5F12">
        <w:rPr>
          <w:b/>
          <w:bCs/>
          <w:i/>
          <w:iCs/>
        </w:rPr>
        <w:t>CheckMate</w:t>
      </w:r>
      <w:proofErr w:type="spellEnd"/>
      <w:r w:rsidR="007A5F12" w:rsidRPr="007A5F12">
        <w:rPr>
          <w:b/>
          <w:bCs/>
          <w:i/>
          <w:iCs/>
        </w:rPr>
        <w:t xml:space="preserve"> 274 trial</w:t>
      </w:r>
      <w:r w:rsidR="007A5F12">
        <w:rPr>
          <w:b/>
          <w:bCs/>
          <w:i/>
          <w:iCs/>
        </w:rPr>
        <w:t>)</w:t>
      </w:r>
      <w:r w:rsidR="007A5F12" w:rsidRPr="007A5F12">
        <w:rPr>
          <w:b/>
          <w:bCs/>
          <w:i/>
          <w:iCs/>
        </w:rPr>
        <w:t xml:space="preserve"> </w:t>
      </w:r>
      <w:r w:rsidRPr="00524265">
        <w:rPr>
          <w:b/>
          <w:bCs/>
          <w:i/>
          <w:iCs/>
        </w:rPr>
        <w:t>study population with PD-L1</w:t>
      </w:r>
      <w:r w:rsidR="007A5F12">
        <w:rPr>
          <w:b/>
          <w:bCs/>
          <w:i/>
          <w:iCs/>
        </w:rPr>
        <w:t xml:space="preserve"> </w:t>
      </w:r>
      <w:r w:rsidRPr="00524265">
        <w:rPr>
          <w:b/>
          <w:bCs/>
          <w:i/>
          <w:iCs/>
        </w:rPr>
        <w:t>&lt;</w:t>
      </w:r>
      <w:r w:rsidR="007A5F12">
        <w:rPr>
          <w:b/>
          <w:bCs/>
          <w:i/>
          <w:iCs/>
        </w:rPr>
        <w:t xml:space="preserve"> </w:t>
      </w:r>
      <w:r w:rsidRPr="00524265">
        <w:rPr>
          <w:b/>
          <w:bCs/>
          <w:i/>
          <w:iCs/>
        </w:rPr>
        <w:t>1% and 21% of the study population with upper urothelial tract cancer) should be mentioned in the clinical trial description.</w:t>
      </w:r>
    </w:p>
    <w:p w14:paraId="04B21212" w14:textId="77777777" w:rsidR="00B84D17" w:rsidRDefault="00B84D17" w:rsidP="00B84D17">
      <w:r>
        <w:t>The ACM advised that while it appears there is greater benefit with higher PD-L1 expression, there is also evidence in the data to date of a broader benefit.</w:t>
      </w:r>
    </w:p>
    <w:p w14:paraId="3E6BF2CA" w14:textId="77777777" w:rsidR="00B84D17" w:rsidRDefault="00B84D17" w:rsidP="00B84D17">
      <w:r>
        <w:t>The ACM noted that the information currently available is early exploratory data and questioned whether it is appropriate to use this data within the PI to further define subgroups that would benefit from treatment with nivolumab. The ACM noted that the sample size for some tumours is not very large and there is currently a high level of uncertainly within this space.</w:t>
      </w:r>
    </w:p>
    <w:p w14:paraId="4E4DF657" w14:textId="6DA0577A" w:rsidR="00B84D17" w:rsidRDefault="00B84D17" w:rsidP="00B84D17">
      <w:r>
        <w:t xml:space="preserve">The ACM reiterated that while </w:t>
      </w:r>
      <w:r w:rsidR="007A5F12">
        <w:t xml:space="preserve">disease-free survival </w:t>
      </w:r>
      <w:r>
        <w:t xml:space="preserve">is a relevant outcome, oncologists often refer </w:t>
      </w:r>
      <w:r w:rsidRPr="00CB77AF">
        <w:t xml:space="preserve">to </w:t>
      </w:r>
      <w:r w:rsidR="007A5F12">
        <w:t xml:space="preserve">overall survival </w:t>
      </w:r>
      <w:r w:rsidRPr="00CB77AF">
        <w:t>data and</w:t>
      </w:r>
      <w:r>
        <w:t xml:space="preserve"> long-term toxicity when determining benefit risk profiles.</w:t>
      </w:r>
    </w:p>
    <w:p w14:paraId="1FF041F9" w14:textId="3B48C2A1" w:rsidR="00B84D17" w:rsidRPr="00524265" w:rsidRDefault="00B84D17" w:rsidP="00524265">
      <w:pPr>
        <w:pStyle w:val="Numberbullet0"/>
        <w:rPr>
          <w:b/>
          <w:bCs/>
          <w:i/>
          <w:iCs/>
        </w:rPr>
      </w:pPr>
      <w:r w:rsidRPr="00524265">
        <w:rPr>
          <w:b/>
          <w:bCs/>
          <w:i/>
          <w:iCs/>
        </w:rPr>
        <w:t>I</w:t>
      </w:r>
      <w:r w:rsidR="007A5F12">
        <w:rPr>
          <w:b/>
          <w:bCs/>
          <w:i/>
          <w:iCs/>
        </w:rPr>
        <w:t>t is</w:t>
      </w:r>
      <w:r w:rsidRPr="00524265">
        <w:rPr>
          <w:b/>
          <w:bCs/>
          <w:i/>
          <w:iCs/>
        </w:rPr>
        <w:t xml:space="preserve"> propose</w:t>
      </w:r>
      <w:r w:rsidR="007A5F12">
        <w:rPr>
          <w:b/>
          <w:bCs/>
          <w:i/>
          <w:iCs/>
        </w:rPr>
        <w:t>d</w:t>
      </w:r>
      <w:r w:rsidRPr="00524265">
        <w:rPr>
          <w:b/>
          <w:bCs/>
          <w:i/>
          <w:iCs/>
        </w:rPr>
        <w:t xml:space="preserve"> </w:t>
      </w:r>
      <w:r w:rsidR="007A5F12">
        <w:rPr>
          <w:b/>
          <w:bCs/>
          <w:i/>
          <w:iCs/>
        </w:rPr>
        <w:t xml:space="preserve">that the </w:t>
      </w:r>
      <w:r w:rsidRPr="00524265">
        <w:rPr>
          <w:b/>
          <w:bCs/>
          <w:i/>
          <w:iCs/>
        </w:rPr>
        <w:t xml:space="preserve">test used to determine tumour PD-L1 percentage </w:t>
      </w:r>
      <w:r w:rsidR="007A5F12">
        <w:rPr>
          <w:b/>
          <w:bCs/>
          <w:i/>
          <w:iCs/>
        </w:rPr>
        <w:t xml:space="preserve">be included </w:t>
      </w:r>
      <w:r w:rsidRPr="00524265">
        <w:rPr>
          <w:b/>
          <w:bCs/>
          <w:i/>
          <w:iCs/>
        </w:rPr>
        <w:t>in the clinical trial description.</w:t>
      </w:r>
    </w:p>
    <w:p w14:paraId="5F1FA32E" w14:textId="715F761F" w:rsidR="00B84D17" w:rsidRPr="00524265" w:rsidRDefault="007A5F12" w:rsidP="00524265">
      <w:pPr>
        <w:pStyle w:val="Numberbullet0"/>
        <w:numPr>
          <w:ilvl w:val="0"/>
          <w:numId w:val="0"/>
        </w:numPr>
        <w:ind w:left="360"/>
        <w:rPr>
          <w:b/>
          <w:bCs/>
          <w:i/>
          <w:iCs/>
        </w:rPr>
      </w:pPr>
      <w:r>
        <w:rPr>
          <w:b/>
          <w:bCs/>
          <w:i/>
          <w:iCs/>
        </w:rPr>
        <w:t xml:space="preserve">The Delegate </w:t>
      </w:r>
      <w:r w:rsidR="00B84D17" w:rsidRPr="00524265">
        <w:rPr>
          <w:b/>
          <w:bCs/>
          <w:i/>
          <w:iCs/>
        </w:rPr>
        <w:t>request</w:t>
      </w:r>
      <w:r>
        <w:rPr>
          <w:b/>
          <w:bCs/>
          <w:i/>
          <w:iCs/>
        </w:rPr>
        <w:t>s</w:t>
      </w:r>
      <w:r w:rsidR="00B84D17" w:rsidRPr="00524265">
        <w:rPr>
          <w:b/>
          <w:bCs/>
          <w:i/>
          <w:iCs/>
        </w:rPr>
        <w:t xml:space="preserve"> the ACM to comment on the availability of tumour PD-L1 testing being conducted in Australia, including the specific test applied in the clinical trial supporting the proposed indication.</w:t>
      </w:r>
    </w:p>
    <w:p w14:paraId="5BC3FE9D" w14:textId="76438915" w:rsidR="00B84D17" w:rsidRDefault="00B84D17" w:rsidP="00B84D17">
      <w:r>
        <w:t>The ACM advised that PD-L1 tumour testing is widely available within Australia</w:t>
      </w:r>
      <w:r w:rsidR="007A5F12">
        <w:t>; it</w:t>
      </w:r>
      <w:r>
        <w:t xml:space="preserve"> </w:t>
      </w:r>
      <w:proofErr w:type="gramStart"/>
      <w:r>
        <w:t xml:space="preserve">is considered </w:t>
      </w:r>
      <w:r w:rsidR="007A5F12">
        <w:t>to be</w:t>
      </w:r>
      <w:proofErr w:type="gramEnd"/>
      <w:r w:rsidR="007A5F12">
        <w:t xml:space="preserve"> the </w:t>
      </w:r>
      <w:r>
        <w:t>standard of care across a number of tumour types and is required to determine treatment options.</w:t>
      </w:r>
    </w:p>
    <w:p w14:paraId="090BC440" w14:textId="3701599F" w:rsidR="00B84D17" w:rsidRDefault="00B84D17" w:rsidP="00B84D17">
      <w:r>
        <w:t>To assist in the management of the well-known variations with different antibodies, the ACM advised that the specific test used within the clinical trials (</w:t>
      </w:r>
      <w:r w:rsidR="007A5F12">
        <w:t xml:space="preserve">the </w:t>
      </w:r>
      <w:proofErr w:type="spellStart"/>
      <w:r w:rsidR="007A5F12">
        <w:t>PharmDx</w:t>
      </w:r>
      <w:proofErr w:type="spellEnd"/>
      <w:r w:rsidR="007A5F12">
        <w:t xml:space="preserve"> </w:t>
      </w:r>
      <w:proofErr w:type="spellStart"/>
      <w:r>
        <w:t>Dako</w:t>
      </w:r>
      <w:proofErr w:type="spellEnd"/>
      <w:r>
        <w:t xml:space="preserve"> </w:t>
      </w:r>
      <w:r w:rsidR="007A5F12">
        <w:t xml:space="preserve">IHC </w:t>
      </w:r>
      <w:r>
        <w:t>28-8 and the associated PD-L1 criteria) should be listed within the clinical trials section of the PI.</w:t>
      </w:r>
    </w:p>
    <w:p w14:paraId="23747E5A" w14:textId="2733F7C9" w:rsidR="00B84D17" w:rsidRDefault="007A5F12" w:rsidP="00524265">
      <w:pPr>
        <w:pStyle w:val="Numberbullet0"/>
      </w:pPr>
      <w:r>
        <w:rPr>
          <w:b/>
          <w:bCs/>
          <w:i/>
          <w:iCs/>
        </w:rPr>
        <w:t>Regarding the d</w:t>
      </w:r>
      <w:r w:rsidR="00B84D17" w:rsidRPr="00524265">
        <w:rPr>
          <w:b/>
          <w:bCs/>
          <w:i/>
          <w:iCs/>
        </w:rPr>
        <w:t>epiction of adverse events associated with nivolumab in</w:t>
      </w:r>
      <w:r>
        <w:rPr>
          <w:b/>
          <w:i/>
        </w:rPr>
        <w:t xml:space="preserve"> the Product Information:</w:t>
      </w:r>
    </w:p>
    <w:p w14:paraId="472017E3" w14:textId="0FB5A6D3" w:rsidR="00B84D17" w:rsidRPr="00524265" w:rsidRDefault="00B84D17" w:rsidP="00524265">
      <w:pPr>
        <w:pStyle w:val="Numberbullet0"/>
        <w:numPr>
          <w:ilvl w:val="0"/>
          <w:numId w:val="0"/>
        </w:numPr>
        <w:ind w:left="360"/>
        <w:rPr>
          <w:b/>
          <w:bCs/>
          <w:i/>
          <w:iCs/>
        </w:rPr>
      </w:pPr>
      <w:r w:rsidRPr="00524265">
        <w:rPr>
          <w:b/>
          <w:bCs/>
          <w:i/>
          <w:iCs/>
        </w:rPr>
        <w:t xml:space="preserve">The ACM is requested to comment on the proposed presentation of adverse reactions for monotherapy nivolumab including whether there should be separate presentations for the adjuvant monotherapy indications in the </w:t>
      </w:r>
      <w:r w:rsidR="007A5F12">
        <w:rPr>
          <w:b/>
          <w:bCs/>
          <w:i/>
          <w:iCs/>
        </w:rPr>
        <w:t>Product Information</w:t>
      </w:r>
      <w:r w:rsidRPr="00524265">
        <w:rPr>
          <w:b/>
          <w:bCs/>
          <w:i/>
          <w:iCs/>
        </w:rPr>
        <w:t>.</w:t>
      </w:r>
    </w:p>
    <w:p w14:paraId="35414D76" w14:textId="77777777" w:rsidR="00B84D17" w:rsidRDefault="00B84D17" w:rsidP="00B84D17">
      <w:r>
        <w:t>The ACM agreed that a consolidated presentation of single agent toxicity is appropriate and noted that repeating the same information may dilute the meaning. The ACM however highlighted that the risk/benefit discussion is different in the adjuvant versus advanced disease setting where long term toxicity may have greater clinical relevance.</w:t>
      </w:r>
    </w:p>
    <w:p w14:paraId="25457439" w14:textId="77777777" w:rsidR="00B84D17" w:rsidRDefault="00B84D17" w:rsidP="00B84D17">
      <w:r>
        <w:lastRenderedPageBreak/>
        <w:t>The ACM highlighted that it is important that the treating clinician engage in individualised risk/benefit discussions with the patient.</w:t>
      </w:r>
    </w:p>
    <w:p w14:paraId="5291EA2A" w14:textId="77777777" w:rsidR="00C22214" w:rsidRPr="00F73346" w:rsidRDefault="00C22214" w:rsidP="00C22214">
      <w:pPr>
        <w:pStyle w:val="Heading5"/>
      </w:pPr>
      <w:r w:rsidRPr="00F73346">
        <w:t>Conclusion</w:t>
      </w:r>
    </w:p>
    <w:p w14:paraId="500A7864" w14:textId="20964281" w:rsidR="00B84D17" w:rsidRPr="00B84D17" w:rsidRDefault="00B84D17" w:rsidP="00B84D17">
      <w:pPr>
        <w:rPr>
          <w:szCs w:val="22"/>
        </w:rPr>
      </w:pPr>
      <w:r w:rsidRPr="00B84D17">
        <w:rPr>
          <w:szCs w:val="22"/>
        </w:rPr>
        <w:t>The ACM considered this product to have an overall positive benefit-risk profile for the indication:</w:t>
      </w:r>
    </w:p>
    <w:p w14:paraId="0C535A07" w14:textId="1F8F0B88" w:rsidR="00B84D17" w:rsidRPr="00B84D17" w:rsidRDefault="00B84D17" w:rsidP="00B84D17">
      <w:pPr>
        <w:ind w:left="720"/>
        <w:rPr>
          <w:i/>
          <w:iCs/>
          <w:szCs w:val="22"/>
        </w:rPr>
      </w:pPr>
      <w:r w:rsidRPr="00B84D17">
        <w:rPr>
          <w:i/>
          <w:iCs/>
          <w:szCs w:val="22"/>
        </w:rPr>
        <w:t>O</w:t>
      </w:r>
      <w:r>
        <w:rPr>
          <w:i/>
          <w:iCs/>
          <w:szCs w:val="22"/>
        </w:rPr>
        <w:t>pdivo</w:t>
      </w:r>
      <w:r w:rsidRPr="00B84D17">
        <w:rPr>
          <w:i/>
          <w:iCs/>
          <w:szCs w:val="22"/>
        </w:rPr>
        <w:t>, as monotherapy, is indicated for the adjuvant treatment of patients with muscle invasive urothelial carcinoma (MIUC) who are at high risk of recurrence after undergoing radical resection of MIUC</w:t>
      </w:r>
      <w:r>
        <w:rPr>
          <w:i/>
          <w:iCs/>
          <w:szCs w:val="22"/>
        </w:rPr>
        <w:t>.</w:t>
      </w:r>
    </w:p>
    <w:p w14:paraId="307F236C" w14:textId="77777777" w:rsidR="00C22214" w:rsidRPr="002E238E" w:rsidRDefault="00C22214" w:rsidP="00C22214">
      <w:pPr>
        <w:pStyle w:val="Heading2"/>
      </w:pPr>
      <w:bookmarkStart w:id="71" w:name="_Toc103679300"/>
      <w:bookmarkStart w:id="72" w:name="_Toc136880563"/>
      <w:r>
        <w:t>Outcome</w:t>
      </w:r>
      <w:bookmarkEnd w:id="69"/>
      <w:bookmarkEnd w:id="70"/>
      <w:bookmarkEnd w:id="71"/>
      <w:bookmarkEnd w:id="72"/>
    </w:p>
    <w:p w14:paraId="5C1B7BB6" w14:textId="1DE13428" w:rsidR="00524265" w:rsidRDefault="00C22214" w:rsidP="00524265">
      <w:r w:rsidRPr="00BD5DBD">
        <w:t xml:space="preserve">Based on a review of quality, safety, and efficacy, the TGA approved the registration of </w:t>
      </w:r>
      <w:r w:rsidR="00524265">
        <w:t xml:space="preserve">Opdivo (nivolumab) 40 mg in 4 mL, 100 mg in 10 mL, 240 mg in 24 mL concentrated solution for infusion vial for </w:t>
      </w:r>
      <w:r w:rsidRPr="00BD5DBD">
        <w:t>the following extension of indications:</w:t>
      </w:r>
    </w:p>
    <w:p w14:paraId="639AB4CD" w14:textId="65570486" w:rsidR="00524265" w:rsidRPr="00524265" w:rsidRDefault="00524265" w:rsidP="00524265">
      <w:pPr>
        <w:ind w:left="720"/>
        <w:rPr>
          <w:i/>
          <w:iCs/>
        </w:rPr>
      </w:pPr>
      <w:r w:rsidRPr="00524265">
        <w:rPr>
          <w:i/>
          <w:iCs/>
        </w:rPr>
        <w:t>O</w:t>
      </w:r>
      <w:r>
        <w:rPr>
          <w:i/>
          <w:iCs/>
        </w:rPr>
        <w:t>pdivo</w:t>
      </w:r>
      <w:r w:rsidRPr="00524265">
        <w:rPr>
          <w:i/>
          <w:iCs/>
        </w:rPr>
        <w:t>, as monotherapy, is indicated for the adjuvant treatment of patients with muscle invasive urothelial carcinoma (MIUC) who are at high risk of recurrence after undergoing radical resection of MIUC.</w:t>
      </w:r>
    </w:p>
    <w:p w14:paraId="6D25891E" w14:textId="77777777" w:rsidR="00C22214" w:rsidRPr="00D23139" w:rsidRDefault="00C22214" w:rsidP="00C22214">
      <w:pPr>
        <w:pStyle w:val="Heading3"/>
      </w:pPr>
      <w:bookmarkStart w:id="73" w:name="_Toc103679301"/>
      <w:bookmarkStart w:id="74" w:name="_Toc136880564"/>
      <w:r w:rsidRPr="00D23139">
        <w:t>Specific conditions of registration applying to these goods</w:t>
      </w:r>
      <w:bookmarkEnd w:id="73"/>
      <w:bookmarkEnd w:id="74"/>
    </w:p>
    <w:p w14:paraId="24DC780D" w14:textId="38F64CA9" w:rsidR="00524265" w:rsidRPr="00524265" w:rsidRDefault="00524265" w:rsidP="00524265">
      <w:pPr>
        <w:pStyle w:val="ListBullet"/>
      </w:pPr>
      <w:r>
        <w:t>For all injectable products the Product Information must be included with the product as a package insert.</w:t>
      </w:r>
    </w:p>
    <w:p w14:paraId="451DC3FC" w14:textId="77777777" w:rsidR="00C22214" w:rsidRDefault="00C22214" w:rsidP="00C22214">
      <w:pPr>
        <w:pStyle w:val="Heading2"/>
      </w:pPr>
      <w:bookmarkStart w:id="75" w:name="_Toc103679303"/>
      <w:bookmarkStart w:id="76" w:name="_Toc136880565"/>
      <w:r>
        <w:t>Attachment 1. Product Information</w:t>
      </w:r>
      <w:bookmarkEnd w:id="75"/>
      <w:bookmarkEnd w:id="76"/>
    </w:p>
    <w:p w14:paraId="21F47164" w14:textId="42A4D257" w:rsidR="00C22214" w:rsidRPr="00BD5DBD" w:rsidRDefault="00C22214" w:rsidP="00C22214">
      <w:pPr>
        <w:rPr>
          <w:szCs w:val="22"/>
        </w:rPr>
      </w:pPr>
      <w:r w:rsidRPr="00BD5DBD">
        <w:rPr>
          <w:szCs w:val="22"/>
        </w:rPr>
        <w:t xml:space="preserve">The </w:t>
      </w:r>
      <w:r w:rsidR="00547F10">
        <w:rPr>
          <w:szCs w:val="22"/>
        </w:rPr>
        <w:t xml:space="preserve">Product </w:t>
      </w:r>
      <w:r w:rsidRPr="00BD5DBD">
        <w:rPr>
          <w:szCs w:val="22"/>
        </w:rPr>
        <w:t>I</w:t>
      </w:r>
      <w:r w:rsidR="00547F10">
        <w:rPr>
          <w:szCs w:val="22"/>
        </w:rPr>
        <w:t>nformation</w:t>
      </w:r>
      <w:r w:rsidRPr="00BD5DBD">
        <w:rPr>
          <w:szCs w:val="22"/>
        </w:rPr>
        <w:t xml:space="preserve"> for </w:t>
      </w:r>
      <w:r w:rsidR="00524265">
        <w:rPr>
          <w:szCs w:val="22"/>
        </w:rPr>
        <w:t>Opdivo</w:t>
      </w:r>
      <w:r w:rsidRPr="00BD5DBD">
        <w:rPr>
          <w:szCs w:val="22"/>
        </w:rPr>
        <w:t xml:space="preserve"> approved with the submission which is described in this AusPAR is at Attachment 1. For the most recent PI, please refer to the TGA </w:t>
      </w:r>
      <w:hyperlink r:id="rId36" w:history="1">
        <w:r w:rsidRPr="00BD5DBD">
          <w:rPr>
            <w:rStyle w:val="Hyperlink"/>
            <w:szCs w:val="22"/>
          </w:rPr>
          <w:t>PI/CMI search facility.</w:t>
        </w:r>
      </w:hyperlink>
      <w:r w:rsidRPr="00BD5DBD">
        <w:rPr>
          <w:szCs w:val="22"/>
        </w:rPr>
        <w:t xml:space="preserve"> </w:t>
      </w:r>
    </w:p>
    <w:p w14:paraId="40740B65" w14:textId="77777777" w:rsidR="00C22214" w:rsidRPr="008B4DA3" w:rsidRDefault="00C22214" w:rsidP="00C22214">
      <w:pPr>
        <w:autoSpaceDE w:val="0"/>
        <w:autoSpaceDN w:val="0"/>
        <w:adjustRightInd w:val="0"/>
        <w:spacing w:after="0"/>
      </w:pPr>
      <w:r w:rsidRPr="00C80137">
        <w:rPr>
          <w:b/>
        </w:rPr>
        <w:br w:type="page"/>
      </w:r>
    </w:p>
    <w:p w14:paraId="53357BF3" w14:textId="276457B5" w:rsidR="00C22214" w:rsidRDefault="00C22214" w:rsidP="00C22214">
      <w:pPr>
        <w:rPr>
          <w:lang w:eastAsia="ja-JP"/>
        </w:rPr>
        <w:sectPr w:rsidR="00C22214" w:rsidSect="007452E8">
          <w:headerReference w:type="default" r:id="rId37"/>
          <w:footerReference w:type="default" r:id="rId38"/>
          <w:pgSz w:w="11906" w:h="16838" w:code="9"/>
          <w:pgMar w:top="1134" w:right="1418" w:bottom="1361" w:left="1418" w:header="573" w:footer="567" w:gutter="0"/>
          <w:cols w:space="708"/>
          <w:docGrid w:linePitch="360"/>
        </w:sectPr>
      </w:pPr>
    </w:p>
    <w:tbl>
      <w:tblPr>
        <w:tblpPr w:leftFromText="180" w:rightFromText="180" w:horzAnchor="margin" w:tblpY="-420"/>
        <w:tblW w:w="9145" w:type="dxa"/>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B10515">
        <w:trPr>
          <w:trHeight w:hRule="exact" w:val="565"/>
        </w:trPr>
        <w:tc>
          <w:tcPr>
            <w:tcW w:w="9145" w:type="dxa"/>
          </w:tcPr>
          <w:bookmarkEnd w:id="3"/>
          <w:bookmarkEnd w:id="4"/>
          <w:p w14:paraId="7E090B86" w14:textId="77777777" w:rsidR="00F02AEC" w:rsidRPr="00215D48" w:rsidRDefault="00F02AEC" w:rsidP="00B10515">
            <w:pPr>
              <w:pStyle w:val="TGASignoff"/>
            </w:pPr>
            <w:r w:rsidRPr="00215D48">
              <w:lastRenderedPageBreak/>
              <w:t>Therapeutic Goods Administration</w:t>
            </w:r>
          </w:p>
        </w:tc>
      </w:tr>
      <w:tr w:rsidR="00F02AEC" w:rsidRPr="00215D48" w14:paraId="70F47EA1" w14:textId="77777777" w:rsidTr="00B10515">
        <w:trPr>
          <w:trHeight w:val="963"/>
        </w:trPr>
        <w:tc>
          <w:tcPr>
            <w:tcW w:w="9145" w:type="dxa"/>
            <w:tcMar>
              <w:top w:w="28" w:type="dxa"/>
            </w:tcMar>
          </w:tcPr>
          <w:p w14:paraId="3491EBCD" w14:textId="77777777" w:rsidR="00F02AEC" w:rsidRPr="00215D48" w:rsidRDefault="00F02AEC" w:rsidP="00B10515">
            <w:pPr>
              <w:pStyle w:val="Address"/>
              <w:jc w:val="center"/>
            </w:pPr>
            <w:r w:rsidRPr="00215D48">
              <w:t>PO Box 100 Woden ACT 2606 Australia</w:t>
            </w:r>
          </w:p>
          <w:p w14:paraId="5D0FE0E7" w14:textId="6C576B6C" w:rsidR="00F02AEC" w:rsidRDefault="00F02AEC" w:rsidP="00B10515">
            <w:pPr>
              <w:pStyle w:val="Address"/>
              <w:jc w:val="center"/>
              <w:rPr>
                <w:sz w:val="22"/>
                <w:szCs w:val="22"/>
              </w:rPr>
            </w:pPr>
            <w:r w:rsidRPr="00215D48">
              <w:t xml:space="preserve">Email: </w:t>
            </w:r>
            <w:hyperlink r:id="rId39" w:history="1">
              <w:r w:rsidRPr="00215D48">
                <w:rPr>
                  <w:rStyle w:val="Hyperlink"/>
                </w:rPr>
                <w:t>info@tga.gov.au</w:t>
              </w:r>
            </w:hyperlink>
            <w:r w:rsidRPr="00215D48">
              <w:t xml:space="preserve">  Phone: 1800 020 653 Fax: </w:t>
            </w:r>
            <w:r w:rsidRPr="00BA0DFC">
              <w:t>02 6203 1605</w:t>
            </w:r>
          </w:p>
          <w:p w14:paraId="4533D80F" w14:textId="70C0F21C" w:rsidR="00F02AEC" w:rsidRPr="00215D48" w:rsidRDefault="007007E8" w:rsidP="00B10515">
            <w:pPr>
              <w:pStyle w:val="Address"/>
              <w:jc w:val="center"/>
              <w:rPr>
                <w:rStyle w:val="Hyperlink"/>
                <w:b/>
                <w:color w:val="auto"/>
                <w:sz w:val="22"/>
              </w:rPr>
            </w:pPr>
            <w:hyperlink r:id="rId40" w:history="1">
              <w:r w:rsidR="00F02AEC" w:rsidRPr="00C4721A">
                <w:rPr>
                  <w:rStyle w:val="Hyperlink"/>
                  <w:b/>
                </w:rPr>
                <w:t>https://www.tga.gov.au</w:t>
              </w:r>
            </w:hyperlink>
          </w:p>
        </w:tc>
      </w:tr>
      <w:tr w:rsidR="00F02AEC" w:rsidRPr="00215D48" w14:paraId="2AD74347" w14:textId="77777777" w:rsidTr="00B10515">
        <w:trPr>
          <w:trHeight w:val="251"/>
        </w:trPr>
        <w:tc>
          <w:tcPr>
            <w:tcW w:w="9145" w:type="dxa"/>
            <w:tcMar>
              <w:top w:w="28" w:type="dxa"/>
            </w:tcMar>
          </w:tcPr>
          <w:p w14:paraId="6EAAD5C1" w14:textId="77777777" w:rsidR="00F02AEC" w:rsidRPr="00215D48" w:rsidRDefault="00F02AEC" w:rsidP="00B10515">
            <w:pPr>
              <w:pStyle w:val="Address"/>
              <w:jc w:val="center"/>
            </w:pPr>
            <w:r w:rsidRPr="00215D48">
              <w:t>Reference/Publication #</w:t>
            </w:r>
          </w:p>
        </w:tc>
      </w:tr>
    </w:tbl>
    <w:p w14:paraId="788B80FD" w14:textId="77777777" w:rsidR="007452E8" w:rsidRDefault="007452E8" w:rsidP="00B44A2F"/>
    <w:sectPr w:rsidR="007452E8" w:rsidSect="00B44A2F">
      <w:headerReference w:type="first" r:id="rId41"/>
      <w:footerReference w:type="first" r:id="rId42"/>
      <w:pgSz w:w="11906" w:h="16838" w:code="9"/>
      <w:pgMar w:top="13571" w:right="1701" w:bottom="567" w:left="1701" w:header="680"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DD94" w14:textId="77777777" w:rsidR="00A10E70" w:rsidRDefault="00A10E70" w:rsidP="00F02AEC">
      <w:pPr>
        <w:spacing w:after="0" w:line="240" w:lineRule="auto"/>
      </w:pPr>
      <w:r>
        <w:separator/>
      </w:r>
    </w:p>
  </w:endnote>
  <w:endnote w:type="continuationSeparator" w:id="0">
    <w:p w14:paraId="02FA0DAF" w14:textId="77777777" w:rsidR="00A10E70" w:rsidRDefault="00A10E70" w:rsidP="00F02AEC">
      <w:pPr>
        <w:spacing w:after="0" w:line="240" w:lineRule="auto"/>
      </w:pPr>
      <w:r>
        <w:continuationSeparator/>
      </w:r>
    </w:p>
  </w:endnote>
  <w:endnote w:type="continuationNotice" w:id="1">
    <w:p w14:paraId="66537B1E" w14:textId="77777777" w:rsidR="00A10E70" w:rsidRDefault="00A10E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hnschrift Light Condensed">
    <w:panose1 w:val="020B0502040204020203"/>
    <w:charset w:val="00"/>
    <w:family w:val="swiss"/>
    <w:pitch w:val="variable"/>
    <w:sig w:usb0="A00002C7" w:usb1="00000002"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214D2" w:rsidRPr="00257138" w14:paraId="162D69C2" w14:textId="77777777" w:rsidTr="007452E8">
      <w:trPr>
        <w:trHeight w:val="423"/>
      </w:trPr>
      <w:tc>
        <w:tcPr>
          <w:tcW w:w="4360" w:type="dxa"/>
          <w:tcBorders>
            <w:top w:val="single" w:sz="4" w:space="0" w:color="auto"/>
          </w:tcBorders>
        </w:tcPr>
        <w:p w14:paraId="32E1B782" w14:textId="77777777" w:rsidR="00A214D2" w:rsidRDefault="00A214D2" w:rsidP="007452E8">
          <w:pPr>
            <w:pStyle w:val="Footer"/>
          </w:pPr>
        </w:p>
        <w:p w14:paraId="1849C07C" w14:textId="77777777" w:rsidR="00A214D2" w:rsidRPr="00257138" w:rsidRDefault="00A214D2"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A214D2" w:rsidRDefault="00A214D2" w:rsidP="007452E8">
              <w:pPr>
                <w:pStyle w:val="Footer"/>
                <w:jc w:val="right"/>
              </w:pPr>
            </w:p>
            <w:p w14:paraId="5EDE6DF6" w14:textId="77777777" w:rsidR="00A214D2" w:rsidRPr="00257138" w:rsidRDefault="00A214D2"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NUMPAGES</w:instrText>
              </w:r>
              <w:r>
                <w:fldChar w:fldCharType="separate"/>
              </w:r>
              <w:r>
                <w:rPr>
                  <w:noProof/>
                </w:rPr>
                <w:t>2</w:t>
              </w:r>
              <w:r>
                <w:fldChar w:fldCharType="end"/>
              </w:r>
            </w:p>
          </w:sdtContent>
        </w:sdt>
      </w:tc>
    </w:tr>
    <w:tr w:rsidR="00A214D2" w:rsidRPr="00257138" w14:paraId="280F09C8" w14:textId="77777777" w:rsidTr="007452E8">
      <w:trPr>
        <w:trHeight w:val="263"/>
      </w:trPr>
      <w:tc>
        <w:tcPr>
          <w:tcW w:w="4360" w:type="dxa"/>
        </w:tcPr>
        <w:p w14:paraId="673F06D3" w14:textId="77777777" w:rsidR="00A214D2" w:rsidRPr="00257138" w:rsidRDefault="00A214D2" w:rsidP="007452E8">
          <w:pPr>
            <w:pStyle w:val="Footer"/>
          </w:pPr>
          <w:r w:rsidRPr="00257138">
            <w:t xml:space="preserve">V1.0 </w:t>
          </w:r>
          <w:r>
            <w:t>Month</w:t>
          </w:r>
          <w:r w:rsidRPr="00257138">
            <w:t xml:space="preserve"> 201</w:t>
          </w:r>
          <w:r>
            <w:t>2</w:t>
          </w:r>
        </w:p>
      </w:tc>
      <w:tc>
        <w:tcPr>
          <w:tcW w:w="4360" w:type="dxa"/>
        </w:tcPr>
        <w:p w14:paraId="77F5B433" w14:textId="77777777" w:rsidR="00A214D2" w:rsidRPr="00257138" w:rsidRDefault="00A214D2" w:rsidP="007452E8">
          <w:pPr>
            <w:pStyle w:val="Footer"/>
            <w:jc w:val="right"/>
          </w:pPr>
        </w:p>
      </w:tc>
    </w:tr>
  </w:tbl>
  <w:p w14:paraId="63F6FDDE" w14:textId="77777777" w:rsidR="00A214D2" w:rsidRPr="00826007" w:rsidRDefault="00A214D2"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A214D2" w:rsidRDefault="00A214D2"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214D2" w:rsidRPr="004A3084" w14:paraId="6266BC33" w14:textId="77777777" w:rsidTr="00CC6B3F">
      <w:trPr>
        <w:trHeight w:val="614"/>
      </w:trPr>
      <w:tc>
        <w:tcPr>
          <w:tcW w:w="7338" w:type="dxa"/>
          <w:tcBorders>
            <w:top w:val="single" w:sz="4" w:space="0" w:color="auto"/>
          </w:tcBorders>
        </w:tcPr>
        <w:p w14:paraId="3C421323" w14:textId="21906B66" w:rsidR="00A214D2" w:rsidRPr="004A3084" w:rsidRDefault="00A214D2" w:rsidP="007452E8">
          <w:pPr>
            <w:pStyle w:val="Footer"/>
          </w:pPr>
          <w:r w:rsidRPr="007926B6">
            <w:t xml:space="preserve">AusPAR - OPDIVO - Nivolumab - Bristol-Myers Squibb Australia Pty Ltd - PM-2021-02518-1-4 </w:t>
          </w:r>
          <w:r>
            <w:br/>
          </w:r>
          <w:r w:rsidR="00CC6B3F">
            <w:t>Final 6 June 2023</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14124650" w:rsidR="00A214D2" w:rsidRPr="004A3084" w:rsidRDefault="00A214D2" w:rsidP="007452E8">
              <w:pPr>
                <w:pStyle w:val="Footer"/>
                <w:jc w:val="right"/>
              </w:pPr>
              <w:r w:rsidRPr="004A3084">
                <w:t xml:space="preserve">Page </w:t>
              </w:r>
              <w:r>
                <w:fldChar w:fldCharType="begin"/>
              </w:r>
              <w:r>
                <w:instrText xml:space="preserve"> PAGE </w:instrText>
              </w:r>
              <w:r>
                <w:fldChar w:fldCharType="separate"/>
              </w:r>
              <w:r w:rsidR="007A5F12">
                <w:rPr>
                  <w:noProof/>
                </w:rPr>
                <w:t>23</w:t>
              </w:r>
              <w:r>
                <w:rPr>
                  <w:noProof/>
                </w:rPr>
                <w:fldChar w:fldCharType="end"/>
              </w:r>
              <w:r w:rsidRPr="004A3084">
                <w:t xml:space="preserve"> of </w:t>
              </w:r>
              <w:r>
                <w:fldChar w:fldCharType="begin"/>
              </w:r>
              <w:r>
                <w:instrText>NUMPAGES</w:instrText>
              </w:r>
              <w:r>
                <w:fldChar w:fldCharType="separate"/>
              </w:r>
              <w:r w:rsidR="007A5F12">
                <w:rPr>
                  <w:noProof/>
                </w:rPr>
                <w:t>24</w:t>
              </w:r>
              <w:r>
                <w:fldChar w:fldCharType="end"/>
              </w:r>
            </w:p>
          </w:sdtContent>
        </w:sdt>
      </w:tc>
    </w:tr>
  </w:tbl>
  <w:p w14:paraId="1A4EDE60" w14:textId="77777777" w:rsidR="00A214D2" w:rsidRPr="00826007" w:rsidRDefault="00A214D2"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A214D2" w:rsidRPr="008E3C43" w:rsidRDefault="00A214D2"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6978" w14:textId="77777777" w:rsidR="00A10E70" w:rsidRDefault="00A10E70" w:rsidP="00F02AEC">
      <w:pPr>
        <w:spacing w:after="0" w:line="240" w:lineRule="auto"/>
      </w:pPr>
      <w:r>
        <w:separator/>
      </w:r>
    </w:p>
  </w:footnote>
  <w:footnote w:type="continuationSeparator" w:id="0">
    <w:p w14:paraId="7DDE0FF8" w14:textId="77777777" w:rsidR="00A10E70" w:rsidRDefault="00A10E70" w:rsidP="00F02AEC">
      <w:pPr>
        <w:spacing w:after="0" w:line="240" w:lineRule="auto"/>
      </w:pPr>
      <w:r>
        <w:continuationSeparator/>
      </w:r>
    </w:p>
  </w:footnote>
  <w:footnote w:type="continuationNotice" w:id="1">
    <w:p w14:paraId="60BE639A" w14:textId="77777777" w:rsidR="00A10E70" w:rsidRDefault="00A10E70">
      <w:pPr>
        <w:spacing w:before="0" w:after="0" w:line="240" w:lineRule="auto"/>
      </w:pPr>
    </w:p>
  </w:footnote>
  <w:footnote w:id="2">
    <w:p w14:paraId="68402A9B" w14:textId="60286C39" w:rsidR="00A214D2" w:rsidRPr="00A93DC6" w:rsidRDefault="00A214D2">
      <w:pPr>
        <w:pStyle w:val="FootnoteText"/>
        <w:rPr>
          <w:lang w:val="en-GB"/>
        </w:rPr>
      </w:pPr>
      <w:r>
        <w:rPr>
          <w:rStyle w:val="FootnoteReference"/>
        </w:rPr>
        <w:footnoteRef/>
      </w:r>
      <w:r>
        <w:t xml:space="preserve"> This is the original indication proposed by the sponsor</w:t>
      </w:r>
      <w:r>
        <w:rPr>
          <w:lang w:val="en-GB"/>
        </w:rPr>
        <w:t xml:space="preserve"> when the TGA commenced the evaluation of this submission. It </w:t>
      </w:r>
      <w:r w:rsidRPr="007452E8">
        <w:rPr>
          <w:lang w:val="en-GB"/>
        </w:rPr>
        <w:t xml:space="preserve">may </w:t>
      </w:r>
      <w:r>
        <w:rPr>
          <w:lang w:val="en-GB"/>
        </w:rPr>
        <w:t>differ</w:t>
      </w:r>
      <w:r w:rsidRPr="007452E8">
        <w:rPr>
          <w:lang w:val="en-GB"/>
        </w:rPr>
        <w:t xml:space="preserve"> to the final indication approved by th</w:t>
      </w:r>
      <w:r>
        <w:rPr>
          <w:lang w:val="en-GB"/>
        </w:rPr>
        <w:t>e TGA and registered on the Australian Register of Therapeutic Goods.</w:t>
      </w:r>
    </w:p>
  </w:footnote>
  <w:footnote w:id="3">
    <w:p w14:paraId="402F1860" w14:textId="20FBFF65" w:rsidR="00A214D2" w:rsidRDefault="00A214D2" w:rsidP="00583F08">
      <w:pPr>
        <w:pStyle w:val="FootnoteText"/>
      </w:pPr>
      <w:r>
        <w:rPr>
          <w:rStyle w:val="FootnoteReference"/>
        </w:rPr>
        <w:footnoteRef/>
      </w:r>
      <w:r>
        <w:t xml:space="preserve"> National Comprehensive Cancer Network (NCCN) Clinical Practice Guidelines in Oncology. Bladder Cancer, Version 5. 2020.</w:t>
      </w:r>
    </w:p>
  </w:footnote>
  <w:footnote w:id="4">
    <w:p w14:paraId="7FFD3688" w14:textId="364EB760" w:rsidR="00963920" w:rsidRPr="00CC6B3F" w:rsidRDefault="00963920">
      <w:pPr>
        <w:pStyle w:val="FootnoteText"/>
        <w:rPr>
          <w:lang w:val="en-GB"/>
        </w:rPr>
      </w:pPr>
      <w:r>
        <w:rPr>
          <w:rStyle w:val="FootnoteReference"/>
        </w:rPr>
        <w:footnoteRef/>
      </w:r>
      <w:r>
        <w:t xml:space="preserve"> </w:t>
      </w:r>
      <w:r w:rsidRPr="00963920">
        <w:t xml:space="preserve">Siegel, R.L., et al. Cancer Statistics, 2021. </w:t>
      </w:r>
      <w:r w:rsidRPr="00CC6B3F">
        <w:rPr>
          <w:i/>
        </w:rPr>
        <w:t>Cancer J Clin,</w:t>
      </w:r>
      <w:r w:rsidRPr="00963920">
        <w:t xml:space="preserve"> 2021. 71: 7.</w:t>
      </w:r>
    </w:p>
  </w:footnote>
  <w:footnote w:id="5">
    <w:p w14:paraId="0AC97954" w14:textId="04B787EC" w:rsidR="007865B9" w:rsidRPr="00CC6B3F" w:rsidRDefault="007865B9">
      <w:pPr>
        <w:pStyle w:val="FootnoteText"/>
        <w:rPr>
          <w:lang w:val="en-GB"/>
        </w:rPr>
      </w:pPr>
      <w:r>
        <w:rPr>
          <w:rStyle w:val="FootnoteReference"/>
        </w:rPr>
        <w:footnoteRef/>
      </w:r>
      <w:r>
        <w:t xml:space="preserve"> </w:t>
      </w:r>
      <w:r w:rsidRPr="007865B9">
        <w:t xml:space="preserve">Burger, M., et al. Epidemiology and risk factors of urothelial bladder cancer. </w:t>
      </w:r>
      <w:proofErr w:type="spellStart"/>
      <w:r w:rsidRPr="00CC6B3F">
        <w:rPr>
          <w:i/>
        </w:rPr>
        <w:t>Eur</w:t>
      </w:r>
      <w:proofErr w:type="spellEnd"/>
      <w:r w:rsidRPr="00CC6B3F">
        <w:rPr>
          <w:i/>
        </w:rPr>
        <w:t xml:space="preserve"> </w:t>
      </w:r>
      <w:proofErr w:type="spellStart"/>
      <w:r w:rsidRPr="00CC6B3F">
        <w:rPr>
          <w:i/>
        </w:rPr>
        <w:t>Urol</w:t>
      </w:r>
      <w:proofErr w:type="spellEnd"/>
      <w:r w:rsidRPr="00CC6B3F">
        <w:rPr>
          <w:i/>
        </w:rPr>
        <w:t>,</w:t>
      </w:r>
      <w:r w:rsidRPr="007865B9">
        <w:t xml:space="preserve"> 2013. 63: 234.</w:t>
      </w:r>
    </w:p>
  </w:footnote>
  <w:footnote w:id="6">
    <w:p w14:paraId="160F8E37" w14:textId="4F7A4DFE" w:rsidR="00CB4059" w:rsidRPr="00CC6B3F" w:rsidRDefault="00CB4059">
      <w:pPr>
        <w:pStyle w:val="FootnoteText"/>
        <w:rPr>
          <w:lang w:val="en-GB"/>
        </w:rPr>
      </w:pPr>
      <w:r>
        <w:rPr>
          <w:rStyle w:val="FootnoteReference"/>
        </w:rPr>
        <w:footnoteRef/>
      </w:r>
      <w:r>
        <w:t xml:space="preserve"> </w:t>
      </w:r>
      <w:proofErr w:type="spellStart"/>
      <w:r w:rsidRPr="00CB4059">
        <w:t>Stecca</w:t>
      </w:r>
      <w:proofErr w:type="spellEnd"/>
      <w:r w:rsidRPr="00CB4059">
        <w:t xml:space="preserve"> C, </w:t>
      </w:r>
      <w:proofErr w:type="spellStart"/>
      <w:r w:rsidRPr="00CB4059">
        <w:t>Abdeljalil</w:t>
      </w:r>
      <w:proofErr w:type="spellEnd"/>
      <w:r w:rsidRPr="00CB4059">
        <w:t xml:space="preserve"> O, Sridhar SS. Metastatic Urothelial Cancer: a rapidly changing treatment landscape. </w:t>
      </w:r>
      <w:proofErr w:type="spellStart"/>
      <w:r w:rsidRPr="00CC6B3F">
        <w:rPr>
          <w:i/>
        </w:rPr>
        <w:t>Ther</w:t>
      </w:r>
      <w:proofErr w:type="spellEnd"/>
      <w:r w:rsidRPr="00CC6B3F">
        <w:rPr>
          <w:i/>
        </w:rPr>
        <w:t xml:space="preserve"> Adv Med Oncol</w:t>
      </w:r>
      <w:r w:rsidRPr="00CB4059">
        <w:t>.</w:t>
      </w:r>
      <w:r>
        <w:t xml:space="preserve"> </w:t>
      </w:r>
      <w:proofErr w:type="gramStart"/>
      <w:r>
        <w:t>2021;13:175</w:t>
      </w:r>
      <w:proofErr w:type="gramEnd"/>
      <w:r>
        <w:t>.</w:t>
      </w:r>
    </w:p>
  </w:footnote>
  <w:footnote w:id="7">
    <w:p w14:paraId="22B2854B" w14:textId="7017DBB4" w:rsidR="00CB4059" w:rsidRPr="00717AA0" w:rsidRDefault="00CB4059" w:rsidP="004F35A7">
      <w:pPr>
        <w:pStyle w:val="FootnoteText"/>
      </w:pPr>
      <w:r>
        <w:rPr>
          <w:rStyle w:val="FootnoteReference"/>
        </w:rPr>
        <w:footnoteRef/>
      </w:r>
      <w:r>
        <w:t xml:space="preserve"> </w:t>
      </w:r>
      <w:proofErr w:type="spellStart"/>
      <w:r w:rsidR="004F35A7">
        <w:t>Gakis</w:t>
      </w:r>
      <w:proofErr w:type="spellEnd"/>
      <w:r w:rsidR="004F35A7">
        <w:t xml:space="preserve"> G, Black PC, </w:t>
      </w:r>
      <w:proofErr w:type="spellStart"/>
      <w:r w:rsidR="004F35A7">
        <w:t>Bochner</w:t>
      </w:r>
      <w:proofErr w:type="spellEnd"/>
      <w:r w:rsidR="004F35A7">
        <w:t xml:space="preserve"> BH, et al. Systematic review on the fate of the remnant urothelium after radical cystectomy. </w:t>
      </w:r>
      <w:proofErr w:type="spellStart"/>
      <w:r w:rsidR="004F35A7" w:rsidRPr="00CC6B3F">
        <w:rPr>
          <w:i/>
        </w:rPr>
        <w:t>Eur</w:t>
      </w:r>
      <w:proofErr w:type="spellEnd"/>
      <w:r w:rsidR="004F35A7" w:rsidRPr="00CC6B3F">
        <w:rPr>
          <w:i/>
        </w:rPr>
        <w:t xml:space="preserve"> Urol</w:t>
      </w:r>
      <w:r w:rsidR="004F35A7">
        <w:t>. 2017;71(4):545-557.</w:t>
      </w:r>
    </w:p>
  </w:footnote>
  <w:footnote w:id="8">
    <w:p w14:paraId="213BEDB9" w14:textId="122BFEA3" w:rsidR="004F35A7" w:rsidRPr="00717AA0" w:rsidRDefault="004F35A7">
      <w:pPr>
        <w:pStyle w:val="FootnoteText"/>
      </w:pPr>
      <w:r>
        <w:rPr>
          <w:rStyle w:val="FootnoteReference"/>
        </w:rPr>
        <w:footnoteRef/>
      </w:r>
      <w:r>
        <w:t xml:space="preserve"> European Association of Urology Guidelines on Muscle-invasive and Metastatic Bladder </w:t>
      </w:r>
      <w:proofErr w:type="spellStart"/>
      <w:r>
        <w:t>CancerAU</w:t>
      </w:r>
      <w:proofErr w:type="spellEnd"/>
      <w:r>
        <w:t xml:space="preserve"> Guidelines. </w:t>
      </w:r>
      <w:proofErr w:type="spellStart"/>
      <w:r>
        <w:t>Edn</w:t>
      </w:r>
      <w:proofErr w:type="spellEnd"/>
      <w:r>
        <w:t>. presented at the EAU Annual Congress Milan 2023.</w:t>
      </w:r>
      <w:r>
        <w:br/>
        <w:t xml:space="preserve">Available at: </w:t>
      </w:r>
      <w:hyperlink r:id="rId1" w:history="1">
        <w:r w:rsidRPr="003C0B40">
          <w:rPr>
            <w:rStyle w:val="Hyperlink"/>
          </w:rPr>
          <w:t>https://uroweb.org/guidelines/muscle-invasive-and-metastatic-bladder-cancer</w:t>
        </w:r>
      </w:hyperlink>
      <w:r>
        <w:t xml:space="preserve"> </w:t>
      </w:r>
    </w:p>
  </w:footnote>
  <w:footnote w:id="9">
    <w:p w14:paraId="1CE753F9" w14:textId="7A35B4C0" w:rsidR="00A214D2" w:rsidRDefault="00A214D2" w:rsidP="007C0921">
      <w:pPr>
        <w:pStyle w:val="FootnoteText"/>
      </w:pPr>
      <w:r>
        <w:rPr>
          <w:rStyle w:val="FootnoteReference"/>
        </w:rPr>
        <w:footnoteRef/>
      </w:r>
      <w:r>
        <w:t xml:space="preserve"> Vale CL. Adjuvant chemotherapy in invasive bladder cancer: a systematic review and meta- analysis of individual patient data Advanced Bladder Cancer (ABC) Meta-analysis Collaboration. </w:t>
      </w:r>
      <w:r w:rsidRPr="007C0921">
        <w:rPr>
          <w:i/>
          <w:iCs/>
        </w:rPr>
        <w:t>European Urology</w:t>
      </w:r>
      <w:r>
        <w:t xml:space="preserve"> 2005; 48:189-201.</w:t>
      </w:r>
    </w:p>
  </w:footnote>
  <w:footnote w:id="10">
    <w:p w14:paraId="3545D6D7" w14:textId="38D65D33" w:rsidR="009D7AB0" w:rsidRPr="00CC6B3F" w:rsidRDefault="009D7AB0">
      <w:pPr>
        <w:pStyle w:val="FootnoteText"/>
        <w:rPr>
          <w:lang w:val="en-GB"/>
        </w:rPr>
      </w:pPr>
      <w:r>
        <w:rPr>
          <w:rStyle w:val="FootnoteReference"/>
        </w:rPr>
        <w:footnoteRef/>
      </w:r>
      <w:r>
        <w:t xml:space="preserve"> </w:t>
      </w:r>
      <w:proofErr w:type="spellStart"/>
      <w:r w:rsidRPr="009D7AB0">
        <w:t>Tecentriq</w:t>
      </w:r>
      <w:proofErr w:type="spellEnd"/>
      <w:r w:rsidRPr="009D7AB0">
        <w:t xml:space="preserve"> atezolizumab (</w:t>
      </w:r>
      <w:proofErr w:type="spellStart"/>
      <w:r w:rsidRPr="009D7AB0">
        <w:t>rch</w:t>
      </w:r>
      <w:proofErr w:type="spellEnd"/>
      <w:r w:rsidRPr="009D7AB0">
        <w:t xml:space="preserve">) </w:t>
      </w:r>
      <w:r>
        <w:t xml:space="preserve">840 mg/14 mL, and 1200 mg/20 mL </w:t>
      </w:r>
      <w:r w:rsidRPr="009D7AB0">
        <w:t>injection concentrated vial (</w:t>
      </w:r>
      <w:r>
        <w:t xml:space="preserve">ARTG R: 277120, </w:t>
      </w:r>
      <w:r w:rsidRPr="009D7AB0">
        <w:t>310681)</w:t>
      </w:r>
      <w:r>
        <w:t xml:space="preserve"> was first registered in Australia on 27 July 2017.</w:t>
      </w:r>
    </w:p>
  </w:footnote>
  <w:footnote w:id="11">
    <w:p w14:paraId="324856D9" w14:textId="6AEF94F4" w:rsidR="009D7AB0" w:rsidRPr="00CC6B3F" w:rsidRDefault="009D7AB0">
      <w:pPr>
        <w:pStyle w:val="FootnoteText"/>
        <w:rPr>
          <w:lang w:val="en-GB"/>
        </w:rPr>
      </w:pPr>
      <w:r>
        <w:rPr>
          <w:rStyle w:val="FootnoteReference"/>
        </w:rPr>
        <w:footnoteRef/>
      </w:r>
      <w:r>
        <w:t xml:space="preserve"> </w:t>
      </w:r>
      <w:r>
        <w:rPr>
          <w:lang w:val="en-GB"/>
        </w:rPr>
        <w:t>No AusPAR exists for this extension of indications.</w:t>
      </w:r>
    </w:p>
  </w:footnote>
  <w:footnote w:id="12">
    <w:p w14:paraId="0C51BDD2" w14:textId="27E711F5" w:rsidR="004F35A7" w:rsidRPr="00CC6B3F" w:rsidRDefault="004F35A7">
      <w:pPr>
        <w:pStyle w:val="FootnoteText"/>
        <w:rPr>
          <w:lang w:val="en-GB"/>
        </w:rPr>
      </w:pPr>
      <w:r>
        <w:rPr>
          <w:rStyle w:val="FootnoteReference"/>
        </w:rPr>
        <w:footnoteRef/>
      </w:r>
      <w:r>
        <w:t xml:space="preserve"> </w:t>
      </w:r>
      <w:r w:rsidRPr="004F35A7">
        <w:t>Bavencio avelumab (</w:t>
      </w:r>
      <w:proofErr w:type="spellStart"/>
      <w:r w:rsidRPr="004F35A7">
        <w:t>rch</w:t>
      </w:r>
      <w:proofErr w:type="spellEnd"/>
      <w:r w:rsidRPr="004F35A7">
        <w:t>) 200 mg/10 mL concentrated solution for intravenous infusion vial</w:t>
      </w:r>
      <w:r>
        <w:t xml:space="preserve">, (ARTG R: 282729) was first registered on </w:t>
      </w:r>
      <w:r w:rsidRPr="004F35A7">
        <w:t>3 January 2018</w:t>
      </w:r>
      <w:r>
        <w:t>.</w:t>
      </w:r>
    </w:p>
  </w:footnote>
  <w:footnote w:id="13">
    <w:p w14:paraId="411D51C6" w14:textId="22FCC749" w:rsidR="004F35A7" w:rsidRPr="00CC6B3F" w:rsidRDefault="004F35A7">
      <w:pPr>
        <w:pStyle w:val="FootnoteText"/>
        <w:rPr>
          <w:lang w:val="en-GB"/>
        </w:rPr>
      </w:pPr>
      <w:r>
        <w:rPr>
          <w:rStyle w:val="FootnoteReference"/>
        </w:rPr>
        <w:footnoteRef/>
      </w:r>
      <w:r>
        <w:t xml:space="preserve"> </w:t>
      </w:r>
      <w:r w:rsidR="009D7AB0">
        <w:t>The AusPAR for Bavencio avelumab (</w:t>
      </w:r>
      <w:proofErr w:type="spellStart"/>
      <w:r w:rsidR="009D7AB0">
        <w:t>rch</w:t>
      </w:r>
      <w:proofErr w:type="spellEnd"/>
      <w:r w:rsidR="009D7AB0">
        <w:t xml:space="preserve">), Merck Serono Australia Pty Ltd, submission PM-2016-03575-1-4 is available online at: </w:t>
      </w:r>
      <w:hyperlink r:id="rId2" w:history="1">
        <w:r w:rsidR="009D7AB0" w:rsidRPr="003C0B40">
          <w:rPr>
            <w:rStyle w:val="Hyperlink"/>
          </w:rPr>
          <w:t>https://www.tga.gov.au/resources/auspar/auspar-avelumab</w:t>
        </w:r>
      </w:hyperlink>
      <w:r w:rsidR="009D7AB0">
        <w:t xml:space="preserve"> </w:t>
      </w:r>
    </w:p>
  </w:footnote>
  <w:footnote w:id="14">
    <w:p w14:paraId="5E64E8B7" w14:textId="6D0187C8" w:rsidR="00726139" w:rsidRPr="00CC6B3F" w:rsidRDefault="00726139">
      <w:pPr>
        <w:pStyle w:val="FootnoteText"/>
        <w:rPr>
          <w:lang w:val="en-GB"/>
        </w:rPr>
      </w:pPr>
      <w:r>
        <w:rPr>
          <w:rStyle w:val="FootnoteReference"/>
        </w:rPr>
        <w:footnoteRef/>
      </w:r>
      <w:r>
        <w:t xml:space="preserve"> The AusPAR for Opdivo nivolumab Bristol-Myers Squibb Australia Pty Ltd PM-2014-03852-1-4 (initial registration, as a new biological entity) is available online at: </w:t>
      </w:r>
      <w:hyperlink r:id="rId3" w:history="1">
        <w:r w:rsidRPr="003C0B40">
          <w:rPr>
            <w:rStyle w:val="Hyperlink"/>
          </w:rPr>
          <w:t>https://www.tga.gov.au/resources/auspar/auspar-nivolumab</w:t>
        </w:r>
      </w:hyperlink>
      <w:r>
        <w:t xml:space="preserve"> </w:t>
      </w:r>
    </w:p>
  </w:footnote>
  <w:footnote w:id="15">
    <w:p w14:paraId="1F48EB03" w14:textId="4251BF2C" w:rsidR="00A214D2" w:rsidRPr="00CC6B3F" w:rsidRDefault="00A214D2" w:rsidP="00BF285B">
      <w:pPr>
        <w:pStyle w:val="NormalWeb"/>
        <w:textAlignment w:val="baseline"/>
        <w:rPr>
          <w:rFonts w:ascii="Cambria" w:eastAsia="Cambria" w:hAnsi="Cambria"/>
          <w:color w:val="333F48"/>
          <w:sz w:val="18"/>
        </w:rPr>
      </w:pPr>
      <w:r w:rsidRPr="00B13169">
        <w:rPr>
          <w:rStyle w:val="FootnoteTextChar"/>
          <w:vertAlign w:val="superscript"/>
        </w:rPr>
        <w:footnoteRef/>
      </w:r>
      <w:r w:rsidRPr="00B13169">
        <w:rPr>
          <w:rStyle w:val="FootnoteTextChar"/>
        </w:rPr>
        <w:t xml:space="preserve"> </w:t>
      </w:r>
      <w:r w:rsidR="00EE0A95">
        <w:rPr>
          <w:rStyle w:val="FootnoteTextChar"/>
        </w:rPr>
        <w:t>In urothelial carcinoma, the following coding is used to describe regional lymph node involvement:</w:t>
      </w:r>
      <w:r w:rsidR="00EE0A95">
        <w:rPr>
          <w:rStyle w:val="FootnoteTextChar"/>
        </w:rPr>
        <w:br/>
        <w:t xml:space="preserve">N+ denotes node positivity. </w:t>
      </w:r>
      <w:r w:rsidR="00EE0A95">
        <w:rPr>
          <w:rStyle w:val="FootnoteTextChar"/>
        </w:rPr>
        <w:br/>
      </w:r>
      <w:r w:rsidR="00EE0A95" w:rsidRPr="00EE0A95">
        <w:rPr>
          <w:rStyle w:val="FootnoteTextChar"/>
        </w:rPr>
        <w:t>NX: The regional lymph nodes cannot be evaluated</w:t>
      </w:r>
      <w:r w:rsidR="00EE0A95">
        <w:rPr>
          <w:rStyle w:val="FootnoteTextChar"/>
        </w:rPr>
        <w:t>.</w:t>
      </w:r>
      <w:r w:rsidR="00EE0A95">
        <w:rPr>
          <w:rStyle w:val="FootnoteTextChar"/>
        </w:rPr>
        <w:br/>
        <w:t>N0</w:t>
      </w:r>
      <w:r w:rsidR="00EE0A95" w:rsidRPr="00EE0A95">
        <w:rPr>
          <w:rStyle w:val="FootnoteTextChar"/>
        </w:rPr>
        <w:t>: The cancer has not spre</w:t>
      </w:r>
      <w:r w:rsidR="00EE0A95">
        <w:rPr>
          <w:rStyle w:val="FootnoteTextChar"/>
        </w:rPr>
        <w:t>ad to the regional lymph nodes.</w:t>
      </w:r>
      <w:r w:rsidR="00EE0A95">
        <w:rPr>
          <w:rStyle w:val="FootnoteTextChar"/>
        </w:rPr>
        <w:br/>
      </w:r>
      <w:r w:rsidR="00EE0A95" w:rsidRPr="00EE0A95">
        <w:rPr>
          <w:rStyle w:val="FootnoteTextChar"/>
        </w:rPr>
        <w:t>N1: The cancer has spread to 1 reg</w:t>
      </w:r>
      <w:r w:rsidR="00EE0A95">
        <w:rPr>
          <w:rStyle w:val="FootnoteTextChar"/>
        </w:rPr>
        <w:t>ional lymph node in the pelvis.</w:t>
      </w:r>
      <w:r w:rsidR="00EE0A95">
        <w:rPr>
          <w:rStyle w:val="FootnoteTextChar"/>
        </w:rPr>
        <w:br/>
      </w:r>
      <w:r w:rsidR="00EE0A95" w:rsidRPr="00EE0A95">
        <w:rPr>
          <w:rStyle w:val="FootnoteTextChar"/>
        </w:rPr>
        <w:t>N2: The cancer has spread to 2 or more regi</w:t>
      </w:r>
      <w:r w:rsidR="00EE0A95">
        <w:rPr>
          <w:rStyle w:val="FootnoteTextChar"/>
        </w:rPr>
        <w:t>onal lymph nodes in the pelvis.</w:t>
      </w:r>
      <w:r w:rsidR="00EE0A95">
        <w:rPr>
          <w:rStyle w:val="FootnoteTextChar"/>
        </w:rPr>
        <w:br/>
      </w:r>
      <w:r w:rsidR="00EE0A95" w:rsidRPr="00EE0A95">
        <w:rPr>
          <w:rStyle w:val="FootnoteTextChar"/>
        </w:rPr>
        <w:t>N3: The cancer has spread to the common iliac lymph nodes, which are located behind the major arteries in the pelvis, above the bladder.</w:t>
      </w:r>
    </w:p>
  </w:footnote>
  <w:footnote w:id="16">
    <w:p w14:paraId="3D48336A" w14:textId="77777777" w:rsidR="00DB75B9" w:rsidRDefault="00DB75B9" w:rsidP="00DB75B9">
      <w:pPr>
        <w:pStyle w:val="FootnoteText"/>
      </w:pPr>
      <w:r>
        <w:rPr>
          <w:rStyle w:val="FootnoteReference"/>
        </w:rPr>
        <w:footnoteRef/>
      </w:r>
      <w:r>
        <w:t xml:space="preserve"> ypT2 denotes preoperative radiotherapy or chemotherapy (y) in a primary (p) tumour of T2 stage (or primary tumour invading muscularis propria).</w:t>
      </w:r>
    </w:p>
    <w:p w14:paraId="15E93A5C" w14:textId="77777777" w:rsidR="00DB75B9" w:rsidRDefault="00DB75B9" w:rsidP="00DB75B9">
      <w:pPr>
        <w:pStyle w:val="FootnoteText"/>
      </w:pPr>
      <w:r>
        <w:t xml:space="preserve">ypT3 denotes preoperative radiotherapy or chemotherapy (y) in a primary (p) tumour of T3 stage (or primary tumour invading </w:t>
      </w:r>
      <w:proofErr w:type="spellStart"/>
      <w:r>
        <w:t>perivesical</w:t>
      </w:r>
      <w:proofErr w:type="spellEnd"/>
      <w:r>
        <w:t xml:space="preserve"> tissue).</w:t>
      </w:r>
    </w:p>
    <w:p w14:paraId="2F708E86" w14:textId="77777777" w:rsidR="00DB75B9" w:rsidRDefault="00DB75B9" w:rsidP="00DB75B9">
      <w:pPr>
        <w:pStyle w:val="FootnoteText"/>
      </w:pPr>
      <w:r>
        <w:t xml:space="preserve">ypT4 denotes preoperative radiotherapy or chemotherapy (y) in a primary (p) tumour of T4 stage (or primary tumour invading </w:t>
      </w:r>
      <w:proofErr w:type="spellStart"/>
      <w:r>
        <w:t>prostratic</w:t>
      </w:r>
      <w:proofErr w:type="spellEnd"/>
      <w:r>
        <w:t xml:space="preserve"> stroma, seminal vesicles, </w:t>
      </w:r>
      <w:proofErr w:type="gramStart"/>
      <w:r>
        <w:t>uterus</w:t>
      </w:r>
      <w:proofErr w:type="gramEnd"/>
      <w:r>
        <w:t xml:space="preserve"> or vagina (T4a) or directly invading pelvic wall or abdominal wall (T4b)).</w:t>
      </w:r>
    </w:p>
    <w:p w14:paraId="22EE7C02" w14:textId="2413A750" w:rsidR="00DB75B9" w:rsidRPr="006F498F" w:rsidRDefault="00DB75B9" w:rsidP="00DB75B9">
      <w:pPr>
        <w:pStyle w:val="FootnoteText"/>
      </w:pPr>
      <w:proofErr w:type="spellStart"/>
      <w:r>
        <w:t>ypN</w:t>
      </w:r>
      <w:proofErr w:type="spellEnd"/>
      <w:r>
        <w:t>+ denotes preoperative radiotherapy or chemotherapy (y) in a primary (p) tumour with node positivity (or presence of cancer in regional lymph nodes).</w:t>
      </w:r>
    </w:p>
  </w:footnote>
  <w:footnote w:id="17">
    <w:p w14:paraId="71DB2A09" w14:textId="2AAA178D" w:rsidR="003441D8" w:rsidRPr="00CC6B3F" w:rsidRDefault="003441D8">
      <w:pPr>
        <w:pStyle w:val="FootnoteText"/>
        <w:rPr>
          <w:lang w:val="en-GB"/>
        </w:rPr>
      </w:pPr>
      <w:r>
        <w:rPr>
          <w:rStyle w:val="FootnoteReference"/>
        </w:rPr>
        <w:footnoteRef/>
      </w:r>
      <w:r>
        <w:t xml:space="preserve"> </w:t>
      </w:r>
      <w:r w:rsidR="00DB75B9">
        <w:rPr>
          <w:lang w:val="en-GB"/>
        </w:rPr>
        <w:t xml:space="preserve">pT3, pT4a and </w:t>
      </w:r>
      <w:proofErr w:type="spellStart"/>
      <w:r w:rsidR="00DB75B9">
        <w:rPr>
          <w:lang w:val="en-GB"/>
        </w:rPr>
        <w:t>pN</w:t>
      </w:r>
      <w:proofErr w:type="spellEnd"/>
      <w:r w:rsidR="00DB75B9">
        <w:rPr>
          <w:lang w:val="en-GB"/>
        </w:rPr>
        <w:t>+ denote the same as above, but without preoperative radiotherapy or chemotherapy (y).</w:t>
      </w:r>
    </w:p>
  </w:footnote>
  <w:footnote w:id="18">
    <w:p w14:paraId="6F0F32C3" w14:textId="3F04A736" w:rsidR="00A214D2" w:rsidRDefault="00A214D2" w:rsidP="00AF5E98">
      <w:pPr>
        <w:pStyle w:val="FootnoteText"/>
      </w:pPr>
      <w:r>
        <w:rPr>
          <w:rStyle w:val="FootnoteReference"/>
        </w:rPr>
        <w:footnoteRef/>
      </w:r>
      <w:r>
        <w:t xml:space="preserve"> </w:t>
      </w:r>
      <w:r w:rsidRPr="00E402EA">
        <w:rPr>
          <w:b/>
        </w:rPr>
        <w:t>Eastern Cooperative Oncology Group (ECOG) Performance Status</w:t>
      </w:r>
      <w:r>
        <w:t>: The ECOG has developed criteria used by doctors and researchers to assess how a patient's disease is progressing, assess how the disease affects the daily living abilities of the patient, and determine appropriate treatment and prognosis. The following are used:</w:t>
      </w:r>
    </w:p>
    <w:p w14:paraId="351B557B" w14:textId="77777777" w:rsidR="00A214D2" w:rsidRDefault="00A214D2" w:rsidP="00AF5E98">
      <w:pPr>
        <w:pStyle w:val="FootnoteText"/>
      </w:pPr>
      <w:r>
        <w:t>0 - Fully active, able to carry on all pre-disease performance without restriction</w:t>
      </w:r>
    </w:p>
    <w:p w14:paraId="74AB2639" w14:textId="77777777" w:rsidR="00A214D2" w:rsidRDefault="00A214D2" w:rsidP="00AF5E98">
      <w:pPr>
        <w:pStyle w:val="FootnoteText"/>
      </w:pPr>
      <w:r>
        <w:t xml:space="preserve">1- Restricted in physically strenuous activity but ambulatory and able to carry out work of a light or sedentary </w:t>
      </w:r>
    </w:p>
    <w:p w14:paraId="64E6510A" w14:textId="77777777" w:rsidR="00A214D2" w:rsidRDefault="00A214D2" w:rsidP="00AF5E98">
      <w:pPr>
        <w:pStyle w:val="FootnoteText"/>
      </w:pPr>
      <w:r>
        <w:t>nature, for example, light house work, office work</w:t>
      </w:r>
    </w:p>
    <w:p w14:paraId="72BFE20B" w14:textId="77777777" w:rsidR="00A214D2" w:rsidRDefault="00A214D2" w:rsidP="00AF5E98">
      <w:pPr>
        <w:pStyle w:val="FootnoteText"/>
      </w:pPr>
      <w:r>
        <w:t xml:space="preserve">2 - Ambulatory and capable of all selfcare but unable to carry out any work activities. Up and about more than </w:t>
      </w:r>
    </w:p>
    <w:p w14:paraId="464FB209" w14:textId="77777777" w:rsidR="00A214D2" w:rsidRDefault="00A214D2" w:rsidP="00AF5E98">
      <w:pPr>
        <w:pStyle w:val="FootnoteText"/>
      </w:pPr>
      <w:r>
        <w:t>50% of waking hours</w:t>
      </w:r>
    </w:p>
    <w:p w14:paraId="7A6DEECA" w14:textId="77777777" w:rsidR="00A214D2" w:rsidRDefault="00A214D2" w:rsidP="00AF5E98">
      <w:pPr>
        <w:pStyle w:val="FootnoteText"/>
      </w:pPr>
      <w:r>
        <w:t>3 - Capable of only limited selfcare, confined to bed or chair more than 50% of waking hours</w:t>
      </w:r>
    </w:p>
    <w:p w14:paraId="666EAE52" w14:textId="77777777" w:rsidR="00A214D2" w:rsidRDefault="00A214D2" w:rsidP="00AF5E98">
      <w:pPr>
        <w:pStyle w:val="FootnoteText"/>
      </w:pPr>
      <w:r>
        <w:t>4 - Completely disabled. Cannot carry on any selfcare. Totally confined to bed or chair</w:t>
      </w:r>
    </w:p>
    <w:p w14:paraId="0F5E530B" w14:textId="55B4A743" w:rsidR="00A214D2" w:rsidRDefault="00A214D2" w:rsidP="00AF5E98">
      <w:pPr>
        <w:pStyle w:val="FootnoteText"/>
      </w:pPr>
      <w:r>
        <w:t>5 – Dead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A214D2" w:rsidRPr="00CB0550" w:rsidRDefault="00A214D2"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214D2" w:rsidRPr="002B29B2" w14:paraId="3E15C3BC" w14:textId="77777777" w:rsidTr="007452E8">
      <w:trPr>
        <w:trHeight w:hRule="exact" w:val="8845"/>
      </w:trPr>
      <w:tc>
        <w:tcPr>
          <w:tcW w:w="11964" w:type="dxa"/>
          <w:vAlign w:val="center"/>
        </w:tcPr>
        <w:p w14:paraId="6FDE4BFB" w14:textId="298DE044" w:rsidR="00A214D2" w:rsidRPr="002B29B2" w:rsidRDefault="00A214D2" w:rsidP="007452E8">
          <w:pPr>
            <w:ind w:left="-57"/>
            <w:rPr>
              <w:noProof/>
            </w:rPr>
          </w:pPr>
        </w:p>
      </w:tc>
    </w:tr>
  </w:tbl>
  <w:p w14:paraId="6402DE55" w14:textId="77777777" w:rsidR="00A214D2" w:rsidRDefault="00A214D2" w:rsidP="007452E8">
    <w:pPr>
      <w:rPr>
        <w:noProof/>
      </w:rPr>
    </w:pPr>
    <w:r>
      <w:rPr>
        <w:noProof/>
        <w:lang w:val="en-GB" w:eastAsia="en-GB"/>
      </w:rPr>
      <w:drawing>
        <wp:anchor distT="0" distB="0" distL="114300" distR="114300" simplePos="0" relativeHeight="251658241"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58240"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A214D2" w:rsidRDefault="00A214D2"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FAC5380" w:rsidR="00A214D2" w:rsidRPr="00FE501F" w:rsidRDefault="00A214D2"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FFB"/>
    <w:multiLevelType w:val="hybridMultilevel"/>
    <w:tmpl w:val="FCF00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3A557F39"/>
    <w:multiLevelType w:val="hybridMultilevel"/>
    <w:tmpl w:val="5430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DE0985"/>
    <w:multiLevelType w:val="hybridMultilevel"/>
    <w:tmpl w:val="25AC86B6"/>
    <w:lvl w:ilvl="0" w:tplc="5DE8085C">
      <w:start w:val="1"/>
      <w:numFmt w:val="bullet"/>
      <w:lvlText w:val=""/>
      <w:lvlJc w:val="left"/>
      <w:pPr>
        <w:ind w:left="720" w:hanging="360"/>
      </w:pPr>
      <w:rPr>
        <w:rFonts w:ascii="Symbol" w:hAnsi="Symbol" w:hint="default"/>
      </w:rPr>
    </w:lvl>
    <w:lvl w:ilvl="1" w:tplc="21260B90">
      <w:start w:val="1"/>
      <w:numFmt w:val="bullet"/>
      <w:lvlText w:val="o"/>
      <w:lvlJc w:val="left"/>
      <w:pPr>
        <w:ind w:left="1440" w:hanging="360"/>
      </w:pPr>
      <w:rPr>
        <w:rFonts w:ascii="Courier New" w:hAnsi="Courier New" w:cs="Times New Roman" w:hint="default"/>
      </w:rPr>
    </w:lvl>
    <w:lvl w:ilvl="2" w:tplc="EA26556E">
      <w:start w:val="1"/>
      <w:numFmt w:val="bullet"/>
      <w:lvlText w:val=""/>
      <w:lvlJc w:val="left"/>
      <w:pPr>
        <w:ind w:left="2160" w:hanging="360"/>
      </w:pPr>
      <w:rPr>
        <w:rFonts w:ascii="Wingdings" w:hAnsi="Wingdings" w:hint="default"/>
      </w:rPr>
    </w:lvl>
    <w:lvl w:ilvl="3" w:tplc="C4D23854">
      <w:start w:val="1"/>
      <w:numFmt w:val="bullet"/>
      <w:lvlText w:val=""/>
      <w:lvlJc w:val="left"/>
      <w:pPr>
        <w:ind w:left="2880" w:hanging="360"/>
      </w:pPr>
      <w:rPr>
        <w:rFonts w:ascii="Symbol" w:hAnsi="Symbol" w:hint="default"/>
      </w:rPr>
    </w:lvl>
    <w:lvl w:ilvl="4" w:tplc="632C08C2">
      <w:start w:val="1"/>
      <w:numFmt w:val="bullet"/>
      <w:lvlText w:val="o"/>
      <w:lvlJc w:val="left"/>
      <w:pPr>
        <w:ind w:left="3600" w:hanging="360"/>
      </w:pPr>
      <w:rPr>
        <w:rFonts w:ascii="Courier New" w:hAnsi="Courier New" w:cs="Times New Roman" w:hint="default"/>
      </w:rPr>
    </w:lvl>
    <w:lvl w:ilvl="5" w:tplc="6DA4B2AC">
      <w:start w:val="1"/>
      <w:numFmt w:val="bullet"/>
      <w:lvlText w:val=""/>
      <w:lvlJc w:val="left"/>
      <w:pPr>
        <w:ind w:left="4320" w:hanging="360"/>
      </w:pPr>
      <w:rPr>
        <w:rFonts w:ascii="Wingdings" w:hAnsi="Wingdings" w:hint="default"/>
      </w:rPr>
    </w:lvl>
    <w:lvl w:ilvl="6" w:tplc="EE3ADC86">
      <w:start w:val="1"/>
      <w:numFmt w:val="bullet"/>
      <w:lvlText w:val=""/>
      <w:lvlJc w:val="left"/>
      <w:pPr>
        <w:ind w:left="5040" w:hanging="360"/>
      </w:pPr>
      <w:rPr>
        <w:rFonts w:ascii="Symbol" w:hAnsi="Symbol" w:hint="default"/>
      </w:rPr>
    </w:lvl>
    <w:lvl w:ilvl="7" w:tplc="B32067EE">
      <w:start w:val="1"/>
      <w:numFmt w:val="bullet"/>
      <w:lvlText w:val="o"/>
      <w:lvlJc w:val="left"/>
      <w:pPr>
        <w:ind w:left="5760" w:hanging="360"/>
      </w:pPr>
      <w:rPr>
        <w:rFonts w:ascii="Courier New" w:hAnsi="Courier New" w:cs="Times New Roman" w:hint="default"/>
      </w:rPr>
    </w:lvl>
    <w:lvl w:ilvl="8" w:tplc="74381BFC">
      <w:start w:val="1"/>
      <w:numFmt w:val="bullet"/>
      <w:lvlText w:val=""/>
      <w:lvlJc w:val="left"/>
      <w:pPr>
        <w:ind w:left="6480" w:hanging="360"/>
      </w:pPr>
      <w:rPr>
        <w:rFonts w:ascii="Wingdings" w:hAnsi="Wingdings" w:hint="default"/>
      </w:rPr>
    </w:lvl>
  </w:abstractNum>
  <w:abstractNum w:abstractNumId="9" w15:restartNumberingAfterBreak="0">
    <w:nsid w:val="62E1248D"/>
    <w:multiLevelType w:val="hybridMultilevel"/>
    <w:tmpl w:val="B9A6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A3399C"/>
    <w:multiLevelType w:val="hybridMultilevel"/>
    <w:tmpl w:val="9B26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93650"/>
    <w:multiLevelType w:val="multilevel"/>
    <w:tmpl w:val="8668C32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abstractNumId w:val="9"/>
  </w:num>
  <w:num w:numId="9">
    <w:abstractNumId w:val="0"/>
  </w:num>
  <w:num w:numId="10">
    <w:abstractNumId w:val="5"/>
  </w:num>
  <w:num w:numId="11">
    <w:abstractNumId w:val="1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7723"/>
    <w:rsid w:val="00016493"/>
    <w:rsid w:val="000225A6"/>
    <w:rsid w:val="00023033"/>
    <w:rsid w:val="00036D66"/>
    <w:rsid w:val="00042AF2"/>
    <w:rsid w:val="000460D2"/>
    <w:rsid w:val="00047C0E"/>
    <w:rsid w:val="000505AA"/>
    <w:rsid w:val="00053358"/>
    <w:rsid w:val="00055BAC"/>
    <w:rsid w:val="00056805"/>
    <w:rsid w:val="00061631"/>
    <w:rsid w:val="000640F6"/>
    <w:rsid w:val="00070193"/>
    <w:rsid w:val="00074C5E"/>
    <w:rsid w:val="00074EBE"/>
    <w:rsid w:val="00075F7C"/>
    <w:rsid w:val="00077844"/>
    <w:rsid w:val="000852BA"/>
    <w:rsid w:val="00094B81"/>
    <w:rsid w:val="000975AA"/>
    <w:rsid w:val="000A60DF"/>
    <w:rsid w:val="000B557A"/>
    <w:rsid w:val="000B7176"/>
    <w:rsid w:val="000B7752"/>
    <w:rsid w:val="000C0797"/>
    <w:rsid w:val="000C0D22"/>
    <w:rsid w:val="000C1121"/>
    <w:rsid w:val="000C730E"/>
    <w:rsid w:val="000D7934"/>
    <w:rsid w:val="000E5392"/>
    <w:rsid w:val="000E58DC"/>
    <w:rsid w:val="000E6CDB"/>
    <w:rsid w:val="001018E9"/>
    <w:rsid w:val="00101FB1"/>
    <w:rsid w:val="0010382A"/>
    <w:rsid w:val="00103BF5"/>
    <w:rsid w:val="00114AD4"/>
    <w:rsid w:val="00115618"/>
    <w:rsid w:val="0011617D"/>
    <w:rsid w:val="00120DD7"/>
    <w:rsid w:val="00121A6C"/>
    <w:rsid w:val="00121FA7"/>
    <w:rsid w:val="0012473C"/>
    <w:rsid w:val="00124EE8"/>
    <w:rsid w:val="001258B2"/>
    <w:rsid w:val="00126A24"/>
    <w:rsid w:val="0013528C"/>
    <w:rsid w:val="00142C07"/>
    <w:rsid w:val="00143411"/>
    <w:rsid w:val="001606E8"/>
    <w:rsid w:val="00164A75"/>
    <w:rsid w:val="00165D28"/>
    <w:rsid w:val="00173AFB"/>
    <w:rsid w:val="00175CD8"/>
    <w:rsid w:val="00184B04"/>
    <w:rsid w:val="00185169"/>
    <w:rsid w:val="001A248F"/>
    <w:rsid w:val="001B2042"/>
    <w:rsid w:val="001B5094"/>
    <w:rsid w:val="001B5F9A"/>
    <w:rsid w:val="001C1C2E"/>
    <w:rsid w:val="001D3DAE"/>
    <w:rsid w:val="001F7176"/>
    <w:rsid w:val="0020254A"/>
    <w:rsid w:val="0020369B"/>
    <w:rsid w:val="00211F0B"/>
    <w:rsid w:val="00223F2F"/>
    <w:rsid w:val="00226F39"/>
    <w:rsid w:val="002275CE"/>
    <w:rsid w:val="002307A3"/>
    <w:rsid w:val="00233322"/>
    <w:rsid w:val="00241A60"/>
    <w:rsid w:val="00241B60"/>
    <w:rsid w:val="00242BE4"/>
    <w:rsid w:val="00244C75"/>
    <w:rsid w:val="00251F91"/>
    <w:rsid w:val="0025243D"/>
    <w:rsid w:val="002539A4"/>
    <w:rsid w:val="00256907"/>
    <w:rsid w:val="00260F57"/>
    <w:rsid w:val="002630AB"/>
    <w:rsid w:val="0026553B"/>
    <w:rsid w:val="00274DB0"/>
    <w:rsid w:val="00275BD5"/>
    <w:rsid w:val="00275C75"/>
    <w:rsid w:val="00276C9B"/>
    <w:rsid w:val="0028638B"/>
    <w:rsid w:val="002A0A2D"/>
    <w:rsid w:val="002B2E6D"/>
    <w:rsid w:val="002C5E29"/>
    <w:rsid w:val="002D0783"/>
    <w:rsid w:val="002D21EA"/>
    <w:rsid w:val="002D2BEC"/>
    <w:rsid w:val="002D60FC"/>
    <w:rsid w:val="002D7127"/>
    <w:rsid w:val="002E2F8E"/>
    <w:rsid w:val="002F0F13"/>
    <w:rsid w:val="003008D8"/>
    <w:rsid w:val="00303959"/>
    <w:rsid w:val="0030486A"/>
    <w:rsid w:val="00312AC3"/>
    <w:rsid w:val="00314430"/>
    <w:rsid w:val="00324B33"/>
    <w:rsid w:val="003436F9"/>
    <w:rsid w:val="003441D8"/>
    <w:rsid w:val="00346EC2"/>
    <w:rsid w:val="0035444D"/>
    <w:rsid w:val="00354D6D"/>
    <w:rsid w:val="00371038"/>
    <w:rsid w:val="00375C8F"/>
    <w:rsid w:val="00376C9C"/>
    <w:rsid w:val="00377A93"/>
    <w:rsid w:val="00384A1A"/>
    <w:rsid w:val="00386F3B"/>
    <w:rsid w:val="00393CC5"/>
    <w:rsid w:val="00395140"/>
    <w:rsid w:val="003B149C"/>
    <w:rsid w:val="003B4C44"/>
    <w:rsid w:val="003C0401"/>
    <w:rsid w:val="003C3D65"/>
    <w:rsid w:val="003C4CEB"/>
    <w:rsid w:val="003C7944"/>
    <w:rsid w:val="003D71A1"/>
    <w:rsid w:val="003D7E89"/>
    <w:rsid w:val="003E0026"/>
    <w:rsid w:val="003E1E50"/>
    <w:rsid w:val="003E3251"/>
    <w:rsid w:val="003E4E6C"/>
    <w:rsid w:val="003E50B1"/>
    <w:rsid w:val="003E685A"/>
    <w:rsid w:val="003F1E49"/>
    <w:rsid w:val="003F379E"/>
    <w:rsid w:val="003F4188"/>
    <w:rsid w:val="003F6D6A"/>
    <w:rsid w:val="00402C09"/>
    <w:rsid w:val="00412C41"/>
    <w:rsid w:val="00414374"/>
    <w:rsid w:val="0041688F"/>
    <w:rsid w:val="0042376F"/>
    <w:rsid w:val="004246B8"/>
    <w:rsid w:val="0042496F"/>
    <w:rsid w:val="004258EA"/>
    <w:rsid w:val="00433318"/>
    <w:rsid w:val="004358D5"/>
    <w:rsid w:val="004570D5"/>
    <w:rsid w:val="00467A2B"/>
    <w:rsid w:val="004718B3"/>
    <w:rsid w:val="00477C4E"/>
    <w:rsid w:val="00491A55"/>
    <w:rsid w:val="00492F98"/>
    <w:rsid w:val="00492FAF"/>
    <w:rsid w:val="00494265"/>
    <w:rsid w:val="004A68F6"/>
    <w:rsid w:val="004B0889"/>
    <w:rsid w:val="004B3081"/>
    <w:rsid w:val="004C2BD4"/>
    <w:rsid w:val="004C4E09"/>
    <w:rsid w:val="004D7B16"/>
    <w:rsid w:val="004F08D6"/>
    <w:rsid w:val="004F34A8"/>
    <w:rsid w:val="004F35A7"/>
    <w:rsid w:val="00502D7C"/>
    <w:rsid w:val="00506817"/>
    <w:rsid w:val="00524265"/>
    <w:rsid w:val="00532C97"/>
    <w:rsid w:val="00534AE6"/>
    <w:rsid w:val="00535DFE"/>
    <w:rsid w:val="005447BE"/>
    <w:rsid w:val="0054526C"/>
    <w:rsid w:val="005475E1"/>
    <w:rsid w:val="00547F10"/>
    <w:rsid w:val="00554A13"/>
    <w:rsid w:val="00556183"/>
    <w:rsid w:val="00560C96"/>
    <w:rsid w:val="00562F42"/>
    <w:rsid w:val="0056766D"/>
    <w:rsid w:val="00567A38"/>
    <w:rsid w:val="00567EAA"/>
    <w:rsid w:val="00581A51"/>
    <w:rsid w:val="00582C1C"/>
    <w:rsid w:val="00583F08"/>
    <w:rsid w:val="0058575E"/>
    <w:rsid w:val="00585FB0"/>
    <w:rsid w:val="0058783C"/>
    <w:rsid w:val="005911AE"/>
    <w:rsid w:val="00591B32"/>
    <w:rsid w:val="0059313A"/>
    <w:rsid w:val="005978FB"/>
    <w:rsid w:val="005A1EA7"/>
    <w:rsid w:val="005B023F"/>
    <w:rsid w:val="005C3801"/>
    <w:rsid w:val="005D2089"/>
    <w:rsid w:val="005D5939"/>
    <w:rsid w:val="005D7514"/>
    <w:rsid w:val="005E1A7B"/>
    <w:rsid w:val="005F3DA4"/>
    <w:rsid w:val="00606780"/>
    <w:rsid w:val="00611700"/>
    <w:rsid w:val="006147C9"/>
    <w:rsid w:val="00614C40"/>
    <w:rsid w:val="00615770"/>
    <w:rsid w:val="00616C87"/>
    <w:rsid w:val="00624C67"/>
    <w:rsid w:val="00626E9E"/>
    <w:rsid w:val="006277A1"/>
    <w:rsid w:val="00632125"/>
    <w:rsid w:val="006351D9"/>
    <w:rsid w:val="00637130"/>
    <w:rsid w:val="00637F0E"/>
    <w:rsid w:val="006423F2"/>
    <w:rsid w:val="006536F5"/>
    <w:rsid w:val="00655B6C"/>
    <w:rsid w:val="006570FE"/>
    <w:rsid w:val="006620A8"/>
    <w:rsid w:val="00666FF7"/>
    <w:rsid w:val="006671C9"/>
    <w:rsid w:val="00672948"/>
    <w:rsid w:val="00673C3B"/>
    <w:rsid w:val="00674399"/>
    <w:rsid w:val="00690310"/>
    <w:rsid w:val="00692CCD"/>
    <w:rsid w:val="006A1F0B"/>
    <w:rsid w:val="006A277A"/>
    <w:rsid w:val="006A3E0B"/>
    <w:rsid w:val="006B0373"/>
    <w:rsid w:val="006B5C62"/>
    <w:rsid w:val="006D6821"/>
    <w:rsid w:val="006D6B44"/>
    <w:rsid w:val="006E45AA"/>
    <w:rsid w:val="006F6128"/>
    <w:rsid w:val="007007E8"/>
    <w:rsid w:val="007054D4"/>
    <w:rsid w:val="00706805"/>
    <w:rsid w:val="007072A1"/>
    <w:rsid w:val="00710BC5"/>
    <w:rsid w:val="00717AA0"/>
    <w:rsid w:val="0072003B"/>
    <w:rsid w:val="00721BC3"/>
    <w:rsid w:val="00726139"/>
    <w:rsid w:val="007357B9"/>
    <w:rsid w:val="00736D76"/>
    <w:rsid w:val="007452E8"/>
    <w:rsid w:val="00746990"/>
    <w:rsid w:val="007479D8"/>
    <w:rsid w:val="00750D70"/>
    <w:rsid w:val="00750F00"/>
    <w:rsid w:val="0075477F"/>
    <w:rsid w:val="00756140"/>
    <w:rsid w:val="00762F4D"/>
    <w:rsid w:val="00764CA9"/>
    <w:rsid w:val="00770570"/>
    <w:rsid w:val="0077726B"/>
    <w:rsid w:val="00785B49"/>
    <w:rsid w:val="007865B9"/>
    <w:rsid w:val="007926B6"/>
    <w:rsid w:val="00792B27"/>
    <w:rsid w:val="00793272"/>
    <w:rsid w:val="007A5F12"/>
    <w:rsid w:val="007B04DE"/>
    <w:rsid w:val="007B5A1C"/>
    <w:rsid w:val="007C0921"/>
    <w:rsid w:val="007C15F6"/>
    <w:rsid w:val="007C57BC"/>
    <w:rsid w:val="007D00E5"/>
    <w:rsid w:val="007D4138"/>
    <w:rsid w:val="007F0940"/>
    <w:rsid w:val="007F0A77"/>
    <w:rsid w:val="007F0C7C"/>
    <w:rsid w:val="007F1518"/>
    <w:rsid w:val="007F50D3"/>
    <w:rsid w:val="00807F23"/>
    <w:rsid w:val="00810357"/>
    <w:rsid w:val="008329DB"/>
    <w:rsid w:val="008361C5"/>
    <w:rsid w:val="0083628F"/>
    <w:rsid w:val="00837AB9"/>
    <w:rsid w:val="00845BE0"/>
    <w:rsid w:val="00850637"/>
    <w:rsid w:val="008545CF"/>
    <w:rsid w:val="00854BAC"/>
    <w:rsid w:val="00860B29"/>
    <w:rsid w:val="00874607"/>
    <w:rsid w:val="008804CF"/>
    <w:rsid w:val="00884E33"/>
    <w:rsid w:val="00886084"/>
    <w:rsid w:val="00887BDF"/>
    <w:rsid w:val="00887F24"/>
    <w:rsid w:val="008964B3"/>
    <w:rsid w:val="008A75F5"/>
    <w:rsid w:val="008B093F"/>
    <w:rsid w:val="008C0913"/>
    <w:rsid w:val="008C49C6"/>
    <w:rsid w:val="008C754C"/>
    <w:rsid w:val="008D63F3"/>
    <w:rsid w:val="008D64B7"/>
    <w:rsid w:val="008D6A43"/>
    <w:rsid w:val="008D6A54"/>
    <w:rsid w:val="008E4D94"/>
    <w:rsid w:val="008F5E9F"/>
    <w:rsid w:val="0090605E"/>
    <w:rsid w:val="009108CE"/>
    <w:rsid w:val="00915A9F"/>
    <w:rsid w:val="009246B8"/>
    <w:rsid w:val="00926887"/>
    <w:rsid w:val="00926ECD"/>
    <w:rsid w:val="00930D58"/>
    <w:rsid w:val="00931A1F"/>
    <w:rsid w:val="0094013C"/>
    <w:rsid w:val="00940721"/>
    <w:rsid w:val="00943D3D"/>
    <w:rsid w:val="00955257"/>
    <w:rsid w:val="00962B9B"/>
    <w:rsid w:val="00963920"/>
    <w:rsid w:val="00966EF1"/>
    <w:rsid w:val="00976801"/>
    <w:rsid w:val="009845A9"/>
    <w:rsid w:val="00996FA5"/>
    <w:rsid w:val="009978D4"/>
    <w:rsid w:val="009B38C3"/>
    <w:rsid w:val="009B6EDB"/>
    <w:rsid w:val="009C6E30"/>
    <w:rsid w:val="009D306E"/>
    <w:rsid w:val="009D5656"/>
    <w:rsid w:val="009D7AB0"/>
    <w:rsid w:val="009E0E24"/>
    <w:rsid w:val="009E1408"/>
    <w:rsid w:val="009E296D"/>
    <w:rsid w:val="009E308B"/>
    <w:rsid w:val="009E6F8C"/>
    <w:rsid w:val="009E776A"/>
    <w:rsid w:val="009F103C"/>
    <w:rsid w:val="009F79BA"/>
    <w:rsid w:val="00A01C56"/>
    <w:rsid w:val="00A02AC9"/>
    <w:rsid w:val="00A10E70"/>
    <w:rsid w:val="00A11E4F"/>
    <w:rsid w:val="00A1629B"/>
    <w:rsid w:val="00A214D2"/>
    <w:rsid w:val="00A231CE"/>
    <w:rsid w:val="00A24714"/>
    <w:rsid w:val="00A25B38"/>
    <w:rsid w:val="00A32A48"/>
    <w:rsid w:val="00A33EAC"/>
    <w:rsid w:val="00A34A63"/>
    <w:rsid w:val="00A358E7"/>
    <w:rsid w:val="00A51A2D"/>
    <w:rsid w:val="00A51BE9"/>
    <w:rsid w:val="00A5706F"/>
    <w:rsid w:val="00A63D9B"/>
    <w:rsid w:val="00A854A2"/>
    <w:rsid w:val="00A92C37"/>
    <w:rsid w:val="00A93DC6"/>
    <w:rsid w:val="00AA45DD"/>
    <w:rsid w:val="00AA748E"/>
    <w:rsid w:val="00AB367F"/>
    <w:rsid w:val="00AB7CBF"/>
    <w:rsid w:val="00AD7C18"/>
    <w:rsid w:val="00AE1947"/>
    <w:rsid w:val="00AE5306"/>
    <w:rsid w:val="00AF25E3"/>
    <w:rsid w:val="00AF5E98"/>
    <w:rsid w:val="00B03702"/>
    <w:rsid w:val="00B10515"/>
    <w:rsid w:val="00B13169"/>
    <w:rsid w:val="00B14B11"/>
    <w:rsid w:val="00B14F92"/>
    <w:rsid w:val="00B21175"/>
    <w:rsid w:val="00B22ECF"/>
    <w:rsid w:val="00B3338C"/>
    <w:rsid w:val="00B44A2F"/>
    <w:rsid w:val="00B46BC0"/>
    <w:rsid w:val="00B50024"/>
    <w:rsid w:val="00B55681"/>
    <w:rsid w:val="00B77277"/>
    <w:rsid w:val="00B84D17"/>
    <w:rsid w:val="00B90DD6"/>
    <w:rsid w:val="00B967FF"/>
    <w:rsid w:val="00BA069A"/>
    <w:rsid w:val="00BA64D1"/>
    <w:rsid w:val="00BA7F7D"/>
    <w:rsid w:val="00BB37DA"/>
    <w:rsid w:val="00BB3EB1"/>
    <w:rsid w:val="00BC38EB"/>
    <w:rsid w:val="00BC7386"/>
    <w:rsid w:val="00BD07DF"/>
    <w:rsid w:val="00BD5DBD"/>
    <w:rsid w:val="00BD65AF"/>
    <w:rsid w:val="00BE2E50"/>
    <w:rsid w:val="00BF260F"/>
    <w:rsid w:val="00BF285B"/>
    <w:rsid w:val="00BF4638"/>
    <w:rsid w:val="00C04C53"/>
    <w:rsid w:val="00C07551"/>
    <w:rsid w:val="00C07C46"/>
    <w:rsid w:val="00C2106A"/>
    <w:rsid w:val="00C22214"/>
    <w:rsid w:val="00C30208"/>
    <w:rsid w:val="00C319E7"/>
    <w:rsid w:val="00C40133"/>
    <w:rsid w:val="00C407AB"/>
    <w:rsid w:val="00C47818"/>
    <w:rsid w:val="00C570FF"/>
    <w:rsid w:val="00C63FDB"/>
    <w:rsid w:val="00C64E51"/>
    <w:rsid w:val="00C6574E"/>
    <w:rsid w:val="00C66C15"/>
    <w:rsid w:val="00C672C7"/>
    <w:rsid w:val="00C73DD6"/>
    <w:rsid w:val="00C768C0"/>
    <w:rsid w:val="00C77645"/>
    <w:rsid w:val="00C816C6"/>
    <w:rsid w:val="00C85A89"/>
    <w:rsid w:val="00C907F1"/>
    <w:rsid w:val="00CA1225"/>
    <w:rsid w:val="00CA7E1B"/>
    <w:rsid w:val="00CB0550"/>
    <w:rsid w:val="00CB27A2"/>
    <w:rsid w:val="00CB4059"/>
    <w:rsid w:val="00CB77AF"/>
    <w:rsid w:val="00CC4218"/>
    <w:rsid w:val="00CC6B3F"/>
    <w:rsid w:val="00CD1EB5"/>
    <w:rsid w:val="00CE4EB5"/>
    <w:rsid w:val="00CF1C49"/>
    <w:rsid w:val="00D01DDB"/>
    <w:rsid w:val="00D078BE"/>
    <w:rsid w:val="00D13F8A"/>
    <w:rsid w:val="00D23C73"/>
    <w:rsid w:val="00D27CFC"/>
    <w:rsid w:val="00D339E7"/>
    <w:rsid w:val="00D36BBD"/>
    <w:rsid w:val="00D40912"/>
    <w:rsid w:val="00D40C2C"/>
    <w:rsid w:val="00D50F2E"/>
    <w:rsid w:val="00D57B33"/>
    <w:rsid w:val="00D62877"/>
    <w:rsid w:val="00D63760"/>
    <w:rsid w:val="00D721EE"/>
    <w:rsid w:val="00D77C8D"/>
    <w:rsid w:val="00D85050"/>
    <w:rsid w:val="00D918D5"/>
    <w:rsid w:val="00D93336"/>
    <w:rsid w:val="00D94C8E"/>
    <w:rsid w:val="00DA65E3"/>
    <w:rsid w:val="00DA685A"/>
    <w:rsid w:val="00DB135C"/>
    <w:rsid w:val="00DB1CF3"/>
    <w:rsid w:val="00DB1F6B"/>
    <w:rsid w:val="00DB31EB"/>
    <w:rsid w:val="00DB6349"/>
    <w:rsid w:val="00DB6826"/>
    <w:rsid w:val="00DB75B9"/>
    <w:rsid w:val="00DD08AA"/>
    <w:rsid w:val="00DD33BE"/>
    <w:rsid w:val="00DE5DE5"/>
    <w:rsid w:val="00DE7FB0"/>
    <w:rsid w:val="00DF59F9"/>
    <w:rsid w:val="00DF5BFE"/>
    <w:rsid w:val="00E15DCC"/>
    <w:rsid w:val="00E20A89"/>
    <w:rsid w:val="00E23AA6"/>
    <w:rsid w:val="00E24A55"/>
    <w:rsid w:val="00E3036B"/>
    <w:rsid w:val="00E3496E"/>
    <w:rsid w:val="00E37191"/>
    <w:rsid w:val="00E40AAB"/>
    <w:rsid w:val="00E46E78"/>
    <w:rsid w:val="00E47E0C"/>
    <w:rsid w:val="00E51813"/>
    <w:rsid w:val="00E53D3F"/>
    <w:rsid w:val="00E5579B"/>
    <w:rsid w:val="00E55B78"/>
    <w:rsid w:val="00E60030"/>
    <w:rsid w:val="00E842E0"/>
    <w:rsid w:val="00ED2E45"/>
    <w:rsid w:val="00EE0A95"/>
    <w:rsid w:val="00EE14BE"/>
    <w:rsid w:val="00EE76A5"/>
    <w:rsid w:val="00F02AEC"/>
    <w:rsid w:val="00F157FC"/>
    <w:rsid w:val="00F16EB9"/>
    <w:rsid w:val="00F17511"/>
    <w:rsid w:val="00F30AF3"/>
    <w:rsid w:val="00F3154E"/>
    <w:rsid w:val="00F37917"/>
    <w:rsid w:val="00F57770"/>
    <w:rsid w:val="00F62346"/>
    <w:rsid w:val="00F6317C"/>
    <w:rsid w:val="00F657B4"/>
    <w:rsid w:val="00F865A7"/>
    <w:rsid w:val="00F8775C"/>
    <w:rsid w:val="00F90A5D"/>
    <w:rsid w:val="00F919E3"/>
    <w:rsid w:val="00F938BF"/>
    <w:rsid w:val="00FA0754"/>
    <w:rsid w:val="00FA1BC9"/>
    <w:rsid w:val="00FA49C3"/>
    <w:rsid w:val="00FB236E"/>
    <w:rsid w:val="00FB3CEF"/>
    <w:rsid w:val="00FB775A"/>
    <w:rsid w:val="00FD15DB"/>
    <w:rsid w:val="00FD64F4"/>
    <w:rsid w:val="00FE47BF"/>
    <w:rsid w:val="00FE563B"/>
    <w:rsid w:val="00FF6C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6B996ECD-7387-41F9-800B-15421173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63"/>
    <w:pPr>
      <w:spacing w:before="120"/>
    </w:pPr>
    <w:rPr>
      <w:rFonts w:ascii="Cambria" w:hAnsi="Cambria"/>
      <w:sz w:val="22"/>
    </w:rPr>
  </w:style>
  <w:style w:type="paragraph" w:styleId="Heading1">
    <w:name w:val="heading 1"/>
    <w:basedOn w:val="Normal"/>
    <w:next w:val="Normal"/>
    <w:link w:val="Heading1Char"/>
    <w:uiPriority w:val="9"/>
    <w:qFormat/>
    <w:rsid w:val="004F3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DB75B9"/>
    <w:pPr>
      <w:keepNext/>
      <w:keepLines/>
      <w:spacing w:before="240" w:line="240" w:lineRule="atLeast"/>
      <w:outlineLvl w:val="5"/>
    </w:pPr>
    <w:rPr>
      <w:rFonts w:ascii="Arial" w:eastAsia="Times New Roman" w:hAnsi="Arial" w:cs="Times New Roman"/>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DB75B9"/>
    <w:rPr>
      <w:rFonts w:ascii="Arial" w:eastAsia="Times New Roman" w:hAnsi="Arial" w:cs="Times New Roman"/>
      <w:bCs/>
      <w:i/>
      <w:color w:val="001871"/>
      <w:sz w:val="24"/>
      <w:szCs w:val="21"/>
    </w:rPr>
  </w:style>
  <w:style w:type="paragraph" w:styleId="Date">
    <w:name w:val="Date"/>
    <w:basedOn w:val="Normal"/>
    <w:next w:val="Normal"/>
    <w:link w:val="DateChar"/>
    <w:uiPriority w:val="99"/>
    <w:rsid w:val="00F02AEC"/>
    <w:pPr>
      <w:spacing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99"/>
    <w:qFormat/>
    <w:rsid w:val="0056766D"/>
    <w:pPr>
      <w:numPr>
        <w:numId w:val="1"/>
      </w:numPr>
      <w:spacing w:after="180" w:line="240" w:lineRule="atLeast"/>
    </w:pPr>
    <w:rPr>
      <w:rFonts w:eastAsia="Cambria" w:cs="Times New Roman"/>
      <w:color w:val="333F48"/>
    </w:rPr>
  </w:style>
  <w:style w:type="paragraph" w:styleId="ListBullet2">
    <w:name w:val="List Bullet 2"/>
    <w:basedOn w:val="Normal"/>
    <w:uiPriority w:val="99"/>
    <w:qFormat/>
    <w:rsid w:val="0056766D"/>
    <w:pPr>
      <w:numPr>
        <w:ilvl w:val="1"/>
        <w:numId w:val="1"/>
      </w:numPr>
      <w:spacing w:after="180" w:line="240" w:lineRule="atLeast"/>
      <w:ind w:left="850" w:hanging="425"/>
    </w:pPr>
    <w:rPr>
      <w:rFonts w:eastAsia="Cambria" w:cs="Times New Roman"/>
      <w:color w:val="333F48"/>
    </w:rPr>
  </w:style>
  <w:style w:type="paragraph" w:styleId="ListBullet3">
    <w:name w:val="List Bullet 3"/>
    <w:basedOn w:val="Normal"/>
    <w:uiPriority w:val="99"/>
    <w:qFormat/>
    <w:rsid w:val="0056766D"/>
    <w:pPr>
      <w:numPr>
        <w:numId w:val="3"/>
      </w:numPr>
      <w:spacing w:after="180" w:line="240" w:lineRule="atLeast"/>
      <w:ind w:left="1276" w:hanging="425"/>
    </w:pPr>
    <w:rPr>
      <w:rFonts w:eastAsia="Cambria"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7054D4"/>
    <w:pPr>
      <w:numPr>
        <w:numId w:val="2"/>
      </w:numPr>
    </w:pPr>
    <w:rPr>
      <w:color w:val="auto"/>
    </w:rPr>
  </w:style>
  <w:style w:type="paragraph" w:customStyle="1" w:styleId="Numberbullet2">
    <w:name w:val="Number bullet 2"/>
    <w:basedOn w:val="ListBullet2"/>
    <w:uiPriority w:val="2"/>
    <w:qFormat/>
    <w:rsid w:val="00F02AEC"/>
    <w:pPr>
      <w:numPr>
        <w:numId w:val="2"/>
      </w:numPr>
    </w:pPr>
  </w:style>
  <w:style w:type="paragraph" w:customStyle="1" w:styleId="Numberbullet3">
    <w:name w:val="Number bullet 3"/>
    <w:basedOn w:val="Normal"/>
    <w:uiPriority w:val="2"/>
    <w:qFormat/>
    <w:rsid w:val="00F02AEC"/>
    <w:pPr>
      <w:numPr>
        <w:numId w:val="4"/>
      </w:numPr>
      <w:spacing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312AC3"/>
    <w:pPr>
      <w:keepLines/>
      <w:spacing w:after="0" w:line="240" w:lineRule="atLeast"/>
    </w:pPr>
    <w:rPr>
      <w:rFonts w:eastAsia="Cambria" w:cs="Times New Roman"/>
      <w:color w:val="333F48"/>
      <w:sz w:val="18"/>
    </w:rPr>
  </w:style>
  <w:style w:type="character" w:customStyle="1" w:styleId="FootnoteTextChar">
    <w:name w:val="Footnote Text Char"/>
    <w:basedOn w:val="DefaultParagraphFont"/>
    <w:link w:val="FootnoteText"/>
    <w:rsid w:val="00312AC3"/>
    <w:rPr>
      <w:rFonts w:ascii="Cambria" w:eastAsia="Cambria" w:hAnsi="Cambria" w:cs="Times New Roman"/>
      <w:color w:val="333F48"/>
      <w:sz w:val="18"/>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Bahnschrift Light Condensed" w:hAnsi="Bahnschrift Light Condensed"/>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line="240" w:lineRule="atLeast"/>
    </w:pPr>
    <w:rPr>
      <w:rFonts w:eastAsia="Cambria" w:cs="Times New Roman"/>
      <w:i/>
      <w:color w:val="007099"/>
      <w:szCs w:val="22"/>
    </w:rPr>
  </w:style>
  <w:style w:type="paragraph" w:customStyle="1" w:styleId="TableTitle">
    <w:name w:val="Table Title"/>
    <w:basedOn w:val="Normal"/>
    <w:rsid w:val="00324B33"/>
    <w:pPr>
      <w:keepNext/>
      <w:spacing w:line="240" w:lineRule="atLeast"/>
    </w:pPr>
    <w:rPr>
      <w:rFonts w:eastAsia="Cambria" w:cs="Times New Roman"/>
      <w:b/>
      <w:szCs w:val="22"/>
    </w:rPr>
  </w:style>
  <w:style w:type="paragraph" w:customStyle="1" w:styleId="TableDescription">
    <w:name w:val="Table Description"/>
    <w:basedOn w:val="Normal"/>
    <w:rsid w:val="0056766D"/>
    <w:pPr>
      <w:spacing w:after="0" w:line="240" w:lineRule="auto"/>
    </w:pPr>
    <w:rPr>
      <w:rFonts w:eastAsia="Cambria" w:cs="Times New Roman"/>
      <w:sz w:val="19"/>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E5579B"/>
    <w:rPr>
      <w:sz w:val="20"/>
      <w:lang w:val="en-GB"/>
    </w:rPr>
  </w:style>
  <w:style w:type="paragraph" w:customStyle="1" w:styleId="Default">
    <w:name w:val="Default"/>
    <w:uiPriority w:val="99"/>
    <w:rsid w:val="00275C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rsid w:val="00143411"/>
    <w:pPr>
      <w:adjustRightInd w:val="0"/>
      <w:snapToGrid w:val="0"/>
      <w:spacing w:before="180" w:after="180" w:line="240" w:lineRule="atLeast"/>
      <w:ind w:left="720"/>
      <w:contextualSpacing/>
    </w:pPr>
    <w:rPr>
      <w:rFonts w:eastAsia="MS Mincho" w:cs="Times New Roman"/>
      <w:lang w:eastAsia="ja-JP"/>
    </w:rPr>
  </w:style>
  <w:style w:type="paragraph" w:styleId="Caption">
    <w:name w:val="caption"/>
    <w:basedOn w:val="Normal"/>
    <w:next w:val="Normal"/>
    <w:uiPriority w:val="35"/>
    <w:unhideWhenUsed/>
    <w:qFormat/>
    <w:rsid w:val="00AF25E3"/>
    <w:pPr>
      <w:spacing w:after="200" w:line="240" w:lineRule="auto"/>
    </w:pPr>
    <w:rPr>
      <w:i/>
      <w:iCs/>
      <w:color w:val="44546A" w:themeColor="text2"/>
      <w:sz w:val="18"/>
      <w:szCs w:val="18"/>
    </w:rPr>
  </w:style>
  <w:style w:type="paragraph" w:styleId="NormalWeb">
    <w:name w:val="Normal (Web)"/>
    <w:basedOn w:val="Normal"/>
    <w:uiPriority w:val="99"/>
    <w:unhideWhenUsed/>
    <w:rsid w:val="00BF28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9E0E24"/>
    <w:pPr>
      <w:spacing w:before="0" w:after="0" w:line="240" w:lineRule="auto"/>
    </w:pPr>
    <w:rPr>
      <w:sz w:val="20"/>
    </w:rPr>
  </w:style>
  <w:style w:type="character" w:customStyle="1" w:styleId="EndnoteTextChar">
    <w:name w:val="Endnote Text Char"/>
    <w:basedOn w:val="DefaultParagraphFont"/>
    <w:link w:val="EndnoteText"/>
    <w:uiPriority w:val="99"/>
    <w:semiHidden/>
    <w:rsid w:val="009E0E24"/>
    <w:rPr>
      <w:rFonts w:ascii="Cambria" w:hAnsi="Cambria"/>
    </w:rPr>
  </w:style>
  <w:style w:type="character" w:styleId="EndnoteReference">
    <w:name w:val="endnote reference"/>
    <w:basedOn w:val="DefaultParagraphFont"/>
    <w:uiPriority w:val="99"/>
    <w:semiHidden/>
    <w:unhideWhenUsed/>
    <w:rsid w:val="009E0E24"/>
    <w:rPr>
      <w:vertAlign w:val="superscript"/>
    </w:rPr>
  </w:style>
  <w:style w:type="character" w:customStyle="1" w:styleId="Heading1Char">
    <w:name w:val="Heading 1 Char"/>
    <w:basedOn w:val="DefaultParagraphFont"/>
    <w:link w:val="Heading1"/>
    <w:uiPriority w:val="9"/>
    <w:rsid w:val="004F35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481">
      <w:bodyDiv w:val="1"/>
      <w:marLeft w:val="0"/>
      <w:marRight w:val="0"/>
      <w:marTop w:val="0"/>
      <w:marBottom w:val="0"/>
      <w:divBdr>
        <w:top w:val="none" w:sz="0" w:space="0" w:color="auto"/>
        <w:left w:val="none" w:sz="0" w:space="0" w:color="auto"/>
        <w:bottom w:val="none" w:sz="0" w:space="0" w:color="auto"/>
        <w:right w:val="none" w:sz="0" w:space="0" w:color="auto"/>
      </w:divBdr>
    </w:div>
    <w:div w:id="428086539">
      <w:bodyDiv w:val="1"/>
      <w:marLeft w:val="0"/>
      <w:marRight w:val="0"/>
      <w:marTop w:val="0"/>
      <w:marBottom w:val="0"/>
      <w:divBdr>
        <w:top w:val="none" w:sz="0" w:space="0" w:color="auto"/>
        <w:left w:val="none" w:sz="0" w:space="0" w:color="auto"/>
        <w:bottom w:val="none" w:sz="0" w:space="0" w:color="auto"/>
        <w:right w:val="none" w:sz="0" w:space="0" w:color="auto"/>
      </w:divBdr>
    </w:div>
    <w:div w:id="575944265">
      <w:bodyDiv w:val="1"/>
      <w:marLeft w:val="0"/>
      <w:marRight w:val="0"/>
      <w:marTop w:val="0"/>
      <w:marBottom w:val="0"/>
      <w:divBdr>
        <w:top w:val="none" w:sz="0" w:space="0" w:color="auto"/>
        <w:left w:val="none" w:sz="0" w:space="0" w:color="auto"/>
        <w:bottom w:val="none" w:sz="0" w:space="0" w:color="auto"/>
        <w:right w:val="none" w:sz="0" w:space="0" w:color="auto"/>
      </w:divBdr>
    </w:div>
    <w:div w:id="576979315">
      <w:bodyDiv w:val="1"/>
      <w:marLeft w:val="0"/>
      <w:marRight w:val="0"/>
      <w:marTop w:val="0"/>
      <w:marBottom w:val="0"/>
      <w:divBdr>
        <w:top w:val="none" w:sz="0" w:space="0" w:color="auto"/>
        <w:left w:val="none" w:sz="0" w:space="0" w:color="auto"/>
        <w:bottom w:val="none" w:sz="0" w:space="0" w:color="auto"/>
        <w:right w:val="none" w:sz="0" w:space="0" w:color="auto"/>
      </w:divBdr>
    </w:div>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756168925">
      <w:bodyDiv w:val="1"/>
      <w:marLeft w:val="0"/>
      <w:marRight w:val="0"/>
      <w:marTop w:val="0"/>
      <w:marBottom w:val="0"/>
      <w:divBdr>
        <w:top w:val="none" w:sz="0" w:space="0" w:color="auto"/>
        <w:left w:val="none" w:sz="0" w:space="0" w:color="auto"/>
        <w:bottom w:val="none" w:sz="0" w:space="0" w:color="auto"/>
        <w:right w:val="none" w:sz="0" w:space="0" w:color="auto"/>
      </w:divBdr>
      <w:divsChild>
        <w:div w:id="1633559820">
          <w:marLeft w:val="0"/>
          <w:marRight w:val="0"/>
          <w:marTop w:val="0"/>
          <w:marBottom w:val="0"/>
          <w:divBdr>
            <w:top w:val="none" w:sz="0" w:space="0" w:color="auto"/>
            <w:left w:val="none" w:sz="0" w:space="0" w:color="auto"/>
            <w:bottom w:val="none" w:sz="0" w:space="0" w:color="auto"/>
            <w:right w:val="none" w:sz="0" w:space="0" w:color="auto"/>
          </w:divBdr>
          <w:divsChild>
            <w:div w:id="17360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 w:id="1298990441">
      <w:bodyDiv w:val="1"/>
      <w:marLeft w:val="0"/>
      <w:marRight w:val="0"/>
      <w:marTop w:val="0"/>
      <w:marBottom w:val="0"/>
      <w:divBdr>
        <w:top w:val="none" w:sz="0" w:space="0" w:color="auto"/>
        <w:left w:val="none" w:sz="0" w:space="0" w:color="auto"/>
        <w:bottom w:val="none" w:sz="0" w:space="0" w:color="auto"/>
        <w:right w:val="none" w:sz="0" w:space="0" w:color="auto"/>
      </w:divBdr>
    </w:div>
    <w:div w:id="1435325290">
      <w:bodyDiv w:val="1"/>
      <w:marLeft w:val="0"/>
      <w:marRight w:val="0"/>
      <w:marTop w:val="0"/>
      <w:marBottom w:val="0"/>
      <w:divBdr>
        <w:top w:val="none" w:sz="0" w:space="0" w:color="auto"/>
        <w:left w:val="none" w:sz="0" w:space="0" w:color="auto"/>
        <w:bottom w:val="none" w:sz="0" w:space="0" w:color="auto"/>
        <w:right w:val="none" w:sz="0" w:space="0" w:color="auto"/>
      </w:divBdr>
    </w:div>
    <w:div w:id="18845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ga.gov.au/black-triangle-scheme" TargetMode="External"/><Relationship Id="rId26" Type="http://schemas.openxmlformats.org/officeDocument/2006/relationships/image" Target="media/image3.png"/><Relationship Id="rId39" Type="http://schemas.openxmlformats.org/officeDocument/2006/relationships/hyperlink" Target="mailto:info@tga.gov.au" TargetMode="External"/><Relationship Id="rId3" Type="http://schemas.openxmlformats.org/officeDocument/2006/relationships/customXml" Target="../customXml/item3.xml"/><Relationship Id="rId21" Type="http://schemas.openxmlformats.org/officeDocument/2006/relationships/hyperlink" Target="https://www.tga.gov.au/products/australian-register-therapeutic-goods-artg/product-information-one" TargetMode="External"/><Relationship Id="rId34" Type="http://schemas.openxmlformats.org/officeDocument/2006/relationships/hyperlink" Target="https://www.tga.gov.au/resources/resource/guidance/risk-management-plans-medicines-and-biologicals/australia-specific-annex-eu-rmp"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ga.copyright@tga.gov.au" TargetMode="External"/><Relationship Id="rId25" Type="http://schemas.openxmlformats.org/officeDocument/2006/relationships/hyperlink" Target="https://www.tga.gov.au/how-we-regulate/supply-therapeutic-good-0/supply-prescription-medicine/application-process/prescription-medicines-registration-process" TargetMode="External"/><Relationship Id="rId33" Type="http://schemas.openxmlformats.org/officeDocument/2006/relationships/hyperlink" Target="https://www.tga.gov.au/resources/resource/guidance/risk-management-plans-medicines-and-biologicals/australia-specific-annex-eu-rmp"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ga.gov.au/australian-public-assessment-report-auspar-guidance" TargetMode="External"/><Relationship Id="rId20" Type="http://schemas.openxmlformats.org/officeDocument/2006/relationships/hyperlink" Target="https://www.tga.gov.au/products/australian-register-therapeutic-goods-artg" TargetMode="External"/><Relationship Id="rId29" Type="http://schemas.openxmlformats.org/officeDocument/2006/relationships/hyperlink" Target="https://www.tga.gov.au/resources/resource/guidance/risk-management-plans-medicines-and-biologicals/when-rmp-required"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ga.gov.au/picmi-search-facility" TargetMode="External"/><Relationship Id="rId32" Type="http://schemas.openxmlformats.org/officeDocument/2006/relationships/hyperlink" Target="https://www.tga.gov.au/tgas-risk-management-approach" TargetMode="External"/><Relationship Id="rId37" Type="http://schemas.openxmlformats.org/officeDocument/2006/relationships/header" Target="header3.xml"/><Relationship Id="rId40" Type="http://schemas.openxmlformats.org/officeDocument/2006/relationships/hyperlink" Target="https://www.tga.gov.au" TargetMode="External"/><Relationship Id="rId5" Type="http://schemas.openxmlformats.org/officeDocument/2006/relationships/numbering" Target="numbering.xml"/><Relationship Id="rId15" Type="http://schemas.openxmlformats.org/officeDocument/2006/relationships/hyperlink" Target="https://www.tga.gov.au" TargetMode="External"/><Relationship Id="rId23" Type="http://schemas.openxmlformats.org/officeDocument/2006/relationships/hyperlink" Target="https://www.tga.gov.au/products/australian-register-therapeutic-goods-artg/consumer-medicines-information-cmi" TargetMode="External"/><Relationship Id="rId28" Type="http://schemas.openxmlformats.org/officeDocument/2006/relationships/image" Target="media/image4.png"/><Relationship Id="rId36" Type="http://schemas.openxmlformats.org/officeDocument/2006/relationships/hyperlink" Target="https://www.tga.gov.au/picmi-search-facility" TargetMode="External"/><Relationship Id="rId10" Type="http://schemas.openxmlformats.org/officeDocument/2006/relationships/endnotes" Target="endnotes.xml"/><Relationship Id="rId19" Type="http://schemas.openxmlformats.org/officeDocument/2006/relationships/hyperlink" Target="https://www.tga.gov.au/products/australian-register-therapeutic-goods-artg" TargetMode="External"/><Relationship Id="rId31" Type="http://schemas.openxmlformats.org/officeDocument/2006/relationships/hyperlink" Target="https://www.tga.gov.au/publication/risk-management-plans-medicines-and-biological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ga.gov.au/products/australian-register-therapeutic-goods-artg/product-information-one" TargetMode="External"/><Relationship Id="rId27" Type="http://schemas.microsoft.com/office/2007/relationships/hdphoto" Target="media/hdphoto1.wdp"/><Relationship Id="rId30" Type="http://schemas.openxmlformats.org/officeDocument/2006/relationships/hyperlink" Target="https://www.tga.gov.au/resources/resource/guidance/risk-management-plans-medicines-and-biologicals/when-rmp-required" TargetMode="External"/><Relationship Id="rId35" Type="http://schemas.openxmlformats.org/officeDocument/2006/relationships/hyperlink" Target="https://www.tga.gov.au/committee/advisory-committee-medicines-ac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auspar/auspar-nivolumab" TargetMode="External"/><Relationship Id="rId2" Type="http://schemas.openxmlformats.org/officeDocument/2006/relationships/hyperlink" Target="https://www.tga.gov.au/resources/auspar/auspar-avelumab" TargetMode="External"/><Relationship Id="rId1" Type="http://schemas.openxmlformats.org/officeDocument/2006/relationships/hyperlink" Target="https://uroweb.org/guidelines/muscle-invasive-and-metastatic-bladder-canc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8E1642ACF814DAE5C915C9F90BBB2" ma:contentTypeVersion="15" ma:contentTypeDescription="Create a new document." ma:contentTypeScope="" ma:versionID="9630060c3b5ad5c0e0e27f940bcc5cc3">
  <xsd:schema xmlns:xsd="http://www.w3.org/2001/XMLSchema" xmlns:xs="http://www.w3.org/2001/XMLSchema" xmlns:p="http://schemas.microsoft.com/office/2006/metadata/properties" xmlns:ns2="8a46b709-8ecf-42fd-81b0-d282e67de71a" xmlns:ns3="4212292e-fee3-4e58-b645-17c47387aa0e" targetNamespace="http://schemas.microsoft.com/office/2006/metadata/properties" ma:root="true" ma:fieldsID="cc872957e78b8c124de0fbf7af81752d" ns2:_="" ns3:_="">
    <xsd:import namespace="8a46b709-8ecf-42fd-81b0-d282e67de71a"/>
    <xsd:import namespace="4212292e-fee3-4e58-b645-17c47387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6b709-8ecf-42fd-81b0-d282e67de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2292e-fee3-4e58-b645-17c47387aa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3151a9-9420-42c1-97d3-0cfd098718a8}" ma:internalName="TaxCatchAll" ma:showField="CatchAllData" ma:web="4212292e-fee3-4e58-b645-17c47387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46b709-8ecf-42fd-81b0-d282e67de71a">
      <Terms xmlns="http://schemas.microsoft.com/office/infopath/2007/PartnerControls"/>
    </lcf76f155ced4ddcb4097134ff3c332f>
    <TaxCatchAll xmlns="4212292e-fee3-4e58-b645-17c47387aa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A249-55A4-48B1-9057-82ED9143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6b709-8ecf-42fd-81b0-d282e67de71a"/>
    <ds:schemaRef ds:uri="4212292e-fee3-4e58-b645-17c47387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1E3BF-E5C9-4C83-B4AF-89DAB3CEF134}">
  <ds:schemaRefs>
    <ds:schemaRef ds:uri="http://schemas.microsoft.com/sharepoint/v3/contenttype/forms"/>
  </ds:schemaRefs>
</ds:datastoreItem>
</file>

<file path=customXml/itemProps3.xml><?xml version="1.0" encoding="utf-8"?>
<ds:datastoreItem xmlns:ds="http://schemas.openxmlformats.org/officeDocument/2006/customXml" ds:itemID="{F31F8B78-1E56-4862-A19F-CA254A566E7A}">
  <ds:schemaRefs>
    <ds:schemaRef ds:uri="http://schemas.microsoft.com/office/2006/metadata/properties"/>
    <ds:schemaRef ds:uri="http://schemas.microsoft.com/office/infopath/2007/PartnerControls"/>
    <ds:schemaRef ds:uri="8a46b709-8ecf-42fd-81b0-d282e67de71a"/>
    <ds:schemaRef ds:uri="4212292e-fee3-4e58-b645-17c47387aa0e"/>
  </ds:schemaRefs>
</ds:datastoreItem>
</file>

<file path=customXml/itemProps4.xml><?xml version="1.0" encoding="utf-8"?>
<ds:datastoreItem xmlns:ds="http://schemas.openxmlformats.org/officeDocument/2006/customXml" ds:itemID="{86B1BA7C-1C32-4193-9E5D-121B0F29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24</Pages>
  <Words>7804</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and Aged Care</Company>
  <LinksUpToDate>false</LinksUpToDate>
  <CharactersWithSpaces>52183</CharactersWithSpaces>
  <SharedDoc>false</SharedDoc>
  <HLinks>
    <vt:vector size="270" baseType="variant">
      <vt:variant>
        <vt:i4>3473445</vt:i4>
      </vt:variant>
      <vt:variant>
        <vt:i4>222</vt:i4>
      </vt:variant>
      <vt:variant>
        <vt:i4>0</vt:i4>
      </vt:variant>
      <vt:variant>
        <vt:i4>5</vt:i4>
      </vt:variant>
      <vt:variant>
        <vt:lpwstr>https://www.tga.gov.au/</vt:lpwstr>
      </vt:variant>
      <vt:variant>
        <vt:lpwstr/>
      </vt:variant>
      <vt:variant>
        <vt:i4>5242926</vt:i4>
      </vt:variant>
      <vt:variant>
        <vt:i4>219</vt:i4>
      </vt:variant>
      <vt:variant>
        <vt:i4>0</vt:i4>
      </vt:variant>
      <vt:variant>
        <vt:i4>5</vt:i4>
      </vt:variant>
      <vt:variant>
        <vt:lpwstr>mailto:info@tga.gov.au</vt:lpwstr>
      </vt:variant>
      <vt:variant>
        <vt:lpwstr/>
      </vt:variant>
      <vt:variant>
        <vt:i4>720961</vt:i4>
      </vt:variant>
      <vt:variant>
        <vt:i4>216</vt:i4>
      </vt:variant>
      <vt:variant>
        <vt:i4>0</vt:i4>
      </vt:variant>
      <vt:variant>
        <vt:i4>5</vt:i4>
      </vt:variant>
      <vt:variant>
        <vt:lpwstr>https://www.tga.gov.au/picmi-search-facility</vt:lpwstr>
      </vt:variant>
      <vt:variant>
        <vt:lpwstr/>
      </vt:variant>
      <vt:variant>
        <vt:i4>524365</vt:i4>
      </vt:variant>
      <vt:variant>
        <vt:i4>213</vt:i4>
      </vt:variant>
      <vt:variant>
        <vt:i4>0</vt:i4>
      </vt:variant>
      <vt:variant>
        <vt:i4>5</vt:i4>
      </vt:variant>
      <vt:variant>
        <vt:lpwstr>https://www.tga.gov.au/committee/advisory-committee-medicines-acm</vt:lpwstr>
      </vt:variant>
      <vt:variant>
        <vt:lpwstr/>
      </vt:variant>
      <vt:variant>
        <vt:i4>2424877</vt:i4>
      </vt:variant>
      <vt:variant>
        <vt:i4>210</vt:i4>
      </vt:variant>
      <vt:variant>
        <vt:i4>0</vt:i4>
      </vt:variant>
      <vt:variant>
        <vt:i4>5</vt:i4>
      </vt:variant>
      <vt:variant>
        <vt:lpwstr>https://www.tga.gov.au/resources/resource/guidance/risk-management-plans-medicines-and-biologicals/australia-specific-annex-eu-rmp</vt:lpwstr>
      </vt:variant>
      <vt:variant>
        <vt:lpwstr/>
      </vt:variant>
      <vt:variant>
        <vt:i4>2424877</vt:i4>
      </vt:variant>
      <vt:variant>
        <vt:i4>207</vt:i4>
      </vt:variant>
      <vt:variant>
        <vt:i4>0</vt:i4>
      </vt:variant>
      <vt:variant>
        <vt:i4>5</vt:i4>
      </vt:variant>
      <vt:variant>
        <vt:lpwstr>https://www.tga.gov.au/resources/resource/guidance/risk-management-plans-medicines-and-biologicals/australia-specific-annex-eu-rmp</vt:lpwstr>
      </vt:variant>
      <vt:variant>
        <vt:lpwstr/>
      </vt:variant>
      <vt:variant>
        <vt:i4>5111899</vt:i4>
      </vt:variant>
      <vt:variant>
        <vt:i4>204</vt:i4>
      </vt:variant>
      <vt:variant>
        <vt:i4>0</vt:i4>
      </vt:variant>
      <vt:variant>
        <vt:i4>5</vt:i4>
      </vt:variant>
      <vt:variant>
        <vt:lpwstr>https://www.tga.gov.au/tgas-risk-management-approach</vt:lpwstr>
      </vt:variant>
      <vt:variant>
        <vt:lpwstr/>
      </vt:variant>
      <vt:variant>
        <vt:i4>7929888</vt:i4>
      </vt:variant>
      <vt:variant>
        <vt:i4>201</vt:i4>
      </vt:variant>
      <vt:variant>
        <vt:i4>0</vt:i4>
      </vt:variant>
      <vt:variant>
        <vt:i4>5</vt:i4>
      </vt:variant>
      <vt:variant>
        <vt:lpwstr>https://www.tga.gov.au/publication/risk-management-plans-medicines-and-biologicals</vt:lpwstr>
      </vt:variant>
      <vt:variant>
        <vt:lpwstr/>
      </vt:variant>
      <vt:variant>
        <vt:i4>5963846</vt:i4>
      </vt:variant>
      <vt:variant>
        <vt:i4>198</vt:i4>
      </vt:variant>
      <vt:variant>
        <vt:i4>0</vt:i4>
      </vt:variant>
      <vt:variant>
        <vt:i4>5</vt:i4>
      </vt:variant>
      <vt:variant>
        <vt:lpwstr>https://www.tga.gov.au/resources/resource/guidance/risk-management-plans-medicines-and-biologicals/when-rmp-required</vt:lpwstr>
      </vt:variant>
      <vt:variant>
        <vt:lpwstr/>
      </vt:variant>
      <vt:variant>
        <vt:i4>1835097</vt:i4>
      </vt:variant>
      <vt:variant>
        <vt:i4>183</vt:i4>
      </vt:variant>
      <vt:variant>
        <vt:i4>0</vt:i4>
      </vt:variant>
      <vt:variant>
        <vt:i4>5</vt:i4>
      </vt:variant>
      <vt:variant>
        <vt:lpwstr>https://www.tga.gov.au/how-we-regulate/supply-therapeutic-good-0/supply-prescription-medicine/application-process/prescription-medicines-registration-process</vt:lpwstr>
      </vt:variant>
      <vt:variant>
        <vt:lpwstr/>
      </vt:variant>
      <vt:variant>
        <vt:i4>720961</vt:i4>
      </vt:variant>
      <vt:variant>
        <vt:i4>180</vt:i4>
      </vt:variant>
      <vt:variant>
        <vt:i4>0</vt:i4>
      </vt:variant>
      <vt:variant>
        <vt:i4>5</vt:i4>
      </vt:variant>
      <vt:variant>
        <vt:lpwstr>https://www.tga.gov.au/picmi-search-facility</vt:lpwstr>
      </vt:variant>
      <vt:variant>
        <vt:lpwstr/>
      </vt:variant>
      <vt:variant>
        <vt:i4>983049</vt:i4>
      </vt:variant>
      <vt:variant>
        <vt:i4>177</vt:i4>
      </vt:variant>
      <vt:variant>
        <vt:i4>0</vt:i4>
      </vt:variant>
      <vt:variant>
        <vt:i4>5</vt:i4>
      </vt:variant>
      <vt:variant>
        <vt:lpwstr>https://www.tga.gov.au/products/australian-register-therapeutic-goods-artg/consumer-medicines-information-cmi</vt:lpwstr>
      </vt:variant>
      <vt:variant>
        <vt:lpwstr/>
      </vt:variant>
      <vt:variant>
        <vt:i4>2752617</vt:i4>
      </vt:variant>
      <vt:variant>
        <vt:i4>174</vt:i4>
      </vt:variant>
      <vt:variant>
        <vt:i4>0</vt:i4>
      </vt:variant>
      <vt:variant>
        <vt:i4>5</vt:i4>
      </vt:variant>
      <vt:variant>
        <vt:lpwstr>https://www.tga.gov.au/products/australian-register-therapeutic-goods-artg/product-information-one</vt:lpwstr>
      </vt:variant>
      <vt:variant>
        <vt:lpwstr/>
      </vt:variant>
      <vt:variant>
        <vt:i4>2752617</vt:i4>
      </vt:variant>
      <vt:variant>
        <vt:i4>171</vt:i4>
      </vt:variant>
      <vt:variant>
        <vt:i4>0</vt:i4>
      </vt:variant>
      <vt:variant>
        <vt:i4>5</vt:i4>
      </vt:variant>
      <vt:variant>
        <vt:lpwstr>https://www.tga.gov.au/products/australian-register-therapeutic-goods-artg/product-information-one</vt:lpwstr>
      </vt:variant>
      <vt:variant>
        <vt:lpwstr/>
      </vt:variant>
      <vt:variant>
        <vt:i4>2424874</vt:i4>
      </vt:variant>
      <vt:variant>
        <vt:i4>165</vt:i4>
      </vt:variant>
      <vt:variant>
        <vt:i4>0</vt:i4>
      </vt:variant>
      <vt:variant>
        <vt:i4>5</vt:i4>
      </vt:variant>
      <vt:variant>
        <vt:lpwstr>https://www.tga.gov.au/products/australian-register-therapeutic-goods-artg</vt:lpwstr>
      </vt:variant>
      <vt:variant>
        <vt:lpwstr/>
      </vt:variant>
      <vt:variant>
        <vt:i4>2424874</vt:i4>
      </vt:variant>
      <vt:variant>
        <vt:i4>162</vt:i4>
      </vt:variant>
      <vt:variant>
        <vt:i4>0</vt:i4>
      </vt:variant>
      <vt:variant>
        <vt:i4>5</vt:i4>
      </vt:variant>
      <vt:variant>
        <vt:lpwstr>https://www.tga.gov.au/products/australian-register-therapeutic-goods-artg</vt:lpwstr>
      </vt:variant>
      <vt:variant>
        <vt:lpwstr/>
      </vt:variant>
      <vt:variant>
        <vt:i4>786511</vt:i4>
      </vt:variant>
      <vt:variant>
        <vt:i4>156</vt:i4>
      </vt:variant>
      <vt:variant>
        <vt:i4>0</vt:i4>
      </vt:variant>
      <vt:variant>
        <vt:i4>5</vt:i4>
      </vt:variant>
      <vt:variant>
        <vt:lpwstr>https://www.tga.gov.au/black-triangle-scheme</vt:lpwstr>
      </vt:variant>
      <vt:variant>
        <vt:lpwstr/>
      </vt:variant>
      <vt:variant>
        <vt:i4>1703991</vt:i4>
      </vt:variant>
      <vt:variant>
        <vt:i4>149</vt:i4>
      </vt:variant>
      <vt:variant>
        <vt:i4>0</vt:i4>
      </vt:variant>
      <vt:variant>
        <vt:i4>5</vt:i4>
      </vt:variant>
      <vt:variant>
        <vt:lpwstr/>
      </vt:variant>
      <vt:variant>
        <vt:lpwstr>_Toc131068168</vt:lpwstr>
      </vt:variant>
      <vt:variant>
        <vt:i4>1703991</vt:i4>
      </vt:variant>
      <vt:variant>
        <vt:i4>143</vt:i4>
      </vt:variant>
      <vt:variant>
        <vt:i4>0</vt:i4>
      </vt:variant>
      <vt:variant>
        <vt:i4>5</vt:i4>
      </vt:variant>
      <vt:variant>
        <vt:lpwstr/>
      </vt:variant>
      <vt:variant>
        <vt:lpwstr>_Toc131068167</vt:lpwstr>
      </vt:variant>
      <vt:variant>
        <vt:i4>1703991</vt:i4>
      </vt:variant>
      <vt:variant>
        <vt:i4>137</vt:i4>
      </vt:variant>
      <vt:variant>
        <vt:i4>0</vt:i4>
      </vt:variant>
      <vt:variant>
        <vt:i4>5</vt:i4>
      </vt:variant>
      <vt:variant>
        <vt:lpwstr/>
      </vt:variant>
      <vt:variant>
        <vt:lpwstr>_Toc131068166</vt:lpwstr>
      </vt:variant>
      <vt:variant>
        <vt:i4>1703991</vt:i4>
      </vt:variant>
      <vt:variant>
        <vt:i4>131</vt:i4>
      </vt:variant>
      <vt:variant>
        <vt:i4>0</vt:i4>
      </vt:variant>
      <vt:variant>
        <vt:i4>5</vt:i4>
      </vt:variant>
      <vt:variant>
        <vt:lpwstr/>
      </vt:variant>
      <vt:variant>
        <vt:lpwstr>_Toc131068165</vt:lpwstr>
      </vt:variant>
      <vt:variant>
        <vt:i4>1703991</vt:i4>
      </vt:variant>
      <vt:variant>
        <vt:i4>125</vt:i4>
      </vt:variant>
      <vt:variant>
        <vt:i4>0</vt:i4>
      </vt:variant>
      <vt:variant>
        <vt:i4>5</vt:i4>
      </vt:variant>
      <vt:variant>
        <vt:lpwstr/>
      </vt:variant>
      <vt:variant>
        <vt:lpwstr>_Toc131068164</vt:lpwstr>
      </vt:variant>
      <vt:variant>
        <vt:i4>1703991</vt:i4>
      </vt:variant>
      <vt:variant>
        <vt:i4>119</vt:i4>
      </vt:variant>
      <vt:variant>
        <vt:i4>0</vt:i4>
      </vt:variant>
      <vt:variant>
        <vt:i4>5</vt:i4>
      </vt:variant>
      <vt:variant>
        <vt:lpwstr/>
      </vt:variant>
      <vt:variant>
        <vt:lpwstr>_Toc131068163</vt:lpwstr>
      </vt:variant>
      <vt:variant>
        <vt:i4>1703991</vt:i4>
      </vt:variant>
      <vt:variant>
        <vt:i4>113</vt:i4>
      </vt:variant>
      <vt:variant>
        <vt:i4>0</vt:i4>
      </vt:variant>
      <vt:variant>
        <vt:i4>5</vt:i4>
      </vt:variant>
      <vt:variant>
        <vt:lpwstr/>
      </vt:variant>
      <vt:variant>
        <vt:lpwstr>_Toc131068162</vt:lpwstr>
      </vt:variant>
      <vt:variant>
        <vt:i4>1703991</vt:i4>
      </vt:variant>
      <vt:variant>
        <vt:i4>107</vt:i4>
      </vt:variant>
      <vt:variant>
        <vt:i4>0</vt:i4>
      </vt:variant>
      <vt:variant>
        <vt:i4>5</vt:i4>
      </vt:variant>
      <vt:variant>
        <vt:lpwstr/>
      </vt:variant>
      <vt:variant>
        <vt:lpwstr>_Toc131068161</vt:lpwstr>
      </vt:variant>
      <vt:variant>
        <vt:i4>1703991</vt:i4>
      </vt:variant>
      <vt:variant>
        <vt:i4>101</vt:i4>
      </vt:variant>
      <vt:variant>
        <vt:i4>0</vt:i4>
      </vt:variant>
      <vt:variant>
        <vt:i4>5</vt:i4>
      </vt:variant>
      <vt:variant>
        <vt:lpwstr/>
      </vt:variant>
      <vt:variant>
        <vt:lpwstr>_Toc131068160</vt:lpwstr>
      </vt:variant>
      <vt:variant>
        <vt:i4>1638455</vt:i4>
      </vt:variant>
      <vt:variant>
        <vt:i4>95</vt:i4>
      </vt:variant>
      <vt:variant>
        <vt:i4>0</vt:i4>
      </vt:variant>
      <vt:variant>
        <vt:i4>5</vt:i4>
      </vt:variant>
      <vt:variant>
        <vt:lpwstr/>
      </vt:variant>
      <vt:variant>
        <vt:lpwstr>_Toc131068159</vt:lpwstr>
      </vt:variant>
      <vt:variant>
        <vt:i4>1638455</vt:i4>
      </vt:variant>
      <vt:variant>
        <vt:i4>89</vt:i4>
      </vt:variant>
      <vt:variant>
        <vt:i4>0</vt:i4>
      </vt:variant>
      <vt:variant>
        <vt:i4>5</vt:i4>
      </vt:variant>
      <vt:variant>
        <vt:lpwstr/>
      </vt:variant>
      <vt:variant>
        <vt:lpwstr>_Toc131068158</vt:lpwstr>
      </vt:variant>
      <vt:variant>
        <vt:i4>1638455</vt:i4>
      </vt:variant>
      <vt:variant>
        <vt:i4>83</vt:i4>
      </vt:variant>
      <vt:variant>
        <vt:i4>0</vt:i4>
      </vt:variant>
      <vt:variant>
        <vt:i4>5</vt:i4>
      </vt:variant>
      <vt:variant>
        <vt:lpwstr/>
      </vt:variant>
      <vt:variant>
        <vt:lpwstr>_Toc131068157</vt:lpwstr>
      </vt:variant>
      <vt:variant>
        <vt:i4>1638455</vt:i4>
      </vt:variant>
      <vt:variant>
        <vt:i4>77</vt:i4>
      </vt:variant>
      <vt:variant>
        <vt:i4>0</vt:i4>
      </vt:variant>
      <vt:variant>
        <vt:i4>5</vt:i4>
      </vt:variant>
      <vt:variant>
        <vt:lpwstr/>
      </vt:variant>
      <vt:variant>
        <vt:lpwstr>_Toc131068156</vt:lpwstr>
      </vt:variant>
      <vt:variant>
        <vt:i4>1638455</vt:i4>
      </vt:variant>
      <vt:variant>
        <vt:i4>71</vt:i4>
      </vt:variant>
      <vt:variant>
        <vt:i4>0</vt:i4>
      </vt:variant>
      <vt:variant>
        <vt:i4>5</vt:i4>
      </vt:variant>
      <vt:variant>
        <vt:lpwstr/>
      </vt:variant>
      <vt:variant>
        <vt:lpwstr>_Toc131068155</vt:lpwstr>
      </vt:variant>
      <vt:variant>
        <vt:i4>1638455</vt:i4>
      </vt:variant>
      <vt:variant>
        <vt:i4>65</vt:i4>
      </vt:variant>
      <vt:variant>
        <vt:i4>0</vt:i4>
      </vt:variant>
      <vt:variant>
        <vt:i4>5</vt:i4>
      </vt:variant>
      <vt:variant>
        <vt:lpwstr/>
      </vt:variant>
      <vt:variant>
        <vt:lpwstr>_Toc131068154</vt:lpwstr>
      </vt:variant>
      <vt:variant>
        <vt:i4>1638455</vt:i4>
      </vt:variant>
      <vt:variant>
        <vt:i4>59</vt:i4>
      </vt:variant>
      <vt:variant>
        <vt:i4>0</vt:i4>
      </vt:variant>
      <vt:variant>
        <vt:i4>5</vt:i4>
      </vt:variant>
      <vt:variant>
        <vt:lpwstr/>
      </vt:variant>
      <vt:variant>
        <vt:lpwstr>_Toc131068153</vt:lpwstr>
      </vt:variant>
      <vt:variant>
        <vt:i4>1638455</vt:i4>
      </vt:variant>
      <vt:variant>
        <vt:i4>53</vt:i4>
      </vt:variant>
      <vt:variant>
        <vt:i4>0</vt:i4>
      </vt:variant>
      <vt:variant>
        <vt:i4>5</vt:i4>
      </vt:variant>
      <vt:variant>
        <vt:lpwstr/>
      </vt:variant>
      <vt:variant>
        <vt:lpwstr>_Toc131068152</vt:lpwstr>
      </vt:variant>
      <vt:variant>
        <vt:i4>1638455</vt:i4>
      </vt:variant>
      <vt:variant>
        <vt:i4>47</vt:i4>
      </vt:variant>
      <vt:variant>
        <vt:i4>0</vt:i4>
      </vt:variant>
      <vt:variant>
        <vt:i4>5</vt:i4>
      </vt:variant>
      <vt:variant>
        <vt:lpwstr/>
      </vt:variant>
      <vt:variant>
        <vt:lpwstr>_Toc131068151</vt:lpwstr>
      </vt:variant>
      <vt:variant>
        <vt:i4>1638455</vt:i4>
      </vt:variant>
      <vt:variant>
        <vt:i4>41</vt:i4>
      </vt:variant>
      <vt:variant>
        <vt:i4>0</vt:i4>
      </vt:variant>
      <vt:variant>
        <vt:i4>5</vt:i4>
      </vt:variant>
      <vt:variant>
        <vt:lpwstr/>
      </vt:variant>
      <vt:variant>
        <vt:lpwstr>_Toc131068150</vt:lpwstr>
      </vt:variant>
      <vt:variant>
        <vt:i4>1572919</vt:i4>
      </vt:variant>
      <vt:variant>
        <vt:i4>35</vt:i4>
      </vt:variant>
      <vt:variant>
        <vt:i4>0</vt:i4>
      </vt:variant>
      <vt:variant>
        <vt:i4>5</vt:i4>
      </vt:variant>
      <vt:variant>
        <vt:lpwstr/>
      </vt:variant>
      <vt:variant>
        <vt:lpwstr>_Toc131068149</vt:lpwstr>
      </vt:variant>
      <vt:variant>
        <vt:i4>1572919</vt:i4>
      </vt:variant>
      <vt:variant>
        <vt:i4>29</vt:i4>
      </vt:variant>
      <vt:variant>
        <vt:i4>0</vt:i4>
      </vt:variant>
      <vt:variant>
        <vt:i4>5</vt:i4>
      </vt:variant>
      <vt:variant>
        <vt:lpwstr/>
      </vt:variant>
      <vt:variant>
        <vt:lpwstr>_Toc131068148</vt:lpwstr>
      </vt:variant>
      <vt:variant>
        <vt:i4>1572919</vt:i4>
      </vt:variant>
      <vt:variant>
        <vt:i4>23</vt:i4>
      </vt:variant>
      <vt:variant>
        <vt:i4>0</vt:i4>
      </vt:variant>
      <vt:variant>
        <vt:i4>5</vt:i4>
      </vt:variant>
      <vt:variant>
        <vt:lpwstr/>
      </vt:variant>
      <vt:variant>
        <vt:lpwstr>_Toc131068147</vt:lpwstr>
      </vt:variant>
      <vt:variant>
        <vt:i4>1572919</vt:i4>
      </vt:variant>
      <vt:variant>
        <vt:i4>17</vt:i4>
      </vt:variant>
      <vt:variant>
        <vt:i4>0</vt:i4>
      </vt:variant>
      <vt:variant>
        <vt:i4>5</vt:i4>
      </vt:variant>
      <vt:variant>
        <vt:lpwstr/>
      </vt:variant>
      <vt:variant>
        <vt:lpwstr>_Toc131068146</vt:lpwstr>
      </vt:variant>
      <vt:variant>
        <vt:i4>1572919</vt:i4>
      </vt:variant>
      <vt:variant>
        <vt:i4>11</vt:i4>
      </vt:variant>
      <vt:variant>
        <vt:i4>0</vt:i4>
      </vt:variant>
      <vt:variant>
        <vt:i4>5</vt:i4>
      </vt:variant>
      <vt:variant>
        <vt:lpwstr/>
      </vt:variant>
      <vt:variant>
        <vt:lpwstr>_Toc131068145</vt:lpwstr>
      </vt:variant>
      <vt:variant>
        <vt:i4>6291548</vt:i4>
      </vt:variant>
      <vt:variant>
        <vt:i4>6</vt:i4>
      </vt:variant>
      <vt:variant>
        <vt:i4>0</vt:i4>
      </vt:variant>
      <vt:variant>
        <vt:i4>5</vt:i4>
      </vt:variant>
      <vt:variant>
        <vt:lpwstr>mailto:tga.copyright@tga.gov.au</vt:lpwstr>
      </vt:variant>
      <vt:variant>
        <vt:lpwstr/>
      </vt:variant>
      <vt:variant>
        <vt:i4>7995497</vt:i4>
      </vt:variant>
      <vt:variant>
        <vt:i4>3</vt:i4>
      </vt:variant>
      <vt:variant>
        <vt:i4>0</vt:i4>
      </vt:variant>
      <vt:variant>
        <vt:i4>5</vt:i4>
      </vt:variant>
      <vt:variant>
        <vt:lpwstr>https://www.tga.gov.au/australian-public-assessment-report-auspar-guidance</vt:lpwstr>
      </vt:variant>
      <vt:variant>
        <vt:lpwstr/>
      </vt:variant>
      <vt:variant>
        <vt:i4>3473445</vt:i4>
      </vt:variant>
      <vt:variant>
        <vt:i4>0</vt:i4>
      </vt:variant>
      <vt:variant>
        <vt:i4>0</vt:i4>
      </vt:variant>
      <vt:variant>
        <vt:i4>5</vt:i4>
      </vt:variant>
      <vt:variant>
        <vt:lpwstr>https://www.tga.gov.au/</vt:lpwstr>
      </vt:variant>
      <vt:variant>
        <vt:lpwstr/>
      </vt:variant>
      <vt:variant>
        <vt:i4>917572</vt:i4>
      </vt:variant>
      <vt:variant>
        <vt:i4>0</vt:i4>
      </vt:variant>
      <vt:variant>
        <vt:i4>0</vt:i4>
      </vt:variant>
      <vt:variant>
        <vt:i4>5</vt:i4>
      </vt:variant>
      <vt:variant>
        <vt:lpwstr>https://ecog-acrin.org/resources/ecog-performance-status/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Opdivo</dc:title>
  <dc:subject>Prescription medicines</dc:subject>
  <dc:creator>Therapeutic Goods Administration</dc:creator>
  <cp:keywords/>
  <dc:description/>
  <cp:lastModifiedBy>PITKIN, Brendan</cp:lastModifiedBy>
  <cp:revision>8</cp:revision>
  <dcterms:created xsi:type="dcterms:W3CDTF">2023-06-01T03:22:00Z</dcterms:created>
  <dcterms:modified xsi:type="dcterms:W3CDTF">2023-06-09T03:23:00Z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0x010100F678E1642ACF814DAE5C915C9F90BBB2</vt:lpwstr>
  </property>
  <property fmtid="{D5CDD505-2E9C-101B-9397-08002B2CF9AE}" pid="3" name="MediaServiceImageTags">
    <vt:lpwstr/>
  </property>
</Properties>
</file>